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34C02">
      <w:pPr>
        <w:shd w:val="clea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bookmarkStart w:id="1378" w:name="_GoBack"/>
      <w:bookmarkEnd w:id="1378"/>
      <w:r>
        <w:rPr>
          <w:rFonts w:hint="eastAsia" w:ascii="方正小标宋简体" w:hAnsi="方正小标宋简体" w:eastAsia="方正小标宋简体" w:cs="方正小标宋简体"/>
          <w:b/>
          <w:color w:val="auto"/>
          <w:sz w:val="44"/>
          <w:szCs w:val="44"/>
          <w:highlight w:val="none"/>
          <w:lang w:eastAsia="zh-CN"/>
        </w:rPr>
        <w:drawing>
          <wp:inline distT="0" distB="0" distL="114300" distR="114300">
            <wp:extent cx="5635625" cy="1050290"/>
            <wp:effectExtent l="0" t="0" r="0" b="0"/>
            <wp:docPr id="5" name="图片 1" descr="900b284d9d752616ddbde50079fc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900b284d9d752616ddbde50079fced2"/>
                    <pic:cNvPicPr>
                      <a:picLocks noChangeAspect="1"/>
                    </pic:cNvPicPr>
                  </pic:nvPicPr>
                  <pic:blipFill>
                    <a:blip r:embed="rId13"/>
                    <a:stretch>
                      <a:fillRect/>
                    </a:stretch>
                  </pic:blipFill>
                  <pic:spPr>
                    <a:xfrm>
                      <a:off x="0" y="0"/>
                      <a:ext cx="5635625" cy="1050290"/>
                    </a:xfrm>
                    <a:prstGeom prst="rect">
                      <a:avLst/>
                    </a:prstGeom>
                    <a:noFill/>
                    <a:ln>
                      <a:noFill/>
                    </a:ln>
                  </pic:spPr>
                </pic:pic>
              </a:graphicData>
            </a:graphic>
          </wp:inline>
        </w:drawing>
      </w:r>
    </w:p>
    <w:p w14:paraId="7475FDC3">
      <w:pPr>
        <w:shd w:val="clea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5839769B">
      <w:pPr>
        <w:pStyle w:val="31"/>
        <w:shd w:val="clear"/>
        <w:rPr>
          <w:rFonts w:hint="eastAsia" w:ascii="宋体" w:hAnsi="宋体" w:eastAsia="宋体" w:cs="宋体"/>
          <w:color w:val="auto"/>
          <w:kern w:val="0"/>
          <w:sz w:val="56"/>
          <w:szCs w:val="24"/>
          <w:highlight w:val="none"/>
        </w:rPr>
      </w:pPr>
    </w:p>
    <w:p w14:paraId="263294DE">
      <w:pPr>
        <w:pStyle w:val="31"/>
        <w:shd w:val="clear"/>
        <w:rPr>
          <w:rFonts w:hint="eastAsia" w:ascii="宋体" w:hAnsi="宋体" w:eastAsia="宋体" w:cs="宋体"/>
          <w:color w:val="auto"/>
          <w:kern w:val="0"/>
          <w:sz w:val="56"/>
          <w:szCs w:val="24"/>
          <w:highlight w:val="none"/>
        </w:rPr>
      </w:pPr>
    </w:p>
    <w:p w14:paraId="625E01D8">
      <w:pPr>
        <w:pStyle w:val="31"/>
        <w:shd w:val="clear"/>
        <w:rPr>
          <w:rFonts w:hint="eastAsia" w:ascii="宋体" w:hAnsi="宋体" w:eastAsia="宋体" w:cs="宋体"/>
          <w:color w:val="auto"/>
          <w:kern w:val="0"/>
          <w:sz w:val="56"/>
          <w:szCs w:val="24"/>
          <w:highlight w:val="none"/>
        </w:rPr>
      </w:pPr>
    </w:p>
    <w:p w14:paraId="6B105D34">
      <w:pPr>
        <w:pStyle w:val="31"/>
        <w:shd w:val="clear"/>
        <w:rPr>
          <w:rFonts w:hint="eastAsia" w:ascii="宋体" w:hAnsi="宋体" w:eastAsia="宋体" w:cs="宋体"/>
          <w:color w:val="auto"/>
          <w:kern w:val="0"/>
          <w:sz w:val="56"/>
          <w:szCs w:val="24"/>
          <w:highlight w:val="none"/>
        </w:rPr>
      </w:pPr>
    </w:p>
    <w:p w14:paraId="7DAFD310">
      <w:pPr>
        <w:pStyle w:val="31"/>
        <w:shd w:val="clear"/>
        <w:rPr>
          <w:rFonts w:hint="eastAsia" w:ascii="宋体" w:hAnsi="宋体" w:eastAsia="宋体" w:cs="宋体"/>
          <w:color w:val="auto"/>
          <w:kern w:val="0"/>
          <w:sz w:val="56"/>
          <w:szCs w:val="24"/>
          <w:highlight w:val="none"/>
        </w:rPr>
      </w:pPr>
    </w:p>
    <w:p w14:paraId="524C775E">
      <w:pPr>
        <w:pStyle w:val="31"/>
        <w:shd w:val="clear"/>
        <w:rPr>
          <w:rFonts w:hint="eastAsia" w:ascii="宋体" w:hAnsi="宋体" w:eastAsia="宋体" w:cs="宋体"/>
          <w:color w:val="auto"/>
          <w:kern w:val="0"/>
          <w:sz w:val="56"/>
          <w:szCs w:val="24"/>
          <w:highlight w:val="none"/>
        </w:rPr>
      </w:pPr>
    </w:p>
    <w:p w14:paraId="115313A2">
      <w:pPr>
        <w:pStyle w:val="31"/>
        <w:shd w:val="clear"/>
        <w:rPr>
          <w:rFonts w:hint="eastAsia" w:ascii="宋体" w:hAnsi="宋体" w:eastAsia="宋体" w:cs="宋体"/>
          <w:color w:val="auto"/>
          <w:kern w:val="0"/>
          <w:sz w:val="56"/>
          <w:szCs w:val="24"/>
          <w:highlight w:val="none"/>
        </w:rPr>
      </w:pPr>
    </w:p>
    <w:p w14:paraId="0D1859EA">
      <w:pPr>
        <w:pStyle w:val="31"/>
        <w:shd w:val="clear"/>
        <w:rPr>
          <w:rFonts w:hint="eastAsia" w:ascii="宋体" w:hAnsi="宋体" w:eastAsia="宋体" w:cs="宋体"/>
          <w:color w:val="auto"/>
          <w:kern w:val="0"/>
          <w:sz w:val="56"/>
          <w:szCs w:val="24"/>
          <w:highlight w:val="none"/>
        </w:rPr>
      </w:pPr>
    </w:p>
    <w:p w14:paraId="4635E7D1">
      <w:pPr>
        <w:pStyle w:val="31"/>
        <w:shd w:val="clear"/>
        <w:rPr>
          <w:rFonts w:hint="eastAsia" w:ascii="宋体" w:hAnsi="宋体" w:eastAsia="宋体" w:cs="宋体"/>
          <w:color w:val="auto"/>
          <w:kern w:val="0"/>
          <w:sz w:val="56"/>
          <w:szCs w:val="24"/>
          <w:highlight w:val="none"/>
        </w:rPr>
      </w:pPr>
    </w:p>
    <w:p w14:paraId="1AB8F66F">
      <w:pPr>
        <w:pStyle w:val="31"/>
        <w:shd w:val="clear"/>
        <w:rPr>
          <w:rFonts w:hint="eastAsia" w:ascii="宋体" w:hAnsi="宋体" w:eastAsia="宋体" w:cs="宋体"/>
          <w:color w:val="auto"/>
          <w:kern w:val="0"/>
          <w:sz w:val="56"/>
          <w:szCs w:val="24"/>
          <w:highlight w:val="none"/>
        </w:rPr>
      </w:pPr>
    </w:p>
    <w:p w14:paraId="67F7ABF8">
      <w:pPr>
        <w:pStyle w:val="31"/>
        <w:shd w:val="clear"/>
        <w:rPr>
          <w:rFonts w:hint="eastAsia" w:ascii="宋体" w:hAnsi="宋体" w:eastAsia="宋体" w:cs="宋体"/>
          <w:color w:val="auto"/>
          <w:kern w:val="0"/>
          <w:sz w:val="56"/>
          <w:szCs w:val="24"/>
          <w:highlight w:val="none"/>
        </w:rPr>
      </w:pPr>
    </w:p>
    <w:p w14:paraId="45167256">
      <w:pPr>
        <w:pStyle w:val="31"/>
        <w:shd w:val="clear"/>
        <w:rPr>
          <w:rFonts w:hint="eastAsia" w:ascii="宋体" w:hAnsi="宋体" w:eastAsia="宋体" w:cs="宋体"/>
          <w:color w:val="auto"/>
          <w:kern w:val="0"/>
          <w:sz w:val="56"/>
          <w:szCs w:val="24"/>
          <w:highlight w:val="none"/>
        </w:rPr>
      </w:pPr>
    </w:p>
    <w:p w14:paraId="3A7E709B">
      <w:pPr>
        <w:shd w:val="clear"/>
        <w:autoSpaceDE w:val="0"/>
        <w:autoSpaceDN w:val="0"/>
        <w:spacing w:line="312"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竞争性磋商采购文件</w:t>
      </w:r>
    </w:p>
    <w:p w14:paraId="07FBFE90">
      <w:pPr>
        <w:pStyle w:val="31"/>
        <w:shd w:val="clear"/>
        <w:rPr>
          <w:rFonts w:hint="eastAsia" w:ascii="宋体" w:hAnsi="宋体" w:eastAsia="宋体" w:cs="宋体"/>
          <w:color w:val="auto"/>
          <w:kern w:val="0"/>
          <w:sz w:val="56"/>
          <w:szCs w:val="24"/>
          <w:highlight w:val="none"/>
        </w:rPr>
      </w:pPr>
    </w:p>
    <w:p w14:paraId="5AB54F1D">
      <w:pPr>
        <w:pStyle w:val="31"/>
        <w:shd w:val="clear"/>
        <w:rPr>
          <w:rFonts w:hint="eastAsia" w:ascii="宋体" w:hAnsi="宋体" w:eastAsia="宋体" w:cs="宋体"/>
          <w:color w:val="auto"/>
          <w:kern w:val="0"/>
          <w:sz w:val="56"/>
          <w:szCs w:val="24"/>
          <w:highlight w:val="none"/>
        </w:rPr>
      </w:pPr>
    </w:p>
    <w:p w14:paraId="458AA5AC">
      <w:pPr>
        <w:pStyle w:val="31"/>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hAnsi="宋体" w:cs="宋体"/>
          <w:b w:val="0"/>
          <w:bCs w:val="0"/>
          <w:color w:val="auto"/>
          <w:kern w:val="0"/>
          <w:sz w:val="28"/>
          <w:szCs w:val="21"/>
          <w:highlight w:val="none"/>
          <w:lang w:eastAsia="zh-CN"/>
        </w:rPr>
      </w:pPr>
      <w:r>
        <w:rPr>
          <w:rFonts w:hint="eastAsia" w:ascii="宋体" w:hAnsi="宋体" w:eastAsia="宋体" w:cs="宋体"/>
          <w:b w:val="0"/>
          <w:bCs w:val="0"/>
          <w:color w:val="auto"/>
          <w:kern w:val="0"/>
          <w:sz w:val="28"/>
          <w:szCs w:val="21"/>
          <w:highlight w:val="none"/>
        </w:rPr>
        <w:t>项目名称：</w:t>
      </w:r>
      <w:r>
        <w:rPr>
          <w:rFonts w:hint="eastAsia" w:hAnsi="宋体" w:cs="宋体"/>
          <w:b w:val="0"/>
          <w:bCs w:val="0"/>
          <w:color w:val="auto"/>
          <w:kern w:val="0"/>
          <w:sz w:val="28"/>
          <w:szCs w:val="21"/>
          <w:highlight w:val="none"/>
          <w:lang w:eastAsia="zh-CN"/>
        </w:rPr>
        <w:t>石景林街道卜利村旧村屯排污排水项目</w:t>
      </w:r>
    </w:p>
    <w:p w14:paraId="3D009CBA">
      <w:pPr>
        <w:pStyle w:val="31"/>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ascii="宋体" w:hAnsi="宋体" w:eastAsia="宋体" w:cs="宋体"/>
          <w:b w:val="0"/>
          <w:bCs w:val="0"/>
          <w:color w:val="auto"/>
          <w:sz w:val="18"/>
          <w:szCs w:val="20"/>
          <w:highlight w:val="none"/>
          <w:lang w:eastAsia="zh-CN"/>
        </w:rPr>
      </w:pPr>
      <w:r>
        <w:rPr>
          <w:rFonts w:hint="eastAsia" w:ascii="宋体" w:hAnsi="宋体" w:eastAsia="宋体" w:cs="宋体"/>
          <w:b w:val="0"/>
          <w:bCs w:val="0"/>
          <w:color w:val="auto"/>
          <w:kern w:val="0"/>
          <w:sz w:val="28"/>
          <w:szCs w:val="21"/>
          <w:highlight w:val="none"/>
        </w:rPr>
        <w:t>项目编号：</w:t>
      </w:r>
      <w:r>
        <w:rPr>
          <w:rFonts w:hint="eastAsia" w:hAnsi="宋体" w:cs="宋体"/>
          <w:b w:val="0"/>
          <w:bCs w:val="0"/>
          <w:color w:val="auto"/>
          <w:kern w:val="0"/>
          <w:sz w:val="28"/>
          <w:szCs w:val="21"/>
          <w:highlight w:val="none"/>
          <w:lang w:eastAsia="zh-CN"/>
        </w:rPr>
        <w:t>CZZC2026-C2-020035-GXCS</w:t>
      </w:r>
    </w:p>
    <w:p w14:paraId="281E3611">
      <w:pPr>
        <w:pStyle w:val="31"/>
        <w:shd w:val="clear"/>
        <w:rPr>
          <w:rFonts w:hint="eastAsia" w:ascii="宋体" w:hAnsi="宋体" w:eastAsia="宋体" w:cs="宋体"/>
          <w:color w:val="auto"/>
          <w:highlight w:val="none"/>
        </w:rPr>
      </w:pPr>
    </w:p>
    <w:p w14:paraId="6BA07F0F">
      <w:pPr>
        <w:pStyle w:val="31"/>
        <w:shd w:val="clear"/>
        <w:rPr>
          <w:rFonts w:hint="eastAsia" w:ascii="宋体" w:hAnsi="宋体" w:eastAsia="宋体" w:cs="宋体"/>
          <w:color w:val="auto"/>
          <w:highlight w:val="none"/>
        </w:rPr>
      </w:pPr>
    </w:p>
    <w:p w14:paraId="4BE37997">
      <w:pPr>
        <w:pStyle w:val="31"/>
        <w:shd w:val="clear"/>
        <w:rPr>
          <w:rFonts w:hint="eastAsia" w:ascii="宋体" w:hAnsi="宋体" w:eastAsia="宋体" w:cs="宋体"/>
          <w:color w:val="auto"/>
          <w:highlight w:val="none"/>
        </w:rPr>
      </w:pPr>
    </w:p>
    <w:p w14:paraId="0A767FAF">
      <w:pPr>
        <w:pStyle w:val="31"/>
        <w:shd w:val="clear"/>
        <w:rPr>
          <w:rFonts w:hint="eastAsia" w:ascii="宋体" w:hAnsi="宋体" w:eastAsia="宋体" w:cs="宋体"/>
          <w:color w:val="auto"/>
          <w:highlight w:val="none"/>
        </w:rPr>
      </w:pPr>
    </w:p>
    <w:p w14:paraId="40056DD9">
      <w:pPr>
        <w:pStyle w:val="31"/>
        <w:shd w:val="clear"/>
        <w:rPr>
          <w:rFonts w:hint="eastAsia" w:ascii="宋体" w:hAnsi="宋体" w:eastAsia="宋体" w:cs="宋体"/>
          <w:color w:val="auto"/>
          <w:highlight w:val="none"/>
        </w:rPr>
      </w:pPr>
    </w:p>
    <w:p w14:paraId="17CEC620">
      <w:pPr>
        <w:pStyle w:val="31"/>
        <w:shd w:val="clear"/>
        <w:rPr>
          <w:rFonts w:hint="eastAsia" w:ascii="宋体" w:hAnsi="宋体" w:eastAsia="宋体" w:cs="宋体"/>
          <w:color w:val="auto"/>
          <w:highlight w:val="none"/>
        </w:rPr>
      </w:pPr>
    </w:p>
    <w:p w14:paraId="49E29967">
      <w:pPr>
        <w:pStyle w:val="31"/>
        <w:shd w:val="clear"/>
        <w:rPr>
          <w:rFonts w:hint="eastAsia" w:ascii="宋体" w:hAnsi="宋体" w:eastAsia="宋体" w:cs="宋体"/>
          <w:color w:val="auto"/>
          <w:highlight w:val="none"/>
        </w:rPr>
      </w:pPr>
    </w:p>
    <w:p w14:paraId="56BCBB0E">
      <w:pPr>
        <w:pStyle w:val="31"/>
        <w:shd w:val="clear"/>
        <w:rPr>
          <w:rFonts w:hint="eastAsia" w:ascii="宋体" w:hAnsi="宋体" w:eastAsia="宋体" w:cs="宋体"/>
          <w:color w:val="auto"/>
          <w:highlight w:val="none"/>
        </w:rPr>
      </w:pPr>
    </w:p>
    <w:p w14:paraId="3434DAFA">
      <w:pPr>
        <w:pStyle w:val="31"/>
        <w:shd w:val="clear"/>
        <w:rPr>
          <w:rFonts w:hint="eastAsia" w:ascii="宋体" w:hAnsi="宋体" w:eastAsia="宋体" w:cs="宋体"/>
          <w:color w:val="auto"/>
          <w:highlight w:val="none"/>
        </w:rPr>
      </w:pPr>
    </w:p>
    <w:p w14:paraId="5028F2ED">
      <w:pPr>
        <w:pStyle w:val="31"/>
        <w:shd w:val="clear"/>
        <w:rPr>
          <w:rFonts w:hint="eastAsia" w:ascii="宋体" w:hAnsi="宋体" w:eastAsia="宋体" w:cs="宋体"/>
          <w:color w:val="auto"/>
          <w:highlight w:val="none"/>
        </w:rPr>
      </w:pPr>
    </w:p>
    <w:p w14:paraId="2F89A00C">
      <w:pPr>
        <w:pStyle w:val="31"/>
        <w:shd w:val="clear"/>
        <w:rPr>
          <w:rFonts w:hint="eastAsia" w:ascii="宋体" w:hAnsi="宋体" w:eastAsia="宋体" w:cs="宋体"/>
          <w:color w:val="auto"/>
          <w:highlight w:val="none"/>
        </w:rPr>
      </w:pPr>
    </w:p>
    <w:p w14:paraId="705AF3C4">
      <w:pPr>
        <w:pStyle w:val="31"/>
        <w:shd w:val="clear"/>
        <w:rPr>
          <w:rFonts w:hint="eastAsia" w:ascii="宋体" w:hAnsi="宋体" w:eastAsia="宋体" w:cs="宋体"/>
          <w:color w:val="auto"/>
          <w:highlight w:val="none"/>
        </w:rPr>
      </w:pPr>
    </w:p>
    <w:p w14:paraId="4FF26576">
      <w:pPr>
        <w:pStyle w:val="31"/>
        <w:shd w:val="clear"/>
        <w:rPr>
          <w:rFonts w:hint="eastAsia" w:ascii="宋体" w:hAnsi="宋体" w:eastAsia="宋体" w:cs="宋体"/>
          <w:color w:val="auto"/>
          <w:highlight w:val="none"/>
        </w:rPr>
      </w:pPr>
    </w:p>
    <w:p w14:paraId="5AB1AA44">
      <w:pPr>
        <w:pStyle w:val="31"/>
        <w:shd w:val="clear"/>
        <w:rPr>
          <w:rFonts w:hint="eastAsia" w:ascii="宋体" w:hAnsi="宋体" w:eastAsia="宋体" w:cs="宋体"/>
          <w:color w:val="auto"/>
          <w:highlight w:val="none"/>
        </w:rPr>
      </w:pPr>
    </w:p>
    <w:p w14:paraId="37E889FF">
      <w:pPr>
        <w:pStyle w:val="31"/>
        <w:shd w:val="clear"/>
        <w:rPr>
          <w:rFonts w:hint="eastAsia" w:ascii="宋体" w:hAnsi="宋体" w:eastAsia="宋体" w:cs="宋体"/>
          <w:color w:val="auto"/>
          <w:highlight w:val="none"/>
        </w:rPr>
      </w:pPr>
    </w:p>
    <w:p w14:paraId="13D1D86E">
      <w:pPr>
        <w:pStyle w:val="31"/>
        <w:shd w:val="clear"/>
        <w:rPr>
          <w:rFonts w:hint="eastAsia" w:ascii="宋体" w:hAnsi="宋体" w:eastAsia="宋体" w:cs="宋体"/>
          <w:color w:val="auto"/>
          <w:highlight w:val="none"/>
        </w:rPr>
      </w:pPr>
    </w:p>
    <w:p w14:paraId="3C3D100E">
      <w:pPr>
        <w:pStyle w:val="31"/>
        <w:shd w:val="clear"/>
        <w:rPr>
          <w:rFonts w:hint="eastAsia" w:ascii="宋体" w:hAnsi="宋体" w:eastAsia="宋体" w:cs="宋体"/>
          <w:color w:val="auto"/>
          <w:highlight w:val="none"/>
        </w:rPr>
      </w:pPr>
    </w:p>
    <w:p w14:paraId="54C2F7B0">
      <w:pPr>
        <w:pStyle w:val="31"/>
        <w:shd w:val="clear"/>
        <w:rPr>
          <w:rFonts w:hint="eastAsia" w:ascii="宋体" w:hAnsi="宋体" w:eastAsia="宋体" w:cs="宋体"/>
          <w:color w:val="auto"/>
          <w:highlight w:val="none"/>
        </w:rPr>
      </w:pPr>
    </w:p>
    <w:p w14:paraId="0923BEFB">
      <w:pPr>
        <w:pStyle w:val="31"/>
        <w:shd w:val="clear"/>
        <w:rPr>
          <w:rFonts w:hint="eastAsia" w:ascii="宋体" w:hAnsi="宋体" w:eastAsia="宋体" w:cs="宋体"/>
          <w:color w:val="auto"/>
          <w:kern w:val="0"/>
          <w:sz w:val="36"/>
          <w:szCs w:val="24"/>
          <w:highlight w:val="none"/>
        </w:rPr>
      </w:pPr>
    </w:p>
    <w:p w14:paraId="5BEF699C">
      <w:pPr>
        <w:pStyle w:val="31"/>
        <w:shd w:val="clear"/>
        <w:rPr>
          <w:rFonts w:hint="eastAsia" w:ascii="宋体" w:hAnsi="宋体" w:eastAsia="宋体" w:cs="宋体"/>
          <w:color w:val="auto"/>
          <w:kern w:val="0"/>
          <w:sz w:val="36"/>
          <w:szCs w:val="24"/>
          <w:highlight w:val="none"/>
        </w:rPr>
      </w:pPr>
    </w:p>
    <w:p w14:paraId="7BEC0F94">
      <w:pPr>
        <w:shd w:val="clear"/>
        <w:spacing w:line="600" w:lineRule="auto"/>
        <w:ind w:firstLine="1446" w:firstLineChars="500"/>
        <w:jc w:val="left"/>
        <w:rPr>
          <w:rFonts w:hint="eastAsia" w:ascii="宋体" w:hAnsi="宋体" w:eastAsia="宋体" w:cs="宋体"/>
          <w:b/>
          <w:color w:val="auto"/>
          <w:spacing w:val="-6"/>
          <w:kern w:val="0"/>
          <w:sz w:val="30"/>
          <w:szCs w:val="30"/>
          <w:highlight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spacing w:val="-6"/>
          <w:kern w:val="0"/>
          <w:sz w:val="30"/>
          <w:szCs w:val="30"/>
          <w:highlight w:val="none"/>
          <w:lang w:eastAsia="zh-CN"/>
        </w:rPr>
        <w:t>崇左市江州区石景林街道办事处</w:t>
      </w:r>
    </w:p>
    <w:p w14:paraId="6EF88924">
      <w:pPr>
        <w:shd w:val="clea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广西崇善项目咨询有限公司</w:t>
      </w:r>
    </w:p>
    <w:p w14:paraId="475FE4C2">
      <w:pPr>
        <w:shd w:val="clea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formProt w:val="1"/>
          <w:titlePg/>
          <w:docGrid w:type="lines" w:linePitch="312" w:charSpace="0"/>
        </w:sectPr>
      </w:pPr>
      <w:r>
        <w:rPr>
          <w:rFonts w:hint="eastAsia" w:ascii="宋体" w:hAnsi="宋体" w:cs="宋体"/>
          <w:b/>
          <w:color w:val="auto"/>
          <w:kern w:val="0"/>
          <w:sz w:val="30"/>
          <w:szCs w:val="30"/>
          <w:highlight w:val="none"/>
          <w:lang w:eastAsia="zh-CN"/>
        </w:rPr>
        <w:t>2026年</w:t>
      </w:r>
      <w:r>
        <w:rPr>
          <w:rFonts w:hint="eastAsia" w:ascii="宋体" w:hAnsi="宋体" w:cs="宋体"/>
          <w:b/>
          <w:color w:val="auto"/>
          <w:kern w:val="0"/>
          <w:sz w:val="30"/>
          <w:szCs w:val="30"/>
          <w:highlight w:val="none"/>
          <w:lang w:val="en-US" w:eastAsia="zh-CN"/>
        </w:rPr>
        <w:t>6</w:t>
      </w:r>
      <w:r>
        <w:rPr>
          <w:rFonts w:hint="eastAsia" w:ascii="宋体" w:hAnsi="宋体" w:cs="宋体"/>
          <w:b/>
          <w:color w:val="auto"/>
          <w:kern w:val="0"/>
          <w:sz w:val="30"/>
          <w:szCs w:val="30"/>
          <w:highlight w:val="none"/>
          <w:lang w:eastAsia="zh-CN"/>
        </w:rPr>
        <w:t>月</w:t>
      </w:r>
    </w:p>
    <w:p w14:paraId="358FB05C">
      <w:pPr>
        <w:pStyle w:val="34"/>
        <w:shd w:val="clear"/>
        <w:spacing w:line="360" w:lineRule="auto"/>
        <w:jc w:val="center"/>
        <w:rPr>
          <w:rFonts w:ascii="宋体" w:hAnsi="宋体"/>
          <w:color w:val="auto"/>
          <w:highlight w:val="none"/>
        </w:rPr>
      </w:pPr>
    </w:p>
    <w:p w14:paraId="285CB088">
      <w:pPr>
        <w:pStyle w:val="34"/>
        <w:shd w:val="clear"/>
        <w:spacing w:line="360" w:lineRule="auto"/>
        <w:jc w:val="center"/>
        <w:rPr>
          <w:rFonts w:ascii="宋体" w:hAnsi="宋体"/>
          <w:b/>
          <w:color w:val="auto"/>
          <w:sz w:val="48"/>
          <w:szCs w:val="48"/>
          <w:highlight w:val="none"/>
        </w:rPr>
      </w:pPr>
    </w:p>
    <w:p w14:paraId="4ADAEAE0">
      <w:pPr>
        <w:pStyle w:val="34"/>
        <w:shd w:val="clear"/>
        <w:spacing w:line="360" w:lineRule="auto"/>
        <w:jc w:val="center"/>
        <w:rPr>
          <w:rFonts w:ascii="宋体" w:hAnsi="宋体"/>
          <w:b/>
          <w:color w:val="auto"/>
          <w:sz w:val="48"/>
          <w:szCs w:val="48"/>
          <w:highlight w:val="none"/>
        </w:rPr>
      </w:pPr>
      <w:r>
        <w:rPr>
          <w:rFonts w:ascii="宋体" w:hAnsi="宋体"/>
          <w:b/>
          <w:color w:val="auto"/>
          <w:sz w:val="48"/>
          <w:szCs w:val="48"/>
          <w:highlight w:val="none"/>
        </w:rPr>
        <w:t>目录</w:t>
      </w:r>
    </w:p>
    <w:p w14:paraId="54E85D5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\z \o "1-3" \u \h</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_Toc12455 </w:instrText>
      </w:r>
      <w:r>
        <w:rPr>
          <w:color w:val="auto"/>
          <w:sz w:val="28"/>
          <w:szCs w:val="28"/>
          <w:highlight w:val="none"/>
        </w:rPr>
        <w:fldChar w:fldCharType="separate"/>
      </w:r>
      <w:r>
        <w:rPr>
          <w:rFonts w:ascii="宋体" w:hAnsi="宋体"/>
          <w:color w:val="auto"/>
          <w:sz w:val="28"/>
          <w:szCs w:val="28"/>
          <w:highlight w:val="none"/>
        </w:rPr>
        <w:t>第一章竞争性磋商公告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_Toc12455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00F3E2B3">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_Toc7350 </w:instrText>
      </w:r>
      <w:r>
        <w:rPr>
          <w:color w:val="auto"/>
          <w:sz w:val="28"/>
          <w:szCs w:val="28"/>
          <w:highlight w:val="none"/>
        </w:rPr>
        <w:fldChar w:fldCharType="separate"/>
      </w:r>
      <w:r>
        <w:rPr>
          <w:rFonts w:ascii="宋体" w:hAnsi="宋体"/>
          <w:color w:val="auto"/>
          <w:sz w:val="28"/>
          <w:szCs w:val="28"/>
          <w:highlight w:val="none"/>
        </w:rPr>
        <w:t>第二章供应商须知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_Toc7350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4ECC7390">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_Toc17060 </w:instrText>
      </w:r>
      <w:r>
        <w:rPr>
          <w:color w:val="auto"/>
          <w:sz w:val="28"/>
          <w:szCs w:val="28"/>
          <w:highlight w:val="none"/>
        </w:rPr>
        <w:fldChar w:fldCharType="separate"/>
      </w:r>
      <w:r>
        <w:rPr>
          <w:rFonts w:ascii="宋体" w:hAnsi="宋体"/>
          <w:color w:val="auto"/>
          <w:sz w:val="28"/>
          <w:szCs w:val="28"/>
          <w:highlight w:val="none"/>
        </w:rPr>
        <w:t>第三章技术规范</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_Toc17060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20A95F3A">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_Toc26040 </w:instrText>
      </w:r>
      <w:r>
        <w:rPr>
          <w:color w:val="auto"/>
          <w:sz w:val="28"/>
          <w:szCs w:val="28"/>
          <w:highlight w:val="none"/>
        </w:rPr>
        <w:fldChar w:fldCharType="separate"/>
      </w:r>
      <w:r>
        <w:rPr>
          <w:color w:val="auto"/>
          <w:sz w:val="28"/>
          <w:szCs w:val="28"/>
          <w:highlight w:val="none"/>
        </w:rPr>
        <w:t>第四章响应文件格式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_Toc26040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color w:val="auto"/>
          <w:sz w:val="28"/>
          <w:szCs w:val="28"/>
          <w:highlight w:val="none"/>
        </w:rPr>
        <w:fldChar w:fldCharType="end"/>
      </w:r>
    </w:p>
    <w:p w14:paraId="444C4CB4">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_Toc26801 </w:instrText>
      </w:r>
      <w:r>
        <w:rPr>
          <w:color w:val="auto"/>
          <w:sz w:val="28"/>
          <w:szCs w:val="28"/>
          <w:highlight w:val="none"/>
        </w:rPr>
        <w:fldChar w:fldCharType="separate"/>
      </w:r>
      <w:r>
        <w:rPr>
          <w:rFonts w:ascii="宋体" w:hAnsi="宋体"/>
          <w:color w:val="auto"/>
          <w:sz w:val="28"/>
          <w:szCs w:val="28"/>
          <w:highlight w:val="none"/>
        </w:rPr>
        <w:t>第五章</w:t>
      </w:r>
      <w:r>
        <w:rPr>
          <w:rFonts w:hint="eastAsia" w:ascii="宋体" w:hAnsi="宋体"/>
          <w:color w:val="auto"/>
          <w:sz w:val="28"/>
          <w:szCs w:val="28"/>
          <w:highlight w:val="none"/>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_Toc26801 \h </w:instrText>
      </w:r>
      <w:r>
        <w:rPr>
          <w:color w:val="auto"/>
          <w:sz w:val="28"/>
          <w:szCs w:val="28"/>
          <w:highlight w:val="none"/>
        </w:rPr>
        <w:fldChar w:fldCharType="separate"/>
      </w:r>
      <w:r>
        <w:rPr>
          <w:color w:val="auto"/>
          <w:sz w:val="28"/>
          <w:szCs w:val="28"/>
          <w:highlight w:val="none"/>
        </w:rPr>
        <w:t>55</w:t>
      </w:r>
      <w:r>
        <w:rPr>
          <w:color w:val="auto"/>
          <w:sz w:val="28"/>
          <w:szCs w:val="28"/>
          <w:highlight w:val="none"/>
        </w:rPr>
        <w:fldChar w:fldCharType="end"/>
      </w:r>
      <w:r>
        <w:rPr>
          <w:color w:val="auto"/>
          <w:sz w:val="28"/>
          <w:szCs w:val="28"/>
          <w:highlight w:val="none"/>
        </w:rPr>
        <w:fldChar w:fldCharType="end"/>
      </w:r>
    </w:p>
    <w:p w14:paraId="3609DCC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_Toc14935 </w:instrText>
      </w:r>
      <w:r>
        <w:rPr>
          <w:color w:val="auto"/>
          <w:sz w:val="28"/>
          <w:szCs w:val="28"/>
          <w:highlight w:val="none"/>
        </w:rPr>
        <w:fldChar w:fldCharType="separate"/>
      </w:r>
      <w:r>
        <w:rPr>
          <w:rFonts w:ascii="宋体" w:hAnsi="宋体"/>
          <w:color w:val="auto"/>
          <w:sz w:val="28"/>
          <w:szCs w:val="28"/>
          <w:highlight w:val="none"/>
        </w:rPr>
        <w:t>第六章</w:t>
      </w:r>
      <w:r>
        <w:rPr>
          <w:rFonts w:hint="eastAsia" w:ascii="宋体" w:hAnsi="宋体"/>
          <w:color w:val="auto"/>
          <w:sz w:val="28"/>
          <w:szCs w:val="28"/>
          <w:highlight w:val="none"/>
          <w:lang w:eastAsia="zh-CN"/>
        </w:rPr>
        <w:t>评分办法和标准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_Toc14935 \h </w:instrText>
      </w:r>
      <w:r>
        <w:rPr>
          <w:color w:val="auto"/>
          <w:sz w:val="28"/>
          <w:szCs w:val="28"/>
          <w:highlight w:val="none"/>
        </w:rPr>
        <w:fldChar w:fldCharType="separate"/>
      </w:r>
      <w:r>
        <w:rPr>
          <w:color w:val="auto"/>
          <w:sz w:val="28"/>
          <w:szCs w:val="28"/>
          <w:highlight w:val="none"/>
        </w:rPr>
        <w:t>110</w:t>
      </w:r>
      <w:r>
        <w:rPr>
          <w:color w:val="auto"/>
          <w:sz w:val="28"/>
          <w:szCs w:val="28"/>
          <w:highlight w:val="none"/>
        </w:rPr>
        <w:fldChar w:fldCharType="end"/>
      </w:r>
      <w:r>
        <w:rPr>
          <w:color w:val="auto"/>
          <w:sz w:val="28"/>
          <w:szCs w:val="28"/>
          <w:highlight w:val="none"/>
        </w:rPr>
        <w:fldChar w:fldCharType="end"/>
      </w:r>
    </w:p>
    <w:p w14:paraId="204F5F1D">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_Toc5706 </w:instrText>
      </w:r>
      <w:r>
        <w:rPr>
          <w:color w:val="auto"/>
          <w:sz w:val="28"/>
          <w:szCs w:val="28"/>
          <w:highlight w:val="none"/>
        </w:rPr>
        <w:fldChar w:fldCharType="separate"/>
      </w:r>
      <w:r>
        <w:rPr>
          <w:rFonts w:hint="eastAsia" w:ascii="宋体" w:hAnsi="宋体"/>
          <w:color w:val="auto"/>
          <w:sz w:val="28"/>
          <w:szCs w:val="28"/>
          <w:highlight w:val="none"/>
        </w:rPr>
        <w:t>第七章施工图纸及工程量清单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_Toc5706 \h </w:instrText>
      </w:r>
      <w:r>
        <w:rPr>
          <w:color w:val="auto"/>
          <w:sz w:val="28"/>
          <w:szCs w:val="28"/>
          <w:highlight w:val="none"/>
        </w:rPr>
        <w:fldChar w:fldCharType="separate"/>
      </w:r>
      <w:r>
        <w:rPr>
          <w:color w:val="auto"/>
          <w:sz w:val="28"/>
          <w:szCs w:val="28"/>
          <w:highlight w:val="none"/>
        </w:rPr>
        <w:t>119</w:t>
      </w:r>
      <w:r>
        <w:rPr>
          <w:color w:val="auto"/>
          <w:sz w:val="28"/>
          <w:szCs w:val="28"/>
          <w:highlight w:val="none"/>
        </w:rPr>
        <w:fldChar w:fldCharType="end"/>
      </w:r>
      <w:r>
        <w:rPr>
          <w:color w:val="auto"/>
          <w:sz w:val="28"/>
          <w:szCs w:val="28"/>
          <w:highlight w:val="none"/>
        </w:rPr>
        <w:fldChar w:fldCharType="end"/>
      </w:r>
    </w:p>
    <w:p w14:paraId="60F53E0F">
      <w:pPr>
        <w:pStyle w:val="36"/>
        <w:shd w:val="clear"/>
        <w:spacing w:line="360" w:lineRule="auto"/>
        <w:rPr>
          <w:color w:val="auto"/>
          <w:highlight w:val="none"/>
        </w:rPr>
      </w:pPr>
      <w:r>
        <w:rPr>
          <w:color w:val="auto"/>
          <w:sz w:val="28"/>
          <w:szCs w:val="28"/>
          <w:highlight w:val="none"/>
        </w:rPr>
        <w:fldChar w:fldCharType="end"/>
      </w:r>
    </w:p>
    <w:p w14:paraId="4641ACC7">
      <w:pPr>
        <w:pStyle w:val="34"/>
        <w:shd w:val="clear"/>
        <w:spacing w:line="360" w:lineRule="auto"/>
        <w:jc w:val="center"/>
        <w:outlineLvl w:val="0"/>
        <w:rPr>
          <w:rFonts w:ascii="宋体" w:hAnsi="宋体"/>
          <w:color w:val="auto"/>
          <w:sz w:val="36"/>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3445C909">
      <w:pPr>
        <w:pStyle w:val="35"/>
        <w:shd w:val="clear"/>
        <w:rPr>
          <w:color w:val="auto"/>
          <w:highlight w:val="none"/>
        </w:rPr>
      </w:pPr>
    </w:p>
    <w:p w14:paraId="4045887C">
      <w:pPr>
        <w:pStyle w:val="34"/>
        <w:numPr>
          <w:ilvl w:val="0"/>
          <w:numId w:val="1"/>
        </w:numPr>
        <w:shd w:val="clear"/>
        <w:spacing w:line="360" w:lineRule="auto"/>
        <w:jc w:val="center"/>
        <w:outlineLvl w:val="0"/>
        <w:rPr>
          <w:rFonts w:ascii="宋体" w:hAnsi="宋体"/>
          <w:b/>
          <w:color w:val="auto"/>
          <w:sz w:val="32"/>
          <w:szCs w:val="32"/>
          <w:highlight w:val="none"/>
        </w:rPr>
      </w:pPr>
      <w:bookmarkStart w:id="1" w:name="_Toc12455"/>
      <w:r>
        <w:rPr>
          <w:rFonts w:ascii="宋体" w:hAnsi="宋体"/>
          <w:b/>
          <w:color w:val="auto"/>
          <w:sz w:val="32"/>
          <w:szCs w:val="32"/>
          <w:highlight w:val="none"/>
        </w:rPr>
        <w:t>竞争性磋商公告</w:t>
      </w:r>
      <w:bookmarkEnd w:id="1"/>
    </w:p>
    <w:p w14:paraId="537AB58D">
      <w:pPr>
        <w:pStyle w:val="2"/>
        <w:shd w:val="clear"/>
        <w:spacing w:line="360" w:lineRule="auto"/>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广西崇善项目咨询有限公司</w:t>
      </w:r>
    </w:p>
    <w:p w14:paraId="7225FC1D">
      <w:pPr>
        <w:pStyle w:val="2"/>
        <w:shd w:val="clear"/>
        <w:spacing w:line="360" w:lineRule="auto"/>
        <w:jc w:val="center"/>
        <w:rPr>
          <w:rFonts w:hint="eastAsia" w:ascii="宋体" w:hAnsi="宋体" w:cs="宋体"/>
          <w:color w:val="auto"/>
          <w:sz w:val="28"/>
          <w:szCs w:val="20"/>
          <w:highlight w:val="none"/>
        </w:rPr>
      </w:pPr>
      <w:r>
        <w:rPr>
          <w:rFonts w:hint="eastAsia" w:ascii="宋体" w:hAnsi="宋体" w:cs="宋体"/>
          <w:color w:val="auto"/>
          <w:sz w:val="28"/>
          <w:szCs w:val="20"/>
          <w:highlight w:val="none"/>
          <w:lang w:eastAsia="zh-CN"/>
        </w:rPr>
        <w:t>关于</w:t>
      </w:r>
      <w:bookmarkStart w:id="2" w:name="_Toc24127"/>
      <w:r>
        <w:rPr>
          <w:rFonts w:hint="eastAsia" w:ascii="宋体" w:hAnsi="宋体" w:cs="宋体"/>
          <w:color w:val="auto"/>
          <w:sz w:val="28"/>
          <w:szCs w:val="20"/>
          <w:highlight w:val="none"/>
          <w:lang w:eastAsia="zh-CN"/>
        </w:rPr>
        <w:t>石景林街道卜利村旧村屯排污排水项目（项目编</w:t>
      </w:r>
      <w:r>
        <w:rPr>
          <w:rFonts w:hint="eastAsia" w:ascii="宋体" w:hAnsi="宋体" w:eastAsia="宋体" w:cs="宋体"/>
          <w:color w:val="auto"/>
          <w:sz w:val="28"/>
          <w:szCs w:val="20"/>
          <w:highlight w:val="none"/>
          <w:lang w:eastAsia="zh-CN"/>
        </w:rPr>
        <w:t>号：</w:t>
      </w:r>
      <w:r>
        <w:rPr>
          <w:rFonts w:hint="eastAsia" w:ascii="宋体" w:hAnsi="宋体" w:cs="宋体"/>
          <w:color w:val="auto"/>
          <w:sz w:val="28"/>
          <w:szCs w:val="20"/>
          <w:highlight w:val="none"/>
          <w:lang w:eastAsia="zh-CN"/>
        </w:rPr>
        <w:t>CZZC2026-C2-020035-GXCS）</w:t>
      </w:r>
      <w:bookmarkStart w:id="3" w:name="_Toc22582_WPSOffice_Level1"/>
      <w:r>
        <w:rPr>
          <w:rFonts w:hint="eastAsia" w:ascii="宋体" w:hAnsi="宋体" w:cs="宋体"/>
          <w:color w:val="auto"/>
          <w:sz w:val="28"/>
          <w:szCs w:val="20"/>
          <w:highlight w:val="none"/>
          <w:lang w:eastAsia="zh-CN"/>
        </w:rPr>
        <w:t>竞争性磋商公告</w:t>
      </w:r>
      <w:bookmarkEnd w:id="2"/>
      <w:bookmarkEnd w:id="3"/>
    </w:p>
    <w:p w14:paraId="5E9C5D52">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62E59FF9">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石景林街道卜利村旧村屯排污排水项目</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2026年6月29日15时00分（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6FC332E0">
      <w:pPr>
        <w:shd w:val="clear"/>
        <w:spacing w:line="360" w:lineRule="auto"/>
        <w:rPr>
          <w:b/>
          <w:bCs/>
          <w:color w:val="auto"/>
          <w:sz w:val="21"/>
          <w:szCs w:val="21"/>
          <w:highlight w:val="none"/>
        </w:rPr>
      </w:pPr>
      <w:bookmarkStart w:id="4" w:name="_Toc35393798"/>
      <w:bookmarkStart w:id="5" w:name="_Toc28359012"/>
      <w:bookmarkStart w:id="6" w:name="_Toc28359089"/>
      <w:bookmarkStart w:id="7" w:name="_Toc35393629"/>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4"/>
      <w:bookmarkEnd w:id="5"/>
      <w:bookmarkEnd w:id="6"/>
      <w:bookmarkEnd w:id="7"/>
      <w:r>
        <w:rPr>
          <w:rFonts w:hint="eastAsia"/>
          <w:b/>
          <w:bCs/>
          <w:color w:val="auto"/>
          <w:sz w:val="21"/>
          <w:szCs w:val="21"/>
          <w:highlight w:val="none"/>
        </w:rPr>
        <w:t>：</w:t>
      </w:r>
    </w:p>
    <w:p w14:paraId="6727D4C3">
      <w:pPr>
        <w:shd w:val="clea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color w:val="auto"/>
          <w:sz w:val="21"/>
          <w:szCs w:val="21"/>
          <w:highlight w:val="none"/>
          <w:lang w:eastAsia="zh-CN"/>
        </w:rPr>
        <w:t>CZZC2026-C2-020035-GXCS</w:t>
      </w:r>
    </w:p>
    <w:p w14:paraId="735B84BB">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石景林街道卜利村旧村屯排污排水项目</w:t>
      </w:r>
      <w:r>
        <w:rPr>
          <w:rFonts w:hint="eastAsia"/>
          <w:color w:val="auto"/>
          <w:sz w:val="21"/>
          <w:szCs w:val="21"/>
          <w:highlight w:val="none"/>
        </w:rPr>
        <w:t>。</w:t>
      </w:r>
    </w:p>
    <w:p w14:paraId="671B39FA">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3.采购方式：竞争性磋商。</w:t>
      </w:r>
    </w:p>
    <w:p w14:paraId="16BC1541">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4.采购预算金额：</w:t>
      </w:r>
      <w:r>
        <w:rPr>
          <w:rFonts w:hint="eastAsia" w:ascii="Times New Roman" w:hAnsi="Times New Roman" w:cs="Times New Roman"/>
          <w:bCs w:val="0"/>
          <w:color w:val="auto"/>
          <w:spacing w:val="0"/>
          <w:sz w:val="21"/>
          <w:szCs w:val="21"/>
          <w:highlight w:val="none"/>
          <w:lang w:val="en-US" w:eastAsia="zh-CN" w:bidi="hi-IN"/>
        </w:rPr>
        <w:t>人民币柒拾万零玖拾壹元伍角柒分（¥700091.57）</w:t>
      </w:r>
      <w:r>
        <w:rPr>
          <w:rFonts w:hint="eastAsia" w:ascii="Times New Roman" w:hAnsi="Times New Roman" w:eastAsia="宋体" w:cs="Times New Roman"/>
          <w:bCs w:val="0"/>
          <w:color w:val="auto"/>
          <w:spacing w:val="0"/>
          <w:sz w:val="21"/>
          <w:szCs w:val="21"/>
          <w:highlight w:val="none"/>
          <w:lang w:val="en-US" w:eastAsia="zh-CN" w:bidi="hi-IN"/>
        </w:rPr>
        <w:t>。</w:t>
      </w:r>
    </w:p>
    <w:p w14:paraId="7D054167">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cs="Times New Roman"/>
          <w:bCs w:val="0"/>
          <w:color w:val="auto"/>
          <w:spacing w:val="0"/>
          <w:sz w:val="21"/>
          <w:szCs w:val="21"/>
          <w:highlight w:val="none"/>
          <w:lang w:val="en-US" w:eastAsia="zh-CN" w:bidi="hi-IN"/>
        </w:rPr>
      </w:pPr>
      <w:r>
        <w:rPr>
          <w:rFonts w:hint="eastAsia" w:cs="Times New Roman"/>
          <w:bCs w:val="0"/>
          <w:color w:val="auto"/>
          <w:spacing w:val="0"/>
          <w:sz w:val="21"/>
          <w:szCs w:val="21"/>
          <w:highlight w:val="none"/>
          <w:lang w:val="en-US" w:eastAsia="zh-CN" w:bidi="hi-IN"/>
        </w:rPr>
        <w:t>5.</w:t>
      </w:r>
      <w:r>
        <w:rPr>
          <w:rFonts w:hint="eastAsia" w:ascii="Times New Roman" w:hAnsi="Times New Roman" w:eastAsia="宋体" w:cs="Times New Roman"/>
          <w:bCs w:val="0"/>
          <w:color w:val="auto"/>
          <w:spacing w:val="0"/>
          <w:sz w:val="21"/>
          <w:szCs w:val="21"/>
          <w:highlight w:val="none"/>
          <w:lang w:val="en-US" w:eastAsia="zh-CN" w:bidi="hi-IN"/>
        </w:rPr>
        <w:t>最高限价：</w:t>
      </w:r>
      <w:r>
        <w:rPr>
          <w:rFonts w:hint="eastAsia" w:ascii="Times New Roman" w:hAnsi="Times New Roman" w:cs="Times New Roman"/>
          <w:bCs w:val="0"/>
          <w:color w:val="auto"/>
          <w:spacing w:val="0"/>
          <w:sz w:val="21"/>
          <w:szCs w:val="21"/>
          <w:highlight w:val="none"/>
          <w:lang w:val="en-US" w:eastAsia="zh-CN" w:bidi="hi-IN"/>
        </w:rPr>
        <w:t>人民币柒拾万零玖拾壹元伍角柒分（¥700091.57）。</w:t>
      </w:r>
    </w:p>
    <w:p w14:paraId="2EC1193B">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color w:val="auto"/>
          <w:sz w:val="21"/>
          <w:szCs w:val="21"/>
          <w:highlight w:val="none"/>
          <w:lang w:val="en-US" w:eastAsia="zh-CN"/>
        </w:rPr>
      </w:pPr>
      <w:r>
        <w:rPr>
          <w:rFonts w:hint="eastAsia" w:ascii="Times New Roman" w:hAnsi="Times New Roman" w:cs="Times New Roman"/>
          <w:bCs w:val="0"/>
          <w:color w:val="auto"/>
          <w:spacing w:val="0"/>
          <w:sz w:val="21"/>
          <w:szCs w:val="21"/>
          <w:highlight w:val="none"/>
          <w:lang w:val="en-US" w:eastAsia="zh-CN" w:bidi="hi-IN"/>
        </w:rPr>
        <w:t>6.采购需求：</w:t>
      </w:r>
      <w:r>
        <w:rPr>
          <w:rFonts w:hint="eastAsia"/>
          <w:color w:val="auto"/>
          <w:sz w:val="21"/>
          <w:szCs w:val="21"/>
          <w:highlight w:val="none"/>
          <w:lang w:eastAsia="zh-CN"/>
        </w:rPr>
        <w:t>本项目为卜利村旧村屯排污排水设施建设工程。主要建设内容包括：敷设DN400、DN300、DN200双壁波纹管约2226米，Φ160PVC-U排水管200米；新建Φ700砖砌圆形污水检查井47座；新建有效容积25.5立方米砖砌化粪池1座；以及配套的路面破除与恢复、土方工程、垫层及基础等；具体内容详见施工图纸及工程量清单</w:t>
      </w:r>
      <w:r>
        <w:rPr>
          <w:rFonts w:hint="eastAsia"/>
          <w:color w:val="auto"/>
          <w:sz w:val="21"/>
          <w:szCs w:val="21"/>
          <w:highlight w:val="none"/>
          <w:lang w:val="en-US" w:eastAsia="zh-CN"/>
        </w:rPr>
        <w:t>。</w:t>
      </w:r>
    </w:p>
    <w:p w14:paraId="7A6FA58C">
      <w:pPr>
        <w:keepNext w:val="0"/>
        <w:keepLines w:val="0"/>
        <w:pageBreakBefore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90日历天</w:t>
      </w:r>
      <w:r>
        <w:rPr>
          <w:rFonts w:hint="eastAsia"/>
          <w:color w:val="auto"/>
          <w:sz w:val="21"/>
          <w:szCs w:val="21"/>
          <w:highlight w:val="none"/>
        </w:rPr>
        <w:t>。</w:t>
      </w:r>
    </w:p>
    <w:p w14:paraId="65B41E26">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8.本项目不接受联合体。</w:t>
      </w:r>
    </w:p>
    <w:p w14:paraId="7015BE9C">
      <w:pPr>
        <w:shd w:val="clear"/>
        <w:spacing w:line="360" w:lineRule="auto"/>
        <w:rPr>
          <w:b/>
          <w:bCs/>
          <w:color w:val="auto"/>
          <w:sz w:val="21"/>
          <w:szCs w:val="21"/>
          <w:highlight w:val="none"/>
        </w:rPr>
      </w:pPr>
      <w:bookmarkStart w:id="8" w:name="_Toc28359013"/>
      <w:bookmarkStart w:id="9" w:name="_Toc35393799"/>
      <w:bookmarkStart w:id="10" w:name="_Toc35393630"/>
      <w:bookmarkStart w:id="11" w:name="_Toc28359090"/>
      <w:r>
        <w:rPr>
          <w:rFonts w:hint="eastAsia"/>
          <w:b/>
          <w:bCs/>
          <w:color w:val="auto"/>
          <w:sz w:val="21"/>
          <w:szCs w:val="21"/>
          <w:highlight w:val="none"/>
        </w:rPr>
        <w:t>二、申请人的资格要求：</w:t>
      </w:r>
      <w:bookmarkEnd w:id="8"/>
      <w:bookmarkEnd w:id="9"/>
      <w:bookmarkEnd w:id="10"/>
      <w:bookmarkEnd w:id="11"/>
    </w:p>
    <w:p w14:paraId="660DFD99">
      <w:pPr>
        <w:shd w:val="clear"/>
        <w:spacing w:line="360" w:lineRule="auto"/>
        <w:ind w:firstLine="420" w:firstLineChars="200"/>
        <w:rPr>
          <w:rFonts w:hint="eastAsia"/>
          <w:color w:val="auto"/>
          <w:sz w:val="21"/>
          <w:szCs w:val="21"/>
          <w:highlight w:val="none"/>
        </w:rPr>
      </w:pPr>
      <w:bookmarkStart w:id="12" w:name="_Toc28359091"/>
      <w:bookmarkStart w:id="13" w:name="_Toc28359014"/>
      <w:r>
        <w:rPr>
          <w:rFonts w:hint="eastAsia"/>
          <w:color w:val="auto"/>
          <w:sz w:val="21"/>
          <w:szCs w:val="21"/>
          <w:highlight w:val="none"/>
        </w:rPr>
        <w:t>1.满足《中华人民共和国政府采购法》第二十二条规定；</w:t>
      </w:r>
    </w:p>
    <w:p w14:paraId="2D3690D7">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2203218">
      <w:pPr>
        <w:keepNext w:val="0"/>
        <w:keepLines w:val="0"/>
        <w:pageBreakBefore w:val="0"/>
        <w:shd w:val="clear"/>
        <w:kinsoku/>
        <w:wordWrap/>
        <w:overflowPunct/>
        <w:topLinePunct w:val="0"/>
        <w:autoSpaceDE/>
        <w:autoSpaceDN/>
        <w:bidi w:val="0"/>
        <w:adjustRightInd/>
        <w:spacing w:line="336"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4" w:name="_Toc35393800"/>
      <w:bookmarkStart w:id="15" w:name="_Toc35393631"/>
      <w:r>
        <w:rPr>
          <w:rFonts w:hint="eastAsia" w:cs="Times New Roman"/>
          <w:color w:val="auto"/>
          <w:sz w:val="21"/>
          <w:szCs w:val="21"/>
          <w:highlight w:val="none"/>
          <w:lang w:eastAsia="zh-CN"/>
        </w:rPr>
        <w:t>具备市政公用工程施工总承包三级及以上资质，并在人员、设备、资金等方面具有相应施工能力；拟派驻项目经理须具备市政公用工程专业二级及以上注册建造师执业资格，持有有效的安全生产考核合格证书（B类），</w:t>
      </w:r>
      <w:r>
        <w:rPr>
          <w:rFonts w:hint="eastAsia" w:cs="Times New Roman"/>
          <w:color w:val="auto"/>
          <w:sz w:val="21"/>
          <w:szCs w:val="21"/>
          <w:highlight w:val="none"/>
          <w:lang w:val="en-US" w:eastAsia="zh-CN"/>
        </w:rPr>
        <w:t>且</w:t>
      </w:r>
      <w:r>
        <w:rPr>
          <w:rFonts w:hint="eastAsia" w:cs="Times New Roman"/>
          <w:color w:val="auto"/>
          <w:sz w:val="21"/>
          <w:szCs w:val="21"/>
          <w:highlight w:val="none"/>
          <w:lang w:eastAsia="zh-CN"/>
        </w:rPr>
        <w:t>未担任其他在建</w:t>
      </w:r>
      <w:r>
        <w:rPr>
          <w:rFonts w:hint="eastAsia" w:cs="Times New Roman"/>
          <w:color w:val="auto"/>
          <w:sz w:val="21"/>
          <w:szCs w:val="21"/>
          <w:highlight w:val="none"/>
          <w:lang w:val="en-US" w:eastAsia="zh-CN"/>
        </w:rPr>
        <w:t>或未完工的</w:t>
      </w:r>
      <w:r>
        <w:rPr>
          <w:rFonts w:hint="eastAsia" w:cs="Times New Roman"/>
          <w:color w:val="auto"/>
          <w:sz w:val="21"/>
          <w:szCs w:val="21"/>
          <w:highlight w:val="none"/>
          <w:lang w:eastAsia="zh-CN"/>
        </w:rPr>
        <w:t>建设工程项目的项目经理</w:t>
      </w:r>
      <w:r>
        <w:rPr>
          <w:rFonts w:hint="eastAsia" w:ascii="Times New Roman" w:hAnsi="Times New Roman" w:eastAsia="宋体" w:cs="Times New Roman"/>
          <w:color w:val="auto"/>
          <w:sz w:val="21"/>
          <w:szCs w:val="21"/>
          <w:highlight w:val="none"/>
        </w:rPr>
        <w:t>。</w:t>
      </w:r>
    </w:p>
    <w:p w14:paraId="69D9E996">
      <w:pPr>
        <w:shd w:val="clear"/>
        <w:spacing w:line="360" w:lineRule="auto"/>
        <w:rPr>
          <w:b/>
          <w:bCs/>
          <w:color w:val="auto"/>
          <w:sz w:val="21"/>
          <w:szCs w:val="21"/>
          <w:highlight w:val="none"/>
        </w:rPr>
      </w:pPr>
      <w:r>
        <w:rPr>
          <w:rFonts w:hint="eastAsia"/>
          <w:b/>
          <w:bCs/>
          <w:color w:val="auto"/>
          <w:sz w:val="21"/>
          <w:szCs w:val="21"/>
          <w:highlight w:val="none"/>
        </w:rPr>
        <w:t>三、获取采购文件</w:t>
      </w:r>
      <w:bookmarkEnd w:id="12"/>
      <w:bookmarkEnd w:id="13"/>
      <w:bookmarkEnd w:id="14"/>
      <w:bookmarkEnd w:id="15"/>
    </w:p>
    <w:p w14:paraId="134AB56E">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17</w:t>
      </w:r>
      <w:r>
        <w:rPr>
          <w:rFonts w:hint="eastAsia" w:ascii="宋体" w:hAnsi="宋体" w:cs="宋体"/>
          <w:color w:val="auto"/>
          <w:sz w:val="21"/>
          <w:szCs w:val="21"/>
          <w:highlight w:val="none"/>
          <w:lang w:eastAsia="zh-CN"/>
        </w:rPr>
        <w:t>日起至2026年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lang w:eastAsia="zh-CN"/>
        </w:rPr>
        <w:t>日。</w:t>
      </w:r>
    </w:p>
    <w:p w14:paraId="5D1364C6">
      <w:pPr>
        <w:pageBreakBefore w:val="0"/>
        <w:widowControl w:val="0"/>
        <w:shd w:val="clear"/>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520DD13A">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lang w:eastAsia="zh-CN"/>
        </w:rPr>
        <w:t>供应商登录广西政府采购云平台</w:t>
      </w:r>
      <w:r>
        <w:rPr>
          <w:rFonts w:hint="eastAsia" w:ascii="宋体" w:hAnsi="宋体" w:cs="宋体"/>
          <w:color w:val="auto"/>
          <w:sz w:val="21"/>
          <w:szCs w:val="21"/>
          <w:highlight w:val="none"/>
          <w:lang w:eastAsia="zh-CN"/>
        </w:rPr>
        <w:t>https://www.gcy.zfcg.gxzf.gov.cn</w:t>
      </w:r>
      <w:r>
        <w:rPr>
          <w:rFonts w:hint="eastAsia" w:ascii="宋体" w:hAnsi="宋体" w:eastAsia="宋体" w:cs="宋体"/>
          <w:color w:val="auto"/>
          <w:sz w:val="21"/>
          <w:szCs w:val="21"/>
          <w:highlight w:val="none"/>
          <w:lang w:eastAsia="zh-CN"/>
        </w:rPr>
        <w:t>/在线申请获取采购文件（进入“项目采购”应用，在获取采购文件菜单中选择项目，申请获取采购文件），如在操作过程中遇到问题或者需要技术支持，请致电政采云客服热线：95763。</w:t>
      </w:r>
    </w:p>
    <w:p w14:paraId="4DBDA2D0">
      <w:pPr>
        <w:shd w:val="clear"/>
        <w:spacing w:line="360" w:lineRule="auto"/>
        <w:rPr>
          <w:rFonts w:hint="eastAsia"/>
          <w:b/>
          <w:bCs/>
          <w:color w:val="auto"/>
          <w:sz w:val="21"/>
          <w:szCs w:val="21"/>
          <w:highlight w:val="none"/>
        </w:rPr>
      </w:pPr>
      <w:bookmarkStart w:id="16" w:name="_Toc28359092"/>
      <w:bookmarkStart w:id="17" w:name="_Toc35393632"/>
      <w:bookmarkStart w:id="18" w:name="_Toc28359015"/>
      <w:bookmarkStart w:id="19" w:name="_Toc35393801"/>
      <w:r>
        <w:rPr>
          <w:rFonts w:hint="eastAsia"/>
          <w:b/>
          <w:bCs/>
          <w:color w:val="auto"/>
          <w:sz w:val="21"/>
          <w:szCs w:val="21"/>
          <w:highlight w:val="none"/>
        </w:rPr>
        <w:t>四、响应文件提交</w:t>
      </w:r>
      <w:bookmarkEnd w:id="16"/>
      <w:bookmarkEnd w:id="17"/>
      <w:bookmarkEnd w:id="18"/>
      <w:bookmarkEnd w:id="19"/>
      <w:r>
        <w:rPr>
          <w:rFonts w:hint="eastAsia"/>
          <w:b/>
          <w:bCs/>
          <w:color w:val="auto"/>
          <w:sz w:val="21"/>
          <w:szCs w:val="21"/>
          <w:highlight w:val="none"/>
        </w:rPr>
        <w:t>：</w:t>
      </w:r>
    </w:p>
    <w:p w14:paraId="4A79E2AA">
      <w:pPr>
        <w:shd w:val="clear"/>
        <w:spacing w:line="360" w:lineRule="auto"/>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2026年6月29日15时00分</w:t>
      </w:r>
      <w:r>
        <w:rPr>
          <w:rFonts w:hint="eastAsia"/>
          <w:color w:val="auto"/>
          <w:sz w:val="21"/>
          <w:szCs w:val="21"/>
          <w:highlight w:val="none"/>
        </w:rPr>
        <w:t>（北京时间）</w:t>
      </w:r>
    </w:p>
    <w:p w14:paraId="431496CD">
      <w:pPr>
        <w:shd w:val="clear"/>
        <w:spacing w:line="360" w:lineRule="auto"/>
        <w:rPr>
          <w:rFonts w:hint="eastAsia" w:ascii="宋体" w:hAnsi="宋体" w:cs="宋体"/>
          <w:color w:val="auto"/>
          <w:sz w:val="21"/>
          <w:szCs w:val="21"/>
          <w:highlight w:val="none"/>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0D405EC4">
      <w:pPr>
        <w:numPr>
          <w:ilvl w:val="0"/>
          <w:numId w:val="0"/>
        </w:numPr>
        <w:shd w:val="clear"/>
        <w:spacing w:line="360" w:lineRule="auto"/>
        <w:rPr>
          <w:rFonts w:hint="eastAsia"/>
          <w:color w:val="auto"/>
          <w:sz w:val="21"/>
          <w:szCs w:val="21"/>
          <w:highlight w:val="none"/>
        </w:rPr>
      </w:pPr>
      <w:bookmarkStart w:id="20" w:name="_Toc28359016"/>
      <w:bookmarkStart w:id="21" w:name="_Toc28359093"/>
      <w:bookmarkStart w:id="22" w:name="_Toc35393802"/>
      <w:bookmarkStart w:id="23" w:name="_Toc35393633"/>
      <w:r>
        <w:rPr>
          <w:rFonts w:hint="eastAsia"/>
          <w:b/>
          <w:bCs/>
          <w:color w:val="auto"/>
          <w:sz w:val="21"/>
          <w:szCs w:val="21"/>
          <w:highlight w:val="none"/>
          <w:lang w:eastAsia="zh-CN"/>
        </w:rPr>
        <w:t>五、</w:t>
      </w:r>
      <w:r>
        <w:rPr>
          <w:rFonts w:hint="eastAsia"/>
          <w:b/>
          <w:bCs/>
          <w:color w:val="auto"/>
          <w:sz w:val="21"/>
          <w:szCs w:val="21"/>
          <w:highlight w:val="none"/>
        </w:rPr>
        <w:t>开启</w:t>
      </w:r>
      <w:bookmarkEnd w:id="20"/>
      <w:bookmarkEnd w:id="21"/>
      <w:bookmarkEnd w:id="22"/>
      <w:bookmarkEnd w:id="23"/>
      <w:r>
        <w:rPr>
          <w:rFonts w:hint="eastAsia"/>
          <w:b/>
          <w:bCs/>
          <w:color w:val="auto"/>
          <w:sz w:val="21"/>
          <w:szCs w:val="21"/>
          <w:highlight w:val="none"/>
        </w:rPr>
        <w:t>：</w:t>
      </w: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2026年6月29日15时00分</w:t>
      </w:r>
      <w:r>
        <w:rPr>
          <w:rFonts w:hint="eastAsia"/>
          <w:color w:val="auto"/>
          <w:sz w:val="21"/>
          <w:szCs w:val="21"/>
          <w:highlight w:val="none"/>
        </w:rPr>
        <w:t>（北京时间）</w:t>
      </w:r>
    </w:p>
    <w:p w14:paraId="687DAF4F">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地址：</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广西崇善项目咨询有限公司</w:t>
      </w:r>
      <w:r>
        <w:rPr>
          <w:rFonts w:hint="eastAsia" w:ascii="Times New Roman" w:hAnsi="Times New Roman" w:eastAsia="宋体" w:cs="Times New Roman"/>
          <w:color w:val="auto"/>
          <w:sz w:val="21"/>
          <w:szCs w:val="21"/>
          <w:highlight w:val="none"/>
        </w:rPr>
        <w:t>【</w:t>
      </w:r>
      <w:r>
        <w:rPr>
          <w:rFonts w:hint="eastAsia" w:ascii="宋体" w:hAnsi="宋体" w:cs="宋体"/>
          <w:color w:val="auto"/>
          <w:sz w:val="21"/>
          <w:szCs w:val="21"/>
          <w:highlight w:val="none"/>
          <w:lang w:eastAsia="zh-CN"/>
        </w:rPr>
        <w:t>崇左市江州区城南区新城路西段南侧（阳光名邸）第C4栋103号</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副会场在百色市右江区新兴路体育广场“恒升酒店”19楼</w:t>
      </w:r>
      <w:r>
        <w:rPr>
          <w:rFonts w:hint="eastAsia" w:ascii="宋体" w:hAnsi="宋体" w:cs="宋体"/>
          <w:color w:val="auto"/>
          <w:sz w:val="21"/>
          <w:szCs w:val="21"/>
          <w:highlight w:val="none"/>
          <w:lang w:eastAsia="zh-CN"/>
        </w:rPr>
        <w:t>。</w:t>
      </w:r>
    </w:p>
    <w:p w14:paraId="232547B7">
      <w:pPr>
        <w:shd w:val="clear"/>
        <w:spacing w:line="360" w:lineRule="auto"/>
        <w:rPr>
          <w:color w:val="auto"/>
          <w:sz w:val="21"/>
          <w:szCs w:val="21"/>
          <w:highlight w:val="none"/>
        </w:rPr>
      </w:pPr>
      <w:bookmarkStart w:id="24" w:name="_Toc35393803"/>
      <w:bookmarkStart w:id="25" w:name="_Toc28359094"/>
      <w:bookmarkStart w:id="26" w:name="_Toc28359017"/>
      <w:bookmarkStart w:id="27" w:name="_Toc35393634"/>
      <w:r>
        <w:rPr>
          <w:rFonts w:hint="eastAsia"/>
          <w:b/>
          <w:bCs/>
          <w:color w:val="auto"/>
          <w:sz w:val="21"/>
          <w:szCs w:val="21"/>
          <w:highlight w:val="none"/>
        </w:rPr>
        <w:t>六、公告期限</w:t>
      </w:r>
      <w:bookmarkEnd w:id="24"/>
      <w:bookmarkEnd w:id="25"/>
      <w:bookmarkEnd w:id="26"/>
      <w:bookmarkEnd w:id="27"/>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6F4AE925">
      <w:pPr>
        <w:shd w:val="clear"/>
        <w:spacing w:line="360" w:lineRule="auto"/>
        <w:rPr>
          <w:rFonts w:hint="eastAsia"/>
          <w:b/>
          <w:bCs/>
          <w:color w:val="auto"/>
          <w:sz w:val="21"/>
          <w:szCs w:val="21"/>
          <w:highlight w:val="none"/>
        </w:rPr>
      </w:pPr>
      <w:bookmarkStart w:id="28" w:name="_Toc35393635"/>
      <w:bookmarkStart w:id="29" w:name="_Toc35393804"/>
      <w:r>
        <w:rPr>
          <w:rFonts w:hint="eastAsia"/>
          <w:b/>
          <w:bCs/>
          <w:color w:val="auto"/>
          <w:sz w:val="21"/>
          <w:szCs w:val="21"/>
          <w:highlight w:val="none"/>
        </w:rPr>
        <w:t>七、其他补充事宜</w:t>
      </w:r>
      <w:bookmarkEnd w:id="28"/>
      <w:bookmarkEnd w:id="29"/>
      <w:r>
        <w:rPr>
          <w:rFonts w:hint="eastAsia"/>
          <w:b/>
          <w:bCs/>
          <w:color w:val="auto"/>
          <w:sz w:val="21"/>
          <w:szCs w:val="21"/>
          <w:highlight w:val="none"/>
        </w:rPr>
        <w:t>：</w:t>
      </w:r>
    </w:p>
    <w:p w14:paraId="42F6928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0" w:name="_Toc35393636"/>
      <w:bookmarkStart w:id="31" w:name="_Toc35393805"/>
      <w:bookmarkStart w:id="32" w:name="_Toc28359018"/>
      <w:bookmarkStart w:id="33" w:name="_Toc28359095"/>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519579D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ascii="宋体" w:hAnsi="宋体" w:cs="宋体"/>
          <w:color w:val="auto"/>
          <w:sz w:val="21"/>
          <w:szCs w:val="21"/>
          <w:highlight w:val="none"/>
        </w:rPr>
        <w:t>(www.creditchina.gov.cn)</w:t>
      </w:r>
      <w:r>
        <w:rPr>
          <w:rFonts w:hint="eastAsia" w:ascii="宋体" w:hAnsi="宋体" w:cs="宋体"/>
          <w:color w:val="auto"/>
          <w:sz w:val="21"/>
          <w:szCs w:val="21"/>
          <w:highlight w:val="none"/>
        </w:rPr>
        <w:t>、中国政府采购网</w:t>
      </w:r>
      <w:r>
        <w:rPr>
          <w:rFonts w:ascii="宋体" w:hAnsi="宋体" w:cs="宋体"/>
          <w:color w:val="auto"/>
          <w:sz w:val="21"/>
          <w:szCs w:val="21"/>
          <w:highlight w:val="none"/>
        </w:rPr>
        <w:t>(www.ccgp.gov.cn)</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629612D5">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6AFF33CB">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p>
    <w:p w14:paraId="681DBDA7">
      <w:pPr>
        <w:keepNext w:val="0"/>
        <w:keepLines w:val="0"/>
        <w:pageBreakBefore w:val="0"/>
        <w:shd w:val="clear"/>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1DF0F9B0">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0E5CC8A0">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需要缴纳磋商保证金。</w:t>
      </w:r>
    </w:p>
    <w:p w14:paraId="3CDA74B6">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w:t>
      </w:r>
      <w:r>
        <w:rPr>
          <w:rFonts w:hint="eastAsia" w:ascii="宋体" w:hAnsi="宋体" w:eastAsia="宋体" w:cs="宋体"/>
          <w:color w:val="auto"/>
          <w:kern w:val="0"/>
          <w:sz w:val="21"/>
          <w:szCs w:val="21"/>
          <w:highlight w:val="none"/>
          <w:lang w:eastAsia="zh-CN"/>
        </w:rPr>
        <w:t>按照</w:t>
      </w:r>
      <w:r>
        <w:rPr>
          <w:rFonts w:hint="eastAsia" w:ascii="宋体" w:hAnsi="宋体" w:eastAsia="宋体" w:cs="宋体"/>
          <w:color w:val="auto"/>
          <w:kern w:val="0"/>
          <w:sz w:val="21"/>
          <w:szCs w:val="21"/>
          <w:highlight w:val="none"/>
          <w:lang w:val="en-US" w:eastAsia="zh-CN"/>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w:t>
      </w:r>
      <w:r>
        <w:rPr>
          <w:rFonts w:hint="eastAsia" w:ascii="宋体" w:hAnsi="宋体" w:cs="宋体"/>
          <w:color w:val="auto"/>
          <w:kern w:val="0"/>
          <w:sz w:val="21"/>
          <w:szCs w:val="21"/>
          <w:highlight w:val="none"/>
          <w:lang w:val="en-US" w:eastAsia="zh-CN"/>
        </w:rPr>
        <w:t>其</w:t>
      </w:r>
      <w:r>
        <w:rPr>
          <w:rFonts w:hint="eastAsia" w:ascii="宋体" w:hAnsi="宋体" w:eastAsia="宋体" w:cs="宋体"/>
          <w:color w:val="auto"/>
          <w:kern w:val="0"/>
          <w:sz w:val="21"/>
          <w:szCs w:val="21"/>
          <w:highlight w:val="none"/>
          <w:lang w:val="en-US" w:eastAsia="zh-CN"/>
        </w:rPr>
        <w:t>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2A4FB6F9">
      <w:pPr>
        <w:pStyle w:val="31"/>
        <w:keepNext w:val="0"/>
        <w:keepLines w:val="0"/>
        <w:pageBreakBefore w:val="0"/>
        <w:numPr>
          <w:ilvl w:val="0"/>
          <w:numId w:val="0"/>
        </w:numPr>
        <w:shd w:val="clear"/>
        <w:kinsoku/>
        <w:wordWrap/>
        <w:overflowPunct/>
        <w:topLinePunct w:val="0"/>
        <w:autoSpaceDE/>
        <w:autoSpaceDN/>
        <w:bidi w:val="0"/>
        <w:adjustRightInd/>
        <w:spacing w:line="348" w:lineRule="auto"/>
        <w:ind w:left="0" w:leftChars="0" w:firstLine="46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9.</w:t>
      </w:r>
      <w:r>
        <w:rPr>
          <w:rFonts w:hint="eastAsia" w:ascii="宋体" w:hAnsi="宋体" w:cs="宋体"/>
          <w:color w:val="auto"/>
          <w:sz w:val="21"/>
          <w:szCs w:val="21"/>
          <w:highlight w:val="none"/>
          <w:lang w:val="en-US" w:eastAsia="zh-CN"/>
        </w:rPr>
        <w:t>监督部门：</w:t>
      </w:r>
      <w:r>
        <w:rPr>
          <w:rFonts w:hint="eastAsia" w:hAnsi="宋体" w:cs="宋体"/>
          <w:color w:val="auto"/>
          <w:sz w:val="21"/>
          <w:szCs w:val="21"/>
          <w:highlight w:val="none"/>
          <w:lang w:val="en-US" w:eastAsia="zh-CN"/>
        </w:rPr>
        <w:t>崇左市江州区</w:t>
      </w:r>
      <w:r>
        <w:rPr>
          <w:rFonts w:hint="eastAsia" w:ascii="宋体" w:hAnsi="宋体" w:cs="宋体"/>
          <w:color w:val="auto"/>
          <w:sz w:val="21"/>
          <w:szCs w:val="21"/>
          <w:highlight w:val="none"/>
          <w:lang w:eastAsia="zh-CN"/>
        </w:rPr>
        <w:t>财政局政府采购监督管理</w:t>
      </w:r>
      <w:r>
        <w:rPr>
          <w:rFonts w:hint="eastAsia" w:hAnsi="宋体" w:cs="宋体"/>
          <w:color w:val="auto"/>
          <w:sz w:val="21"/>
          <w:szCs w:val="21"/>
          <w:highlight w:val="none"/>
          <w:lang w:val="en-US" w:eastAsia="zh-CN"/>
        </w:rPr>
        <w:t>股</w:t>
      </w:r>
      <w:r>
        <w:rPr>
          <w:rFonts w:hint="eastAsia" w:ascii="宋体" w:hAnsi="宋体" w:cs="宋体"/>
          <w:color w:val="auto"/>
          <w:sz w:val="21"/>
          <w:szCs w:val="21"/>
          <w:highlight w:val="none"/>
          <w:lang w:val="en-US" w:eastAsia="zh-CN"/>
        </w:rPr>
        <w:t>电话：</w:t>
      </w:r>
      <w:r>
        <w:rPr>
          <w:rFonts w:hint="eastAsia" w:ascii="宋体" w:hAnsi="宋体" w:cs="宋体"/>
          <w:color w:val="auto"/>
          <w:sz w:val="21"/>
          <w:szCs w:val="21"/>
          <w:highlight w:val="none"/>
          <w:lang w:eastAsia="zh-CN"/>
        </w:rPr>
        <w:t>0771-</w:t>
      </w:r>
      <w:r>
        <w:rPr>
          <w:rFonts w:hint="eastAsia" w:hAnsi="宋体" w:cs="宋体"/>
          <w:color w:val="auto"/>
          <w:sz w:val="21"/>
          <w:szCs w:val="21"/>
          <w:highlight w:val="none"/>
          <w:lang w:eastAsia="zh-CN"/>
        </w:rPr>
        <w:t>7829899</w:t>
      </w:r>
      <w:r>
        <w:rPr>
          <w:rFonts w:hint="eastAsia" w:ascii="宋体" w:hAnsi="宋体" w:cs="宋体"/>
          <w:color w:val="auto"/>
          <w:sz w:val="21"/>
          <w:szCs w:val="21"/>
          <w:highlight w:val="none"/>
          <w:lang w:eastAsia="zh-CN"/>
        </w:rPr>
        <w:t> </w:t>
      </w:r>
    </w:p>
    <w:p w14:paraId="46FE1724">
      <w:pPr>
        <w:shd w:val="clea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0"/>
      <w:bookmarkEnd w:id="31"/>
      <w:bookmarkEnd w:id="32"/>
      <w:bookmarkEnd w:id="33"/>
    </w:p>
    <w:p w14:paraId="58EB4A5E">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bookmarkStart w:id="34" w:name="_Toc2920_WPSOffice_Level1"/>
      <w:bookmarkStart w:id="35" w:name="_Toc28812_WPSOffice_Level1"/>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eastAsia="zh-CN"/>
        </w:rPr>
        <w:t>采购人信息</w:t>
      </w:r>
    </w:p>
    <w:p w14:paraId="2789627B">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eastAsia="zh-CN"/>
        </w:rPr>
        <w:t>称：</w:t>
      </w:r>
      <w:bookmarkEnd w:id="34"/>
      <w:bookmarkEnd w:id="35"/>
      <w:r>
        <w:rPr>
          <w:rFonts w:hint="eastAsia" w:ascii="宋体" w:hAnsi="宋体" w:cs="宋体"/>
          <w:color w:val="auto"/>
          <w:sz w:val="21"/>
          <w:szCs w:val="21"/>
          <w:highlight w:val="none"/>
          <w:lang w:eastAsia="zh-CN"/>
        </w:rPr>
        <w:t>崇左市江州区石景林街道办事处</w:t>
      </w:r>
    </w:p>
    <w:p w14:paraId="5B5668C8">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地址：</w:t>
      </w:r>
      <w:r>
        <w:rPr>
          <w:rFonts w:hint="eastAsia" w:ascii="宋体" w:hAnsi="宋体" w:cs="宋体"/>
          <w:i w:val="0"/>
          <w:iCs w:val="0"/>
          <w:caps w:val="0"/>
          <w:color w:val="000000"/>
          <w:spacing w:val="0"/>
          <w:sz w:val="21"/>
          <w:szCs w:val="21"/>
          <w:lang w:eastAsia="zh-CN"/>
        </w:rPr>
        <w:t>崇左市江州区新城区花山路佛子新园旁（友谊社区党群服务活动中心）</w:t>
      </w:r>
    </w:p>
    <w:p w14:paraId="1580DF59">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黄德臻</w:t>
      </w:r>
    </w:p>
    <w:p w14:paraId="446F3112">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项目联系方式：</w:t>
      </w:r>
      <w:r>
        <w:rPr>
          <w:rFonts w:hint="eastAsia" w:ascii="宋体" w:hAnsi="宋体" w:cs="宋体"/>
          <w:i w:val="0"/>
          <w:iCs w:val="0"/>
          <w:caps w:val="0"/>
          <w:color w:val="000000"/>
          <w:spacing w:val="0"/>
          <w:sz w:val="21"/>
          <w:szCs w:val="21"/>
          <w:lang w:eastAsia="zh-CN"/>
        </w:rPr>
        <w:t>0771-7968863</w:t>
      </w:r>
    </w:p>
    <w:p w14:paraId="3C079D07">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2.采购代理机构信息</w:t>
      </w:r>
    </w:p>
    <w:p w14:paraId="72C0D334">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bookmarkStart w:id="36" w:name="_Toc28359087"/>
      <w:bookmarkStart w:id="37" w:name="_Toc28359010"/>
      <w:r>
        <w:rPr>
          <w:rFonts w:hint="eastAsia" w:ascii="宋体" w:hAnsi="宋体" w:cs="宋体"/>
          <w:color w:val="auto"/>
          <w:sz w:val="21"/>
          <w:szCs w:val="21"/>
          <w:highlight w:val="none"/>
          <w:lang w:eastAsia="zh-CN"/>
        </w:rPr>
        <w:t>广西崇善项目咨询有限公司</w:t>
      </w:r>
    </w:p>
    <w:p w14:paraId="5169380F">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r>
        <w:rPr>
          <w:rFonts w:hint="eastAsia" w:ascii="宋体" w:hAnsi="宋体" w:cs="宋体"/>
          <w:color w:val="auto"/>
          <w:sz w:val="21"/>
          <w:szCs w:val="21"/>
          <w:highlight w:val="none"/>
          <w:lang w:eastAsia="zh-CN"/>
        </w:rPr>
        <w:t>崇左市江州区城南区新城路西段南侧（阳光名邸）第C4栋103号房</w:t>
      </w:r>
    </w:p>
    <w:p w14:paraId="53D4B50F">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7B494AA">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r>
        <w:rPr>
          <w:rFonts w:hint="eastAsia" w:ascii="宋体" w:hAnsi="宋体" w:eastAsia="宋体" w:cs="宋体"/>
          <w:color w:val="auto"/>
          <w:sz w:val="21"/>
          <w:szCs w:val="21"/>
          <w:highlight w:val="none"/>
          <w:lang w:eastAsia="zh-CN"/>
        </w:rPr>
        <w:t>　　　　　</w:t>
      </w:r>
    </w:p>
    <w:p w14:paraId="1E2DEB45">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bookmarkStart w:id="38" w:name="_Toc17394"/>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项目联系方式</w:t>
      </w:r>
      <w:bookmarkEnd w:id="36"/>
      <w:bookmarkEnd w:id="37"/>
      <w:r>
        <w:rPr>
          <w:rFonts w:hint="eastAsia" w:ascii="宋体" w:hAnsi="宋体" w:eastAsia="宋体" w:cs="宋体"/>
          <w:color w:val="auto"/>
          <w:sz w:val="21"/>
          <w:szCs w:val="21"/>
          <w:highlight w:val="none"/>
          <w:lang w:eastAsia="zh-CN"/>
        </w:rPr>
        <w:t>：</w:t>
      </w:r>
      <w:bookmarkEnd w:id="38"/>
    </w:p>
    <w:p w14:paraId="622EB3F0">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25B62356">
      <w:pPr>
        <w:keepNext w:val="0"/>
        <w:keepLines w:val="0"/>
        <w:pageBreakBefore w:val="0"/>
        <w:shd w:val="clear"/>
        <w:kinsoku/>
        <w:wordWrap/>
        <w:overflowPunct/>
        <w:topLinePunct w:val="0"/>
        <w:autoSpaceDE/>
        <w:autoSpaceDN/>
        <w:bidi w:val="0"/>
        <w:adjustRightInd/>
        <w:spacing w:line="348"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p>
    <w:p w14:paraId="17C8E1EE">
      <w:pPr>
        <w:pStyle w:val="31"/>
        <w:keepNext w:val="0"/>
        <w:keepLines w:val="0"/>
        <w:pageBreakBefore w:val="0"/>
        <w:numPr>
          <w:ilvl w:val="0"/>
          <w:numId w:val="0"/>
        </w:numPr>
        <w:shd w:val="clear"/>
        <w:kinsoku/>
        <w:wordWrap/>
        <w:overflowPunct/>
        <w:topLinePunct w:val="0"/>
        <w:autoSpaceDE/>
        <w:autoSpaceDN/>
        <w:bidi w:val="0"/>
        <w:adjustRightInd/>
        <w:spacing w:line="348" w:lineRule="auto"/>
        <w:ind w:leftChars="0"/>
        <w:textAlignment w:val="auto"/>
        <w:rPr>
          <w:rFonts w:hint="eastAsia" w:ascii="宋体" w:hAnsi="宋体" w:cs="宋体"/>
          <w:color w:val="auto"/>
          <w:sz w:val="21"/>
          <w:szCs w:val="21"/>
          <w:highlight w:val="none"/>
          <w:lang w:val="en-US" w:eastAsia="zh-CN"/>
        </w:rPr>
      </w:pPr>
    </w:p>
    <w:p w14:paraId="0C40B87B">
      <w:pPr>
        <w:shd w:val="clear"/>
        <w:spacing w:line="360" w:lineRule="auto"/>
        <w:rPr>
          <w:rFonts w:ascii="宋体" w:hAnsi="宋体" w:cs="宋体"/>
          <w:color w:val="auto"/>
          <w:sz w:val="21"/>
          <w:szCs w:val="21"/>
          <w:highlight w:val="none"/>
        </w:rPr>
      </w:pPr>
      <w:r>
        <w:rPr>
          <w:rFonts w:hint="eastAsia"/>
          <w:color w:val="auto"/>
          <w:sz w:val="21"/>
          <w:szCs w:val="21"/>
          <w:highlight w:val="none"/>
        </w:rPr>
        <w:t>　　　　　　　</w:t>
      </w:r>
      <w:r>
        <w:rPr>
          <w:rFonts w:hint="eastAsia"/>
          <w:color w:val="auto"/>
          <w:sz w:val="21"/>
          <w:szCs w:val="21"/>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崇左市江州区石景林街道办事处</w:t>
      </w:r>
    </w:p>
    <w:p w14:paraId="53622448">
      <w:pPr>
        <w:shd w:val="clear"/>
        <w:spacing w:line="360" w:lineRule="auto"/>
        <w:ind w:firstLine="4200" w:firstLineChars="200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广西崇善项目咨询有限公司</w:t>
      </w:r>
    </w:p>
    <w:p w14:paraId="5324D6A1">
      <w:pPr>
        <w:shd w:val="clear"/>
        <w:spacing w:line="360" w:lineRule="auto"/>
        <w:ind w:firstLine="4200" w:firstLineChars="20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日期：2026年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17</w:t>
      </w:r>
      <w:r>
        <w:rPr>
          <w:rFonts w:hint="eastAsia" w:ascii="宋体" w:hAnsi="宋体" w:cs="宋体"/>
          <w:color w:val="auto"/>
          <w:sz w:val="21"/>
          <w:szCs w:val="21"/>
          <w:highlight w:val="none"/>
          <w:lang w:eastAsia="zh-CN"/>
        </w:rPr>
        <w:t>日</w:t>
      </w:r>
    </w:p>
    <w:p w14:paraId="6540D802">
      <w:pPr>
        <w:pStyle w:val="35"/>
        <w:shd w:val="clear"/>
        <w:rPr>
          <w:color w:val="auto"/>
          <w:highlight w:val="none"/>
        </w:rPr>
      </w:pPr>
    </w:p>
    <w:p w14:paraId="420E53D2">
      <w:pPr>
        <w:pStyle w:val="34"/>
        <w:shd w:val="clear"/>
        <w:rPr>
          <w:color w:val="auto"/>
          <w:highlight w:val="none"/>
        </w:rPr>
      </w:pPr>
    </w:p>
    <w:p w14:paraId="3E876AE0">
      <w:pPr>
        <w:pStyle w:val="35"/>
        <w:rPr>
          <w:color w:val="auto"/>
          <w:highlight w:val="none"/>
        </w:rPr>
      </w:pPr>
    </w:p>
    <w:p w14:paraId="27093E00">
      <w:pPr>
        <w:pStyle w:val="34"/>
        <w:rPr>
          <w:color w:val="auto"/>
          <w:highlight w:val="none"/>
        </w:rPr>
      </w:pPr>
    </w:p>
    <w:p w14:paraId="29DFF2EC">
      <w:pPr>
        <w:pStyle w:val="35"/>
        <w:rPr>
          <w:color w:val="auto"/>
          <w:highlight w:val="none"/>
        </w:rPr>
      </w:pPr>
    </w:p>
    <w:p w14:paraId="687D64DF">
      <w:pPr>
        <w:pStyle w:val="34"/>
        <w:rPr>
          <w:color w:val="auto"/>
          <w:highlight w:val="none"/>
        </w:rPr>
      </w:pPr>
    </w:p>
    <w:p w14:paraId="001EB6DA">
      <w:pPr>
        <w:pStyle w:val="35"/>
      </w:pPr>
    </w:p>
    <w:p w14:paraId="4D602B45">
      <w:pPr>
        <w:pStyle w:val="34"/>
      </w:pPr>
    </w:p>
    <w:p w14:paraId="73D33015">
      <w:pPr>
        <w:pStyle w:val="35"/>
      </w:pPr>
    </w:p>
    <w:p w14:paraId="64C70E3B">
      <w:pPr>
        <w:pStyle w:val="34"/>
      </w:pPr>
    </w:p>
    <w:p w14:paraId="42009C82">
      <w:pPr>
        <w:pStyle w:val="35"/>
      </w:pPr>
    </w:p>
    <w:p w14:paraId="6FBA48CE">
      <w:pPr>
        <w:pStyle w:val="35"/>
      </w:pPr>
    </w:p>
    <w:p w14:paraId="1FD507E5">
      <w:pPr>
        <w:pStyle w:val="34"/>
      </w:pPr>
    </w:p>
    <w:p w14:paraId="4B58C1D9">
      <w:pPr>
        <w:pStyle w:val="35"/>
      </w:pPr>
    </w:p>
    <w:p w14:paraId="4B63F295">
      <w:pPr>
        <w:pStyle w:val="35"/>
      </w:pPr>
    </w:p>
    <w:p w14:paraId="25F89822">
      <w:pPr>
        <w:pStyle w:val="34"/>
        <w:rPr>
          <w:color w:val="auto"/>
          <w:highlight w:val="none"/>
        </w:rPr>
      </w:pPr>
    </w:p>
    <w:p w14:paraId="64E7FB6D">
      <w:pPr>
        <w:pStyle w:val="34"/>
        <w:rPr>
          <w:color w:val="auto"/>
          <w:highlight w:val="none"/>
        </w:rPr>
      </w:pPr>
    </w:p>
    <w:p w14:paraId="66F08E52">
      <w:pPr>
        <w:pStyle w:val="34"/>
        <w:rPr>
          <w:highlight w:val="none"/>
        </w:rPr>
      </w:pPr>
    </w:p>
    <w:p w14:paraId="7E45353E">
      <w:pPr>
        <w:pStyle w:val="34"/>
        <w:shd w:val="clear"/>
        <w:spacing w:line="360" w:lineRule="auto"/>
        <w:jc w:val="center"/>
        <w:outlineLvl w:val="0"/>
        <w:rPr>
          <w:color w:val="auto"/>
          <w:highlight w:val="none"/>
        </w:rPr>
      </w:pPr>
      <w:bookmarkStart w:id="39" w:name="_Toc7350"/>
      <w:r>
        <w:rPr>
          <w:rFonts w:ascii="宋体" w:hAnsi="宋体"/>
          <w:b/>
          <w:color w:val="auto"/>
          <w:sz w:val="32"/>
          <w:szCs w:val="32"/>
          <w:highlight w:val="none"/>
        </w:rPr>
        <w:t>第二章供应商须知</w:t>
      </w:r>
      <w:bookmarkEnd w:id="39"/>
    </w:p>
    <w:p w14:paraId="59E3E02F">
      <w:pPr>
        <w:pStyle w:val="34"/>
        <w:shd w:val="clear"/>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1C8FEBD3">
      <w:pPr>
        <w:pStyle w:val="34"/>
        <w:shd w:val="clear"/>
        <w:rPr>
          <w:color w:val="auto"/>
          <w:highlight w:val="none"/>
        </w:rPr>
      </w:pPr>
    </w:p>
    <w:tbl>
      <w:tblPr>
        <w:tblStyle w:val="24"/>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33"/>
        <w:gridCol w:w="6309"/>
        <w:gridCol w:w="11"/>
      </w:tblGrid>
      <w:tr w14:paraId="792A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1D674FF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vAlign w:val="center"/>
          </w:tcPr>
          <w:p w14:paraId="6A9F188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30076E3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46AA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85" w:hRule="exact"/>
          <w:jc w:val="center"/>
        </w:trPr>
        <w:tc>
          <w:tcPr>
            <w:tcW w:w="644" w:type="dxa"/>
            <w:vAlign w:val="center"/>
          </w:tcPr>
          <w:p w14:paraId="2846131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w:t>
            </w:r>
          </w:p>
        </w:tc>
        <w:tc>
          <w:tcPr>
            <w:tcW w:w="1833" w:type="dxa"/>
            <w:vAlign w:val="center"/>
          </w:tcPr>
          <w:p w14:paraId="07450FE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项目</w:t>
            </w:r>
            <w:r>
              <w:rPr>
                <w:rFonts w:hint="eastAsia" w:ascii="宋体" w:hAnsi="宋体" w:cs="宋体"/>
                <w:b/>
                <w:bCs/>
                <w:color w:val="auto"/>
                <w:kern w:val="0"/>
                <w:sz w:val="21"/>
                <w:szCs w:val="21"/>
                <w:highlight w:val="none"/>
              </w:rPr>
              <w:t>名称及编号</w:t>
            </w:r>
          </w:p>
        </w:tc>
        <w:tc>
          <w:tcPr>
            <w:tcW w:w="6320" w:type="dxa"/>
            <w:gridSpan w:val="2"/>
            <w:vAlign w:val="center"/>
          </w:tcPr>
          <w:p w14:paraId="02FF5E6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项目名称：</w:t>
            </w:r>
            <w:r>
              <w:rPr>
                <w:rFonts w:hint="eastAsia" w:ascii="宋体" w:hAnsi="宋体" w:cs="宋体"/>
                <w:color w:val="auto"/>
                <w:sz w:val="21"/>
                <w:szCs w:val="21"/>
                <w:highlight w:val="none"/>
                <w:lang w:eastAsia="zh-CN"/>
              </w:rPr>
              <w:t>石景林街道卜利村旧村屯排污排水项目；</w:t>
            </w:r>
          </w:p>
          <w:p w14:paraId="5ABAECA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color w:val="auto"/>
                <w:sz w:val="21"/>
                <w:szCs w:val="21"/>
                <w:highlight w:val="none"/>
                <w:lang w:val="en-US" w:eastAsia="zh-CN"/>
              </w:rPr>
              <w:t>项目编号：</w:t>
            </w:r>
            <w:r>
              <w:rPr>
                <w:rFonts w:hint="eastAsia" w:ascii="宋体" w:hAnsi="宋体" w:cs="宋体"/>
                <w:color w:val="auto"/>
                <w:sz w:val="21"/>
                <w:szCs w:val="21"/>
                <w:highlight w:val="none"/>
                <w:lang w:eastAsia="zh-CN"/>
              </w:rPr>
              <w:t>CZZC2026-C2-020035-GXCS</w:t>
            </w:r>
          </w:p>
        </w:tc>
      </w:tr>
      <w:tr w14:paraId="4BC3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exact"/>
          <w:jc w:val="center"/>
        </w:trPr>
        <w:tc>
          <w:tcPr>
            <w:tcW w:w="644" w:type="dxa"/>
            <w:vAlign w:val="center"/>
          </w:tcPr>
          <w:p w14:paraId="4E2EC05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2</w:t>
            </w:r>
          </w:p>
        </w:tc>
        <w:tc>
          <w:tcPr>
            <w:tcW w:w="1833" w:type="dxa"/>
            <w:vAlign w:val="center"/>
          </w:tcPr>
          <w:p w14:paraId="4A50496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184D6C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eastAsia="zh-CN"/>
              </w:rPr>
              <w:t>崇左市江州区石景林街道卜利村旧村屯</w:t>
            </w:r>
          </w:p>
        </w:tc>
      </w:tr>
      <w:tr w14:paraId="6200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644" w:type="dxa"/>
            <w:vAlign w:val="center"/>
          </w:tcPr>
          <w:p w14:paraId="4A45D79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3</w:t>
            </w:r>
          </w:p>
        </w:tc>
        <w:tc>
          <w:tcPr>
            <w:tcW w:w="1833" w:type="dxa"/>
            <w:vAlign w:val="center"/>
          </w:tcPr>
          <w:p w14:paraId="7B74169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采购预算金额</w:t>
            </w:r>
          </w:p>
        </w:tc>
        <w:tc>
          <w:tcPr>
            <w:tcW w:w="6320" w:type="dxa"/>
            <w:gridSpan w:val="2"/>
            <w:vAlign w:val="center"/>
          </w:tcPr>
          <w:p w14:paraId="30E6F01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宋体" w:cs="宋体"/>
                <w:bCs/>
                <w:color w:val="auto"/>
                <w:sz w:val="21"/>
                <w:szCs w:val="21"/>
                <w:highlight w:val="none"/>
              </w:rPr>
            </w:pPr>
            <w:r>
              <w:rPr>
                <w:rFonts w:hint="eastAsia" w:cs="Times New Roman"/>
                <w:bCs w:val="0"/>
                <w:color w:val="auto"/>
                <w:spacing w:val="0"/>
                <w:sz w:val="21"/>
                <w:szCs w:val="21"/>
                <w:highlight w:val="none"/>
                <w:lang w:val="en-US" w:eastAsia="zh-CN" w:bidi="hi-IN"/>
              </w:rPr>
              <w:t>人民币柒拾万零玖拾壹元伍角柒分（¥700091.57）</w:t>
            </w:r>
          </w:p>
        </w:tc>
      </w:tr>
      <w:tr w14:paraId="4986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exact"/>
          <w:jc w:val="center"/>
        </w:trPr>
        <w:tc>
          <w:tcPr>
            <w:tcW w:w="644" w:type="dxa"/>
            <w:vAlign w:val="center"/>
          </w:tcPr>
          <w:p w14:paraId="787E799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4</w:t>
            </w:r>
          </w:p>
        </w:tc>
        <w:tc>
          <w:tcPr>
            <w:tcW w:w="1833" w:type="dxa"/>
            <w:vAlign w:val="center"/>
          </w:tcPr>
          <w:p w14:paraId="0AD5A16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7E0C9FF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eastAsia="宋体" w:cs="宋体"/>
                <w:bCs/>
                <w:color w:val="auto"/>
                <w:sz w:val="21"/>
                <w:szCs w:val="21"/>
                <w:highlight w:val="none"/>
                <w:lang w:eastAsia="zh-CN"/>
              </w:rPr>
            </w:pPr>
            <w:r>
              <w:rPr>
                <w:rFonts w:hint="eastAsia" w:ascii="宋体" w:hAnsi="宋体" w:cs="宋体"/>
                <w:bCs/>
                <w:color w:val="auto"/>
                <w:sz w:val="21"/>
                <w:szCs w:val="21"/>
                <w:highlight w:val="none"/>
              </w:rPr>
              <w:t>包工包料</w:t>
            </w:r>
          </w:p>
        </w:tc>
      </w:tr>
      <w:tr w14:paraId="3751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644" w:type="dxa"/>
            <w:vAlign w:val="center"/>
          </w:tcPr>
          <w:p w14:paraId="63B0132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5</w:t>
            </w:r>
          </w:p>
        </w:tc>
        <w:tc>
          <w:tcPr>
            <w:tcW w:w="1833" w:type="dxa"/>
            <w:vAlign w:val="center"/>
          </w:tcPr>
          <w:p w14:paraId="6F5CC2D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质量标准</w:t>
            </w:r>
          </w:p>
        </w:tc>
        <w:tc>
          <w:tcPr>
            <w:tcW w:w="6320" w:type="dxa"/>
            <w:gridSpan w:val="2"/>
            <w:vAlign w:val="center"/>
          </w:tcPr>
          <w:p w14:paraId="426A256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达到国家竣工验收规范合格标准</w:t>
            </w:r>
          </w:p>
        </w:tc>
      </w:tr>
      <w:tr w14:paraId="534F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4" w:hRule="exact"/>
          <w:jc w:val="center"/>
        </w:trPr>
        <w:tc>
          <w:tcPr>
            <w:tcW w:w="644" w:type="dxa"/>
            <w:vAlign w:val="center"/>
          </w:tcPr>
          <w:p w14:paraId="126AD9F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6</w:t>
            </w:r>
          </w:p>
        </w:tc>
        <w:tc>
          <w:tcPr>
            <w:tcW w:w="1833" w:type="dxa"/>
            <w:vAlign w:val="center"/>
          </w:tcPr>
          <w:p w14:paraId="4B9F320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5BD88E95">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color w:val="auto"/>
                <w:sz w:val="21"/>
                <w:szCs w:val="21"/>
                <w:highlight w:val="none"/>
                <w:lang w:eastAsia="zh-CN"/>
              </w:rPr>
              <w:t>本项目为卜利村旧村屯排污排水设施建设工程。主要建设内容包括：敷设DN400、DN300、DN200双壁波纹管约2226米，Φ160PVC-U排水管200米；新建Φ700砖砌圆形污水检查井47座；新建有效容积25.5立方米砖砌化粪池1座；以及配套的路面破除与恢复、土方工程、垫层及基础等；具体内容详见施工图纸及工程量清单</w:t>
            </w:r>
            <w:r>
              <w:rPr>
                <w:rFonts w:hint="eastAsia"/>
                <w:color w:val="auto"/>
                <w:sz w:val="21"/>
                <w:szCs w:val="21"/>
                <w:highlight w:val="none"/>
                <w:lang w:val="en-US" w:eastAsia="zh-CN"/>
              </w:rPr>
              <w:t>。</w:t>
            </w:r>
          </w:p>
        </w:tc>
      </w:tr>
      <w:tr w14:paraId="00D7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52687D3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7</w:t>
            </w:r>
          </w:p>
        </w:tc>
        <w:tc>
          <w:tcPr>
            <w:tcW w:w="1833" w:type="dxa"/>
            <w:vAlign w:val="center"/>
          </w:tcPr>
          <w:p w14:paraId="0A959CC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7C2AF4CD">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90日历天</w:t>
            </w:r>
          </w:p>
        </w:tc>
      </w:tr>
      <w:tr w14:paraId="6316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4" w:hRule="exact"/>
          <w:jc w:val="center"/>
        </w:trPr>
        <w:tc>
          <w:tcPr>
            <w:tcW w:w="644" w:type="dxa"/>
            <w:vAlign w:val="center"/>
          </w:tcPr>
          <w:p w14:paraId="42034DE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8</w:t>
            </w:r>
          </w:p>
        </w:tc>
        <w:tc>
          <w:tcPr>
            <w:tcW w:w="1833" w:type="dxa"/>
            <w:vAlign w:val="center"/>
          </w:tcPr>
          <w:p w14:paraId="4D3A7F2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2A60776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江政函〔2026〕22号关于审定江州区提前下达2026年中央和自治区财政衔接推进乡村振兴补助资金分配方案和项目计划的批复</w:t>
            </w:r>
          </w:p>
        </w:tc>
      </w:tr>
      <w:tr w14:paraId="2713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2319764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9</w:t>
            </w:r>
          </w:p>
        </w:tc>
        <w:tc>
          <w:tcPr>
            <w:tcW w:w="1833" w:type="dxa"/>
            <w:vAlign w:val="center"/>
          </w:tcPr>
          <w:p w14:paraId="25E056A3">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eastAsia="zh-CN"/>
              </w:rPr>
              <w:t>供应商</w:t>
            </w:r>
            <w:r>
              <w:rPr>
                <w:rFonts w:hint="eastAsia" w:ascii="宋体" w:hAnsi="宋体" w:cs="宋体"/>
                <w:b/>
                <w:bCs/>
                <w:color w:val="auto"/>
                <w:kern w:val="0"/>
                <w:sz w:val="21"/>
                <w:szCs w:val="21"/>
                <w:highlight w:val="none"/>
              </w:rPr>
              <w:t>资质</w:t>
            </w:r>
          </w:p>
          <w:p w14:paraId="626D38D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13862715">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445AD88F">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7DD2BF87">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36" w:lineRule="auto"/>
              <w:ind w:left="0" w:right="0" w:firstLine="420" w:firstLineChars="200"/>
              <w:textAlignment w:val="auto"/>
              <w:rPr>
                <w:rFonts w:hint="default"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cs="Times New Roman"/>
                <w:color w:val="auto"/>
                <w:sz w:val="21"/>
                <w:szCs w:val="21"/>
                <w:highlight w:val="none"/>
                <w:lang w:eastAsia="zh-CN"/>
              </w:rPr>
              <w:t>具备市政公用工程施工总承包三级及以上资质，并在人员、设备、资金等方面具有相应施工能力；拟派驻项目经理须具备市政公用工程专业二级及以上注册建造师执业资格，持有有效的安全生产考核合格证书（B类），</w:t>
            </w:r>
            <w:r>
              <w:rPr>
                <w:rFonts w:hint="eastAsia" w:cs="Times New Roman"/>
                <w:color w:val="auto"/>
                <w:sz w:val="21"/>
                <w:szCs w:val="21"/>
                <w:highlight w:val="none"/>
                <w:lang w:val="en-US" w:eastAsia="zh-CN"/>
              </w:rPr>
              <w:t>且</w:t>
            </w:r>
            <w:r>
              <w:rPr>
                <w:rFonts w:hint="eastAsia" w:cs="Times New Roman"/>
                <w:color w:val="auto"/>
                <w:sz w:val="21"/>
                <w:szCs w:val="21"/>
                <w:highlight w:val="none"/>
                <w:lang w:eastAsia="zh-CN"/>
              </w:rPr>
              <w:t>未担任其他在建</w:t>
            </w:r>
            <w:r>
              <w:rPr>
                <w:rFonts w:hint="eastAsia" w:cs="Times New Roman"/>
                <w:color w:val="auto"/>
                <w:sz w:val="21"/>
                <w:szCs w:val="21"/>
                <w:highlight w:val="none"/>
                <w:lang w:val="en-US" w:eastAsia="zh-CN"/>
              </w:rPr>
              <w:t>或未完工的</w:t>
            </w:r>
            <w:r>
              <w:rPr>
                <w:rFonts w:hint="eastAsia" w:cs="Times New Roman"/>
                <w:color w:val="auto"/>
                <w:sz w:val="21"/>
                <w:szCs w:val="21"/>
                <w:highlight w:val="none"/>
                <w:lang w:eastAsia="zh-CN"/>
              </w:rPr>
              <w:t>建设工程项目的项目经理。</w:t>
            </w:r>
          </w:p>
        </w:tc>
      </w:tr>
      <w:tr w14:paraId="511D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0B4FDE3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10</w:t>
            </w:r>
          </w:p>
        </w:tc>
        <w:tc>
          <w:tcPr>
            <w:tcW w:w="1833" w:type="dxa"/>
            <w:vAlign w:val="center"/>
          </w:tcPr>
          <w:p w14:paraId="70DB735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2939DB2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资格后审</w:t>
            </w:r>
          </w:p>
        </w:tc>
      </w:tr>
      <w:tr w14:paraId="15E3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2068A1E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11</w:t>
            </w:r>
          </w:p>
        </w:tc>
        <w:tc>
          <w:tcPr>
            <w:tcW w:w="1833" w:type="dxa"/>
            <w:vAlign w:val="center"/>
          </w:tcPr>
          <w:p w14:paraId="6477EAC3">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149E00E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eastAsia="宋体" w:cs="宋体"/>
                <w:bCs/>
                <w:color w:val="auto"/>
                <w:sz w:val="21"/>
                <w:szCs w:val="21"/>
                <w:highlight w:val="none"/>
                <w:lang w:val="en-US" w:eastAsia="zh-CN"/>
              </w:rPr>
            </w:pPr>
            <w:r>
              <w:rPr>
                <w:rFonts w:hint="default" w:ascii="Segoe UI" w:hAnsi="Segoe UI" w:eastAsia="Segoe UI" w:cs="Segoe UI"/>
                <w:i w:val="0"/>
                <w:iCs w:val="0"/>
                <w:caps w:val="0"/>
                <w:color w:val="0F1115"/>
                <w:spacing w:val="0"/>
                <w:sz w:val="21"/>
                <w:szCs w:val="21"/>
                <w:shd w:val="clear" w:fill="FFFFFF"/>
              </w:rPr>
              <w:t>工程量清单报价，其中安全生产责任险暂估价、材料暂估价、暂列金额为不可竞争费用，供应商必须按采购人提供的金额填报，不得修改或调整，否则响应文件按无效处理</w:t>
            </w:r>
            <w:r>
              <w:rPr>
                <w:rFonts w:hint="eastAsia" w:ascii="宋体" w:hAnsi="宋体" w:cs="宋体"/>
                <w:bCs/>
                <w:color w:val="auto"/>
                <w:sz w:val="21"/>
                <w:szCs w:val="21"/>
                <w:highlight w:val="none"/>
                <w:lang w:val="en-US" w:eastAsia="zh-CN"/>
              </w:rPr>
              <w:t>。</w:t>
            </w:r>
          </w:p>
        </w:tc>
      </w:tr>
      <w:tr w14:paraId="7862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51DBDAC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12</w:t>
            </w:r>
          </w:p>
        </w:tc>
        <w:tc>
          <w:tcPr>
            <w:tcW w:w="1833" w:type="dxa"/>
            <w:vAlign w:val="center"/>
          </w:tcPr>
          <w:p w14:paraId="556CBF54">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4C3C14B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501F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0E07460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13</w:t>
            </w:r>
          </w:p>
        </w:tc>
        <w:tc>
          <w:tcPr>
            <w:tcW w:w="1833" w:type="dxa"/>
            <w:vAlign w:val="center"/>
          </w:tcPr>
          <w:p w14:paraId="43A09214">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09" w:type="dxa"/>
          </w:tcPr>
          <w:p w14:paraId="2026CF40">
            <w:pPr>
              <w:pStyle w:val="31"/>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76A3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60444B1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14</w:t>
            </w:r>
          </w:p>
        </w:tc>
        <w:tc>
          <w:tcPr>
            <w:tcW w:w="1833" w:type="dxa"/>
            <w:vAlign w:val="center"/>
          </w:tcPr>
          <w:p w14:paraId="5A055CC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09" w:type="dxa"/>
            <w:vAlign w:val="center"/>
          </w:tcPr>
          <w:p w14:paraId="0BA6F6D4">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自行对工程现场及周围环境进行踏勘</w:t>
            </w:r>
          </w:p>
        </w:tc>
      </w:tr>
      <w:tr w14:paraId="1CD4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675E540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15</w:t>
            </w:r>
          </w:p>
        </w:tc>
        <w:tc>
          <w:tcPr>
            <w:tcW w:w="1833" w:type="dxa"/>
            <w:vAlign w:val="center"/>
          </w:tcPr>
          <w:p w14:paraId="0B125811">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09" w:type="dxa"/>
            <w:vAlign w:val="center"/>
          </w:tcPr>
          <w:p w14:paraId="1767B54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要求及本竞争性磋商文件要求制作、加密并递交。</w:t>
            </w:r>
          </w:p>
          <w:p w14:paraId="08587C93">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项目采购-电子招投标操作指南中上传的电子响应文件格式，以DVD光盘或者U盘等形式提供。数量为1份。</w:t>
            </w:r>
          </w:p>
          <w:p w14:paraId="2C8EB4A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4932A33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▲未传输递交电子响应文件的，竞标无效。</w:t>
            </w:r>
          </w:p>
          <w:p w14:paraId="52C82A3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▲未按规定</w:t>
            </w:r>
            <w:r>
              <w:rPr>
                <w:rFonts w:hint="eastAsia" w:ascii="宋体" w:hAnsi="宋体" w:cs="宋体"/>
                <w:color w:val="auto"/>
                <w:kern w:val="0"/>
                <w:sz w:val="21"/>
                <w:szCs w:val="21"/>
                <w:highlight w:val="none"/>
                <w:lang w:val="en-US" w:eastAsia="zh-CN" w:bidi="ar"/>
              </w:rPr>
              <w:t>及时</w:t>
            </w:r>
            <w:r>
              <w:rPr>
                <w:rFonts w:hint="eastAsia" w:ascii="宋体" w:hAnsi="宋体" w:eastAsia="宋体" w:cs="宋体"/>
                <w:color w:val="auto"/>
                <w:kern w:val="0"/>
                <w:sz w:val="21"/>
                <w:szCs w:val="21"/>
                <w:highlight w:val="none"/>
                <w:lang w:val="en-US" w:eastAsia="zh-CN" w:bidi="ar"/>
              </w:rPr>
              <w:t>提供相应的备份响应文件，造成项目开评标活动无法进行下去的，竞标无效。</w:t>
            </w:r>
          </w:p>
        </w:tc>
      </w:tr>
      <w:tr w14:paraId="6789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5B148F9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16</w:t>
            </w:r>
          </w:p>
        </w:tc>
        <w:tc>
          <w:tcPr>
            <w:tcW w:w="1833" w:type="dxa"/>
            <w:vAlign w:val="center"/>
          </w:tcPr>
          <w:p w14:paraId="3490492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5CA703C0">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09" w:type="dxa"/>
            <w:vAlign w:val="center"/>
          </w:tcPr>
          <w:p w14:paraId="240718CE">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5B1E313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2026年6月29日15时00分</w:t>
            </w:r>
            <w:r>
              <w:rPr>
                <w:rFonts w:hint="eastAsia" w:ascii="宋体" w:hAnsi="宋体" w:cs="宋体"/>
                <w:color w:val="auto"/>
                <w:sz w:val="21"/>
                <w:szCs w:val="21"/>
                <w:highlight w:val="none"/>
              </w:rPr>
              <w:t>前</w:t>
            </w:r>
          </w:p>
        </w:tc>
      </w:tr>
      <w:tr w14:paraId="5A8E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3F1D4E1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17</w:t>
            </w:r>
          </w:p>
        </w:tc>
        <w:tc>
          <w:tcPr>
            <w:tcW w:w="1833" w:type="dxa"/>
            <w:vAlign w:val="center"/>
          </w:tcPr>
          <w:p w14:paraId="04157154">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0A1789F4">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09" w:type="dxa"/>
            <w:vAlign w:val="center"/>
          </w:tcPr>
          <w:p w14:paraId="091599FF">
            <w:pPr>
              <w:keepNext w:val="0"/>
              <w:keepLines w:val="0"/>
              <w:pageBreakBefore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color w:val="auto"/>
                <w:sz w:val="21"/>
                <w:szCs w:val="21"/>
                <w:highlight w:val="none"/>
              </w:rPr>
              <w:t>地点：</w:t>
            </w:r>
            <w:r>
              <w:rPr>
                <w:rFonts w:hint="eastAsia" w:ascii="Times New Roman" w:hAnsi="Times New Roman" w:eastAsia="宋体" w:cs="Times New Roman"/>
                <w:color w:val="auto"/>
                <w:sz w:val="21"/>
                <w:szCs w:val="21"/>
                <w:highlight w:val="none"/>
              </w:rPr>
              <w:t>本项目采用远程异地评审，</w:t>
            </w:r>
            <w:r>
              <w:rPr>
                <w:rFonts w:hint="eastAsia" w:ascii="宋体" w:hAnsi="宋体" w:eastAsia="宋体" w:cs="宋体"/>
                <w:bCs/>
                <w:color w:val="auto"/>
                <w:spacing w:val="10"/>
                <w:sz w:val="21"/>
                <w:szCs w:val="21"/>
                <w:highlight w:val="none"/>
                <w:lang w:val="en-US" w:eastAsia="zh-CN" w:bidi="hi-IN"/>
              </w:rPr>
              <w:t>主会场在广西崇善项目咨询有限公司【崇左市江州区城南区新城路西段南侧（阳光名邸）第C4栋103号】通过广西政府采购云平台实行在线解密开启，副会场在</w:t>
            </w:r>
            <w:r>
              <w:rPr>
                <w:rFonts w:hint="eastAsia" w:ascii="宋体" w:hAnsi="宋体" w:cs="宋体"/>
                <w:bCs/>
                <w:color w:val="auto"/>
                <w:spacing w:val="10"/>
                <w:sz w:val="21"/>
                <w:szCs w:val="21"/>
                <w:highlight w:val="none"/>
                <w:lang w:val="en-US" w:eastAsia="zh-CN" w:bidi="hi-IN"/>
              </w:rPr>
              <w:t>百色市右江区新兴路体育广场“恒升酒店”19楼</w:t>
            </w:r>
            <w:r>
              <w:rPr>
                <w:rFonts w:hint="eastAsia" w:ascii="宋体" w:hAnsi="宋体" w:eastAsia="宋体" w:cs="宋体"/>
                <w:bCs/>
                <w:color w:val="auto"/>
                <w:spacing w:val="10"/>
                <w:sz w:val="21"/>
                <w:szCs w:val="21"/>
                <w:highlight w:val="none"/>
                <w:lang w:val="en-US" w:eastAsia="zh-CN" w:bidi="hi-IN"/>
              </w:rPr>
              <w:t>。</w:t>
            </w:r>
          </w:p>
          <w:p w14:paraId="187CA099">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2026年6月29日15时00分</w:t>
            </w:r>
            <w:r>
              <w:rPr>
                <w:rFonts w:hint="eastAsia"/>
                <w:color w:val="auto"/>
                <w:sz w:val="21"/>
                <w:szCs w:val="21"/>
                <w:highlight w:val="none"/>
                <w:lang w:eastAsia="zh-CN"/>
              </w:rPr>
              <w:t>后</w:t>
            </w:r>
          </w:p>
          <w:p w14:paraId="4C7828F4">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电子响应文件解密时间：首次响应文件提交截止时间后30分钟内，供应商必须在此时间段内登录广西政府采购云平台，用“项目采购-开标评标”功能完成电子响应文件的解密。</w:t>
            </w:r>
            <w:r>
              <w:rPr>
                <w:rFonts w:hint="eastAsia" w:eastAsia="宋体" w:cs="Times New Roman"/>
                <w:color w:val="auto"/>
                <w:sz w:val="21"/>
                <w:szCs w:val="21"/>
                <w:highlight w:val="none"/>
                <w:lang w:val="en-US" w:eastAsia="zh-CN"/>
              </w:rPr>
              <w:t>若竞标供应商在规定时间内未按时解密的，视为响应文件撤回。</w:t>
            </w:r>
          </w:p>
          <w:p w14:paraId="07A757AF">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投标文件应当在投标文件递交截止时间前按要求密封并送达开标地址，逾期送达或未按要求密封将被拒收。如在政采云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3AEC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1D13885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18</w:t>
            </w:r>
          </w:p>
        </w:tc>
        <w:tc>
          <w:tcPr>
            <w:tcW w:w="1833" w:type="dxa"/>
            <w:vAlign w:val="center"/>
          </w:tcPr>
          <w:p w14:paraId="4723E93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09" w:type="dxa"/>
            <w:vAlign w:val="center"/>
          </w:tcPr>
          <w:p w14:paraId="5B7FD28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5786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5051EB5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cs="宋体"/>
                <w:b/>
                <w:color w:val="auto"/>
                <w:kern w:val="0"/>
                <w:sz w:val="21"/>
                <w:szCs w:val="21"/>
                <w:highlight w:val="none"/>
                <w:lang w:val="en-US" w:eastAsia="zh-CN"/>
              </w:rPr>
            </w:pPr>
            <w:r>
              <w:rPr>
                <w:rFonts w:hint="default" w:ascii="宋体" w:hAnsi="宋体" w:cs="宋体"/>
                <w:b/>
                <w:color w:val="auto"/>
                <w:kern w:val="0"/>
                <w:sz w:val="21"/>
                <w:szCs w:val="21"/>
                <w:highlight w:val="none"/>
              </w:rPr>
              <w:t>19</w:t>
            </w:r>
          </w:p>
        </w:tc>
        <w:tc>
          <w:tcPr>
            <w:tcW w:w="1833" w:type="dxa"/>
            <w:vAlign w:val="center"/>
          </w:tcPr>
          <w:p w14:paraId="2DC0EDD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56EE96B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w:t>
            </w:r>
            <w:r>
              <w:rPr>
                <w:rFonts w:hint="eastAsia" w:ascii="宋体" w:hAnsi="宋体" w:cs="宋体"/>
                <w:b/>
                <w:color w:val="auto"/>
                <w:kern w:val="0"/>
                <w:sz w:val="21"/>
                <w:szCs w:val="21"/>
                <w:highlight w:val="none"/>
                <w:lang w:val="en-US" w:eastAsia="zh-CN"/>
              </w:rPr>
              <w:t>证</w:t>
            </w:r>
            <w:r>
              <w:rPr>
                <w:rFonts w:hint="eastAsia" w:ascii="宋体" w:hAnsi="宋体" w:cs="宋体"/>
                <w:b/>
                <w:color w:val="auto"/>
                <w:kern w:val="0"/>
                <w:sz w:val="21"/>
                <w:szCs w:val="21"/>
                <w:highlight w:val="none"/>
              </w:rPr>
              <w:t>金</w:t>
            </w:r>
          </w:p>
        </w:tc>
        <w:tc>
          <w:tcPr>
            <w:tcW w:w="6309" w:type="dxa"/>
            <w:vAlign w:val="center"/>
          </w:tcPr>
          <w:p w14:paraId="5981C6D5">
            <w:pPr>
              <w:keepNext w:val="0"/>
              <w:keepLines w:val="0"/>
              <w:pageBreakBefore w:val="0"/>
              <w:suppressLineNumbers w:val="0"/>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合同价1%。</w:t>
            </w:r>
          </w:p>
          <w:p w14:paraId="2C6AA5F4">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工资保证金按工程建设项目施工合同额(或年度合同额)的比例存储，工资保证金存储比例为1%</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按照桂人社规〔2021〕16号广西壮族自治区人力资源和社会保障厅广西壮族自治区住房和城乡建设厅广西壮族自治区交通运输厅广西壮族自治区水利厅中国银行保险监督管理委员会广西监管局关于印发广西壮族自治区工程建设领域农民工工资保证金规定实施办法的通知要求执行。</w:t>
            </w:r>
          </w:p>
        </w:tc>
      </w:tr>
      <w:tr w14:paraId="1B1B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51" w:hRule="atLeast"/>
          <w:jc w:val="center"/>
        </w:trPr>
        <w:tc>
          <w:tcPr>
            <w:tcW w:w="644" w:type="dxa"/>
            <w:vAlign w:val="center"/>
          </w:tcPr>
          <w:p w14:paraId="4A0426D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33" w:type="dxa"/>
            <w:vAlign w:val="center"/>
          </w:tcPr>
          <w:p w14:paraId="0C5ABDD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09" w:type="dxa"/>
            <w:vAlign w:val="center"/>
          </w:tcPr>
          <w:p w14:paraId="2F835D2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5AB7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3B32B59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33" w:type="dxa"/>
            <w:vAlign w:val="center"/>
          </w:tcPr>
          <w:p w14:paraId="1521588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09" w:type="dxa"/>
            <w:vAlign w:val="center"/>
          </w:tcPr>
          <w:p w14:paraId="367C99EF">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0F29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8" w:hRule="atLeast"/>
          <w:jc w:val="center"/>
        </w:trPr>
        <w:tc>
          <w:tcPr>
            <w:tcW w:w="644" w:type="dxa"/>
            <w:vAlign w:val="center"/>
          </w:tcPr>
          <w:p w14:paraId="7770BDA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33" w:type="dxa"/>
            <w:vAlign w:val="center"/>
          </w:tcPr>
          <w:p w14:paraId="0E37592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09" w:type="dxa"/>
            <w:vAlign w:val="center"/>
          </w:tcPr>
          <w:p w14:paraId="11A86F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default" w:ascii="宋体" w:hAnsi="宋体" w:eastAsia="宋体" w:cs="宋体"/>
                <w:b w:val="0"/>
                <w:bCs w:val="0"/>
                <w:color w:val="000000"/>
                <w:kern w:val="0"/>
                <w:sz w:val="21"/>
                <w:szCs w:val="21"/>
                <w:lang w:val="en-US" w:eastAsia="zh-CN" w:bidi="ar"/>
              </w:rPr>
            </w:pPr>
            <w:r>
              <w:rPr>
                <w:rFonts w:hint="default" w:ascii="宋体" w:hAnsi="宋体" w:eastAsia="宋体" w:cs="宋体"/>
                <w:b w:val="0"/>
                <w:bCs w:val="0"/>
                <w:color w:val="000000"/>
                <w:kern w:val="0"/>
                <w:sz w:val="21"/>
                <w:szCs w:val="21"/>
                <w:lang w:val="en-US" w:eastAsia="zh-CN" w:bidi="ar"/>
              </w:rPr>
              <w:t>本项目采购代理服务费</w:t>
            </w:r>
            <w:r>
              <w:rPr>
                <w:rFonts w:hint="eastAsia" w:ascii="宋体" w:hAnsi="宋体" w:eastAsia="宋体" w:cs="宋体"/>
                <w:b w:val="0"/>
                <w:bCs w:val="0"/>
                <w:color w:val="000000"/>
                <w:kern w:val="0"/>
                <w:sz w:val="21"/>
                <w:szCs w:val="21"/>
                <w:lang w:val="en-US" w:eastAsia="zh-CN" w:bidi="ar"/>
              </w:rPr>
              <w:t>根据《关于进一步放开建设项目专业服务价格的通知》（发改价格〔2015〕299号）</w:t>
            </w:r>
            <w:r>
              <w:rPr>
                <w:rFonts w:hint="default" w:ascii="宋体" w:hAnsi="宋体" w:eastAsia="宋体" w:cs="宋体"/>
                <w:b w:val="0"/>
                <w:bCs w:val="0"/>
                <w:color w:val="000000"/>
                <w:kern w:val="0"/>
                <w:sz w:val="21"/>
                <w:szCs w:val="21"/>
                <w:lang w:val="en-US" w:eastAsia="zh-CN" w:bidi="ar"/>
              </w:rPr>
              <w:t>规定实行市场调节价，由委托人与代理机构</w:t>
            </w:r>
            <w:r>
              <w:rPr>
                <w:rFonts w:hint="eastAsia" w:ascii="宋体" w:hAnsi="宋体" w:eastAsia="宋体" w:cs="宋体"/>
                <w:b w:val="0"/>
                <w:bCs w:val="0"/>
                <w:color w:val="000000"/>
                <w:kern w:val="0"/>
                <w:sz w:val="21"/>
                <w:szCs w:val="21"/>
                <w:lang w:val="en-US" w:eastAsia="zh-CN" w:bidi="ar"/>
              </w:rPr>
              <w:t>双方</w:t>
            </w:r>
            <w:r>
              <w:rPr>
                <w:rFonts w:hint="default" w:ascii="宋体" w:hAnsi="宋体" w:eastAsia="宋体" w:cs="宋体"/>
                <w:b w:val="0"/>
                <w:bCs w:val="0"/>
                <w:color w:val="000000"/>
                <w:kern w:val="0"/>
                <w:sz w:val="21"/>
                <w:szCs w:val="21"/>
                <w:lang w:val="en-US" w:eastAsia="zh-CN" w:bidi="ar"/>
              </w:rPr>
              <w:t>协商确定，参照行业通行差额定率累进计费方式设定基准分档费率；按差额定率分档累进计算实际金额全额计取。</w:t>
            </w:r>
          </w:p>
          <w:p w14:paraId="1652DC7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default"/>
                <w:b w:val="0"/>
                <w:bCs w:val="0"/>
                <w:color w:val="000000"/>
                <w:sz w:val="21"/>
                <w:szCs w:val="21"/>
              </w:rPr>
            </w:pPr>
            <w:r>
              <w:rPr>
                <w:rFonts w:hint="eastAsia"/>
                <w:b w:val="0"/>
                <w:bCs w:val="0"/>
                <w:color w:val="000000"/>
                <w:sz w:val="21"/>
                <w:szCs w:val="21"/>
                <w:lang w:val="en-US" w:eastAsia="zh-CN"/>
              </w:rPr>
              <w:t>附：</w:t>
            </w:r>
            <w:r>
              <w:rPr>
                <w:rFonts w:hint="default"/>
                <w:b w:val="0"/>
                <w:bCs w:val="0"/>
                <w:color w:val="000000"/>
                <w:sz w:val="21"/>
                <w:szCs w:val="21"/>
              </w:rPr>
              <w:t>代理服务费收费计算标准</w:t>
            </w:r>
            <w:r>
              <w:rPr>
                <w:rFonts w:hint="default" w:ascii="宋体" w:hAnsi="宋体" w:eastAsia="宋体" w:cs="宋体"/>
                <w:b w:val="0"/>
                <w:bCs w:val="0"/>
                <w:color w:val="000000"/>
                <w:kern w:val="0"/>
                <w:sz w:val="21"/>
                <w:szCs w:val="21"/>
                <w:lang w:val="en-US" w:eastAsia="zh-CN" w:bidi="ar"/>
              </w:rPr>
              <w:t>表格</w:t>
            </w:r>
          </w:p>
          <w:tbl>
            <w:tblPr>
              <w:tblStyle w:val="24"/>
              <w:tblW w:w="47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54"/>
              <w:gridCol w:w="1379"/>
              <w:gridCol w:w="1424"/>
              <w:gridCol w:w="1399"/>
            </w:tblGrid>
            <w:tr w14:paraId="777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57" w:hRule="atLeast"/>
                <w:tblHeader/>
                <w:jc w:val="center"/>
              </w:trPr>
              <w:tc>
                <w:tcPr>
                  <w:tcW w:w="1754" w:type="dxa"/>
                  <w:shd w:val="clear" w:color="auto" w:fill="auto"/>
                  <w:tcMar>
                    <w:top w:w="120" w:type="dxa"/>
                    <w:left w:w="120" w:type="dxa"/>
                    <w:bottom w:w="120" w:type="dxa"/>
                    <w:right w:w="120" w:type="dxa"/>
                  </w:tcMar>
                  <w:vAlign w:val="center"/>
                </w:tcPr>
                <w:p w14:paraId="49CACD94">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区间</w:t>
                  </w:r>
                  <w:r>
                    <w:rPr>
                      <w:rFonts w:hint="eastAsia" w:ascii="宋体" w:hAnsi="宋体" w:eastAsia="宋体" w:cs="宋体"/>
                      <w:b w:val="0"/>
                      <w:bCs w:val="0"/>
                      <w:kern w:val="0"/>
                      <w:sz w:val="21"/>
                      <w:szCs w:val="21"/>
                      <w:lang w:val="en-US" w:eastAsia="zh-CN" w:bidi="ar"/>
                    </w:rPr>
                    <w:t>金额</w:t>
                  </w:r>
                </w:p>
              </w:tc>
              <w:tc>
                <w:tcPr>
                  <w:tcW w:w="1379" w:type="dxa"/>
                  <w:shd w:val="clear" w:color="auto" w:fill="auto"/>
                  <w:tcMar>
                    <w:top w:w="120" w:type="dxa"/>
                    <w:left w:w="120" w:type="dxa"/>
                    <w:bottom w:w="120" w:type="dxa"/>
                    <w:right w:w="120" w:type="dxa"/>
                  </w:tcMar>
                  <w:vAlign w:val="center"/>
                </w:tcPr>
                <w:p w14:paraId="219E330D">
                  <w:pPr>
                    <w:keepNext w:val="0"/>
                    <w:keepLines w:val="0"/>
                    <w:widowControl/>
                    <w:suppressLineNumbers w:val="0"/>
                    <w:spacing w:before="0" w:beforeAutospacing="0" w:after="0" w:afterAutospacing="0"/>
                    <w:ind w:left="0" w:right="0"/>
                    <w:jc w:val="center"/>
                    <w:rPr>
                      <w:rFonts w:hint="default"/>
                      <w:b w:val="0"/>
                      <w:bCs w:val="0"/>
                      <w:sz w:val="21"/>
                      <w:szCs w:val="21"/>
                      <w:lang w:val="en-US"/>
                    </w:rPr>
                  </w:pPr>
                  <w:r>
                    <w:rPr>
                      <w:rFonts w:hint="default" w:ascii="宋体" w:hAnsi="宋体" w:eastAsia="宋体" w:cs="宋体"/>
                      <w:b w:val="0"/>
                      <w:bCs w:val="0"/>
                      <w:kern w:val="0"/>
                      <w:sz w:val="21"/>
                      <w:szCs w:val="21"/>
                      <w:lang w:val="en-US" w:eastAsia="zh-CN" w:bidi="ar"/>
                    </w:rPr>
                    <w:t>工程</w:t>
                  </w:r>
                  <w:r>
                    <w:rPr>
                      <w:rFonts w:hint="eastAsia" w:ascii="宋体" w:hAnsi="宋体" w:eastAsia="宋体" w:cs="宋体"/>
                      <w:b w:val="0"/>
                      <w:bCs w:val="0"/>
                      <w:kern w:val="0"/>
                      <w:sz w:val="21"/>
                      <w:szCs w:val="21"/>
                      <w:lang w:val="en-US" w:eastAsia="zh-CN" w:bidi="ar"/>
                    </w:rPr>
                    <w:t>类基准费率</w:t>
                  </w:r>
                </w:p>
              </w:tc>
              <w:tc>
                <w:tcPr>
                  <w:tcW w:w="1424" w:type="dxa"/>
                  <w:shd w:val="clear" w:color="auto" w:fill="auto"/>
                  <w:tcMar>
                    <w:top w:w="120" w:type="dxa"/>
                    <w:left w:w="120" w:type="dxa"/>
                    <w:bottom w:w="120" w:type="dxa"/>
                    <w:right w:w="120" w:type="dxa"/>
                  </w:tcMar>
                  <w:vAlign w:val="center"/>
                </w:tcPr>
                <w:p w14:paraId="3C864120">
                  <w:pPr>
                    <w:keepNext w:val="0"/>
                    <w:keepLines w:val="0"/>
                    <w:widowControl/>
                    <w:suppressLineNumbers w:val="0"/>
                    <w:spacing w:before="0" w:beforeAutospacing="0" w:after="0" w:afterAutospacing="0"/>
                    <w:ind w:left="0" w:right="0"/>
                    <w:jc w:val="center"/>
                    <w:rPr>
                      <w:rFonts w:hint="default" w:ascii="宋体" w:hAnsi="宋体" w:eastAsia="宋体" w:cs="宋体"/>
                      <w:b w:val="0"/>
                      <w:bCs w:val="0"/>
                      <w:kern w:val="0"/>
                      <w:sz w:val="21"/>
                      <w:szCs w:val="21"/>
                      <w:lang w:val="en-US" w:eastAsia="zh-CN" w:bidi="ar"/>
                    </w:rPr>
                  </w:pPr>
                  <w:r>
                    <w:rPr>
                      <w:rFonts w:hint="default" w:ascii="宋体" w:hAnsi="宋体" w:eastAsia="宋体" w:cs="宋体"/>
                      <w:b w:val="0"/>
                      <w:bCs w:val="0"/>
                      <w:kern w:val="0"/>
                      <w:sz w:val="21"/>
                      <w:szCs w:val="21"/>
                      <w:lang w:val="en-US" w:eastAsia="zh-CN" w:bidi="ar"/>
                    </w:rPr>
                    <w:t>货物</w:t>
                  </w:r>
                  <w:r>
                    <w:rPr>
                      <w:rFonts w:hint="eastAsia" w:ascii="宋体" w:hAnsi="宋体" w:eastAsia="宋体" w:cs="宋体"/>
                      <w:b w:val="0"/>
                      <w:bCs w:val="0"/>
                      <w:kern w:val="0"/>
                      <w:sz w:val="21"/>
                      <w:szCs w:val="21"/>
                      <w:lang w:val="en-US" w:eastAsia="zh-CN" w:bidi="ar"/>
                    </w:rPr>
                    <w:t>类基准费率</w:t>
                  </w:r>
                </w:p>
              </w:tc>
              <w:tc>
                <w:tcPr>
                  <w:tcW w:w="1399" w:type="dxa"/>
                  <w:shd w:val="clear" w:color="auto" w:fill="auto"/>
                  <w:tcMar>
                    <w:top w:w="120" w:type="dxa"/>
                    <w:left w:w="120" w:type="dxa"/>
                    <w:bottom w:w="120" w:type="dxa"/>
                    <w:right w:w="120" w:type="dxa"/>
                  </w:tcMar>
                  <w:vAlign w:val="center"/>
                </w:tcPr>
                <w:p w14:paraId="2FF22456">
                  <w:pPr>
                    <w:keepNext w:val="0"/>
                    <w:keepLines w:val="0"/>
                    <w:widowControl/>
                    <w:suppressLineNumbers w:val="0"/>
                    <w:spacing w:before="0" w:beforeAutospacing="0" w:after="0" w:afterAutospacing="0"/>
                    <w:ind w:left="0" w:right="0"/>
                    <w:jc w:val="center"/>
                    <w:rPr>
                      <w:rFonts w:hint="default" w:ascii="宋体" w:hAnsi="宋体" w:eastAsia="宋体" w:cs="宋体"/>
                      <w:b w:val="0"/>
                      <w:bCs w:val="0"/>
                      <w:kern w:val="0"/>
                      <w:sz w:val="21"/>
                      <w:szCs w:val="21"/>
                      <w:lang w:val="en-US" w:eastAsia="zh-CN" w:bidi="ar"/>
                    </w:rPr>
                  </w:pPr>
                  <w:r>
                    <w:rPr>
                      <w:rFonts w:hint="default" w:ascii="宋体" w:hAnsi="宋体" w:eastAsia="宋体" w:cs="宋体"/>
                      <w:b w:val="0"/>
                      <w:bCs w:val="0"/>
                      <w:kern w:val="0"/>
                      <w:sz w:val="21"/>
                      <w:szCs w:val="21"/>
                      <w:lang w:val="en-US" w:eastAsia="zh-CN" w:bidi="ar"/>
                    </w:rPr>
                    <w:t>服务</w:t>
                  </w:r>
                  <w:r>
                    <w:rPr>
                      <w:rFonts w:hint="eastAsia" w:ascii="宋体" w:hAnsi="宋体" w:eastAsia="宋体" w:cs="宋体"/>
                      <w:b w:val="0"/>
                      <w:bCs w:val="0"/>
                      <w:kern w:val="0"/>
                      <w:sz w:val="21"/>
                      <w:szCs w:val="21"/>
                      <w:lang w:val="en-US" w:eastAsia="zh-CN" w:bidi="ar"/>
                    </w:rPr>
                    <w:t>类基准费率</w:t>
                  </w:r>
                </w:p>
              </w:tc>
            </w:tr>
            <w:tr w14:paraId="774F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55D7A424">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rPr>
                  </w:pPr>
                  <w:r>
                    <w:rPr>
                      <w:rFonts w:hint="default" w:ascii="宋体" w:hAnsi="宋体" w:eastAsia="宋体" w:cs="宋体"/>
                      <w:b w:val="0"/>
                      <w:bCs w:val="0"/>
                      <w:i w:val="0"/>
                      <w:color w:val="auto"/>
                      <w:kern w:val="0"/>
                      <w:sz w:val="21"/>
                      <w:szCs w:val="21"/>
                      <w:lang w:val="en-US" w:eastAsia="zh-CN" w:bidi="ar"/>
                    </w:rPr>
                    <w:t>100 万元以下</w:t>
                  </w:r>
                </w:p>
              </w:tc>
              <w:tc>
                <w:tcPr>
                  <w:tcW w:w="1379" w:type="dxa"/>
                  <w:shd w:val="clear" w:color="auto" w:fill="auto"/>
                  <w:tcMar>
                    <w:top w:w="120" w:type="dxa"/>
                    <w:left w:w="120" w:type="dxa"/>
                    <w:bottom w:w="120" w:type="dxa"/>
                    <w:right w:w="120" w:type="dxa"/>
                  </w:tcMar>
                  <w:vAlign w:val="center"/>
                </w:tcPr>
                <w:p w14:paraId="2918BB1E">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1.00%</w:t>
                  </w:r>
                </w:p>
              </w:tc>
              <w:tc>
                <w:tcPr>
                  <w:tcW w:w="1424" w:type="dxa"/>
                  <w:shd w:val="clear" w:color="auto" w:fill="auto"/>
                  <w:tcMar>
                    <w:top w:w="120" w:type="dxa"/>
                    <w:left w:w="120" w:type="dxa"/>
                    <w:bottom w:w="120" w:type="dxa"/>
                    <w:right w:w="120" w:type="dxa"/>
                  </w:tcMar>
                  <w:vAlign w:val="center"/>
                </w:tcPr>
                <w:p w14:paraId="592AD13A">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1.50%</w:t>
                  </w:r>
                </w:p>
              </w:tc>
              <w:tc>
                <w:tcPr>
                  <w:tcW w:w="1399" w:type="dxa"/>
                  <w:shd w:val="clear" w:color="auto" w:fill="auto"/>
                  <w:tcMar>
                    <w:top w:w="120" w:type="dxa"/>
                    <w:left w:w="120" w:type="dxa"/>
                    <w:bottom w:w="120" w:type="dxa"/>
                    <w:right w:w="120" w:type="dxa"/>
                  </w:tcMar>
                  <w:vAlign w:val="center"/>
                </w:tcPr>
                <w:p w14:paraId="1C2BB6BF">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1.50%</w:t>
                  </w:r>
                </w:p>
              </w:tc>
            </w:tr>
            <w:tr w14:paraId="329C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5AF37150">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rPr>
                  </w:pPr>
                  <w:r>
                    <w:rPr>
                      <w:rFonts w:hint="default" w:ascii="宋体" w:hAnsi="宋体" w:eastAsia="宋体" w:cs="宋体"/>
                      <w:b w:val="0"/>
                      <w:bCs w:val="0"/>
                      <w:i w:val="0"/>
                      <w:color w:val="auto"/>
                      <w:kern w:val="0"/>
                      <w:sz w:val="21"/>
                      <w:szCs w:val="21"/>
                      <w:lang w:val="en-US" w:eastAsia="zh-CN" w:bidi="ar"/>
                    </w:rPr>
                    <w:t>100～500 万元</w:t>
                  </w:r>
                </w:p>
              </w:tc>
              <w:tc>
                <w:tcPr>
                  <w:tcW w:w="1379" w:type="dxa"/>
                  <w:shd w:val="clear" w:color="auto" w:fill="auto"/>
                  <w:tcMar>
                    <w:top w:w="120" w:type="dxa"/>
                    <w:left w:w="120" w:type="dxa"/>
                    <w:bottom w:w="120" w:type="dxa"/>
                    <w:right w:w="120" w:type="dxa"/>
                  </w:tcMar>
                  <w:vAlign w:val="center"/>
                </w:tcPr>
                <w:p w14:paraId="6A028EE2">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0.70%</w:t>
                  </w:r>
                </w:p>
              </w:tc>
              <w:tc>
                <w:tcPr>
                  <w:tcW w:w="1424" w:type="dxa"/>
                  <w:shd w:val="clear" w:color="auto" w:fill="auto"/>
                  <w:tcMar>
                    <w:top w:w="120" w:type="dxa"/>
                    <w:left w:w="120" w:type="dxa"/>
                    <w:bottom w:w="120" w:type="dxa"/>
                    <w:right w:w="120" w:type="dxa"/>
                  </w:tcMar>
                  <w:vAlign w:val="center"/>
                </w:tcPr>
                <w:p w14:paraId="7851F416">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1.10%</w:t>
                  </w:r>
                </w:p>
              </w:tc>
              <w:tc>
                <w:tcPr>
                  <w:tcW w:w="1399" w:type="dxa"/>
                  <w:shd w:val="clear" w:color="auto" w:fill="auto"/>
                  <w:tcMar>
                    <w:top w:w="120" w:type="dxa"/>
                    <w:left w:w="120" w:type="dxa"/>
                    <w:bottom w:w="120" w:type="dxa"/>
                    <w:right w:w="120" w:type="dxa"/>
                  </w:tcMar>
                  <w:vAlign w:val="center"/>
                </w:tcPr>
                <w:p w14:paraId="30BA2413">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0.80%</w:t>
                  </w:r>
                </w:p>
              </w:tc>
            </w:tr>
            <w:tr w14:paraId="5F95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3849BCE5">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rPr>
                  </w:pPr>
                  <w:r>
                    <w:rPr>
                      <w:rFonts w:hint="default" w:ascii="宋体" w:hAnsi="宋体" w:eastAsia="宋体" w:cs="宋体"/>
                      <w:b w:val="0"/>
                      <w:bCs w:val="0"/>
                      <w:i w:val="0"/>
                      <w:color w:val="auto"/>
                      <w:kern w:val="0"/>
                      <w:sz w:val="21"/>
                      <w:szCs w:val="21"/>
                      <w:lang w:val="en-US" w:eastAsia="zh-CN" w:bidi="ar"/>
                    </w:rPr>
                    <w:t>500～1000 万元</w:t>
                  </w:r>
                </w:p>
              </w:tc>
              <w:tc>
                <w:tcPr>
                  <w:tcW w:w="1379" w:type="dxa"/>
                  <w:shd w:val="clear" w:color="auto" w:fill="auto"/>
                  <w:tcMar>
                    <w:top w:w="120" w:type="dxa"/>
                    <w:left w:w="120" w:type="dxa"/>
                    <w:bottom w:w="120" w:type="dxa"/>
                    <w:right w:w="120" w:type="dxa"/>
                  </w:tcMar>
                  <w:vAlign w:val="center"/>
                </w:tcPr>
                <w:p w14:paraId="5766186D">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0.55%</w:t>
                  </w:r>
                </w:p>
              </w:tc>
              <w:tc>
                <w:tcPr>
                  <w:tcW w:w="1424" w:type="dxa"/>
                  <w:shd w:val="clear" w:color="auto" w:fill="auto"/>
                  <w:tcMar>
                    <w:top w:w="120" w:type="dxa"/>
                    <w:left w:w="120" w:type="dxa"/>
                    <w:bottom w:w="120" w:type="dxa"/>
                    <w:right w:w="120" w:type="dxa"/>
                  </w:tcMar>
                  <w:vAlign w:val="center"/>
                </w:tcPr>
                <w:p w14:paraId="15C30549">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0.80%</w:t>
                  </w:r>
                </w:p>
              </w:tc>
              <w:tc>
                <w:tcPr>
                  <w:tcW w:w="1399" w:type="dxa"/>
                  <w:shd w:val="clear" w:color="auto" w:fill="auto"/>
                  <w:tcMar>
                    <w:top w:w="120" w:type="dxa"/>
                    <w:left w:w="120" w:type="dxa"/>
                    <w:bottom w:w="120" w:type="dxa"/>
                    <w:right w:w="120" w:type="dxa"/>
                  </w:tcMar>
                  <w:vAlign w:val="center"/>
                </w:tcPr>
                <w:p w14:paraId="7B8FECAA">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0.45%</w:t>
                  </w:r>
                </w:p>
              </w:tc>
            </w:tr>
            <w:tr w14:paraId="7334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1C9B6040">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rPr>
                  </w:pPr>
                  <w:r>
                    <w:rPr>
                      <w:rFonts w:hint="default" w:ascii="宋体" w:hAnsi="宋体" w:eastAsia="宋体" w:cs="宋体"/>
                      <w:b w:val="0"/>
                      <w:bCs w:val="0"/>
                      <w:i w:val="0"/>
                      <w:color w:val="auto"/>
                      <w:kern w:val="0"/>
                      <w:sz w:val="21"/>
                      <w:szCs w:val="21"/>
                      <w:lang w:val="en-US" w:eastAsia="zh-CN" w:bidi="ar"/>
                    </w:rPr>
                    <w:t>1000～5000万元</w:t>
                  </w:r>
                </w:p>
              </w:tc>
              <w:tc>
                <w:tcPr>
                  <w:tcW w:w="1379" w:type="dxa"/>
                  <w:shd w:val="clear" w:color="auto" w:fill="auto"/>
                  <w:tcMar>
                    <w:top w:w="120" w:type="dxa"/>
                    <w:left w:w="120" w:type="dxa"/>
                    <w:bottom w:w="120" w:type="dxa"/>
                    <w:right w:w="120" w:type="dxa"/>
                  </w:tcMar>
                  <w:vAlign w:val="center"/>
                </w:tcPr>
                <w:p w14:paraId="46F44530">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0.35%</w:t>
                  </w:r>
                </w:p>
              </w:tc>
              <w:tc>
                <w:tcPr>
                  <w:tcW w:w="1424" w:type="dxa"/>
                  <w:shd w:val="clear" w:color="auto" w:fill="auto"/>
                  <w:tcMar>
                    <w:top w:w="120" w:type="dxa"/>
                    <w:left w:w="120" w:type="dxa"/>
                    <w:bottom w:w="120" w:type="dxa"/>
                    <w:right w:w="120" w:type="dxa"/>
                  </w:tcMar>
                  <w:vAlign w:val="center"/>
                </w:tcPr>
                <w:p w14:paraId="74E89763">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0.50%</w:t>
                  </w:r>
                </w:p>
              </w:tc>
              <w:tc>
                <w:tcPr>
                  <w:tcW w:w="1399" w:type="dxa"/>
                  <w:shd w:val="clear" w:color="auto" w:fill="auto"/>
                  <w:tcMar>
                    <w:top w:w="120" w:type="dxa"/>
                    <w:left w:w="120" w:type="dxa"/>
                    <w:bottom w:w="120" w:type="dxa"/>
                    <w:right w:w="120" w:type="dxa"/>
                  </w:tcMar>
                  <w:vAlign w:val="center"/>
                </w:tcPr>
                <w:p w14:paraId="58683D1A">
                  <w:pPr>
                    <w:keepNext w:val="0"/>
                    <w:keepLines w:val="0"/>
                    <w:widowControl/>
                    <w:suppressLineNumbers w:val="0"/>
                    <w:spacing w:before="0" w:beforeAutospacing="0" w:after="0" w:afterAutospacing="0"/>
                    <w:ind w:left="0" w:right="0"/>
                    <w:jc w:val="center"/>
                    <w:rPr>
                      <w:rFonts w:hint="default"/>
                      <w:b w:val="0"/>
                      <w:bCs w:val="0"/>
                      <w:sz w:val="21"/>
                      <w:szCs w:val="21"/>
                    </w:rPr>
                  </w:pPr>
                  <w:r>
                    <w:rPr>
                      <w:rFonts w:hint="default" w:ascii="宋体" w:hAnsi="宋体" w:eastAsia="宋体" w:cs="宋体"/>
                      <w:b w:val="0"/>
                      <w:bCs w:val="0"/>
                      <w:kern w:val="0"/>
                      <w:sz w:val="21"/>
                      <w:szCs w:val="21"/>
                      <w:lang w:val="en-US" w:eastAsia="zh-CN" w:bidi="ar"/>
                    </w:rPr>
                    <w:t>0.25%</w:t>
                  </w:r>
                </w:p>
              </w:tc>
            </w:tr>
          </w:tbl>
          <w:p w14:paraId="69C1E45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Segoe UI" w:hAnsi="Segoe UI" w:eastAsia="宋体" w:cs="Segoe UI"/>
                <w:b w:val="0"/>
                <w:bCs w:val="0"/>
                <w:i w:val="0"/>
                <w:iCs w:val="0"/>
                <w:caps w:val="0"/>
                <w:color w:val="0F1115"/>
                <w:spacing w:val="0"/>
                <w:sz w:val="21"/>
                <w:szCs w:val="21"/>
                <w:shd w:val="clear" w:fill="FFFFFF"/>
                <w:lang w:val="en-US" w:eastAsia="zh-CN"/>
              </w:rPr>
              <w:t>说明：</w:t>
            </w:r>
            <w:r>
              <w:rPr>
                <w:rFonts w:hint="default" w:ascii="Segoe UI" w:hAnsi="Segoe UI" w:eastAsia="Segoe UI" w:cs="Segoe UI"/>
                <w:b w:val="0"/>
                <w:bCs w:val="0"/>
                <w:i w:val="0"/>
                <w:iCs w:val="0"/>
                <w:caps w:val="0"/>
                <w:color w:val="0F1115"/>
                <w:spacing w:val="0"/>
                <w:sz w:val="21"/>
                <w:szCs w:val="21"/>
                <w:shd w:val="clear" w:fill="FFFFFF"/>
              </w:rPr>
              <w:t>本项目采购代理服务费由成交供应商在领取成交通知书前一次性向采购代理机构支付。</w:t>
            </w:r>
          </w:p>
        </w:tc>
      </w:tr>
      <w:tr w14:paraId="519F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52D82B9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33" w:type="dxa"/>
            <w:vAlign w:val="center"/>
          </w:tcPr>
          <w:p w14:paraId="63D5650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09" w:type="dxa"/>
            <w:vAlign w:val="center"/>
          </w:tcPr>
          <w:p w14:paraId="231BF357">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均指采用CA证书签章。）</w:t>
            </w:r>
          </w:p>
          <w:p w14:paraId="13CBFC99">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D095BE0">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2A465E6">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077E4B5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57C0F9B7">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tc>
      </w:tr>
      <w:tr w14:paraId="0CA7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79DA52D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33" w:type="dxa"/>
            <w:vAlign w:val="center"/>
          </w:tcPr>
          <w:p w14:paraId="7C04E43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09" w:type="dxa"/>
            <w:vAlign w:val="center"/>
          </w:tcPr>
          <w:p w14:paraId="3CB3AFBC">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7257CE2A">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（1）本项目为全流程电子化采购项目，通过广西政府采购云平台（</w:t>
            </w:r>
            <w:r>
              <w:rPr>
                <w:rFonts w:hint="eastAsia" w:ascii="宋体" w:hAnsi="宋体" w:cs="宋体"/>
                <w:color w:val="auto"/>
                <w:sz w:val="21"/>
                <w:szCs w:val="21"/>
                <w:highlight w:val="none"/>
                <w:lang w:eastAsia="zh-CN"/>
              </w:rPr>
              <w:t>https://www.gcy.zfcg.gxzf.gov.cn</w:t>
            </w:r>
            <w:r>
              <w:rPr>
                <w:rFonts w:hint="eastAsia" w:ascii="宋体" w:hAnsi="宋体" w:cs="宋体"/>
                <w:color w:val="auto"/>
                <w:sz w:val="21"/>
                <w:szCs w:val="21"/>
                <w:highlight w:val="none"/>
              </w:rPr>
              <w:t>/）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6359C7ED">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03D394EA">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3D92186A">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广西政府采购云平台将予以拒收。</w:t>
            </w:r>
          </w:p>
          <w:p w14:paraId="672B5103">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hAnsi="宋体" w:cs="宋体"/>
                <w:color w:val="auto"/>
                <w:sz w:val="21"/>
                <w:szCs w:val="21"/>
                <w:highlight w:val="none"/>
                <w:lang w:val="en-US"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）供应商需要在具备有摄像头及语音功能且互联网网络状况良好的电脑登录广西政府采购云平台远程开标大厅参与本次磋商，否则后果自负</w:t>
            </w:r>
            <w:r>
              <w:rPr>
                <w:rFonts w:hint="eastAsia" w:ascii="宋体" w:hAnsi="宋体" w:cs="宋体"/>
                <w:color w:val="auto"/>
                <w:sz w:val="21"/>
                <w:szCs w:val="21"/>
                <w:highlight w:val="none"/>
                <w:lang w:eastAsia="zh-CN"/>
              </w:rPr>
              <w:t>。</w:t>
            </w:r>
          </w:p>
        </w:tc>
      </w:tr>
      <w:tr w14:paraId="4D1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4198719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211" w:firstLineChars="100"/>
              <w:jc w:val="both"/>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33" w:type="dxa"/>
            <w:vAlign w:val="center"/>
          </w:tcPr>
          <w:p w14:paraId="4062BD3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eastAsia"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电子响应文件的制作、加密与签章规范</w:t>
            </w:r>
          </w:p>
        </w:tc>
        <w:tc>
          <w:tcPr>
            <w:tcW w:w="6309" w:type="dxa"/>
            <w:vAlign w:val="center"/>
          </w:tcPr>
          <w:p w14:paraId="2AAB24B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25.1制作前提：供应商必须先登录广西政府采购云平台（</w:t>
            </w:r>
            <w:r>
              <w:rPr>
                <w:rFonts w:hint="default" w:ascii="宋体" w:hAnsi="宋体" w:eastAsia="宋体" w:cs="宋体"/>
                <w:color w:val="0057FF"/>
                <w:kern w:val="0"/>
                <w:sz w:val="21"/>
                <w:szCs w:val="21"/>
                <w:lang w:val="en-US" w:eastAsia="zh-CN" w:bidi="ar"/>
              </w:rPr>
              <w:fldChar w:fldCharType="begin"/>
            </w:r>
            <w:r>
              <w:rPr>
                <w:rFonts w:hint="default" w:ascii="宋体" w:hAnsi="宋体" w:eastAsia="宋体" w:cs="宋体"/>
                <w:color w:val="0057FF"/>
                <w:kern w:val="0"/>
                <w:sz w:val="21"/>
                <w:szCs w:val="21"/>
                <w:lang w:val="en-US" w:eastAsia="zh-CN" w:bidi="ar"/>
              </w:rPr>
              <w:instrText xml:space="preserve"> HYPERLINK "https://www.gcy.zfcg.gxzf.gov.cn/" \t "_blank" </w:instrText>
            </w:r>
            <w:r>
              <w:rPr>
                <w:rFonts w:hint="default" w:ascii="宋体" w:hAnsi="宋体" w:eastAsia="宋体" w:cs="宋体"/>
                <w:color w:val="0057FF"/>
                <w:kern w:val="0"/>
                <w:sz w:val="21"/>
                <w:szCs w:val="21"/>
                <w:lang w:val="en-US" w:eastAsia="zh-CN" w:bidi="ar"/>
              </w:rPr>
              <w:fldChar w:fldCharType="separate"/>
            </w:r>
            <w:r>
              <w:rPr>
                <w:rStyle w:val="30"/>
                <w:rFonts w:hint="eastAsia" w:ascii="宋体" w:hAnsi="宋体" w:cs="宋体"/>
                <w:color w:val="0057FF"/>
                <w:sz w:val="21"/>
                <w:szCs w:val="21"/>
                <w:lang w:eastAsia="zh-CN"/>
              </w:rPr>
              <w:t>https://www.gcy.zfcg.gxzf.gov.cn</w:t>
            </w:r>
            <w:r>
              <w:rPr>
                <w:rStyle w:val="30"/>
                <w:rFonts w:hint="default" w:ascii="宋体" w:hAnsi="宋体" w:eastAsia="宋体" w:cs="宋体"/>
                <w:color w:val="0057FF"/>
                <w:sz w:val="21"/>
                <w:szCs w:val="21"/>
              </w:rPr>
              <w:t>/</w:t>
            </w:r>
            <w:r>
              <w:rPr>
                <w:rFonts w:hint="default" w:ascii="宋体" w:hAnsi="宋体" w:eastAsia="宋体" w:cs="宋体"/>
                <w:color w:val="0057FF"/>
                <w:kern w:val="0"/>
                <w:sz w:val="21"/>
                <w:szCs w:val="21"/>
                <w:lang w:val="en-US" w:eastAsia="zh-CN" w:bidi="ar"/>
              </w:rPr>
              <w:fldChar w:fldCharType="end"/>
            </w:r>
            <w:r>
              <w:rPr>
                <w:rFonts w:hint="default" w:ascii="宋体" w:hAnsi="宋体" w:eastAsia="宋体" w:cs="宋体"/>
                <w:color w:val="000000"/>
                <w:kern w:val="0"/>
                <w:sz w:val="21"/>
                <w:szCs w:val="21"/>
                <w:lang w:val="en-US" w:eastAsia="zh-CN" w:bidi="ar"/>
              </w:rPr>
              <w:t>）完成“申请获取采购文件”操作，否则将无法在线编制电子响应文件，由此产生的不利后果由供应商自行承担。</w:t>
            </w:r>
          </w:p>
          <w:p w14:paraId="3AECFE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25.2编制要求：（1）供应商应下载“广西政府采购云平台电子投标客户端”，按照本磋商文件规定的响应文件格式、顺序及平台要求，编制电子响应文件。（2）电子响应文件需通过客户端“标书关联”功能进行关联定位，确保磋商小组评审时可直接点击评分项定位至对应内容；未关联定位或关联内容与评审项不符的，由供应商自行承担不利后果。（3）电子响应文件内容应完整、清晰，不得涂改；若需修改错漏，须由法定代表人（负责人、自然人）或授权委托代理人通过客户端采用个人CA认证证书签章；未办理个人CA认证证书的，需在响应文件对应签字位置手写签字后扫描（或拍照）转换为PDF格式上传。因文件字迹潦草、编排混乱导致误读、漏读的，后果由供应商自行承担。</w:t>
            </w:r>
          </w:p>
          <w:p w14:paraId="1C9D34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25.3加密要求：供应商编制完成电子响应文件后，必须按平台要求进行加密，生成后缀名为“jmbs”的加密电子响应文件；未按规定编制并加密的响应文件，广西政府采购云平台将予以拒收。</w:t>
            </w:r>
          </w:p>
          <w:p w14:paraId="3DCAFC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25.4签章规范：（1）本项目电子响应文件要求“加盖公章”的，均指供应商通过指定电子化政府采购平台办理的数字证书（CA认证证书）对应的电子印章，需按要求在文件指定位置完成CA签章。（2）本项目电子响应文件要求“签字”的，均指供应商法定代表人（负责人、自然人）或授权委托代理人通过指定电子化政府采购平台办理的个人CA认证证书对应的电子签字章，或手写签字后扫描（拍照）上传的PDF文件；未办理个人CA认证证书的，必须采用手写签字形式上传，否则响应文件按无效处理。（3）供应商为自然人的，磋商文件要求“盖公章”处，由自然人摁手指指印后扫描（拍照）上传PDF文件；要求“签字”处，按本款第（2）项手写签字要求执行。</w:t>
            </w:r>
          </w:p>
          <w:p w14:paraId="4EB25E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25.5备份文件要求：（1）供应商可根据自身情况，提供以U盘或光盘等介质存储的电子备份响应文件，备份文件格式需与平台上传的电子响应文件一致。（2）电子备份响应文件需在响应文件提交截止时间前，按要求密封（标注项目名称、单位名称并加盖公章）并送达开标地址，逾期送达或未按要求密封的将被拒收。（3）响应文件启用顺序：电子响应文件优先于电子备份响应文件；顺位在先的响应文件已按时解密的，下一顺位响应文件自动失效；仅当电子响应文件解密失败时，可启用备份文件上传，备份文件无法上传的后果由供应商自行承担。</w:t>
            </w:r>
          </w:p>
          <w:p w14:paraId="0C957E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eastAsia" w:ascii="宋体" w:hAnsi="宋体"/>
                <w:color w:val="auto"/>
                <w:sz w:val="21"/>
                <w:szCs w:val="21"/>
                <w:highlight w:val="none"/>
              </w:rPr>
            </w:pPr>
            <w:r>
              <w:rPr>
                <w:rFonts w:hint="default" w:ascii="宋体" w:hAnsi="宋体" w:eastAsia="宋体" w:cs="宋体"/>
                <w:color w:val="000000"/>
                <w:kern w:val="0"/>
                <w:sz w:val="21"/>
                <w:szCs w:val="21"/>
                <w:lang w:val="en-US" w:eastAsia="zh-CN" w:bidi="ar"/>
              </w:rPr>
              <w:t>25.6其他要求：供应商应确保电子响应文件内容与纸质备份文件（若提供）一致，若存在不一致，以加密的电子响应文件为准；电子响应文件的编制、加密、签章操作，可参考平台“服务中心-项目采购-操作流程-电子招投标-政府采购项目电子交易管理操作指南-供应商”，或拨打政采云客服热线95763咨询技术支持。</w:t>
            </w:r>
          </w:p>
        </w:tc>
      </w:tr>
      <w:tr w14:paraId="4D73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3CF336A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33" w:type="dxa"/>
            <w:vAlign w:val="center"/>
          </w:tcPr>
          <w:p w14:paraId="1430B2F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09" w:type="dxa"/>
            <w:vAlign w:val="center"/>
          </w:tcPr>
          <w:p w14:paraId="60714C16">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3F9058B1">
      <w:pPr>
        <w:pStyle w:val="34"/>
        <w:shd w:val="clear"/>
        <w:spacing w:line="360" w:lineRule="auto"/>
        <w:jc w:val="center"/>
        <w:rPr>
          <w:rFonts w:ascii="宋体" w:hAnsi="宋体"/>
          <w:b/>
          <w:color w:val="auto"/>
          <w:sz w:val="28"/>
          <w:szCs w:val="28"/>
          <w:highlight w:val="none"/>
        </w:rPr>
        <w:sectPr>
          <w:footerReference r:id="rId9" w:type="default"/>
          <w:pgSz w:w="11906" w:h="16838"/>
          <w:pgMar w:top="1134" w:right="1469" w:bottom="737" w:left="1817" w:header="851" w:footer="851" w:gutter="0"/>
          <w:pgNumType w:start="1"/>
          <w:cols w:space="720" w:num="1"/>
          <w:formProt w:val="1"/>
          <w:docGrid w:linePitch="312" w:charSpace="43007"/>
        </w:sectPr>
      </w:pPr>
    </w:p>
    <w:p w14:paraId="5FD0107B">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供应商须知</w:t>
      </w:r>
    </w:p>
    <w:p w14:paraId="7DBD132E">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69C75CE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1.适用范围</w:t>
      </w:r>
    </w:p>
    <w:p w14:paraId="35E9894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lang w:eastAsia="zh-CN"/>
        </w:rPr>
        <w:t>本文件仅适用于本文件中所叙述的工程类采购项目，依据《政府采购竞争性磋商采购方式管理暂行办法》（财库〔2014〕214号）及相关法律法规制定</w:t>
      </w:r>
      <w:r>
        <w:rPr>
          <w:rFonts w:ascii="宋体" w:hAnsi="宋体"/>
          <w:color w:val="auto"/>
          <w:szCs w:val="21"/>
          <w:highlight w:val="none"/>
        </w:rPr>
        <w:t>。</w:t>
      </w:r>
    </w:p>
    <w:p w14:paraId="1B894A6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2.定义</w:t>
      </w:r>
    </w:p>
    <w:p w14:paraId="715D276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崇左市江州区石景林街道办事处</w:t>
      </w:r>
    </w:p>
    <w:p w14:paraId="1644523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广西崇善项目咨询有限公司</w:t>
      </w:r>
    </w:p>
    <w:p w14:paraId="4AAC683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2.3“响应供应商”是指响应本文件要求，参加磋商的法人或者</w:t>
      </w:r>
      <w:r>
        <w:rPr>
          <w:rFonts w:hint="eastAsia" w:ascii="宋体" w:hAnsi="宋体"/>
          <w:color w:val="auto"/>
          <w:szCs w:val="21"/>
          <w:highlight w:val="none"/>
          <w:lang w:eastAsia="zh-CN"/>
        </w:rPr>
        <w:t>其他</w:t>
      </w:r>
      <w:r>
        <w:rPr>
          <w:rFonts w:ascii="宋体" w:hAnsi="宋体"/>
          <w:color w:val="auto"/>
          <w:szCs w:val="21"/>
          <w:highlight w:val="none"/>
        </w:rPr>
        <w:t>组织。如果该供应商在本次磋商中成交，即成为“成交供应商”。</w:t>
      </w:r>
    </w:p>
    <w:p w14:paraId="2D4919D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037FBCA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16C4898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2.6“竞争性磋商响应文件”是指：响应供应商根据本文件要求，编制包含报价、技术和服务等所有内容的文件。</w:t>
      </w:r>
    </w:p>
    <w:p w14:paraId="3E87568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7F7068A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3.响应供应商的基本条件：</w:t>
      </w:r>
    </w:p>
    <w:p w14:paraId="4D56186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28D0147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4.磋商费用</w:t>
      </w:r>
    </w:p>
    <w:p w14:paraId="4A299F4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4.1响应供应商应自行承担所有与编写和提交竞争性磋商响应文件有关的费用，不论磋商结果如何，采购人和</w:t>
      </w:r>
      <w:r>
        <w:rPr>
          <w:rFonts w:hint="eastAsia" w:ascii="宋体" w:hAnsi="宋体"/>
          <w:color w:val="auto"/>
          <w:szCs w:val="21"/>
          <w:highlight w:val="none"/>
          <w:lang w:eastAsia="zh-CN"/>
        </w:rPr>
        <w:t>广西崇善项目咨询有限公司</w:t>
      </w:r>
      <w:r>
        <w:rPr>
          <w:rFonts w:ascii="宋体" w:hAnsi="宋体"/>
          <w:color w:val="auto"/>
          <w:szCs w:val="21"/>
          <w:highlight w:val="none"/>
        </w:rPr>
        <w:t>在任何情况下无义务和责任承担此类费用。</w:t>
      </w:r>
    </w:p>
    <w:p w14:paraId="23871F2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5.磋商无效的情形</w:t>
      </w:r>
    </w:p>
    <w:p w14:paraId="6601E8B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5.1有下列情形之一的视为响应供应商相互串通竞标，响应文件将被视为无效：</w:t>
      </w:r>
    </w:p>
    <w:p w14:paraId="145B4039">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w:t>
      </w:r>
      <w:r>
        <w:rPr>
          <w:rFonts w:hint="eastAsia"/>
          <w:color w:val="auto"/>
          <w:sz w:val="21"/>
          <w:szCs w:val="21"/>
          <w:highlight w:val="none"/>
          <w:lang w:eastAsia="zh-CN"/>
        </w:rPr>
        <w:t>不同响应供应商的响应文件由同一单位或者个人编制；或不同响应供应商报名的IP地址一致，且不能提供合理说明的</w:t>
      </w:r>
      <w:r>
        <w:rPr>
          <w:color w:val="auto"/>
          <w:sz w:val="21"/>
          <w:szCs w:val="21"/>
          <w:highlight w:val="none"/>
        </w:rPr>
        <w:t>；</w:t>
      </w:r>
    </w:p>
    <w:p w14:paraId="555EBC92">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（2）不同响应供应商委托同一单位或者个人办理磋商事宜；</w:t>
      </w:r>
    </w:p>
    <w:p w14:paraId="523A0A86">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（3）不同的响应供应商的响应文件载明的项目管理员为同一个人；</w:t>
      </w:r>
    </w:p>
    <w:p w14:paraId="196E2F33">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（4）不同响应供应商的响应文件异常一致或磋商报价呈规律性差异；</w:t>
      </w:r>
    </w:p>
    <w:p w14:paraId="7EDE938E">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（5）不同响应供应商的响应文件相互混装。</w:t>
      </w:r>
    </w:p>
    <w:p w14:paraId="55B3734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626ED10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（1）关联响应供应商不得参加同一合同项下采购活动，否则响应文件将被视为无效。单位负责人为同一人或者存在直接控股、管理关系的不同的响应供应商，不得参加同一合同项下的采购活动；</w:t>
      </w:r>
    </w:p>
    <w:p w14:paraId="3A4EE2A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（2）响应供应商磋商所使用的资格、信誉、荣誉、业绩与企业认证必须为本法人所拥有。响应供应商投入所使用的采购项目实施人员必须为本法人员工（或必须为本法人或控股公司正式员工）。</w:t>
      </w:r>
    </w:p>
    <w:p w14:paraId="7ECB54F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（3）响应供应商应仔细阅读磋商文件的所有内容，按照磋商文件的要求提交响应文件，并对所提供的全部资料的真实性承担法律责任。</w:t>
      </w:r>
    </w:p>
    <w:p w14:paraId="5B2DC06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响应供应商在采购活动中提供任何虚假材料，其磋商无效，并报监管部门查处；成交后发现的，响应供应商须依照《中华人民共和国消费者权益保护法》第49条之规定双倍赔偿采购人，且民事赔偿并不免除违法响应供应商的行政与刑事责任。</w:t>
      </w:r>
    </w:p>
    <w:p w14:paraId="6026CA1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本项目严禁转包。关键性工作不得分包。非主体、非关键性工作如需分包，须经发包人书面同意，且分包人应具备相应资质，不得再次分包。如成交响应供应商出现违法转包或未经同意违法分包情形，采购单位有权取消其成交资格并追究相应责任</w:t>
      </w:r>
      <w:r>
        <w:rPr>
          <w:rFonts w:ascii="宋体" w:hAnsi="宋体"/>
          <w:color w:val="auto"/>
          <w:szCs w:val="21"/>
          <w:highlight w:val="none"/>
        </w:rPr>
        <w:t>。</w:t>
      </w:r>
    </w:p>
    <w:p w14:paraId="2F289BF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024EB17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73A0DD1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6EC0070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23662B5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6.4磋商文件的澄清或者修改都应该通过本项目采购代理机构以法定形式发布，采购人非通过本机构，不得擅自澄清、答复、修改或补充磋商文件。</w:t>
      </w:r>
    </w:p>
    <w:p w14:paraId="02FCD11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6.5采购代理机构可以视采购具体情况，延长响应文件提交截止时间和磋商时间，并在本项目竞争性磋商公告发布的同一媒体上发布变更公告。</w:t>
      </w:r>
    </w:p>
    <w:p w14:paraId="18037C4C">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62A5729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7.竞争性磋商响应文件编制基本要求</w:t>
      </w:r>
    </w:p>
    <w:p w14:paraId="43F7476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ascii="宋体" w:hAnsi="宋体"/>
          <w:color w:val="auto"/>
          <w:szCs w:val="21"/>
          <w:highlight w:val="none"/>
        </w:rPr>
        <w:t>响应供应商提交的竞争性磋商响应文件以及响应供应商与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采购人就有关磋商的所有来往函电均应使用中文。响应供应商提交的支持文件和印刷的文献可以使用别的语言，但其相应内容必须附有中文翻译文本，在解释竞争性磋商响应文件时以翻译文本为主。</w:t>
      </w:r>
    </w:p>
    <w:p w14:paraId="46E3776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ascii="宋体" w:hAnsi="宋体"/>
          <w:color w:val="auto"/>
          <w:szCs w:val="21"/>
          <w:highlight w:val="none"/>
        </w:rPr>
        <w:t>响应供应商应认真阅读、并充分理解本文件的全部内容（包括所有的补充、修改内容），承诺并履行本文件中各项条款规定及要求。</w:t>
      </w:r>
    </w:p>
    <w:p w14:paraId="341E317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竞争性磋商响应文件必须按本文件全部内容，包括所有的补充通知及附件进行编制。</w:t>
      </w:r>
    </w:p>
    <w:p w14:paraId="3687F11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7.5如因响应供应商只填写和提供了本文件要求的部分内容和附件，而给评审造成困难，其可能导致的结果和责任由响应供应商自行承担。</w:t>
      </w:r>
    </w:p>
    <w:p w14:paraId="1E09358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3CB6F0E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679DE38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7E6B054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有效的资质证书副本复印件及有效的安全生产许可证副本复印件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367F9E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拟派项目经理的身份证复印件、注册建造师证和安全生产考核合格证书（B类）复印件及未在建承诺函</w:t>
      </w:r>
      <w:r>
        <w:rPr>
          <w:rFonts w:ascii="宋体" w:hAnsi="宋体"/>
          <w:b/>
          <w:bCs/>
          <w:color w:val="auto"/>
          <w:szCs w:val="21"/>
          <w:highlight w:val="none"/>
        </w:rPr>
        <w:t>（</w:t>
      </w:r>
      <w:r>
        <w:rPr>
          <w:rFonts w:hint="eastAsia" w:ascii="宋体" w:hAnsi="宋体"/>
          <w:b/>
          <w:bCs/>
          <w:color w:val="auto"/>
          <w:szCs w:val="21"/>
          <w:highlight w:val="none"/>
          <w:lang w:eastAsia="zh-CN"/>
        </w:rPr>
        <w:t>必须提供，</w:t>
      </w:r>
      <w:r>
        <w:rPr>
          <w:rFonts w:hint="eastAsia" w:ascii="宋体" w:hAnsi="宋体"/>
          <w:b/>
          <w:bCs/>
          <w:color w:val="auto"/>
          <w:szCs w:val="21"/>
          <w:highlight w:val="none"/>
          <w:lang w:val="en-US" w:eastAsia="zh-CN"/>
        </w:rPr>
        <w:t>格式自拟，</w:t>
      </w:r>
      <w:r>
        <w:rPr>
          <w:rFonts w:hint="eastAsia" w:ascii="宋体" w:hAnsi="宋体"/>
          <w:b/>
          <w:bCs/>
          <w:color w:val="auto"/>
          <w:szCs w:val="21"/>
          <w:highlight w:val="none"/>
          <w:lang w:eastAsia="zh-CN"/>
        </w:rPr>
        <w:t>否则响应文件按无效响应处理</w:t>
      </w:r>
      <w:r>
        <w:rPr>
          <w:rFonts w:ascii="宋体" w:hAnsi="宋体"/>
          <w:b/>
          <w:bCs/>
          <w:color w:val="auto"/>
          <w:szCs w:val="21"/>
          <w:highlight w:val="none"/>
        </w:rPr>
        <w:t>）</w:t>
      </w:r>
    </w:p>
    <w:p w14:paraId="54793CA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7655968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7C72455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4274A97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110F1DE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（必须提供，否则响应文件按无效响应处理）</w:t>
      </w:r>
    </w:p>
    <w:p w14:paraId="643114D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（委托代理时必须提供，否则响应文件按无效响应处理）</w:t>
      </w:r>
    </w:p>
    <w:p w14:paraId="064A1C0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（必须提供，否则响应文件按无效响应处理）</w:t>
      </w:r>
    </w:p>
    <w:p w14:paraId="2014151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2CFCF41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）磋商函附录；</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2255441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）磋商报价表；</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4B3E0E8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71B5E6A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2DE27AF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4708F346">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09E0FE6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20FCB765">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639981C8">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157CDF19">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3733C0E2">
      <w:pPr>
        <w:pStyle w:val="38"/>
        <w:shd w:val="clea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34BE8350">
      <w:pPr>
        <w:pStyle w:val="35"/>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负责人、自然人)或相应的授权委托代理人在规定位置签字的，可使用法定代表人(负责人、自然人)或相应的授权委托代理人个人CA证书签章，没有办理个人CA证书签章的可在响应文件中涉及到签字的位置手写签字后扫描或者拍照做成PDF的格式上传，无个人CA证书签章或手写签字的，响应文件按无效处理。</w:t>
      </w:r>
    </w:p>
    <w:p w14:paraId="3819FE3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8.计量单位</w:t>
      </w:r>
    </w:p>
    <w:p w14:paraId="10624C6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8.1除技术要求中另有规定外，本文件所要求使用的计量单位均应采用国家法定计量单位。</w:t>
      </w:r>
    </w:p>
    <w:p w14:paraId="41418524">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72E921D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149D178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7EF0A51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9.2.1本合同采用</w:t>
      </w:r>
      <w:r>
        <w:rPr>
          <w:rFonts w:hint="default" w:ascii="宋体" w:hAnsi="宋体"/>
          <w:color w:val="auto"/>
          <w:szCs w:val="21"/>
          <w:highlight w:val="none"/>
        </w:rPr>
        <w:t>单价合同形式，工程量按实际完成并经发包人、监理人共同确认的合格工程量进行结算。供应商在响应文件中提交的已标价工程量清单中的综合单价为合同结算依据；供应商填报的工程量清单总价为磋商报价，仅作为评审阶段的报价得分依据</w:t>
      </w:r>
      <w:r>
        <w:rPr>
          <w:rFonts w:ascii="宋体" w:hAnsi="宋体"/>
          <w:color w:val="auto"/>
          <w:szCs w:val="21"/>
          <w:highlight w:val="none"/>
        </w:rPr>
        <w:t>。</w:t>
      </w:r>
    </w:p>
    <w:p w14:paraId="4533E85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9.2.2供应商所填报的各项基价中的各种材料单价在合同实施期间不因市场价格变化因素而变动，除工程变更、项目特征不符、工程量清单缺项、工程量偏差、约定的材料设备价格风险和政策性调整以外，供应商在报综合单价时应考虑各种风险因素和自己的承受能力。</w:t>
      </w:r>
    </w:p>
    <w:p w14:paraId="66488DE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9.2.3因设计变更引起工程项目、工程量变化的，变更合同价款按下列方法进行：</w:t>
      </w:r>
    </w:p>
    <w:p w14:paraId="6BC2269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eastAsia="zh-CN"/>
        </w:rPr>
        <w:t>磋商</w:t>
      </w:r>
      <w:r>
        <w:rPr>
          <w:rFonts w:ascii="宋体" w:hAnsi="宋体"/>
          <w:color w:val="auto"/>
          <w:szCs w:val="21"/>
          <w:highlight w:val="none"/>
        </w:rPr>
        <w:t>时的成交价格进行结算；</w:t>
      </w:r>
    </w:p>
    <w:p w14:paraId="6804CE8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2D7910C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299FC5D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5B3DACC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（1）有工程数量的应报单价和合价。</w:t>
      </w:r>
    </w:p>
    <w:p w14:paraId="72E4416C">
      <w:pPr>
        <w:pStyle w:val="34"/>
        <w:keepNext w:val="0"/>
        <w:keepLines w:val="0"/>
        <w:pageBreakBefore w:val="0"/>
        <w:widowControl w:val="0"/>
        <w:shd w:val="clear"/>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予以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0490EAB2">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eastAsia="zh-CN"/>
        </w:rPr>
        <w:t>磋商报价</w:t>
      </w:r>
      <w:r>
        <w:rPr>
          <w:rFonts w:ascii="宋体" w:hAnsi="宋体"/>
          <w:b/>
          <w:color w:val="auto"/>
          <w:szCs w:val="21"/>
          <w:highlight w:val="none"/>
        </w:rPr>
        <w:t>的依据。凡工程量清单已指明的工程费用，供应商应计入相关项目的单价中。</w:t>
      </w:r>
    </w:p>
    <w:p w14:paraId="29CBB4F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w:t>
      </w:r>
      <w:r>
        <w:rPr>
          <w:rFonts w:hint="eastAsia" w:ascii="宋体" w:hAnsi="宋体"/>
          <w:color w:val="auto"/>
          <w:szCs w:val="21"/>
          <w:highlight w:val="none"/>
          <w:lang w:eastAsia="zh-CN"/>
        </w:rPr>
        <w:t>磋商报价</w:t>
      </w:r>
      <w:r>
        <w:rPr>
          <w:rFonts w:ascii="宋体" w:hAnsi="宋体"/>
          <w:color w:val="auto"/>
          <w:szCs w:val="21"/>
          <w:highlight w:val="none"/>
        </w:rPr>
        <w:t>中自行考虑。</w:t>
      </w:r>
    </w:p>
    <w:p w14:paraId="2B5CBE5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施工用的水、电供应由承包人通过现场勘察后自行确定。施工用水、电由承包人负责施工场地内的管、线路的铺、架设，并承担施工期间用电、用水的使用、维护和安全责任等。</w:t>
      </w:r>
    </w:p>
    <w:p w14:paraId="2E2ABE2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w:t>
      </w:r>
      <w:r>
        <w:rPr>
          <w:rFonts w:hint="eastAsia" w:ascii="宋体" w:hAnsi="宋体"/>
          <w:color w:val="auto"/>
          <w:szCs w:val="21"/>
          <w:highlight w:val="none"/>
          <w:lang w:eastAsia="zh-CN"/>
        </w:rPr>
        <w:t>农作物</w:t>
      </w:r>
      <w:r>
        <w:rPr>
          <w:rFonts w:ascii="宋体" w:hAnsi="宋体"/>
          <w:color w:val="auto"/>
          <w:szCs w:val="21"/>
          <w:highlight w:val="none"/>
        </w:rPr>
        <w:t>恢复费、取土费、复垦费、运输道路修建费、临时占地费、青苗补偿费、维护费等，由供应商根据市场价格及本身所能承受的风险自行考虑。但土料场的土料必须试验合格并经设计、发包人同意后方可用于本工程。</w:t>
      </w:r>
    </w:p>
    <w:p w14:paraId="7DDB0D3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9.2.9</w:t>
      </w:r>
      <w:r>
        <w:rPr>
          <w:rFonts w:ascii="宋体" w:hAnsi="宋体"/>
          <w:color w:val="auto"/>
          <w:szCs w:val="21"/>
          <w:highlight w:val="none"/>
        </w:rPr>
        <w:t>供应商在报价中所报的单价和合价，以及</w:t>
      </w:r>
      <w:r>
        <w:rPr>
          <w:rFonts w:hint="eastAsia" w:ascii="宋体" w:hAnsi="宋体"/>
          <w:color w:val="auto"/>
          <w:szCs w:val="21"/>
          <w:highlight w:val="none"/>
          <w:lang w:eastAsia="zh-CN"/>
        </w:rPr>
        <w:t>磋商报价</w:t>
      </w:r>
      <w:r>
        <w:rPr>
          <w:rFonts w:ascii="宋体" w:hAnsi="宋体"/>
          <w:color w:val="auto"/>
          <w:szCs w:val="21"/>
          <w:highlight w:val="none"/>
        </w:rPr>
        <w:t>汇总表中的价格均包括完成该工程项目的成本、利润、增值税、开办费、技术措施费、设备吊装.运输.装卸费、大型机械进出场费、风险费、政策性文件规定费用等所有费用。</w:t>
      </w:r>
    </w:p>
    <w:p w14:paraId="2636F21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9.2.10</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0466628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9.2.11</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0BF84F6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9.2.12</w:t>
      </w:r>
      <w:r>
        <w:rPr>
          <w:rFonts w:hint="eastAsia" w:ascii="宋体" w:hAnsi="宋体"/>
          <w:b/>
          <w:color w:val="auto"/>
          <w:szCs w:val="21"/>
          <w:highlight w:val="none"/>
          <w:lang w:eastAsia="zh-CN"/>
        </w:rPr>
        <w:t>本项目采用多次报价方式，未书面退出磋商的供应商必须在规定时间内登录广西政府采购云平台在线提交最后报价，其最后报价不得超出采购预算。供应商的最终报价如有变动，则必须以工程量清单报价表（已标价工程量清单）的格式编制提交，供应商须提前做好相关准备并按时上传最终商务报价文件，否则磋商无效。若供应商的最后报价高于首次报价，应在报价文件中附书面报价调整说明（如新增工程内容、设计变更等），否则磋商小组有权要求其作出合理解释</w:t>
      </w:r>
      <w:r>
        <w:rPr>
          <w:rFonts w:hint="eastAsia" w:ascii="宋体" w:hAnsi="宋体" w:eastAsia="宋体" w:cs="Times New Roman"/>
          <w:b/>
          <w:color w:val="auto"/>
          <w:szCs w:val="21"/>
          <w:highlight w:val="none"/>
        </w:rPr>
        <w:t>。</w:t>
      </w:r>
    </w:p>
    <w:p w14:paraId="1EED87E8">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9.2.13供应商的竞标报价须按竞争性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文件的要求。</w:t>
      </w:r>
    </w:p>
    <w:p w14:paraId="786ECEE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5ACC1ED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9.3.1本</w:t>
      </w:r>
      <w:r>
        <w:rPr>
          <w:rFonts w:ascii="宋体" w:hAnsi="宋体"/>
          <w:color w:val="auto"/>
          <w:szCs w:val="21"/>
          <w:highlight w:val="none"/>
        </w:rPr>
        <w:t>工程的计算依据：</w:t>
      </w:r>
      <w:r>
        <w:rPr>
          <w:rFonts w:ascii="宋体" w:hAnsi="宋体"/>
          <w:b/>
          <w:color w:val="auto"/>
          <w:szCs w:val="21"/>
          <w:highlight w:val="none"/>
        </w:rPr>
        <w:t>详见工程量清单</w:t>
      </w:r>
    </w:p>
    <w:p w14:paraId="375389D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9.4磋商有效期：</w:t>
      </w:r>
    </w:p>
    <w:p w14:paraId="5B8DCAF7">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6221FF0E">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9.4.2</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40870078">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0FB0A7E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087343B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10.1.1供应商制作电子响应文件前，应登陆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19E1BAD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端”编制电子响应文件。</w:t>
      </w:r>
    </w:p>
    <w:p w14:paraId="47CB1B4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10.1.3供应商应按“</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7417BEC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端”采用</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成PDF的格式上传。因响应文件字迹潦草、表达不清、内容不完整、编排混乱导致响应文件被误读、漏读，或者在按竞争性磋商文件规定的部位查找不到相关内容的，其不利后果由供应商自行承担。</w:t>
      </w:r>
    </w:p>
    <w:p w14:paraId="53C76A2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采购代理机构</w:t>
      </w:r>
      <w:r>
        <w:rPr>
          <w:rFonts w:hint="eastAsia" w:ascii="宋体" w:hAnsi="宋体"/>
          <w:color w:val="auto"/>
          <w:szCs w:val="21"/>
          <w:highlight w:val="none"/>
        </w:rPr>
        <w:t>将予以拒收。</w:t>
      </w:r>
    </w:p>
    <w:p w14:paraId="562DDDDF">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472ADA6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2C69EEF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10.2.2本竞争性磋商文件中要求供应商对其电子响应文件的相关内容加盖公章的，均指采用CA证书签章。</w:t>
      </w:r>
    </w:p>
    <w:p w14:paraId="68CFAE7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0B980E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s="宋体"/>
          <w:b/>
          <w:color w:val="auto"/>
          <w:kern w:val="0"/>
          <w:szCs w:val="21"/>
          <w:highlight w:val="none"/>
        </w:rPr>
        <w:t>首次响应文件的提交、撤回、修改、响应文件的解密</w:t>
      </w:r>
    </w:p>
    <w:p w14:paraId="4E41A3C9">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1E9F78F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48CBDC5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5C193F2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0E27CBC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64677B9F">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5E11D41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w:t>
      </w:r>
      <w:r>
        <w:rPr>
          <w:rFonts w:hint="eastAsia" w:ascii="宋体" w:hAnsi="宋体"/>
          <w:color w:val="auto"/>
          <w:szCs w:val="21"/>
          <w:highlight w:val="none"/>
          <w:lang w:val="en-US" w:eastAsia="zh-CN"/>
        </w:rPr>
        <w:t>30</w:t>
      </w:r>
      <w:r>
        <w:rPr>
          <w:rFonts w:hint="eastAsia" w:ascii="宋体" w:hAnsi="宋体"/>
          <w:color w:val="auto"/>
          <w:szCs w:val="21"/>
          <w:highlight w:val="none"/>
        </w:rPr>
        <w:t>分钟内供应商还未进行解密的，视为供应商自动放弃磋商资格，其响应文件按撤回处理。供应商因预留联系方式无效、不准确或未预留联系方式导致无法接收通知的，相应后果由供应商自行承担。因电子交易平台系统故障等非供应商原因导致无法解密的，按本章第19.2条‘电子交易活动的中止’处理。</w:t>
      </w:r>
    </w:p>
    <w:p w14:paraId="3DDDBFD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如供应商成功解密响应文件，但未在“政采云”电子开标大厅参加磋商的，视同认可磋商过程和结果，由此产生的后果由供应商自行负责。参与磋商的供应商不足3家的，不得磋商。</w:t>
      </w:r>
    </w:p>
    <w:p w14:paraId="185DD88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12.迟交的竞争性磋商响应文件</w:t>
      </w:r>
    </w:p>
    <w:p w14:paraId="0BC2A99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广西崇善项目咨询有限公司</w:t>
      </w:r>
      <w:r>
        <w:rPr>
          <w:rFonts w:ascii="宋体" w:hAnsi="宋体"/>
          <w:color w:val="auto"/>
          <w:szCs w:val="21"/>
          <w:highlight w:val="none"/>
        </w:rPr>
        <w:t>将拒绝或原封退回在其规定的递交竞争性磋商响应文件截止时间之后收到的任何竞争性磋商响应文件。</w:t>
      </w:r>
    </w:p>
    <w:p w14:paraId="49FAE3DA">
      <w:pPr>
        <w:pStyle w:val="34"/>
        <w:shd w:val="clear"/>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565630DF">
      <w:pPr>
        <w:shd w:val="clea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4AFD84E8">
      <w:pPr>
        <w:shd w:val="clea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13.1磋商小组组成：</w:t>
      </w:r>
    </w:p>
    <w:p w14:paraId="280204B5">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采购代理机构在评审开始前，应当核实磋商小组成员身份，告知回避要求，宣布评审工作纪律和程序，并组织各成员签署《评审人员廉洁承诺书》。采购人代表不得担任磋商小组组长，具体磋商、评审工作由依法组建的磋商小组负责，本项目的磋商小组依法由采购人代表及采购招投标专家库中随机抽取的评审专家组成，成员总数为3人。</w:t>
      </w:r>
    </w:p>
    <w:p w14:paraId="656EBBB1">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根据《政府采购竞争性磋商采购方式管理暂行办法》（财库〔2014〕214号）第十四条规定，磋商小组中评审专家人数不得少于成员总数的三分之二；采购人代表不得担任磋商小组组长</w:t>
      </w:r>
    </w:p>
    <w:p w14:paraId="6E8D1829">
      <w:pPr>
        <w:shd w:val="clea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13.2磋商时间、地点、人员：</w:t>
      </w:r>
    </w:p>
    <w:p w14:paraId="52BAB8A0">
      <w:pPr>
        <w:shd w:val="clea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13.2.1磋商时间：首次响应文件提交截止时间后。</w:t>
      </w:r>
    </w:p>
    <w:p w14:paraId="2C297BAC">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13.2.2磋商地点：</w:t>
      </w:r>
      <w:r>
        <w:rPr>
          <w:rFonts w:hint="eastAsia" w:ascii="宋体" w:hAnsi="宋体" w:cs="宋体"/>
          <w:bCs/>
          <w:color w:val="auto"/>
          <w:sz w:val="21"/>
          <w:szCs w:val="21"/>
          <w:highlight w:val="none"/>
        </w:rPr>
        <w:t>供应商代表在响应文件提交当天实时登陆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69066C06">
      <w:pPr>
        <w:shd w:val="clea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13.2.3磋商参加人员：供应商法定代表人(负责人、自然人)或相应的委托代理人参加磋商。请供</w:t>
      </w:r>
    </w:p>
    <w:p w14:paraId="00C37E8B">
      <w:pPr>
        <w:shd w:val="clea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等候在线磋商。</w:t>
      </w:r>
    </w:p>
    <w:p w14:paraId="058B6C3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6B589D85">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E763BDA">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14.1磋商小组必须坚持公平、公正、科学和择优的原则。</w:t>
      </w:r>
    </w:p>
    <w:p w14:paraId="4F29FEBF">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70C582A4">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14.3磋商小组应按磋商文件进行评审，不得擅自更改评审办法。</w:t>
      </w:r>
    </w:p>
    <w:p w14:paraId="566F3A4D">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14.4在评审过程中，磋商小组任何人不得对某个供应商发表任何倾向性意见，不得向其他磋商小组成员明示或者暗示自己的评审意见。</w:t>
      </w:r>
    </w:p>
    <w:p w14:paraId="3B7DB2DE">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6AC81F76">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15953AF9">
      <w:pPr>
        <w:pStyle w:val="13"/>
        <w:shd w:val="clear"/>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63C49EA9">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15.2磋商小组应当审查供应商的响应文件并作出评价；要求供应商解释或者澄清其响应文件；编写评审报告；告知采购人、采购代理机构在评审过程中发现的供应商的违法违规行为。</w:t>
      </w:r>
    </w:p>
    <w:p w14:paraId="316F0217">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388226B4">
      <w:pPr>
        <w:shd w:val="clea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5DD56E73">
      <w:pPr>
        <w:shd w:val="clea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3A429815">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45D94E1A">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29DBC6B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246A1CC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456C49F6">
      <w:pPr>
        <w:shd w:val="clea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65B2A9D6">
      <w:pPr>
        <w:shd w:val="clea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3CA2FCCE">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签章的可在响应文件中涉及到签字的位置手写签字后扫描或者拍照做成PDF的格式上传）并附身份证明。</w:t>
      </w:r>
    </w:p>
    <w:p w14:paraId="39631718">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67383F07">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543FFC95">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4B5636C8">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538E7B5D">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8AA7F5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3485B283">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供应商必须按照磋商文件的变动情况和磋商小组的要求重新提交响应文件，并由其法定代表人(负责人、自然人)或相应的授权委托代表个人CA证书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章的可在响应文件中涉及到签字的位置手写签字后扫描或者拍照做成PDF的格式上传）或者加盖供应商公章（CA证书签章）。逾时不交的，视同放弃磋商。</w:t>
      </w:r>
    </w:p>
    <w:p w14:paraId="5F1E6F46">
      <w:pPr>
        <w:widowControl/>
        <w:shd w:val="clear"/>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655E2346">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143C64B1">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15.7.2最后报价是供应商响应文件的有效组成部分。</w:t>
      </w:r>
    </w:p>
    <w:p w14:paraId="4563BF98">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w:t>
      </w:r>
      <w:r>
        <w:rPr>
          <w:rFonts w:hint="eastAsia" w:ascii="宋体" w:hAnsi="宋体" w:cs="宋体"/>
          <w:color w:val="auto"/>
          <w:sz w:val="21"/>
          <w:szCs w:val="21"/>
          <w:highlight w:val="none"/>
          <w:lang w:val="en-US" w:eastAsia="zh-CN"/>
        </w:rPr>
        <w:t>7.3</w:t>
      </w:r>
      <w:r>
        <w:rPr>
          <w:rFonts w:hint="eastAsia" w:ascii="宋体" w:hAnsi="宋体" w:cs="宋体"/>
          <w:color w:val="auto"/>
          <w:sz w:val="21"/>
          <w:szCs w:val="21"/>
          <w:highlight w:val="none"/>
        </w:rPr>
        <w:t>已提交响应文件的供应商，在提交最后报价之前，可以根据磋商情况书面退出磋商。</w:t>
      </w:r>
    </w:p>
    <w:p w14:paraId="545AD89A">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15.7.4</w:t>
      </w: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在线提交最后报价；磋商过程中磋商文件未作实质性变动的，最后报价不得大于首次报价。</w:t>
      </w:r>
    </w:p>
    <w:p w14:paraId="02EAFE4B">
      <w:pPr>
        <w:shd w:val="clear"/>
        <w:spacing w:line="380" w:lineRule="exact"/>
        <w:ind w:firstLine="420" w:firstLineChars="200"/>
        <w:rPr>
          <w:rFonts w:hint="eastAsia" w:ascii="宋体" w:hAnsi="宋体" w:cs="宋体"/>
          <w:color w:val="auto"/>
          <w:sz w:val="21"/>
          <w:szCs w:val="21"/>
          <w:highlight w:val="none"/>
        </w:rPr>
      </w:pPr>
      <w:r>
        <w:rPr>
          <w:rFonts w:hint="default" w:ascii="宋体" w:hAnsi="宋体" w:cs="宋体"/>
          <w:color w:val="auto"/>
          <w:sz w:val="21"/>
          <w:szCs w:val="21"/>
          <w:highlight w:val="none"/>
        </w:rPr>
        <w:t>15.8 异常低价审查</w:t>
      </w:r>
    </w:p>
    <w:p w14:paraId="06EA408D">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15.8.1 在符合性审查后，若出现以下情形之一的，磋商小组应当启动异常低价审查程序：</w:t>
      </w:r>
    </w:p>
    <w:p w14:paraId="228043EC">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（1）供应商的响应报价低于全部通过符合性审查供应商响应报价平均值的65%；</w:t>
      </w:r>
    </w:p>
    <w:p w14:paraId="440DCF04">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（2）供应商的响应报价低于通过符合性审查的次低报价供应商响应报价的65%；</w:t>
      </w:r>
    </w:p>
    <w:p w14:paraId="0741C6DE">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（3）供应商的响应报价低于采购项目最高限价的65%；</w:t>
      </w:r>
    </w:p>
    <w:p w14:paraId="3EF5EE0B">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（4）磋商小组基于专业判断，认为供应商报价过低，有可能影响产品质量或者不能诚信履约的其他情形。</w:t>
      </w:r>
    </w:p>
    <w:p w14:paraId="572233B9">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15.8.2 启动异常低价审查后，磋商小组应当要求相关供应商在评审现场合理时间内（一般不少于30分钟）对报价作出解释，并提供书面说明及必要的证明材料（包括但不限于项目具体成本测算、原材料成本、人工成本、管理费、利润等）。</w:t>
      </w:r>
    </w:p>
    <w:p w14:paraId="275DECDF">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15.8.3 供应商不能提供书面说明、证明材料，或者提供的说明、证明材料不能证明其报价合理性的，磋商小组应当将其作为无效响应处理。</w:t>
      </w:r>
    </w:p>
    <w:p w14:paraId="3A746E43">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15.8.4 异常低价审查的启动原因、审查意见和审查结果应当在评审报告中详细记录，并随供应商提供的相关说明及证明材料一并归档。</w:t>
      </w:r>
    </w:p>
    <w:p w14:paraId="2CB72F9E">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49DDC16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15.9.1磋商小组按竞争性磋商文件中规定的评审办法，对资格性审查和符合性审查合格的响应文件进行商务和技术评估，综合比较与评价。</w:t>
      </w:r>
    </w:p>
    <w:p w14:paraId="0BEACA1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4F049622">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3A510E54">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15.10在评审过程中出现法律法规和磋商文件均没有明确规定的情形时，由磋商小组现场协商解决，协商不一致的，由全体磋商小组投票表决，以得票率二分之一以上专家的意见为准。</w:t>
      </w:r>
    </w:p>
    <w:p w14:paraId="4E86FAD8">
      <w:pPr>
        <w:shd w:val="clea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143A975B">
      <w:pPr>
        <w:pStyle w:val="13"/>
        <w:shd w:val="clear"/>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28CB3D4E">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3D3C5B6C">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1C4C3928">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4EE7FB01">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0D1B3F86">
      <w:pPr>
        <w:widowControl/>
        <w:shd w:val="clear" w:color="auto"/>
        <w:spacing w:line="380" w:lineRule="exact"/>
        <w:jc w:val="left"/>
        <w:rPr>
          <w:rFonts w:hint="eastAsia" w:ascii="宋体" w:hAnsi="宋体" w:cs="宋体"/>
          <w:b/>
          <w:color w:val="auto"/>
          <w:sz w:val="21"/>
          <w:szCs w:val="21"/>
          <w:highlight w:val="none"/>
          <w:lang w:eastAsia="zh-CN"/>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5.1、5.2条为认定为串通投标、按无效投标处理的情形。除此之外，出现第17条所述情况之一的，其响应文件按无效处理。</w:t>
      </w:r>
      <w:r>
        <w:rPr>
          <w:rFonts w:hint="eastAsia" w:ascii="宋体" w:hAnsi="宋体" w:cs="宋体"/>
          <w:b/>
          <w:color w:val="auto"/>
          <w:sz w:val="21"/>
          <w:szCs w:val="21"/>
          <w:highlight w:val="none"/>
          <w:lang w:eastAsia="zh-CN"/>
        </w:rPr>
        <w:t>）</w:t>
      </w:r>
    </w:p>
    <w:p w14:paraId="0F02548D">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47C571CC">
      <w:pPr>
        <w:shd w:val="clear"/>
        <w:snapToGrid w:val="0"/>
        <w:spacing w:line="380" w:lineRule="exact"/>
        <w:ind w:firstLine="420" w:firstLineChars="200"/>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（2）超越了行政审批的经营范围的；</w:t>
      </w:r>
    </w:p>
    <w:p w14:paraId="0D88B8D0">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（3）不具备磋商文件规定的资格要求的；</w:t>
      </w:r>
    </w:p>
    <w:p w14:paraId="18FF8C3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（4）响应文件未按磋商文件的内容和要求编制，或提供虚假材料的；</w:t>
      </w:r>
    </w:p>
    <w:p w14:paraId="0EE7C962">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（5）响应文件有效期、服务期限、服务承诺不能满足磋商文件要求的；</w:t>
      </w:r>
    </w:p>
    <w:p w14:paraId="3D3D7A15">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（6）供应商未就“项目需求”中的所有服务内容作完整唯一报价的；</w:t>
      </w:r>
    </w:p>
    <w:p w14:paraId="2987D1C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（7）未在磋商小组规定的时间内重新提交响应文件的；</w:t>
      </w:r>
    </w:p>
    <w:p w14:paraId="2E7ABD94">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（8）未满足磋商文件实质性要求的；或者响应文件有采购人不能接受的附加条件的；</w:t>
      </w:r>
    </w:p>
    <w:p w14:paraId="2D3A74E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（9）不符合法律、法规和磋商文件规定的其他实质性要求和条件的。</w:t>
      </w:r>
    </w:p>
    <w:p w14:paraId="494E6EAD">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0B991355">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56ACEA1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6A7E2B44">
      <w:pPr>
        <w:widowControl/>
        <w:shd w:val="clear"/>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529484D9">
      <w:pPr>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762B05FE">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1BC372FA">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(1)电子交易平台发生故障而无法登录访问的：</w:t>
      </w:r>
    </w:p>
    <w:p w14:paraId="4CE31F8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(2)电子交易平台应用或数据库出现错误，不能进行正常操作的：</w:t>
      </w:r>
    </w:p>
    <w:p w14:paraId="62F7FB66">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(3)电子交易平台发现严重安全漏洞，有潜在泄密危险的；</w:t>
      </w:r>
    </w:p>
    <w:p w14:paraId="2D159A45">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(4)病毒发作导致不能进行正常操作的；</w:t>
      </w:r>
    </w:p>
    <w:p w14:paraId="353FDC9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(5)其他无法保证电子交易的公平、公正和安全的情况。</w:t>
      </w:r>
    </w:p>
    <w:p w14:paraId="34BC11A4">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5381F7B">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7A776BF8">
      <w:pPr>
        <w:pStyle w:val="13"/>
        <w:shd w:val="clear"/>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0B0735B8">
      <w:pPr>
        <w:shd w:val="clear"/>
        <w:snapToGrid w:val="0"/>
        <w:spacing w:line="380" w:lineRule="exact"/>
        <w:outlineLvl w:val="4"/>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21.信用查询</w:t>
      </w:r>
    </w:p>
    <w:p w14:paraId="48F2CBF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05819EF4">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⑴查询渠道：“信用中国”网站(www.creditchina.gov.cn)、中国政府采购网(www.ccgp.gov.cn)等；</w:t>
      </w:r>
    </w:p>
    <w:p w14:paraId="7CFA0D4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6D0C9EF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32890689">
      <w:pPr>
        <w:shd w:val="clear"/>
        <w:snapToGrid w:val="0"/>
        <w:spacing w:line="380" w:lineRule="exact"/>
        <w:ind w:firstLine="411" w:firstLineChars="196"/>
        <w:outlineLvl w:val="4"/>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p w14:paraId="45196466">
      <w:pPr>
        <w:pStyle w:val="13"/>
        <w:shd w:val="clear"/>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28237D6A">
      <w:pPr>
        <w:shd w:val="clea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24BDF724">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59368792">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13ACC351">
      <w:pPr>
        <w:shd w:val="clea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5EC97014">
      <w:pPr>
        <w:pStyle w:val="34"/>
        <w:shd w:val="clear"/>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686BAA9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.详见“响应供应商须知前附表”。</w:t>
      </w:r>
    </w:p>
    <w:p w14:paraId="71E00258">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5ED3269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.详见“响应供应商须知前附表”。</w:t>
      </w:r>
    </w:p>
    <w:p w14:paraId="768096A3">
      <w:pPr>
        <w:pStyle w:val="35"/>
        <w:rPr>
          <w:color w:val="auto"/>
          <w:highlight w:val="none"/>
        </w:rPr>
      </w:pPr>
    </w:p>
    <w:p w14:paraId="1A469C2A">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20DCCA17">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42013E01">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响应供应商认为采购文件、采购过程、成交结果使自己的权益受到损害的，可以在知道或者应知其权益受到损害之日起7个工作日内，以书面形式向采购人、采购代理机构提出质疑。响应供应商应在法定质疑期内一次性提出针对同一采购程序环节的质疑。</w:t>
      </w:r>
    </w:p>
    <w:p w14:paraId="4F2C29B3">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响应供应商（以下简称质疑响应供应商）应当是参与所质疑项目采购活动的响应供应商。潜在响应供应商已依法获取其可质疑的采购文件的，可以对该文件提出质疑。对采购文件提出质疑的，应当在获取采购文件或者采购文件公告期限届满之日起7个工作日内提出。</w:t>
      </w:r>
    </w:p>
    <w:p w14:paraId="757D26F6">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.3响应供应商提出质疑应当提交质疑函和必要的证明材料。质疑函应当包括下列内容：</w:t>
      </w:r>
    </w:p>
    <w:p w14:paraId="3137A100">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（1）响应供应商的姓名或者名称、地址、邮编、联系人及联系电话；</w:t>
      </w:r>
    </w:p>
    <w:p w14:paraId="036E8385">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50DCC505">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4DAB585A">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22B27CA8">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002DA4B1">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5BD6DAC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质疑书应当署名。质疑响应供应商为自然人的，应当由本人签字；质疑响应供应商为法人或者其他组织的，应当由法定代表人或者主要负责人签字和盖章，并加盖公章。</w:t>
      </w:r>
    </w:p>
    <w:p w14:paraId="2AE3CD8C">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响应供应商可以委托代理人进行质疑。其授权委托书应当载明代理人的姓名或者名称、代理事项、具体权限、期限和相关事项。响应供应商为自然人的，应当由本人签字；响应供应商为法人或者其他组织的，应当由法定代表人、主要负责人签字和盖章，并加盖公章。代理人提出质疑，应当提交响应供应商签署的授权委托书。</w:t>
      </w:r>
    </w:p>
    <w:p w14:paraId="70D1D30F">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3B74850B">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.6采购人、采购代理机构在收到响应供应商的质疑函后7个工作日内作出答复，并以书面形式通知质疑响应供应商和其他有关响应供应商。但答复的内容不得涉及商业秘密。</w:t>
      </w:r>
    </w:p>
    <w:p w14:paraId="406FF82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.7递交质疑函的联系事项：</w:t>
      </w:r>
      <w:r>
        <w:rPr>
          <w:rFonts w:hint="eastAsia" w:ascii="宋体" w:hAnsi="宋体"/>
          <w:color w:val="auto"/>
          <w:szCs w:val="21"/>
          <w:highlight w:val="none"/>
          <w:lang w:eastAsia="zh-CN"/>
        </w:rPr>
        <w:t>（详见公告）</w:t>
      </w:r>
    </w:p>
    <w:p w14:paraId="74C40F0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投诉。质疑响应供应商对采购人、采购代理机构的答复不满意，或者采购人、采购代理机构未在规定时间内作出答复的，可以在答复期满后15个工作日内向同级监管部门提起投诉。</w:t>
      </w:r>
    </w:p>
    <w:p w14:paraId="7D90CD45">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075DBF2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Times New Roman"/>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s="Times New Roman"/>
          <w:color w:val="auto"/>
          <w:szCs w:val="21"/>
          <w:highlight w:val="none"/>
        </w:rPr>
        <w:t>。</w:t>
      </w:r>
    </w:p>
    <w:p w14:paraId="3BA9CE2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.2发出成交通知书后，成交供应商有提供虚假材料或虚假承诺或未按相关规定与采购人签订合同等事宜的的，成交无效；给采购人造成的损失的，成交供应商还应当予以赔偿。</w:t>
      </w:r>
    </w:p>
    <w:p w14:paraId="438B173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.3发出成交通知书后，采购人无正当理由拒签合同的并给成交供应商造成损失的，应当赔偿损失。</w:t>
      </w:r>
    </w:p>
    <w:p w14:paraId="3CC113A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.4成交供应商因不可抗力或者自身原因不能履行采购合同的，采购人可以与排位在成交供应商之后第一位的成交候选供应商签订采购合同（或重新招标），以此类推。</w:t>
      </w:r>
    </w:p>
    <w:p w14:paraId="1624502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19.5采购合同是采购项目验收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0F40F0D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26</w:t>
      </w:r>
      <w:r>
        <w:rPr>
          <w:rFonts w:ascii="宋体" w:hAnsi="宋体"/>
          <w:color w:val="auto"/>
          <w:szCs w:val="21"/>
          <w:highlight w:val="none"/>
        </w:rPr>
        <w:t>.6采购人或成交供应商在合同履行过程中存在违反采购合同行为的，权益受损当事人应当将有关违约的情况以及拟采取的措施，及时书面报告采购代理机构。</w:t>
      </w:r>
    </w:p>
    <w:p w14:paraId="260BF4F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sectPr>
          <w:pgSz w:w="11906" w:h="16838"/>
          <w:pgMar w:top="1134" w:right="1134" w:bottom="1134" w:left="1417" w:header="851" w:footer="851" w:gutter="0"/>
          <w:cols w:space="720" w:num="1"/>
          <w:formProt w:val="1"/>
          <w:docGrid w:linePitch="312" w:charSpace="43007"/>
        </w:sectPr>
      </w:pPr>
      <w:r>
        <w:rPr>
          <w:rFonts w:hint="eastAsia" w:ascii="宋体" w:hAnsi="宋体"/>
          <w:color w:val="auto"/>
          <w:szCs w:val="21"/>
          <w:highlight w:val="none"/>
        </w:rPr>
        <w:t>26</w:t>
      </w:r>
      <w:r>
        <w:rPr>
          <w:rFonts w:ascii="宋体" w:hAnsi="宋体"/>
          <w:color w:val="auto"/>
          <w:szCs w:val="21"/>
          <w:highlight w:val="none"/>
        </w:rPr>
        <w:t>.7成交供应商拒绝签订采购合同的，并给采购人造成其损失的，还应当赔偿损失，并作为不良行为记录在案。同时，已缴纳的成交服务费不予退还。</w:t>
      </w:r>
    </w:p>
    <w:p w14:paraId="3FA65F80">
      <w:pPr>
        <w:shd w:val="clea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6EE3B27B">
      <w:pPr>
        <w:pStyle w:val="46"/>
        <w:shd w:val="clear"/>
        <w:ind w:firstLine="480"/>
        <w:rPr>
          <w:rFonts w:hint="eastAsia"/>
          <w:color w:val="auto"/>
          <w:highlight w:val="none"/>
        </w:rPr>
      </w:pPr>
    </w:p>
    <w:p w14:paraId="4B6A5B32">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2C15154A">
      <w:pPr>
        <w:shd w:val="clear"/>
        <w:spacing w:line="360" w:lineRule="auto"/>
        <w:ind w:firstLine="400" w:firstLineChars="200"/>
        <w:rPr>
          <w:rFonts w:hint="eastAsia" w:ascii="宋体" w:hAnsi="宋体" w:cs="宋体"/>
          <w:color w:val="auto"/>
          <w:szCs w:val="21"/>
          <w:highlight w:val="none"/>
        </w:rPr>
      </w:pPr>
    </w:p>
    <w:p w14:paraId="447565F0">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78BC557C">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11EEC6A3">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350C910B">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9"/>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22D0D202">
      <w:pPr>
        <w:pStyle w:val="46"/>
        <w:shd w:val="clear"/>
        <w:ind w:firstLine="420"/>
        <w:rPr>
          <w:rFonts w:hint="eastAsia" w:ascii="宋体" w:hAnsi="宋体" w:cs="宋体"/>
          <w:color w:val="auto"/>
          <w:sz w:val="21"/>
          <w:szCs w:val="21"/>
          <w:highlight w:val="none"/>
        </w:rPr>
      </w:pPr>
    </w:p>
    <w:p w14:paraId="6608E403">
      <w:pPr>
        <w:shd w:val="clear"/>
        <w:spacing w:line="360" w:lineRule="auto"/>
        <w:rPr>
          <w:rFonts w:hint="eastAsia" w:ascii="宋体" w:hAnsi="宋体" w:cs="宋体"/>
          <w:color w:val="auto"/>
          <w:szCs w:val="21"/>
          <w:highlight w:val="none"/>
        </w:rPr>
      </w:pPr>
    </w:p>
    <w:p w14:paraId="529ADB59">
      <w:pPr>
        <w:pStyle w:val="46"/>
        <w:shd w:val="clear"/>
        <w:ind w:firstLine="420"/>
        <w:rPr>
          <w:rFonts w:hint="eastAsia" w:ascii="宋体" w:hAnsi="宋体" w:cs="宋体"/>
          <w:color w:val="auto"/>
          <w:sz w:val="21"/>
          <w:szCs w:val="21"/>
          <w:highlight w:val="none"/>
        </w:rPr>
      </w:pPr>
    </w:p>
    <w:p w14:paraId="32BAE15F">
      <w:pPr>
        <w:shd w:val="clear"/>
        <w:spacing w:line="360" w:lineRule="auto"/>
        <w:rPr>
          <w:rFonts w:hint="eastAsia" w:ascii="宋体" w:hAnsi="宋体" w:cs="宋体"/>
          <w:color w:val="auto"/>
          <w:szCs w:val="21"/>
          <w:highlight w:val="none"/>
        </w:rPr>
      </w:pPr>
    </w:p>
    <w:p w14:paraId="7C57EC02">
      <w:pPr>
        <w:shd w:val="clear"/>
        <w:spacing w:line="360" w:lineRule="auto"/>
        <w:rPr>
          <w:rFonts w:hint="eastAsia" w:ascii="宋体" w:hAnsi="宋体" w:cs="宋体"/>
          <w:color w:val="auto"/>
          <w:szCs w:val="21"/>
          <w:highlight w:val="none"/>
        </w:rPr>
      </w:pPr>
    </w:p>
    <w:p w14:paraId="1247B4BB">
      <w:pPr>
        <w:pStyle w:val="46"/>
        <w:shd w:val="clear"/>
        <w:ind w:firstLine="420"/>
        <w:rPr>
          <w:rFonts w:hint="eastAsia" w:ascii="宋体" w:hAnsi="宋体" w:cs="宋体"/>
          <w:color w:val="auto"/>
          <w:sz w:val="21"/>
          <w:szCs w:val="21"/>
          <w:highlight w:val="none"/>
        </w:rPr>
      </w:pPr>
    </w:p>
    <w:p w14:paraId="1957FCA5">
      <w:pPr>
        <w:shd w:val="clear"/>
        <w:spacing w:line="360" w:lineRule="auto"/>
        <w:rPr>
          <w:rFonts w:hint="eastAsia" w:ascii="宋体" w:hAnsi="宋体" w:cs="宋体"/>
          <w:color w:val="auto"/>
          <w:szCs w:val="21"/>
          <w:highlight w:val="none"/>
        </w:rPr>
      </w:pPr>
    </w:p>
    <w:p w14:paraId="34EADAF4">
      <w:pPr>
        <w:shd w:val="clear"/>
        <w:spacing w:line="360" w:lineRule="auto"/>
        <w:rPr>
          <w:rFonts w:hint="eastAsia" w:ascii="宋体" w:hAnsi="宋体" w:cs="宋体"/>
          <w:color w:val="auto"/>
          <w:szCs w:val="21"/>
          <w:highlight w:val="none"/>
        </w:rPr>
      </w:pPr>
    </w:p>
    <w:p w14:paraId="2173751E">
      <w:pPr>
        <w:pStyle w:val="46"/>
        <w:shd w:val="clear"/>
        <w:ind w:firstLine="420"/>
        <w:rPr>
          <w:rFonts w:hint="eastAsia" w:ascii="宋体" w:hAnsi="宋体" w:cs="宋体"/>
          <w:color w:val="auto"/>
          <w:sz w:val="21"/>
          <w:szCs w:val="21"/>
          <w:highlight w:val="none"/>
        </w:rPr>
      </w:pPr>
    </w:p>
    <w:p w14:paraId="0A5F92A0">
      <w:pPr>
        <w:shd w:val="clear"/>
        <w:spacing w:line="360" w:lineRule="auto"/>
        <w:rPr>
          <w:rFonts w:hint="eastAsia" w:ascii="宋体" w:hAnsi="宋体" w:cs="宋体"/>
          <w:color w:val="auto"/>
          <w:szCs w:val="21"/>
          <w:highlight w:val="none"/>
        </w:rPr>
      </w:pPr>
    </w:p>
    <w:p w14:paraId="3A27DA7D">
      <w:pPr>
        <w:pStyle w:val="46"/>
        <w:shd w:val="clear"/>
        <w:ind w:firstLine="420"/>
        <w:rPr>
          <w:rFonts w:hint="eastAsia" w:ascii="宋体" w:hAnsi="宋体" w:cs="宋体"/>
          <w:color w:val="auto"/>
          <w:sz w:val="21"/>
          <w:szCs w:val="21"/>
          <w:highlight w:val="none"/>
        </w:rPr>
      </w:pPr>
    </w:p>
    <w:p w14:paraId="18639718">
      <w:pPr>
        <w:shd w:val="clear"/>
        <w:rPr>
          <w:rFonts w:hint="eastAsia" w:ascii="黑体" w:hAnsi="黑体" w:eastAsia="黑体" w:cs="黑体"/>
          <w:color w:val="auto"/>
          <w:szCs w:val="32"/>
          <w:highlight w:val="none"/>
        </w:rPr>
      </w:pPr>
    </w:p>
    <w:p w14:paraId="7C4E0973">
      <w:pPr>
        <w:pStyle w:val="46"/>
        <w:shd w:val="clear"/>
        <w:ind w:firstLine="480"/>
        <w:rPr>
          <w:rFonts w:hint="eastAsia" w:ascii="黑体" w:hAnsi="黑体" w:eastAsia="黑体" w:cs="黑体"/>
          <w:color w:val="auto"/>
          <w:szCs w:val="32"/>
          <w:highlight w:val="none"/>
        </w:rPr>
      </w:pPr>
    </w:p>
    <w:p w14:paraId="0489F074">
      <w:pPr>
        <w:shd w:val="clear"/>
        <w:rPr>
          <w:rFonts w:hint="eastAsia" w:ascii="黑体" w:hAnsi="黑体" w:eastAsia="黑体" w:cs="黑体"/>
          <w:color w:val="auto"/>
          <w:szCs w:val="32"/>
          <w:highlight w:val="none"/>
        </w:rPr>
      </w:pPr>
    </w:p>
    <w:p w14:paraId="26CD0145">
      <w:pPr>
        <w:pStyle w:val="3"/>
        <w:shd w:val="clear"/>
        <w:rPr>
          <w:rFonts w:hint="eastAsia" w:ascii="黑体" w:hAnsi="黑体" w:cs="黑体"/>
          <w:color w:val="auto"/>
          <w:highlight w:val="none"/>
        </w:rPr>
      </w:pPr>
    </w:p>
    <w:p w14:paraId="5D33A0CB">
      <w:pPr>
        <w:shd w:val="clear"/>
        <w:rPr>
          <w:rFonts w:hint="eastAsia"/>
          <w:color w:val="auto"/>
          <w:highlight w:val="none"/>
        </w:rPr>
      </w:pPr>
    </w:p>
    <w:p w14:paraId="101F139B">
      <w:pPr>
        <w:pStyle w:val="3"/>
        <w:shd w:val="clear"/>
        <w:rPr>
          <w:rFonts w:hint="eastAsia"/>
          <w:color w:val="auto"/>
          <w:highlight w:val="none"/>
        </w:rPr>
      </w:pPr>
    </w:p>
    <w:p w14:paraId="058886FA">
      <w:pPr>
        <w:shd w:val="clear"/>
        <w:rPr>
          <w:rFonts w:hint="eastAsia"/>
          <w:color w:val="auto"/>
          <w:highlight w:val="none"/>
        </w:rPr>
      </w:pPr>
    </w:p>
    <w:p w14:paraId="4FCFA192">
      <w:pPr>
        <w:shd w:val="clea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18731924">
      <w:pPr>
        <w:pStyle w:val="46"/>
        <w:shd w:val="clear"/>
        <w:ind w:firstLine="480"/>
        <w:rPr>
          <w:color w:val="auto"/>
          <w:highlight w:val="none"/>
        </w:rPr>
      </w:pPr>
    </w:p>
    <w:p w14:paraId="2434A9F4">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17D2317C">
      <w:pPr>
        <w:shd w:val="clea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45122C4D">
      <w:pPr>
        <w:widowControl/>
        <w:shd w:val="clear"/>
        <w:ind w:firstLine="400" w:firstLineChars="200"/>
        <w:rPr>
          <w:rFonts w:hint="eastAsia"/>
          <w:color w:val="auto"/>
          <w:highlight w:val="none"/>
        </w:rPr>
      </w:pPr>
    </w:p>
    <w:p w14:paraId="5FE92456">
      <w:pPr>
        <w:pStyle w:val="46"/>
        <w:shd w:val="clear"/>
        <w:ind w:firstLine="480"/>
        <w:rPr>
          <w:rFonts w:hint="eastAsia"/>
          <w:color w:val="auto"/>
          <w:highlight w:val="none"/>
        </w:rPr>
      </w:pPr>
    </w:p>
    <w:p w14:paraId="04D5B4A1">
      <w:pPr>
        <w:shd w:val="clear"/>
        <w:rPr>
          <w:rFonts w:hint="eastAsia"/>
          <w:color w:val="auto"/>
          <w:highlight w:val="none"/>
        </w:rPr>
      </w:pPr>
    </w:p>
    <w:p w14:paraId="4997CA11">
      <w:pPr>
        <w:shd w:val="clear"/>
        <w:rPr>
          <w:rFonts w:hint="eastAsia"/>
          <w:color w:val="auto"/>
          <w:highlight w:val="none"/>
        </w:rPr>
      </w:pPr>
    </w:p>
    <w:p w14:paraId="4923CA65">
      <w:pPr>
        <w:widowControl/>
        <w:shd w:val="clear"/>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41E84EBA">
      <w:pPr>
        <w:pStyle w:val="46"/>
        <w:shd w:val="clear"/>
        <w:ind w:firstLine="480"/>
        <w:rPr>
          <w:color w:val="auto"/>
          <w:highlight w:val="none"/>
        </w:rPr>
      </w:pPr>
    </w:p>
    <w:p w14:paraId="684AFD22">
      <w:pPr>
        <w:pStyle w:val="46"/>
        <w:shd w:val="clear"/>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4"/>
        <w:tblW w:w="8314" w:type="dxa"/>
        <w:tblInd w:w="96" w:type="dxa"/>
        <w:tblLayout w:type="fixed"/>
        <w:tblCellMar>
          <w:top w:w="0" w:type="dxa"/>
          <w:left w:w="108" w:type="dxa"/>
          <w:bottom w:w="0" w:type="dxa"/>
          <w:right w:w="108" w:type="dxa"/>
        </w:tblCellMar>
      </w:tblPr>
      <w:tblGrid>
        <w:gridCol w:w="2674"/>
        <w:gridCol w:w="3515"/>
        <w:gridCol w:w="2125"/>
      </w:tblGrid>
      <w:tr w14:paraId="2E5146DC">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118E09B9">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634664">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827E41A">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223D0C60">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EE42DBF">
            <w:pPr>
              <w:keepNext w:val="0"/>
              <w:keepLines w:val="0"/>
              <w:widowControl/>
              <w:suppressLineNumbers w:val="0"/>
              <w:shd w:val="clear"/>
              <w:spacing w:before="0" w:beforeAutospacing="0" w:after="0" w:afterAutospacing="0"/>
              <w:ind w:left="0" w:right="0"/>
              <w:jc w:val="left"/>
              <w:textAlignment w:val="center"/>
              <w:rPr>
                <w:rFonts w:hint="eastAsia" w:cs="宋体"/>
                <w:color w:val="auto"/>
                <w:sz w:val="20"/>
                <w:szCs w:val="21"/>
                <w:highlight w:val="none"/>
              </w:rPr>
            </w:pPr>
            <w:r>
              <w:rPr>
                <w:rFonts w:hint="eastAsia" w:cs="宋体"/>
                <w:b/>
                <w:bCs/>
                <w:color w:val="auto"/>
                <w:sz w:val="20"/>
                <w:szCs w:val="21"/>
                <w:highlight w:val="none"/>
              </w:rPr>
              <w:t>崇左市本级及江州区</w:t>
            </w:r>
          </w:p>
        </w:tc>
      </w:tr>
      <w:tr w14:paraId="0C08FEEB">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6D3DD7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56787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0AF055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0771-78204360771-7820439</w:t>
            </w:r>
          </w:p>
        </w:tc>
      </w:tr>
      <w:tr w14:paraId="36D56A6D">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1009C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880E4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0045E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0771-7917212</w:t>
            </w:r>
          </w:p>
        </w:tc>
      </w:tr>
      <w:tr w14:paraId="027F3CA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68324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1D209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6BCDF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0771-7917054</w:t>
            </w:r>
          </w:p>
        </w:tc>
      </w:tr>
      <w:tr w14:paraId="5BCCEB0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7B83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0BA75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698892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0771-7831103</w:t>
            </w:r>
          </w:p>
        </w:tc>
      </w:tr>
      <w:tr w14:paraId="72AEB74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4FC36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E730CF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74945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0771-79286500771-7920613</w:t>
            </w:r>
          </w:p>
        </w:tc>
      </w:tr>
      <w:tr w14:paraId="368A3DBA">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8543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42F6A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63AC8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0771-7925660</w:t>
            </w:r>
          </w:p>
        </w:tc>
      </w:tr>
      <w:tr w14:paraId="05D4A66F">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CEC7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9D26D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3D902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0771-7968699</w:t>
            </w:r>
          </w:p>
        </w:tc>
      </w:tr>
      <w:tr w14:paraId="7C86052F">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ED512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7AB6A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DA5CF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0771-7916636</w:t>
            </w:r>
          </w:p>
        </w:tc>
      </w:tr>
      <w:tr w14:paraId="158AE6B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2C040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98083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F1CEA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0771-7988895</w:t>
            </w:r>
          </w:p>
        </w:tc>
      </w:tr>
      <w:tr w14:paraId="229C19F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DE64F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DE953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C572F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0771-7960855</w:t>
            </w:r>
          </w:p>
        </w:tc>
      </w:tr>
      <w:tr w14:paraId="1B7B26F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F12EB0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A5895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17D0D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0771-7821126</w:t>
            </w:r>
          </w:p>
        </w:tc>
      </w:tr>
      <w:tr w14:paraId="257E574B">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3F901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D2D57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DA7F5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0771-7831866</w:t>
            </w:r>
          </w:p>
        </w:tc>
      </w:tr>
      <w:tr w14:paraId="2F7A1A04">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A57F11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扶绥县</w:t>
            </w:r>
          </w:p>
        </w:tc>
      </w:tr>
      <w:tr w14:paraId="5659A730">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8E62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25DF5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DA67E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0771-7535612</w:t>
            </w:r>
          </w:p>
        </w:tc>
      </w:tr>
      <w:tr w14:paraId="4F2341DE">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DA62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4BE92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03723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0771-7917330</w:t>
            </w:r>
          </w:p>
        </w:tc>
      </w:tr>
      <w:tr w14:paraId="58BAAD9E">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0572CD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237BF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D54889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0771-75165110771-7531157</w:t>
            </w:r>
          </w:p>
        </w:tc>
      </w:tr>
      <w:tr w14:paraId="3DE3801A">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41130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13A1A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86DC2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0771-7525822</w:t>
            </w:r>
          </w:p>
        </w:tc>
      </w:tr>
      <w:tr w14:paraId="7D9BD88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EBB3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2219F2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6F092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0771-5025887</w:t>
            </w:r>
          </w:p>
        </w:tc>
      </w:tr>
      <w:tr w14:paraId="6097BA53">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DF2C5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1B4F0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C24A8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0771-7533041</w:t>
            </w:r>
          </w:p>
        </w:tc>
      </w:tr>
      <w:tr w14:paraId="3749D9E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F1E596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C82B4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FFC63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0771-75361780771-7536177</w:t>
            </w:r>
          </w:p>
        </w:tc>
      </w:tr>
      <w:tr w14:paraId="2545D7D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290D2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D667E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97BFF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0771-7661101</w:t>
            </w:r>
          </w:p>
        </w:tc>
      </w:tr>
      <w:tr w14:paraId="218CA24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EE515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AFC5E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5AFB2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0771-7500768</w:t>
            </w:r>
          </w:p>
        </w:tc>
      </w:tr>
      <w:tr w14:paraId="3D8222A2">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FEF70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264F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0FD7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0771-7525678</w:t>
            </w:r>
          </w:p>
        </w:tc>
      </w:tr>
      <w:tr w14:paraId="6A3A9DED">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BAF2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1407D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2B051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6E435F3E">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3D0EE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74EBE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49449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0771-8620729</w:t>
            </w:r>
          </w:p>
        </w:tc>
      </w:tr>
      <w:tr w14:paraId="39A7512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9437A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81662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46059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0771-7917093</w:t>
            </w:r>
          </w:p>
        </w:tc>
      </w:tr>
      <w:tr w14:paraId="418BE83C">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05F26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1CFB9C">
            <w:pPr>
              <w:keepNext w:val="0"/>
              <w:keepLines w:val="0"/>
              <w:widowControl/>
              <w:suppressLineNumbers w:val="0"/>
              <w:shd w:val="clear"/>
              <w:spacing w:before="0" w:beforeAutospacing="0" w:after="90" w:afterAutospacing="0" w:line="23" w:lineRule="atLeast"/>
              <w:ind w:left="0" w:right="0"/>
              <w:jc w:val="left"/>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0FB92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0771-8629006</w:t>
            </w:r>
          </w:p>
        </w:tc>
      </w:tr>
      <w:tr w14:paraId="0D76B081">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DD548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4A2313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9606A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0771-8628166</w:t>
            </w:r>
          </w:p>
        </w:tc>
      </w:tr>
      <w:tr w14:paraId="02D55B89">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4066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39E9A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CE36F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0771-8630787</w:t>
            </w:r>
          </w:p>
        </w:tc>
      </w:tr>
      <w:tr w14:paraId="5127B07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850A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EFB7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D330F3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0771-8622237</w:t>
            </w:r>
          </w:p>
        </w:tc>
      </w:tr>
      <w:tr w14:paraId="22C14C83">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8E6FDAC">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崇左市江州区</w:t>
            </w:r>
          </w:p>
        </w:tc>
      </w:tr>
      <w:tr w14:paraId="60A6AB56">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644845">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工商银行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CA8B7B">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DE6DF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0771-3628078</w:t>
            </w:r>
          </w:p>
        </w:tc>
      </w:tr>
      <w:tr w14:paraId="0CC5DC01">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543C8E">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农业银行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0ED1572">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88A11C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w:t>
            </w:r>
            <w:r>
              <w:rPr>
                <w:rFonts w:hint="eastAsia" w:ascii="宋体" w:hAnsi="宋体" w:cs="宋体"/>
                <w:color w:val="auto"/>
                <w:sz w:val="20"/>
                <w:szCs w:val="21"/>
                <w:highlight w:val="none"/>
              </w:rPr>
              <w:t>7917015</w:t>
            </w:r>
          </w:p>
        </w:tc>
      </w:tr>
      <w:tr w14:paraId="0BB1172C">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EABCE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B03E6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1B7C85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0771-3689766</w:t>
            </w:r>
          </w:p>
        </w:tc>
      </w:tr>
      <w:tr w14:paraId="0C930C3C">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1BAB74">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B724EF">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D903F1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0771-3623887</w:t>
            </w:r>
          </w:p>
        </w:tc>
      </w:tr>
      <w:tr w14:paraId="0F188BEE">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41C778">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45E635">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bidi="ar"/>
              </w:rPr>
              <w:t>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AB45C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0771-3621996</w:t>
            </w:r>
          </w:p>
        </w:tc>
      </w:tr>
      <w:tr w14:paraId="7EAE3EB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B8A02C">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44038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98897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0771-3628366</w:t>
            </w:r>
          </w:p>
        </w:tc>
      </w:tr>
      <w:tr w14:paraId="7D20015F">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BBF906">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813BD">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710119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0771-3698002</w:t>
            </w:r>
          </w:p>
        </w:tc>
      </w:tr>
      <w:tr w14:paraId="7B5D1B45">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6FCD3E">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61263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3BAD2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0771-3626199</w:t>
            </w:r>
          </w:p>
        </w:tc>
      </w:tr>
      <w:tr w14:paraId="75D9C597">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970C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ABD02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8D4D0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675E2035">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1F052B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2EAF21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ADF1E3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0771-8868619</w:t>
            </w:r>
          </w:p>
        </w:tc>
      </w:tr>
      <w:tr w14:paraId="604A5902">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F6DDED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C0048E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F4A12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0771-8812504</w:t>
            </w:r>
          </w:p>
        </w:tc>
      </w:tr>
      <w:tr w14:paraId="4A5D724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A695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B07BFF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2801D4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0771-8820525</w:t>
            </w:r>
          </w:p>
        </w:tc>
      </w:tr>
      <w:tr w14:paraId="63B212F0">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C48B6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龙州农商行公司机构金融</w:t>
            </w:r>
            <w:r>
              <w:rPr>
                <w:rFonts w:hint="eastAsia" w:cs="宋体"/>
                <w:color w:val="auto"/>
                <w:sz w:val="20"/>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C21B3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0DA7E0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0771-8813013</w:t>
            </w:r>
          </w:p>
        </w:tc>
      </w:tr>
      <w:tr w14:paraId="3B699C47">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C4CB4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D31B9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07FAD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0771-8871021</w:t>
            </w:r>
          </w:p>
        </w:tc>
      </w:tr>
      <w:tr w14:paraId="295D00D2">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C481C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AB0B8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9AF6E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0771-8811533</w:t>
            </w:r>
          </w:p>
        </w:tc>
      </w:tr>
      <w:tr w14:paraId="6C22169E">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767F72">
            <w:pPr>
              <w:keepNext w:val="0"/>
              <w:keepLines w:val="0"/>
              <w:widowControl/>
              <w:suppressLineNumbers w:val="0"/>
              <w:shd w:val="clear"/>
              <w:spacing w:before="0" w:beforeAutospacing="0" w:after="0" w:afterAutospacing="0"/>
              <w:ind w:left="0" w:right="0"/>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崇左市江州区</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BD333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6262F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2C0CDDD6">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757ED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w:t>
            </w: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0D29A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C574E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0771-3532211</w:t>
            </w:r>
          </w:p>
        </w:tc>
      </w:tr>
      <w:tr w14:paraId="5E865D12">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12FABF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w:t>
            </w: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EA1A52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F1CF4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0771-7917046</w:t>
            </w:r>
          </w:p>
        </w:tc>
      </w:tr>
      <w:tr w14:paraId="075034F3">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1D799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37B2E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DE4F9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0771-3521361</w:t>
            </w:r>
          </w:p>
        </w:tc>
      </w:tr>
      <w:tr w14:paraId="6DA3C83B">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BA00D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4CC00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w:t>
            </w: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075F3C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0771-3522157</w:t>
            </w:r>
          </w:p>
        </w:tc>
      </w:tr>
      <w:tr w14:paraId="4D4522AF">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BC163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ABE929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w:t>
            </w:r>
            <w:r>
              <w:rPr>
                <w:rFonts w:hint="eastAsia" w:ascii="宋体" w:hAnsi="宋体" w:cs="宋体"/>
                <w:color w:val="auto"/>
                <w:sz w:val="20"/>
                <w:szCs w:val="21"/>
                <w:highlight w:val="none"/>
                <w:lang w:eastAsia="zh-CN"/>
              </w:rPr>
              <w:t>崇左市江州区</w:t>
            </w:r>
            <w:r>
              <w:rPr>
                <w:rFonts w:hint="eastAsia" w:ascii="宋体" w:hAnsi="宋体" w:cs="宋体"/>
                <w:color w:val="auto"/>
                <w:sz w:val="20"/>
                <w:szCs w:val="21"/>
                <w:highlight w:val="none"/>
              </w:rPr>
              <w:t>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2A566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0771-3528688</w:t>
            </w:r>
          </w:p>
        </w:tc>
      </w:tr>
      <w:tr w14:paraId="1EBC95A4">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A703B12">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val="en-US" w:eastAsia="zh-CN"/>
              </w:rPr>
              <w:t>凭祥市</w:t>
            </w:r>
          </w:p>
        </w:tc>
      </w:tr>
      <w:tr w14:paraId="1BEDA31F">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355B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6ECC6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EA1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0771-8529259</w:t>
            </w:r>
          </w:p>
        </w:tc>
      </w:tr>
      <w:tr w14:paraId="48331404">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5CE2C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C1D51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E4733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0771-7917258</w:t>
            </w:r>
          </w:p>
        </w:tc>
      </w:tr>
      <w:tr w14:paraId="3616BD6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9B386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B6ABD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F9A78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0771-85250680771-8536852</w:t>
            </w:r>
          </w:p>
        </w:tc>
      </w:tr>
      <w:tr w14:paraId="4D31B20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86467D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ECCF7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F0A1C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0771-8551161</w:t>
            </w:r>
          </w:p>
        </w:tc>
      </w:tr>
      <w:tr w14:paraId="2243996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A260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686FE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17038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0771-8561665</w:t>
            </w:r>
          </w:p>
        </w:tc>
      </w:tr>
      <w:tr w14:paraId="5CC827D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3F6E4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F9920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A5BF86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0771-8520356</w:t>
            </w:r>
          </w:p>
        </w:tc>
      </w:tr>
      <w:tr w14:paraId="7B4D1C03">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FDC86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1F16A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78BA6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0771-8535667</w:t>
            </w:r>
          </w:p>
        </w:tc>
      </w:tr>
      <w:tr w14:paraId="117C224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8DA3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BC6EC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09B9F6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0771-8520550</w:t>
            </w:r>
          </w:p>
        </w:tc>
      </w:tr>
      <w:tr w14:paraId="05D10BC0">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8C8B6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6F7C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A415E0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0771-8556667</w:t>
            </w:r>
          </w:p>
        </w:tc>
      </w:tr>
    </w:tbl>
    <w:p w14:paraId="50830F0D">
      <w:pPr>
        <w:pStyle w:val="35"/>
        <w:shd w:val="clear"/>
        <w:rPr>
          <w:color w:val="auto"/>
          <w:highlight w:val="none"/>
        </w:rPr>
      </w:pPr>
    </w:p>
    <w:p w14:paraId="227430B5">
      <w:pPr>
        <w:pStyle w:val="34"/>
        <w:shd w:val="clear"/>
        <w:rPr>
          <w:color w:val="auto"/>
          <w:highlight w:val="none"/>
        </w:rPr>
      </w:pPr>
    </w:p>
    <w:p w14:paraId="1C6C603F">
      <w:pPr>
        <w:pStyle w:val="35"/>
        <w:shd w:val="clear"/>
        <w:rPr>
          <w:color w:val="auto"/>
          <w:highlight w:val="none"/>
        </w:rPr>
        <w:sectPr>
          <w:pgSz w:w="11906" w:h="16838"/>
          <w:pgMar w:top="1134" w:right="1134" w:bottom="1134" w:left="1417" w:header="851" w:footer="851" w:gutter="0"/>
          <w:cols w:space="720" w:num="1"/>
          <w:formProt w:val="1"/>
          <w:docGrid w:linePitch="312" w:charSpace="43007"/>
        </w:sectPr>
      </w:pPr>
    </w:p>
    <w:p w14:paraId="5059B0EC">
      <w:pPr>
        <w:pStyle w:val="34"/>
        <w:shd w:val="clear"/>
        <w:spacing w:line="360" w:lineRule="auto"/>
        <w:jc w:val="center"/>
        <w:outlineLvl w:val="0"/>
        <w:rPr>
          <w:rFonts w:ascii="宋体" w:hAnsi="宋体"/>
          <w:b/>
          <w:color w:val="auto"/>
          <w:sz w:val="32"/>
          <w:szCs w:val="32"/>
          <w:highlight w:val="none"/>
        </w:rPr>
      </w:pPr>
      <w:bookmarkStart w:id="40" w:name="_Toc17060"/>
      <w:r>
        <w:rPr>
          <w:rFonts w:ascii="宋体" w:hAnsi="宋体"/>
          <w:b/>
          <w:color w:val="auto"/>
          <w:sz w:val="32"/>
          <w:szCs w:val="32"/>
          <w:highlight w:val="none"/>
        </w:rPr>
        <w:t>第三章技术规范</w:t>
      </w:r>
      <w:bookmarkEnd w:id="40"/>
    </w:p>
    <w:p w14:paraId="0F3317D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sz w:val="21"/>
          <w:szCs w:val="21"/>
          <w:highlight w:val="none"/>
          <w:lang w:val="en-US" w:eastAsia="zh-CN" w:bidi="hi-IN"/>
        </w:rPr>
      </w:pPr>
      <w:r>
        <w:rPr>
          <w:rFonts w:hint="eastAsia" w:ascii="Times New Roman" w:hAnsi="Times New Roman" w:eastAsia="宋体" w:cs="Times New Roman"/>
          <w:b/>
          <w:bCs/>
          <w:color w:val="auto"/>
          <w:sz w:val="21"/>
          <w:szCs w:val="21"/>
          <w:highlight w:val="none"/>
          <w:lang w:val="en-US" w:eastAsia="zh-CN" w:bidi="hi-IN"/>
        </w:rPr>
        <w:t>一、工程概况：</w:t>
      </w:r>
    </w:p>
    <w:p w14:paraId="234A3B8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ascii="Times New Roman" w:hAnsi="Times New Roman" w:eastAsia="宋体" w:cs="Times New Roman"/>
          <w:b w:val="0"/>
          <w:color w:val="auto"/>
          <w:sz w:val="21"/>
          <w:szCs w:val="21"/>
          <w:highlight w:val="none"/>
          <w:lang w:val="en-US" w:eastAsia="zh-CN" w:bidi="hi-IN"/>
        </w:rPr>
      </w:pPr>
      <w:r>
        <w:rPr>
          <w:rFonts w:hint="eastAsia" w:cs="Times New Roman"/>
          <w:b w:val="0"/>
          <w:color w:val="auto"/>
          <w:sz w:val="21"/>
          <w:szCs w:val="21"/>
          <w:highlight w:val="none"/>
          <w:lang w:val="en-US" w:eastAsia="zh-CN" w:bidi="hi-IN"/>
        </w:rPr>
        <w:t>本项目为卜利村旧村屯排污排水设施建设工程。主要建设内容包括：敷设DN400、DN300、DN200双壁波纹管约2226米，Φ160PVC-U排水管200米；新建Φ700砖砌圆形污水检查井47座；新建有效容积25.5立方米砖砌化粪池1座；以及配套的路面破除与恢复、土方工程、垫层及基础等；具体内容详见施工图纸及工程量清单</w:t>
      </w:r>
      <w:r>
        <w:rPr>
          <w:rFonts w:hint="eastAsia" w:ascii="Times New Roman" w:hAnsi="Times New Roman" w:eastAsia="宋体" w:cs="Times New Roman"/>
          <w:b w:val="0"/>
          <w:color w:val="auto"/>
          <w:sz w:val="21"/>
          <w:szCs w:val="21"/>
          <w:highlight w:val="none"/>
          <w:lang w:val="en-US" w:eastAsia="zh-CN" w:bidi="hi-IN"/>
        </w:rPr>
        <w:t>。</w:t>
      </w:r>
    </w:p>
    <w:p w14:paraId="37EA7AA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sz w:val="21"/>
          <w:szCs w:val="21"/>
          <w:highlight w:val="none"/>
          <w:lang w:val="en-US" w:eastAsia="zh-CN" w:bidi="hi-IN"/>
        </w:rPr>
      </w:pPr>
      <w:r>
        <w:rPr>
          <w:rFonts w:hint="eastAsia" w:ascii="Times New Roman" w:hAnsi="Times New Roman" w:eastAsia="宋体" w:cs="Times New Roman"/>
          <w:b/>
          <w:bCs/>
          <w:color w:val="auto"/>
          <w:sz w:val="21"/>
          <w:szCs w:val="21"/>
          <w:highlight w:val="none"/>
          <w:lang w:val="en-US" w:eastAsia="zh-CN" w:bidi="hi-IN"/>
        </w:rPr>
        <w:t>二、主要技术标准及规范（包括但不限于以下）：</w:t>
      </w:r>
    </w:p>
    <w:p w14:paraId="1BD9C0F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本工程所有施工及质量验收要求，凡施工图纸及设计说明中有明确规定的，以施工图纸及设计说明为准；图纸未明确的，执行下列标准及规范的现行有效版本。涉及标准中被替代废止的强制性条文不再执行。</w:t>
      </w:r>
    </w:p>
    <w:p w14:paraId="25716615">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《给水排水管道工程施工及验收规范》（GB 50268-2008）</w:t>
      </w:r>
    </w:p>
    <w:p w14:paraId="729C13F9">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《建筑给水排水与节水通用规范》（GB 55020-2021）</w:t>
      </w:r>
    </w:p>
    <w:p w14:paraId="4A01EE45">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《室外排水设计标准》（GB 50014-2021）</w:t>
      </w:r>
    </w:p>
    <w:p w14:paraId="6509209C">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《城乡排水工程项目规范》（GB 55027-2022）</w:t>
      </w:r>
    </w:p>
    <w:p w14:paraId="0BD7C940">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《埋地塑料排水管道工程技术规程》（CJJ 143-2010）</w:t>
      </w:r>
    </w:p>
    <w:p w14:paraId="6038DD0C">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《混凝土结构工程施工质量验收规范》（GB 50204-2015）</w:t>
      </w:r>
    </w:p>
    <w:p w14:paraId="001F3717">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《给水排水构筑物工程施工及验收规范》（GB 50141-2008）</w:t>
      </w:r>
    </w:p>
    <w:p w14:paraId="68127D2D">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《城镇道路工程施工与质量验收规范》（CJJ 1-2008）（适用于路面恢复部分）</w:t>
      </w:r>
    </w:p>
    <w:p w14:paraId="75408682">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《检查井盖》（GB/T 23858-2009）</w:t>
      </w:r>
    </w:p>
    <w:p w14:paraId="52585839">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《市政排水管道工程及附属设施》（图集06MS201）</w:t>
      </w:r>
    </w:p>
    <w:p w14:paraId="37705AB6">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《排水检查井》（图集02S515）</w:t>
      </w:r>
    </w:p>
    <w:p w14:paraId="2280D659">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广西壮族自治区及崇左市现行相关工程建设技术规程、强制性条文</w:t>
      </w:r>
    </w:p>
    <w:p w14:paraId="5E9F2EC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color w:val="auto"/>
          <w:kern w:val="0"/>
          <w:sz w:val="21"/>
          <w:szCs w:val="21"/>
          <w:highlight w:val="none"/>
          <w:lang w:val="en-US" w:eastAsia="zh-CN" w:bidi="hi-IN"/>
        </w:rPr>
      </w:pPr>
      <w:r>
        <w:rPr>
          <w:rFonts w:hint="eastAsia" w:ascii="Times New Roman" w:hAnsi="Times New Roman" w:eastAsia="宋体" w:cs="Times New Roman"/>
          <w:b w:val="0"/>
          <w:color w:val="auto"/>
          <w:kern w:val="0"/>
          <w:sz w:val="21"/>
          <w:szCs w:val="21"/>
          <w:highlight w:val="none"/>
          <w:lang w:val="en-US" w:eastAsia="zh-CN" w:bidi="hi-IN"/>
        </w:rPr>
        <w:t>说明：</w:t>
      </w:r>
      <w:r>
        <w:rPr>
          <w:rFonts w:hint="default" w:ascii="Times New Roman" w:hAnsi="Times New Roman" w:eastAsia="宋体" w:cs="Times New Roman"/>
          <w:b w:val="0"/>
          <w:color w:val="auto"/>
          <w:kern w:val="0"/>
          <w:sz w:val="21"/>
          <w:szCs w:val="21"/>
          <w:highlight w:val="none"/>
          <w:lang w:val="en-US" w:eastAsia="zh-CN" w:bidi="hi-IN"/>
        </w:rPr>
        <w:t> 本工程所有施工及质量验收要求，凡施工图纸及设计说明中有明确规定的，以施工图纸及设计说明为准；图纸未明确的，执行上述标准及规范的现行有效版本。涉及标准中被替代废止的强制性条文不再执行。</w:t>
      </w:r>
    </w:p>
    <w:p w14:paraId="5B33092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sz w:val="21"/>
          <w:szCs w:val="21"/>
          <w:highlight w:val="none"/>
          <w:lang w:val="en-US" w:eastAsia="zh-CN" w:bidi="hi-IN"/>
        </w:rPr>
      </w:pPr>
      <w:r>
        <w:rPr>
          <w:rFonts w:hint="eastAsia" w:ascii="Times New Roman" w:hAnsi="Times New Roman" w:eastAsia="宋体" w:cs="Times New Roman"/>
          <w:b/>
          <w:bCs/>
          <w:color w:val="auto"/>
          <w:sz w:val="21"/>
          <w:szCs w:val="21"/>
          <w:highlight w:val="none"/>
          <w:lang w:val="en-US" w:eastAsia="zh-CN" w:bidi="hi-IN"/>
        </w:rPr>
        <w:t>三、技术及施工要求</w:t>
      </w:r>
      <w:r>
        <w:rPr>
          <w:rFonts w:hint="eastAsia" w:cs="Times New Roman"/>
          <w:b/>
          <w:bCs/>
          <w:color w:val="auto"/>
          <w:sz w:val="21"/>
          <w:szCs w:val="21"/>
          <w:highlight w:val="none"/>
          <w:lang w:val="en-US" w:eastAsia="zh-CN" w:bidi="hi-IN"/>
        </w:rPr>
        <w:t>：</w:t>
      </w:r>
    </w:p>
    <w:p w14:paraId="13204EB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承包人须遵照施工图纸、工程量清单及本文件“二、主要技术标准及规范”所列的国家、地方现行规范标准施工，工程质量验收达到国家竣工验收规范合格标准。具体要求详见施工图，其中重点强调以下内容：</w:t>
      </w:r>
    </w:p>
    <w:p w14:paraId="4D9449F9">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leftChars="0" w:right="0" w:firstLine="420" w:firstLineChars="200"/>
        <w:jc w:val="left"/>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管材采用HDPE双壁波纹管（环刚度≥8kN/㎡）及PVC-U管，橡胶圈承插或粘接接口。</w:t>
      </w:r>
    </w:p>
    <w:p w14:paraId="48B7BF2A">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leftChars="0" w:right="0" w:firstLine="420" w:firstLineChars="200"/>
        <w:jc w:val="left"/>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管道基础采用180°机制中粗砂，地基承载力≥100kPa；沟槽回填须分层夯实，管顶500mm以内回填砂，密实度按图纸及规范执行。</w:t>
      </w:r>
    </w:p>
    <w:p w14:paraId="7FE09BC3">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leftChars="0" w:right="0" w:firstLine="420" w:firstLineChars="200"/>
        <w:jc w:val="left"/>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污水管道在回填前必须进行闭水试验，合格后方可回填。</w:t>
      </w:r>
    </w:p>
    <w:p w14:paraId="591C707A">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leftChars="0" w:right="0" w:firstLine="420" w:firstLineChars="200"/>
        <w:jc w:val="left"/>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Φ700砖砌检查井按图集06MS201-3/18施工，安装防坠落安全网，井盖采用重型球墨铸铁井盖。</w:t>
      </w:r>
    </w:p>
    <w:p w14:paraId="252E0D0D">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leftChars="0" w:right="0" w:firstLine="420" w:firstLineChars="200"/>
        <w:jc w:val="left"/>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路面恢复按原结构：100mm级配碎石基层+150mm C25混凝土面层。</w:t>
      </w:r>
    </w:p>
    <w:p w14:paraId="52834EBC">
      <w:pPr>
        <w:rPr>
          <w:rFonts w:hint="default"/>
          <w:lang w:val="en-US" w:eastAsia="zh-CN"/>
        </w:rPr>
      </w:pPr>
    </w:p>
    <w:p w14:paraId="39EA38B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sz w:val="21"/>
          <w:szCs w:val="21"/>
          <w:highlight w:val="none"/>
          <w:lang w:val="en-US" w:eastAsia="zh-CN" w:bidi="hi-IN"/>
        </w:rPr>
      </w:pPr>
      <w:r>
        <w:rPr>
          <w:rFonts w:hint="eastAsia" w:ascii="Times New Roman" w:hAnsi="Times New Roman" w:eastAsia="宋体" w:cs="Times New Roman"/>
          <w:b/>
          <w:bCs/>
          <w:color w:val="auto"/>
          <w:sz w:val="21"/>
          <w:szCs w:val="21"/>
          <w:highlight w:val="none"/>
          <w:lang w:val="en-US" w:eastAsia="zh-CN" w:bidi="hi-IN"/>
        </w:rPr>
        <w:t>四、其他要求：</w:t>
      </w:r>
    </w:p>
    <w:p w14:paraId="5291EE16">
      <w:pPr>
        <w:pStyle w:val="20"/>
        <w:keepNext w:val="0"/>
        <w:keepLines w:val="0"/>
        <w:widowControl/>
        <w:numPr>
          <w:ilvl w:val="0"/>
          <w:numId w:val="4"/>
        </w:numPr>
        <w:suppressLineNumbers w:val="0"/>
        <w:spacing w:before="0" w:beforeAutospacing="0" w:after="0" w:afterAutospacing="0"/>
        <w:ind w:left="0" w:leftChars="0" w:right="0" w:firstLine="420" w:firstLineChars="200"/>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进场材料（管材、水泥、砂、砖、井盖等）质量必须合格，按规定进行见证取样送检，检验合格后方可使用。</w:t>
      </w:r>
    </w:p>
    <w:p w14:paraId="26D479AC">
      <w:pPr>
        <w:pStyle w:val="20"/>
        <w:keepNext w:val="0"/>
        <w:keepLines w:val="0"/>
        <w:widowControl/>
        <w:numPr>
          <w:ilvl w:val="0"/>
          <w:numId w:val="4"/>
        </w:numPr>
        <w:suppressLineNumbers w:val="0"/>
        <w:spacing w:before="0" w:beforeAutospacing="0" w:after="0" w:afterAutospacing="0"/>
        <w:ind w:left="0" w:leftChars="0" w:right="0" w:firstLine="420" w:firstLineChars="200"/>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各工序应严格按施工技术标准操作，做好隐蔽工程验收记录，服从发包人及现场监理单位的监督管理。</w:t>
      </w:r>
    </w:p>
    <w:p w14:paraId="44571B7F">
      <w:pPr>
        <w:pStyle w:val="20"/>
        <w:keepNext w:val="0"/>
        <w:keepLines w:val="0"/>
        <w:widowControl/>
        <w:numPr>
          <w:ilvl w:val="0"/>
          <w:numId w:val="4"/>
        </w:numPr>
        <w:suppressLineNumbers w:val="0"/>
        <w:spacing w:before="0" w:beforeAutospacing="0" w:after="0" w:afterAutospacing="0"/>
        <w:ind w:left="0" w:leftChars="0" w:right="0" w:firstLine="420" w:firstLineChars="200"/>
        <w:rPr>
          <w:rFonts w:hint="default" w:ascii="Times New Roman" w:hAnsi="Times New Roman" w:eastAsia="宋体" w:cs="Times New Roman"/>
          <w:b w:val="0"/>
          <w:color w:val="auto"/>
          <w:kern w:val="0"/>
          <w:sz w:val="21"/>
          <w:szCs w:val="21"/>
          <w:highlight w:val="none"/>
          <w:lang w:val="en-US" w:eastAsia="zh-CN" w:bidi="hi-IN"/>
        </w:rPr>
      </w:pPr>
      <w:r>
        <w:rPr>
          <w:rFonts w:hint="default" w:ascii="Times New Roman" w:hAnsi="Times New Roman" w:eastAsia="宋体" w:cs="Times New Roman"/>
          <w:b w:val="0"/>
          <w:color w:val="auto"/>
          <w:kern w:val="0"/>
          <w:sz w:val="21"/>
          <w:szCs w:val="21"/>
          <w:highlight w:val="none"/>
          <w:lang w:val="en-US" w:eastAsia="zh-CN" w:bidi="hi-IN"/>
        </w:rPr>
        <w:t>规范现场作业，做好环境保护（扬尘、噪音、污水排放控制）、安全文明施工（基坑防护、警示标志、交通疏导），按期完成全部工程内容并通过验收。</w:t>
      </w:r>
    </w:p>
    <w:p w14:paraId="3467843F">
      <w:pPr>
        <w:pStyle w:val="13"/>
        <w:shd w:val="clear"/>
        <w:spacing w:line="360" w:lineRule="auto"/>
        <w:jc w:val="center"/>
        <w:rPr>
          <w:rFonts w:hint="eastAsia" w:ascii="Times New Roman" w:hAnsi="Times New Roman" w:eastAsia="宋体" w:cs="Times New Roman"/>
          <w:b w:val="0"/>
          <w:color w:val="auto"/>
          <w:kern w:val="0"/>
          <w:sz w:val="21"/>
          <w:szCs w:val="21"/>
          <w:highlight w:val="none"/>
          <w:lang w:val="en-US" w:eastAsia="zh-CN" w:bidi="hi-IN"/>
        </w:rPr>
      </w:pPr>
    </w:p>
    <w:p w14:paraId="2853D9A0">
      <w:pPr>
        <w:pStyle w:val="13"/>
        <w:shd w:val="clear"/>
        <w:spacing w:line="360" w:lineRule="auto"/>
        <w:jc w:val="center"/>
        <w:rPr>
          <w:rFonts w:hint="eastAsia" w:ascii="Times New Roman" w:hAnsi="Times New Roman" w:eastAsia="宋体" w:cs="Times New Roman"/>
          <w:b w:val="0"/>
          <w:color w:val="auto"/>
          <w:kern w:val="0"/>
          <w:sz w:val="21"/>
          <w:szCs w:val="21"/>
          <w:highlight w:val="none"/>
          <w:lang w:val="en-US" w:eastAsia="zh-CN" w:bidi="hi-IN"/>
        </w:rPr>
      </w:pPr>
    </w:p>
    <w:p w14:paraId="4E064C1D">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2560A1C3">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03B2721B">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10E81EC7">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7B88C488">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3E1EE534">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2DF266D1">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253BBE96">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4EA8E7AA">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516B1C59">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001E44D3">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54DF9987">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1D1ECBBF">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624FF356">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03604DAD">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3C113D98">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1CCB3ECE">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2EA93ADD">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3CCF588C">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47F53C8C">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498F9B41">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178A1653">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04DA16EC">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78F7FD69">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23F291E0">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14D801F0">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7AC5B968">
      <w:pPr>
        <w:pStyle w:val="13"/>
        <w:shd w:val="clear"/>
        <w:spacing w:line="360" w:lineRule="auto"/>
        <w:jc w:val="center"/>
        <w:rPr>
          <w:rFonts w:hint="default" w:ascii="Times New Roman" w:hAnsi="Times New Roman" w:eastAsia="宋体" w:cs="Times New Roman"/>
          <w:b w:val="0"/>
          <w:color w:val="auto"/>
          <w:kern w:val="0"/>
          <w:sz w:val="21"/>
          <w:szCs w:val="21"/>
          <w:highlight w:val="none"/>
          <w:lang w:val="en-US" w:eastAsia="zh-CN" w:bidi="hi-IN"/>
        </w:rPr>
      </w:pPr>
    </w:p>
    <w:p w14:paraId="2499B089">
      <w:pPr>
        <w:pStyle w:val="13"/>
        <w:shd w:val="clear"/>
        <w:spacing w:line="360" w:lineRule="auto"/>
        <w:jc w:val="center"/>
        <w:rPr>
          <w:b/>
          <w:color w:val="auto"/>
          <w:sz w:val="32"/>
          <w:szCs w:val="32"/>
          <w:highlight w:val="none"/>
        </w:rPr>
      </w:pPr>
    </w:p>
    <w:p w14:paraId="340AC14E">
      <w:pPr>
        <w:pStyle w:val="13"/>
        <w:shd w:val="clear"/>
        <w:spacing w:line="360" w:lineRule="auto"/>
        <w:jc w:val="center"/>
        <w:rPr>
          <w:b/>
          <w:color w:val="auto"/>
          <w:sz w:val="32"/>
          <w:szCs w:val="32"/>
          <w:highlight w:val="none"/>
        </w:rPr>
      </w:pPr>
    </w:p>
    <w:p w14:paraId="3E1CFDAE">
      <w:pPr>
        <w:pStyle w:val="13"/>
        <w:shd w:val="clear"/>
        <w:spacing w:line="360" w:lineRule="auto"/>
        <w:jc w:val="center"/>
        <w:outlineLvl w:val="0"/>
        <w:rPr>
          <w:b/>
          <w:color w:val="auto"/>
          <w:sz w:val="32"/>
          <w:szCs w:val="32"/>
          <w:highlight w:val="none"/>
        </w:rPr>
      </w:pPr>
      <w:bookmarkStart w:id="41" w:name="_Toc26040"/>
      <w:r>
        <w:rPr>
          <w:b/>
          <w:color w:val="auto"/>
          <w:sz w:val="32"/>
          <w:szCs w:val="32"/>
          <w:highlight w:val="none"/>
        </w:rPr>
        <w:t>第四章响应文件格式</w:t>
      </w:r>
      <w:bookmarkEnd w:id="41"/>
    </w:p>
    <w:p w14:paraId="1323637D">
      <w:pPr>
        <w:pStyle w:val="13"/>
        <w:shd w:val="clear"/>
        <w:spacing w:line="360" w:lineRule="auto"/>
        <w:jc w:val="center"/>
        <w:rPr>
          <w:b/>
          <w:color w:val="auto"/>
          <w:sz w:val="32"/>
          <w:szCs w:val="32"/>
          <w:highlight w:val="none"/>
        </w:rPr>
      </w:pPr>
    </w:p>
    <w:p w14:paraId="5F243441">
      <w:pPr>
        <w:pStyle w:val="13"/>
        <w:shd w:val="clear"/>
        <w:spacing w:line="360" w:lineRule="auto"/>
        <w:jc w:val="center"/>
        <w:rPr>
          <w:b/>
          <w:color w:val="auto"/>
          <w:sz w:val="32"/>
          <w:szCs w:val="32"/>
          <w:highlight w:val="none"/>
        </w:rPr>
      </w:pPr>
    </w:p>
    <w:p w14:paraId="319DBDCD">
      <w:pPr>
        <w:pStyle w:val="34"/>
        <w:shd w:val="clear"/>
        <w:rPr>
          <w:b/>
          <w:color w:val="auto"/>
          <w:sz w:val="32"/>
          <w:szCs w:val="32"/>
          <w:highlight w:val="none"/>
        </w:rPr>
      </w:pPr>
    </w:p>
    <w:p w14:paraId="0A9705A9">
      <w:pPr>
        <w:pStyle w:val="35"/>
        <w:shd w:val="clear"/>
        <w:rPr>
          <w:color w:val="auto"/>
          <w:highlight w:val="none"/>
        </w:rPr>
      </w:pPr>
    </w:p>
    <w:p w14:paraId="172F3960">
      <w:pPr>
        <w:pStyle w:val="34"/>
        <w:shd w:val="clear"/>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03516698">
      <w:pPr>
        <w:pStyle w:val="34"/>
        <w:shd w:val="clear"/>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60B0F529">
      <w:pPr>
        <w:pStyle w:val="34"/>
        <w:shd w:val="clear"/>
        <w:spacing w:line="360" w:lineRule="auto"/>
        <w:ind w:left="413"/>
        <w:jc w:val="left"/>
        <w:rPr>
          <w:rFonts w:ascii="宋体" w:hAnsi="宋体"/>
          <w:color w:val="auto"/>
          <w:szCs w:val="21"/>
          <w:highlight w:val="none"/>
        </w:rPr>
      </w:pPr>
    </w:p>
    <w:p w14:paraId="3982713D">
      <w:pPr>
        <w:pStyle w:val="13"/>
        <w:shd w:val="clear"/>
        <w:spacing w:line="360" w:lineRule="auto"/>
        <w:jc w:val="center"/>
        <w:rPr>
          <w:rFonts w:ascii="方正隶书简体" w:hAnsi="方正隶书简体" w:eastAsia="方正隶书简体"/>
          <w:b/>
          <w:color w:val="auto"/>
          <w:sz w:val="30"/>
          <w:szCs w:val="30"/>
          <w:highlight w:val="none"/>
        </w:rPr>
      </w:pPr>
    </w:p>
    <w:p w14:paraId="503FBBF8">
      <w:pPr>
        <w:pStyle w:val="13"/>
        <w:shd w:val="clear"/>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41E018C5">
      <w:pPr>
        <w:pStyle w:val="13"/>
        <w:shd w:val="clear"/>
        <w:spacing w:line="360" w:lineRule="auto"/>
        <w:rPr>
          <w:rFonts w:ascii="Times New Roman" w:hAnsi="Times New Roman" w:eastAsia="方正隶书简体"/>
          <w:b/>
          <w:color w:val="auto"/>
          <w:sz w:val="30"/>
          <w:szCs w:val="30"/>
          <w:highlight w:val="none"/>
        </w:rPr>
      </w:pPr>
    </w:p>
    <w:p w14:paraId="6CFFDFD5">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4B0FA1C8">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2BAEFDB2">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0D10D63B">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68E983FF">
      <w:pPr>
        <w:pStyle w:val="13"/>
        <w:shd w:val="clear"/>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8F347BE">
      <w:pPr>
        <w:pStyle w:val="13"/>
        <w:shd w:val="clear"/>
        <w:spacing w:line="360" w:lineRule="auto"/>
        <w:rPr>
          <w:color w:val="auto"/>
          <w:szCs w:val="21"/>
          <w:highlight w:val="none"/>
        </w:rPr>
      </w:pPr>
    </w:p>
    <w:p w14:paraId="3FCF9F2A">
      <w:pPr>
        <w:pStyle w:val="13"/>
        <w:shd w:val="clear"/>
        <w:spacing w:line="360" w:lineRule="auto"/>
        <w:rPr>
          <w:color w:val="auto"/>
          <w:szCs w:val="21"/>
          <w:highlight w:val="none"/>
        </w:rPr>
      </w:pPr>
    </w:p>
    <w:p w14:paraId="39C1B64D">
      <w:pPr>
        <w:pStyle w:val="13"/>
        <w:shd w:val="clear"/>
        <w:spacing w:line="360" w:lineRule="auto"/>
        <w:rPr>
          <w:color w:val="auto"/>
          <w:szCs w:val="21"/>
          <w:highlight w:val="none"/>
        </w:rPr>
      </w:pPr>
    </w:p>
    <w:p w14:paraId="7975AEA1">
      <w:pPr>
        <w:pStyle w:val="13"/>
        <w:shd w:val="clear"/>
        <w:spacing w:line="360" w:lineRule="auto"/>
        <w:rPr>
          <w:color w:val="auto"/>
          <w:szCs w:val="21"/>
          <w:highlight w:val="none"/>
        </w:rPr>
      </w:pPr>
    </w:p>
    <w:p w14:paraId="04128725">
      <w:pPr>
        <w:pStyle w:val="13"/>
        <w:shd w:val="clear"/>
        <w:spacing w:line="360" w:lineRule="auto"/>
        <w:rPr>
          <w:color w:val="auto"/>
          <w:szCs w:val="21"/>
          <w:highlight w:val="none"/>
        </w:rPr>
      </w:pPr>
    </w:p>
    <w:p w14:paraId="7E979B2F">
      <w:pPr>
        <w:pStyle w:val="13"/>
        <w:shd w:val="clear"/>
        <w:spacing w:line="360" w:lineRule="auto"/>
        <w:rPr>
          <w:color w:val="auto"/>
          <w:szCs w:val="21"/>
          <w:highlight w:val="none"/>
        </w:rPr>
      </w:pPr>
    </w:p>
    <w:p w14:paraId="03E63280">
      <w:pPr>
        <w:pStyle w:val="13"/>
        <w:shd w:val="clear"/>
        <w:spacing w:line="360" w:lineRule="auto"/>
        <w:rPr>
          <w:color w:val="auto"/>
          <w:szCs w:val="21"/>
          <w:highlight w:val="none"/>
        </w:rPr>
      </w:pPr>
    </w:p>
    <w:p w14:paraId="56C8C08A">
      <w:pPr>
        <w:pStyle w:val="34"/>
        <w:shd w:val="clear"/>
        <w:spacing w:line="360" w:lineRule="auto"/>
        <w:ind w:left="481"/>
        <w:jc w:val="center"/>
        <w:rPr>
          <w:rFonts w:ascii="宋体" w:hAnsi="宋体"/>
          <w:b/>
          <w:color w:val="auto"/>
          <w:sz w:val="48"/>
          <w:szCs w:val="48"/>
          <w:highlight w:val="none"/>
        </w:rPr>
      </w:pPr>
    </w:p>
    <w:p w14:paraId="4D02CA67">
      <w:pPr>
        <w:pStyle w:val="34"/>
        <w:shd w:val="clear"/>
        <w:spacing w:line="360" w:lineRule="auto"/>
        <w:rPr>
          <w:rFonts w:ascii="宋体" w:hAnsi="宋体"/>
          <w:b/>
          <w:color w:val="auto"/>
          <w:sz w:val="48"/>
          <w:szCs w:val="48"/>
          <w:highlight w:val="none"/>
        </w:rPr>
      </w:pPr>
    </w:p>
    <w:p w14:paraId="6E7C6A4A">
      <w:pPr>
        <w:pStyle w:val="2"/>
        <w:shd w:val="clear"/>
        <w:spacing w:line="360" w:lineRule="auto"/>
        <w:jc w:val="center"/>
        <w:rPr>
          <w:rFonts w:hint="eastAsia" w:ascii="宋体" w:eastAsia="宋体" w:cs="宋体"/>
          <w:color w:val="auto"/>
          <w:sz w:val="36"/>
          <w:highlight w:val="none"/>
          <w:lang w:eastAsia="zh-CN"/>
        </w:rPr>
      </w:pPr>
      <w:r>
        <w:rPr>
          <w:rFonts w:hint="eastAsia" w:ascii="宋体" w:hAnsi="宋体" w:cs="宋体"/>
          <w:color w:val="auto"/>
          <w:sz w:val="36"/>
          <w:highlight w:val="none"/>
          <w:lang w:eastAsia="zh-CN"/>
        </w:rPr>
        <w:t>响应文件资格审查部分</w:t>
      </w:r>
    </w:p>
    <w:p w14:paraId="5A7BB534">
      <w:pPr>
        <w:pStyle w:val="3"/>
        <w:shd w:val="clear"/>
        <w:spacing w:line="360" w:lineRule="auto"/>
        <w:jc w:val="center"/>
        <w:rPr>
          <w:rFonts w:ascii="宋体" w:hAnsi="宋体" w:eastAsia="宋体" w:cs="宋体"/>
          <w:color w:val="auto"/>
          <w:kern w:val="0"/>
          <w:highlight w:val="none"/>
        </w:rPr>
      </w:pPr>
      <w:bookmarkStart w:id="42" w:name="_Toc29414"/>
      <w:bookmarkStart w:id="43" w:name="_Toc193089296"/>
      <w:bookmarkStart w:id="44" w:name="_Toc18079"/>
      <w:bookmarkStart w:id="45" w:name="_Toc247301829"/>
      <w:bookmarkStart w:id="46" w:name="_Toc255977433"/>
      <w:bookmarkStart w:id="47" w:name="_Toc243584342"/>
      <w:bookmarkStart w:id="48" w:name="_Toc24704"/>
      <w:bookmarkStart w:id="49" w:name="_Toc28199"/>
      <w:bookmarkStart w:id="50" w:name="_Toc247292436"/>
      <w:bookmarkStart w:id="51" w:name="_Toc243630952"/>
      <w:r>
        <w:rPr>
          <w:rFonts w:hint="eastAsia" w:ascii="宋体" w:hAnsi="宋体" w:eastAsia="宋体" w:cs="宋体"/>
          <w:color w:val="auto"/>
          <w:kern w:val="0"/>
          <w:highlight w:val="none"/>
        </w:rPr>
        <w:t>封面格式</w:t>
      </w:r>
      <w:bookmarkEnd w:id="42"/>
      <w:bookmarkEnd w:id="43"/>
      <w:bookmarkEnd w:id="44"/>
      <w:bookmarkEnd w:id="45"/>
      <w:bookmarkEnd w:id="46"/>
      <w:bookmarkEnd w:id="47"/>
      <w:bookmarkEnd w:id="48"/>
      <w:bookmarkEnd w:id="49"/>
      <w:bookmarkEnd w:id="50"/>
      <w:bookmarkEnd w:id="51"/>
    </w:p>
    <w:tbl>
      <w:tblPr>
        <w:tblStyle w:val="24"/>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7637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5" w:hRule="atLeast"/>
        </w:trPr>
        <w:tc>
          <w:tcPr>
            <w:tcW w:w="9204" w:type="dxa"/>
          </w:tcPr>
          <w:p w14:paraId="4D4B388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1EB32FE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32"/>
                <w:szCs w:val="21"/>
                <w:highlight w:val="none"/>
                <w:lang w:eastAsia="zh-CN"/>
              </w:rPr>
            </w:pPr>
            <w:r>
              <w:rPr>
                <w:rFonts w:hint="eastAsia" w:ascii="宋体" w:cs="宋体"/>
                <w:b/>
                <w:color w:val="auto"/>
                <w:kern w:val="0"/>
                <w:sz w:val="40"/>
                <w:szCs w:val="21"/>
                <w:highlight w:val="none"/>
                <w:lang w:eastAsia="zh-CN"/>
              </w:rPr>
              <w:t>（项目名称）</w:t>
            </w:r>
          </w:p>
          <w:p w14:paraId="4703975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p>
          <w:p w14:paraId="0745AA9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2DF3CF85">
            <w:pPr>
              <w:pStyle w:val="31"/>
              <w:keepNext w:val="0"/>
              <w:keepLines w:val="0"/>
              <w:suppressLineNumbers w:val="0"/>
              <w:shd w:val="clear"/>
              <w:spacing w:before="0" w:beforeAutospacing="0" w:after="0" w:afterAutospacing="0"/>
              <w:ind w:left="0" w:right="0"/>
              <w:rPr>
                <w:rFonts w:hint="default"/>
                <w:color w:val="auto"/>
                <w:szCs w:val="20"/>
                <w:highlight w:val="none"/>
              </w:rPr>
            </w:pPr>
          </w:p>
          <w:p w14:paraId="26631DA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52"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52"/>
          </w:p>
          <w:p w14:paraId="002BCC7A">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eastAsia" w:ascii="宋体" w:eastAsia="宋体" w:cs="宋体"/>
                <w:color w:val="auto"/>
                <w:kern w:val="0"/>
                <w:sz w:val="22"/>
                <w:szCs w:val="21"/>
                <w:highlight w:val="none"/>
                <w:lang w:eastAsia="zh-CN"/>
              </w:rPr>
            </w:pPr>
          </w:p>
          <w:p w14:paraId="001C2A71">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69EBB6D3">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09F3FF39">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2"/>
                <w:szCs w:val="21"/>
                <w:highlight w:val="none"/>
              </w:rPr>
            </w:pPr>
          </w:p>
          <w:p w14:paraId="65874473">
            <w:pPr>
              <w:keepNext w:val="0"/>
              <w:keepLines w:val="0"/>
              <w:suppressLineNumbers w:val="0"/>
              <w:shd w:val="clear"/>
              <w:autoSpaceDE w:val="0"/>
              <w:autoSpaceDN w:val="0"/>
              <w:adjustRightInd w:val="0"/>
              <w:spacing w:before="0" w:beforeAutospacing="0" w:after="0" w:afterAutospacing="0" w:line="360" w:lineRule="auto"/>
              <w:ind w:left="0" w:right="0"/>
              <w:outlineLvl w:val="0"/>
              <w:rPr>
                <w:rFonts w:hint="default" w:ascii="宋体" w:cs="宋体"/>
                <w:color w:val="auto"/>
                <w:kern w:val="0"/>
                <w:sz w:val="22"/>
                <w:szCs w:val="21"/>
                <w:highlight w:val="none"/>
              </w:rPr>
            </w:pPr>
          </w:p>
          <w:p w14:paraId="53A762C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94C766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7786A1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3" w:name="_Toc243584346"/>
            <w:r>
              <w:rPr>
                <w:rFonts w:hint="eastAsia" w:ascii="宋体" w:hAnsi="宋体" w:cs="宋体"/>
                <w:color w:val="auto"/>
                <w:kern w:val="0"/>
                <w:sz w:val="24"/>
                <w:szCs w:val="21"/>
                <w:highlight w:val="none"/>
              </w:rPr>
              <w:t>项目名称：</w:t>
            </w:r>
            <w:bookmarkEnd w:id="53"/>
          </w:p>
          <w:p w14:paraId="0FB61F2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2B3A2EC5">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4" w:name="_Toc243584347"/>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54"/>
          </w:p>
          <w:p w14:paraId="25BC617A">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p>
          <w:p w14:paraId="74759E19">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77041D81">
      <w:pPr>
        <w:pStyle w:val="34"/>
        <w:shd w:val="clear"/>
        <w:spacing w:line="360" w:lineRule="auto"/>
        <w:jc w:val="center"/>
        <w:rPr>
          <w:rFonts w:ascii="宋体" w:hAnsi="宋体"/>
          <w:b/>
          <w:color w:val="auto"/>
          <w:sz w:val="28"/>
          <w:szCs w:val="28"/>
          <w:highlight w:val="none"/>
        </w:rPr>
      </w:pPr>
    </w:p>
    <w:p w14:paraId="29346730">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541E073D">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4904219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20CB54E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79C4311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拟派项目经理的身份证复印件、注册建造师证和安全生产考核合格证书（B类）复印件及未在建承诺函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6613BE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BDCC93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39EB23B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545A4409">
      <w:pPr>
        <w:pStyle w:val="34"/>
        <w:shd w:val="clear"/>
        <w:spacing w:line="360" w:lineRule="auto"/>
        <w:rPr>
          <w:rFonts w:ascii="宋体" w:hAnsi="宋体"/>
          <w:b/>
          <w:color w:val="auto"/>
          <w:sz w:val="28"/>
          <w:szCs w:val="28"/>
          <w:highlight w:val="none"/>
        </w:rPr>
      </w:pPr>
    </w:p>
    <w:p w14:paraId="0FFD6BC5">
      <w:pPr>
        <w:pStyle w:val="34"/>
        <w:shd w:val="clear"/>
        <w:spacing w:line="360" w:lineRule="auto"/>
        <w:rPr>
          <w:rFonts w:ascii="宋体" w:hAnsi="宋体"/>
          <w:b/>
          <w:color w:val="auto"/>
          <w:sz w:val="28"/>
          <w:szCs w:val="28"/>
          <w:highlight w:val="none"/>
        </w:rPr>
      </w:pPr>
    </w:p>
    <w:p w14:paraId="6FC6938F">
      <w:pPr>
        <w:pStyle w:val="35"/>
        <w:shd w:val="clear"/>
        <w:rPr>
          <w:rFonts w:ascii="宋体" w:hAnsi="宋体"/>
          <w:b/>
          <w:color w:val="auto"/>
          <w:sz w:val="28"/>
          <w:szCs w:val="28"/>
          <w:highlight w:val="none"/>
        </w:rPr>
      </w:pPr>
    </w:p>
    <w:p w14:paraId="02D63E52">
      <w:pPr>
        <w:pStyle w:val="34"/>
        <w:shd w:val="clear"/>
        <w:rPr>
          <w:rFonts w:ascii="宋体" w:hAnsi="宋体"/>
          <w:b/>
          <w:color w:val="auto"/>
          <w:sz w:val="28"/>
          <w:szCs w:val="28"/>
          <w:highlight w:val="none"/>
        </w:rPr>
      </w:pPr>
    </w:p>
    <w:p w14:paraId="26CD6CC4">
      <w:pPr>
        <w:pStyle w:val="35"/>
        <w:shd w:val="clear"/>
        <w:rPr>
          <w:rFonts w:ascii="宋体" w:hAnsi="宋体"/>
          <w:b/>
          <w:color w:val="auto"/>
          <w:sz w:val="28"/>
          <w:szCs w:val="28"/>
          <w:highlight w:val="none"/>
        </w:rPr>
      </w:pPr>
    </w:p>
    <w:p w14:paraId="7ECDE7B0">
      <w:pPr>
        <w:pStyle w:val="34"/>
        <w:shd w:val="clear"/>
        <w:rPr>
          <w:rFonts w:ascii="宋体" w:hAnsi="宋体"/>
          <w:b/>
          <w:color w:val="auto"/>
          <w:sz w:val="28"/>
          <w:szCs w:val="28"/>
          <w:highlight w:val="none"/>
        </w:rPr>
      </w:pPr>
    </w:p>
    <w:p w14:paraId="664764EB">
      <w:pPr>
        <w:pStyle w:val="35"/>
        <w:shd w:val="clear"/>
        <w:rPr>
          <w:rFonts w:ascii="宋体" w:hAnsi="宋体"/>
          <w:b/>
          <w:color w:val="auto"/>
          <w:sz w:val="28"/>
          <w:szCs w:val="28"/>
          <w:highlight w:val="none"/>
        </w:rPr>
      </w:pPr>
    </w:p>
    <w:p w14:paraId="77836585">
      <w:pPr>
        <w:pStyle w:val="34"/>
        <w:shd w:val="clear"/>
        <w:rPr>
          <w:rFonts w:ascii="宋体" w:hAnsi="宋体"/>
          <w:b/>
          <w:color w:val="auto"/>
          <w:sz w:val="28"/>
          <w:szCs w:val="28"/>
          <w:highlight w:val="none"/>
        </w:rPr>
      </w:pPr>
    </w:p>
    <w:p w14:paraId="03D5C8A9">
      <w:pPr>
        <w:pStyle w:val="35"/>
        <w:shd w:val="clear"/>
        <w:rPr>
          <w:rFonts w:ascii="宋体" w:hAnsi="宋体"/>
          <w:b/>
          <w:color w:val="auto"/>
          <w:sz w:val="28"/>
          <w:szCs w:val="28"/>
          <w:highlight w:val="none"/>
        </w:rPr>
      </w:pPr>
    </w:p>
    <w:p w14:paraId="5DF82575">
      <w:pPr>
        <w:pStyle w:val="34"/>
        <w:shd w:val="clear"/>
        <w:rPr>
          <w:rFonts w:ascii="宋体" w:hAnsi="宋体"/>
          <w:b/>
          <w:color w:val="auto"/>
          <w:sz w:val="28"/>
          <w:szCs w:val="28"/>
          <w:highlight w:val="none"/>
        </w:rPr>
      </w:pPr>
    </w:p>
    <w:p w14:paraId="1CB59E18">
      <w:pPr>
        <w:pStyle w:val="35"/>
        <w:shd w:val="clear"/>
        <w:rPr>
          <w:rFonts w:ascii="宋体" w:hAnsi="宋体"/>
          <w:b/>
          <w:color w:val="auto"/>
          <w:sz w:val="28"/>
          <w:szCs w:val="28"/>
          <w:highlight w:val="none"/>
        </w:rPr>
      </w:pPr>
    </w:p>
    <w:p w14:paraId="4B7D3654">
      <w:pPr>
        <w:pStyle w:val="34"/>
        <w:shd w:val="clear"/>
        <w:rPr>
          <w:rFonts w:ascii="宋体" w:hAnsi="宋体"/>
          <w:b/>
          <w:color w:val="auto"/>
          <w:sz w:val="28"/>
          <w:szCs w:val="28"/>
          <w:highlight w:val="none"/>
        </w:rPr>
      </w:pPr>
    </w:p>
    <w:p w14:paraId="0675C027">
      <w:pPr>
        <w:pStyle w:val="35"/>
        <w:shd w:val="clear"/>
        <w:rPr>
          <w:rFonts w:ascii="宋体" w:hAnsi="宋体"/>
          <w:b/>
          <w:color w:val="auto"/>
          <w:sz w:val="28"/>
          <w:szCs w:val="28"/>
          <w:highlight w:val="none"/>
        </w:rPr>
      </w:pPr>
    </w:p>
    <w:p w14:paraId="222A94F0">
      <w:pPr>
        <w:pStyle w:val="34"/>
        <w:shd w:val="clear"/>
        <w:rPr>
          <w:rFonts w:ascii="宋体" w:hAnsi="宋体"/>
          <w:b/>
          <w:color w:val="auto"/>
          <w:sz w:val="28"/>
          <w:szCs w:val="28"/>
          <w:highlight w:val="none"/>
        </w:rPr>
      </w:pPr>
    </w:p>
    <w:p w14:paraId="5B266FEA">
      <w:pPr>
        <w:pStyle w:val="35"/>
        <w:shd w:val="clear"/>
        <w:rPr>
          <w:rFonts w:ascii="宋体" w:hAnsi="宋体"/>
          <w:b/>
          <w:color w:val="auto"/>
          <w:sz w:val="28"/>
          <w:szCs w:val="28"/>
          <w:highlight w:val="none"/>
        </w:rPr>
      </w:pPr>
    </w:p>
    <w:p w14:paraId="24EBB68E">
      <w:pPr>
        <w:pStyle w:val="34"/>
        <w:shd w:val="clear"/>
        <w:rPr>
          <w:rFonts w:ascii="宋体" w:hAnsi="宋体"/>
          <w:b/>
          <w:color w:val="auto"/>
          <w:sz w:val="28"/>
          <w:szCs w:val="28"/>
          <w:highlight w:val="none"/>
        </w:rPr>
      </w:pPr>
    </w:p>
    <w:p w14:paraId="6E1C9BF8">
      <w:pPr>
        <w:pStyle w:val="35"/>
        <w:shd w:val="clear"/>
        <w:rPr>
          <w:rFonts w:ascii="宋体" w:hAnsi="宋体"/>
          <w:b/>
          <w:color w:val="auto"/>
          <w:sz w:val="28"/>
          <w:szCs w:val="28"/>
          <w:highlight w:val="none"/>
        </w:rPr>
      </w:pPr>
    </w:p>
    <w:p w14:paraId="70FD0E99">
      <w:pPr>
        <w:pStyle w:val="34"/>
        <w:shd w:val="clear"/>
        <w:rPr>
          <w:rFonts w:ascii="宋体" w:hAnsi="宋体"/>
          <w:b/>
          <w:color w:val="auto"/>
          <w:sz w:val="28"/>
          <w:szCs w:val="28"/>
          <w:highlight w:val="none"/>
        </w:rPr>
      </w:pPr>
    </w:p>
    <w:p w14:paraId="09C12D22">
      <w:pPr>
        <w:pStyle w:val="35"/>
        <w:shd w:val="clear"/>
        <w:rPr>
          <w:rFonts w:ascii="宋体" w:hAnsi="宋体"/>
          <w:b/>
          <w:color w:val="auto"/>
          <w:sz w:val="28"/>
          <w:szCs w:val="28"/>
          <w:highlight w:val="none"/>
        </w:rPr>
      </w:pPr>
    </w:p>
    <w:p w14:paraId="0601CE09">
      <w:pPr>
        <w:pStyle w:val="34"/>
        <w:shd w:val="clear"/>
        <w:rPr>
          <w:rFonts w:ascii="宋体" w:hAnsi="宋体"/>
          <w:b/>
          <w:color w:val="auto"/>
          <w:sz w:val="28"/>
          <w:szCs w:val="28"/>
          <w:highlight w:val="none"/>
        </w:rPr>
      </w:pPr>
    </w:p>
    <w:p w14:paraId="2C36A8EE">
      <w:pPr>
        <w:pStyle w:val="35"/>
        <w:shd w:val="clear"/>
        <w:rPr>
          <w:color w:val="auto"/>
          <w:highlight w:val="none"/>
        </w:rPr>
      </w:pPr>
    </w:p>
    <w:p w14:paraId="4014D652">
      <w:pPr>
        <w:pStyle w:val="35"/>
        <w:shd w:val="clear"/>
        <w:rPr>
          <w:rFonts w:ascii="宋体" w:hAnsi="宋体"/>
          <w:b/>
          <w:color w:val="auto"/>
          <w:sz w:val="28"/>
          <w:szCs w:val="28"/>
          <w:highlight w:val="none"/>
        </w:rPr>
      </w:pPr>
    </w:p>
    <w:p w14:paraId="6473BD44">
      <w:pPr>
        <w:pStyle w:val="34"/>
        <w:shd w:val="clear"/>
        <w:rPr>
          <w:rFonts w:ascii="宋体" w:hAnsi="宋体"/>
          <w:b/>
          <w:color w:val="auto"/>
          <w:sz w:val="28"/>
          <w:szCs w:val="28"/>
          <w:highlight w:val="none"/>
        </w:rPr>
      </w:pPr>
    </w:p>
    <w:p w14:paraId="1185C9E8">
      <w:pPr>
        <w:pStyle w:val="35"/>
        <w:shd w:val="clear"/>
        <w:rPr>
          <w:color w:val="auto"/>
          <w:highlight w:val="none"/>
        </w:rPr>
      </w:pPr>
    </w:p>
    <w:p w14:paraId="3C3C22FB">
      <w:pPr>
        <w:pStyle w:val="34"/>
        <w:shd w:val="clear"/>
        <w:rPr>
          <w:color w:val="auto"/>
          <w:highlight w:val="none"/>
        </w:rPr>
      </w:pPr>
    </w:p>
    <w:p w14:paraId="5B17EE4E">
      <w:pPr>
        <w:pStyle w:val="35"/>
        <w:shd w:val="clear"/>
        <w:rPr>
          <w:color w:val="auto"/>
          <w:highlight w:val="none"/>
        </w:rPr>
      </w:pPr>
    </w:p>
    <w:p w14:paraId="079F0DA5">
      <w:pPr>
        <w:pStyle w:val="34"/>
        <w:shd w:val="clear"/>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1283DE56">
      <w:pPr>
        <w:keepNext w:val="0"/>
        <w:keepLines w:val="0"/>
        <w:pageBreakBefore w:val="0"/>
        <w:widowControl/>
        <w:suppressLineNumbers w:val="0"/>
        <w:shd w:val="clea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437E05D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（项目名称）（项目编号：）</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w:t>
      </w:r>
    </w:p>
    <w:p w14:paraId="5A0B6A14">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6060A6F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2.我方具有符合采购文件资格要求的财务状况报告。</w:t>
      </w:r>
    </w:p>
    <w:p w14:paraId="3D6F7091">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p>
    <w:p w14:paraId="2ACE498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4.我方具有符合采购文件资格要求履行合同所必需的设备和专业技术能力。</w:t>
      </w:r>
    </w:p>
    <w:p w14:paraId="42F80F1F">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5.我方参加政府采购活动前3年内在经营活动中没有重大违法记录。</w:t>
      </w:r>
    </w:p>
    <w:p w14:paraId="2ED5E3F5">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29B89D56">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CF1C85D">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552A7AB">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供应商名称（盖章）：</w:t>
      </w:r>
    </w:p>
    <w:p w14:paraId="672EBD59">
      <w:pPr>
        <w:keepNext w:val="0"/>
        <w:keepLines w:val="0"/>
        <w:pageBreakBefore w:val="0"/>
        <w:shd w:val="clear"/>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6DC4AB90">
      <w:pPr>
        <w:pStyle w:val="20"/>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1F6F852">
      <w:pPr>
        <w:pStyle w:val="20"/>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5243B733">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26FB6E71">
      <w:pPr>
        <w:pStyle w:val="10"/>
        <w:shd w:val="clear"/>
        <w:rPr>
          <w:rFonts w:hint="eastAsia"/>
          <w:color w:val="auto"/>
          <w:highlight w:val="none"/>
        </w:rPr>
      </w:pPr>
    </w:p>
    <w:p w14:paraId="3C29363A">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45B609E8">
      <w:pPr>
        <w:pStyle w:val="34"/>
        <w:shd w:val="clear"/>
        <w:spacing w:line="360" w:lineRule="auto"/>
        <w:rPr>
          <w:rFonts w:ascii="宋体" w:hAnsi="宋体"/>
          <w:b/>
          <w:color w:val="auto"/>
          <w:sz w:val="28"/>
          <w:szCs w:val="28"/>
          <w:highlight w:val="none"/>
        </w:rPr>
      </w:pPr>
    </w:p>
    <w:p w14:paraId="45C8982B">
      <w:pPr>
        <w:pStyle w:val="35"/>
        <w:shd w:val="clear"/>
        <w:rPr>
          <w:rFonts w:ascii="宋体" w:hAnsi="宋体"/>
          <w:b/>
          <w:color w:val="auto"/>
          <w:sz w:val="28"/>
          <w:szCs w:val="28"/>
          <w:highlight w:val="none"/>
        </w:rPr>
      </w:pPr>
    </w:p>
    <w:p w14:paraId="584FDC03">
      <w:pPr>
        <w:pStyle w:val="34"/>
        <w:shd w:val="clear"/>
        <w:rPr>
          <w:rFonts w:ascii="宋体" w:hAnsi="宋体"/>
          <w:b/>
          <w:color w:val="auto"/>
          <w:sz w:val="28"/>
          <w:szCs w:val="28"/>
          <w:highlight w:val="none"/>
        </w:rPr>
      </w:pPr>
    </w:p>
    <w:p w14:paraId="474F8FA3">
      <w:pPr>
        <w:pStyle w:val="35"/>
        <w:shd w:val="clear"/>
        <w:rPr>
          <w:rFonts w:ascii="宋体" w:hAnsi="宋体"/>
          <w:b/>
          <w:color w:val="auto"/>
          <w:sz w:val="28"/>
          <w:szCs w:val="28"/>
          <w:highlight w:val="none"/>
        </w:rPr>
      </w:pPr>
    </w:p>
    <w:p w14:paraId="4E5FF549">
      <w:pPr>
        <w:pStyle w:val="34"/>
        <w:shd w:val="clear"/>
        <w:rPr>
          <w:rFonts w:ascii="宋体" w:hAnsi="宋体"/>
          <w:b/>
          <w:color w:val="auto"/>
          <w:sz w:val="28"/>
          <w:szCs w:val="28"/>
          <w:highlight w:val="none"/>
        </w:rPr>
      </w:pPr>
    </w:p>
    <w:p w14:paraId="31039EE4">
      <w:pPr>
        <w:pStyle w:val="35"/>
        <w:shd w:val="clear"/>
        <w:rPr>
          <w:color w:val="auto"/>
          <w:highlight w:val="none"/>
        </w:rPr>
      </w:pPr>
    </w:p>
    <w:p w14:paraId="07D5062F">
      <w:pPr>
        <w:pStyle w:val="34"/>
        <w:shd w:val="clear"/>
        <w:spacing w:line="360" w:lineRule="auto"/>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有效的资质证书副本复印件和有效的安全生产许可证副本复印件</w:t>
      </w:r>
      <w:r>
        <w:rPr>
          <w:rFonts w:hint="eastAsia" w:ascii="宋体" w:hAnsi="宋体"/>
          <w:b/>
          <w:color w:val="auto"/>
          <w:sz w:val="24"/>
          <w:highlight w:val="none"/>
        </w:rPr>
        <w:t>；</w:t>
      </w:r>
    </w:p>
    <w:p w14:paraId="44598710">
      <w:pPr>
        <w:pStyle w:val="35"/>
        <w:shd w:val="clear"/>
        <w:rPr>
          <w:color w:val="auto"/>
          <w:highlight w:val="none"/>
        </w:rPr>
      </w:pPr>
    </w:p>
    <w:p w14:paraId="31681255">
      <w:pPr>
        <w:pStyle w:val="34"/>
        <w:numPr>
          <w:ilvl w:val="0"/>
          <w:numId w:val="0"/>
        </w:numPr>
        <w:shd w:val="clear"/>
        <w:spacing w:line="360" w:lineRule="auto"/>
        <w:jc w:val="left"/>
        <w:rPr>
          <w:rFonts w:hint="eastAsia" w:ascii="宋体" w:hAnsi="宋体" w:eastAsia="宋体"/>
          <w:b/>
          <w:color w:val="auto"/>
          <w:sz w:val="24"/>
          <w:highlight w:val="none"/>
          <w:lang w:eastAsia="zh-CN"/>
        </w:rPr>
      </w:pPr>
      <w:r>
        <w:rPr>
          <w:rFonts w:hint="eastAsia" w:ascii="宋体" w:hAnsi="宋体"/>
          <w:b/>
          <w:color w:val="auto"/>
          <w:sz w:val="24"/>
          <w:highlight w:val="none"/>
          <w:lang w:val="en-US" w:eastAsia="zh-CN"/>
        </w:rPr>
        <w:t>3、</w:t>
      </w:r>
      <w:r>
        <w:rPr>
          <w:rFonts w:hint="eastAsia" w:ascii="宋体" w:hAnsi="宋体"/>
          <w:b/>
          <w:color w:val="auto"/>
          <w:sz w:val="24"/>
          <w:highlight w:val="none"/>
          <w:lang w:eastAsia="zh-CN"/>
        </w:rPr>
        <w:t>拟派项目经理的身份证复印件、注册建造师证和安全生产考核合格证书（B类）复印件及未在建承诺函</w:t>
      </w:r>
    </w:p>
    <w:p w14:paraId="21E260C6">
      <w:pPr>
        <w:pStyle w:val="34"/>
        <w:shd w:val="clear"/>
        <w:rPr>
          <w:rFonts w:hint="eastAsia" w:ascii="宋体" w:hAnsi="宋体"/>
          <w:b/>
          <w:color w:val="auto"/>
          <w:sz w:val="24"/>
          <w:highlight w:val="none"/>
          <w:lang w:eastAsia="zh-CN"/>
        </w:rPr>
      </w:pPr>
    </w:p>
    <w:p w14:paraId="0F1E1309">
      <w:pPr>
        <w:pStyle w:val="35"/>
        <w:shd w:val="clear"/>
        <w:rPr>
          <w:rFonts w:hint="eastAsia" w:ascii="宋体" w:hAnsi="宋体"/>
          <w:b/>
          <w:color w:val="auto"/>
          <w:sz w:val="24"/>
          <w:highlight w:val="none"/>
          <w:lang w:eastAsia="zh-CN"/>
        </w:rPr>
      </w:pPr>
    </w:p>
    <w:p w14:paraId="088D9E47">
      <w:pPr>
        <w:pStyle w:val="34"/>
        <w:numPr>
          <w:ilvl w:val="0"/>
          <w:numId w:val="0"/>
        </w:numPr>
        <w:shd w:val="clea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投标人直接控股、管理关系信息表</w:t>
      </w:r>
    </w:p>
    <w:p w14:paraId="44F2A957">
      <w:pPr>
        <w:shd w:val="clea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rPr>
        <w:t>投标人直接控股股东信息表</w:t>
      </w:r>
    </w:p>
    <w:tbl>
      <w:tblPr>
        <w:tblStyle w:val="24"/>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0D15E6E">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E903B7">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568DF2E">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460E37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DDE63FB">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1D08E7E">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5534775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D29EB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ECF5D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9A6E9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929D1E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3DEC7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579488E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624B20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FA64B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0570B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D3D27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ACF5B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4976601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8161D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4F767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5D6C9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00127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58B63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4C253AF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259AE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B4FFA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B9C4B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4E88D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A0D86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bl>
    <w:p w14:paraId="2F32776D">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73645075">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B0EBC1">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2.本表所指的控股关系仅限于直接控股关系，不包括间接的控股关系。公司实际控制人与公司之间的关系不属于本表所指的直接控股关系。</w:t>
      </w:r>
    </w:p>
    <w:p w14:paraId="4221A1A9">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3.投标人无直接控股股东的填写：无</w:t>
      </w:r>
    </w:p>
    <w:p w14:paraId="48C132D5">
      <w:pPr>
        <w:shd w:val="clear"/>
        <w:snapToGrid w:val="0"/>
        <w:jc w:val="left"/>
        <w:rPr>
          <w:rFonts w:ascii="宋体" w:hAnsi="宋体"/>
          <w:color w:val="auto"/>
          <w:sz w:val="21"/>
          <w:szCs w:val="16"/>
          <w:highlight w:val="none"/>
        </w:rPr>
      </w:pPr>
    </w:p>
    <w:p w14:paraId="34440124">
      <w:pPr>
        <w:shd w:val="clear"/>
        <w:snapToGrid w:val="0"/>
        <w:jc w:val="left"/>
        <w:rPr>
          <w:rFonts w:ascii="宋体" w:hAnsi="宋体"/>
          <w:color w:val="auto"/>
          <w:sz w:val="21"/>
          <w:szCs w:val="16"/>
          <w:highlight w:val="none"/>
        </w:rPr>
      </w:pPr>
    </w:p>
    <w:p w14:paraId="250E58B8">
      <w:pPr>
        <w:shd w:val="clear"/>
        <w:snapToGrid w:val="0"/>
        <w:jc w:val="left"/>
        <w:rPr>
          <w:rFonts w:ascii="宋体" w:hAnsi="宋体"/>
          <w:color w:val="auto"/>
          <w:sz w:val="21"/>
          <w:szCs w:val="16"/>
          <w:highlight w:val="none"/>
        </w:rPr>
      </w:pPr>
    </w:p>
    <w:p w14:paraId="0944FF70">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62D47E77">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13B81B75">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2FBD6C11">
      <w:pPr>
        <w:shd w:val="clea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14AF2969">
      <w:pPr>
        <w:shd w:val="clear"/>
        <w:snapToGrid w:val="0"/>
        <w:jc w:val="center"/>
        <w:rPr>
          <w:rFonts w:ascii="宋体" w:hAnsi="宋体"/>
          <w:color w:val="auto"/>
          <w:highlight w:val="none"/>
        </w:rPr>
      </w:pPr>
      <w:r>
        <w:rPr>
          <w:rFonts w:hint="eastAsia" w:ascii="宋体" w:hAnsi="宋体"/>
          <w:b/>
          <w:color w:val="auto"/>
          <w:sz w:val="28"/>
          <w:szCs w:val="28"/>
          <w:highlight w:val="none"/>
        </w:rPr>
        <w:t>投标人直接管理关系信息表</w:t>
      </w:r>
    </w:p>
    <w:tbl>
      <w:tblPr>
        <w:tblStyle w:val="24"/>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50DDB6BC">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A36427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1B9C205">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48233A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D0B642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2B82DE2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58891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17E7D7">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6F5D20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48452D">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3564677C">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16210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CA91B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B1305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78D01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60DD754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2F4F7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503EEA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D8843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81682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3EA7997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9AC9A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48993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9B556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52D5E1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bl>
    <w:p w14:paraId="1F44FE7A">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2B57897A">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211E74F4">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6D2BF7B3">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3.投标人无直接管理关系的填写：无</w:t>
      </w:r>
    </w:p>
    <w:p w14:paraId="3C9AEE61">
      <w:pPr>
        <w:shd w:val="clear"/>
        <w:snapToGrid w:val="0"/>
        <w:jc w:val="left"/>
        <w:rPr>
          <w:rFonts w:ascii="宋体" w:hAnsi="宋体"/>
          <w:color w:val="auto"/>
          <w:highlight w:val="none"/>
        </w:rPr>
      </w:pPr>
    </w:p>
    <w:p w14:paraId="612CFCE1">
      <w:pPr>
        <w:shd w:val="clear"/>
        <w:snapToGrid w:val="0"/>
        <w:jc w:val="left"/>
        <w:rPr>
          <w:rFonts w:ascii="宋体" w:hAnsi="宋体"/>
          <w:color w:val="auto"/>
          <w:highlight w:val="none"/>
        </w:rPr>
      </w:pPr>
    </w:p>
    <w:p w14:paraId="5C367B0E">
      <w:pPr>
        <w:shd w:val="clear"/>
        <w:snapToGrid w:val="0"/>
        <w:jc w:val="left"/>
        <w:rPr>
          <w:rFonts w:ascii="宋体" w:hAnsi="宋体"/>
          <w:color w:val="auto"/>
          <w:highlight w:val="none"/>
        </w:rPr>
      </w:pPr>
    </w:p>
    <w:p w14:paraId="5D738444">
      <w:pPr>
        <w:shd w:val="clear"/>
        <w:snapToGrid w:val="0"/>
        <w:jc w:val="left"/>
        <w:rPr>
          <w:color w:val="auto"/>
          <w:highlight w:val="none"/>
        </w:rPr>
      </w:pPr>
    </w:p>
    <w:p w14:paraId="19ACC379">
      <w:pPr>
        <w:shd w:val="clear"/>
        <w:snapToGrid w:val="0"/>
        <w:jc w:val="left"/>
        <w:rPr>
          <w:color w:val="auto"/>
          <w:highlight w:val="none"/>
        </w:rPr>
      </w:pPr>
    </w:p>
    <w:p w14:paraId="5B3914B7">
      <w:pPr>
        <w:shd w:val="clear"/>
        <w:snapToGrid w:val="0"/>
        <w:jc w:val="left"/>
        <w:rPr>
          <w:color w:val="auto"/>
          <w:highlight w:val="none"/>
        </w:rPr>
      </w:pPr>
    </w:p>
    <w:p w14:paraId="550F0181">
      <w:pPr>
        <w:shd w:val="clear"/>
        <w:snapToGrid w:val="0"/>
        <w:jc w:val="left"/>
        <w:rPr>
          <w:rFonts w:ascii="宋体" w:hAnsi="宋体"/>
          <w:color w:val="auto"/>
          <w:szCs w:val="21"/>
          <w:highlight w:val="none"/>
        </w:rPr>
      </w:pPr>
    </w:p>
    <w:p w14:paraId="7C9970AB">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7F2575BA">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0270BE91">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1261E75D">
      <w:pPr>
        <w:pStyle w:val="13"/>
        <w:shd w:val="clear"/>
        <w:spacing w:line="460" w:lineRule="exact"/>
        <w:ind w:firstLine="420"/>
        <w:rPr>
          <w:rFonts w:hint="eastAsia"/>
          <w:color w:val="auto"/>
          <w:szCs w:val="21"/>
          <w:highlight w:val="none"/>
          <w:u w:val="single"/>
        </w:rPr>
      </w:pPr>
    </w:p>
    <w:p w14:paraId="367CC48A">
      <w:pPr>
        <w:pStyle w:val="35"/>
        <w:shd w:val="clear"/>
        <w:rPr>
          <w:rFonts w:hint="eastAsia"/>
          <w:color w:val="auto"/>
          <w:highlight w:val="none"/>
        </w:rPr>
      </w:pPr>
    </w:p>
    <w:p w14:paraId="73CC4F14">
      <w:pPr>
        <w:pStyle w:val="34"/>
        <w:shd w:val="clear"/>
        <w:rPr>
          <w:rFonts w:hint="eastAsia"/>
          <w:color w:val="auto"/>
          <w:highlight w:val="none"/>
        </w:rPr>
      </w:pPr>
    </w:p>
    <w:p w14:paraId="4BA35E09">
      <w:pPr>
        <w:pStyle w:val="35"/>
        <w:shd w:val="clear"/>
        <w:rPr>
          <w:rFonts w:hint="eastAsia"/>
          <w:color w:val="auto"/>
          <w:highlight w:val="none"/>
        </w:rPr>
      </w:pPr>
    </w:p>
    <w:p w14:paraId="57A70AE8">
      <w:pPr>
        <w:pStyle w:val="34"/>
        <w:shd w:val="clear"/>
        <w:rPr>
          <w:rFonts w:hint="eastAsia"/>
          <w:color w:val="auto"/>
          <w:highlight w:val="none"/>
        </w:rPr>
      </w:pPr>
    </w:p>
    <w:p w14:paraId="05C50E7C">
      <w:pPr>
        <w:pStyle w:val="35"/>
        <w:shd w:val="clear"/>
        <w:rPr>
          <w:rFonts w:hint="eastAsia"/>
          <w:color w:val="auto"/>
          <w:highlight w:val="none"/>
        </w:rPr>
      </w:pPr>
    </w:p>
    <w:p w14:paraId="1C1E2AA0">
      <w:pPr>
        <w:pStyle w:val="34"/>
        <w:shd w:val="clear"/>
        <w:rPr>
          <w:rFonts w:hint="eastAsia"/>
          <w:color w:val="auto"/>
          <w:highlight w:val="none"/>
        </w:rPr>
      </w:pPr>
    </w:p>
    <w:p w14:paraId="2F39E80B">
      <w:pPr>
        <w:pStyle w:val="35"/>
        <w:shd w:val="clear"/>
        <w:rPr>
          <w:rFonts w:hint="eastAsia"/>
          <w:color w:val="auto"/>
          <w:highlight w:val="none"/>
        </w:rPr>
      </w:pPr>
    </w:p>
    <w:p w14:paraId="5AF59FD6">
      <w:pPr>
        <w:pStyle w:val="34"/>
        <w:shd w:val="clear"/>
        <w:rPr>
          <w:rFonts w:hint="eastAsia"/>
          <w:color w:val="auto"/>
          <w:highlight w:val="none"/>
        </w:rPr>
      </w:pPr>
    </w:p>
    <w:p w14:paraId="42B40BC3">
      <w:pPr>
        <w:pStyle w:val="35"/>
        <w:shd w:val="clear"/>
        <w:rPr>
          <w:rFonts w:hint="eastAsia"/>
          <w:color w:val="auto"/>
          <w:highlight w:val="none"/>
        </w:rPr>
      </w:pPr>
    </w:p>
    <w:p w14:paraId="284B28EF">
      <w:pPr>
        <w:pStyle w:val="34"/>
        <w:shd w:val="clear"/>
        <w:rPr>
          <w:rFonts w:hint="eastAsia"/>
          <w:color w:val="auto"/>
          <w:highlight w:val="none"/>
        </w:rPr>
      </w:pPr>
    </w:p>
    <w:p w14:paraId="3253671C">
      <w:pPr>
        <w:pStyle w:val="35"/>
        <w:shd w:val="clear"/>
        <w:rPr>
          <w:rFonts w:hint="eastAsia"/>
          <w:color w:val="auto"/>
          <w:highlight w:val="none"/>
        </w:rPr>
      </w:pPr>
    </w:p>
    <w:p w14:paraId="5A1ADC32">
      <w:pPr>
        <w:pStyle w:val="34"/>
        <w:shd w:val="clear"/>
        <w:rPr>
          <w:rFonts w:hint="eastAsia"/>
          <w:color w:val="auto"/>
          <w:highlight w:val="none"/>
        </w:rPr>
      </w:pPr>
    </w:p>
    <w:p w14:paraId="0037B747">
      <w:pPr>
        <w:pStyle w:val="35"/>
        <w:shd w:val="clear"/>
        <w:rPr>
          <w:rFonts w:hint="eastAsia"/>
          <w:color w:val="auto"/>
          <w:highlight w:val="none"/>
        </w:rPr>
      </w:pPr>
    </w:p>
    <w:p w14:paraId="05FAB039">
      <w:pPr>
        <w:pStyle w:val="34"/>
        <w:shd w:val="clear"/>
        <w:rPr>
          <w:rFonts w:hint="eastAsia"/>
          <w:color w:val="auto"/>
          <w:highlight w:val="none"/>
        </w:rPr>
      </w:pPr>
    </w:p>
    <w:p w14:paraId="18897084">
      <w:pPr>
        <w:pStyle w:val="35"/>
        <w:shd w:val="clear"/>
        <w:rPr>
          <w:rFonts w:hint="eastAsia"/>
          <w:color w:val="auto"/>
          <w:highlight w:val="none"/>
        </w:rPr>
      </w:pPr>
    </w:p>
    <w:p w14:paraId="08874BE1">
      <w:pPr>
        <w:pStyle w:val="34"/>
        <w:shd w:val="clear"/>
        <w:rPr>
          <w:rFonts w:hint="eastAsia"/>
          <w:color w:val="auto"/>
          <w:highlight w:val="none"/>
        </w:rPr>
      </w:pPr>
    </w:p>
    <w:p w14:paraId="7CAC9335">
      <w:pPr>
        <w:pStyle w:val="34"/>
        <w:numPr>
          <w:ilvl w:val="0"/>
          <w:numId w:val="5"/>
        </w:numPr>
        <w:shd w:val="clea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中小企业声明函（必须提供中小企业声明函或《政府采购促进中小企业发展管理办法财库〔2020〕46号》要求提供的证明文件，否则响应文件按无效响应处理）。</w:t>
      </w:r>
    </w:p>
    <w:p w14:paraId="714FCC29">
      <w:pPr>
        <w:pStyle w:val="35"/>
        <w:widowControl w:val="0"/>
        <w:numPr>
          <w:ilvl w:val="0"/>
          <w:numId w:val="0"/>
        </w:numPr>
        <w:shd w:val="clear"/>
        <w:jc w:val="both"/>
        <w:rPr>
          <w:color w:val="auto"/>
          <w:highlight w:val="none"/>
        </w:rPr>
      </w:pPr>
    </w:p>
    <w:p w14:paraId="552B604B">
      <w:pPr>
        <w:shd w:val="clear"/>
        <w:jc w:val="center"/>
        <w:rPr>
          <w:rFonts w:hint="eastAsia"/>
          <w:color w:val="auto"/>
          <w:highlight w:val="none"/>
        </w:rPr>
      </w:pPr>
    </w:p>
    <w:p w14:paraId="73B305EA">
      <w:pPr>
        <w:shd w:val="clea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5889E041">
      <w:pPr>
        <w:pStyle w:val="20"/>
        <w:shd w:val="clear" w:color="auto"/>
        <w:spacing w:before="0" w:beforeAutospacing="0" w:after="0" w:afterAutospacing="0" w:line="460" w:lineRule="exact"/>
        <w:ind w:firstLine="420" w:firstLineChars="200"/>
        <w:rPr>
          <w:rFonts w:hint="eastAsia"/>
          <w:color w:val="auto"/>
          <w:sz w:val="21"/>
          <w:szCs w:val="21"/>
          <w:highlight w:val="none"/>
        </w:rPr>
      </w:pPr>
    </w:p>
    <w:p w14:paraId="5B994571">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本公司郑重声明，根据《政府采购促进中小企业发展管理办法》（财库﹝2020﹞46号）的规定，本公司参加</w:t>
      </w:r>
      <w:r>
        <w:rPr>
          <w:rFonts w:hint="eastAsia"/>
          <w:color w:val="auto"/>
          <w:sz w:val="21"/>
          <w:szCs w:val="21"/>
          <w:highlight w:val="none"/>
          <w:u w:val="single"/>
        </w:rPr>
        <w:t>（</w:t>
      </w:r>
      <w:r>
        <w:rPr>
          <w:rFonts w:hint="eastAsia"/>
          <w:color w:val="auto"/>
          <w:sz w:val="21"/>
          <w:szCs w:val="21"/>
          <w:highlight w:val="none"/>
          <w:u w:val="single"/>
          <w:lang w:val="en-US" w:eastAsia="zh-CN"/>
        </w:rPr>
        <w:t>崇左市江州区石景林街道办事处</w:t>
      </w:r>
      <w:r>
        <w:rPr>
          <w:rFonts w:hint="eastAsia"/>
          <w:color w:val="auto"/>
          <w:sz w:val="21"/>
          <w:szCs w:val="21"/>
          <w:highlight w:val="none"/>
          <w:u w:val="single"/>
        </w:rPr>
        <w:t>）</w:t>
      </w:r>
      <w:r>
        <w:rPr>
          <w:rFonts w:hint="eastAsia"/>
          <w:color w:val="auto"/>
          <w:sz w:val="21"/>
          <w:szCs w:val="21"/>
          <w:highlight w:val="none"/>
        </w:rPr>
        <w:t>的</w:t>
      </w:r>
      <w:r>
        <w:rPr>
          <w:rFonts w:hint="eastAsia"/>
          <w:color w:val="auto"/>
          <w:sz w:val="21"/>
          <w:szCs w:val="21"/>
          <w:highlight w:val="none"/>
          <w:u w:val="single"/>
        </w:rPr>
        <w:t>（</w:t>
      </w:r>
      <w:r>
        <w:rPr>
          <w:rFonts w:hint="eastAsia"/>
          <w:color w:val="auto"/>
          <w:sz w:val="21"/>
          <w:szCs w:val="21"/>
          <w:highlight w:val="none"/>
          <w:u w:val="single"/>
          <w:lang w:eastAsia="zh-CN"/>
        </w:rPr>
        <w:t>石景林街道卜利村旧村屯排污排水项目</w:t>
      </w:r>
      <w:r>
        <w:rPr>
          <w:rFonts w:hint="eastAsia"/>
          <w:color w:val="auto"/>
          <w:sz w:val="21"/>
          <w:szCs w:val="21"/>
          <w:highlight w:val="none"/>
          <w:u w:val="single"/>
        </w:rPr>
        <w:t>）</w:t>
      </w:r>
      <w:r>
        <w:rPr>
          <w:rFonts w:hint="eastAsia"/>
          <w:color w:val="auto"/>
          <w:sz w:val="21"/>
          <w:szCs w:val="21"/>
          <w:highlight w:val="none"/>
        </w:rPr>
        <w:t>采购活动，工程的施工单位全部为符合政策要求的中小企业。相关企业的具体情况如下：</w:t>
      </w:r>
    </w:p>
    <w:p w14:paraId="4E88CA12">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w:t>
      </w:r>
      <w:r>
        <w:rPr>
          <w:rFonts w:hint="eastAsia"/>
          <w:color w:val="auto"/>
          <w:sz w:val="21"/>
          <w:szCs w:val="21"/>
          <w:highlight w:val="none"/>
          <w:u w:val="single"/>
          <w:lang w:eastAsia="zh-CN"/>
        </w:rPr>
        <w:t>石景林街道卜利村旧村屯排污排水项目</w:t>
      </w:r>
      <w:r>
        <w:rPr>
          <w:rFonts w:hint="eastAsia"/>
          <w:color w:val="auto"/>
          <w:sz w:val="21"/>
          <w:szCs w:val="21"/>
          <w:highlight w:val="none"/>
          <w:u w:val="single"/>
        </w:rPr>
        <w:t>）</w:t>
      </w:r>
      <w:r>
        <w:rPr>
          <w:rFonts w:hint="eastAsia"/>
          <w:color w:val="auto"/>
          <w:sz w:val="21"/>
          <w:szCs w:val="21"/>
          <w:highlight w:val="none"/>
        </w:rPr>
        <w:t>，属于</w:t>
      </w:r>
      <w:r>
        <w:rPr>
          <w:rFonts w:hint="eastAsia"/>
          <w:color w:val="auto"/>
          <w:sz w:val="21"/>
          <w:szCs w:val="21"/>
          <w:highlight w:val="none"/>
          <w:u w:val="single"/>
        </w:rPr>
        <w:t>（</w:t>
      </w:r>
      <w:r>
        <w:rPr>
          <w:rFonts w:hint="eastAsia"/>
          <w:color w:val="auto"/>
          <w:sz w:val="21"/>
          <w:szCs w:val="21"/>
          <w:highlight w:val="none"/>
          <w:u w:val="single"/>
          <w:lang w:val="en-US" w:eastAsia="zh-CN"/>
        </w:rPr>
        <w:t>建筑业</w:t>
      </w:r>
      <w:r>
        <w:rPr>
          <w:rFonts w:hint="eastAsia"/>
          <w:color w:val="auto"/>
          <w:sz w:val="21"/>
          <w:szCs w:val="21"/>
          <w:highlight w:val="none"/>
          <w:u w:val="single"/>
        </w:rPr>
        <w:t>）</w:t>
      </w:r>
      <w:r>
        <w:rPr>
          <w:rFonts w:hint="eastAsia"/>
          <w:color w:val="auto"/>
          <w:sz w:val="21"/>
          <w:szCs w:val="21"/>
          <w:highlight w:val="none"/>
        </w:rPr>
        <w:t>；承建企业为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0FBA0808">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5C4A54A9">
      <w:pPr>
        <w:pStyle w:val="20"/>
        <w:shd w:val="clear" w:color="auto"/>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67F206C2">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40633F6B">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2B0F740B">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708970AB">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515D4CFA">
      <w:pPr>
        <w:pStyle w:val="20"/>
        <w:shd w:val="clear" w:color="auto"/>
        <w:spacing w:before="0" w:beforeAutospacing="0" w:after="0" w:afterAutospacing="0" w:line="460" w:lineRule="exact"/>
        <w:ind w:firstLine="4560" w:firstLineChars="1900"/>
        <w:jc w:val="both"/>
        <w:rPr>
          <w:rFonts w:hint="eastAsia"/>
          <w:color w:val="auto"/>
          <w:sz w:val="21"/>
          <w:szCs w:val="21"/>
          <w:highlight w:val="none"/>
        </w:rPr>
      </w:pPr>
      <w:r>
        <w:rPr>
          <w:rFonts w:hint="eastAsia" w:cs="宋体"/>
          <w:color w:val="auto"/>
          <w:kern w:val="0"/>
          <w:sz w:val="24"/>
          <w:szCs w:val="21"/>
          <w:highlight w:val="none"/>
          <w:lang w:val="en-US" w:eastAsia="zh-CN"/>
        </w:rPr>
        <w:t>供应商</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436B3A91">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日期：</w:t>
      </w:r>
    </w:p>
    <w:p w14:paraId="25AD5871">
      <w:pPr>
        <w:pStyle w:val="20"/>
        <w:shd w:val="clear" w:color="auto"/>
        <w:spacing w:before="0" w:beforeAutospacing="0" w:after="0" w:afterAutospacing="0" w:line="460" w:lineRule="exact"/>
        <w:ind w:firstLine="539"/>
        <w:rPr>
          <w:rFonts w:hint="eastAsia"/>
          <w:color w:val="auto"/>
          <w:sz w:val="21"/>
          <w:szCs w:val="21"/>
          <w:highlight w:val="none"/>
        </w:rPr>
      </w:pPr>
    </w:p>
    <w:p w14:paraId="37D8BA47">
      <w:pPr>
        <w:pStyle w:val="20"/>
        <w:shd w:val="clear" w:color="auto"/>
        <w:spacing w:before="0" w:beforeAutospacing="0" w:after="0" w:afterAutospacing="0" w:line="460" w:lineRule="exact"/>
        <w:ind w:firstLine="539"/>
        <w:rPr>
          <w:rFonts w:hint="eastAsia"/>
          <w:color w:val="auto"/>
          <w:sz w:val="21"/>
          <w:szCs w:val="21"/>
          <w:highlight w:val="none"/>
        </w:rPr>
      </w:pPr>
    </w:p>
    <w:p w14:paraId="383795C5">
      <w:pPr>
        <w:pStyle w:val="20"/>
        <w:shd w:val="clear" w:color="auto"/>
        <w:spacing w:before="0" w:beforeAutospacing="0" w:after="0" w:afterAutospacing="0" w:line="460" w:lineRule="exact"/>
        <w:ind w:firstLine="539"/>
        <w:rPr>
          <w:rFonts w:hint="eastAsia"/>
          <w:color w:val="auto"/>
          <w:sz w:val="21"/>
          <w:szCs w:val="21"/>
          <w:highlight w:val="none"/>
        </w:rPr>
      </w:pPr>
    </w:p>
    <w:p w14:paraId="60284836">
      <w:pPr>
        <w:pStyle w:val="20"/>
        <w:shd w:val="clear" w:color="auto"/>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39218234">
      <w:pPr>
        <w:pStyle w:val="35"/>
        <w:shd w:val="clear"/>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5868174F">
      <w:pPr>
        <w:shd w:val="clear"/>
        <w:rPr>
          <w:rFonts w:hint="eastAsia"/>
          <w:color w:val="auto"/>
          <w:highlight w:val="none"/>
        </w:rPr>
      </w:pPr>
    </w:p>
    <w:p w14:paraId="55B5ED67">
      <w:pPr>
        <w:pStyle w:val="39"/>
        <w:shd w:val="clear" w:color="auto"/>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1D6719CC">
      <w:pPr>
        <w:pStyle w:val="20"/>
        <w:shd w:val="clear" w:color="auto"/>
        <w:spacing w:before="0" w:beforeAutospacing="0" w:after="0" w:afterAutospacing="0" w:line="460" w:lineRule="exact"/>
        <w:ind w:firstLine="539"/>
        <w:rPr>
          <w:rFonts w:hint="eastAsia"/>
          <w:color w:val="auto"/>
          <w:highlight w:val="none"/>
        </w:rPr>
      </w:pPr>
    </w:p>
    <w:p w14:paraId="66386415">
      <w:pPr>
        <w:pStyle w:val="20"/>
        <w:shd w:val="clear" w:color="auto"/>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284EBE0">
      <w:pPr>
        <w:pStyle w:val="20"/>
        <w:shd w:val="clear" w:color="auto"/>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680393A6">
      <w:pPr>
        <w:pStyle w:val="20"/>
        <w:shd w:val="clear" w:color="auto"/>
        <w:spacing w:before="0" w:beforeAutospacing="0" w:after="0" w:afterAutospacing="0" w:line="460" w:lineRule="exact"/>
        <w:ind w:firstLine="539"/>
        <w:rPr>
          <w:rFonts w:hint="eastAsia"/>
          <w:color w:val="auto"/>
          <w:sz w:val="21"/>
          <w:szCs w:val="21"/>
          <w:highlight w:val="none"/>
        </w:rPr>
      </w:pPr>
    </w:p>
    <w:p w14:paraId="3EDCFC41">
      <w:pPr>
        <w:pStyle w:val="20"/>
        <w:shd w:val="clear" w:color="auto"/>
        <w:spacing w:before="0" w:beforeAutospacing="0" w:after="0" w:afterAutospacing="0" w:line="460" w:lineRule="exact"/>
        <w:ind w:firstLine="539"/>
        <w:rPr>
          <w:rFonts w:hint="eastAsia"/>
          <w:color w:val="auto"/>
          <w:sz w:val="21"/>
          <w:szCs w:val="21"/>
          <w:highlight w:val="none"/>
        </w:rPr>
      </w:pPr>
    </w:p>
    <w:p w14:paraId="26AD212C">
      <w:pPr>
        <w:pStyle w:val="20"/>
        <w:shd w:val="clear" w:color="auto"/>
        <w:spacing w:before="0" w:beforeAutospacing="0" w:after="0" w:afterAutospacing="0" w:line="460" w:lineRule="exact"/>
        <w:ind w:firstLine="4320" w:firstLineChars="1800"/>
        <w:rPr>
          <w:color w:val="auto"/>
          <w:sz w:val="21"/>
          <w:szCs w:val="21"/>
          <w:highlight w:val="none"/>
        </w:rPr>
      </w:pPr>
      <w:r>
        <w:rPr>
          <w:rFonts w:hint="eastAsia" w:cs="宋体"/>
          <w:color w:val="auto"/>
          <w:kern w:val="0"/>
          <w:sz w:val="24"/>
          <w:szCs w:val="21"/>
          <w:highlight w:val="none"/>
          <w:lang w:eastAsia="zh-CN"/>
        </w:rPr>
        <w:t>供应商</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1B04BC50">
      <w:pPr>
        <w:pStyle w:val="20"/>
        <w:shd w:val="clear" w:color="auto"/>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日期：</w:t>
      </w:r>
    </w:p>
    <w:p w14:paraId="6BECEA6D">
      <w:pPr>
        <w:pStyle w:val="34"/>
        <w:shd w:val="clear"/>
        <w:spacing w:line="360" w:lineRule="auto"/>
        <w:rPr>
          <w:rFonts w:ascii="宋体" w:hAnsi="宋体"/>
          <w:b/>
          <w:color w:val="auto"/>
          <w:sz w:val="48"/>
          <w:szCs w:val="48"/>
          <w:highlight w:val="none"/>
        </w:rPr>
      </w:pPr>
    </w:p>
    <w:p w14:paraId="637CCBD4">
      <w:pPr>
        <w:pStyle w:val="35"/>
        <w:shd w:val="clear"/>
        <w:rPr>
          <w:rFonts w:ascii="宋体" w:hAnsi="宋体"/>
          <w:b/>
          <w:color w:val="auto"/>
          <w:sz w:val="48"/>
          <w:szCs w:val="48"/>
          <w:highlight w:val="none"/>
        </w:rPr>
      </w:pPr>
    </w:p>
    <w:p w14:paraId="6E2D6FED">
      <w:pPr>
        <w:pStyle w:val="34"/>
        <w:shd w:val="clear"/>
        <w:rPr>
          <w:rFonts w:ascii="宋体" w:hAnsi="宋体"/>
          <w:b/>
          <w:color w:val="auto"/>
          <w:sz w:val="48"/>
          <w:szCs w:val="48"/>
          <w:highlight w:val="none"/>
        </w:rPr>
      </w:pPr>
    </w:p>
    <w:p w14:paraId="731C5D1C">
      <w:pPr>
        <w:pStyle w:val="35"/>
        <w:shd w:val="clear"/>
        <w:rPr>
          <w:rFonts w:ascii="宋体" w:hAnsi="宋体"/>
          <w:b/>
          <w:color w:val="auto"/>
          <w:sz w:val="48"/>
          <w:szCs w:val="48"/>
          <w:highlight w:val="none"/>
        </w:rPr>
      </w:pPr>
    </w:p>
    <w:p w14:paraId="0AED594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3D20A9B4">
      <w:pPr>
        <w:pStyle w:val="34"/>
        <w:shd w:val="clear"/>
        <w:rPr>
          <w:rFonts w:ascii="宋体" w:hAnsi="宋体"/>
          <w:b/>
          <w:color w:val="auto"/>
          <w:sz w:val="48"/>
          <w:szCs w:val="48"/>
          <w:highlight w:val="none"/>
        </w:rPr>
      </w:pPr>
    </w:p>
    <w:p w14:paraId="68F3A524">
      <w:pPr>
        <w:pStyle w:val="35"/>
        <w:shd w:val="clear"/>
        <w:rPr>
          <w:rFonts w:ascii="宋体" w:hAnsi="宋体"/>
          <w:b/>
          <w:color w:val="auto"/>
          <w:sz w:val="48"/>
          <w:szCs w:val="48"/>
          <w:highlight w:val="none"/>
        </w:rPr>
      </w:pPr>
    </w:p>
    <w:p w14:paraId="76B6BDA8">
      <w:pPr>
        <w:pStyle w:val="34"/>
        <w:shd w:val="clear"/>
        <w:rPr>
          <w:rFonts w:ascii="宋体" w:hAnsi="宋体"/>
          <w:b/>
          <w:color w:val="auto"/>
          <w:sz w:val="48"/>
          <w:szCs w:val="48"/>
          <w:highlight w:val="none"/>
        </w:rPr>
      </w:pPr>
    </w:p>
    <w:p w14:paraId="63F08574">
      <w:pPr>
        <w:pStyle w:val="35"/>
        <w:shd w:val="clear"/>
        <w:rPr>
          <w:rFonts w:ascii="宋体" w:hAnsi="宋体"/>
          <w:b/>
          <w:color w:val="auto"/>
          <w:sz w:val="48"/>
          <w:szCs w:val="48"/>
          <w:highlight w:val="none"/>
        </w:rPr>
      </w:pPr>
    </w:p>
    <w:p w14:paraId="50343064">
      <w:pPr>
        <w:pStyle w:val="34"/>
        <w:shd w:val="clear"/>
        <w:rPr>
          <w:rFonts w:ascii="宋体" w:hAnsi="宋体"/>
          <w:b/>
          <w:color w:val="auto"/>
          <w:sz w:val="48"/>
          <w:szCs w:val="48"/>
          <w:highlight w:val="none"/>
        </w:rPr>
      </w:pPr>
    </w:p>
    <w:p w14:paraId="793FB895">
      <w:pPr>
        <w:pStyle w:val="35"/>
        <w:shd w:val="clear"/>
        <w:rPr>
          <w:color w:val="auto"/>
          <w:highlight w:val="none"/>
        </w:rPr>
      </w:pPr>
    </w:p>
    <w:p w14:paraId="20A749D4">
      <w:pPr>
        <w:pStyle w:val="35"/>
        <w:shd w:val="clear"/>
        <w:rPr>
          <w:rFonts w:ascii="宋体" w:hAnsi="宋体"/>
          <w:b/>
          <w:color w:val="auto"/>
          <w:sz w:val="48"/>
          <w:szCs w:val="48"/>
          <w:highlight w:val="none"/>
        </w:rPr>
      </w:pPr>
    </w:p>
    <w:p w14:paraId="2D880B64">
      <w:pPr>
        <w:pStyle w:val="34"/>
        <w:shd w:val="clear"/>
        <w:rPr>
          <w:color w:val="auto"/>
          <w:highlight w:val="none"/>
        </w:rPr>
      </w:pPr>
    </w:p>
    <w:p w14:paraId="69BC1B5E">
      <w:pPr>
        <w:pStyle w:val="35"/>
        <w:shd w:val="clea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717843DD">
      <w:pPr>
        <w:pStyle w:val="34"/>
        <w:shd w:val="clear"/>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04ED1AF0">
      <w:pPr>
        <w:pStyle w:val="35"/>
        <w:shd w:val="clear"/>
        <w:rPr>
          <w:rFonts w:hint="eastAsia"/>
          <w:color w:val="auto"/>
          <w:highlight w:val="none"/>
          <w:lang w:eastAsia="zh-CN"/>
        </w:rPr>
      </w:pPr>
    </w:p>
    <w:p w14:paraId="3D954BA3">
      <w:pPr>
        <w:pStyle w:val="34"/>
        <w:shd w:val="clea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1DFCB3F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56DA307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1BEC7E8">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63E4823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6BEAD68F">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二○一一年六月十八日中小企业划型标准规定　　一、根据《中华人民共和国中小企业促进法》和《国务院关于进一步促进中小企业发展的若干意见》(国发〔2009〕36号)，制定本规定。</w:t>
      </w:r>
    </w:p>
    <w:p w14:paraId="4985937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42A3372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9FA8A6B">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4C5CB578">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0BD2F42A">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CB4DFF7">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D3FA49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2F9992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9792C86">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522A00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F553EF5">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11E49E9">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4D61B4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C4BEF2B">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A3AD783">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28363C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90C7AF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31C1F1B">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3DD891F6">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7953F05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0B09AB7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22C134D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5582BDF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28498208">
      <w:pPr>
        <w:pStyle w:val="34"/>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227FCF7A">
      <w:pPr>
        <w:pStyle w:val="34"/>
        <w:shd w:val="clear"/>
        <w:spacing w:line="360" w:lineRule="auto"/>
        <w:rPr>
          <w:rFonts w:hint="eastAsia" w:ascii="宋体" w:hAnsi="宋体" w:eastAsia="宋体" w:cs="宋体"/>
          <w:color w:val="auto"/>
          <w:sz w:val="21"/>
          <w:szCs w:val="21"/>
          <w:highlight w:val="none"/>
          <w:lang w:eastAsia="zh-CN"/>
        </w:rPr>
      </w:pPr>
    </w:p>
    <w:p w14:paraId="22D74EFB">
      <w:pPr>
        <w:pStyle w:val="47"/>
        <w:shd w:val="clear"/>
        <w:rPr>
          <w:color w:val="auto"/>
          <w:highlight w:val="none"/>
        </w:rPr>
      </w:pPr>
    </w:p>
    <w:p w14:paraId="7A01FF97">
      <w:pPr>
        <w:pStyle w:val="34"/>
        <w:shd w:val="clear"/>
        <w:rPr>
          <w:color w:val="auto"/>
          <w:highlight w:val="none"/>
        </w:rPr>
      </w:pPr>
    </w:p>
    <w:p w14:paraId="456AD55C">
      <w:pPr>
        <w:pStyle w:val="35"/>
        <w:shd w:val="clear"/>
        <w:rPr>
          <w:color w:val="auto"/>
          <w:highlight w:val="none"/>
        </w:rPr>
      </w:pPr>
    </w:p>
    <w:p w14:paraId="16009904">
      <w:pPr>
        <w:pStyle w:val="34"/>
        <w:shd w:val="clear"/>
        <w:rPr>
          <w:color w:val="auto"/>
          <w:highlight w:val="none"/>
        </w:rPr>
      </w:pPr>
    </w:p>
    <w:p w14:paraId="532EC49A">
      <w:pPr>
        <w:pStyle w:val="35"/>
        <w:shd w:val="clear"/>
        <w:rPr>
          <w:color w:val="auto"/>
          <w:highlight w:val="none"/>
        </w:rPr>
      </w:pPr>
    </w:p>
    <w:p w14:paraId="6A5184C6">
      <w:pPr>
        <w:pStyle w:val="34"/>
        <w:shd w:val="clear"/>
        <w:rPr>
          <w:color w:val="auto"/>
          <w:highlight w:val="none"/>
        </w:rPr>
      </w:pPr>
    </w:p>
    <w:p w14:paraId="551F2461">
      <w:pPr>
        <w:pStyle w:val="35"/>
        <w:shd w:val="clear"/>
        <w:rPr>
          <w:color w:val="auto"/>
          <w:highlight w:val="none"/>
        </w:rPr>
      </w:pPr>
    </w:p>
    <w:p w14:paraId="7BD388D7">
      <w:pPr>
        <w:pStyle w:val="34"/>
        <w:shd w:val="clear"/>
        <w:rPr>
          <w:color w:val="auto"/>
          <w:highlight w:val="none"/>
        </w:rPr>
      </w:pPr>
    </w:p>
    <w:p w14:paraId="050AD8D2">
      <w:pPr>
        <w:pStyle w:val="35"/>
        <w:shd w:val="clear"/>
        <w:rPr>
          <w:color w:val="auto"/>
          <w:highlight w:val="none"/>
        </w:rPr>
      </w:pPr>
    </w:p>
    <w:p w14:paraId="24171051">
      <w:pPr>
        <w:pStyle w:val="34"/>
        <w:shd w:val="clear"/>
        <w:rPr>
          <w:color w:val="auto"/>
          <w:highlight w:val="none"/>
        </w:rPr>
      </w:pPr>
    </w:p>
    <w:p w14:paraId="34FCE560">
      <w:pPr>
        <w:pStyle w:val="35"/>
        <w:shd w:val="clear"/>
        <w:rPr>
          <w:color w:val="auto"/>
          <w:highlight w:val="none"/>
        </w:rPr>
      </w:pPr>
    </w:p>
    <w:p w14:paraId="2E8FF0E9">
      <w:pPr>
        <w:pStyle w:val="34"/>
        <w:shd w:val="clear"/>
        <w:rPr>
          <w:color w:val="auto"/>
          <w:highlight w:val="none"/>
        </w:rPr>
      </w:pPr>
    </w:p>
    <w:p w14:paraId="703F1F2E">
      <w:pPr>
        <w:pStyle w:val="35"/>
        <w:shd w:val="clear"/>
        <w:rPr>
          <w:color w:val="auto"/>
          <w:highlight w:val="none"/>
        </w:rPr>
      </w:pPr>
    </w:p>
    <w:p w14:paraId="259A16B2">
      <w:pPr>
        <w:pStyle w:val="34"/>
        <w:shd w:val="clear"/>
        <w:rPr>
          <w:color w:val="auto"/>
          <w:highlight w:val="none"/>
        </w:rPr>
      </w:pPr>
    </w:p>
    <w:p w14:paraId="27C5753E">
      <w:pPr>
        <w:pStyle w:val="35"/>
        <w:shd w:val="clear"/>
        <w:rPr>
          <w:color w:val="auto"/>
          <w:highlight w:val="none"/>
        </w:rPr>
      </w:pPr>
    </w:p>
    <w:p w14:paraId="4F86A9B4">
      <w:pPr>
        <w:pStyle w:val="34"/>
        <w:shd w:val="clear"/>
        <w:rPr>
          <w:color w:val="auto"/>
          <w:highlight w:val="none"/>
        </w:rPr>
      </w:pPr>
    </w:p>
    <w:p w14:paraId="4B59F68E">
      <w:pPr>
        <w:pStyle w:val="35"/>
        <w:shd w:val="clear"/>
        <w:rPr>
          <w:color w:val="auto"/>
          <w:highlight w:val="none"/>
        </w:rPr>
      </w:pPr>
    </w:p>
    <w:p w14:paraId="659E7061">
      <w:pPr>
        <w:pStyle w:val="34"/>
        <w:shd w:val="clear"/>
        <w:rPr>
          <w:color w:val="auto"/>
          <w:highlight w:val="none"/>
        </w:rPr>
      </w:pPr>
    </w:p>
    <w:p w14:paraId="76C81039">
      <w:pPr>
        <w:pStyle w:val="35"/>
        <w:shd w:val="clear"/>
        <w:rPr>
          <w:color w:val="auto"/>
          <w:highlight w:val="none"/>
        </w:rPr>
      </w:pPr>
    </w:p>
    <w:p w14:paraId="412C30C6">
      <w:pPr>
        <w:pStyle w:val="34"/>
        <w:shd w:val="clear"/>
        <w:rPr>
          <w:color w:val="auto"/>
          <w:highlight w:val="none"/>
        </w:rPr>
      </w:pPr>
    </w:p>
    <w:p w14:paraId="178F82D7">
      <w:pPr>
        <w:pStyle w:val="35"/>
        <w:shd w:val="clear"/>
        <w:rPr>
          <w:color w:val="auto"/>
          <w:highlight w:val="none"/>
        </w:rPr>
      </w:pPr>
    </w:p>
    <w:p w14:paraId="2715B7C2">
      <w:pPr>
        <w:pStyle w:val="34"/>
        <w:shd w:val="clear"/>
        <w:rPr>
          <w:color w:val="auto"/>
          <w:highlight w:val="none"/>
        </w:rPr>
      </w:pPr>
    </w:p>
    <w:p w14:paraId="28255963">
      <w:pPr>
        <w:pStyle w:val="35"/>
        <w:shd w:val="clear"/>
        <w:rPr>
          <w:color w:val="auto"/>
          <w:highlight w:val="none"/>
        </w:rPr>
      </w:pPr>
    </w:p>
    <w:p w14:paraId="7134C8E5">
      <w:pPr>
        <w:pStyle w:val="34"/>
        <w:shd w:val="clear"/>
        <w:rPr>
          <w:color w:val="auto"/>
          <w:highlight w:val="none"/>
        </w:rPr>
      </w:pPr>
    </w:p>
    <w:p w14:paraId="67B25429">
      <w:pPr>
        <w:pStyle w:val="35"/>
        <w:shd w:val="clear"/>
        <w:rPr>
          <w:color w:val="auto"/>
          <w:highlight w:val="none"/>
        </w:rPr>
      </w:pPr>
    </w:p>
    <w:p w14:paraId="3938E9D4">
      <w:pPr>
        <w:pStyle w:val="34"/>
        <w:shd w:val="clear"/>
        <w:rPr>
          <w:color w:val="auto"/>
          <w:highlight w:val="none"/>
        </w:rPr>
      </w:pPr>
    </w:p>
    <w:p w14:paraId="6225DA28">
      <w:pPr>
        <w:pStyle w:val="35"/>
        <w:shd w:val="clear"/>
        <w:rPr>
          <w:rFonts w:ascii="宋体" w:hAnsi="宋体"/>
          <w:b/>
          <w:color w:val="auto"/>
          <w:sz w:val="48"/>
          <w:szCs w:val="48"/>
          <w:highlight w:val="none"/>
        </w:rPr>
      </w:pPr>
    </w:p>
    <w:p w14:paraId="333776E3">
      <w:pPr>
        <w:pStyle w:val="2"/>
        <w:shd w:val="clear"/>
        <w:spacing w:line="360" w:lineRule="auto"/>
        <w:jc w:val="center"/>
        <w:rPr>
          <w:rFonts w:ascii="宋体" w:cs="宋体"/>
          <w:color w:val="auto"/>
          <w:sz w:val="36"/>
          <w:highlight w:val="none"/>
        </w:rPr>
      </w:pPr>
      <w:bookmarkStart w:id="55" w:name="_Toc243630963"/>
      <w:bookmarkStart w:id="56" w:name="_Toc16635"/>
      <w:bookmarkStart w:id="57" w:name="_Toc255977446"/>
      <w:bookmarkStart w:id="58" w:name="_Toc247292448"/>
      <w:bookmarkStart w:id="59" w:name="_Toc247301841"/>
      <w:bookmarkStart w:id="60" w:name="_Toc24800"/>
      <w:bookmarkStart w:id="61" w:name="_Toc24872"/>
      <w:bookmarkStart w:id="62" w:name="_Toc243584363"/>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55"/>
      <w:bookmarkEnd w:id="56"/>
      <w:bookmarkEnd w:id="57"/>
      <w:bookmarkEnd w:id="58"/>
      <w:bookmarkEnd w:id="59"/>
      <w:bookmarkEnd w:id="60"/>
      <w:bookmarkEnd w:id="61"/>
      <w:bookmarkEnd w:id="62"/>
    </w:p>
    <w:p w14:paraId="439ABF3C">
      <w:pPr>
        <w:pStyle w:val="3"/>
        <w:shd w:val="clear"/>
        <w:spacing w:line="360" w:lineRule="auto"/>
        <w:jc w:val="center"/>
        <w:rPr>
          <w:rFonts w:ascii="宋体" w:hAnsi="宋体" w:eastAsia="宋体" w:cs="宋体"/>
          <w:color w:val="auto"/>
          <w:kern w:val="0"/>
          <w:highlight w:val="none"/>
        </w:rPr>
      </w:pPr>
      <w:bookmarkStart w:id="63" w:name="_Toc27920"/>
      <w:bookmarkStart w:id="64" w:name="_Toc247292449"/>
      <w:bookmarkStart w:id="65" w:name="_Toc2585"/>
      <w:bookmarkStart w:id="66" w:name="_Toc247301842"/>
      <w:bookmarkStart w:id="67" w:name="_Toc27322"/>
      <w:bookmarkStart w:id="68" w:name="_Toc11962"/>
      <w:bookmarkStart w:id="69" w:name="_Toc255977447"/>
      <w:bookmarkStart w:id="70" w:name="_Toc32493"/>
      <w:r>
        <w:rPr>
          <w:rFonts w:hint="eastAsia" w:ascii="宋体" w:hAnsi="宋体" w:eastAsia="宋体" w:cs="宋体"/>
          <w:color w:val="auto"/>
          <w:kern w:val="0"/>
          <w:highlight w:val="none"/>
        </w:rPr>
        <w:t>封面格式</w:t>
      </w:r>
      <w:bookmarkEnd w:id="63"/>
      <w:bookmarkEnd w:id="64"/>
      <w:bookmarkEnd w:id="65"/>
      <w:bookmarkEnd w:id="66"/>
      <w:bookmarkEnd w:id="67"/>
      <w:bookmarkEnd w:id="68"/>
      <w:bookmarkEnd w:id="69"/>
      <w:bookmarkEnd w:id="70"/>
    </w:p>
    <w:tbl>
      <w:tblPr>
        <w:tblStyle w:val="24"/>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28E2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180" w:type="dxa"/>
          </w:tcPr>
          <w:p w14:paraId="5D9B4B3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3B7CFD4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0184A595">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bookmarkStart w:id="71" w:name="_Toc32370"/>
            <w:r>
              <w:rPr>
                <w:rFonts w:hint="eastAsia" w:ascii="宋体" w:hAnsi="宋体" w:cs="宋体"/>
                <w:b/>
                <w:color w:val="auto"/>
                <w:kern w:val="0"/>
                <w:sz w:val="32"/>
                <w:szCs w:val="21"/>
                <w:highlight w:val="none"/>
                <w:lang w:val="en-US" w:eastAsia="zh-CN"/>
              </w:rPr>
              <w:t>（项目名称）</w:t>
            </w:r>
            <w:bookmarkEnd w:id="71"/>
          </w:p>
          <w:p w14:paraId="197C32D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488467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88F21C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72" w:name="_Toc642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72"/>
          </w:p>
          <w:p w14:paraId="2B0C308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30E1C5A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773D9E8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B9C6CF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1343B7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1D37C2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38AD14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4EB1584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3" w:name="_Toc28065"/>
            <w:bookmarkStart w:id="74" w:name="_Toc243584368"/>
            <w:r>
              <w:rPr>
                <w:rFonts w:hint="eastAsia" w:ascii="宋体" w:hAnsi="宋体" w:cs="宋体"/>
                <w:color w:val="auto"/>
                <w:kern w:val="0"/>
                <w:sz w:val="24"/>
                <w:szCs w:val="21"/>
                <w:highlight w:val="none"/>
              </w:rPr>
              <w:t>项目名称：</w:t>
            </w:r>
            <w:bookmarkEnd w:id="73"/>
            <w:bookmarkEnd w:id="74"/>
          </w:p>
          <w:p w14:paraId="70568ECB">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16AA8B0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5" w:name="_Toc4027"/>
            <w:bookmarkStart w:id="76" w:name="_Toc243584369"/>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75"/>
            <w:bookmarkEnd w:id="76"/>
          </w:p>
          <w:p w14:paraId="3DED6AA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77" w:name="_Toc243584370"/>
            <w:bookmarkStart w:id="78" w:name="_Toc25307"/>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7"/>
            <w:bookmarkEnd w:id="78"/>
          </w:p>
          <w:p w14:paraId="5750C089">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76C4EAA6">
      <w:pPr>
        <w:pStyle w:val="34"/>
        <w:shd w:val="clear"/>
        <w:spacing w:line="360" w:lineRule="auto"/>
        <w:rPr>
          <w:rFonts w:ascii="宋体" w:hAnsi="宋体"/>
          <w:b/>
          <w:color w:val="auto"/>
          <w:sz w:val="28"/>
          <w:szCs w:val="28"/>
          <w:highlight w:val="none"/>
        </w:rPr>
      </w:pPr>
    </w:p>
    <w:p w14:paraId="344D5DA0">
      <w:pPr>
        <w:pStyle w:val="34"/>
        <w:shd w:val="clear"/>
        <w:spacing w:line="360" w:lineRule="auto"/>
        <w:rPr>
          <w:rFonts w:ascii="宋体" w:hAnsi="宋体"/>
          <w:b/>
          <w:color w:val="auto"/>
          <w:sz w:val="28"/>
          <w:szCs w:val="28"/>
          <w:highlight w:val="none"/>
        </w:rPr>
      </w:pPr>
    </w:p>
    <w:p w14:paraId="51B012BC">
      <w:pPr>
        <w:pStyle w:val="34"/>
        <w:shd w:val="clear"/>
        <w:spacing w:line="360" w:lineRule="auto"/>
        <w:rPr>
          <w:rFonts w:ascii="宋体" w:hAnsi="宋体"/>
          <w:b/>
          <w:color w:val="auto"/>
          <w:sz w:val="28"/>
          <w:szCs w:val="28"/>
          <w:highlight w:val="none"/>
        </w:rPr>
      </w:pPr>
    </w:p>
    <w:p w14:paraId="24D5D10A">
      <w:pPr>
        <w:pStyle w:val="34"/>
        <w:shd w:val="clear"/>
        <w:spacing w:line="360" w:lineRule="auto"/>
        <w:rPr>
          <w:rFonts w:ascii="宋体" w:hAnsi="宋体"/>
          <w:b/>
          <w:color w:val="auto"/>
          <w:sz w:val="28"/>
          <w:szCs w:val="28"/>
          <w:highlight w:val="none"/>
        </w:rPr>
      </w:pPr>
    </w:p>
    <w:p w14:paraId="544F1A9C">
      <w:pPr>
        <w:pStyle w:val="34"/>
        <w:shd w:val="clear"/>
        <w:spacing w:line="360" w:lineRule="auto"/>
        <w:rPr>
          <w:rFonts w:ascii="宋体" w:hAnsi="宋体"/>
          <w:b/>
          <w:color w:val="auto"/>
          <w:sz w:val="28"/>
          <w:szCs w:val="28"/>
          <w:highlight w:val="none"/>
        </w:rPr>
      </w:pPr>
    </w:p>
    <w:p w14:paraId="5271D95A">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52926281">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72A6FC8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53CC9F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w:t>
      </w:r>
      <w:r>
        <w:rPr>
          <w:rFonts w:hint="eastAsia" w:ascii="宋体" w:hAnsi="宋体"/>
          <w:b/>
          <w:bCs/>
          <w:color w:val="auto"/>
          <w:szCs w:val="21"/>
          <w:highlight w:val="none"/>
          <w:lang w:eastAsia="zh-CN"/>
        </w:rPr>
        <w:t>必须提供，否则响应文件按无效响应处理</w:t>
      </w:r>
      <w:r>
        <w:rPr>
          <w:rFonts w:ascii="宋体" w:hAnsi="宋体"/>
          <w:color w:val="auto"/>
          <w:szCs w:val="21"/>
          <w:highlight w:val="none"/>
        </w:rPr>
        <w:t>）</w:t>
      </w:r>
    </w:p>
    <w:p w14:paraId="4B816CD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hint="eastAsia"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1D58127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76AA7C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14CACE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77DA083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27AC76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6F884338">
      <w:pPr>
        <w:pStyle w:val="35"/>
        <w:shd w:val="clear"/>
        <w:rPr>
          <w:color w:val="auto"/>
          <w:highlight w:val="none"/>
        </w:rPr>
      </w:pPr>
    </w:p>
    <w:p w14:paraId="52171F08">
      <w:pPr>
        <w:pStyle w:val="34"/>
        <w:shd w:val="clear"/>
        <w:spacing w:line="360" w:lineRule="auto"/>
        <w:rPr>
          <w:rFonts w:hint="eastAsia" w:ascii="宋体" w:hAnsi="宋体"/>
          <w:color w:val="auto"/>
          <w:szCs w:val="21"/>
          <w:highlight w:val="none"/>
        </w:rPr>
      </w:pPr>
    </w:p>
    <w:p w14:paraId="1D98B5F4">
      <w:pPr>
        <w:pStyle w:val="35"/>
        <w:shd w:val="clear"/>
        <w:rPr>
          <w:color w:val="auto"/>
          <w:highlight w:val="none"/>
        </w:rPr>
      </w:pPr>
    </w:p>
    <w:p w14:paraId="49570DD7">
      <w:pPr>
        <w:pStyle w:val="34"/>
        <w:shd w:val="clear"/>
        <w:spacing w:line="360" w:lineRule="auto"/>
        <w:rPr>
          <w:rFonts w:ascii="宋体" w:hAnsi="宋体"/>
          <w:b/>
          <w:color w:val="auto"/>
          <w:sz w:val="28"/>
          <w:szCs w:val="28"/>
          <w:highlight w:val="none"/>
        </w:rPr>
      </w:pPr>
    </w:p>
    <w:p w14:paraId="5500AC78">
      <w:pPr>
        <w:pStyle w:val="34"/>
        <w:shd w:val="clear"/>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091BE30A">
      <w:pPr>
        <w:pStyle w:val="34"/>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16332904">
      <w:pPr>
        <w:pStyle w:val="34"/>
        <w:shd w:val="clear"/>
        <w:snapToGrid w:val="0"/>
        <w:spacing w:line="360" w:lineRule="auto"/>
        <w:jc w:val="center"/>
        <w:rPr>
          <w:rFonts w:ascii="宋体" w:hAnsi="宋体"/>
          <w:b/>
          <w:color w:val="auto"/>
          <w:sz w:val="24"/>
          <w:highlight w:val="none"/>
        </w:rPr>
      </w:pPr>
    </w:p>
    <w:p w14:paraId="51E32274">
      <w:pPr>
        <w:pStyle w:val="34"/>
        <w:shd w:val="clear"/>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0850062A">
      <w:pPr>
        <w:shd w:val="clea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p>
    <w:p w14:paraId="46886AB1">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p>
    <w:p w14:paraId="68D59D14">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p>
    <w:p w14:paraId="67AEE25C">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p>
    <w:p w14:paraId="1C5396C4">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p>
    <w:p w14:paraId="19D2EE2C">
      <w:pPr>
        <w:shd w:val="clea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姓名：性别：年龄：职务：</w:t>
      </w:r>
    </w:p>
    <w:p w14:paraId="290C2BDD">
      <w:pPr>
        <w:shd w:val="clea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lang w:eastAsia="zh-CN"/>
        </w:rPr>
        <w:t>供应商</w:t>
      </w:r>
      <w:r>
        <w:rPr>
          <w:rFonts w:hint="eastAsia" w:ascii="宋体" w:hAnsi="宋体" w:cs="宋体"/>
          <w:color w:val="auto"/>
          <w:kern w:val="0"/>
          <w:sz w:val="21"/>
          <w:szCs w:val="21"/>
          <w:highlight w:val="none"/>
          <w:u w:val="single"/>
        </w:rPr>
        <w:t>名称）</w:t>
      </w:r>
      <w:r>
        <w:rPr>
          <w:rFonts w:hint="eastAsia" w:ascii="宋体" w:hAnsi="宋体" w:cs="宋体"/>
          <w:color w:val="auto"/>
          <w:kern w:val="0"/>
          <w:sz w:val="21"/>
          <w:szCs w:val="21"/>
          <w:highlight w:val="none"/>
        </w:rPr>
        <w:t>的法定代表人。</w:t>
      </w:r>
    </w:p>
    <w:p w14:paraId="00CBD69C">
      <w:pPr>
        <w:shd w:val="clear"/>
        <w:autoSpaceDE w:val="0"/>
        <w:autoSpaceDN w:val="0"/>
        <w:adjustRightInd w:val="0"/>
        <w:spacing w:line="480" w:lineRule="auto"/>
        <w:rPr>
          <w:rFonts w:ascii="宋体" w:cs="宋体"/>
          <w:color w:val="auto"/>
          <w:kern w:val="0"/>
          <w:sz w:val="21"/>
          <w:szCs w:val="21"/>
          <w:highlight w:val="none"/>
        </w:rPr>
      </w:pPr>
    </w:p>
    <w:p w14:paraId="661D7750">
      <w:pPr>
        <w:shd w:val="clea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0B65842B">
      <w:pPr>
        <w:shd w:val="clear"/>
        <w:autoSpaceDE w:val="0"/>
        <w:autoSpaceDN w:val="0"/>
        <w:adjustRightInd w:val="0"/>
        <w:spacing w:line="360" w:lineRule="auto"/>
        <w:jc w:val="left"/>
        <w:outlineLvl w:val="0"/>
        <w:rPr>
          <w:rFonts w:ascii="宋体" w:cs="宋体"/>
          <w:color w:val="auto"/>
          <w:kern w:val="0"/>
          <w:sz w:val="21"/>
          <w:szCs w:val="21"/>
          <w:highlight w:val="none"/>
          <w:u w:val="singl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u w:val="single"/>
        </w:rPr>
        <w:t>：（盖章）</w:t>
      </w:r>
    </w:p>
    <w:p w14:paraId="3782F232">
      <w:pPr>
        <w:shd w:val="clear"/>
        <w:autoSpaceDE w:val="0"/>
        <w:autoSpaceDN w:val="0"/>
        <w:adjustRightInd w:val="0"/>
        <w:spacing w:line="360" w:lineRule="auto"/>
        <w:jc w:val="left"/>
        <w:rPr>
          <w:rFonts w:ascii="宋体" w:cs="宋体"/>
          <w:color w:val="auto"/>
          <w:kern w:val="0"/>
          <w:sz w:val="21"/>
          <w:szCs w:val="21"/>
          <w:highlight w:val="none"/>
        </w:rPr>
      </w:pPr>
    </w:p>
    <w:p w14:paraId="5D9CB982">
      <w:pPr>
        <w:shd w:val="clea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日期：年月日</w:t>
      </w:r>
    </w:p>
    <w:p w14:paraId="5D884FA2">
      <w:pPr>
        <w:shd w:val="clear"/>
        <w:autoSpaceDE w:val="0"/>
        <w:autoSpaceDN w:val="0"/>
        <w:adjustRightInd w:val="0"/>
        <w:spacing w:line="360" w:lineRule="auto"/>
        <w:jc w:val="left"/>
        <w:rPr>
          <w:rFonts w:ascii="宋体" w:cs="宋体"/>
          <w:color w:val="auto"/>
          <w:kern w:val="0"/>
          <w:sz w:val="21"/>
          <w:szCs w:val="21"/>
          <w:highlight w:val="none"/>
        </w:rPr>
      </w:pPr>
    </w:p>
    <w:p w14:paraId="7F55FFE7">
      <w:pPr>
        <w:shd w:val="clear"/>
        <w:autoSpaceDE w:val="0"/>
        <w:autoSpaceDN w:val="0"/>
        <w:adjustRightInd w:val="0"/>
        <w:spacing w:line="360" w:lineRule="auto"/>
        <w:jc w:val="left"/>
        <w:rPr>
          <w:rFonts w:ascii="宋体" w:cs="宋体"/>
          <w:color w:val="auto"/>
          <w:kern w:val="0"/>
          <w:sz w:val="21"/>
          <w:szCs w:val="21"/>
          <w:highlight w:val="none"/>
        </w:rPr>
      </w:pPr>
    </w:p>
    <w:p w14:paraId="13CF1F6A">
      <w:pPr>
        <w:shd w:val="clea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2C2FB4F2">
      <w:pPr>
        <w:pStyle w:val="34"/>
        <w:shd w:val="clear"/>
        <w:spacing w:line="360" w:lineRule="auto"/>
        <w:ind w:right="97"/>
        <w:rPr>
          <w:rFonts w:ascii="宋体" w:hAnsi="宋体" w:cs="宋体"/>
          <w:color w:val="auto"/>
          <w:sz w:val="21"/>
          <w:szCs w:val="21"/>
          <w:highlight w:val="none"/>
        </w:rPr>
      </w:pPr>
    </w:p>
    <w:p w14:paraId="50AEFF42">
      <w:pPr>
        <w:pStyle w:val="34"/>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49C02DB6">
      <w:pPr>
        <w:pStyle w:val="34"/>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(1)法定代表人亲自参加开标会议的，须附上“法定代表人身份证明书”，附法定代表人身份证复印件。</w:t>
      </w:r>
    </w:p>
    <w:p w14:paraId="11BD1B9E">
      <w:pPr>
        <w:pStyle w:val="34"/>
        <w:shd w:val="clear"/>
        <w:spacing w:line="360" w:lineRule="auto"/>
        <w:rPr>
          <w:rFonts w:ascii="宋体" w:hAnsi="宋体"/>
          <w:b/>
          <w:color w:val="auto"/>
          <w:sz w:val="28"/>
          <w:szCs w:val="28"/>
          <w:highlight w:val="none"/>
        </w:rPr>
      </w:pPr>
    </w:p>
    <w:p w14:paraId="52286A4F">
      <w:pPr>
        <w:pStyle w:val="31"/>
        <w:shd w:val="clear"/>
        <w:rPr>
          <w:rFonts w:ascii="宋体" w:hAnsi="宋体" w:cs="宋体"/>
          <w:color w:val="auto"/>
          <w:sz w:val="36"/>
          <w:highlight w:val="none"/>
        </w:rPr>
      </w:pPr>
    </w:p>
    <w:p w14:paraId="5820AB04">
      <w:pPr>
        <w:shd w:val="clear"/>
        <w:rPr>
          <w:rFonts w:ascii="宋体" w:hAnsi="宋体" w:cs="宋体"/>
          <w:color w:val="auto"/>
          <w:sz w:val="36"/>
          <w:highlight w:val="none"/>
        </w:rPr>
      </w:pPr>
    </w:p>
    <w:p w14:paraId="6D7878FE">
      <w:pPr>
        <w:shd w:val="clear"/>
        <w:rPr>
          <w:rFonts w:ascii="宋体" w:hAnsi="宋体" w:cs="宋体"/>
          <w:color w:val="auto"/>
          <w:sz w:val="36"/>
          <w:highlight w:val="none"/>
        </w:rPr>
      </w:pPr>
    </w:p>
    <w:p w14:paraId="4F12B399">
      <w:pPr>
        <w:shd w:val="clear"/>
        <w:rPr>
          <w:rFonts w:ascii="宋体" w:hAnsi="宋体" w:cs="宋体"/>
          <w:color w:val="auto"/>
          <w:sz w:val="36"/>
          <w:highlight w:val="none"/>
        </w:rPr>
      </w:pPr>
    </w:p>
    <w:p w14:paraId="4C255F72">
      <w:pPr>
        <w:shd w:val="clear"/>
        <w:rPr>
          <w:rFonts w:ascii="宋体" w:hAnsi="宋体" w:cs="宋体"/>
          <w:color w:val="auto"/>
          <w:sz w:val="36"/>
          <w:highlight w:val="none"/>
        </w:rPr>
      </w:pPr>
    </w:p>
    <w:p w14:paraId="00FCCF8B">
      <w:pPr>
        <w:pStyle w:val="10"/>
        <w:shd w:val="clear"/>
        <w:rPr>
          <w:rFonts w:ascii="宋体" w:hAnsi="宋体" w:cs="宋体"/>
          <w:color w:val="auto"/>
          <w:sz w:val="36"/>
          <w:highlight w:val="none"/>
        </w:rPr>
      </w:pPr>
    </w:p>
    <w:p w14:paraId="7D6E1FAA">
      <w:pPr>
        <w:shd w:val="clear"/>
        <w:rPr>
          <w:rFonts w:ascii="宋体" w:hAnsi="宋体" w:cs="宋体"/>
          <w:color w:val="auto"/>
          <w:sz w:val="36"/>
          <w:highlight w:val="none"/>
        </w:rPr>
      </w:pPr>
    </w:p>
    <w:p w14:paraId="5772D2D1">
      <w:pPr>
        <w:pStyle w:val="10"/>
        <w:shd w:val="clear"/>
        <w:rPr>
          <w:color w:val="auto"/>
          <w:highlight w:val="none"/>
        </w:rPr>
      </w:pPr>
    </w:p>
    <w:p w14:paraId="16342B1B">
      <w:pPr>
        <w:shd w:val="clear"/>
        <w:rPr>
          <w:rFonts w:ascii="宋体" w:hAnsi="宋体" w:cs="宋体"/>
          <w:color w:val="auto"/>
          <w:sz w:val="36"/>
          <w:highlight w:val="none"/>
        </w:rPr>
      </w:pPr>
    </w:p>
    <w:p w14:paraId="037ECBF3">
      <w:pPr>
        <w:pStyle w:val="34"/>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4D6FDA73">
      <w:pPr>
        <w:pStyle w:val="34"/>
        <w:shd w:val="clear"/>
        <w:snapToGrid w:val="0"/>
        <w:spacing w:line="360" w:lineRule="auto"/>
        <w:jc w:val="center"/>
        <w:rPr>
          <w:rFonts w:ascii="宋体" w:hAnsi="宋体"/>
          <w:b/>
          <w:color w:val="auto"/>
          <w:sz w:val="24"/>
          <w:highlight w:val="none"/>
        </w:rPr>
      </w:pPr>
    </w:p>
    <w:p w14:paraId="11F6BEBD">
      <w:pPr>
        <w:pStyle w:val="35"/>
        <w:shd w:val="clear"/>
        <w:rPr>
          <w:color w:val="auto"/>
          <w:highlight w:val="none"/>
        </w:rPr>
      </w:pPr>
    </w:p>
    <w:p w14:paraId="52BF2F93">
      <w:pPr>
        <w:pStyle w:val="34"/>
        <w:shd w:val="clear"/>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180CEE37">
      <w:pPr>
        <w:pStyle w:val="34"/>
        <w:shd w:val="clear"/>
        <w:snapToGrid w:val="0"/>
        <w:spacing w:line="360" w:lineRule="auto"/>
        <w:rPr>
          <w:rFonts w:ascii="宋体" w:hAnsi="宋体"/>
          <w:color w:val="auto"/>
          <w:sz w:val="28"/>
          <w:szCs w:val="28"/>
          <w:highlight w:val="none"/>
        </w:rPr>
      </w:pPr>
    </w:p>
    <w:p w14:paraId="052BE3AF">
      <w:pPr>
        <w:shd w:val="clea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eastAsia="zh-CN"/>
        </w:rPr>
        <w:t>供应商</w:t>
      </w:r>
      <w:r>
        <w:rPr>
          <w:rFonts w:hint="eastAsia" w:ascii="宋体" w:hAnsi="宋体" w:cs="宋体"/>
          <w:color w:val="auto"/>
          <w:kern w:val="0"/>
          <w:sz w:val="21"/>
          <w:szCs w:val="22"/>
          <w:highlight w:val="none"/>
          <w:u w:val="single"/>
        </w:rPr>
        <w:t>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w:t>
      </w:r>
      <w:r>
        <w:rPr>
          <w:rFonts w:hint="eastAsia" w:ascii="宋体" w:hAnsi="宋体" w:cs="宋体"/>
          <w:color w:val="auto"/>
          <w:kern w:val="0"/>
          <w:sz w:val="21"/>
          <w:szCs w:val="22"/>
          <w:highlight w:val="none"/>
          <w:lang w:eastAsia="zh-CN"/>
        </w:rPr>
        <w:t>磋商</w:t>
      </w:r>
      <w:r>
        <w:rPr>
          <w:rFonts w:hint="eastAsia" w:ascii="宋体" w:hAnsi="宋体" w:cs="宋体"/>
          <w:color w:val="auto"/>
          <w:kern w:val="0"/>
          <w:sz w:val="21"/>
          <w:szCs w:val="22"/>
          <w:highlight w:val="none"/>
        </w:rPr>
        <w:t>过程中所签署的一切文件和处理与之有关的一切事务，我均予以承认。</w:t>
      </w:r>
    </w:p>
    <w:p w14:paraId="1091302B">
      <w:pPr>
        <w:shd w:val="clea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：年月日至年月日</w:t>
      </w:r>
    </w:p>
    <w:p w14:paraId="35C5979A">
      <w:pPr>
        <w:shd w:val="clea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代理人无转委权。特此授权。</w:t>
      </w:r>
    </w:p>
    <w:p w14:paraId="20DB1D69">
      <w:pPr>
        <w:shd w:val="clea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代理人（签字）：性别：年龄：</w:t>
      </w:r>
    </w:p>
    <w:p w14:paraId="1D33EDDA">
      <w:pPr>
        <w:shd w:val="clea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身份证号码：联系电话：</w:t>
      </w:r>
    </w:p>
    <w:p w14:paraId="6CF19BF5">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lang w:eastAsia="zh-CN"/>
        </w:rPr>
        <w:t>供应商</w:t>
      </w:r>
      <w:r>
        <w:rPr>
          <w:rFonts w:hint="eastAsia" w:ascii="宋体" w:hAnsi="宋体" w:cs="宋体"/>
          <w:color w:val="auto"/>
          <w:kern w:val="0"/>
          <w:sz w:val="21"/>
          <w:szCs w:val="22"/>
          <w:highlight w:val="none"/>
          <w:u w:val="single"/>
        </w:rPr>
        <w:t>：（盖章）</w:t>
      </w:r>
    </w:p>
    <w:p w14:paraId="6504338C">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：（签字或盖章）</w:t>
      </w:r>
    </w:p>
    <w:p w14:paraId="7EE550B7">
      <w:pPr>
        <w:shd w:val="clea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51E34142">
      <w:pPr>
        <w:pStyle w:val="34"/>
        <w:shd w:val="clear"/>
        <w:autoSpaceDE w:val="0"/>
        <w:autoSpaceDN w:val="0"/>
        <w:spacing w:line="360" w:lineRule="auto"/>
        <w:ind w:left="480" w:hanging="480"/>
        <w:rPr>
          <w:rFonts w:ascii="宋体" w:hAnsi="宋体"/>
          <w:color w:val="auto"/>
          <w:szCs w:val="21"/>
          <w:highlight w:val="none"/>
        </w:rPr>
      </w:pPr>
    </w:p>
    <w:p w14:paraId="5AFA04E7">
      <w:pPr>
        <w:pStyle w:val="34"/>
        <w:shd w:val="clear"/>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53DE1DF2">
      <w:pPr>
        <w:shd w:val="clear"/>
        <w:rPr>
          <w:rFonts w:ascii="宋体" w:hAnsi="宋体" w:cs="宋体"/>
          <w:color w:val="auto"/>
          <w:sz w:val="36"/>
          <w:highlight w:val="none"/>
        </w:rPr>
      </w:pPr>
    </w:p>
    <w:p w14:paraId="07EBCAAC">
      <w:pPr>
        <w:shd w:val="clear"/>
        <w:rPr>
          <w:rFonts w:ascii="宋体" w:hAnsi="宋体" w:cs="宋体"/>
          <w:color w:val="auto"/>
          <w:sz w:val="36"/>
          <w:highlight w:val="none"/>
        </w:rPr>
      </w:pPr>
    </w:p>
    <w:p w14:paraId="5F065F36">
      <w:pPr>
        <w:shd w:val="clear"/>
        <w:rPr>
          <w:rFonts w:ascii="宋体" w:hAnsi="宋体" w:cs="宋体"/>
          <w:color w:val="auto"/>
          <w:sz w:val="36"/>
          <w:highlight w:val="none"/>
        </w:rPr>
      </w:pPr>
    </w:p>
    <w:p w14:paraId="5C91CF11">
      <w:pPr>
        <w:shd w:val="clear"/>
        <w:rPr>
          <w:rFonts w:ascii="宋体" w:hAnsi="宋体" w:cs="宋体"/>
          <w:color w:val="auto"/>
          <w:sz w:val="36"/>
          <w:highlight w:val="none"/>
        </w:rPr>
      </w:pPr>
    </w:p>
    <w:p w14:paraId="66B8D869">
      <w:pPr>
        <w:shd w:val="clear"/>
        <w:rPr>
          <w:rFonts w:ascii="宋体" w:hAnsi="宋体" w:cs="宋体"/>
          <w:color w:val="auto"/>
          <w:sz w:val="36"/>
          <w:highlight w:val="none"/>
        </w:rPr>
      </w:pPr>
    </w:p>
    <w:p w14:paraId="5489DC1E">
      <w:pPr>
        <w:shd w:val="clear"/>
        <w:rPr>
          <w:rFonts w:ascii="宋体" w:hAnsi="宋体" w:cs="宋体"/>
          <w:color w:val="auto"/>
          <w:sz w:val="36"/>
          <w:highlight w:val="none"/>
        </w:rPr>
      </w:pPr>
    </w:p>
    <w:p w14:paraId="058C1D31">
      <w:pPr>
        <w:shd w:val="clear"/>
        <w:rPr>
          <w:rFonts w:ascii="宋体" w:hAnsi="宋体" w:cs="宋体"/>
          <w:color w:val="auto"/>
          <w:sz w:val="36"/>
          <w:highlight w:val="none"/>
        </w:rPr>
      </w:pPr>
    </w:p>
    <w:p w14:paraId="55CE5044">
      <w:pPr>
        <w:pStyle w:val="10"/>
        <w:shd w:val="clear"/>
        <w:rPr>
          <w:color w:val="auto"/>
          <w:highlight w:val="none"/>
        </w:rPr>
      </w:pPr>
    </w:p>
    <w:p w14:paraId="2DB9860A">
      <w:pPr>
        <w:shd w:val="clear"/>
        <w:rPr>
          <w:rFonts w:ascii="宋体" w:hAnsi="宋体" w:cs="宋体"/>
          <w:color w:val="auto"/>
          <w:sz w:val="36"/>
          <w:highlight w:val="none"/>
        </w:rPr>
      </w:pPr>
    </w:p>
    <w:p w14:paraId="764B9DED">
      <w:pPr>
        <w:pStyle w:val="34"/>
        <w:numPr>
          <w:ilvl w:val="0"/>
          <w:numId w:val="0"/>
        </w:numPr>
        <w:shd w:val="clea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01E999DE">
      <w:pPr>
        <w:pStyle w:val="35"/>
        <w:numPr>
          <w:ilvl w:val="0"/>
          <w:numId w:val="0"/>
        </w:numPr>
        <w:shd w:val="clear"/>
        <w:ind w:leftChars="0"/>
        <w:rPr>
          <w:rFonts w:hint="eastAsia"/>
          <w:color w:val="auto"/>
          <w:highlight w:val="none"/>
          <w:lang w:val="en-US" w:eastAsia="zh-CN"/>
        </w:rPr>
      </w:pPr>
    </w:p>
    <w:p w14:paraId="40139690">
      <w:pPr>
        <w:pStyle w:val="34"/>
        <w:shd w:val="clear"/>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40C3560C">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2B1DE413">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6F76F7AE">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4D62E9FF">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5EEA88AB">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同供应商的响应文件异常一致或者竞标报价呈规律性差异；</w:t>
      </w:r>
    </w:p>
    <w:p w14:paraId="28DCF11C">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29FA5D2C">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38371483">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2A13B6D1">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056CC6FD">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5DB41CAF">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232385E4">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5.供应商之间事先约定一致抬高或者压低竞标报价,或者在竞争性</w:t>
      </w:r>
      <w:r>
        <w:rPr>
          <w:rFonts w:hint="eastAsia" w:ascii="宋体" w:hAnsi="宋体" w:cs="仿宋_GB2312"/>
          <w:color w:val="auto"/>
          <w:sz w:val="21"/>
          <w:szCs w:val="21"/>
          <w:highlight w:val="none"/>
          <w:lang w:eastAsia="zh-CN"/>
        </w:rPr>
        <w:t>磋商</w:t>
      </w:r>
      <w:r>
        <w:rPr>
          <w:rFonts w:ascii="宋体" w:hAnsi="宋体" w:cs="仿宋_GB2312"/>
          <w:color w:val="auto"/>
          <w:sz w:val="21"/>
          <w:szCs w:val="21"/>
          <w:highlight w:val="none"/>
        </w:rPr>
        <w:t>项目中事先约定轮流以高价位或者低价位成交,或者事先约定由某一特定供应商成交,然后再参加竞标；</w:t>
      </w:r>
    </w:p>
    <w:p w14:paraId="667F976F">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5A3360EB">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6C0DD151">
      <w:pPr>
        <w:pStyle w:val="34"/>
        <w:shd w:val="clear"/>
        <w:spacing w:line="360" w:lineRule="auto"/>
        <w:rPr>
          <w:rFonts w:ascii="宋体" w:hAnsi="宋体" w:cs="仿宋_GB2312"/>
          <w:color w:val="auto"/>
          <w:sz w:val="21"/>
          <w:szCs w:val="21"/>
          <w:highlight w:val="none"/>
        </w:rPr>
      </w:pPr>
    </w:p>
    <w:p w14:paraId="35D35FA9">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109419D1">
      <w:pPr>
        <w:pStyle w:val="34"/>
        <w:shd w:val="clear"/>
        <w:spacing w:line="360" w:lineRule="auto"/>
        <w:rPr>
          <w:rFonts w:ascii="宋体" w:hAnsi="宋体" w:cs="仿宋_GB2312"/>
          <w:color w:val="auto"/>
          <w:sz w:val="21"/>
          <w:szCs w:val="21"/>
          <w:highlight w:val="none"/>
        </w:rPr>
      </w:pPr>
    </w:p>
    <w:p w14:paraId="6FD22895">
      <w:pPr>
        <w:pStyle w:val="34"/>
        <w:shd w:val="clear"/>
        <w:spacing w:line="360" w:lineRule="auto"/>
        <w:rPr>
          <w:rFonts w:ascii="宋体" w:hAnsi="宋体" w:cs="仿宋_GB2312"/>
          <w:color w:val="auto"/>
          <w:sz w:val="21"/>
          <w:szCs w:val="21"/>
          <w:highlight w:val="none"/>
        </w:rPr>
      </w:pPr>
    </w:p>
    <w:p w14:paraId="64715693">
      <w:pPr>
        <w:pStyle w:val="34"/>
        <w:shd w:val="clear"/>
        <w:spacing w:line="360" w:lineRule="auto"/>
        <w:jc w:val="center"/>
        <w:rPr>
          <w:rFonts w:ascii="宋体" w:hAnsi="宋体" w:cs="仿宋_GB2312"/>
          <w:color w:val="auto"/>
          <w:sz w:val="21"/>
          <w:szCs w:val="21"/>
          <w:highlight w:val="none"/>
        </w:rPr>
      </w:pPr>
      <w:r>
        <w:rPr>
          <w:rFonts w:hint="eastAsia" w:ascii="宋体" w:hAnsi="宋体" w:cs="宋体"/>
          <w:color w:val="auto"/>
          <w:kern w:val="0"/>
          <w:sz w:val="24"/>
          <w:szCs w:val="21"/>
          <w:highlight w:val="none"/>
          <w:lang w:eastAsia="zh-CN"/>
        </w:rPr>
        <w:t>供应商</w:t>
      </w:r>
      <w:r>
        <w:rPr>
          <w:rFonts w:ascii="宋体" w:hAnsi="宋体" w:cs="仿宋_GB2312"/>
          <w:color w:val="auto"/>
          <w:sz w:val="21"/>
          <w:szCs w:val="21"/>
          <w:highlight w:val="none"/>
        </w:rPr>
        <w:t>（盖公章）：</w:t>
      </w:r>
    </w:p>
    <w:p w14:paraId="66FADA67">
      <w:pPr>
        <w:pStyle w:val="34"/>
        <w:shd w:val="clear"/>
        <w:spacing w:line="360" w:lineRule="auto"/>
        <w:ind w:firstLine="840" w:firstLineChars="400"/>
        <w:jc w:val="center"/>
        <w:rPr>
          <w:rFonts w:ascii="宋体" w:hAnsi="宋体" w:cs="仿宋_GB2312"/>
          <w:color w:val="auto"/>
          <w:sz w:val="21"/>
          <w:szCs w:val="21"/>
          <w:highlight w:val="none"/>
        </w:rPr>
      </w:pPr>
      <w:r>
        <w:rPr>
          <w:rFonts w:ascii="宋体" w:hAnsi="宋体" w:cs="仿宋_GB2312"/>
          <w:color w:val="auto"/>
          <w:sz w:val="21"/>
          <w:szCs w:val="21"/>
          <w:highlight w:val="none"/>
        </w:rPr>
        <w:t>年月日</w:t>
      </w:r>
    </w:p>
    <w:p w14:paraId="4D8E00B7">
      <w:pPr>
        <w:pStyle w:val="34"/>
        <w:shd w:val="clear"/>
        <w:spacing w:line="360" w:lineRule="auto"/>
        <w:jc w:val="left"/>
        <w:rPr>
          <w:rFonts w:hint="eastAsia" w:ascii="宋体" w:hAnsi="宋体"/>
          <w:b/>
          <w:color w:val="auto"/>
          <w:sz w:val="28"/>
          <w:szCs w:val="28"/>
          <w:highlight w:val="none"/>
          <w:lang w:val="en-US" w:eastAsia="zh-CN"/>
        </w:rPr>
      </w:pPr>
    </w:p>
    <w:p w14:paraId="550AAC64">
      <w:pPr>
        <w:pStyle w:val="34"/>
        <w:shd w:val="clear"/>
        <w:spacing w:line="360" w:lineRule="auto"/>
        <w:jc w:val="left"/>
        <w:rPr>
          <w:rFonts w:hint="eastAsia" w:ascii="宋体" w:hAnsi="宋体"/>
          <w:b/>
          <w:color w:val="auto"/>
          <w:sz w:val="28"/>
          <w:szCs w:val="28"/>
          <w:highlight w:val="none"/>
          <w:lang w:val="en-US" w:eastAsia="zh-CN"/>
        </w:rPr>
      </w:pPr>
    </w:p>
    <w:p w14:paraId="29F47B02">
      <w:pPr>
        <w:pStyle w:val="34"/>
        <w:shd w:val="clear"/>
        <w:spacing w:line="360" w:lineRule="auto"/>
        <w:jc w:val="left"/>
        <w:rPr>
          <w:rFonts w:hint="eastAsia" w:ascii="宋体" w:hAnsi="宋体"/>
          <w:b/>
          <w:color w:val="auto"/>
          <w:sz w:val="28"/>
          <w:szCs w:val="28"/>
          <w:highlight w:val="none"/>
          <w:lang w:val="en-US" w:eastAsia="zh-CN"/>
        </w:rPr>
      </w:pPr>
    </w:p>
    <w:p w14:paraId="72941DD3">
      <w:pPr>
        <w:pStyle w:val="34"/>
        <w:shd w:val="clear"/>
        <w:spacing w:line="360" w:lineRule="auto"/>
        <w:jc w:val="left"/>
        <w:rPr>
          <w:rFonts w:hint="eastAsia" w:ascii="宋体" w:hAnsi="宋体"/>
          <w:b/>
          <w:color w:val="auto"/>
          <w:sz w:val="28"/>
          <w:szCs w:val="28"/>
          <w:highlight w:val="none"/>
          <w:lang w:val="en-US" w:eastAsia="zh-CN"/>
        </w:rPr>
      </w:pPr>
    </w:p>
    <w:p w14:paraId="2BD946EA">
      <w:pPr>
        <w:pStyle w:val="34"/>
        <w:shd w:val="clear"/>
        <w:spacing w:line="360" w:lineRule="auto"/>
        <w:jc w:val="left"/>
        <w:rPr>
          <w:rFonts w:hint="eastAsia" w:ascii="宋体" w:hAnsi="宋体"/>
          <w:b/>
          <w:color w:val="auto"/>
          <w:sz w:val="28"/>
          <w:szCs w:val="28"/>
          <w:highlight w:val="none"/>
          <w:lang w:val="en-US" w:eastAsia="zh-CN"/>
        </w:rPr>
      </w:pPr>
    </w:p>
    <w:p w14:paraId="180F3432">
      <w:pPr>
        <w:pStyle w:val="34"/>
        <w:shd w:val="clear"/>
        <w:spacing w:line="360" w:lineRule="auto"/>
        <w:jc w:val="left"/>
        <w:rPr>
          <w:rFonts w:hint="eastAsia" w:ascii="宋体" w:hAnsi="宋体"/>
          <w:b/>
          <w:color w:val="auto"/>
          <w:sz w:val="28"/>
          <w:szCs w:val="28"/>
          <w:highlight w:val="none"/>
          <w:lang w:val="en-US" w:eastAsia="zh-CN"/>
        </w:rPr>
      </w:pPr>
    </w:p>
    <w:p w14:paraId="00531A8A">
      <w:pPr>
        <w:pStyle w:val="34"/>
        <w:shd w:val="clear"/>
        <w:spacing w:line="360" w:lineRule="auto"/>
        <w:jc w:val="left"/>
        <w:rPr>
          <w:rFonts w:hint="eastAsia" w:ascii="宋体" w:hAnsi="宋体"/>
          <w:b/>
          <w:color w:val="auto"/>
          <w:sz w:val="28"/>
          <w:szCs w:val="28"/>
          <w:highlight w:val="none"/>
          <w:lang w:val="en-US" w:eastAsia="zh-CN"/>
        </w:rPr>
      </w:pPr>
    </w:p>
    <w:p w14:paraId="688546D2">
      <w:pPr>
        <w:pStyle w:val="34"/>
        <w:shd w:val="clear"/>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2D40020D">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磋商函</w:t>
      </w:r>
    </w:p>
    <w:p w14:paraId="56ED940A">
      <w:pPr>
        <w:pStyle w:val="34"/>
        <w:shd w:val="clear"/>
        <w:spacing w:line="360" w:lineRule="auto"/>
        <w:ind w:left="141"/>
        <w:rPr>
          <w:rFonts w:ascii="宋体" w:hAnsi="宋体"/>
          <w:color w:val="auto"/>
          <w:szCs w:val="21"/>
          <w:highlight w:val="none"/>
          <w:u w:val="single"/>
        </w:rPr>
      </w:pPr>
    </w:p>
    <w:p w14:paraId="03C311B8">
      <w:pPr>
        <w:shd w:val="clea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04A99026">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6C02B792">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2.</w:t>
      </w:r>
      <w:r>
        <w:rPr>
          <w:rFonts w:hint="eastAsia" w:ascii="宋体" w:hAnsi="宋体" w:cs="宋体"/>
          <w:color w:val="auto"/>
          <w:kern w:val="0"/>
          <w:sz w:val="21"/>
          <w:szCs w:val="22"/>
          <w:highlight w:val="none"/>
        </w:rPr>
        <w:t>我方已详细审核全部采购文件，包括采购补遗文件及有关附件。</w:t>
      </w:r>
    </w:p>
    <w:p w14:paraId="329B594B">
      <w:pPr>
        <w:shd w:val="clear"/>
        <w:autoSpaceDE w:val="0"/>
        <w:autoSpaceDN w:val="0"/>
        <w:adjustRightInd w:val="0"/>
        <w:spacing w:line="360" w:lineRule="auto"/>
        <w:ind w:firstLine="420" w:firstLineChars="200"/>
        <w:rPr>
          <w:rFonts w:hint="eastAsia" w:ascii="宋体" w:eastAsia="宋体" w:cs="宋体"/>
          <w:color w:val="auto"/>
          <w:kern w:val="0"/>
          <w:sz w:val="21"/>
          <w:szCs w:val="22"/>
          <w:highlight w:val="none"/>
          <w:lang w:val="en-US" w:eastAsia="zh-CN"/>
        </w:rPr>
      </w:pPr>
      <w:r>
        <w:rPr>
          <w:rFonts w:ascii="宋体" w:hAnsi="宋体" w:cs="宋体"/>
          <w:color w:val="auto"/>
          <w:kern w:val="0"/>
          <w:sz w:val="21"/>
          <w:szCs w:val="22"/>
          <w:highlight w:val="none"/>
        </w:rPr>
        <w:t>3.</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25A56FBD">
      <w:pPr>
        <w:shd w:val="clear"/>
        <w:autoSpaceDE w:val="0"/>
        <w:autoSpaceDN w:val="0"/>
        <w:adjustRightInd w:val="0"/>
        <w:spacing w:line="360" w:lineRule="auto"/>
        <w:ind w:firstLine="420" w:firstLineChars="200"/>
        <w:rPr>
          <w:rFonts w:ascii="宋体" w:cs="宋体"/>
          <w:color w:val="auto"/>
          <w:kern w:val="0"/>
          <w:sz w:val="21"/>
          <w:szCs w:val="22"/>
          <w:highlight w:val="none"/>
          <w:u w:val="single"/>
        </w:rPr>
      </w:pPr>
      <w:r>
        <w:rPr>
          <w:rFonts w:ascii="宋体" w:hAnsi="宋体" w:cs="宋体"/>
          <w:color w:val="auto"/>
          <w:kern w:val="0"/>
          <w:sz w:val="21"/>
          <w:szCs w:val="22"/>
          <w:highlight w:val="none"/>
        </w:rPr>
        <w:t>4.</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none"/>
          <w:lang w:val="en-US" w:eastAsia="zh-CN"/>
        </w:rPr>
        <w:t xml:space="preserve"> </w:t>
      </w:r>
      <w:r>
        <w:rPr>
          <w:rFonts w:hint="eastAsia" w:ascii="宋体" w:hAnsi="宋体" w:cs="宋体"/>
          <w:color w:val="auto"/>
          <w:kern w:val="0"/>
          <w:sz w:val="21"/>
          <w:szCs w:val="22"/>
          <w:highlight w:val="none"/>
          <w:u w:val="none"/>
        </w:rPr>
        <w:t>日历</w:t>
      </w:r>
      <w:r>
        <w:rPr>
          <w:rFonts w:hint="eastAsia" w:ascii="宋体" w:hAnsi="宋体" w:cs="宋体"/>
          <w:color w:val="auto"/>
          <w:kern w:val="0"/>
          <w:sz w:val="21"/>
          <w:szCs w:val="22"/>
          <w:highlight w:val="none"/>
          <w:u w:val="none"/>
          <w:lang w:val="en-US" w:eastAsia="zh-CN"/>
        </w:rPr>
        <w:t>天</w:t>
      </w:r>
      <w:r>
        <w:rPr>
          <w:rFonts w:hint="eastAsia" w:ascii="宋体" w:hAnsi="宋体" w:cs="宋体"/>
          <w:color w:val="auto"/>
          <w:kern w:val="0"/>
          <w:sz w:val="21"/>
          <w:szCs w:val="22"/>
          <w:highlight w:val="none"/>
          <w:u w:val="none"/>
        </w:rPr>
        <w:t>内</w:t>
      </w:r>
      <w:r>
        <w:rPr>
          <w:rFonts w:hint="eastAsia" w:ascii="宋体" w:hAnsi="宋体" w:cs="宋体"/>
          <w:color w:val="auto"/>
          <w:kern w:val="0"/>
          <w:sz w:val="21"/>
          <w:szCs w:val="22"/>
          <w:highlight w:val="none"/>
        </w:rPr>
        <w:t>完成并移交全部工程，并保证工程质量</w:t>
      </w:r>
      <w:r>
        <w:rPr>
          <w:rFonts w:hint="eastAsia" w:ascii="宋体" w:hAnsi="宋体" w:cs="宋体"/>
          <w:color w:val="auto"/>
          <w:kern w:val="0"/>
          <w:sz w:val="21"/>
          <w:szCs w:val="22"/>
          <w:highlight w:val="none"/>
          <w:lang w:val="en-US" w:eastAsia="zh-CN"/>
        </w:rPr>
        <w:t>达到</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none"/>
        </w:rPr>
        <w:t>。</w:t>
      </w:r>
    </w:p>
    <w:p w14:paraId="4323223A">
      <w:pPr>
        <w:shd w:val="clea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5.</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0381B817">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6.</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059694DA">
      <w:pPr>
        <w:shd w:val="clear"/>
        <w:autoSpaceDE w:val="0"/>
        <w:autoSpaceDN w:val="0"/>
        <w:adjustRightInd w:val="0"/>
        <w:spacing w:line="360" w:lineRule="auto"/>
        <w:ind w:firstLine="555"/>
        <w:rPr>
          <w:rFonts w:ascii="宋体" w:cs="宋体"/>
          <w:color w:val="auto"/>
          <w:kern w:val="0"/>
          <w:sz w:val="21"/>
          <w:szCs w:val="22"/>
          <w:highlight w:val="none"/>
        </w:rPr>
      </w:pPr>
    </w:p>
    <w:p w14:paraId="61679198">
      <w:pPr>
        <w:shd w:val="clea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rPr>
        <w:t>竞标人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6CD8DA43">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单位地址：</w:t>
      </w:r>
      <w:r>
        <w:rPr>
          <w:rFonts w:hint="eastAsia" w:ascii="宋体" w:hAnsi="宋体" w:cs="宋体"/>
          <w:color w:val="auto"/>
          <w:kern w:val="0"/>
          <w:sz w:val="21"/>
          <w:szCs w:val="22"/>
          <w:highlight w:val="none"/>
          <w:u w:val="single"/>
          <w:lang w:val="en-US" w:eastAsia="zh-CN"/>
        </w:rPr>
        <w:t xml:space="preserve">             </w:t>
      </w:r>
    </w:p>
    <w:p w14:paraId="7296B482">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：（签字或盖章）</w:t>
      </w:r>
    </w:p>
    <w:p w14:paraId="34F4632E">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邮政编码：</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电话：</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传真：</w:t>
      </w:r>
      <w:r>
        <w:rPr>
          <w:rFonts w:hint="eastAsia" w:ascii="宋体" w:hAnsi="宋体" w:cs="宋体"/>
          <w:color w:val="auto"/>
          <w:kern w:val="0"/>
          <w:sz w:val="21"/>
          <w:szCs w:val="22"/>
          <w:highlight w:val="none"/>
          <w:u w:val="single"/>
          <w:lang w:val="en-US" w:eastAsia="zh-CN"/>
        </w:rPr>
        <w:t xml:space="preserve">             </w:t>
      </w:r>
    </w:p>
    <w:p w14:paraId="5F8DE9D3">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开户银行名称：</w:t>
      </w:r>
      <w:r>
        <w:rPr>
          <w:rFonts w:hint="eastAsia" w:ascii="宋体" w:hAnsi="宋体" w:cs="宋体"/>
          <w:color w:val="auto"/>
          <w:kern w:val="0"/>
          <w:sz w:val="21"/>
          <w:szCs w:val="22"/>
          <w:highlight w:val="none"/>
          <w:u w:val="single"/>
          <w:lang w:val="en-US" w:eastAsia="zh-CN"/>
        </w:rPr>
        <w:t xml:space="preserve">             </w:t>
      </w:r>
    </w:p>
    <w:p w14:paraId="62152E47">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开户银行帐号：</w:t>
      </w:r>
      <w:r>
        <w:rPr>
          <w:rFonts w:hint="eastAsia" w:ascii="宋体" w:hAnsi="宋体" w:cs="宋体"/>
          <w:color w:val="auto"/>
          <w:kern w:val="0"/>
          <w:sz w:val="21"/>
          <w:szCs w:val="22"/>
          <w:highlight w:val="none"/>
          <w:u w:val="single"/>
          <w:lang w:val="en-US" w:eastAsia="zh-CN"/>
        </w:rPr>
        <w:t xml:space="preserve">             </w:t>
      </w:r>
    </w:p>
    <w:p w14:paraId="46C4388B">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开户银行地址：</w:t>
      </w:r>
      <w:r>
        <w:rPr>
          <w:rFonts w:hint="eastAsia" w:ascii="宋体" w:hAnsi="宋体" w:cs="宋体"/>
          <w:color w:val="auto"/>
          <w:kern w:val="0"/>
          <w:sz w:val="21"/>
          <w:szCs w:val="22"/>
          <w:highlight w:val="none"/>
          <w:u w:val="single"/>
          <w:lang w:val="en-US" w:eastAsia="zh-CN"/>
        </w:rPr>
        <w:t xml:space="preserve">             </w:t>
      </w:r>
    </w:p>
    <w:p w14:paraId="72C66890">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p>
    <w:p w14:paraId="457F962E">
      <w:pPr>
        <w:pStyle w:val="34"/>
        <w:shd w:val="clear"/>
        <w:spacing w:line="360" w:lineRule="auto"/>
        <w:ind w:right="97"/>
        <w:rPr>
          <w:rFonts w:ascii="宋体" w:hAnsi="宋体" w:cs="宋体"/>
          <w:color w:val="auto"/>
          <w:szCs w:val="21"/>
          <w:highlight w:val="none"/>
        </w:rPr>
      </w:pPr>
    </w:p>
    <w:p w14:paraId="618F2538">
      <w:pPr>
        <w:pStyle w:val="34"/>
        <w:shd w:val="clear"/>
        <w:spacing w:line="360" w:lineRule="auto"/>
        <w:rPr>
          <w:rFonts w:ascii="宋体" w:hAnsi="宋体"/>
          <w:b/>
          <w:color w:val="auto"/>
          <w:sz w:val="28"/>
          <w:szCs w:val="28"/>
          <w:highlight w:val="none"/>
        </w:rPr>
      </w:pPr>
    </w:p>
    <w:p w14:paraId="0CC8466B">
      <w:pPr>
        <w:pStyle w:val="35"/>
        <w:shd w:val="clear"/>
        <w:rPr>
          <w:color w:val="auto"/>
          <w:highlight w:val="none"/>
        </w:rPr>
      </w:pPr>
    </w:p>
    <w:p w14:paraId="28B784AE">
      <w:pPr>
        <w:pStyle w:val="34"/>
        <w:shd w:val="clear"/>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5275FFE0">
      <w:pPr>
        <w:pStyle w:val="34"/>
        <w:shd w:val="clear"/>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磋商函附录</w:t>
      </w:r>
    </w:p>
    <w:p w14:paraId="012F0150">
      <w:pPr>
        <w:pStyle w:val="40"/>
        <w:shd w:val="clear"/>
        <w:spacing w:line="360" w:lineRule="auto"/>
        <w:jc w:val="center"/>
        <w:rPr>
          <w:color w:val="auto"/>
          <w:sz w:val="32"/>
          <w:szCs w:val="32"/>
          <w:highlight w:val="none"/>
        </w:rPr>
      </w:pPr>
      <w:bookmarkStart w:id="79" w:name="_Toc514605589"/>
      <w:bookmarkStart w:id="80" w:name="_Toc1106"/>
      <w:bookmarkStart w:id="81" w:name="_Toc31318"/>
      <w:bookmarkStart w:id="82" w:name="_Toc514607588"/>
      <w:bookmarkStart w:id="83" w:name="_Toc514606977"/>
      <w:bookmarkStart w:id="84" w:name="_Toc514605322"/>
      <w:r>
        <w:rPr>
          <w:color w:val="auto"/>
          <w:sz w:val="30"/>
          <w:szCs w:val="30"/>
          <w:highlight w:val="none"/>
        </w:rPr>
        <w:t>磋商函附录</w:t>
      </w:r>
      <w:bookmarkEnd w:id="79"/>
      <w:bookmarkEnd w:id="80"/>
      <w:bookmarkEnd w:id="81"/>
      <w:bookmarkEnd w:id="82"/>
      <w:bookmarkEnd w:id="83"/>
      <w:bookmarkEnd w:id="84"/>
    </w:p>
    <w:tbl>
      <w:tblPr>
        <w:tblStyle w:val="24"/>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598A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4A8F94A3">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1AF425A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60D134C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合同</w:t>
            </w:r>
            <w:r>
              <w:rPr>
                <w:rFonts w:hint="eastAsia" w:ascii="宋体" w:hAnsi="宋体" w:cs="宋体"/>
                <w:color w:val="auto"/>
                <w:kern w:val="0"/>
                <w:sz w:val="21"/>
                <w:szCs w:val="22"/>
                <w:highlight w:val="none"/>
                <w:lang w:val="en-US" w:eastAsia="zh-CN"/>
              </w:rPr>
              <w:t>约定的内容</w:t>
            </w:r>
          </w:p>
        </w:tc>
        <w:tc>
          <w:tcPr>
            <w:tcW w:w="2633" w:type="dxa"/>
            <w:vAlign w:val="center"/>
          </w:tcPr>
          <w:p w14:paraId="2022F2B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响应</w:t>
            </w:r>
            <w:r>
              <w:rPr>
                <w:rFonts w:hint="eastAsia" w:ascii="宋体" w:hAnsi="宋体" w:cs="宋体"/>
                <w:color w:val="auto"/>
                <w:kern w:val="0"/>
                <w:sz w:val="21"/>
                <w:szCs w:val="22"/>
                <w:highlight w:val="none"/>
              </w:rPr>
              <w:t>内容</w:t>
            </w:r>
          </w:p>
        </w:tc>
        <w:tc>
          <w:tcPr>
            <w:tcW w:w="900" w:type="dxa"/>
            <w:vAlign w:val="center"/>
          </w:tcPr>
          <w:p w14:paraId="36037D1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备注</w:t>
            </w:r>
          </w:p>
        </w:tc>
      </w:tr>
      <w:tr w14:paraId="70BB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477B115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default" w:ascii="宋体" w:hAnsi="宋体" w:cs="宋体"/>
                <w:color w:val="auto"/>
                <w:kern w:val="0"/>
                <w:sz w:val="21"/>
                <w:szCs w:val="22"/>
                <w:highlight w:val="none"/>
              </w:rPr>
              <w:t>1</w:t>
            </w:r>
          </w:p>
        </w:tc>
        <w:tc>
          <w:tcPr>
            <w:tcW w:w="2145" w:type="dxa"/>
            <w:vAlign w:val="center"/>
          </w:tcPr>
          <w:p w14:paraId="4F497E1D">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工程预付</w:t>
            </w:r>
            <w:r>
              <w:rPr>
                <w:rFonts w:hint="eastAsia" w:ascii="宋体" w:hAnsi="宋体" w:cs="宋体"/>
                <w:color w:val="auto"/>
                <w:kern w:val="0"/>
                <w:sz w:val="21"/>
                <w:szCs w:val="22"/>
                <w:highlight w:val="none"/>
                <w:lang w:eastAsia="zh-CN"/>
              </w:rPr>
              <w:t>款支付</w:t>
            </w:r>
          </w:p>
        </w:tc>
        <w:tc>
          <w:tcPr>
            <w:tcW w:w="1854" w:type="dxa"/>
            <w:vAlign w:val="center"/>
          </w:tcPr>
          <w:p w14:paraId="5BC9B34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08411BA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166244F9">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017F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77EE793">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11B1C9B6">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3E3D959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7D7FEAB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174BEC9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77E5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543F4A7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3EA02364">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59B59F19">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693C26D6">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900" w:type="dxa"/>
            <w:vAlign w:val="center"/>
          </w:tcPr>
          <w:p w14:paraId="19F7E34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5A4D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CF0B189">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5F666D3E">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50A31EE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020DBBCA">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127BEC6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499D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50FD6641">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67A65EA2">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62E4D72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5F540EF3">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c>
          <w:tcPr>
            <w:tcW w:w="900" w:type="dxa"/>
            <w:vAlign w:val="center"/>
          </w:tcPr>
          <w:p w14:paraId="2F69918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6448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371DAB0">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6</w:t>
            </w:r>
          </w:p>
        </w:tc>
        <w:tc>
          <w:tcPr>
            <w:tcW w:w="2145" w:type="dxa"/>
            <w:vAlign w:val="center"/>
          </w:tcPr>
          <w:p w14:paraId="5F5F3CA2">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承诺工程质量</w:t>
            </w:r>
          </w:p>
        </w:tc>
        <w:tc>
          <w:tcPr>
            <w:tcW w:w="1854" w:type="dxa"/>
            <w:vAlign w:val="center"/>
          </w:tcPr>
          <w:p w14:paraId="75FE868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100FD2B4">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74F7441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r>
    </w:tbl>
    <w:p w14:paraId="4FC1F1CA">
      <w:pPr>
        <w:pStyle w:val="34"/>
        <w:shd w:val="clear"/>
        <w:snapToGrid w:val="0"/>
        <w:spacing w:line="360" w:lineRule="auto"/>
        <w:rPr>
          <w:rFonts w:hint="eastAsia" w:ascii="宋体" w:hAnsi="宋体" w:eastAsia="宋体"/>
          <w:color w:val="auto"/>
          <w:sz w:val="22"/>
          <w:szCs w:val="22"/>
          <w:highlight w:val="none"/>
          <w:lang w:eastAsia="zh-CN"/>
        </w:rPr>
      </w:pPr>
    </w:p>
    <w:p w14:paraId="22DD0431">
      <w:pPr>
        <w:pStyle w:val="13"/>
        <w:shd w:val="clear"/>
        <w:spacing w:line="360" w:lineRule="auto"/>
        <w:rPr>
          <w:rFonts w:hint="eastAsia" w:eastAsia="宋体"/>
          <w:color w:val="auto"/>
          <w:sz w:val="21"/>
          <w:szCs w:val="22"/>
          <w:highlight w:val="none"/>
          <w:lang w:eastAsia="zh-CN"/>
        </w:rPr>
      </w:pPr>
      <w:r>
        <w:rPr>
          <w:rFonts w:hint="eastAsia"/>
          <w:color w:val="auto"/>
          <w:sz w:val="21"/>
          <w:szCs w:val="22"/>
          <w:highlight w:val="none"/>
        </w:rPr>
        <w:t>法定代表人(负责人、自然人)或相应的委托代理人签字（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w:t>
      </w:r>
    </w:p>
    <w:p w14:paraId="31D3AFEC">
      <w:pPr>
        <w:pStyle w:val="13"/>
        <w:shd w:val="clear"/>
        <w:spacing w:line="360" w:lineRule="auto"/>
        <w:rPr>
          <w:color w:val="auto"/>
          <w:sz w:val="21"/>
          <w:szCs w:val="22"/>
          <w:highlight w:val="none"/>
        </w:rPr>
      </w:pPr>
      <w:r>
        <w:rPr>
          <w:rFonts w:hint="eastAsia" w:cs="宋体"/>
          <w:color w:val="auto"/>
          <w:kern w:val="0"/>
          <w:sz w:val="24"/>
          <w:szCs w:val="21"/>
          <w:highlight w:val="none"/>
          <w:lang w:eastAsia="zh-CN"/>
        </w:rPr>
        <w:t>供应商</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3627847F">
      <w:pPr>
        <w:pStyle w:val="13"/>
        <w:shd w:val="clear"/>
        <w:spacing w:line="360" w:lineRule="auto"/>
        <w:rPr>
          <w:rFonts w:hint="eastAsia" w:eastAsia="宋体"/>
          <w:color w:val="auto"/>
          <w:sz w:val="21"/>
          <w:szCs w:val="22"/>
          <w:highlight w:val="none"/>
          <w:lang w:eastAsia="zh-CN"/>
        </w:rPr>
      </w:pPr>
      <w:r>
        <w:rPr>
          <w:color w:val="auto"/>
          <w:sz w:val="21"/>
          <w:szCs w:val="22"/>
          <w:highlight w:val="none"/>
        </w:rPr>
        <w:t>时间：年月日</w:t>
      </w:r>
    </w:p>
    <w:p w14:paraId="150EEA3A">
      <w:pPr>
        <w:pStyle w:val="13"/>
        <w:shd w:val="clear"/>
        <w:spacing w:line="360" w:lineRule="auto"/>
        <w:rPr>
          <w:b/>
          <w:color w:val="auto"/>
          <w:sz w:val="32"/>
          <w:szCs w:val="32"/>
          <w:highlight w:val="none"/>
        </w:rPr>
      </w:pPr>
    </w:p>
    <w:p w14:paraId="2E6B5211">
      <w:pPr>
        <w:pStyle w:val="34"/>
        <w:shd w:val="clear"/>
        <w:rPr>
          <w:b/>
          <w:color w:val="auto"/>
          <w:sz w:val="28"/>
          <w:szCs w:val="28"/>
          <w:highlight w:val="none"/>
        </w:rPr>
      </w:pPr>
    </w:p>
    <w:p w14:paraId="4CC86D26">
      <w:pPr>
        <w:pStyle w:val="13"/>
        <w:shd w:val="clear"/>
        <w:spacing w:line="360" w:lineRule="auto"/>
        <w:rPr>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5751CFBF">
      <w:pPr>
        <w:pStyle w:val="13"/>
        <w:shd w:val="clear"/>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20EAEDCB">
      <w:pPr>
        <w:pStyle w:val="40"/>
        <w:shd w:val="clear"/>
        <w:spacing w:line="360" w:lineRule="auto"/>
        <w:jc w:val="center"/>
        <w:rPr>
          <w:rFonts w:ascii="宋体" w:hAnsi="宋体"/>
          <w:color w:val="auto"/>
          <w:sz w:val="36"/>
          <w:szCs w:val="22"/>
          <w:highlight w:val="none"/>
        </w:rPr>
      </w:pPr>
      <w:bookmarkStart w:id="85" w:name="_Toc514605323"/>
      <w:bookmarkStart w:id="86" w:name="_Toc514606978"/>
      <w:bookmarkStart w:id="87" w:name="_Toc514607589"/>
      <w:bookmarkStart w:id="88" w:name="_Toc32185"/>
      <w:bookmarkStart w:id="89" w:name="_Toc435"/>
      <w:bookmarkStart w:id="90" w:name="_Toc514605590"/>
      <w:r>
        <w:rPr>
          <w:rFonts w:ascii="宋体" w:hAnsi="宋体"/>
          <w:color w:val="auto"/>
          <w:szCs w:val="21"/>
          <w:highlight w:val="none"/>
        </w:rPr>
        <w:t>磋商报价表</w:t>
      </w:r>
      <w:bookmarkEnd w:id="85"/>
      <w:bookmarkEnd w:id="86"/>
      <w:bookmarkEnd w:id="87"/>
      <w:bookmarkEnd w:id="88"/>
      <w:bookmarkEnd w:id="89"/>
      <w:bookmarkEnd w:id="90"/>
    </w:p>
    <w:p w14:paraId="0CDE0841">
      <w:pPr>
        <w:shd w:val="clea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4"/>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1499"/>
      </w:tblGrid>
      <w:tr w14:paraId="4BCC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755F7513">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12FE8325">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金额</w:t>
            </w:r>
          </w:p>
        </w:tc>
        <w:tc>
          <w:tcPr>
            <w:tcW w:w="1499" w:type="dxa"/>
            <w:vAlign w:val="center"/>
          </w:tcPr>
          <w:p w14:paraId="79E0A99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备注</w:t>
            </w:r>
          </w:p>
        </w:tc>
      </w:tr>
      <w:tr w14:paraId="13E3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403C81BA">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5C534907">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68EE7AE9">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29DA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7C461501">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25A967CA">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054B99BD">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535C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DFDBEA0">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576F1B7A">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5BCDB1B9">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3E4E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8773" w:type="dxa"/>
            <w:gridSpan w:val="3"/>
            <w:vAlign w:val="center"/>
          </w:tcPr>
          <w:p w14:paraId="71C1D7F0">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人民币</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3F85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7DC58A95">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工期（日历日）</w:t>
            </w:r>
          </w:p>
        </w:tc>
        <w:tc>
          <w:tcPr>
            <w:tcW w:w="4675" w:type="dxa"/>
            <w:gridSpan w:val="2"/>
            <w:vAlign w:val="center"/>
          </w:tcPr>
          <w:p w14:paraId="74EB11BE">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r w14:paraId="54AA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129F5D4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承诺工程质量</w:t>
            </w:r>
          </w:p>
        </w:tc>
        <w:tc>
          <w:tcPr>
            <w:tcW w:w="4675" w:type="dxa"/>
            <w:gridSpan w:val="2"/>
            <w:vAlign w:val="center"/>
          </w:tcPr>
          <w:p w14:paraId="36163868">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bl>
    <w:p w14:paraId="7CC9DD40">
      <w:pPr>
        <w:shd w:val="clear"/>
        <w:spacing w:line="360" w:lineRule="auto"/>
        <w:ind w:right="700" w:firstLine="315" w:firstLineChars="150"/>
        <w:rPr>
          <w:rFonts w:ascii="宋体" w:cs="宋体"/>
          <w:color w:val="auto"/>
          <w:sz w:val="21"/>
          <w:szCs w:val="22"/>
          <w:highlight w:val="none"/>
        </w:rPr>
      </w:pPr>
    </w:p>
    <w:p w14:paraId="71908249">
      <w:pPr>
        <w:shd w:val="clear"/>
        <w:spacing w:line="360" w:lineRule="auto"/>
        <w:ind w:firstLine="840" w:firstLineChars="400"/>
        <w:rPr>
          <w:rFonts w:hint="eastAsia" w:ascii="宋体" w:eastAsia="宋体" w:cs="宋体"/>
          <w:color w:val="auto"/>
          <w:sz w:val="21"/>
          <w:szCs w:val="22"/>
          <w:highlight w:val="none"/>
          <w:lang w:val="en-US" w:eastAsia="zh-CN"/>
        </w:rPr>
      </w:pPr>
      <w:r>
        <w:rPr>
          <w:rFonts w:hint="eastAsia" w:ascii="宋体" w:cs="宋体"/>
          <w:color w:val="auto"/>
          <w:sz w:val="21"/>
          <w:szCs w:val="22"/>
          <w:highlight w:val="none"/>
          <w:lang w:val="en-US" w:eastAsia="zh-CN"/>
        </w:rPr>
        <w:t>说明：如本项目工程量清单中已列明安全生产责任险暂估价、材料暂估价、暂列金额的具体金额，上述费用为不可竞争费用，供应商在编制已标价工程量清单时必须按采购人提供的金额原样填报，不得修改、调整或删除。供应商擅自修改上述不可竞争费用的，其响应文件按无效处理。</w:t>
      </w:r>
    </w:p>
    <w:p w14:paraId="688348BD">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lang w:eastAsia="zh-CN"/>
        </w:rPr>
        <w:t>供应商</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（盖章）</w:t>
      </w:r>
    </w:p>
    <w:p w14:paraId="0EF21B0F">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（签字或盖章）</w:t>
      </w:r>
    </w:p>
    <w:p w14:paraId="14048156">
      <w:pPr>
        <w:pStyle w:val="21"/>
        <w:shd w:val="clear"/>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日期：年月日</w:t>
      </w:r>
    </w:p>
    <w:p w14:paraId="6C04CF56">
      <w:pPr>
        <w:shd w:val="clear"/>
        <w:rPr>
          <w:rFonts w:hint="eastAsia" w:ascii="宋体" w:hAnsi="宋体" w:cs="宋体"/>
          <w:color w:val="auto"/>
          <w:szCs w:val="21"/>
          <w:highlight w:val="none"/>
        </w:rPr>
      </w:pPr>
    </w:p>
    <w:p w14:paraId="65E40196">
      <w:pPr>
        <w:pStyle w:val="10"/>
        <w:shd w:val="clear"/>
        <w:rPr>
          <w:rFonts w:hint="eastAsia" w:ascii="宋体" w:hAnsi="宋体" w:cs="宋体"/>
          <w:color w:val="auto"/>
          <w:szCs w:val="21"/>
          <w:highlight w:val="none"/>
        </w:rPr>
      </w:pPr>
    </w:p>
    <w:p w14:paraId="42E08A50">
      <w:pPr>
        <w:shd w:val="clear"/>
        <w:rPr>
          <w:rFonts w:hint="eastAsia" w:ascii="宋体" w:hAnsi="宋体" w:cs="宋体"/>
          <w:color w:val="auto"/>
          <w:szCs w:val="21"/>
          <w:highlight w:val="none"/>
        </w:rPr>
      </w:pPr>
    </w:p>
    <w:p w14:paraId="2F037F08">
      <w:pPr>
        <w:pStyle w:val="10"/>
        <w:shd w:val="clear"/>
        <w:rPr>
          <w:rFonts w:hint="eastAsia" w:ascii="宋体" w:hAnsi="宋体" w:cs="宋体"/>
          <w:color w:val="auto"/>
          <w:szCs w:val="21"/>
          <w:highlight w:val="none"/>
        </w:rPr>
      </w:pPr>
    </w:p>
    <w:p w14:paraId="259AF3EB">
      <w:pPr>
        <w:shd w:val="clear"/>
        <w:rPr>
          <w:rFonts w:hint="eastAsia" w:ascii="宋体" w:hAnsi="宋体" w:cs="宋体"/>
          <w:color w:val="auto"/>
          <w:szCs w:val="21"/>
          <w:highlight w:val="none"/>
        </w:rPr>
      </w:pPr>
    </w:p>
    <w:p w14:paraId="3B21A775">
      <w:pPr>
        <w:pStyle w:val="10"/>
        <w:shd w:val="clear"/>
        <w:rPr>
          <w:rFonts w:hint="eastAsia" w:ascii="宋体" w:hAnsi="宋体" w:cs="宋体"/>
          <w:color w:val="auto"/>
          <w:szCs w:val="21"/>
          <w:highlight w:val="none"/>
        </w:rPr>
      </w:pPr>
    </w:p>
    <w:p w14:paraId="4DB684A7">
      <w:pPr>
        <w:shd w:val="clear"/>
        <w:rPr>
          <w:rFonts w:hint="eastAsia" w:ascii="宋体" w:hAnsi="宋体" w:cs="宋体"/>
          <w:color w:val="auto"/>
          <w:szCs w:val="21"/>
          <w:highlight w:val="none"/>
        </w:rPr>
      </w:pPr>
    </w:p>
    <w:p w14:paraId="6BB81207">
      <w:pPr>
        <w:pStyle w:val="10"/>
        <w:shd w:val="clear"/>
        <w:rPr>
          <w:rFonts w:hint="eastAsia" w:ascii="宋体" w:hAnsi="宋体" w:cs="宋体"/>
          <w:color w:val="auto"/>
          <w:szCs w:val="21"/>
          <w:highlight w:val="none"/>
        </w:rPr>
      </w:pPr>
    </w:p>
    <w:p w14:paraId="256E354F">
      <w:pPr>
        <w:shd w:val="clear"/>
        <w:rPr>
          <w:rFonts w:hint="eastAsia" w:ascii="宋体" w:hAnsi="宋体" w:cs="宋体"/>
          <w:color w:val="auto"/>
          <w:szCs w:val="21"/>
          <w:highlight w:val="none"/>
        </w:rPr>
      </w:pPr>
    </w:p>
    <w:p w14:paraId="2D536BEA">
      <w:pPr>
        <w:pStyle w:val="10"/>
        <w:shd w:val="clear"/>
        <w:rPr>
          <w:rFonts w:hint="eastAsia" w:ascii="宋体" w:hAnsi="宋体" w:cs="宋体"/>
          <w:color w:val="auto"/>
          <w:szCs w:val="21"/>
          <w:highlight w:val="none"/>
        </w:rPr>
      </w:pPr>
    </w:p>
    <w:p w14:paraId="225EE772">
      <w:pPr>
        <w:shd w:val="clear"/>
        <w:rPr>
          <w:rFonts w:hint="eastAsia" w:ascii="宋体" w:hAnsi="宋体" w:cs="宋体"/>
          <w:color w:val="auto"/>
          <w:szCs w:val="21"/>
          <w:highlight w:val="none"/>
        </w:rPr>
      </w:pPr>
    </w:p>
    <w:p w14:paraId="4E51E559">
      <w:pPr>
        <w:pStyle w:val="10"/>
        <w:shd w:val="clear"/>
        <w:rPr>
          <w:rFonts w:hint="eastAsia" w:ascii="宋体" w:hAnsi="宋体" w:cs="宋体"/>
          <w:color w:val="auto"/>
          <w:szCs w:val="21"/>
          <w:highlight w:val="none"/>
        </w:rPr>
      </w:pPr>
    </w:p>
    <w:p w14:paraId="1B3044CC">
      <w:pPr>
        <w:shd w:val="clear"/>
        <w:rPr>
          <w:rFonts w:hint="eastAsia" w:ascii="宋体" w:hAnsi="宋体" w:cs="宋体"/>
          <w:color w:val="auto"/>
          <w:szCs w:val="21"/>
          <w:highlight w:val="none"/>
        </w:rPr>
      </w:pPr>
    </w:p>
    <w:p w14:paraId="43E39F64">
      <w:pPr>
        <w:pStyle w:val="10"/>
        <w:shd w:val="clear"/>
        <w:rPr>
          <w:rFonts w:hint="eastAsia" w:ascii="宋体" w:hAnsi="宋体" w:cs="宋体"/>
          <w:color w:val="auto"/>
          <w:szCs w:val="21"/>
          <w:highlight w:val="none"/>
        </w:rPr>
      </w:pPr>
    </w:p>
    <w:p w14:paraId="60E2C4EB">
      <w:pPr>
        <w:shd w:val="clear"/>
        <w:rPr>
          <w:rFonts w:hint="eastAsia"/>
          <w:color w:val="auto"/>
          <w:highlight w:val="none"/>
        </w:rPr>
      </w:pPr>
    </w:p>
    <w:p w14:paraId="08984A53">
      <w:pPr>
        <w:pStyle w:val="31"/>
        <w:shd w:val="clear"/>
        <w:rPr>
          <w:rFonts w:hint="eastAsia" w:ascii="宋体" w:hAnsi="宋体" w:cs="宋体"/>
          <w:color w:val="auto"/>
          <w:szCs w:val="21"/>
          <w:highlight w:val="none"/>
        </w:rPr>
      </w:pPr>
    </w:p>
    <w:p w14:paraId="49092FC9">
      <w:pPr>
        <w:numPr>
          <w:ilvl w:val="0"/>
          <w:numId w:val="0"/>
        </w:numPr>
        <w:shd w:val="clear"/>
        <w:spacing w:line="360" w:lineRule="auto"/>
        <w:rPr>
          <w:rFonts w:hint="eastAsia"/>
          <w:b/>
          <w:color w:val="auto"/>
          <w:sz w:val="28"/>
          <w:szCs w:val="28"/>
          <w:highlight w:val="none"/>
          <w:lang w:eastAsia="zh-CN"/>
        </w:rPr>
      </w:pPr>
      <w:bookmarkStart w:id="91" w:name="_Toc392941016"/>
      <w:bookmarkEnd w:id="91"/>
      <w:bookmarkStart w:id="92" w:name="_Toc458689680"/>
      <w:bookmarkEnd w:id="92"/>
      <w:bookmarkStart w:id="93" w:name="_Toc502737803"/>
      <w:bookmarkEnd w:id="93"/>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2A162180">
      <w:pPr>
        <w:shd w:val="clea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编制要求：</w:t>
      </w:r>
    </w:p>
    <w:p w14:paraId="4CABF408">
      <w:pPr>
        <w:numPr>
          <w:ilvl w:val="0"/>
          <w:numId w:val="6"/>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供应商应按采购人提供的工程量清单（电子文件）格式逐项填报，不得修改清单的项目编码、项目名称、计量单位及工程量。</w:t>
      </w:r>
    </w:p>
    <w:p w14:paraId="7A30854E">
      <w:pPr>
        <w:numPr>
          <w:ilvl w:val="0"/>
          <w:numId w:val="6"/>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报价说明应包括：采用的定额版本、费用标准（辅助措施费、间接费、利润率、税率等取费情况）、主要材料价格来源（如参考《崇左市建设工程造价信息》第几期）等。</w:t>
      </w:r>
    </w:p>
    <w:p w14:paraId="39EA3A81">
      <w:pPr>
        <w:numPr>
          <w:ilvl w:val="0"/>
          <w:numId w:val="6"/>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对于综合单价，供应商应提供综合单价分析表（可另附页或作为附件），评审时主要依据已标价工程量清单中的单价和合价。</w:t>
      </w:r>
    </w:p>
    <w:p w14:paraId="1526EC4A">
      <w:pPr>
        <w:numPr>
          <w:ilvl w:val="0"/>
          <w:numId w:val="6"/>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不可竞争费用（安全文明施工费、暂列金额、专业工程暂估价、材料暂估价）必须按采购人提供的金额原样填报，不得调整。</w:t>
      </w:r>
    </w:p>
    <w:p w14:paraId="2A54AA3A">
      <w:pPr>
        <w:shd w:val="clear"/>
        <w:rPr>
          <w:rFonts w:hint="eastAsia" w:ascii="宋体" w:hAnsi="宋体" w:cs="宋体"/>
          <w:color w:val="auto"/>
          <w:sz w:val="36"/>
          <w:highlight w:val="none"/>
        </w:rPr>
      </w:pPr>
    </w:p>
    <w:p w14:paraId="2B77D9FB">
      <w:pPr>
        <w:pStyle w:val="10"/>
        <w:shd w:val="clear"/>
        <w:rPr>
          <w:rFonts w:hint="eastAsia" w:ascii="宋体" w:hAnsi="宋体" w:cs="宋体"/>
          <w:color w:val="auto"/>
          <w:sz w:val="36"/>
          <w:highlight w:val="none"/>
        </w:rPr>
      </w:pPr>
    </w:p>
    <w:p w14:paraId="12AC2258">
      <w:pPr>
        <w:pStyle w:val="2"/>
        <w:numPr>
          <w:ilvl w:val="0"/>
          <w:numId w:val="7"/>
        </w:numPr>
        <w:shd w:val="clear"/>
        <w:spacing w:line="360" w:lineRule="auto"/>
        <w:jc w:val="left"/>
        <w:rPr>
          <w:rFonts w:hint="eastAsia" w:ascii="Times New Roman" w:hAnsi="Times New Roman" w:eastAsia="宋体" w:cs="Times New Roman"/>
          <w:b/>
          <w:color w:val="auto"/>
          <w:kern w:val="0"/>
          <w:sz w:val="28"/>
          <w:szCs w:val="28"/>
          <w:highlight w:val="none"/>
          <w:lang w:val="en-US" w:eastAsia="zh-CN" w:bidi="hi-IN"/>
        </w:rPr>
      </w:pPr>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p>
    <w:p w14:paraId="451806FE">
      <w:pPr>
        <w:pStyle w:val="34"/>
        <w:shd w:val="clear"/>
        <w:spacing w:line="360" w:lineRule="auto"/>
        <w:rPr>
          <w:rFonts w:ascii="宋体" w:hAnsi="宋体"/>
          <w:b/>
          <w:bCs/>
          <w:color w:val="auto"/>
          <w:sz w:val="24"/>
          <w:highlight w:val="none"/>
        </w:rPr>
      </w:pPr>
    </w:p>
    <w:p w14:paraId="748F92F0">
      <w:pPr>
        <w:pStyle w:val="35"/>
        <w:shd w:val="clear"/>
        <w:rPr>
          <w:rFonts w:ascii="宋体" w:hAnsi="宋体"/>
          <w:b/>
          <w:bCs/>
          <w:color w:val="auto"/>
          <w:sz w:val="24"/>
          <w:highlight w:val="none"/>
        </w:rPr>
      </w:pPr>
    </w:p>
    <w:p w14:paraId="37F0694F">
      <w:pPr>
        <w:pStyle w:val="34"/>
        <w:shd w:val="clear"/>
        <w:rPr>
          <w:rFonts w:ascii="宋体" w:hAnsi="宋体"/>
          <w:b/>
          <w:bCs/>
          <w:color w:val="auto"/>
          <w:sz w:val="24"/>
          <w:highlight w:val="none"/>
        </w:rPr>
      </w:pPr>
    </w:p>
    <w:p w14:paraId="28299C90">
      <w:pPr>
        <w:pStyle w:val="35"/>
        <w:shd w:val="clear"/>
        <w:rPr>
          <w:rFonts w:ascii="宋体" w:hAnsi="宋体"/>
          <w:b/>
          <w:bCs/>
          <w:color w:val="auto"/>
          <w:sz w:val="24"/>
          <w:highlight w:val="none"/>
        </w:rPr>
      </w:pPr>
    </w:p>
    <w:p w14:paraId="3139F199">
      <w:pPr>
        <w:pStyle w:val="34"/>
        <w:shd w:val="clear"/>
        <w:rPr>
          <w:rFonts w:ascii="宋体" w:hAnsi="宋体"/>
          <w:b/>
          <w:bCs/>
          <w:color w:val="auto"/>
          <w:sz w:val="24"/>
          <w:highlight w:val="none"/>
        </w:rPr>
      </w:pPr>
    </w:p>
    <w:p w14:paraId="27401B05">
      <w:pPr>
        <w:pStyle w:val="35"/>
        <w:shd w:val="clear"/>
        <w:rPr>
          <w:rFonts w:ascii="宋体" w:hAnsi="宋体"/>
          <w:b/>
          <w:bCs/>
          <w:color w:val="auto"/>
          <w:sz w:val="24"/>
          <w:highlight w:val="none"/>
        </w:rPr>
      </w:pPr>
    </w:p>
    <w:p w14:paraId="17AFBB66">
      <w:pPr>
        <w:pStyle w:val="34"/>
        <w:shd w:val="clear"/>
        <w:rPr>
          <w:rFonts w:ascii="宋体" w:hAnsi="宋体"/>
          <w:b/>
          <w:bCs/>
          <w:color w:val="auto"/>
          <w:sz w:val="24"/>
          <w:highlight w:val="none"/>
        </w:rPr>
      </w:pPr>
    </w:p>
    <w:p w14:paraId="6ECEFE29">
      <w:pPr>
        <w:pStyle w:val="35"/>
        <w:shd w:val="clear"/>
        <w:rPr>
          <w:rFonts w:ascii="宋体" w:hAnsi="宋体"/>
          <w:b/>
          <w:bCs/>
          <w:color w:val="auto"/>
          <w:sz w:val="24"/>
          <w:highlight w:val="none"/>
        </w:rPr>
      </w:pPr>
    </w:p>
    <w:p w14:paraId="46BD2895">
      <w:pPr>
        <w:pStyle w:val="34"/>
        <w:shd w:val="clear"/>
        <w:rPr>
          <w:rFonts w:ascii="宋体" w:hAnsi="宋体"/>
          <w:b/>
          <w:bCs/>
          <w:color w:val="auto"/>
          <w:sz w:val="24"/>
          <w:highlight w:val="none"/>
        </w:rPr>
      </w:pPr>
    </w:p>
    <w:p w14:paraId="4200835E">
      <w:pPr>
        <w:pStyle w:val="35"/>
        <w:shd w:val="clear"/>
        <w:rPr>
          <w:rFonts w:ascii="宋体" w:hAnsi="宋体"/>
          <w:b/>
          <w:bCs/>
          <w:color w:val="auto"/>
          <w:sz w:val="24"/>
          <w:highlight w:val="none"/>
        </w:rPr>
      </w:pPr>
    </w:p>
    <w:p w14:paraId="68ED26F9">
      <w:pPr>
        <w:pStyle w:val="34"/>
        <w:shd w:val="clear"/>
        <w:rPr>
          <w:rFonts w:ascii="宋体" w:hAnsi="宋体"/>
          <w:b/>
          <w:bCs/>
          <w:color w:val="auto"/>
          <w:sz w:val="24"/>
          <w:highlight w:val="none"/>
        </w:rPr>
      </w:pPr>
    </w:p>
    <w:p w14:paraId="31DEE9AC">
      <w:pPr>
        <w:pStyle w:val="35"/>
        <w:shd w:val="clear"/>
        <w:rPr>
          <w:rFonts w:ascii="宋体" w:hAnsi="宋体"/>
          <w:b/>
          <w:bCs/>
          <w:color w:val="auto"/>
          <w:sz w:val="24"/>
          <w:highlight w:val="none"/>
        </w:rPr>
      </w:pPr>
    </w:p>
    <w:p w14:paraId="7F345E0A">
      <w:pPr>
        <w:pStyle w:val="34"/>
        <w:shd w:val="clear"/>
        <w:rPr>
          <w:rFonts w:ascii="宋体" w:hAnsi="宋体"/>
          <w:b/>
          <w:bCs/>
          <w:color w:val="auto"/>
          <w:sz w:val="24"/>
          <w:highlight w:val="none"/>
        </w:rPr>
      </w:pPr>
    </w:p>
    <w:p w14:paraId="18237892">
      <w:pPr>
        <w:pStyle w:val="35"/>
        <w:shd w:val="clear"/>
        <w:rPr>
          <w:rFonts w:ascii="宋体" w:hAnsi="宋体"/>
          <w:b/>
          <w:bCs/>
          <w:color w:val="auto"/>
          <w:sz w:val="24"/>
          <w:highlight w:val="none"/>
        </w:rPr>
      </w:pPr>
    </w:p>
    <w:p w14:paraId="5789FB88">
      <w:pPr>
        <w:pStyle w:val="34"/>
        <w:shd w:val="clear"/>
        <w:rPr>
          <w:rFonts w:ascii="宋体" w:hAnsi="宋体"/>
          <w:b/>
          <w:bCs/>
          <w:color w:val="auto"/>
          <w:sz w:val="24"/>
          <w:highlight w:val="none"/>
        </w:rPr>
      </w:pPr>
    </w:p>
    <w:p w14:paraId="40C7346E">
      <w:pPr>
        <w:pStyle w:val="35"/>
        <w:shd w:val="clear"/>
        <w:rPr>
          <w:rFonts w:ascii="宋体" w:hAnsi="宋体"/>
          <w:b/>
          <w:bCs/>
          <w:color w:val="auto"/>
          <w:sz w:val="24"/>
          <w:highlight w:val="none"/>
        </w:rPr>
      </w:pPr>
    </w:p>
    <w:p w14:paraId="711534CE">
      <w:pPr>
        <w:pStyle w:val="34"/>
        <w:shd w:val="clear"/>
        <w:rPr>
          <w:rFonts w:ascii="宋体" w:hAnsi="宋体"/>
          <w:b/>
          <w:bCs/>
          <w:color w:val="auto"/>
          <w:sz w:val="24"/>
          <w:highlight w:val="none"/>
        </w:rPr>
      </w:pPr>
    </w:p>
    <w:p w14:paraId="58DF42C1">
      <w:pPr>
        <w:pStyle w:val="35"/>
        <w:shd w:val="clear"/>
        <w:rPr>
          <w:rFonts w:ascii="宋体" w:hAnsi="宋体"/>
          <w:b/>
          <w:bCs/>
          <w:color w:val="auto"/>
          <w:sz w:val="24"/>
          <w:highlight w:val="none"/>
        </w:rPr>
      </w:pPr>
    </w:p>
    <w:p w14:paraId="14585758">
      <w:pPr>
        <w:pStyle w:val="34"/>
        <w:shd w:val="clear"/>
        <w:rPr>
          <w:rFonts w:ascii="宋体" w:hAnsi="宋体"/>
          <w:b/>
          <w:bCs/>
          <w:color w:val="auto"/>
          <w:sz w:val="24"/>
          <w:highlight w:val="none"/>
        </w:rPr>
      </w:pPr>
    </w:p>
    <w:p w14:paraId="7D4AF272">
      <w:pPr>
        <w:pStyle w:val="35"/>
        <w:shd w:val="clear"/>
        <w:rPr>
          <w:rFonts w:ascii="宋体" w:hAnsi="宋体"/>
          <w:b/>
          <w:bCs/>
          <w:color w:val="auto"/>
          <w:sz w:val="24"/>
          <w:highlight w:val="none"/>
        </w:rPr>
      </w:pPr>
    </w:p>
    <w:p w14:paraId="46A1FF6B">
      <w:pPr>
        <w:pStyle w:val="34"/>
        <w:shd w:val="clear"/>
        <w:rPr>
          <w:rFonts w:ascii="宋体" w:hAnsi="宋体"/>
          <w:b/>
          <w:bCs/>
          <w:color w:val="auto"/>
          <w:sz w:val="24"/>
          <w:highlight w:val="none"/>
        </w:rPr>
      </w:pPr>
    </w:p>
    <w:p w14:paraId="18348674">
      <w:pPr>
        <w:pStyle w:val="35"/>
        <w:shd w:val="clear"/>
        <w:rPr>
          <w:color w:val="auto"/>
          <w:highlight w:val="none"/>
        </w:rPr>
      </w:pPr>
    </w:p>
    <w:p w14:paraId="51C9BC66">
      <w:pPr>
        <w:pStyle w:val="2"/>
        <w:shd w:val="clear"/>
        <w:spacing w:line="360" w:lineRule="auto"/>
        <w:jc w:val="center"/>
        <w:rPr>
          <w:rFonts w:ascii="宋体" w:cs="宋体"/>
          <w:color w:val="auto"/>
          <w:sz w:val="36"/>
          <w:highlight w:val="none"/>
        </w:rPr>
      </w:pPr>
      <w:bookmarkStart w:id="94" w:name="_Toc22137"/>
      <w:bookmarkStart w:id="95" w:name="_Toc16105"/>
      <w:bookmarkStart w:id="96" w:name="_Toc23492"/>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94"/>
      <w:bookmarkEnd w:id="95"/>
      <w:bookmarkEnd w:id="96"/>
    </w:p>
    <w:p w14:paraId="1A991BDE">
      <w:pPr>
        <w:pStyle w:val="3"/>
        <w:shd w:val="clear"/>
        <w:spacing w:line="360" w:lineRule="auto"/>
        <w:jc w:val="center"/>
        <w:rPr>
          <w:rFonts w:ascii="宋体" w:hAnsi="宋体" w:eastAsia="宋体" w:cs="宋体"/>
          <w:color w:val="auto"/>
          <w:kern w:val="0"/>
          <w:highlight w:val="none"/>
        </w:rPr>
      </w:pPr>
      <w:bookmarkStart w:id="97" w:name="_Toc9540"/>
      <w:bookmarkStart w:id="98" w:name="_Toc13855"/>
      <w:bookmarkStart w:id="99" w:name="_Toc9157"/>
      <w:r>
        <w:rPr>
          <w:rFonts w:hint="eastAsia" w:ascii="宋体" w:hAnsi="宋体" w:eastAsia="宋体" w:cs="宋体"/>
          <w:color w:val="auto"/>
          <w:kern w:val="0"/>
          <w:highlight w:val="none"/>
        </w:rPr>
        <w:t>封面格式</w:t>
      </w:r>
      <w:bookmarkEnd w:id="97"/>
      <w:bookmarkEnd w:id="98"/>
      <w:bookmarkEnd w:id="99"/>
    </w:p>
    <w:p w14:paraId="78FCF4F0">
      <w:pPr>
        <w:pStyle w:val="34"/>
        <w:shd w:val="clear"/>
        <w:spacing w:line="360" w:lineRule="auto"/>
        <w:rPr>
          <w:rFonts w:ascii="宋体" w:hAnsi="宋体"/>
          <w:b/>
          <w:bCs/>
          <w:color w:val="auto"/>
          <w:sz w:val="24"/>
          <w:highlight w:val="none"/>
        </w:rPr>
      </w:pPr>
    </w:p>
    <w:p w14:paraId="00CE1B64">
      <w:pPr>
        <w:pStyle w:val="34"/>
        <w:shd w:val="clear"/>
        <w:rPr>
          <w:color w:val="auto"/>
          <w:highlight w:val="none"/>
        </w:rPr>
      </w:pPr>
    </w:p>
    <w:tbl>
      <w:tblPr>
        <w:tblStyle w:val="24"/>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5EAA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180" w:type="dxa"/>
          </w:tcPr>
          <w:p w14:paraId="4695478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22"/>
                <w:szCs w:val="21"/>
                <w:highlight w:val="none"/>
                <w:lang w:eastAsia="zh-CN"/>
              </w:rPr>
            </w:pPr>
            <w:bookmarkStart w:id="100" w:name="_Toc31228"/>
            <w:r>
              <w:rPr>
                <w:rFonts w:hint="eastAsia" w:ascii="宋体" w:hAnsi="宋体" w:cs="宋体"/>
                <w:b/>
                <w:color w:val="auto"/>
                <w:kern w:val="0"/>
                <w:sz w:val="32"/>
                <w:szCs w:val="21"/>
                <w:highlight w:val="none"/>
                <w:lang w:eastAsia="zh-CN"/>
              </w:rPr>
              <w:t>（项目名称）</w:t>
            </w:r>
            <w:bookmarkEnd w:id="100"/>
          </w:p>
          <w:p w14:paraId="682EF93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465FD6A">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5A8EFBA3">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5D8C620">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42592762">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01CF2EF">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08A59671">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11715EE3">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4A030E3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290F8C5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101" w:name="_Toc20346"/>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01"/>
          </w:p>
          <w:p w14:paraId="0249FC1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24E449F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3F93E8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387A8C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58F156A6">
            <w:pPr>
              <w:pStyle w:val="31"/>
              <w:keepNext w:val="0"/>
              <w:keepLines w:val="0"/>
              <w:suppressLineNumbers w:val="0"/>
              <w:shd w:val="clear"/>
              <w:spacing w:before="0" w:beforeAutospacing="0" w:after="0" w:afterAutospacing="0"/>
              <w:ind w:left="0" w:right="0"/>
              <w:rPr>
                <w:rFonts w:hint="default"/>
                <w:color w:val="auto"/>
                <w:szCs w:val="20"/>
                <w:highlight w:val="none"/>
              </w:rPr>
            </w:pPr>
          </w:p>
          <w:p w14:paraId="23C61BD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2" w:name="_Toc20289"/>
            <w:r>
              <w:rPr>
                <w:rFonts w:hint="eastAsia" w:ascii="宋体" w:hAnsi="宋体" w:cs="宋体"/>
                <w:color w:val="auto"/>
                <w:kern w:val="0"/>
                <w:sz w:val="24"/>
                <w:szCs w:val="21"/>
                <w:highlight w:val="none"/>
              </w:rPr>
              <w:t>项目名称：</w:t>
            </w:r>
            <w:bookmarkEnd w:id="102"/>
          </w:p>
          <w:p w14:paraId="79F19CB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2DC196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3" w:name="_Toc7578"/>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rPr>
              <w:t>：</w:t>
            </w:r>
            <w:r>
              <w:rPr>
                <w:rFonts w:hint="eastAsia" w:ascii="宋体" w:hAnsi="宋体" w:cs="宋体"/>
                <w:color w:val="auto"/>
                <w:kern w:val="0"/>
                <w:sz w:val="24"/>
                <w:szCs w:val="21"/>
                <w:highlight w:val="none"/>
                <w:u w:val="single"/>
              </w:rPr>
              <w:t>（盖章）</w:t>
            </w:r>
            <w:bookmarkEnd w:id="103"/>
          </w:p>
          <w:p w14:paraId="442705C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10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4"/>
          </w:p>
          <w:p w14:paraId="55B52E3D">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1A56D48F">
      <w:pPr>
        <w:pStyle w:val="34"/>
        <w:shd w:val="clear"/>
        <w:spacing w:line="360" w:lineRule="auto"/>
        <w:rPr>
          <w:rFonts w:ascii="宋体" w:hAnsi="宋体" w:cs="宋体"/>
          <w:color w:val="auto"/>
          <w:sz w:val="24"/>
          <w:highlight w:val="none"/>
        </w:rPr>
      </w:pPr>
    </w:p>
    <w:p w14:paraId="2290A9B1">
      <w:pPr>
        <w:pStyle w:val="34"/>
        <w:shd w:val="clear"/>
        <w:spacing w:line="360" w:lineRule="auto"/>
        <w:rPr>
          <w:rFonts w:ascii="宋体" w:hAnsi="宋体" w:cs="宋体"/>
          <w:color w:val="auto"/>
          <w:sz w:val="24"/>
          <w:highlight w:val="none"/>
        </w:rPr>
      </w:pPr>
    </w:p>
    <w:p w14:paraId="470983D6">
      <w:pPr>
        <w:pStyle w:val="34"/>
        <w:shd w:val="clear"/>
        <w:spacing w:line="360" w:lineRule="auto"/>
        <w:rPr>
          <w:rFonts w:ascii="宋体" w:hAnsi="宋体" w:cs="宋体"/>
          <w:color w:val="auto"/>
          <w:sz w:val="24"/>
          <w:highlight w:val="none"/>
        </w:rPr>
      </w:pPr>
    </w:p>
    <w:p w14:paraId="1056FD23">
      <w:pPr>
        <w:pStyle w:val="35"/>
        <w:shd w:val="clear"/>
        <w:rPr>
          <w:rFonts w:ascii="宋体" w:hAnsi="宋体" w:cs="宋体"/>
          <w:color w:val="auto"/>
          <w:sz w:val="24"/>
          <w:highlight w:val="none"/>
        </w:rPr>
      </w:pPr>
    </w:p>
    <w:p w14:paraId="4B2A6971">
      <w:pPr>
        <w:pStyle w:val="34"/>
        <w:shd w:val="clear"/>
        <w:rPr>
          <w:rFonts w:ascii="宋体" w:hAnsi="宋体" w:cs="宋体"/>
          <w:color w:val="auto"/>
          <w:sz w:val="24"/>
          <w:highlight w:val="none"/>
        </w:rPr>
      </w:pPr>
    </w:p>
    <w:p w14:paraId="5FA71B2D">
      <w:pPr>
        <w:pStyle w:val="34"/>
        <w:shd w:val="clear"/>
        <w:spacing w:line="360" w:lineRule="auto"/>
        <w:jc w:val="center"/>
        <w:rPr>
          <w:rFonts w:ascii="宋体" w:hAnsi="宋体" w:cs="宋体"/>
          <w:color w:val="auto"/>
          <w:sz w:val="24"/>
          <w:highlight w:val="none"/>
        </w:rPr>
      </w:pPr>
    </w:p>
    <w:p w14:paraId="7168523D">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6244872F">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07FB0042">
      <w:pPr>
        <w:pStyle w:val="34"/>
        <w:shd w:val="clear"/>
        <w:spacing w:line="360" w:lineRule="auto"/>
        <w:jc w:val="center"/>
        <w:rPr>
          <w:rFonts w:ascii="宋体" w:hAnsi="宋体"/>
          <w:b/>
          <w:color w:val="auto"/>
          <w:sz w:val="28"/>
          <w:szCs w:val="28"/>
          <w:highlight w:val="none"/>
        </w:rPr>
      </w:pPr>
    </w:p>
    <w:p w14:paraId="2520672D">
      <w:pPr>
        <w:shd w:val="clea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0011881C">
      <w:pPr>
        <w:shd w:val="clea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4BCF26DB">
      <w:pPr>
        <w:pStyle w:val="38"/>
        <w:shd w:val="clear"/>
        <w:spacing w:line="460" w:lineRule="exact"/>
        <w:rPr>
          <w:color w:val="auto"/>
          <w:highlight w:val="none"/>
        </w:rPr>
      </w:pPr>
      <w:r>
        <w:rPr>
          <w:rFonts w:hint="eastAsia"/>
          <w:color w:val="auto"/>
          <w:highlight w:val="none"/>
        </w:rPr>
        <w:t>（1）</w:t>
      </w:r>
      <w:r>
        <w:rPr>
          <w:color w:val="auto"/>
          <w:highlight w:val="none"/>
        </w:rPr>
        <w:t>项目管理机构配备情况表；</w:t>
      </w:r>
    </w:p>
    <w:p w14:paraId="7B58BDD9">
      <w:pPr>
        <w:pStyle w:val="38"/>
        <w:shd w:val="clear"/>
        <w:spacing w:line="460" w:lineRule="exact"/>
        <w:rPr>
          <w:color w:val="auto"/>
          <w:highlight w:val="none"/>
        </w:rPr>
      </w:pPr>
      <w:r>
        <w:rPr>
          <w:rFonts w:hint="eastAsia"/>
          <w:color w:val="auto"/>
          <w:highlight w:val="none"/>
        </w:rPr>
        <w:t>（2）</w:t>
      </w:r>
      <w:r>
        <w:rPr>
          <w:color w:val="auto"/>
          <w:highlight w:val="none"/>
        </w:rPr>
        <w:t>项目经理（注册建造师）简历表；</w:t>
      </w:r>
    </w:p>
    <w:p w14:paraId="3F02E65D">
      <w:pPr>
        <w:pStyle w:val="38"/>
        <w:shd w:val="clear"/>
        <w:spacing w:line="460" w:lineRule="exact"/>
        <w:rPr>
          <w:color w:val="auto"/>
          <w:highlight w:val="none"/>
        </w:rPr>
      </w:pPr>
      <w:r>
        <w:rPr>
          <w:rFonts w:hint="eastAsia"/>
          <w:color w:val="auto"/>
          <w:highlight w:val="none"/>
        </w:rPr>
        <w:t>（3）</w:t>
      </w:r>
      <w:r>
        <w:rPr>
          <w:color w:val="auto"/>
          <w:highlight w:val="none"/>
        </w:rPr>
        <w:t>项目技术负责人简历表。</w:t>
      </w:r>
    </w:p>
    <w:p w14:paraId="0DD8AA94">
      <w:pPr>
        <w:pStyle w:val="38"/>
        <w:shd w:val="clear"/>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321D10DB">
      <w:pPr>
        <w:shd w:val="clear"/>
        <w:spacing w:line="460" w:lineRule="exact"/>
        <w:ind w:firstLine="400" w:firstLineChars="200"/>
        <w:rPr>
          <w:color w:val="auto"/>
          <w:szCs w:val="28"/>
          <w:highlight w:val="none"/>
        </w:rPr>
      </w:pPr>
    </w:p>
    <w:p w14:paraId="399925FD">
      <w:pPr>
        <w:pStyle w:val="31"/>
        <w:shd w:val="clear"/>
        <w:rPr>
          <w:color w:val="auto"/>
          <w:highlight w:val="none"/>
        </w:rPr>
      </w:pPr>
    </w:p>
    <w:p w14:paraId="09642E6F">
      <w:pPr>
        <w:pStyle w:val="2"/>
        <w:shd w:val="clear"/>
        <w:spacing w:line="360" w:lineRule="auto"/>
        <w:jc w:val="center"/>
        <w:rPr>
          <w:rFonts w:ascii="宋体" w:hAnsi="宋体" w:cs="宋体"/>
          <w:color w:val="auto"/>
          <w:sz w:val="36"/>
          <w:highlight w:val="none"/>
        </w:rPr>
      </w:pPr>
    </w:p>
    <w:p w14:paraId="179816FD">
      <w:pPr>
        <w:pStyle w:val="2"/>
        <w:shd w:val="clear"/>
        <w:spacing w:line="360" w:lineRule="auto"/>
        <w:jc w:val="center"/>
        <w:rPr>
          <w:rFonts w:ascii="宋体" w:hAnsi="宋体" w:cs="宋体"/>
          <w:color w:val="auto"/>
          <w:sz w:val="36"/>
          <w:highlight w:val="none"/>
        </w:rPr>
      </w:pPr>
    </w:p>
    <w:p w14:paraId="6E0C3F3F">
      <w:pPr>
        <w:pStyle w:val="2"/>
        <w:shd w:val="clear"/>
        <w:spacing w:line="360" w:lineRule="auto"/>
        <w:jc w:val="center"/>
        <w:rPr>
          <w:rFonts w:ascii="宋体" w:hAnsi="宋体" w:cs="宋体"/>
          <w:color w:val="auto"/>
          <w:sz w:val="36"/>
          <w:highlight w:val="none"/>
        </w:rPr>
      </w:pPr>
    </w:p>
    <w:p w14:paraId="029040BF">
      <w:pPr>
        <w:shd w:val="clear"/>
        <w:rPr>
          <w:rFonts w:ascii="宋体" w:hAnsi="宋体" w:cs="宋体"/>
          <w:color w:val="auto"/>
          <w:sz w:val="36"/>
          <w:highlight w:val="none"/>
        </w:rPr>
      </w:pPr>
    </w:p>
    <w:p w14:paraId="5979B2E4">
      <w:pPr>
        <w:pStyle w:val="10"/>
        <w:shd w:val="clear"/>
        <w:rPr>
          <w:rFonts w:ascii="宋体" w:hAnsi="宋体" w:cs="宋体"/>
          <w:color w:val="auto"/>
          <w:sz w:val="36"/>
          <w:highlight w:val="none"/>
        </w:rPr>
      </w:pPr>
    </w:p>
    <w:p w14:paraId="4F9506E0">
      <w:pPr>
        <w:shd w:val="clear"/>
        <w:rPr>
          <w:rFonts w:ascii="宋体" w:hAnsi="宋体" w:cs="宋体"/>
          <w:color w:val="auto"/>
          <w:sz w:val="36"/>
          <w:highlight w:val="none"/>
        </w:rPr>
      </w:pPr>
    </w:p>
    <w:p w14:paraId="6401732C">
      <w:pPr>
        <w:pStyle w:val="10"/>
        <w:shd w:val="clear"/>
        <w:rPr>
          <w:rFonts w:ascii="宋体" w:hAnsi="宋体" w:cs="宋体"/>
          <w:color w:val="auto"/>
          <w:sz w:val="36"/>
          <w:highlight w:val="none"/>
        </w:rPr>
      </w:pPr>
    </w:p>
    <w:p w14:paraId="5E4028C5">
      <w:pPr>
        <w:shd w:val="clear"/>
        <w:rPr>
          <w:rFonts w:ascii="宋体" w:hAnsi="宋体" w:cs="宋体"/>
          <w:color w:val="auto"/>
          <w:sz w:val="36"/>
          <w:highlight w:val="none"/>
        </w:rPr>
      </w:pPr>
    </w:p>
    <w:p w14:paraId="52061A05">
      <w:pPr>
        <w:pStyle w:val="10"/>
        <w:shd w:val="clear"/>
        <w:rPr>
          <w:color w:val="auto"/>
          <w:highlight w:val="none"/>
        </w:rPr>
      </w:pPr>
    </w:p>
    <w:p w14:paraId="63F89CBD">
      <w:pPr>
        <w:shd w:val="clear"/>
        <w:rPr>
          <w:rFonts w:ascii="宋体" w:hAnsi="宋体" w:cs="宋体"/>
          <w:color w:val="auto"/>
          <w:sz w:val="36"/>
          <w:highlight w:val="none"/>
        </w:rPr>
      </w:pPr>
    </w:p>
    <w:p w14:paraId="5BC6C371">
      <w:pPr>
        <w:shd w:val="clear"/>
        <w:rPr>
          <w:rFonts w:ascii="宋体" w:hAnsi="宋体" w:cs="宋体"/>
          <w:color w:val="auto"/>
          <w:sz w:val="36"/>
          <w:highlight w:val="none"/>
        </w:rPr>
      </w:pPr>
    </w:p>
    <w:p w14:paraId="1D18BDBE">
      <w:pPr>
        <w:shd w:val="clear"/>
        <w:rPr>
          <w:rFonts w:ascii="宋体" w:hAnsi="宋体" w:cs="宋体"/>
          <w:color w:val="auto"/>
          <w:sz w:val="36"/>
          <w:highlight w:val="none"/>
        </w:rPr>
      </w:pPr>
    </w:p>
    <w:p w14:paraId="64A709A5">
      <w:pPr>
        <w:shd w:val="clear"/>
        <w:rPr>
          <w:rFonts w:ascii="宋体" w:hAnsi="宋体" w:cs="宋体"/>
          <w:color w:val="auto"/>
          <w:sz w:val="36"/>
          <w:highlight w:val="none"/>
        </w:rPr>
      </w:pPr>
    </w:p>
    <w:p w14:paraId="448AD330">
      <w:pPr>
        <w:pStyle w:val="10"/>
        <w:rPr>
          <w:rFonts w:ascii="宋体" w:hAnsi="宋体" w:cs="宋体"/>
          <w:color w:val="auto"/>
          <w:sz w:val="36"/>
          <w:highlight w:val="none"/>
        </w:rPr>
      </w:pPr>
    </w:p>
    <w:p w14:paraId="08C137F8">
      <w:pPr>
        <w:rPr>
          <w:color w:val="auto"/>
          <w:highlight w:val="none"/>
        </w:rPr>
      </w:pPr>
    </w:p>
    <w:p w14:paraId="4DC0615B">
      <w:pPr>
        <w:shd w:val="clear"/>
        <w:rPr>
          <w:rFonts w:ascii="宋体" w:hAnsi="宋体" w:cs="宋体"/>
          <w:color w:val="auto"/>
          <w:sz w:val="36"/>
          <w:highlight w:val="none"/>
        </w:rPr>
      </w:pPr>
    </w:p>
    <w:p w14:paraId="154B4CB4">
      <w:pPr>
        <w:shd w:val="clear"/>
        <w:rPr>
          <w:rFonts w:ascii="宋体" w:hAnsi="宋体" w:cs="宋体"/>
          <w:color w:val="auto"/>
          <w:sz w:val="36"/>
          <w:highlight w:val="none"/>
        </w:rPr>
      </w:pPr>
    </w:p>
    <w:p w14:paraId="4A85D896">
      <w:pPr>
        <w:shd w:val="clea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771976E2">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lang w:eastAsia="zh-CN"/>
        </w:rPr>
        <w:t>供应商</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1BD58C6">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521795F7">
      <w:pPr>
        <w:shd w:val="clear"/>
        <w:spacing w:line="460" w:lineRule="exact"/>
        <w:ind w:firstLine="420" w:firstLineChars="200"/>
        <w:rPr>
          <w:color w:val="auto"/>
          <w:sz w:val="21"/>
          <w:szCs w:val="22"/>
          <w:highlight w:val="none"/>
        </w:rPr>
      </w:pPr>
      <w:r>
        <w:rPr>
          <w:color w:val="auto"/>
          <w:sz w:val="21"/>
          <w:szCs w:val="22"/>
          <w:highlight w:val="none"/>
        </w:rPr>
        <w:t>附表一拟投入本工程的主要施工设备表</w:t>
      </w:r>
    </w:p>
    <w:p w14:paraId="2023D689">
      <w:pPr>
        <w:shd w:val="clear"/>
        <w:spacing w:line="460" w:lineRule="exact"/>
        <w:ind w:firstLine="420" w:firstLineChars="200"/>
        <w:rPr>
          <w:color w:val="auto"/>
          <w:sz w:val="21"/>
          <w:szCs w:val="22"/>
          <w:highlight w:val="none"/>
        </w:rPr>
      </w:pPr>
      <w:r>
        <w:rPr>
          <w:color w:val="auto"/>
          <w:sz w:val="21"/>
          <w:szCs w:val="22"/>
          <w:highlight w:val="none"/>
        </w:rPr>
        <w:t>附表二拟配备本工程的试验和检测仪器设备表</w:t>
      </w:r>
    </w:p>
    <w:p w14:paraId="225ACFD3">
      <w:pPr>
        <w:shd w:val="clear"/>
        <w:spacing w:line="460" w:lineRule="exact"/>
        <w:ind w:firstLine="420" w:firstLineChars="200"/>
        <w:rPr>
          <w:color w:val="auto"/>
          <w:sz w:val="21"/>
          <w:szCs w:val="22"/>
          <w:highlight w:val="none"/>
        </w:rPr>
      </w:pPr>
      <w:r>
        <w:rPr>
          <w:color w:val="auto"/>
          <w:sz w:val="21"/>
          <w:szCs w:val="22"/>
          <w:highlight w:val="none"/>
        </w:rPr>
        <w:t>附表三劳动力计划表</w:t>
      </w:r>
    </w:p>
    <w:p w14:paraId="6CB8239F">
      <w:pPr>
        <w:shd w:val="clear"/>
        <w:spacing w:line="460" w:lineRule="exact"/>
        <w:ind w:firstLine="420" w:firstLineChars="200"/>
        <w:rPr>
          <w:color w:val="auto"/>
          <w:sz w:val="21"/>
          <w:szCs w:val="22"/>
          <w:highlight w:val="none"/>
        </w:rPr>
      </w:pPr>
      <w:r>
        <w:rPr>
          <w:color w:val="auto"/>
          <w:sz w:val="21"/>
          <w:szCs w:val="22"/>
          <w:highlight w:val="none"/>
        </w:rPr>
        <w:t>附表四计划开、竣工日期和施工进度网络图</w:t>
      </w:r>
    </w:p>
    <w:p w14:paraId="5467036C">
      <w:pPr>
        <w:shd w:val="clear"/>
        <w:spacing w:line="460" w:lineRule="exact"/>
        <w:ind w:firstLine="420" w:firstLineChars="200"/>
        <w:rPr>
          <w:color w:val="auto"/>
          <w:sz w:val="21"/>
          <w:szCs w:val="22"/>
          <w:highlight w:val="none"/>
        </w:rPr>
      </w:pPr>
      <w:r>
        <w:rPr>
          <w:color w:val="auto"/>
          <w:sz w:val="21"/>
          <w:szCs w:val="22"/>
          <w:highlight w:val="none"/>
        </w:rPr>
        <w:t>附表五施工总平面图</w:t>
      </w:r>
    </w:p>
    <w:p w14:paraId="4A7CA456">
      <w:pPr>
        <w:shd w:val="clear"/>
        <w:spacing w:line="460" w:lineRule="exact"/>
        <w:ind w:firstLine="420" w:firstLineChars="200"/>
        <w:rPr>
          <w:color w:val="auto"/>
          <w:sz w:val="21"/>
          <w:szCs w:val="22"/>
          <w:highlight w:val="none"/>
        </w:rPr>
      </w:pPr>
      <w:r>
        <w:rPr>
          <w:color w:val="auto"/>
          <w:sz w:val="21"/>
          <w:szCs w:val="22"/>
          <w:highlight w:val="none"/>
        </w:rPr>
        <w:t>附表六临时用地表</w:t>
      </w:r>
    </w:p>
    <w:p w14:paraId="6B426A1C">
      <w:pPr>
        <w:shd w:val="clear"/>
        <w:spacing w:line="460" w:lineRule="exact"/>
        <w:ind w:firstLine="420" w:firstLineChars="200"/>
        <w:rPr>
          <w:color w:val="auto"/>
          <w:sz w:val="21"/>
          <w:szCs w:val="22"/>
          <w:highlight w:val="none"/>
        </w:rPr>
      </w:pPr>
    </w:p>
    <w:p w14:paraId="5D569656">
      <w:pPr>
        <w:shd w:val="clea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3F0A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42DCAD0C">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4FFDC20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设备名称</w:t>
            </w:r>
          </w:p>
        </w:tc>
        <w:tc>
          <w:tcPr>
            <w:tcW w:w="851" w:type="dxa"/>
            <w:vAlign w:val="center"/>
          </w:tcPr>
          <w:p w14:paraId="399CDDB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31074814">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757252E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5DA75B5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7A3E6F7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851" w:type="dxa"/>
            <w:vAlign w:val="center"/>
          </w:tcPr>
          <w:p w14:paraId="6EE96AB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w:t>
            </w:r>
          </w:p>
          <w:p w14:paraId="5E5CC17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年份</w:t>
            </w:r>
          </w:p>
        </w:tc>
        <w:tc>
          <w:tcPr>
            <w:tcW w:w="1134" w:type="dxa"/>
            <w:vAlign w:val="center"/>
          </w:tcPr>
          <w:p w14:paraId="7323D73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额定功率</w:t>
            </w:r>
          </w:p>
          <w:p w14:paraId="7F1EAB90">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（KW）</w:t>
            </w:r>
          </w:p>
        </w:tc>
        <w:tc>
          <w:tcPr>
            <w:tcW w:w="992" w:type="dxa"/>
            <w:vAlign w:val="center"/>
          </w:tcPr>
          <w:p w14:paraId="7FCF657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生产</w:t>
            </w:r>
          </w:p>
          <w:p w14:paraId="1D84C0E4">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能力</w:t>
            </w:r>
          </w:p>
        </w:tc>
        <w:tc>
          <w:tcPr>
            <w:tcW w:w="1134" w:type="dxa"/>
            <w:vAlign w:val="center"/>
          </w:tcPr>
          <w:p w14:paraId="0367B384">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用于施</w:t>
            </w:r>
          </w:p>
          <w:p w14:paraId="08A69C77">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工部位</w:t>
            </w:r>
          </w:p>
        </w:tc>
        <w:tc>
          <w:tcPr>
            <w:tcW w:w="992" w:type="dxa"/>
            <w:vAlign w:val="center"/>
          </w:tcPr>
          <w:p w14:paraId="4F22741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76C4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511B381">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463E2BC4">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tcPr>
          <w:p w14:paraId="7FC1219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1475592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0003D224">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09EF9878">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358505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3B177B8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8AD5EA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26F9C439">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6732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3179EC2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28F46D6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061C616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D8A4B9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1BBD7EF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34C37B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480057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261DB98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5C103C6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10F4BE8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6161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23CE50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7BCBBDE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0798D5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22A1CA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17ACB2D9">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049C5D9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531144F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05A1704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043499C4">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5EAFC3C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bl>
    <w:p w14:paraId="6F4031A8">
      <w:pPr>
        <w:shd w:val="clear"/>
        <w:rPr>
          <w:color w:val="auto"/>
          <w:sz w:val="21"/>
          <w:szCs w:val="21"/>
          <w:highlight w:val="none"/>
        </w:rPr>
      </w:pPr>
    </w:p>
    <w:p w14:paraId="00A81AAC">
      <w:pPr>
        <w:shd w:val="clear"/>
        <w:rPr>
          <w:color w:val="auto"/>
          <w:sz w:val="21"/>
          <w:szCs w:val="21"/>
          <w:highlight w:val="none"/>
        </w:rPr>
      </w:pPr>
    </w:p>
    <w:p w14:paraId="6D0AE8C7">
      <w:pPr>
        <w:shd w:val="clea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347E4AE4">
      <w:pPr>
        <w:shd w:val="clear"/>
        <w:rPr>
          <w:color w:val="auto"/>
          <w:sz w:val="21"/>
          <w:szCs w:val="21"/>
          <w:highlight w:val="none"/>
        </w:rPr>
      </w:pP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1EA4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FE5052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65A14FA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仪器设备名称</w:t>
            </w:r>
          </w:p>
        </w:tc>
        <w:tc>
          <w:tcPr>
            <w:tcW w:w="851" w:type="dxa"/>
            <w:vAlign w:val="center"/>
          </w:tcPr>
          <w:p w14:paraId="68485D5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0AC0BF2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013713C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7B1E85C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61F51A27">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1134" w:type="dxa"/>
            <w:vAlign w:val="center"/>
          </w:tcPr>
          <w:p w14:paraId="43485F5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制造年份</w:t>
            </w:r>
          </w:p>
        </w:tc>
        <w:tc>
          <w:tcPr>
            <w:tcW w:w="1276" w:type="dxa"/>
            <w:vAlign w:val="center"/>
          </w:tcPr>
          <w:p w14:paraId="66F7C99E">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已使用</w:t>
            </w:r>
          </w:p>
          <w:p w14:paraId="5269AA6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台时数</w:t>
            </w:r>
          </w:p>
        </w:tc>
        <w:tc>
          <w:tcPr>
            <w:tcW w:w="1134" w:type="dxa"/>
            <w:vAlign w:val="center"/>
          </w:tcPr>
          <w:p w14:paraId="4809B87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用途</w:t>
            </w:r>
          </w:p>
        </w:tc>
        <w:tc>
          <w:tcPr>
            <w:tcW w:w="1559" w:type="dxa"/>
            <w:vAlign w:val="center"/>
          </w:tcPr>
          <w:p w14:paraId="3B48C66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5744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5B66B6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6FBDCE4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7B10628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48C0700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391DCE6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2766F3A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56F9BDE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32D501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63FE4EEC">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5EFF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44B0F0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2824E7F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4A3E1EA0">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48E8D0C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3C5A1D4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578D52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7AB6145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D9AF7D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1911CFA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74DE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FDC31F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762FA1E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5C5FDFF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681CF4BC">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7B727108">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41EEEF8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43A7A32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DCD2AC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32B2C864">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bl>
    <w:p w14:paraId="6B7A7CC7">
      <w:pPr>
        <w:shd w:val="clear"/>
        <w:rPr>
          <w:color w:val="auto"/>
          <w:sz w:val="21"/>
          <w:szCs w:val="21"/>
          <w:highlight w:val="none"/>
        </w:rPr>
      </w:pPr>
    </w:p>
    <w:p w14:paraId="664307D7">
      <w:pPr>
        <w:shd w:val="clear"/>
        <w:rPr>
          <w:color w:val="auto"/>
          <w:sz w:val="21"/>
          <w:szCs w:val="21"/>
          <w:highlight w:val="none"/>
        </w:rPr>
      </w:pPr>
    </w:p>
    <w:p w14:paraId="13E43955">
      <w:pPr>
        <w:shd w:val="clear"/>
        <w:rPr>
          <w:color w:val="auto"/>
          <w:sz w:val="21"/>
          <w:szCs w:val="21"/>
          <w:highlight w:val="none"/>
        </w:rPr>
      </w:pPr>
    </w:p>
    <w:p w14:paraId="42F02C4A">
      <w:pPr>
        <w:pStyle w:val="10"/>
        <w:shd w:val="clear"/>
        <w:rPr>
          <w:color w:val="auto"/>
          <w:highlight w:val="none"/>
        </w:rPr>
      </w:pPr>
    </w:p>
    <w:p w14:paraId="22257AAE">
      <w:pPr>
        <w:shd w:val="clear"/>
        <w:rPr>
          <w:color w:val="auto"/>
          <w:sz w:val="21"/>
          <w:szCs w:val="21"/>
          <w:highlight w:val="none"/>
        </w:rPr>
      </w:pPr>
    </w:p>
    <w:p w14:paraId="31115DF8">
      <w:pPr>
        <w:pStyle w:val="31"/>
        <w:shd w:val="clear"/>
        <w:rPr>
          <w:color w:val="auto"/>
          <w:sz w:val="21"/>
          <w:szCs w:val="21"/>
          <w:highlight w:val="none"/>
        </w:rPr>
      </w:pPr>
    </w:p>
    <w:p w14:paraId="1E7E6BEF">
      <w:pPr>
        <w:pStyle w:val="31"/>
        <w:shd w:val="clear"/>
        <w:rPr>
          <w:color w:val="auto"/>
          <w:sz w:val="21"/>
          <w:szCs w:val="21"/>
          <w:highlight w:val="none"/>
        </w:rPr>
      </w:pPr>
    </w:p>
    <w:p w14:paraId="601B2A48">
      <w:pPr>
        <w:pStyle w:val="31"/>
        <w:shd w:val="clear"/>
        <w:rPr>
          <w:color w:val="auto"/>
          <w:sz w:val="28"/>
          <w:szCs w:val="21"/>
          <w:highlight w:val="none"/>
        </w:rPr>
      </w:pPr>
    </w:p>
    <w:p w14:paraId="14045775">
      <w:pPr>
        <w:pStyle w:val="31"/>
        <w:shd w:val="clear"/>
        <w:rPr>
          <w:color w:val="auto"/>
          <w:sz w:val="28"/>
          <w:szCs w:val="21"/>
          <w:highlight w:val="none"/>
        </w:rPr>
      </w:pPr>
    </w:p>
    <w:p w14:paraId="4BAAAF40">
      <w:pPr>
        <w:shd w:val="clear"/>
        <w:rPr>
          <w:color w:val="auto"/>
          <w:sz w:val="21"/>
          <w:szCs w:val="21"/>
          <w:highlight w:val="none"/>
        </w:rPr>
      </w:pPr>
      <w:r>
        <w:rPr>
          <w:color w:val="auto"/>
          <w:sz w:val="21"/>
          <w:szCs w:val="21"/>
          <w:highlight w:val="none"/>
        </w:rPr>
        <w:t>附表三：劳动力计划表</w:t>
      </w:r>
    </w:p>
    <w:p w14:paraId="5287A6FB">
      <w:pPr>
        <w:shd w:val="clear"/>
        <w:ind w:firstLine="7245" w:firstLineChars="3450"/>
        <w:rPr>
          <w:color w:val="auto"/>
          <w:sz w:val="21"/>
          <w:szCs w:val="22"/>
          <w:highlight w:val="none"/>
        </w:rPr>
      </w:pPr>
      <w:r>
        <w:rPr>
          <w:color w:val="auto"/>
          <w:sz w:val="21"/>
          <w:szCs w:val="22"/>
          <w:highlight w:val="none"/>
        </w:rPr>
        <w:t>单位：人</w:t>
      </w:r>
    </w:p>
    <w:tbl>
      <w:tblPr>
        <w:tblStyle w:val="2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6356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348CBD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工种</w:t>
            </w:r>
          </w:p>
        </w:tc>
        <w:tc>
          <w:tcPr>
            <w:tcW w:w="8506" w:type="dxa"/>
            <w:gridSpan w:val="7"/>
            <w:vAlign w:val="center"/>
          </w:tcPr>
          <w:p w14:paraId="3445EED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按工程施工阶段投入劳动力情况</w:t>
            </w:r>
          </w:p>
        </w:tc>
      </w:tr>
      <w:tr w14:paraId="757C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34AFDF1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6BB16B6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7BC039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4A2E6B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33B026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B408FD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0D26EB4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0C35DE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769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10FDED5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79A50D9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058349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ED1C61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017350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AAF4F6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D1788E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4F13AC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56F6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0CA0A7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0FFAE2C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035B1B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0978DB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5006A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81FB65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0EF0DA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A3F1FD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0ABC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995AB9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17153E9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68CEDF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624563F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37024D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4A0646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6CDB35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A88AC5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3924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3B4C7F7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235880E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435EBC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C20792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7F5A9B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36760F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A2A93F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72C37C0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bl>
    <w:p w14:paraId="4BB2D70E">
      <w:pPr>
        <w:shd w:val="clear"/>
        <w:rPr>
          <w:color w:val="auto"/>
          <w:sz w:val="21"/>
          <w:szCs w:val="21"/>
          <w:highlight w:val="none"/>
        </w:rPr>
      </w:pPr>
    </w:p>
    <w:p w14:paraId="5FA2CB50">
      <w:pPr>
        <w:shd w:val="clear"/>
        <w:rPr>
          <w:b/>
          <w:color w:val="auto"/>
          <w:sz w:val="21"/>
          <w:szCs w:val="21"/>
          <w:highlight w:val="none"/>
        </w:rPr>
      </w:pPr>
    </w:p>
    <w:p w14:paraId="311B1226">
      <w:pPr>
        <w:shd w:val="clea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45F75D44">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）供应商</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lang w:eastAsia="zh-CN"/>
        </w:rPr>
        <w:t>供应商</w:t>
      </w:r>
      <w:r>
        <w:rPr>
          <w:color w:val="auto"/>
          <w:sz w:val="21"/>
          <w:szCs w:val="21"/>
          <w:highlight w:val="none"/>
        </w:rPr>
        <w:t>还应按合同条件有关条款的要求提交详细的施工进度计划。</w:t>
      </w:r>
    </w:p>
    <w:p w14:paraId="244278C7">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42705248">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67CD2765">
      <w:pPr>
        <w:shd w:val="clear"/>
        <w:rPr>
          <w:color w:val="auto"/>
          <w:sz w:val="21"/>
          <w:szCs w:val="21"/>
          <w:highlight w:val="none"/>
        </w:rPr>
      </w:pPr>
    </w:p>
    <w:p w14:paraId="084F4F0C">
      <w:pPr>
        <w:shd w:val="clear"/>
        <w:rPr>
          <w:color w:val="auto"/>
          <w:sz w:val="21"/>
          <w:szCs w:val="21"/>
          <w:highlight w:val="none"/>
        </w:rPr>
      </w:pPr>
      <w:r>
        <w:rPr>
          <w:color w:val="auto"/>
          <w:sz w:val="21"/>
          <w:szCs w:val="21"/>
          <w:highlight w:val="none"/>
        </w:rPr>
        <w:t>附表五：施工总平面图</w:t>
      </w:r>
    </w:p>
    <w:p w14:paraId="03486AFA">
      <w:pPr>
        <w:shd w:val="clear"/>
        <w:spacing w:line="460" w:lineRule="exact"/>
        <w:ind w:firstLine="420" w:firstLineChars="200"/>
        <w:rPr>
          <w:color w:val="auto"/>
          <w:sz w:val="21"/>
          <w:szCs w:val="22"/>
          <w:highlight w:val="none"/>
        </w:rPr>
      </w:pPr>
      <w:r>
        <w:rPr>
          <w:rFonts w:hint="eastAsia"/>
          <w:color w:val="auto"/>
          <w:sz w:val="21"/>
          <w:szCs w:val="22"/>
          <w:highlight w:val="none"/>
          <w:lang w:eastAsia="zh-CN"/>
        </w:rPr>
        <w:t>供应商</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519E6218">
      <w:pPr>
        <w:shd w:val="clear"/>
        <w:rPr>
          <w:color w:val="auto"/>
          <w:sz w:val="21"/>
          <w:szCs w:val="21"/>
          <w:highlight w:val="none"/>
        </w:rPr>
      </w:pPr>
    </w:p>
    <w:p w14:paraId="2BA1C5F3">
      <w:pPr>
        <w:shd w:val="clear"/>
        <w:rPr>
          <w:color w:val="auto"/>
          <w:sz w:val="21"/>
          <w:szCs w:val="21"/>
          <w:highlight w:val="none"/>
        </w:rPr>
      </w:pPr>
    </w:p>
    <w:p w14:paraId="519859AA">
      <w:pPr>
        <w:shd w:val="clear"/>
        <w:rPr>
          <w:color w:val="auto"/>
          <w:sz w:val="21"/>
          <w:szCs w:val="21"/>
          <w:highlight w:val="none"/>
        </w:rPr>
      </w:pPr>
      <w:r>
        <w:rPr>
          <w:color w:val="auto"/>
          <w:sz w:val="21"/>
          <w:szCs w:val="21"/>
          <w:highlight w:val="none"/>
        </w:rPr>
        <w:t>附表六：临时用地表</w:t>
      </w:r>
    </w:p>
    <w:tbl>
      <w:tblPr>
        <w:tblStyle w:val="2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58E4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1F7D230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用途</w:t>
            </w:r>
          </w:p>
        </w:tc>
        <w:tc>
          <w:tcPr>
            <w:tcW w:w="2357" w:type="dxa"/>
            <w:vAlign w:val="center"/>
          </w:tcPr>
          <w:p w14:paraId="1FAE143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面积（平方米）</w:t>
            </w:r>
          </w:p>
        </w:tc>
        <w:tc>
          <w:tcPr>
            <w:tcW w:w="2356" w:type="dxa"/>
            <w:vAlign w:val="center"/>
          </w:tcPr>
          <w:p w14:paraId="12765D43">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位置</w:t>
            </w:r>
          </w:p>
        </w:tc>
        <w:tc>
          <w:tcPr>
            <w:tcW w:w="2357" w:type="dxa"/>
            <w:vAlign w:val="center"/>
          </w:tcPr>
          <w:p w14:paraId="3FAEA46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需用时间</w:t>
            </w:r>
          </w:p>
        </w:tc>
      </w:tr>
      <w:tr w14:paraId="6318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053CA98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A21A18E">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26F74DF3">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35D529C7">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1D56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1BEF267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375466E">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3F7ACCD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5038489F">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09AF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720D16BF">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6716D5A9">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01F49542">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EA41EA1">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4779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0CFE5569">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FBFCF0D">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189F3E0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34E27A9">
            <w:pPr>
              <w:keepNext w:val="0"/>
              <w:keepLines w:val="0"/>
              <w:suppressLineNumbers w:val="0"/>
              <w:shd w:val="clear"/>
              <w:spacing w:before="0" w:beforeAutospacing="0" w:after="0" w:afterAutospacing="0"/>
              <w:ind w:left="0" w:right="0"/>
              <w:rPr>
                <w:rFonts w:hint="default"/>
                <w:color w:val="auto"/>
                <w:sz w:val="21"/>
                <w:szCs w:val="21"/>
                <w:highlight w:val="none"/>
              </w:rPr>
            </w:pPr>
          </w:p>
        </w:tc>
      </w:tr>
    </w:tbl>
    <w:p w14:paraId="3846EA8F">
      <w:pPr>
        <w:shd w:val="clear"/>
        <w:rPr>
          <w:color w:val="auto"/>
          <w:sz w:val="21"/>
          <w:szCs w:val="21"/>
          <w:highlight w:val="none"/>
        </w:rPr>
      </w:pPr>
    </w:p>
    <w:p w14:paraId="28DDB8C8">
      <w:pPr>
        <w:shd w:val="clea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formProt w:val="1"/>
          <w:docGrid w:linePitch="312" w:charSpace="0"/>
        </w:sectPr>
      </w:pPr>
    </w:p>
    <w:p w14:paraId="74C773D8">
      <w:pPr>
        <w:pStyle w:val="38"/>
        <w:shd w:val="clear"/>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31F9EF4E">
      <w:pPr>
        <w:pStyle w:val="38"/>
        <w:shd w:val="clear"/>
        <w:jc w:val="center"/>
        <w:rPr>
          <w:b/>
          <w:color w:val="auto"/>
          <w:sz w:val="28"/>
          <w:szCs w:val="28"/>
          <w:highlight w:val="none"/>
        </w:rPr>
      </w:pPr>
      <w:bookmarkStart w:id="105" w:name="_Toc251052184"/>
      <w:bookmarkStart w:id="106" w:name="_Toc172364025"/>
      <w:bookmarkStart w:id="107" w:name="_Toc173579005"/>
      <w:bookmarkStart w:id="108" w:name="_Toc153274947"/>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05"/>
      <w:bookmarkEnd w:id="106"/>
      <w:bookmarkEnd w:id="107"/>
      <w:bookmarkEnd w:id="108"/>
    </w:p>
    <w:p w14:paraId="722B0C5A">
      <w:pPr>
        <w:pStyle w:val="38"/>
        <w:shd w:val="clear"/>
        <w:rPr>
          <w:color w:val="auto"/>
          <w:sz w:val="22"/>
          <w:szCs w:val="22"/>
          <w:highlight w:val="none"/>
          <w:u w:val="single"/>
        </w:rPr>
      </w:pPr>
    </w:p>
    <w:p w14:paraId="0FB13D7D">
      <w:pPr>
        <w:pStyle w:val="38"/>
        <w:shd w:val="clear"/>
        <w:rPr>
          <w:rFonts w:hint="eastAsia" w:eastAsia="宋体"/>
          <w:color w:val="auto"/>
          <w:sz w:val="22"/>
          <w:szCs w:val="22"/>
          <w:highlight w:val="none"/>
          <w:lang w:eastAsia="zh-CN"/>
        </w:rPr>
      </w:pPr>
      <w:bookmarkStart w:id="10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bookmarkEnd w:id="109"/>
    </w:p>
    <w:tbl>
      <w:tblPr>
        <w:tblStyle w:val="24"/>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0274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7E3D854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2A2D06B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0" w:name="_Toc251052187"/>
            <w:r>
              <w:rPr>
                <w:rFonts w:hint="default"/>
                <w:color w:val="auto"/>
                <w:sz w:val="21"/>
                <w:szCs w:val="21"/>
                <w:highlight w:val="none"/>
              </w:rPr>
              <w:t>姓名</w:t>
            </w:r>
            <w:bookmarkEnd w:id="110"/>
          </w:p>
        </w:tc>
        <w:tc>
          <w:tcPr>
            <w:tcW w:w="816" w:type="dxa"/>
            <w:vMerge w:val="restart"/>
            <w:vAlign w:val="center"/>
          </w:tcPr>
          <w:p w14:paraId="4EFE4DD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1" w:name="_Toc251052188"/>
            <w:r>
              <w:rPr>
                <w:rFonts w:hint="default"/>
                <w:color w:val="auto"/>
                <w:sz w:val="21"/>
                <w:szCs w:val="21"/>
                <w:highlight w:val="none"/>
              </w:rPr>
              <w:t>职称</w:t>
            </w:r>
            <w:bookmarkEnd w:id="111"/>
          </w:p>
        </w:tc>
        <w:tc>
          <w:tcPr>
            <w:tcW w:w="4592" w:type="dxa"/>
            <w:gridSpan w:val="4"/>
            <w:vAlign w:val="center"/>
          </w:tcPr>
          <w:p w14:paraId="4658BEF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2" w:name="_Toc251052189"/>
            <w:r>
              <w:rPr>
                <w:rFonts w:hint="default"/>
                <w:color w:val="auto"/>
                <w:sz w:val="21"/>
                <w:szCs w:val="21"/>
                <w:highlight w:val="none"/>
              </w:rPr>
              <w:t>执业或职业资格证明</w:t>
            </w:r>
            <w:bookmarkEnd w:id="112"/>
          </w:p>
        </w:tc>
        <w:tc>
          <w:tcPr>
            <w:tcW w:w="2126" w:type="dxa"/>
            <w:gridSpan w:val="2"/>
            <w:vAlign w:val="center"/>
          </w:tcPr>
          <w:p w14:paraId="3BFDAD2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3" w:name="_Toc251052190"/>
            <w:r>
              <w:rPr>
                <w:rFonts w:hint="default"/>
                <w:color w:val="auto"/>
                <w:sz w:val="21"/>
                <w:szCs w:val="21"/>
                <w:highlight w:val="none"/>
              </w:rPr>
              <w:t>承担完工</w:t>
            </w:r>
            <w:bookmarkEnd w:id="113"/>
            <w:bookmarkStart w:id="114" w:name="_Toc251052191"/>
            <w:r>
              <w:rPr>
                <w:rFonts w:hint="default"/>
                <w:color w:val="auto"/>
                <w:sz w:val="21"/>
                <w:szCs w:val="21"/>
                <w:highlight w:val="none"/>
              </w:rPr>
              <w:t>工程情况</w:t>
            </w:r>
            <w:bookmarkEnd w:id="114"/>
          </w:p>
        </w:tc>
      </w:tr>
      <w:tr w14:paraId="7E34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17E742A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29" w:type="dxa"/>
            <w:vMerge w:val="continue"/>
            <w:vAlign w:val="center"/>
          </w:tcPr>
          <w:p w14:paraId="5628446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Merge w:val="continue"/>
            <w:vAlign w:val="center"/>
          </w:tcPr>
          <w:p w14:paraId="7B14D4D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5844CB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5" w:name="_Toc251052192"/>
            <w:r>
              <w:rPr>
                <w:rFonts w:hint="default"/>
                <w:color w:val="auto"/>
                <w:sz w:val="21"/>
                <w:szCs w:val="21"/>
                <w:highlight w:val="none"/>
              </w:rPr>
              <w:t>证书名称</w:t>
            </w:r>
            <w:bookmarkEnd w:id="115"/>
          </w:p>
        </w:tc>
        <w:tc>
          <w:tcPr>
            <w:tcW w:w="1148" w:type="dxa"/>
            <w:vAlign w:val="center"/>
          </w:tcPr>
          <w:p w14:paraId="50F4929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6" w:name="_Toc251052193"/>
            <w:r>
              <w:rPr>
                <w:rFonts w:hint="default"/>
                <w:color w:val="auto"/>
                <w:sz w:val="21"/>
                <w:szCs w:val="21"/>
                <w:highlight w:val="none"/>
              </w:rPr>
              <w:t>级别</w:t>
            </w:r>
            <w:bookmarkEnd w:id="116"/>
          </w:p>
        </w:tc>
        <w:tc>
          <w:tcPr>
            <w:tcW w:w="1148" w:type="dxa"/>
            <w:vAlign w:val="center"/>
          </w:tcPr>
          <w:p w14:paraId="470C3E6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7" w:name="_Toc251052194"/>
            <w:r>
              <w:rPr>
                <w:rFonts w:hint="default"/>
                <w:color w:val="auto"/>
                <w:sz w:val="21"/>
                <w:szCs w:val="21"/>
                <w:highlight w:val="none"/>
              </w:rPr>
              <w:t>证号</w:t>
            </w:r>
            <w:bookmarkEnd w:id="117"/>
          </w:p>
        </w:tc>
        <w:tc>
          <w:tcPr>
            <w:tcW w:w="1148" w:type="dxa"/>
            <w:vAlign w:val="center"/>
          </w:tcPr>
          <w:p w14:paraId="30442BE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8" w:name="_Toc251052195"/>
            <w:r>
              <w:rPr>
                <w:rFonts w:hint="default"/>
                <w:color w:val="auto"/>
                <w:sz w:val="21"/>
                <w:szCs w:val="21"/>
                <w:highlight w:val="none"/>
              </w:rPr>
              <w:t>专业</w:t>
            </w:r>
            <w:bookmarkEnd w:id="118"/>
          </w:p>
        </w:tc>
        <w:tc>
          <w:tcPr>
            <w:tcW w:w="850" w:type="dxa"/>
            <w:vAlign w:val="center"/>
          </w:tcPr>
          <w:p w14:paraId="6AA366A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9" w:name="_Toc251052197"/>
            <w:r>
              <w:rPr>
                <w:rFonts w:hint="default"/>
                <w:color w:val="auto"/>
                <w:sz w:val="21"/>
                <w:szCs w:val="21"/>
                <w:highlight w:val="none"/>
              </w:rPr>
              <w:t>项目数</w:t>
            </w:r>
            <w:bookmarkEnd w:id="119"/>
          </w:p>
        </w:tc>
        <w:tc>
          <w:tcPr>
            <w:tcW w:w="1276" w:type="dxa"/>
            <w:vAlign w:val="center"/>
          </w:tcPr>
          <w:p w14:paraId="1B73F33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20" w:name="_Toc251052198"/>
            <w:r>
              <w:rPr>
                <w:rFonts w:hint="default"/>
                <w:color w:val="auto"/>
                <w:sz w:val="21"/>
                <w:szCs w:val="21"/>
                <w:highlight w:val="none"/>
              </w:rPr>
              <w:t>主要项目</w:t>
            </w:r>
          </w:p>
          <w:p w14:paraId="498F5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名称</w:t>
            </w:r>
            <w:bookmarkEnd w:id="120"/>
          </w:p>
        </w:tc>
      </w:tr>
      <w:tr w14:paraId="0383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28CDF09">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6AD944B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0D1276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ED520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110451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44B346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14490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1DBC38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6DB2AF5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ADE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91887BE">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741C7FC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10D4DD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00C977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E377D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3E0EC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CB43A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3171DE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68BE6AA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658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2EBEBE7">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77617EC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C1B1BA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97E8B3">
            <w:pPr>
              <w:keepNext w:val="0"/>
              <w:keepLines w:val="0"/>
              <w:suppressLineNumbers w:val="0"/>
              <w:shd w:val="clear"/>
              <w:spacing w:before="0" w:beforeAutospacing="0" w:after="0" w:afterAutospacing="0"/>
              <w:ind w:left="223" w:right="0" w:hanging="222" w:hangingChars="106"/>
              <w:jc w:val="center"/>
              <w:rPr>
                <w:rFonts w:hint="eastAsia" w:eastAsia="宋体"/>
                <w:color w:val="auto"/>
                <w:sz w:val="21"/>
                <w:szCs w:val="21"/>
                <w:highlight w:val="none"/>
                <w:lang w:val="en-US" w:eastAsia="zh-CN"/>
              </w:rPr>
            </w:pPr>
          </w:p>
        </w:tc>
        <w:tc>
          <w:tcPr>
            <w:tcW w:w="1148" w:type="dxa"/>
            <w:vAlign w:val="center"/>
          </w:tcPr>
          <w:p w14:paraId="1D7C9EC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13704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50876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F4F1A1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46B0D0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2284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A5BF764">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4648EA8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7389276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F36177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2EBFA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2A6FB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D33CA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665673C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FF8546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9A8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7B987B92">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7FA564F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7C5BF5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C881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1BBE16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C3F444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BD24CD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2723E5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7B1FDB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E11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E80EAA">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en-US" w:eastAsia="zh-CN" w:bidi="zh-CN"/>
              </w:rPr>
            </w:pPr>
            <w:r>
              <w:rPr>
                <w:rFonts w:hint="eastAsia" w:cs="宋体"/>
                <w:color w:val="auto"/>
                <w:kern w:val="2"/>
                <w:sz w:val="21"/>
                <w:szCs w:val="21"/>
                <w:highlight w:val="none"/>
                <w:lang w:val="en-US" w:eastAsia="zh-CN" w:bidi="zh-CN"/>
              </w:rPr>
              <w:t>资料员</w:t>
            </w:r>
          </w:p>
        </w:tc>
        <w:tc>
          <w:tcPr>
            <w:tcW w:w="829" w:type="dxa"/>
            <w:vAlign w:val="center"/>
          </w:tcPr>
          <w:p w14:paraId="6CFE5AB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BCC47B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4942E4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2FDAEA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418C32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31FA6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21DFFA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0F22E8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7B6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F646F6E">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其他人员</w:t>
            </w:r>
          </w:p>
        </w:tc>
        <w:tc>
          <w:tcPr>
            <w:tcW w:w="829" w:type="dxa"/>
            <w:vAlign w:val="center"/>
          </w:tcPr>
          <w:p w14:paraId="17CCACD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64D535E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065C76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FC7E65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AC38B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CDE266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3F9F0E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EC0C3F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23B4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FCD7866">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02F1CBB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A83500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DA845D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E1B20D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D38C51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E0CF02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CE764C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18F7EBE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56D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52D360B">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012A711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7FBA7A5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8304F5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F5402E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570140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FFBBD2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A7DCE1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649F82D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1C0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E47D214">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0E7D13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A87E8F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B6B3D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A96E5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AF814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0BE5E2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3E608C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E32258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799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7CD13F6F">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1013816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21E4D7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E15655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FF36A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5EE268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319D6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C40DDC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0AB086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AEA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924822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w:t>
            </w:r>
          </w:p>
        </w:tc>
        <w:tc>
          <w:tcPr>
            <w:tcW w:w="829" w:type="dxa"/>
            <w:vAlign w:val="center"/>
          </w:tcPr>
          <w:p w14:paraId="342142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7B4C05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2D9D2F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136BA2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A7FB03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6BF16F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B43CD0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49F884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8FA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3028087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bookmarkStart w:id="121" w:name="_Toc251052199"/>
            <w:r>
              <w:rPr>
                <w:rFonts w:hint="default"/>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21"/>
          </w:p>
        </w:tc>
      </w:tr>
    </w:tbl>
    <w:p w14:paraId="35305C28">
      <w:pPr>
        <w:shd w:val="clear"/>
        <w:tabs>
          <w:tab w:val="left" w:pos="0"/>
        </w:tabs>
        <w:spacing w:line="360" w:lineRule="auto"/>
        <w:ind w:right="-210"/>
        <w:rPr>
          <w:color w:val="auto"/>
          <w:sz w:val="21"/>
          <w:szCs w:val="21"/>
          <w:highlight w:val="none"/>
        </w:rPr>
      </w:pPr>
    </w:p>
    <w:p w14:paraId="2D9F5CE8">
      <w:pPr>
        <w:shd w:val="clea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143F7D0C">
      <w:pPr>
        <w:shd w:val="clear"/>
        <w:spacing w:line="360" w:lineRule="auto"/>
        <w:rPr>
          <w:rFonts w:eastAsia="楷体_GB2312"/>
          <w:color w:val="auto"/>
          <w:sz w:val="21"/>
          <w:szCs w:val="21"/>
          <w:highlight w:val="none"/>
        </w:rPr>
      </w:pPr>
    </w:p>
    <w:p w14:paraId="49D6671A">
      <w:pPr>
        <w:shd w:val="clea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0AD66072">
      <w:pPr>
        <w:pStyle w:val="38"/>
        <w:shd w:val="clear"/>
        <w:jc w:val="center"/>
        <w:outlineLvl w:val="0"/>
        <w:rPr>
          <w:b/>
          <w:color w:val="auto"/>
          <w:sz w:val="24"/>
          <w:highlight w:val="none"/>
        </w:rPr>
      </w:pPr>
      <w:bookmarkStart w:id="122" w:name="_Toc153274948"/>
      <w:bookmarkStart w:id="123" w:name="_Toc251052200"/>
      <w:bookmarkStart w:id="124" w:name="_Toc389065364"/>
      <w:bookmarkStart w:id="125" w:name="_Toc173579006"/>
      <w:bookmarkStart w:id="126" w:name="_Toc172364026"/>
      <w:bookmarkStart w:id="127" w:name="_Toc7001"/>
      <w:r>
        <w:rPr>
          <w:b/>
          <w:color w:val="auto"/>
          <w:sz w:val="24"/>
          <w:highlight w:val="none"/>
        </w:rPr>
        <w:t>2、项目经理（注册建造师）简历表</w:t>
      </w:r>
      <w:bookmarkEnd w:id="122"/>
      <w:bookmarkEnd w:id="123"/>
      <w:bookmarkEnd w:id="124"/>
      <w:bookmarkEnd w:id="125"/>
      <w:bookmarkEnd w:id="126"/>
      <w:bookmarkEnd w:id="127"/>
    </w:p>
    <w:p w14:paraId="2D7DD52C">
      <w:pPr>
        <w:pStyle w:val="38"/>
        <w:shd w:val="clear"/>
        <w:rPr>
          <w:color w:val="auto"/>
          <w:sz w:val="22"/>
          <w:szCs w:val="22"/>
          <w:highlight w:val="none"/>
          <w:u w:val="single"/>
        </w:rPr>
      </w:pPr>
    </w:p>
    <w:p w14:paraId="50BC60AB">
      <w:pPr>
        <w:pStyle w:val="38"/>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工程</w:t>
      </w:r>
    </w:p>
    <w:tbl>
      <w:tblPr>
        <w:tblStyle w:val="2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37E5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77D873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24E40F7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0E158B7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B96B7C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005A7F3C">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17B90AA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849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3B216AB0">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2EC4AD6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67A6C15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5182DE0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6DD334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28668A7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B23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5D3A644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66CF1C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7AD158F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担任项目经理年限</w:t>
            </w:r>
          </w:p>
        </w:tc>
        <w:tc>
          <w:tcPr>
            <w:tcW w:w="1276" w:type="dxa"/>
            <w:vAlign w:val="center"/>
          </w:tcPr>
          <w:p w14:paraId="4098A36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99B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46C9C94E">
            <w:pPr>
              <w:keepNext w:val="0"/>
              <w:keepLines w:val="0"/>
              <w:suppressLineNumbers w:val="0"/>
              <w:shd w:val="clear"/>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00D8FD9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5589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372837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7261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B9CC741">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095775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2A0D2C70">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12578B7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058EC29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2E1D9BA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10D9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2C5CAB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74D0073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132CF3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743D1C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8A2813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476DB3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1CB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F85F5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44D7F64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FB36E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9EE075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4B3B61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E7DC65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F66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F5EEF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61E54C2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93984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7EF31A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6EE49D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CF25B4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545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D47314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60E3C2E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C75750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BE802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42ACE6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0A0809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38FDD1E9">
      <w:pPr>
        <w:shd w:val="clear"/>
        <w:spacing w:line="360" w:lineRule="auto"/>
        <w:rPr>
          <w:color w:val="auto"/>
          <w:sz w:val="21"/>
          <w:szCs w:val="22"/>
          <w:highlight w:val="none"/>
        </w:rPr>
      </w:pPr>
    </w:p>
    <w:p w14:paraId="64A3CD68">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4B01269B">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460EC38A">
      <w:pPr>
        <w:shd w:val="clear"/>
        <w:spacing w:beforeLines="50"/>
        <w:ind w:firstLine="420" w:firstLineChars="200"/>
        <w:rPr>
          <w:rFonts w:eastAsia="楷体_GB2312"/>
          <w:color w:val="auto"/>
          <w:sz w:val="21"/>
          <w:szCs w:val="21"/>
          <w:highlight w:val="none"/>
        </w:rPr>
      </w:pPr>
    </w:p>
    <w:p w14:paraId="2C160373">
      <w:pPr>
        <w:shd w:val="clear"/>
        <w:spacing w:line="360" w:lineRule="auto"/>
        <w:ind w:firstLine="525" w:firstLineChars="250"/>
        <w:rPr>
          <w:color w:val="auto"/>
          <w:sz w:val="21"/>
          <w:szCs w:val="21"/>
          <w:highlight w:val="none"/>
        </w:rPr>
      </w:pPr>
    </w:p>
    <w:p w14:paraId="1A4ADB2C">
      <w:pPr>
        <w:shd w:val="clea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109A2018">
      <w:pPr>
        <w:shd w:val="clear"/>
        <w:spacing w:line="360" w:lineRule="auto"/>
        <w:ind w:firstLine="500" w:firstLineChars="250"/>
        <w:rPr>
          <w:color w:val="auto"/>
          <w:highlight w:val="none"/>
        </w:rPr>
      </w:pPr>
    </w:p>
    <w:p w14:paraId="06F476D1">
      <w:pPr>
        <w:pStyle w:val="38"/>
        <w:shd w:val="clear"/>
        <w:jc w:val="center"/>
        <w:outlineLvl w:val="0"/>
        <w:rPr>
          <w:b/>
          <w:color w:val="auto"/>
          <w:sz w:val="24"/>
          <w:highlight w:val="none"/>
        </w:rPr>
      </w:pPr>
      <w:bookmarkStart w:id="128" w:name="_Toc172364027"/>
      <w:bookmarkStart w:id="129" w:name="_Toc251052219"/>
      <w:bookmarkStart w:id="130" w:name="_Toc8504"/>
      <w:bookmarkStart w:id="131" w:name="_Toc153274949"/>
      <w:bookmarkStart w:id="132" w:name="_Toc389065365"/>
      <w:bookmarkStart w:id="133" w:name="_Toc173579007"/>
      <w:r>
        <w:rPr>
          <w:rFonts w:hint="eastAsia"/>
          <w:b/>
          <w:color w:val="auto"/>
          <w:sz w:val="24"/>
          <w:highlight w:val="none"/>
          <w:lang w:val="en-US" w:eastAsia="zh-CN"/>
        </w:rPr>
        <w:t>三</w:t>
      </w:r>
      <w:r>
        <w:rPr>
          <w:b/>
          <w:color w:val="auto"/>
          <w:sz w:val="24"/>
          <w:highlight w:val="none"/>
        </w:rPr>
        <w:t>、项目技术负责人简历表</w:t>
      </w:r>
      <w:bookmarkEnd w:id="128"/>
      <w:bookmarkEnd w:id="129"/>
      <w:bookmarkEnd w:id="130"/>
      <w:bookmarkEnd w:id="131"/>
      <w:bookmarkEnd w:id="132"/>
      <w:bookmarkEnd w:id="133"/>
    </w:p>
    <w:p w14:paraId="014C5780">
      <w:pPr>
        <w:pStyle w:val="38"/>
        <w:shd w:val="clear"/>
        <w:rPr>
          <w:color w:val="auto"/>
          <w:highlight w:val="none"/>
          <w:u w:val="single"/>
        </w:rPr>
      </w:pPr>
    </w:p>
    <w:p w14:paraId="58ADBA3B">
      <w:pPr>
        <w:pStyle w:val="38"/>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p>
    <w:tbl>
      <w:tblPr>
        <w:tblStyle w:val="2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3DC6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C325996">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188E7D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5A0AC3F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3763D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71280AA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2088FE1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B0E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5DA29F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31EE28C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40DF3FE8">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0BAA05F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ADD1BB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67A46FF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73F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242B76F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BDA9C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7D28FB0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w:t>
            </w:r>
            <w:r>
              <w:rPr>
                <w:rFonts w:hint="eastAsia"/>
                <w:color w:val="auto"/>
                <w:sz w:val="21"/>
                <w:szCs w:val="21"/>
                <w:highlight w:val="none"/>
              </w:rPr>
              <w:t>技术负责人</w:t>
            </w:r>
            <w:r>
              <w:rPr>
                <w:rFonts w:hint="default"/>
                <w:color w:val="auto"/>
                <w:sz w:val="21"/>
                <w:szCs w:val="21"/>
                <w:highlight w:val="none"/>
              </w:rPr>
              <w:t>年限</w:t>
            </w:r>
          </w:p>
        </w:tc>
        <w:tc>
          <w:tcPr>
            <w:tcW w:w="1276" w:type="dxa"/>
            <w:vAlign w:val="center"/>
          </w:tcPr>
          <w:p w14:paraId="06BFD88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6A6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2B8ADF7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1C9A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8824B7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59E104D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1F0C8F9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69C181F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739E2AB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4EA2846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6A49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4714D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61E7133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3882B7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7F2C35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E33ED7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0B54E1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394A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8E61F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33D52EB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3DBAEE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2F4824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286599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3EE3499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6E7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213D1C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0FE3584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7EBCBDA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461827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DFC3BD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4C0961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4FE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4685C84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1416A1C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EBA2F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3A5C11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7F2ECE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F315C1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6EA47A76">
      <w:pPr>
        <w:shd w:val="clear"/>
        <w:spacing w:line="360" w:lineRule="auto"/>
        <w:rPr>
          <w:color w:val="auto"/>
          <w:sz w:val="21"/>
          <w:szCs w:val="22"/>
          <w:highlight w:val="none"/>
        </w:rPr>
      </w:pPr>
    </w:p>
    <w:p w14:paraId="5F6488D1">
      <w:pPr>
        <w:shd w:val="clear"/>
        <w:spacing w:line="360" w:lineRule="auto"/>
        <w:rPr>
          <w:rFonts w:eastAsia="楷体_GB2312"/>
          <w:color w:val="auto"/>
          <w:sz w:val="21"/>
          <w:szCs w:val="21"/>
          <w:highlight w:val="none"/>
        </w:rPr>
      </w:pPr>
      <w:r>
        <w:rPr>
          <w:rFonts w:eastAsia="楷体_GB2312"/>
          <w:color w:val="auto"/>
          <w:sz w:val="21"/>
          <w:szCs w:val="21"/>
          <w:highlight w:val="none"/>
        </w:rPr>
        <w:t>备注：</w:t>
      </w:r>
    </w:p>
    <w:p w14:paraId="560B38EF">
      <w:pPr>
        <w:shd w:val="clea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1443B09B">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以外的其他单位完成的工程项目，其相关证明材料不需提供复印件。</w:t>
      </w:r>
    </w:p>
    <w:p w14:paraId="11157460">
      <w:pPr>
        <w:shd w:val="clear"/>
        <w:rPr>
          <w:color w:val="auto"/>
          <w:sz w:val="21"/>
          <w:szCs w:val="21"/>
          <w:highlight w:val="none"/>
        </w:rPr>
      </w:pPr>
    </w:p>
    <w:p w14:paraId="7441217C">
      <w:pPr>
        <w:shd w:val="clear"/>
        <w:rPr>
          <w:color w:val="auto"/>
          <w:sz w:val="21"/>
          <w:szCs w:val="21"/>
          <w:highlight w:val="none"/>
        </w:rPr>
      </w:pPr>
    </w:p>
    <w:p w14:paraId="357CC8EB">
      <w:pPr>
        <w:pStyle w:val="34"/>
        <w:shd w:val="clear"/>
        <w:spacing w:line="360" w:lineRule="auto"/>
        <w:rPr>
          <w:rFonts w:ascii="宋体" w:hAnsi="宋体"/>
          <w:b/>
          <w:color w:val="auto"/>
          <w:sz w:val="32"/>
          <w:szCs w:val="32"/>
          <w:highlight w:val="none"/>
        </w:rPr>
      </w:pPr>
    </w:p>
    <w:p w14:paraId="4C9119F0">
      <w:pPr>
        <w:pStyle w:val="35"/>
        <w:rPr>
          <w:rFonts w:ascii="宋体" w:hAnsi="宋体"/>
          <w:b/>
          <w:color w:val="auto"/>
          <w:sz w:val="32"/>
          <w:szCs w:val="32"/>
          <w:highlight w:val="none"/>
        </w:rPr>
      </w:pPr>
    </w:p>
    <w:p w14:paraId="35430190">
      <w:pPr>
        <w:pStyle w:val="34"/>
        <w:rPr>
          <w:rFonts w:ascii="宋体" w:hAnsi="宋体"/>
          <w:b/>
          <w:color w:val="auto"/>
          <w:sz w:val="32"/>
          <w:szCs w:val="32"/>
          <w:highlight w:val="none"/>
        </w:rPr>
      </w:pPr>
    </w:p>
    <w:p w14:paraId="038563D8">
      <w:pPr>
        <w:pStyle w:val="35"/>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三、供应商认为有必要提供的声明及其他证明材料</w:t>
      </w:r>
    </w:p>
    <w:p w14:paraId="24FFB907">
      <w:pPr>
        <w:pStyle w:val="34"/>
        <w:shd w:val="clear"/>
        <w:spacing w:line="360" w:lineRule="auto"/>
        <w:jc w:val="center"/>
        <w:rPr>
          <w:rFonts w:ascii="宋体" w:hAnsi="宋体"/>
          <w:b/>
          <w:color w:val="auto"/>
          <w:sz w:val="32"/>
          <w:szCs w:val="32"/>
          <w:highlight w:val="none"/>
        </w:rPr>
      </w:pPr>
    </w:p>
    <w:p w14:paraId="43BCC651">
      <w:pPr>
        <w:pStyle w:val="35"/>
        <w:shd w:val="clear"/>
        <w:rPr>
          <w:rFonts w:ascii="宋体" w:hAnsi="宋体"/>
          <w:b/>
          <w:color w:val="auto"/>
          <w:sz w:val="32"/>
          <w:szCs w:val="32"/>
          <w:highlight w:val="none"/>
        </w:rPr>
      </w:pPr>
    </w:p>
    <w:p w14:paraId="3E024EE1">
      <w:pPr>
        <w:pStyle w:val="34"/>
        <w:shd w:val="clear"/>
        <w:rPr>
          <w:rFonts w:ascii="宋体" w:hAnsi="宋体"/>
          <w:b/>
          <w:color w:val="auto"/>
          <w:sz w:val="28"/>
          <w:szCs w:val="28"/>
          <w:highlight w:val="none"/>
        </w:rPr>
      </w:pPr>
    </w:p>
    <w:p w14:paraId="6CD7AAE6">
      <w:pPr>
        <w:pStyle w:val="35"/>
        <w:shd w:val="clear"/>
        <w:rPr>
          <w:rFonts w:ascii="宋体" w:hAnsi="宋体"/>
          <w:b/>
          <w:color w:val="auto"/>
          <w:sz w:val="28"/>
          <w:szCs w:val="28"/>
          <w:highlight w:val="none"/>
        </w:rPr>
      </w:pPr>
    </w:p>
    <w:p w14:paraId="15BBEF1A">
      <w:pPr>
        <w:shd w:val="clear"/>
        <w:spacing w:line="360" w:lineRule="auto"/>
        <w:jc w:val="center"/>
        <w:outlineLvl w:val="0"/>
        <w:rPr>
          <w:rFonts w:ascii="宋体" w:hAnsi="宋体"/>
          <w:b/>
          <w:color w:val="auto"/>
          <w:sz w:val="36"/>
          <w:highlight w:val="none"/>
        </w:rPr>
      </w:pPr>
      <w:bookmarkStart w:id="134" w:name="_Toc26801"/>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4"/>
    </w:p>
    <w:p w14:paraId="2BEB85FA">
      <w:pPr>
        <w:shd w:val="clear"/>
        <w:spacing w:line="360" w:lineRule="auto"/>
        <w:jc w:val="center"/>
        <w:rPr>
          <w:rFonts w:ascii="宋体" w:hAnsi="宋体"/>
          <w:color w:val="auto"/>
          <w:highlight w:val="none"/>
        </w:rPr>
      </w:pPr>
    </w:p>
    <w:p w14:paraId="0541DBD2">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（注：1、本合同书供签订正式合同时参考用，正式合同书应包括此参考格式之内容。</w:t>
      </w:r>
    </w:p>
    <w:p w14:paraId="19125ED0">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2、合同签订双方可根据项目的具体要求进行修订，但合同条款不得与采购文件和成交供应商响应文件有实质性偏离。）</w:t>
      </w:r>
    </w:p>
    <w:p w14:paraId="691E96AB">
      <w:pPr>
        <w:shd w:val="clear"/>
        <w:spacing w:line="400" w:lineRule="exact"/>
        <w:jc w:val="center"/>
        <w:rPr>
          <w:rFonts w:hint="eastAsia" w:ascii="宋体" w:hAnsi="宋体" w:cs="宋体"/>
          <w:color w:val="auto"/>
          <w:highlight w:val="none"/>
        </w:rPr>
      </w:pPr>
    </w:p>
    <w:p w14:paraId="71E254C7">
      <w:pPr>
        <w:pStyle w:val="15"/>
        <w:shd w:val="clear"/>
        <w:rPr>
          <w:rFonts w:hint="eastAsia" w:ascii="宋体" w:hAnsi="宋体" w:cs="宋体"/>
          <w:color w:val="auto"/>
          <w:highlight w:val="none"/>
        </w:rPr>
      </w:pPr>
    </w:p>
    <w:p w14:paraId="288304EA">
      <w:pPr>
        <w:shd w:val="clear"/>
        <w:rPr>
          <w:rFonts w:hint="eastAsia" w:ascii="宋体" w:hAnsi="宋体" w:cs="宋体"/>
          <w:color w:val="auto"/>
          <w:highlight w:val="none"/>
        </w:rPr>
      </w:pPr>
    </w:p>
    <w:p w14:paraId="20754F75">
      <w:pPr>
        <w:pStyle w:val="15"/>
        <w:shd w:val="clear"/>
        <w:rPr>
          <w:rFonts w:hint="eastAsia" w:ascii="宋体" w:hAnsi="宋体" w:cs="宋体"/>
          <w:color w:val="auto"/>
          <w:highlight w:val="none"/>
        </w:rPr>
      </w:pPr>
    </w:p>
    <w:p w14:paraId="659783C1">
      <w:pPr>
        <w:shd w:val="clear"/>
        <w:rPr>
          <w:rFonts w:hint="eastAsia" w:ascii="宋体" w:hAnsi="宋体" w:cs="宋体"/>
          <w:color w:val="auto"/>
          <w:highlight w:val="none"/>
        </w:rPr>
      </w:pPr>
    </w:p>
    <w:p w14:paraId="3F167AB6">
      <w:pPr>
        <w:pStyle w:val="15"/>
        <w:shd w:val="clear"/>
        <w:rPr>
          <w:rFonts w:hint="eastAsia" w:ascii="宋体" w:hAnsi="宋体" w:cs="宋体"/>
          <w:color w:val="auto"/>
          <w:highlight w:val="none"/>
        </w:rPr>
      </w:pPr>
    </w:p>
    <w:p w14:paraId="2302CF3A">
      <w:pPr>
        <w:shd w:val="clear"/>
        <w:rPr>
          <w:rFonts w:hint="eastAsia" w:ascii="宋体" w:hAnsi="宋体" w:cs="宋体"/>
          <w:color w:val="auto"/>
          <w:highlight w:val="none"/>
        </w:rPr>
      </w:pPr>
    </w:p>
    <w:p w14:paraId="7F0F7509">
      <w:pPr>
        <w:pStyle w:val="15"/>
        <w:shd w:val="clear"/>
        <w:rPr>
          <w:rFonts w:hint="eastAsia" w:ascii="宋体" w:hAnsi="宋体" w:cs="宋体"/>
          <w:color w:val="auto"/>
          <w:highlight w:val="none"/>
        </w:rPr>
      </w:pPr>
    </w:p>
    <w:p w14:paraId="5C1F134A">
      <w:pPr>
        <w:shd w:val="clear"/>
        <w:rPr>
          <w:rFonts w:hint="eastAsia" w:ascii="宋体" w:hAnsi="宋体" w:cs="宋体"/>
          <w:color w:val="auto"/>
          <w:highlight w:val="none"/>
        </w:rPr>
      </w:pPr>
    </w:p>
    <w:p w14:paraId="54A60468">
      <w:pPr>
        <w:pStyle w:val="15"/>
        <w:shd w:val="clear"/>
        <w:rPr>
          <w:rFonts w:hint="eastAsia" w:ascii="宋体" w:hAnsi="宋体" w:cs="宋体"/>
          <w:color w:val="auto"/>
          <w:highlight w:val="none"/>
        </w:rPr>
      </w:pPr>
    </w:p>
    <w:p w14:paraId="1D06F8E1">
      <w:pPr>
        <w:shd w:val="clear"/>
        <w:rPr>
          <w:rFonts w:hint="eastAsia" w:ascii="宋体" w:hAnsi="宋体" w:cs="宋体"/>
          <w:color w:val="auto"/>
          <w:highlight w:val="none"/>
        </w:rPr>
      </w:pPr>
    </w:p>
    <w:p w14:paraId="4E157AB4">
      <w:pPr>
        <w:pStyle w:val="15"/>
        <w:shd w:val="clear"/>
        <w:rPr>
          <w:rFonts w:hint="eastAsia" w:ascii="宋体" w:hAnsi="宋体" w:cs="宋体"/>
          <w:color w:val="auto"/>
          <w:highlight w:val="none"/>
        </w:rPr>
      </w:pPr>
    </w:p>
    <w:p w14:paraId="469D7B0C">
      <w:pPr>
        <w:shd w:val="clear"/>
        <w:rPr>
          <w:rFonts w:hint="eastAsia" w:ascii="宋体" w:hAnsi="宋体" w:cs="宋体"/>
          <w:color w:val="auto"/>
          <w:highlight w:val="none"/>
        </w:rPr>
      </w:pPr>
    </w:p>
    <w:p w14:paraId="61090C2A">
      <w:pPr>
        <w:pStyle w:val="15"/>
        <w:shd w:val="clear"/>
        <w:rPr>
          <w:rFonts w:hint="eastAsia" w:ascii="宋体" w:hAnsi="宋体" w:cs="宋体"/>
          <w:color w:val="auto"/>
          <w:highlight w:val="none"/>
        </w:rPr>
      </w:pPr>
    </w:p>
    <w:p w14:paraId="0CD92FAA">
      <w:pPr>
        <w:shd w:val="clear"/>
        <w:rPr>
          <w:rFonts w:hint="eastAsia" w:ascii="宋体" w:hAnsi="宋体" w:cs="宋体"/>
          <w:color w:val="auto"/>
          <w:highlight w:val="none"/>
        </w:rPr>
      </w:pPr>
    </w:p>
    <w:p w14:paraId="29369B0A">
      <w:pPr>
        <w:pStyle w:val="15"/>
        <w:shd w:val="clear"/>
        <w:rPr>
          <w:rFonts w:hint="eastAsia" w:ascii="宋体" w:hAnsi="宋体" w:cs="宋体"/>
          <w:color w:val="auto"/>
          <w:highlight w:val="none"/>
        </w:rPr>
      </w:pPr>
    </w:p>
    <w:p w14:paraId="5CC41196">
      <w:pPr>
        <w:shd w:val="clear"/>
        <w:rPr>
          <w:rFonts w:hint="eastAsia" w:ascii="宋体" w:hAnsi="宋体" w:cs="宋体"/>
          <w:color w:val="auto"/>
          <w:highlight w:val="none"/>
        </w:rPr>
      </w:pPr>
    </w:p>
    <w:p w14:paraId="364FB332">
      <w:pPr>
        <w:pStyle w:val="15"/>
        <w:shd w:val="clear"/>
        <w:rPr>
          <w:rFonts w:hint="eastAsia" w:ascii="宋体" w:hAnsi="宋体" w:cs="宋体"/>
          <w:color w:val="auto"/>
          <w:highlight w:val="none"/>
        </w:rPr>
      </w:pPr>
    </w:p>
    <w:p w14:paraId="1E3E484D">
      <w:pPr>
        <w:shd w:val="clear"/>
        <w:rPr>
          <w:rFonts w:hint="eastAsia" w:ascii="宋体" w:hAnsi="宋体" w:cs="宋体"/>
          <w:color w:val="auto"/>
          <w:highlight w:val="none"/>
        </w:rPr>
      </w:pPr>
    </w:p>
    <w:p w14:paraId="57D3D837">
      <w:pPr>
        <w:pStyle w:val="15"/>
        <w:shd w:val="clear"/>
        <w:rPr>
          <w:rFonts w:hint="eastAsia" w:ascii="宋体" w:hAnsi="宋体" w:cs="宋体"/>
          <w:color w:val="auto"/>
          <w:highlight w:val="none"/>
        </w:rPr>
      </w:pPr>
    </w:p>
    <w:p w14:paraId="43765962">
      <w:pPr>
        <w:shd w:val="clear"/>
        <w:rPr>
          <w:rFonts w:hint="eastAsia" w:ascii="宋体" w:hAnsi="宋体" w:cs="宋体"/>
          <w:color w:val="auto"/>
          <w:highlight w:val="none"/>
        </w:rPr>
      </w:pPr>
    </w:p>
    <w:p w14:paraId="1CC1EE99">
      <w:pPr>
        <w:pStyle w:val="15"/>
        <w:shd w:val="clear"/>
        <w:rPr>
          <w:rFonts w:hint="eastAsia" w:ascii="宋体" w:hAnsi="宋体" w:cs="宋体"/>
          <w:color w:val="auto"/>
          <w:highlight w:val="none"/>
        </w:rPr>
      </w:pPr>
    </w:p>
    <w:p w14:paraId="1500B27B">
      <w:pPr>
        <w:shd w:val="clear"/>
        <w:rPr>
          <w:rFonts w:hint="eastAsia" w:ascii="宋体" w:hAnsi="宋体" w:cs="宋体"/>
          <w:color w:val="auto"/>
          <w:highlight w:val="none"/>
        </w:rPr>
      </w:pPr>
    </w:p>
    <w:p w14:paraId="5124B567">
      <w:pPr>
        <w:pStyle w:val="15"/>
        <w:shd w:val="clear"/>
        <w:rPr>
          <w:rFonts w:hint="eastAsia" w:ascii="宋体" w:hAnsi="宋体" w:cs="宋体"/>
          <w:color w:val="auto"/>
          <w:highlight w:val="none"/>
        </w:rPr>
      </w:pPr>
    </w:p>
    <w:p w14:paraId="4A1FA85B">
      <w:pPr>
        <w:shd w:val="clear"/>
        <w:rPr>
          <w:rFonts w:hint="eastAsia" w:ascii="宋体" w:hAnsi="宋体" w:cs="宋体"/>
          <w:color w:val="auto"/>
          <w:highlight w:val="none"/>
        </w:rPr>
      </w:pPr>
    </w:p>
    <w:p w14:paraId="6DB4296D">
      <w:pPr>
        <w:pStyle w:val="15"/>
        <w:shd w:val="clear"/>
        <w:rPr>
          <w:rFonts w:hint="eastAsia" w:ascii="宋体" w:hAnsi="宋体" w:cs="宋体"/>
          <w:color w:val="auto"/>
          <w:highlight w:val="none"/>
        </w:rPr>
      </w:pPr>
    </w:p>
    <w:p w14:paraId="2FF6DEF5">
      <w:pPr>
        <w:shd w:val="clear"/>
        <w:rPr>
          <w:rFonts w:hint="eastAsia" w:ascii="宋体" w:hAnsi="宋体" w:cs="宋体"/>
          <w:color w:val="auto"/>
          <w:highlight w:val="none"/>
        </w:rPr>
      </w:pPr>
    </w:p>
    <w:p w14:paraId="6A15AAE6">
      <w:pPr>
        <w:pStyle w:val="15"/>
        <w:shd w:val="clear"/>
        <w:rPr>
          <w:rFonts w:hint="eastAsia" w:ascii="宋体" w:hAnsi="宋体" w:cs="宋体"/>
          <w:color w:val="auto"/>
          <w:highlight w:val="none"/>
        </w:rPr>
      </w:pPr>
    </w:p>
    <w:p w14:paraId="739613E2">
      <w:pPr>
        <w:shd w:val="clear"/>
        <w:rPr>
          <w:rFonts w:hint="eastAsia" w:ascii="宋体" w:hAnsi="宋体" w:cs="宋体"/>
          <w:color w:val="auto"/>
          <w:highlight w:val="none"/>
        </w:rPr>
      </w:pPr>
    </w:p>
    <w:p w14:paraId="521AEAC5">
      <w:pPr>
        <w:pStyle w:val="31"/>
        <w:shd w:val="clear"/>
        <w:rPr>
          <w:rFonts w:hint="eastAsia" w:ascii="宋体" w:hAnsi="宋体" w:cs="宋体"/>
          <w:color w:val="auto"/>
          <w:highlight w:val="none"/>
        </w:rPr>
      </w:pPr>
    </w:p>
    <w:p w14:paraId="381D2815">
      <w:pPr>
        <w:pStyle w:val="31"/>
        <w:shd w:val="clear"/>
        <w:rPr>
          <w:rFonts w:hint="eastAsia" w:ascii="宋体" w:hAnsi="宋体" w:cs="宋体"/>
          <w:color w:val="auto"/>
          <w:highlight w:val="none"/>
        </w:rPr>
      </w:pPr>
    </w:p>
    <w:p w14:paraId="2F647B18">
      <w:pPr>
        <w:pStyle w:val="31"/>
        <w:shd w:val="clear"/>
        <w:rPr>
          <w:rFonts w:hint="eastAsia" w:ascii="宋体" w:hAnsi="宋体" w:cs="宋体"/>
          <w:color w:val="auto"/>
          <w:highlight w:val="none"/>
        </w:rPr>
      </w:pPr>
    </w:p>
    <w:p w14:paraId="5ED82F42">
      <w:pPr>
        <w:pStyle w:val="31"/>
        <w:shd w:val="clear"/>
        <w:rPr>
          <w:rFonts w:hint="eastAsia" w:ascii="宋体" w:hAnsi="宋体" w:cs="宋体"/>
          <w:color w:val="auto"/>
          <w:highlight w:val="none"/>
        </w:rPr>
      </w:pPr>
    </w:p>
    <w:p w14:paraId="7DAC096A">
      <w:pPr>
        <w:pStyle w:val="31"/>
        <w:shd w:val="clear"/>
        <w:rPr>
          <w:rFonts w:hint="eastAsia" w:ascii="宋体" w:hAnsi="宋体" w:cs="宋体"/>
          <w:color w:val="auto"/>
          <w:highlight w:val="none"/>
        </w:rPr>
      </w:pPr>
    </w:p>
    <w:p w14:paraId="7786016E">
      <w:pPr>
        <w:pStyle w:val="31"/>
        <w:shd w:val="clear"/>
        <w:rPr>
          <w:rFonts w:hint="eastAsia" w:ascii="宋体" w:hAnsi="宋体" w:cs="宋体"/>
          <w:color w:val="auto"/>
          <w:highlight w:val="none"/>
        </w:rPr>
      </w:pPr>
    </w:p>
    <w:p w14:paraId="59A23FF8">
      <w:pPr>
        <w:pStyle w:val="31"/>
        <w:shd w:val="clear"/>
        <w:rPr>
          <w:rFonts w:hint="eastAsia" w:ascii="宋体" w:hAnsi="宋体" w:cs="宋体"/>
          <w:color w:val="auto"/>
          <w:highlight w:val="none"/>
        </w:rPr>
      </w:pPr>
    </w:p>
    <w:p w14:paraId="6F92F697">
      <w:pPr>
        <w:pStyle w:val="31"/>
        <w:shd w:val="clear"/>
        <w:rPr>
          <w:rFonts w:hint="eastAsia" w:ascii="宋体" w:hAnsi="宋体" w:cs="宋体"/>
          <w:color w:val="auto"/>
          <w:highlight w:val="none"/>
        </w:rPr>
      </w:pPr>
    </w:p>
    <w:p w14:paraId="2A2F9AEB">
      <w:pPr>
        <w:pStyle w:val="31"/>
        <w:shd w:val="clear"/>
        <w:rPr>
          <w:rFonts w:hint="eastAsia" w:ascii="宋体" w:hAnsi="宋体" w:cs="宋体"/>
          <w:color w:val="auto"/>
          <w:highlight w:val="none"/>
        </w:rPr>
      </w:pPr>
    </w:p>
    <w:p w14:paraId="093B9124">
      <w:pPr>
        <w:pStyle w:val="31"/>
        <w:shd w:val="clear"/>
        <w:rPr>
          <w:rFonts w:hint="eastAsia" w:ascii="宋体" w:hAnsi="宋体" w:cs="宋体"/>
          <w:color w:val="auto"/>
          <w:highlight w:val="none"/>
        </w:rPr>
      </w:pPr>
    </w:p>
    <w:p w14:paraId="06F6426F">
      <w:pPr>
        <w:pStyle w:val="31"/>
        <w:shd w:val="clear"/>
        <w:rPr>
          <w:rFonts w:hint="eastAsia" w:ascii="宋体" w:hAnsi="宋体" w:cs="宋体"/>
          <w:color w:val="auto"/>
          <w:highlight w:val="none"/>
        </w:rPr>
      </w:pPr>
    </w:p>
    <w:p w14:paraId="3CF0DAF2">
      <w:pPr>
        <w:pStyle w:val="31"/>
        <w:shd w:val="clear"/>
        <w:rPr>
          <w:rFonts w:hint="eastAsia" w:ascii="宋体" w:hAnsi="宋体" w:cs="宋体"/>
          <w:color w:val="auto"/>
          <w:highlight w:val="none"/>
        </w:rPr>
      </w:pPr>
    </w:p>
    <w:p w14:paraId="03FBA969">
      <w:pPr>
        <w:pStyle w:val="31"/>
        <w:shd w:val="clear"/>
        <w:rPr>
          <w:rFonts w:hint="eastAsia" w:ascii="宋体" w:hAnsi="宋体" w:cs="宋体"/>
          <w:color w:val="auto"/>
          <w:highlight w:val="none"/>
        </w:rPr>
      </w:pPr>
    </w:p>
    <w:p w14:paraId="5308C41C">
      <w:pPr>
        <w:pStyle w:val="31"/>
        <w:shd w:val="clear"/>
        <w:rPr>
          <w:rFonts w:hint="eastAsia" w:ascii="宋体" w:hAnsi="宋体" w:cs="宋体"/>
          <w:color w:val="auto"/>
          <w:highlight w:val="none"/>
        </w:rPr>
      </w:pPr>
    </w:p>
    <w:p w14:paraId="7D6C3C2F">
      <w:pPr>
        <w:pStyle w:val="31"/>
        <w:shd w:val="clear"/>
        <w:rPr>
          <w:rFonts w:hint="eastAsia" w:ascii="宋体" w:hAnsi="宋体" w:cs="宋体"/>
          <w:color w:val="auto"/>
          <w:highlight w:val="none"/>
        </w:rPr>
      </w:pPr>
    </w:p>
    <w:p w14:paraId="250210F4">
      <w:pPr>
        <w:pStyle w:val="31"/>
        <w:shd w:val="clear"/>
        <w:rPr>
          <w:rFonts w:hint="eastAsia" w:ascii="宋体" w:hAnsi="宋体" w:cs="宋体"/>
          <w:color w:val="auto"/>
          <w:highlight w:val="none"/>
        </w:rPr>
      </w:pPr>
    </w:p>
    <w:p w14:paraId="2079A664">
      <w:pPr>
        <w:pStyle w:val="31"/>
        <w:shd w:val="clear"/>
        <w:rPr>
          <w:rFonts w:hint="eastAsia" w:ascii="宋体" w:hAnsi="宋体" w:cs="宋体"/>
          <w:color w:val="auto"/>
          <w:highlight w:val="none"/>
        </w:rPr>
      </w:pPr>
    </w:p>
    <w:p w14:paraId="50BF0A1D">
      <w:pPr>
        <w:pStyle w:val="31"/>
        <w:shd w:val="clear"/>
        <w:rPr>
          <w:rFonts w:hint="eastAsia" w:ascii="宋体" w:hAnsi="宋体" w:cs="宋体"/>
          <w:color w:val="auto"/>
          <w:highlight w:val="none"/>
        </w:rPr>
      </w:pPr>
    </w:p>
    <w:p w14:paraId="61DCFB2B">
      <w:pPr>
        <w:pStyle w:val="31"/>
        <w:shd w:val="clear"/>
        <w:rPr>
          <w:rFonts w:hint="eastAsia" w:ascii="宋体" w:hAnsi="宋体" w:cs="宋体"/>
          <w:color w:val="auto"/>
          <w:highlight w:val="none"/>
        </w:rPr>
      </w:pPr>
    </w:p>
    <w:p w14:paraId="00BB6AAD">
      <w:pPr>
        <w:pStyle w:val="31"/>
        <w:shd w:val="clear"/>
        <w:rPr>
          <w:rFonts w:hint="eastAsia" w:ascii="宋体" w:hAnsi="宋体" w:cs="宋体"/>
          <w:color w:val="auto"/>
          <w:sz w:val="22"/>
          <w:szCs w:val="18"/>
          <w:highlight w:val="none"/>
        </w:rPr>
      </w:pPr>
    </w:p>
    <w:p w14:paraId="166A9C4F">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32"/>
          <w:szCs w:val="32"/>
          <w:highlight w:val="none"/>
        </w:rPr>
      </w:pPr>
      <w:r>
        <w:rPr>
          <w:rFonts w:hint="eastAsia" w:ascii="宋体" w:hAnsi="宋体" w:cs="宋体"/>
          <w:b/>
          <w:bCs w:val="0"/>
          <w:color w:val="auto"/>
          <w:kern w:val="0"/>
          <w:sz w:val="32"/>
          <w:szCs w:val="32"/>
          <w:highlight w:val="none"/>
          <w:lang w:val="en-US" w:eastAsia="zh-CN" w:bidi="ar"/>
        </w:rPr>
        <w:t>石景林街道卜利村旧村屯排污排水项目</w:t>
      </w:r>
    </w:p>
    <w:p w14:paraId="36947C12">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2A746087">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1282BD7C">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22322F0B">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64B911E3">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建设工程施工合同</w:t>
      </w:r>
    </w:p>
    <w:p w14:paraId="5707F151">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1491B45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4BD00DA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0C903DFF">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773D2D2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742380CF">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050EF0FB">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24"/>
          <w:szCs w:val="24"/>
          <w:highlight w:val="none"/>
        </w:rPr>
      </w:pPr>
    </w:p>
    <w:p w14:paraId="75EEC02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C2106B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06184A50">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A68B06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2"/>
          <w:szCs w:val="32"/>
          <w:highlight w:val="none"/>
        </w:rPr>
      </w:pPr>
    </w:p>
    <w:p w14:paraId="09A54A4F">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6"/>
          <w:szCs w:val="36"/>
          <w:highlight w:val="none"/>
        </w:rPr>
      </w:pPr>
    </w:p>
    <w:p w14:paraId="3656B1D0">
      <w:pPr>
        <w:keepNext w:val="0"/>
        <w:keepLines w:val="0"/>
        <w:widowControl w:val="0"/>
        <w:suppressLineNumbers w:val="0"/>
        <w:shd w:val="clear"/>
        <w:spacing w:before="0" w:beforeAutospacing="0" w:after="0" w:afterAutospacing="0"/>
        <w:ind w:left="0" w:right="0"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中华人民共和国住房和城乡建设部</w:t>
      </w:r>
    </w:p>
    <w:p w14:paraId="410A9133">
      <w:pPr>
        <w:keepNext w:val="0"/>
        <w:keepLines w:val="0"/>
        <w:widowControl w:val="0"/>
        <w:suppressLineNumbers w:val="0"/>
        <w:shd w:val="clear"/>
        <w:spacing w:before="0" w:beforeAutospacing="0" w:after="0" w:afterAutospacing="0"/>
        <w:ind w:left="0" w:right="0" w:firstLine="2249" w:firstLineChars="800"/>
        <w:jc w:val="center"/>
        <w:rPr>
          <w:rFonts w:hint="eastAsia" w:ascii="宋体" w:hAnsi="宋体" w:eastAsia="宋体" w:cs="宋体"/>
          <w:b/>
          <w:bCs w:val="0"/>
          <w:color w:val="auto"/>
          <w:sz w:val="28"/>
          <w:szCs w:val="28"/>
          <w:highlight w:val="none"/>
        </w:rPr>
      </w:pPr>
      <w:r>
        <w:rPr>
          <w:rFonts w:hint="eastAsia" w:ascii="宋体" w:hAnsi="宋体" w:cs="宋体"/>
          <w:b/>
          <w:bCs w:val="0"/>
          <w:color w:val="auto"/>
          <w:kern w:val="0"/>
          <w:sz w:val="28"/>
          <w:szCs w:val="28"/>
          <w:highlight w:val="none"/>
          <w:lang w:val="en-US" w:eastAsia="zh-CN" w:bidi="ar"/>
        </w:rPr>
        <w:t xml:space="preserve">                      </w:t>
      </w:r>
      <w:r>
        <w:rPr>
          <w:rFonts w:hint="eastAsia" w:ascii="宋体" w:hAnsi="宋体" w:eastAsia="宋体" w:cs="宋体"/>
          <w:b/>
          <w:bCs w:val="0"/>
          <w:color w:val="auto"/>
          <w:kern w:val="0"/>
          <w:sz w:val="28"/>
          <w:szCs w:val="28"/>
          <w:highlight w:val="none"/>
          <w:lang w:val="en-US" w:eastAsia="zh-CN" w:bidi="ar"/>
        </w:rPr>
        <w:t>制定</w:t>
      </w:r>
    </w:p>
    <w:p w14:paraId="50F91C7E">
      <w:pPr>
        <w:keepNext w:val="0"/>
        <w:keepLines w:val="0"/>
        <w:widowControl w:val="0"/>
        <w:suppressLineNumbers w:val="0"/>
        <w:shd w:val="clear"/>
        <w:spacing w:before="0" w:beforeAutospacing="0" w:after="0" w:afterAutospacing="0" w:line="480" w:lineRule="exact"/>
        <w:ind w:left="0" w:right="66" w:rightChars="33"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中华人民共和国国家市场监督管理局</w:t>
      </w:r>
    </w:p>
    <w:p w14:paraId="0EA35175">
      <w:pPr>
        <w:shd w:val="clear"/>
        <w:rPr>
          <w:rFonts w:hint="eastAsia" w:ascii="Times New Roman" w:hAnsi="Times New Roman" w:eastAsia="宋体" w:cs="Times New Roman"/>
          <w:color w:val="auto"/>
          <w:highlight w:val="none"/>
        </w:rPr>
        <w:sectPr>
          <w:headerReference r:id="rId10" w:type="default"/>
          <w:footerReference r:id="rId11" w:type="default"/>
          <w:pgSz w:w="11906" w:h="16838"/>
          <w:pgMar w:top="1134" w:right="1418" w:bottom="1134" w:left="1418" w:header="567" w:footer="680" w:gutter="0"/>
          <w:pgNumType w:fmt="decimal"/>
          <w:cols w:space="720" w:num="1"/>
          <w:formProt w:val="1"/>
          <w:docGrid w:type="lines" w:linePitch="312" w:charSpace="43007"/>
        </w:sectPr>
      </w:pPr>
    </w:p>
    <w:p w14:paraId="1AAF6ACF">
      <w:pPr>
        <w:spacing w:line="360" w:lineRule="auto"/>
        <w:jc w:val="center"/>
        <w:outlineLvl w:val="0"/>
        <w:rPr>
          <w:rFonts w:ascii="宋体" w:hAnsi="宋体"/>
          <w:b/>
          <w:color w:val="auto"/>
          <w:sz w:val="36"/>
          <w:highlight w:val="none"/>
        </w:rPr>
      </w:pPr>
      <w:bookmarkStart w:id="135" w:name="_Toc20666"/>
      <w:bookmarkEnd w:id="135"/>
      <w:bookmarkStart w:id="136" w:name="_Toc18432"/>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6"/>
    </w:p>
    <w:p w14:paraId="289B973E">
      <w:pPr>
        <w:pStyle w:val="2"/>
        <w:jc w:val="center"/>
        <w:rPr>
          <w:rFonts w:hint="eastAsia" w:cs="黑体"/>
          <w:color w:val="auto"/>
          <w:sz w:val="28"/>
          <w:szCs w:val="13"/>
          <w:highlight w:val="none"/>
        </w:rPr>
      </w:pPr>
      <w:bookmarkStart w:id="137" w:name="_Toc25390"/>
      <w:r>
        <w:rPr>
          <w:rFonts w:hint="eastAsia" w:cs="黑体"/>
          <w:color w:val="auto"/>
          <w:sz w:val="28"/>
          <w:szCs w:val="13"/>
          <w:highlight w:val="none"/>
        </w:rPr>
        <w:t>第一部分合同协议书</w:t>
      </w:r>
      <w:bookmarkEnd w:id="137"/>
    </w:p>
    <w:p w14:paraId="74C8A6A6">
      <w:pPr>
        <w:rPr>
          <w:highlight w:val="none"/>
        </w:rPr>
      </w:pPr>
    </w:p>
    <w:p w14:paraId="517C06CD">
      <w:pPr>
        <w:pStyle w:val="48"/>
        <w:spacing w:line="360" w:lineRule="auto"/>
        <w:rPr>
          <w:color w:val="auto"/>
          <w:sz w:val="21"/>
          <w:szCs w:val="21"/>
          <w:highlight w:val="none"/>
          <w:u w:val="single"/>
        </w:rPr>
      </w:pPr>
      <w:r>
        <w:rPr>
          <w:rFonts w:hint="eastAsia" w:hAnsi="宋体" w:cs="宋体"/>
          <w:color w:val="auto"/>
          <w:sz w:val="21"/>
          <w:szCs w:val="21"/>
          <w:highlight w:val="none"/>
        </w:rPr>
        <w:t>发包人（全称）：</w:t>
      </w:r>
      <w:r>
        <w:rPr>
          <w:rFonts w:hint="eastAsia" w:hAnsi="宋体"/>
          <w:color w:val="auto"/>
          <w:sz w:val="21"/>
          <w:szCs w:val="21"/>
          <w:highlight w:val="none"/>
          <w:u w:val="single"/>
          <w:lang w:eastAsia="zh-CN"/>
        </w:rPr>
        <w:t>崇左市江州区石景林街道办事处</w:t>
      </w:r>
    </w:p>
    <w:p w14:paraId="30A76A2F">
      <w:pPr>
        <w:spacing w:line="360" w:lineRule="auto"/>
        <w:rPr>
          <w:rFonts w:hint="default" w:eastAsia="宋体"/>
          <w:color w:val="auto"/>
          <w:sz w:val="21"/>
          <w:szCs w:val="21"/>
          <w:highlight w:val="none"/>
          <w:u w:val="single"/>
          <w:lang w:val="en-US" w:eastAsia="zh-CN"/>
        </w:rPr>
      </w:pPr>
      <w:r>
        <w:rPr>
          <w:rFonts w:hint="eastAsia" w:hAnsi="宋体" w:cs="宋体"/>
          <w:color w:val="auto"/>
          <w:sz w:val="21"/>
          <w:szCs w:val="21"/>
          <w:highlight w:val="none"/>
        </w:rPr>
        <w:t>承包人（全称）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p>
    <w:p w14:paraId="5F22FBAC">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根据《中华人民共和国民法典》、《中华人民共和国建筑法》及有关法律规定，遵循平等、自愿、公平和诚实信用的原则，双方就</w:t>
      </w:r>
      <w:r>
        <w:rPr>
          <w:rFonts w:hint="eastAsia" w:hAnsi="宋体" w:cs="Times New Roman"/>
          <w:color w:val="auto"/>
          <w:sz w:val="21"/>
          <w:szCs w:val="21"/>
          <w:highlight w:val="none"/>
          <w:u w:val="single"/>
          <w:lang w:val="en-US" w:eastAsia="zh-CN"/>
        </w:rPr>
        <w:t>石景林街道卜利村旧村屯排污排水项目</w:t>
      </w:r>
      <w:r>
        <w:rPr>
          <w:rFonts w:hint="eastAsia" w:hAnsi="宋体" w:cs="宋体"/>
          <w:color w:val="auto"/>
          <w:sz w:val="21"/>
          <w:szCs w:val="21"/>
          <w:highlight w:val="none"/>
        </w:rPr>
        <w:t>工程施工及有关事项协商一致，共同达成如下协议：</w:t>
      </w:r>
      <w:bookmarkStart w:id="138" w:name="_Toc351203481"/>
    </w:p>
    <w:p w14:paraId="6FCA4A20">
      <w:pPr>
        <w:spacing w:line="360" w:lineRule="auto"/>
        <w:ind w:firstLine="422" w:firstLineChars="200"/>
        <w:outlineLvl w:val="0"/>
        <w:rPr>
          <w:b/>
          <w:bCs/>
          <w:color w:val="auto"/>
          <w:sz w:val="21"/>
          <w:szCs w:val="21"/>
          <w:highlight w:val="none"/>
        </w:rPr>
      </w:pPr>
      <w:bookmarkStart w:id="139" w:name="_Toc29635"/>
      <w:r>
        <w:rPr>
          <w:rFonts w:hint="eastAsia" w:hAnsi="宋体" w:cs="宋体"/>
          <w:b/>
          <w:bCs/>
          <w:color w:val="auto"/>
          <w:sz w:val="21"/>
          <w:szCs w:val="21"/>
          <w:highlight w:val="none"/>
        </w:rPr>
        <w:t>一、工程概况</w:t>
      </w:r>
      <w:bookmarkEnd w:id="138"/>
      <w:bookmarkEnd w:id="139"/>
    </w:p>
    <w:p w14:paraId="12B91125">
      <w:pPr>
        <w:spacing w:line="360" w:lineRule="auto"/>
        <w:ind w:firstLine="411" w:firstLineChars="196"/>
        <w:rPr>
          <w:color w:val="auto"/>
          <w:sz w:val="21"/>
          <w:szCs w:val="21"/>
          <w:highlight w:val="none"/>
          <w:u w:val="single"/>
        </w:rPr>
      </w:pPr>
      <w:r>
        <w:rPr>
          <w:color w:val="auto"/>
          <w:sz w:val="21"/>
          <w:szCs w:val="21"/>
          <w:highlight w:val="none"/>
        </w:rPr>
        <w:t>1.</w:t>
      </w:r>
      <w:r>
        <w:rPr>
          <w:rFonts w:hint="eastAsia" w:hAnsi="宋体" w:cs="宋体"/>
          <w:color w:val="auto"/>
          <w:sz w:val="21"/>
          <w:szCs w:val="21"/>
          <w:highlight w:val="none"/>
        </w:rPr>
        <w:t>工程名称：</w:t>
      </w:r>
      <w:r>
        <w:rPr>
          <w:rFonts w:hint="eastAsia" w:hAnsi="宋体" w:cs="Times New Roman"/>
          <w:color w:val="auto"/>
          <w:sz w:val="21"/>
          <w:szCs w:val="21"/>
          <w:highlight w:val="none"/>
          <w:u w:val="single"/>
          <w:lang w:val="en-US" w:eastAsia="zh-CN"/>
        </w:rPr>
        <w:t>石景林街道卜利村旧村屯排污排水项目</w:t>
      </w:r>
      <w:r>
        <w:rPr>
          <w:rFonts w:hint="eastAsia" w:hAnsi="宋体" w:cs="宋体"/>
          <w:color w:val="auto"/>
          <w:sz w:val="21"/>
          <w:szCs w:val="21"/>
          <w:highlight w:val="none"/>
        </w:rPr>
        <w:t>。</w:t>
      </w:r>
    </w:p>
    <w:p w14:paraId="74C063D1">
      <w:pPr>
        <w:spacing w:line="360" w:lineRule="auto"/>
        <w:ind w:firstLine="411" w:firstLineChars="196"/>
        <w:rPr>
          <w:color w:val="auto"/>
          <w:sz w:val="21"/>
          <w:szCs w:val="21"/>
          <w:highlight w:val="none"/>
        </w:rPr>
      </w:pPr>
      <w:r>
        <w:rPr>
          <w:color w:val="auto"/>
          <w:sz w:val="21"/>
          <w:szCs w:val="21"/>
          <w:highlight w:val="none"/>
        </w:rPr>
        <w:t>2.</w:t>
      </w:r>
      <w:r>
        <w:rPr>
          <w:rFonts w:hint="eastAsia" w:hAnsi="宋体" w:cs="宋体"/>
          <w:color w:val="auto"/>
          <w:sz w:val="21"/>
          <w:szCs w:val="21"/>
          <w:highlight w:val="none"/>
        </w:rPr>
        <w:t>工程地点：</w:t>
      </w:r>
      <w:r>
        <w:rPr>
          <w:rFonts w:hint="eastAsia" w:hAnsi="宋体" w:cs="Times New Roman"/>
          <w:color w:val="auto"/>
          <w:sz w:val="21"/>
          <w:szCs w:val="21"/>
          <w:highlight w:val="none"/>
          <w:u w:val="single"/>
          <w:lang w:val="en-US" w:eastAsia="zh-CN"/>
        </w:rPr>
        <w:t>崇左市江州区石景林街道卜利村旧村屯</w:t>
      </w:r>
      <w:r>
        <w:rPr>
          <w:rFonts w:hint="eastAsia" w:hAnsi="宋体" w:cs="宋体"/>
          <w:color w:val="auto"/>
          <w:sz w:val="21"/>
          <w:szCs w:val="21"/>
          <w:highlight w:val="none"/>
        </w:rPr>
        <w:t>。</w:t>
      </w:r>
    </w:p>
    <w:p w14:paraId="1FBEEA9B">
      <w:pPr>
        <w:spacing w:line="360" w:lineRule="auto"/>
        <w:ind w:firstLine="411" w:firstLineChars="196"/>
        <w:rPr>
          <w:rFonts w:hint="eastAsia" w:hAnsi="宋体" w:cs="Times New Roman"/>
          <w:color w:val="auto"/>
          <w:sz w:val="21"/>
          <w:szCs w:val="21"/>
          <w:highlight w:val="none"/>
          <w:u w:val="single"/>
          <w:lang w:val="en-US" w:eastAsia="zh-CN"/>
        </w:rPr>
      </w:pPr>
      <w:r>
        <w:rPr>
          <w:color w:val="auto"/>
          <w:sz w:val="21"/>
          <w:szCs w:val="21"/>
          <w:highlight w:val="none"/>
        </w:rPr>
        <w:t>3.</w:t>
      </w:r>
      <w:r>
        <w:rPr>
          <w:rFonts w:hint="eastAsia" w:hAnsi="宋体" w:cs="宋体"/>
          <w:color w:val="auto"/>
          <w:sz w:val="21"/>
          <w:szCs w:val="21"/>
          <w:highlight w:val="none"/>
        </w:rPr>
        <w:t>工程立项批准文号：</w:t>
      </w:r>
      <w:r>
        <w:rPr>
          <w:rFonts w:hint="eastAsia" w:hAnsi="宋体" w:cs="Times New Roman"/>
          <w:color w:val="auto"/>
          <w:sz w:val="21"/>
          <w:szCs w:val="21"/>
          <w:highlight w:val="none"/>
          <w:u w:val="single"/>
          <w:lang w:val="en-US" w:eastAsia="zh-CN"/>
        </w:rPr>
        <w:t>江发改农经〔2026〕6号崇左市江州区发展和改革局关于石景林街道卜利村旧村屯排污排水项目建议书的批复 。</w:t>
      </w:r>
    </w:p>
    <w:p w14:paraId="477E245A">
      <w:pPr>
        <w:spacing w:line="360" w:lineRule="auto"/>
        <w:ind w:firstLine="411" w:firstLineChars="196"/>
        <w:rPr>
          <w:color w:val="auto"/>
          <w:sz w:val="21"/>
          <w:szCs w:val="21"/>
          <w:highlight w:val="none"/>
        </w:rPr>
      </w:pPr>
      <w:r>
        <w:rPr>
          <w:color w:val="auto"/>
          <w:sz w:val="21"/>
          <w:szCs w:val="21"/>
          <w:highlight w:val="none"/>
        </w:rPr>
        <w:t>4.</w:t>
      </w:r>
      <w:r>
        <w:rPr>
          <w:rFonts w:hint="eastAsia" w:hAnsi="宋体" w:cs="宋体"/>
          <w:color w:val="auto"/>
          <w:sz w:val="21"/>
          <w:szCs w:val="21"/>
          <w:highlight w:val="none"/>
        </w:rPr>
        <w:t>资金来源：</w:t>
      </w:r>
      <w:r>
        <w:rPr>
          <w:rFonts w:hint="eastAsia" w:hAnsi="宋体" w:cs="Times New Roman"/>
          <w:color w:val="auto"/>
          <w:sz w:val="21"/>
          <w:szCs w:val="21"/>
          <w:highlight w:val="none"/>
          <w:u w:val="single"/>
          <w:lang w:val="en-US" w:eastAsia="zh-CN"/>
        </w:rPr>
        <w:t>江政函〔2026〕22号关于审定江州区提前下达2026年中央和自治区财政衔接推进乡村振兴补助资金分配方案和项目计划的批复</w:t>
      </w:r>
      <w:r>
        <w:rPr>
          <w:rFonts w:hAnsi="宋体"/>
          <w:color w:val="auto"/>
          <w:sz w:val="21"/>
          <w:szCs w:val="21"/>
          <w:highlight w:val="none"/>
          <w:u w:val="single"/>
        </w:rPr>
        <w:t>。</w:t>
      </w:r>
    </w:p>
    <w:p w14:paraId="4DC0EB42">
      <w:pPr>
        <w:spacing w:line="360" w:lineRule="auto"/>
        <w:ind w:firstLine="411" w:firstLineChars="196"/>
        <w:rPr>
          <w:color w:val="auto"/>
          <w:sz w:val="21"/>
          <w:szCs w:val="21"/>
          <w:highlight w:val="none"/>
        </w:rPr>
      </w:pPr>
      <w:r>
        <w:rPr>
          <w:color w:val="auto"/>
          <w:sz w:val="21"/>
          <w:szCs w:val="21"/>
          <w:highlight w:val="none"/>
        </w:rPr>
        <w:t>5.</w:t>
      </w:r>
      <w:r>
        <w:rPr>
          <w:rFonts w:hint="eastAsia" w:hAnsi="宋体" w:cs="宋体"/>
          <w:color w:val="auto"/>
          <w:sz w:val="21"/>
          <w:szCs w:val="21"/>
          <w:highlight w:val="none"/>
        </w:rPr>
        <w:t>工程内容：</w:t>
      </w:r>
      <w:r>
        <w:rPr>
          <w:rFonts w:hint="eastAsia" w:ascii="Calibri" w:hAnsi="Calibri" w:cs="Times New Roman"/>
          <w:b w:val="0"/>
          <w:bCs w:val="0"/>
          <w:color w:val="auto"/>
          <w:kern w:val="2"/>
          <w:sz w:val="21"/>
          <w:szCs w:val="21"/>
          <w:highlight w:val="none"/>
          <w:u w:val="single"/>
          <w:lang w:val="en-US" w:eastAsia="zh-CN" w:bidi="ar-SA"/>
        </w:rPr>
        <w:t>本项目为卜利村旧村屯排污排水设施建设工程。主要建设内容包括：敷设DN400、DN300、DN200双壁波纹管约2226米，Φ160PVC-U排水管200米；新建Φ700砖砌圆形污水检查井47座；新建有效容积25.5立方米砖砌化粪池1座；以及配套的路面破除与恢复、土方工程、垫层及基础等；具体内容详见施工图纸及工程量清单</w:t>
      </w:r>
      <w:r>
        <w:rPr>
          <w:rFonts w:hint="eastAsia" w:ascii="Calibri" w:hAnsi="Calibri" w:eastAsia="宋体" w:cs="Times New Roman"/>
          <w:b w:val="0"/>
          <w:bCs w:val="0"/>
          <w:color w:val="auto"/>
          <w:kern w:val="2"/>
          <w:sz w:val="21"/>
          <w:szCs w:val="21"/>
          <w:highlight w:val="none"/>
          <w:u w:val="single"/>
          <w:lang w:val="en-US" w:eastAsia="zh-CN" w:bidi="ar-SA"/>
        </w:rPr>
        <w:t>。</w:t>
      </w:r>
      <w:r>
        <w:rPr>
          <w:rFonts w:hint="eastAsia" w:hAnsi="宋体" w:cs="宋体"/>
          <w:color w:val="auto"/>
          <w:sz w:val="21"/>
          <w:szCs w:val="21"/>
          <w:highlight w:val="none"/>
        </w:rPr>
        <w:t>群体工程应附《承包人承揽工程项目一览表》（附件</w:t>
      </w:r>
      <w:r>
        <w:rPr>
          <w:color w:val="auto"/>
          <w:sz w:val="21"/>
          <w:szCs w:val="21"/>
          <w:highlight w:val="none"/>
        </w:rPr>
        <w:t>1</w:t>
      </w:r>
      <w:r>
        <w:rPr>
          <w:rFonts w:hint="eastAsia" w:hAnsi="宋体" w:cs="宋体"/>
          <w:color w:val="auto"/>
          <w:sz w:val="21"/>
          <w:szCs w:val="21"/>
          <w:highlight w:val="none"/>
        </w:rPr>
        <w:t>）。</w:t>
      </w:r>
    </w:p>
    <w:p w14:paraId="473B04E7">
      <w:pPr>
        <w:spacing w:line="360" w:lineRule="auto"/>
        <w:ind w:firstLine="405" w:firstLineChars="193"/>
        <w:rPr>
          <w:rFonts w:hAnsi="宋体"/>
          <w:color w:val="auto"/>
          <w:sz w:val="21"/>
          <w:szCs w:val="21"/>
          <w:highlight w:val="none"/>
        </w:rPr>
      </w:pPr>
      <w:r>
        <w:rPr>
          <w:color w:val="auto"/>
          <w:sz w:val="21"/>
          <w:szCs w:val="21"/>
          <w:highlight w:val="none"/>
        </w:rPr>
        <w:t>6.</w:t>
      </w:r>
      <w:r>
        <w:rPr>
          <w:rFonts w:hint="eastAsia" w:hAnsi="宋体" w:cs="宋体"/>
          <w:color w:val="auto"/>
          <w:sz w:val="21"/>
          <w:szCs w:val="21"/>
          <w:highlight w:val="none"/>
        </w:rPr>
        <w:t>工程承包范围：</w:t>
      </w:r>
      <w:r>
        <w:rPr>
          <w:rFonts w:hint="eastAsia" w:ascii="Calibri" w:hAnsi="Calibri" w:cs="Times New Roman"/>
          <w:b w:val="0"/>
          <w:bCs w:val="0"/>
          <w:color w:val="auto"/>
          <w:kern w:val="2"/>
          <w:sz w:val="21"/>
          <w:szCs w:val="21"/>
          <w:highlight w:val="none"/>
          <w:u w:val="single"/>
          <w:lang w:val="en-US" w:eastAsia="zh-CN" w:bidi="ar-SA"/>
        </w:rPr>
        <w:t>本项目为卜利村旧村屯排污排水设施建设工程。主要建设内容包括：敷设DN400、DN300、DN200双壁波纹管约2226米，Φ160PVC-U排水管200米；新建Φ700砖砌圆形污水检查井47座；新建有效容积25.5立方米砖砌化粪池1座；以及配套的路面破除与恢复、土方工程、垫层及基础等；具体内容详见施工图纸及工程量清单</w:t>
      </w:r>
      <w:r>
        <w:rPr>
          <w:rFonts w:hint="eastAsia" w:ascii="Calibri" w:hAnsi="Calibri" w:eastAsia="宋体" w:cs="Times New Roman"/>
          <w:b w:val="0"/>
          <w:bCs w:val="0"/>
          <w:color w:val="auto"/>
          <w:kern w:val="2"/>
          <w:sz w:val="21"/>
          <w:szCs w:val="21"/>
          <w:highlight w:val="none"/>
          <w:u w:val="single"/>
          <w:lang w:val="en-US" w:eastAsia="zh-CN" w:bidi="ar-SA"/>
        </w:rPr>
        <w:t>。</w:t>
      </w:r>
    </w:p>
    <w:p w14:paraId="66C3252A">
      <w:pPr>
        <w:spacing w:line="360" w:lineRule="auto"/>
        <w:ind w:firstLine="407" w:firstLineChars="193"/>
        <w:outlineLvl w:val="0"/>
        <w:rPr>
          <w:b/>
          <w:bCs/>
          <w:color w:val="auto"/>
          <w:sz w:val="21"/>
          <w:szCs w:val="21"/>
          <w:highlight w:val="none"/>
        </w:rPr>
      </w:pPr>
      <w:bookmarkStart w:id="140" w:name="_Toc1689"/>
      <w:bookmarkStart w:id="141" w:name="_Toc351203482"/>
      <w:r>
        <w:rPr>
          <w:rFonts w:hint="eastAsia" w:hAnsi="宋体" w:cs="宋体"/>
          <w:b/>
          <w:bCs/>
          <w:color w:val="auto"/>
          <w:sz w:val="21"/>
          <w:szCs w:val="21"/>
          <w:highlight w:val="none"/>
        </w:rPr>
        <w:t>二、合同工期</w:t>
      </w:r>
      <w:bookmarkEnd w:id="140"/>
      <w:bookmarkEnd w:id="141"/>
    </w:p>
    <w:p w14:paraId="596B4F4E">
      <w:pPr>
        <w:spacing w:line="360" w:lineRule="auto"/>
        <w:ind w:firstLine="459"/>
        <w:rPr>
          <w:color w:val="auto"/>
          <w:sz w:val="21"/>
          <w:szCs w:val="21"/>
          <w:highlight w:val="none"/>
        </w:rPr>
      </w:pPr>
      <w:r>
        <w:rPr>
          <w:rFonts w:hint="eastAsia" w:hAnsi="宋体" w:cs="宋体"/>
          <w:color w:val="auto"/>
          <w:sz w:val="21"/>
          <w:szCs w:val="21"/>
          <w:highlight w:val="none"/>
        </w:rPr>
        <w:t>计划开工日期：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（具体以发包人书面通知为准）</w:t>
      </w:r>
    </w:p>
    <w:p w14:paraId="1DDEE840">
      <w:pPr>
        <w:spacing w:line="360" w:lineRule="auto"/>
        <w:ind w:firstLine="459"/>
        <w:rPr>
          <w:color w:val="auto"/>
          <w:sz w:val="21"/>
          <w:szCs w:val="21"/>
          <w:highlight w:val="none"/>
        </w:rPr>
      </w:pPr>
      <w:r>
        <w:rPr>
          <w:rFonts w:hint="eastAsia" w:hAnsi="宋体" w:cs="宋体"/>
          <w:color w:val="auto"/>
          <w:sz w:val="21"/>
          <w:szCs w:val="21"/>
          <w:highlight w:val="none"/>
        </w:rPr>
        <w:t>计划竣工日期：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w:t>
      </w:r>
    </w:p>
    <w:p w14:paraId="2E008252">
      <w:pPr>
        <w:spacing w:line="360" w:lineRule="auto"/>
        <w:ind w:firstLine="459"/>
        <w:rPr>
          <w:rFonts w:hAnsi="宋体"/>
          <w:color w:val="auto"/>
          <w:sz w:val="21"/>
          <w:szCs w:val="21"/>
          <w:highlight w:val="none"/>
        </w:rPr>
      </w:pPr>
      <w:r>
        <w:rPr>
          <w:rFonts w:hint="eastAsia" w:hAnsi="宋体" w:cs="宋体"/>
          <w:color w:val="auto"/>
          <w:sz w:val="21"/>
          <w:szCs w:val="21"/>
          <w:highlight w:val="none"/>
        </w:rPr>
        <w:t>工期总日历天数：</w:t>
      </w:r>
      <w:r>
        <w:rPr>
          <w:rFonts w:hint="eastAsia" w:hAnsi="宋体" w:cs="宋体"/>
          <w:color w:val="auto"/>
          <w:sz w:val="21"/>
          <w:szCs w:val="21"/>
          <w:highlight w:val="none"/>
          <w:u w:val="single"/>
          <w:lang w:val="en-US" w:eastAsia="zh-CN"/>
        </w:rPr>
        <w:t>90日历天</w:t>
      </w:r>
      <w:r>
        <w:rPr>
          <w:rFonts w:hint="eastAsia" w:hAnsi="宋体" w:cs="宋体"/>
          <w:color w:val="auto"/>
          <w:sz w:val="21"/>
          <w:szCs w:val="21"/>
          <w:highlight w:val="none"/>
        </w:rPr>
        <w:t>。工期总日历天数与根据前述计划开竣工日期计算的工期天数不一致的，以工期总日历天数为准。</w:t>
      </w:r>
    </w:p>
    <w:p w14:paraId="249F5407">
      <w:pPr>
        <w:spacing w:line="360" w:lineRule="auto"/>
        <w:ind w:firstLine="459"/>
        <w:outlineLvl w:val="0"/>
        <w:rPr>
          <w:b/>
          <w:bCs/>
          <w:color w:val="auto"/>
          <w:sz w:val="21"/>
          <w:szCs w:val="21"/>
          <w:highlight w:val="none"/>
        </w:rPr>
      </w:pPr>
      <w:bookmarkStart w:id="142" w:name="_Toc351203483"/>
      <w:bookmarkStart w:id="143" w:name="_Toc32644"/>
      <w:r>
        <w:rPr>
          <w:rFonts w:hint="eastAsia" w:hAnsi="宋体" w:cs="宋体"/>
          <w:b/>
          <w:bCs/>
          <w:color w:val="auto"/>
          <w:sz w:val="21"/>
          <w:szCs w:val="21"/>
          <w:highlight w:val="none"/>
        </w:rPr>
        <w:t>三、质量标准</w:t>
      </w:r>
      <w:bookmarkEnd w:id="142"/>
      <w:bookmarkEnd w:id="143"/>
    </w:p>
    <w:p w14:paraId="01B8BD77">
      <w:pPr>
        <w:spacing w:line="360" w:lineRule="auto"/>
        <w:ind w:firstLine="459"/>
        <w:rPr>
          <w:rFonts w:hAnsi="宋体"/>
          <w:color w:val="auto"/>
          <w:sz w:val="21"/>
          <w:szCs w:val="21"/>
          <w:highlight w:val="none"/>
        </w:rPr>
      </w:pPr>
      <w:r>
        <w:rPr>
          <w:rFonts w:hint="eastAsia" w:hAnsi="宋体" w:cs="宋体"/>
          <w:color w:val="auto"/>
          <w:sz w:val="21"/>
          <w:szCs w:val="21"/>
          <w:highlight w:val="none"/>
        </w:rPr>
        <w:t>工程质量符合</w:t>
      </w:r>
      <w:r>
        <w:rPr>
          <w:rFonts w:ascii="Calibri" w:hAnsi="宋体" w:eastAsia="宋体" w:cs="Times New Roman"/>
          <w:color w:val="auto"/>
          <w:sz w:val="21"/>
          <w:szCs w:val="21"/>
          <w:highlight w:val="none"/>
          <w:u w:val="single"/>
        </w:rPr>
        <w:t>国家现行施工验收规范合格标准</w:t>
      </w:r>
      <w:r>
        <w:rPr>
          <w:rFonts w:hAnsi="宋体"/>
          <w:color w:val="auto"/>
          <w:sz w:val="21"/>
          <w:szCs w:val="21"/>
          <w:highlight w:val="none"/>
          <w:u w:val="single"/>
        </w:rPr>
        <w:t>。</w:t>
      </w:r>
      <w:r>
        <w:rPr>
          <w:rFonts w:hint="eastAsia" w:hAnsi="宋体" w:cs="宋体"/>
          <w:color w:val="auto"/>
          <w:sz w:val="21"/>
          <w:szCs w:val="21"/>
          <w:highlight w:val="none"/>
        </w:rPr>
        <w:t>。</w:t>
      </w:r>
    </w:p>
    <w:p w14:paraId="2BC56119">
      <w:pPr>
        <w:spacing w:line="360" w:lineRule="auto"/>
        <w:ind w:firstLine="459"/>
        <w:outlineLvl w:val="0"/>
        <w:rPr>
          <w:rFonts w:hAnsi="宋体"/>
          <w:b/>
          <w:bCs/>
          <w:color w:val="auto"/>
          <w:sz w:val="21"/>
          <w:szCs w:val="21"/>
          <w:highlight w:val="none"/>
        </w:rPr>
      </w:pPr>
      <w:bookmarkStart w:id="144" w:name="_Toc351203484"/>
      <w:bookmarkStart w:id="145" w:name="_Toc17131"/>
      <w:r>
        <w:rPr>
          <w:rFonts w:hint="eastAsia" w:hAnsi="宋体" w:cs="宋体"/>
          <w:b/>
          <w:bCs/>
          <w:color w:val="auto"/>
          <w:sz w:val="21"/>
          <w:szCs w:val="21"/>
          <w:highlight w:val="none"/>
        </w:rPr>
        <w:t>四、签约合同价与合同价格形式</w:t>
      </w:r>
      <w:bookmarkEnd w:id="144"/>
      <w:bookmarkEnd w:id="145"/>
    </w:p>
    <w:p w14:paraId="67DDDC32">
      <w:pPr>
        <w:spacing w:line="360" w:lineRule="auto"/>
        <w:ind w:firstLine="459"/>
        <w:rPr>
          <w:color w:val="auto"/>
          <w:sz w:val="21"/>
          <w:szCs w:val="21"/>
          <w:highlight w:val="none"/>
        </w:rPr>
      </w:pPr>
      <w:r>
        <w:rPr>
          <w:color w:val="auto"/>
          <w:sz w:val="21"/>
          <w:szCs w:val="21"/>
          <w:highlight w:val="none"/>
        </w:rPr>
        <w:t>1.</w:t>
      </w:r>
      <w:r>
        <w:rPr>
          <w:rFonts w:hint="eastAsia" w:hAnsi="宋体" w:cs="宋体"/>
          <w:color w:val="auto"/>
          <w:sz w:val="21"/>
          <w:szCs w:val="21"/>
          <w:highlight w:val="none"/>
        </w:rPr>
        <w:t>签约合同价为：</w:t>
      </w:r>
    </w:p>
    <w:p w14:paraId="1E97942D">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5226BC5D">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其中：</w:t>
      </w:r>
    </w:p>
    <w:p w14:paraId="24527B6A">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）安全文明施工费：</w:t>
      </w:r>
    </w:p>
    <w:p w14:paraId="14496AA5">
      <w:pPr>
        <w:spacing w:line="360" w:lineRule="auto"/>
        <w:ind w:left="400" w:leftChars="200"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F0C1CE3">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）材料和工程设备暂估价金额：</w:t>
      </w:r>
    </w:p>
    <w:p w14:paraId="5BFC44A2">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316A6ED6">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）专业工程暂估价金额：</w:t>
      </w:r>
    </w:p>
    <w:p w14:paraId="2D0A22E1">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4158CABF">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）暂列金额：</w:t>
      </w:r>
    </w:p>
    <w:p w14:paraId="4D480B35">
      <w:pPr>
        <w:spacing w:line="360" w:lineRule="auto"/>
        <w:ind w:firstLine="945" w:firstLineChars="4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444E442E">
      <w:pPr>
        <w:spacing w:line="360" w:lineRule="auto"/>
        <w:ind w:firstLine="420" w:firstLineChars="200"/>
        <w:rPr>
          <w:rFonts w:hint="eastAsia" w:hAnsi="宋体"/>
          <w:color w:val="auto"/>
          <w:sz w:val="21"/>
          <w:szCs w:val="21"/>
          <w:highlight w:val="none"/>
        </w:rPr>
      </w:pPr>
      <w:r>
        <w:rPr>
          <w:color w:val="auto"/>
          <w:sz w:val="21"/>
          <w:szCs w:val="21"/>
          <w:highlight w:val="none"/>
        </w:rPr>
        <w:t>2.</w:t>
      </w:r>
      <w:r>
        <w:rPr>
          <w:rFonts w:hint="eastAsia" w:hAnsi="宋体" w:cs="宋体"/>
          <w:color w:val="auto"/>
          <w:sz w:val="21"/>
          <w:szCs w:val="21"/>
          <w:highlight w:val="none"/>
        </w:rPr>
        <w:t>合同价格形式</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综合单价合同</w:t>
      </w:r>
      <w:r>
        <w:rPr>
          <w:rFonts w:hint="eastAsia" w:hAnsi="宋体" w:cs="宋体"/>
          <w:color w:val="auto"/>
          <w:sz w:val="21"/>
          <w:szCs w:val="21"/>
          <w:highlight w:val="none"/>
          <w:u w:val="single"/>
        </w:rPr>
        <w:t>。</w:t>
      </w:r>
    </w:p>
    <w:p w14:paraId="53FC6B4C">
      <w:pPr>
        <w:spacing w:line="360" w:lineRule="auto"/>
        <w:ind w:firstLine="422" w:firstLineChars="200"/>
        <w:outlineLvl w:val="0"/>
        <w:rPr>
          <w:b/>
          <w:bCs/>
          <w:color w:val="auto"/>
          <w:sz w:val="21"/>
          <w:szCs w:val="21"/>
          <w:highlight w:val="none"/>
        </w:rPr>
      </w:pPr>
      <w:bookmarkStart w:id="146" w:name="_Toc351203485"/>
      <w:bookmarkStart w:id="147" w:name="_Toc26356"/>
      <w:r>
        <w:rPr>
          <w:rFonts w:hint="eastAsia" w:hAnsi="宋体" w:cs="宋体"/>
          <w:b/>
          <w:bCs/>
          <w:color w:val="auto"/>
          <w:sz w:val="21"/>
          <w:szCs w:val="21"/>
          <w:highlight w:val="none"/>
        </w:rPr>
        <w:t>五、</w:t>
      </w:r>
      <w:bookmarkEnd w:id="146"/>
      <w:r>
        <w:rPr>
          <w:rFonts w:hint="eastAsia" w:hAnsi="宋体" w:cs="宋体"/>
          <w:b/>
          <w:bCs/>
          <w:color w:val="auto"/>
          <w:sz w:val="21"/>
          <w:szCs w:val="21"/>
          <w:highlight w:val="none"/>
        </w:rPr>
        <w:t>项目经理</w:t>
      </w:r>
      <w:bookmarkEnd w:id="147"/>
    </w:p>
    <w:p w14:paraId="62960015">
      <w:pPr>
        <w:spacing w:line="360" w:lineRule="auto"/>
        <w:ind w:firstLine="420" w:firstLineChars="200"/>
        <w:rPr>
          <w:rFonts w:hAnsi="宋体"/>
          <w:color w:val="auto"/>
          <w:sz w:val="21"/>
          <w:szCs w:val="21"/>
          <w:highlight w:val="none"/>
          <w:u w:val="single"/>
        </w:rPr>
      </w:pPr>
      <w:r>
        <w:rPr>
          <w:rFonts w:hint="eastAsia" w:hAnsi="宋体" w:cs="宋体"/>
          <w:color w:val="auto"/>
          <w:sz w:val="21"/>
          <w:szCs w:val="21"/>
          <w:highlight w:val="none"/>
        </w:rPr>
        <w:t>承包人项目经理</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（姓名和注册证书编号）</w:t>
      </w:r>
      <w:r>
        <w:rPr>
          <w:rFonts w:hint="eastAsia" w:hAnsi="宋体" w:cs="宋体"/>
          <w:color w:val="auto"/>
          <w:sz w:val="21"/>
          <w:szCs w:val="21"/>
          <w:highlight w:val="none"/>
          <w:u w:val="single"/>
        </w:rPr>
        <w:t>。</w:t>
      </w:r>
    </w:p>
    <w:p w14:paraId="259C26EF">
      <w:pPr>
        <w:spacing w:line="360" w:lineRule="auto"/>
        <w:ind w:firstLine="422" w:firstLineChars="200"/>
        <w:outlineLvl w:val="0"/>
        <w:rPr>
          <w:b/>
          <w:bCs/>
          <w:color w:val="auto"/>
          <w:sz w:val="21"/>
          <w:szCs w:val="21"/>
          <w:highlight w:val="none"/>
        </w:rPr>
      </w:pPr>
      <w:bookmarkStart w:id="148" w:name="_Toc1554"/>
      <w:bookmarkStart w:id="149" w:name="_Toc351203486"/>
      <w:r>
        <w:rPr>
          <w:rFonts w:hint="eastAsia" w:hAnsi="宋体" w:cs="宋体"/>
          <w:b/>
          <w:bCs/>
          <w:color w:val="auto"/>
          <w:sz w:val="21"/>
          <w:szCs w:val="21"/>
          <w:highlight w:val="none"/>
        </w:rPr>
        <w:t>六、合同文件构成</w:t>
      </w:r>
      <w:bookmarkEnd w:id="148"/>
      <w:bookmarkEnd w:id="149"/>
    </w:p>
    <w:p w14:paraId="1F70A43B">
      <w:pPr>
        <w:spacing w:line="360" w:lineRule="auto"/>
        <w:ind w:firstLine="420" w:firstLineChars="200"/>
        <w:rPr>
          <w:color w:val="auto"/>
          <w:sz w:val="21"/>
          <w:szCs w:val="21"/>
          <w:highlight w:val="none"/>
        </w:rPr>
      </w:pPr>
      <w:r>
        <w:rPr>
          <w:rFonts w:hint="eastAsia" w:hAnsi="宋体" w:cs="宋体"/>
          <w:color w:val="auto"/>
          <w:sz w:val="21"/>
          <w:szCs w:val="21"/>
          <w:highlight w:val="none"/>
        </w:rPr>
        <w:t>本协议书与下列文件一起构成合同文件：</w:t>
      </w:r>
    </w:p>
    <w:p w14:paraId="033CE570">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）中标通知书（如有）；</w:t>
      </w:r>
    </w:p>
    <w:p w14:paraId="3D234791">
      <w:pPr>
        <w:autoSpaceDE w:val="0"/>
        <w:autoSpaceDN w:val="0"/>
        <w:adjustRightInd w:val="0"/>
        <w:spacing w:line="360" w:lineRule="auto"/>
        <w:ind w:firstLine="420" w:firstLineChars="200"/>
        <w:jc w:val="left"/>
        <w:rPr>
          <w:rFonts w:hint="eastAsia" w:hAnsi="宋体" w:cs="宋体"/>
          <w:color w:val="auto"/>
          <w:sz w:val="21"/>
          <w:szCs w:val="21"/>
          <w:highlight w:val="none"/>
          <w:lang w:eastAsia="zh-CN"/>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）投标函及其附录（如有）；</w:t>
      </w:r>
    </w:p>
    <w:p w14:paraId="522CD412">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（3）专用合同条款及其附件；</w:t>
      </w:r>
    </w:p>
    <w:p w14:paraId="342B6761">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（4）通用合同条款；</w:t>
      </w:r>
    </w:p>
    <w:p w14:paraId="5063E44D">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（5）技术标准和要求； </w:t>
      </w:r>
    </w:p>
    <w:p w14:paraId="074DF6C5">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（6）图纸； </w:t>
      </w:r>
    </w:p>
    <w:p w14:paraId="6957716A">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（7）已标价工程量清单； </w:t>
      </w:r>
    </w:p>
    <w:p w14:paraId="0249478A">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（8）其他合同文件：双方在合同履行过程中书面确认的会议纪要、工程变更指令、现场签证单等。</w:t>
      </w:r>
    </w:p>
    <w:p w14:paraId="196C40D7">
      <w:pPr>
        <w:autoSpaceDE w:val="0"/>
        <w:autoSpaceDN w:val="0"/>
        <w:adjustRightInd w:val="0"/>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sz w:val="21"/>
          <w:szCs w:val="21"/>
          <w:highlight w:val="none"/>
        </w:rPr>
        <w:t>实质性内容的约定除外</w:t>
      </w:r>
      <w:r>
        <w:rPr>
          <w:rFonts w:hint="eastAsia" w:hAnsi="宋体" w:cs="宋体"/>
          <w:color w:val="auto"/>
          <w:sz w:val="21"/>
          <w:szCs w:val="21"/>
          <w:highlight w:val="none"/>
        </w:rPr>
        <w:t>）。专用合同条款及其附件须经合同当事人签字或盖章。</w:t>
      </w:r>
    </w:p>
    <w:p w14:paraId="77C20CE2">
      <w:pPr>
        <w:autoSpaceDE w:val="0"/>
        <w:autoSpaceDN w:val="0"/>
        <w:adjustRightInd w:val="0"/>
        <w:spacing w:line="360" w:lineRule="auto"/>
        <w:ind w:firstLine="422" w:firstLineChars="200"/>
        <w:jc w:val="left"/>
        <w:outlineLvl w:val="0"/>
        <w:rPr>
          <w:b/>
          <w:bCs/>
          <w:color w:val="auto"/>
          <w:sz w:val="21"/>
          <w:szCs w:val="21"/>
          <w:highlight w:val="none"/>
        </w:rPr>
      </w:pPr>
      <w:bookmarkStart w:id="150" w:name="_Toc17721"/>
      <w:bookmarkStart w:id="151" w:name="_Toc351203487"/>
      <w:r>
        <w:rPr>
          <w:rFonts w:hint="eastAsia" w:hAnsi="宋体" w:cs="宋体"/>
          <w:b/>
          <w:bCs/>
          <w:color w:val="auto"/>
          <w:sz w:val="21"/>
          <w:szCs w:val="21"/>
          <w:highlight w:val="none"/>
        </w:rPr>
        <w:t>七、承诺</w:t>
      </w:r>
      <w:bookmarkEnd w:id="150"/>
      <w:bookmarkEnd w:id="151"/>
    </w:p>
    <w:p w14:paraId="603807F3">
      <w:pPr>
        <w:spacing w:line="360" w:lineRule="auto"/>
        <w:ind w:firstLine="420" w:firstLineChars="20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发包人承诺按照法律规定履行项目审批手续、筹集工程建设资金并按照合同约定的期限和方式支付合同价款。</w:t>
      </w:r>
    </w:p>
    <w:p w14:paraId="4FE11946">
      <w:pPr>
        <w:spacing w:line="360" w:lineRule="auto"/>
        <w:ind w:firstLine="420" w:firstLineChars="200"/>
        <w:rPr>
          <w:color w:val="auto"/>
          <w:sz w:val="21"/>
          <w:szCs w:val="21"/>
          <w:highlight w:val="none"/>
        </w:rPr>
      </w:pPr>
      <w:r>
        <w:rPr>
          <w:color w:val="auto"/>
          <w:sz w:val="21"/>
          <w:szCs w:val="21"/>
          <w:highlight w:val="none"/>
        </w:rPr>
        <w:t>2.</w:t>
      </w:r>
      <w:r>
        <w:rPr>
          <w:rFonts w:hint="eastAsia" w:hAnsi="宋体" w:cs="宋体"/>
          <w:color w:val="auto"/>
          <w:sz w:val="21"/>
          <w:szCs w:val="21"/>
          <w:highlight w:val="none"/>
        </w:rPr>
        <w:t>承包人承诺按照法律规定及合同约定组织完成工程施工，确保工程质量和安全，不进行转包及违法分包，并在缺陷责任期及保修期内承担相应的工程维修责任。</w:t>
      </w:r>
    </w:p>
    <w:p w14:paraId="38D48E4A">
      <w:pPr>
        <w:spacing w:line="360" w:lineRule="auto"/>
        <w:ind w:firstLine="420" w:firstLineChars="200"/>
        <w:rPr>
          <w:rFonts w:hAnsi="宋体"/>
          <w:color w:val="auto"/>
          <w:sz w:val="21"/>
          <w:szCs w:val="21"/>
          <w:highlight w:val="none"/>
        </w:rPr>
      </w:pPr>
      <w:r>
        <w:rPr>
          <w:color w:val="auto"/>
          <w:sz w:val="21"/>
          <w:szCs w:val="21"/>
          <w:highlight w:val="none"/>
        </w:rPr>
        <w:t>3.</w:t>
      </w:r>
      <w:r>
        <w:rPr>
          <w:rFonts w:hint="eastAsia" w:hAnsi="宋体" w:cs="宋体"/>
          <w:color w:val="auto"/>
          <w:sz w:val="21"/>
          <w:szCs w:val="21"/>
          <w:highlight w:val="none"/>
        </w:rPr>
        <w:t>发包人和承包人通过招投标形式签订合同的，双方理解并承诺不再就同一工程另行签订与合同实质性内容相背离的协议。</w:t>
      </w:r>
      <w:bookmarkStart w:id="152" w:name="_Toc351203488"/>
    </w:p>
    <w:p w14:paraId="2F2BDCAA">
      <w:pPr>
        <w:spacing w:line="360" w:lineRule="auto"/>
        <w:ind w:firstLine="422" w:firstLineChars="200"/>
        <w:outlineLvl w:val="0"/>
        <w:rPr>
          <w:b/>
          <w:bCs/>
          <w:color w:val="auto"/>
          <w:sz w:val="21"/>
          <w:szCs w:val="21"/>
          <w:highlight w:val="none"/>
        </w:rPr>
      </w:pPr>
      <w:bookmarkStart w:id="153" w:name="_Toc14253"/>
      <w:r>
        <w:rPr>
          <w:rFonts w:hint="eastAsia" w:hAnsi="宋体" w:cs="宋体"/>
          <w:b/>
          <w:bCs/>
          <w:color w:val="auto"/>
          <w:sz w:val="21"/>
          <w:szCs w:val="21"/>
          <w:highlight w:val="none"/>
        </w:rPr>
        <w:t>八、词语含义</w:t>
      </w:r>
      <w:bookmarkEnd w:id="152"/>
      <w:bookmarkEnd w:id="153"/>
    </w:p>
    <w:p w14:paraId="582C3EFC">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本协议书中词语含义与第二部分通用合同条款中赋予的含义相同。</w:t>
      </w:r>
    </w:p>
    <w:p w14:paraId="63070D5D">
      <w:pPr>
        <w:spacing w:line="360" w:lineRule="auto"/>
        <w:ind w:firstLine="422" w:firstLineChars="200"/>
        <w:outlineLvl w:val="0"/>
        <w:rPr>
          <w:b/>
          <w:bCs/>
          <w:color w:val="auto"/>
          <w:sz w:val="21"/>
          <w:szCs w:val="21"/>
          <w:highlight w:val="none"/>
        </w:rPr>
      </w:pPr>
      <w:bookmarkStart w:id="154" w:name="_Toc351203489"/>
      <w:bookmarkStart w:id="155" w:name="_Toc72"/>
      <w:r>
        <w:rPr>
          <w:rFonts w:hint="eastAsia" w:hAnsi="宋体" w:cs="宋体"/>
          <w:b/>
          <w:bCs/>
          <w:color w:val="auto"/>
          <w:sz w:val="21"/>
          <w:szCs w:val="21"/>
          <w:highlight w:val="none"/>
        </w:rPr>
        <w:t>九、签订时间</w:t>
      </w:r>
      <w:bookmarkEnd w:id="154"/>
      <w:bookmarkEnd w:id="155"/>
    </w:p>
    <w:p w14:paraId="57C86930">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本合同于年月日签订。</w:t>
      </w:r>
    </w:p>
    <w:p w14:paraId="16F0CEC5">
      <w:pPr>
        <w:spacing w:line="360" w:lineRule="auto"/>
        <w:ind w:firstLine="422" w:firstLineChars="200"/>
        <w:outlineLvl w:val="0"/>
        <w:rPr>
          <w:b/>
          <w:bCs/>
          <w:color w:val="auto"/>
          <w:sz w:val="21"/>
          <w:szCs w:val="21"/>
          <w:highlight w:val="none"/>
        </w:rPr>
      </w:pPr>
      <w:bookmarkStart w:id="156" w:name="_Toc351203490"/>
      <w:bookmarkStart w:id="157" w:name="_Toc30593"/>
      <w:r>
        <w:rPr>
          <w:rFonts w:hint="eastAsia" w:hAnsi="宋体" w:cs="宋体"/>
          <w:b/>
          <w:bCs/>
          <w:color w:val="auto"/>
          <w:sz w:val="21"/>
          <w:szCs w:val="21"/>
          <w:highlight w:val="none"/>
        </w:rPr>
        <w:t>十、签订地点</w:t>
      </w:r>
      <w:bookmarkEnd w:id="156"/>
      <w:bookmarkEnd w:id="157"/>
    </w:p>
    <w:p w14:paraId="146F1D97">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本合同在</w:t>
      </w:r>
      <w:r>
        <w:rPr>
          <w:rFonts w:hint="eastAsia"/>
          <w:color w:val="auto"/>
          <w:sz w:val="21"/>
          <w:szCs w:val="21"/>
          <w:highlight w:val="none"/>
          <w:u w:val="single"/>
          <w:lang w:val="en-US" w:eastAsia="zh-CN"/>
        </w:rPr>
        <w:t>广西政府采购云平台上</w:t>
      </w:r>
      <w:r>
        <w:rPr>
          <w:rFonts w:hint="eastAsia" w:hAnsi="宋体" w:cs="宋体"/>
          <w:color w:val="auto"/>
          <w:sz w:val="21"/>
          <w:szCs w:val="21"/>
          <w:highlight w:val="none"/>
        </w:rPr>
        <w:t>签订。</w:t>
      </w:r>
    </w:p>
    <w:p w14:paraId="596D792A">
      <w:pPr>
        <w:spacing w:line="360" w:lineRule="auto"/>
        <w:ind w:firstLine="422" w:firstLineChars="200"/>
        <w:outlineLvl w:val="0"/>
        <w:rPr>
          <w:b/>
          <w:bCs/>
          <w:color w:val="auto"/>
          <w:sz w:val="21"/>
          <w:szCs w:val="21"/>
          <w:highlight w:val="none"/>
        </w:rPr>
      </w:pPr>
      <w:bookmarkStart w:id="158" w:name="_Toc19433"/>
      <w:bookmarkStart w:id="159" w:name="_Toc351203491"/>
      <w:r>
        <w:rPr>
          <w:rFonts w:hint="eastAsia" w:hAnsi="宋体" w:cs="宋体"/>
          <w:b/>
          <w:bCs/>
          <w:color w:val="auto"/>
          <w:sz w:val="21"/>
          <w:szCs w:val="21"/>
          <w:highlight w:val="none"/>
        </w:rPr>
        <w:t>十一、补充协议</w:t>
      </w:r>
      <w:bookmarkEnd w:id="158"/>
      <w:bookmarkEnd w:id="159"/>
    </w:p>
    <w:p w14:paraId="11C9028E">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合同未尽事宜，合同当事人另行签订补充协议，补充协议是合同的组成部分。</w:t>
      </w:r>
    </w:p>
    <w:p w14:paraId="591735E0">
      <w:pPr>
        <w:spacing w:line="360" w:lineRule="auto"/>
        <w:ind w:firstLine="422" w:firstLineChars="200"/>
        <w:outlineLvl w:val="0"/>
        <w:rPr>
          <w:b/>
          <w:bCs/>
          <w:color w:val="auto"/>
          <w:sz w:val="21"/>
          <w:szCs w:val="21"/>
          <w:highlight w:val="none"/>
        </w:rPr>
      </w:pPr>
      <w:bookmarkStart w:id="160" w:name="_Toc22760"/>
      <w:bookmarkStart w:id="161" w:name="_Toc351203492"/>
      <w:r>
        <w:rPr>
          <w:rFonts w:hint="eastAsia" w:hAnsi="宋体" w:cs="宋体"/>
          <w:b/>
          <w:bCs/>
          <w:color w:val="auto"/>
          <w:sz w:val="21"/>
          <w:szCs w:val="21"/>
          <w:highlight w:val="none"/>
        </w:rPr>
        <w:t>十二、合同生效</w:t>
      </w:r>
      <w:bookmarkEnd w:id="160"/>
      <w:bookmarkEnd w:id="161"/>
    </w:p>
    <w:p w14:paraId="44B419F8">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本合同自</w:t>
      </w:r>
      <w:r>
        <w:rPr>
          <w:rFonts w:hint="eastAsia" w:hAnsi="宋体"/>
          <w:bCs/>
          <w:color w:val="auto"/>
          <w:sz w:val="21"/>
          <w:szCs w:val="21"/>
          <w:highlight w:val="none"/>
          <w:u w:val="single"/>
        </w:rPr>
        <w:t>双方法定代表人或委托代理人签字或盖章并加盖单位公章</w:t>
      </w:r>
      <w:r>
        <w:rPr>
          <w:rFonts w:hint="eastAsia" w:hAnsi="宋体"/>
          <w:bCs/>
          <w:color w:val="auto"/>
          <w:sz w:val="21"/>
          <w:szCs w:val="21"/>
          <w:highlight w:val="none"/>
        </w:rPr>
        <w:t>后</w:t>
      </w:r>
      <w:r>
        <w:rPr>
          <w:rFonts w:hint="eastAsia" w:hAnsi="宋体" w:cs="宋体"/>
          <w:color w:val="auto"/>
          <w:sz w:val="21"/>
          <w:szCs w:val="21"/>
          <w:highlight w:val="none"/>
        </w:rPr>
        <w:t>生效。</w:t>
      </w:r>
    </w:p>
    <w:p w14:paraId="3F59EFAA">
      <w:pPr>
        <w:spacing w:line="360" w:lineRule="auto"/>
        <w:ind w:firstLine="422" w:firstLineChars="200"/>
        <w:outlineLvl w:val="0"/>
        <w:rPr>
          <w:b/>
          <w:bCs/>
          <w:color w:val="auto"/>
          <w:sz w:val="21"/>
          <w:szCs w:val="21"/>
          <w:highlight w:val="none"/>
        </w:rPr>
      </w:pPr>
      <w:bookmarkStart w:id="162" w:name="_Toc351203493"/>
      <w:bookmarkStart w:id="163" w:name="_Toc10743"/>
      <w:r>
        <w:rPr>
          <w:rFonts w:hint="eastAsia" w:hAnsi="宋体" w:cs="宋体"/>
          <w:b/>
          <w:bCs/>
          <w:color w:val="auto"/>
          <w:sz w:val="21"/>
          <w:szCs w:val="21"/>
          <w:highlight w:val="none"/>
        </w:rPr>
        <w:t>十三、合同份数</w:t>
      </w:r>
      <w:bookmarkEnd w:id="162"/>
      <w:bookmarkEnd w:id="163"/>
    </w:p>
    <w:p w14:paraId="25976A1F">
      <w:pPr>
        <w:spacing w:line="360" w:lineRule="auto"/>
        <w:ind w:firstLine="420" w:firstLineChars="200"/>
        <w:rPr>
          <w:color w:val="auto"/>
          <w:sz w:val="21"/>
          <w:szCs w:val="21"/>
          <w:highlight w:val="none"/>
        </w:rPr>
      </w:pPr>
      <w:r>
        <w:rPr>
          <w:rFonts w:hint="eastAsia" w:hAnsi="宋体" w:cs="宋体"/>
          <w:color w:val="auto"/>
          <w:sz w:val="21"/>
          <w:szCs w:val="21"/>
          <w:highlight w:val="none"/>
        </w:rPr>
        <w:t>本合同一式</w:t>
      </w:r>
      <w:r>
        <w:rPr>
          <w:rFonts w:hint="eastAsia" w:hAnsi="宋体" w:cs="宋体"/>
          <w:color w:val="auto"/>
          <w:sz w:val="21"/>
          <w:szCs w:val="21"/>
          <w:highlight w:val="none"/>
          <w:lang w:val="en-US" w:eastAsia="zh-CN"/>
        </w:rPr>
        <w:t>两</w:t>
      </w:r>
      <w:r>
        <w:rPr>
          <w:rFonts w:hint="eastAsia" w:hAnsi="宋体" w:cs="宋体"/>
          <w:color w:val="auto"/>
          <w:sz w:val="21"/>
          <w:szCs w:val="21"/>
          <w:highlight w:val="none"/>
        </w:rPr>
        <w:t>份，均具有同等法律效力，发包人执</w:t>
      </w:r>
      <w:r>
        <w:rPr>
          <w:rFonts w:hint="eastAsia" w:hAnsi="宋体" w:cs="宋体"/>
          <w:color w:val="auto"/>
          <w:sz w:val="21"/>
          <w:szCs w:val="21"/>
          <w:highlight w:val="none"/>
          <w:lang w:val="en-US" w:eastAsia="zh-CN"/>
        </w:rPr>
        <w:t>一</w:t>
      </w:r>
      <w:r>
        <w:rPr>
          <w:rFonts w:hint="eastAsia" w:hAnsi="宋体" w:cs="宋体"/>
          <w:color w:val="auto"/>
          <w:sz w:val="21"/>
          <w:szCs w:val="21"/>
          <w:highlight w:val="none"/>
        </w:rPr>
        <w:t>份，承包人执</w:t>
      </w:r>
      <w:r>
        <w:rPr>
          <w:rFonts w:hint="eastAsia" w:hAnsi="宋体" w:cs="宋体"/>
          <w:color w:val="auto"/>
          <w:sz w:val="21"/>
          <w:szCs w:val="21"/>
          <w:highlight w:val="none"/>
          <w:lang w:val="en-US" w:eastAsia="zh-CN"/>
        </w:rPr>
        <w:t>一</w:t>
      </w:r>
      <w:r>
        <w:rPr>
          <w:rFonts w:hint="eastAsia" w:hAnsi="宋体" w:cs="宋体"/>
          <w:color w:val="auto"/>
          <w:sz w:val="21"/>
          <w:szCs w:val="21"/>
          <w:highlight w:val="none"/>
        </w:rPr>
        <w:t>份。</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3"/>
        <w:gridCol w:w="4443"/>
      </w:tblGrid>
      <w:tr w14:paraId="754D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4443" w:type="dxa"/>
          </w:tcPr>
          <w:p w14:paraId="4D910037">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发包人：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c>
          <w:tcPr>
            <w:tcW w:w="4443" w:type="dxa"/>
          </w:tcPr>
          <w:p w14:paraId="1EC9EBB1">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承包人：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r>
      <w:tr w14:paraId="3AB8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4443" w:type="dxa"/>
          </w:tcPr>
          <w:p w14:paraId="0E39D6FC">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136175AF">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c>
          <w:tcPr>
            <w:tcW w:w="4443" w:type="dxa"/>
            <w:shd w:val="clear" w:color="auto" w:fill="auto"/>
            <w:vAlign w:val="top"/>
          </w:tcPr>
          <w:p w14:paraId="7A5DB032">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2580F53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r>
      <w:tr w14:paraId="5ABE6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9FE72BD">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统一社会信用代码：</w:t>
            </w:r>
          </w:p>
        </w:tc>
        <w:tc>
          <w:tcPr>
            <w:tcW w:w="4443" w:type="dxa"/>
            <w:shd w:val="clear" w:color="auto" w:fill="auto"/>
            <w:vAlign w:val="top"/>
          </w:tcPr>
          <w:p w14:paraId="4404811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统一社会信用代码：</w:t>
            </w:r>
          </w:p>
        </w:tc>
      </w:tr>
      <w:tr w14:paraId="7FBB8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E9A67A3">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地址：</w:t>
            </w:r>
          </w:p>
        </w:tc>
        <w:tc>
          <w:tcPr>
            <w:tcW w:w="4443" w:type="dxa"/>
            <w:shd w:val="clear" w:color="auto" w:fill="auto"/>
            <w:vAlign w:val="top"/>
          </w:tcPr>
          <w:p w14:paraId="307B3CD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地址：</w:t>
            </w:r>
          </w:p>
        </w:tc>
      </w:tr>
      <w:tr w14:paraId="2F349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766A827A">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邮政编码：</w:t>
            </w:r>
          </w:p>
        </w:tc>
        <w:tc>
          <w:tcPr>
            <w:tcW w:w="4443" w:type="dxa"/>
            <w:shd w:val="clear" w:color="auto" w:fill="auto"/>
            <w:vAlign w:val="top"/>
          </w:tcPr>
          <w:p w14:paraId="26EE978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邮政编码：</w:t>
            </w:r>
          </w:p>
        </w:tc>
      </w:tr>
      <w:tr w14:paraId="3AA82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A6137C6">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法定代表人：</w:t>
            </w:r>
          </w:p>
        </w:tc>
        <w:tc>
          <w:tcPr>
            <w:tcW w:w="4443" w:type="dxa"/>
            <w:shd w:val="clear" w:color="auto" w:fill="auto"/>
            <w:vAlign w:val="top"/>
          </w:tcPr>
          <w:p w14:paraId="202CDD1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法定代表人：</w:t>
            </w:r>
          </w:p>
        </w:tc>
      </w:tr>
      <w:tr w14:paraId="59AC3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7BF34058">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委托代理人：</w:t>
            </w:r>
          </w:p>
        </w:tc>
        <w:tc>
          <w:tcPr>
            <w:tcW w:w="4443" w:type="dxa"/>
            <w:shd w:val="clear" w:color="auto" w:fill="auto"/>
            <w:vAlign w:val="top"/>
          </w:tcPr>
          <w:p w14:paraId="27144876">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委托代理人：</w:t>
            </w:r>
          </w:p>
        </w:tc>
      </w:tr>
      <w:tr w14:paraId="28DA8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24FF7FB">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电话：</w:t>
            </w:r>
          </w:p>
        </w:tc>
        <w:tc>
          <w:tcPr>
            <w:tcW w:w="4443" w:type="dxa"/>
            <w:shd w:val="clear" w:color="auto" w:fill="auto"/>
            <w:vAlign w:val="top"/>
          </w:tcPr>
          <w:p w14:paraId="37BA9BC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电话：</w:t>
            </w:r>
          </w:p>
        </w:tc>
      </w:tr>
      <w:tr w14:paraId="2E02C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1A20B03C">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传真：</w:t>
            </w:r>
          </w:p>
        </w:tc>
        <w:tc>
          <w:tcPr>
            <w:tcW w:w="4443" w:type="dxa"/>
            <w:shd w:val="clear" w:color="auto" w:fill="auto"/>
            <w:vAlign w:val="top"/>
          </w:tcPr>
          <w:p w14:paraId="64A659AA">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传真：</w:t>
            </w:r>
          </w:p>
        </w:tc>
      </w:tr>
      <w:tr w14:paraId="31B7B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357D95FD">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电子信箱：</w:t>
            </w:r>
          </w:p>
        </w:tc>
        <w:tc>
          <w:tcPr>
            <w:tcW w:w="4443" w:type="dxa"/>
            <w:shd w:val="clear" w:color="auto" w:fill="auto"/>
            <w:vAlign w:val="top"/>
          </w:tcPr>
          <w:p w14:paraId="47BD7E71">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电子信箱：</w:t>
            </w:r>
          </w:p>
        </w:tc>
      </w:tr>
      <w:tr w14:paraId="32DD6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47B0358D">
            <w:pPr>
              <w:keepNext w:val="0"/>
              <w:keepLines w:val="0"/>
              <w:suppressLineNumbers w:val="0"/>
              <w:spacing w:before="0" w:beforeAutospacing="0" w:after="0" w:afterAutospacing="0" w:line="360" w:lineRule="auto"/>
              <w:ind w:left="0" w:right="0"/>
              <w:rPr>
                <w:rFonts w:hint="default"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开户名</w:t>
            </w:r>
          </w:p>
        </w:tc>
        <w:tc>
          <w:tcPr>
            <w:tcW w:w="4443" w:type="dxa"/>
            <w:shd w:val="clear" w:color="auto" w:fill="auto"/>
            <w:vAlign w:val="top"/>
          </w:tcPr>
          <w:p w14:paraId="7980F821">
            <w:pPr>
              <w:keepNext w:val="0"/>
              <w:keepLines w:val="0"/>
              <w:suppressLineNumbers w:val="0"/>
              <w:spacing w:before="0" w:beforeAutospacing="0" w:after="0" w:afterAutospacing="0" w:line="360" w:lineRule="auto"/>
              <w:ind w:left="0" w:right="0"/>
              <w:rPr>
                <w:rFonts w:hint="default"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lang w:val="en-US" w:eastAsia="zh-CN"/>
              </w:rPr>
              <w:t>开户名</w:t>
            </w:r>
          </w:p>
        </w:tc>
      </w:tr>
      <w:tr w14:paraId="5FAE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A812A0F">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开户银行：</w:t>
            </w:r>
          </w:p>
        </w:tc>
        <w:tc>
          <w:tcPr>
            <w:tcW w:w="4443" w:type="dxa"/>
            <w:shd w:val="clear" w:color="auto" w:fill="auto"/>
            <w:vAlign w:val="top"/>
          </w:tcPr>
          <w:p w14:paraId="4EDEF77B">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开户银行：</w:t>
            </w:r>
          </w:p>
        </w:tc>
      </w:tr>
      <w:tr w14:paraId="02AFD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5B21F1F0">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账号：</w:t>
            </w:r>
          </w:p>
        </w:tc>
        <w:tc>
          <w:tcPr>
            <w:tcW w:w="4443" w:type="dxa"/>
            <w:shd w:val="clear" w:color="auto" w:fill="auto"/>
            <w:vAlign w:val="top"/>
          </w:tcPr>
          <w:p w14:paraId="653802CA">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账号：</w:t>
            </w:r>
          </w:p>
        </w:tc>
      </w:tr>
    </w:tbl>
    <w:p w14:paraId="795E966A">
      <w:pPr>
        <w:widowControl/>
        <w:jc w:val="left"/>
        <w:rPr>
          <w:color w:val="auto"/>
          <w:highlight w:val="none"/>
          <w:u w:val="single"/>
        </w:rPr>
      </w:pPr>
    </w:p>
    <w:p w14:paraId="652DB5E5">
      <w:pPr>
        <w:pStyle w:val="2"/>
        <w:jc w:val="center"/>
        <w:rPr>
          <w:rFonts w:hint="eastAsia" w:cs="黑体"/>
          <w:color w:val="auto"/>
          <w:sz w:val="40"/>
          <w:szCs w:val="18"/>
          <w:highlight w:val="none"/>
        </w:rPr>
      </w:pPr>
      <w:bookmarkStart w:id="164" w:name="_Toc78449778"/>
      <w:bookmarkStart w:id="165" w:name="_Toc86847323"/>
      <w:bookmarkStart w:id="166" w:name="_Toc1714491818"/>
      <w:bookmarkStart w:id="167" w:name="_Toc19088"/>
      <w:bookmarkStart w:id="168" w:name="_Toc389065256"/>
      <w:bookmarkStart w:id="169" w:name="_Toc407135192"/>
      <w:bookmarkStart w:id="170" w:name="_Toc373478338"/>
      <w:bookmarkStart w:id="171" w:name="_Toc373227691"/>
      <w:bookmarkStart w:id="172" w:name="_Toc351203632"/>
    </w:p>
    <w:p w14:paraId="59DA1D32">
      <w:pPr>
        <w:pStyle w:val="2"/>
        <w:jc w:val="center"/>
        <w:rPr>
          <w:color w:val="auto"/>
          <w:sz w:val="40"/>
          <w:szCs w:val="18"/>
          <w:highlight w:val="none"/>
        </w:rPr>
      </w:pPr>
      <w:r>
        <w:rPr>
          <w:rFonts w:hint="eastAsia" w:cs="黑体"/>
          <w:color w:val="auto"/>
          <w:sz w:val="40"/>
          <w:szCs w:val="18"/>
          <w:highlight w:val="none"/>
        </w:rPr>
        <w:t>第二部分通用合同条款</w:t>
      </w:r>
      <w:bookmarkEnd w:id="164"/>
      <w:bookmarkEnd w:id="165"/>
      <w:bookmarkEnd w:id="166"/>
      <w:bookmarkEnd w:id="167"/>
      <w:bookmarkEnd w:id="168"/>
      <w:bookmarkEnd w:id="169"/>
    </w:p>
    <w:p w14:paraId="2E52522A">
      <w:pPr>
        <w:spacing w:line="360" w:lineRule="auto"/>
        <w:ind w:firstLine="400" w:firstLineChars="200"/>
        <w:rPr>
          <w:rFonts w:hAnsi="宋体"/>
          <w:color w:val="auto"/>
          <w:kern w:val="0"/>
          <w:highlight w:val="none"/>
        </w:rPr>
      </w:pPr>
    </w:p>
    <w:p w14:paraId="67A24CB5">
      <w:pPr>
        <w:pStyle w:val="2"/>
        <w:keepNext w:val="0"/>
        <w:keepLines w:val="0"/>
        <w:jc w:val="center"/>
        <w:rPr>
          <w:rFonts w:hAnsi="宋体"/>
          <w:color w:val="auto"/>
          <w:sz w:val="30"/>
          <w:szCs w:val="30"/>
          <w:highlight w:val="none"/>
        </w:rPr>
      </w:pPr>
      <w:bookmarkStart w:id="173" w:name="_Toc704444909"/>
      <w:bookmarkStart w:id="174" w:name="_Toc407135193"/>
      <w:bookmarkStart w:id="175" w:name="_Toc78449779"/>
      <w:bookmarkStart w:id="176" w:name="_Toc389065257"/>
      <w:bookmarkStart w:id="177" w:name="_Toc31141"/>
      <w:bookmarkStart w:id="178" w:name="_Toc1204138598"/>
      <w:r>
        <w:rPr>
          <w:rFonts w:hint="eastAsia" w:hAnsi="宋体" w:cs="黑体"/>
          <w:color w:val="auto"/>
          <w:sz w:val="30"/>
          <w:szCs w:val="30"/>
          <w:highlight w:val="none"/>
        </w:rPr>
        <w:t>第三部分专用合同条款</w:t>
      </w:r>
      <w:bookmarkEnd w:id="170"/>
      <w:bookmarkEnd w:id="171"/>
      <w:bookmarkEnd w:id="172"/>
      <w:bookmarkEnd w:id="173"/>
      <w:bookmarkEnd w:id="174"/>
      <w:bookmarkEnd w:id="175"/>
      <w:bookmarkEnd w:id="176"/>
      <w:bookmarkEnd w:id="177"/>
      <w:bookmarkEnd w:id="178"/>
    </w:p>
    <w:p w14:paraId="219A5343">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5D49BEC0">
      <w:pPr>
        <w:pStyle w:val="3"/>
        <w:rPr>
          <w:color w:val="auto"/>
          <w:highlight w:val="none"/>
        </w:rPr>
      </w:pPr>
      <w:bookmarkStart w:id="179" w:name="_Toc1516097295"/>
      <w:bookmarkStart w:id="180" w:name="_Toc407135194"/>
      <w:bookmarkStart w:id="181" w:name="_Toc373478339"/>
      <w:bookmarkStart w:id="182" w:name="_Toc78449780"/>
      <w:bookmarkStart w:id="183" w:name="_Toc1013968286"/>
      <w:bookmarkStart w:id="184" w:name="_Toc5431"/>
      <w:bookmarkStart w:id="185" w:name="_Toc373227692"/>
      <w:bookmarkStart w:id="186" w:name="_Toc351203633"/>
      <w:bookmarkStart w:id="187" w:name="_Toc389065258"/>
      <w:r>
        <w:rPr>
          <w:color w:val="auto"/>
          <w:highlight w:val="none"/>
        </w:rPr>
        <w:t>1</w:t>
      </w:r>
      <w:bookmarkStart w:id="188" w:name="_Toc297048342"/>
      <w:bookmarkStart w:id="189" w:name="_Toc292559361"/>
      <w:bookmarkStart w:id="190" w:name="_Toc296503156"/>
      <w:bookmarkStart w:id="191" w:name="_Toc296890984"/>
      <w:bookmarkStart w:id="192" w:name="_Toc296944495"/>
      <w:bookmarkStart w:id="193" w:name="_Toc292559866"/>
      <w:bookmarkStart w:id="194" w:name="_Toc296346657"/>
      <w:bookmarkStart w:id="195" w:name="_Toc296347155"/>
      <w:bookmarkStart w:id="196" w:name="_Toc296891196"/>
      <w:bookmarkStart w:id="197" w:name="_Toc297120456"/>
      <w:r>
        <w:rPr>
          <w:color w:val="auto"/>
          <w:highlight w:val="none"/>
        </w:rPr>
        <w:t>.</w:t>
      </w:r>
      <w:r>
        <w:rPr>
          <w:rFonts w:hint="eastAsia" w:hAnsi="宋体" w:cs="黑体"/>
          <w:color w:val="auto"/>
          <w:highlight w:val="none"/>
        </w:rPr>
        <w:t>一般约定</w:t>
      </w:r>
      <w:bookmarkEnd w:id="179"/>
      <w:bookmarkEnd w:id="180"/>
      <w:bookmarkEnd w:id="181"/>
      <w:bookmarkEnd w:id="182"/>
      <w:bookmarkEnd w:id="183"/>
      <w:bookmarkEnd w:id="184"/>
      <w:bookmarkEnd w:id="185"/>
      <w:bookmarkEnd w:id="186"/>
      <w:bookmarkEnd w:id="187"/>
    </w:p>
    <w:bookmarkEnd w:id="188"/>
    <w:bookmarkEnd w:id="189"/>
    <w:bookmarkEnd w:id="190"/>
    <w:bookmarkEnd w:id="191"/>
    <w:bookmarkEnd w:id="192"/>
    <w:bookmarkEnd w:id="193"/>
    <w:bookmarkEnd w:id="194"/>
    <w:bookmarkEnd w:id="195"/>
    <w:bookmarkEnd w:id="196"/>
    <w:bookmarkEnd w:id="197"/>
    <w:p w14:paraId="456A1600">
      <w:pPr>
        <w:pStyle w:val="4"/>
        <w:rPr>
          <w:color w:val="auto"/>
          <w:highlight w:val="none"/>
        </w:rPr>
      </w:pPr>
      <w:bookmarkStart w:id="198" w:name="_Toc155697041"/>
      <w:bookmarkStart w:id="199" w:name="_Toc1618220701"/>
      <w:bookmarkStart w:id="200" w:name="_Toc373227693"/>
      <w:bookmarkStart w:id="201" w:name="_Toc373478340"/>
      <w:bookmarkStart w:id="202" w:name="_Toc407135195"/>
      <w:bookmarkStart w:id="203" w:name="_Toc30147"/>
      <w:bookmarkStart w:id="204" w:name="_Toc78449781"/>
      <w:bookmarkStart w:id="205" w:name="_Toc389065259"/>
      <w:r>
        <w:rPr>
          <w:color w:val="auto"/>
          <w:highlight w:val="none"/>
        </w:rPr>
        <w:t>1.1</w:t>
      </w:r>
      <w:r>
        <w:rPr>
          <w:rFonts w:hint="eastAsia" w:hAnsi="宋体" w:cs="黑体"/>
          <w:color w:val="auto"/>
          <w:highlight w:val="none"/>
        </w:rPr>
        <w:t>词语定义</w:t>
      </w:r>
      <w:bookmarkEnd w:id="198"/>
      <w:bookmarkEnd w:id="199"/>
      <w:bookmarkEnd w:id="200"/>
      <w:bookmarkEnd w:id="201"/>
      <w:bookmarkEnd w:id="202"/>
      <w:bookmarkEnd w:id="203"/>
      <w:bookmarkEnd w:id="204"/>
      <w:bookmarkEnd w:id="205"/>
    </w:p>
    <w:p w14:paraId="492B2B1A">
      <w:pPr>
        <w:spacing w:line="360" w:lineRule="auto"/>
        <w:ind w:firstLine="420" w:firstLineChars="200"/>
        <w:rPr>
          <w:color w:val="auto"/>
          <w:kern w:val="0"/>
          <w:sz w:val="21"/>
          <w:szCs w:val="21"/>
          <w:highlight w:val="none"/>
        </w:rPr>
      </w:pPr>
      <w:r>
        <w:rPr>
          <w:color w:val="auto"/>
          <w:kern w:val="0"/>
          <w:sz w:val="21"/>
          <w:szCs w:val="21"/>
          <w:highlight w:val="none"/>
        </w:rPr>
        <w:t>1.1.1</w:t>
      </w:r>
      <w:r>
        <w:rPr>
          <w:rFonts w:hint="eastAsia" w:hAnsi="宋体" w:cs="宋体"/>
          <w:color w:val="auto"/>
          <w:kern w:val="0"/>
          <w:sz w:val="21"/>
          <w:szCs w:val="21"/>
          <w:highlight w:val="none"/>
        </w:rPr>
        <w:t>合同</w:t>
      </w:r>
    </w:p>
    <w:p w14:paraId="1A10F948">
      <w:pPr>
        <w:spacing w:line="360" w:lineRule="auto"/>
        <w:rPr>
          <w:rFonts w:hint="eastAsia"/>
          <w:color w:val="auto"/>
          <w:sz w:val="21"/>
          <w:szCs w:val="21"/>
          <w:highlight w:val="none"/>
          <w:u w:val="single"/>
        </w:rPr>
      </w:pPr>
      <w:r>
        <w:rPr>
          <w:color w:val="auto"/>
          <w:kern w:val="0"/>
          <w:sz w:val="21"/>
          <w:szCs w:val="21"/>
          <w:highlight w:val="none"/>
        </w:rPr>
        <w:t>1.1.1.10</w:t>
      </w:r>
      <w:r>
        <w:rPr>
          <w:rFonts w:hint="eastAsia" w:hAnsi="宋体" w:cs="宋体"/>
          <w:color w:val="auto"/>
          <w:kern w:val="0"/>
          <w:sz w:val="21"/>
          <w:szCs w:val="21"/>
          <w:highlight w:val="none"/>
        </w:rPr>
        <w:t>其他合同文件包括：</w:t>
      </w:r>
      <w:r>
        <w:rPr>
          <w:rFonts w:hint="eastAsia"/>
          <w:color w:val="auto"/>
          <w:sz w:val="21"/>
          <w:szCs w:val="21"/>
          <w:highlight w:val="none"/>
          <w:u w:val="single"/>
        </w:rPr>
        <w:t>履行合同过程中双方法定代表人或委托代理人书面确认的对合同内容有实质性影响的会议纪要、签证、设计变更等资料但未经发包人书面盖章批准的会议纪要、签证、设计变更等，对发包人不具有约束力。</w:t>
      </w:r>
    </w:p>
    <w:p w14:paraId="2BE36731">
      <w:pPr>
        <w:spacing w:line="360" w:lineRule="auto"/>
        <w:ind w:firstLine="420" w:firstLineChars="200"/>
        <w:rPr>
          <w:color w:val="auto"/>
          <w:sz w:val="21"/>
          <w:szCs w:val="21"/>
          <w:highlight w:val="none"/>
        </w:rPr>
      </w:pPr>
      <w:r>
        <w:rPr>
          <w:color w:val="auto"/>
          <w:sz w:val="21"/>
          <w:szCs w:val="21"/>
          <w:highlight w:val="none"/>
        </w:rPr>
        <w:t>1.1.2</w:t>
      </w:r>
      <w:r>
        <w:rPr>
          <w:rFonts w:hint="eastAsia" w:hAnsi="宋体" w:cs="宋体"/>
          <w:color w:val="auto"/>
          <w:sz w:val="21"/>
          <w:szCs w:val="21"/>
          <w:highlight w:val="none"/>
        </w:rPr>
        <w:t>合同当事人及其他相关方</w:t>
      </w:r>
    </w:p>
    <w:p w14:paraId="215BFC7D">
      <w:pPr>
        <w:spacing w:line="360" w:lineRule="auto"/>
        <w:ind w:firstLine="420" w:firstLineChars="200"/>
        <w:outlineLvl w:val="0"/>
        <w:rPr>
          <w:color w:val="auto"/>
          <w:sz w:val="21"/>
          <w:szCs w:val="21"/>
          <w:highlight w:val="none"/>
        </w:rPr>
      </w:pPr>
      <w:bookmarkStart w:id="206" w:name="_Toc29003"/>
      <w:r>
        <w:rPr>
          <w:color w:val="auto"/>
          <w:sz w:val="21"/>
          <w:szCs w:val="21"/>
          <w:highlight w:val="none"/>
        </w:rPr>
        <w:t>1.1.2.4</w:t>
      </w:r>
      <w:r>
        <w:rPr>
          <w:rFonts w:hint="eastAsia" w:hAnsi="宋体" w:cs="宋体"/>
          <w:color w:val="auto"/>
          <w:sz w:val="21"/>
          <w:szCs w:val="21"/>
          <w:highlight w:val="none"/>
        </w:rPr>
        <w:t>监理人：</w:t>
      </w:r>
      <w:bookmarkEnd w:id="206"/>
    </w:p>
    <w:p w14:paraId="55A4F3A7">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50AA46AD">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1401D54B">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75689984">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3CEEE17">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5BD1231D">
      <w:pPr>
        <w:spacing w:line="360" w:lineRule="auto"/>
        <w:ind w:firstLine="420" w:firstLineChars="200"/>
        <w:outlineLvl w:val="0"/>
        <w:rPr>
          <w:color w:val="auto"/>
          <w:sz w:val="21"/>
          <w:szCs w:val="21"/>
          <w:highlight w:val="none"/>
        </w:rPr>
      </w:pPr>
      <w:bookmarkStart w:id="207" w:name="_Toc16988"/>
      <w:r>
        <w:rPr>
          <w:color w:val="auto"/>
          <w:sz w:val="21"/>
          <w:szCs w:val="21"/>
          <w:highlight w:val="none"/>
        </w:rPr>
        <w:t>1.1.2.5</w:t>
      </w:r>
      <w:r>
        <w:rPr>
          <w:rFonts w:hint="eastAsia" w:hAnsi="宋体" w:cs="宋体"/>
          <w:color w:val="auto"/>
          <w:sz w:val="21"/>
          <w:szCs w:val="21"/>
          <w:highlight w:val="none"/>
        </w:rPr>
        <w:t>设计人：</w:t>
      </w:r>
      <w:bookmarkEnd w:id="207"/>
    </w:p>
    <w:p w14:paraId="22D814D9">
      <w:pPr>
        <w:spacing w:line="360" w:lineRule="auto"/>
        <w:ind w:firstLine="420" w:firstLineChars="200"/>
        <w:rPr>
          <w:color w:val="auto"/>
          <w:sz w:val="21"/>
          <w:szCs w:val="21"/>
          <w:highlight w:val="non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6C7516AB">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1BA0AF0F">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24086430">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692BDB7D">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5613BE68">
      <w:pPr>
        <w:spacing w:line="360" w:lineRule="auto"/>
        <w:ind w:firstLine="420" w:firstLineChars="200"/>
        <w:rPr>
          <w:color w:val="auto"/>
          <w:sz w:val="21"/>
          <w:szCs w:val="21"/>
          <w:highlight w:val="none"/>
        </w:rPr>
      </w:pPr>
      <w:r>
        <w:rPr>
          <w:color w:val="auto"/>
          <w:sz w:val="21"/>
          <w:szCs w:val="21"/>
          <w:highlight w:val="none"/>
        </w:rPr>
        <w:t>1.1.3</w:t>
      </w:r>
      <w:r>
        <w:rPr>
          <w:rFonts w:hint="eastAsia" w:hAnsi="宋体" w:cs="宋体"/>
          <w:color w:val="auto"/>
          <w:sz w:val="21"/>
          <w:szCs w:val="21"/>
          <w:highlight w:val="none"/>
        </w:rPr>
        <w:t>工程和设备</w:t>
      </w:r>
    </w:p>
    <w:p w14:paraId="1B284BBE">
      <w:pPr>
        <w:pStyle w:val="49"/>
        <w:spacing w:line="360" w:lineRule="auto"/>
        <w:ind w:firstLine="420" w:firstLineChars="200"/>
        <w:outlineLvl w:val="0"/>
        <w:rPr>
          <w:rFonts w:hint="eastAsia" w:ascii="Times New Roman" w:hAnsi="宋体" w:cs="宋体"/>
          <w:color w:val="auto"/>
          <w:sz w:val="21"/>
          <w:szCs w:val="21"/>
          <w:highlight w:val="none"/>
          <w:u w:val="single"/>
        </w:rPr>
      </w:pPr>
      <w:bookmarkStart w:id="208" w:name="_Toc29341"/>
      <w:r>
        <w:rPr>
          <w:color w:val="auto"/>
          <w:sz w:val="21"/>
          <w:szCs w:val="21"/>
          <w:highlight w:val="none"/>
        </w:rPr>
        <w:t>1.1.3.7</w:t>
      </w:r>
      <w:r>
        <w:rPr>
          <w:rFonts w:hint="eastAsia" w:hAnsi="宋体" w:cs="宋体"/>
          <w:color w:val="auto"/>
          <w:sz w:val="21"/>
          <w:szCs w:val="21"/>
          <w:highlight w:val="none"/>
        </w:rPr>
        <w:t>作为施工现场组成部分的其他场所包括：</w:t>
      </w:r>
      <w:r>
        <w:rPr>
          <w:rFonts w:hint="eastAsia" w:ascii="Times New Roman" w:hAnsi="宋体" w:cs="宋体"/>
          <w:color w:val="auto"/>
          <w:sz w:val="21"/>
          <w:szCs w:val="21"/>
          <w:highlight w:val="none"/>
          <w:u w:val="single"/>
        </w:rPr>
        <w:t>包括运料通道、材料堆放、材料加工、施</w:t>
      </w:r>
      <w:bookmarkEnd w:id="208"/>
    </w:p>
    <w:p w14:paraId="3506C622">
      <w:pPr>
        <w:spacing w:line="360" w:lineRule="auto"/>
        <w:ind w:firstLine="420" w:firstLineChars="200"/>
        <w:rPr>
          <w:color w:val="auto"/>
          <w:sz w:val="21"/>
          <w:szCs w:val="21"/>
          <w:highlight w:val="none"/>
        </w:rPr>
      </w:pPr>
      <w:r>
        <w:rPr>
          <w:rFonts w:hint="eastAsia" w:ascii="Times New Roman" w:hAnsi="宋体" w:cs="宋体"/>
          <w:color w:val="auto"/>
          <w:sz w:val="21"/>
          <w:szCs w:val="21"/>
          <w:highlight w:val="none"/>
          <w:u w:val="single"/>
          <w:lang w:eastAsia="zh-CN"/>
        </w:rPr>
        <w:t>工作</w:t>
      </w:r>
      <w:r>
        <w:rPr>
          <w:rFonts w:hint="eastAsia" w:ascii="Times New Roman" w:hAnsi="宋体" w:cs="宋体"/>
          <w:color w:val="auto"/>
          <w:sz w:val="21"/>
          <w:szCs w:val="21"/>
          <w:highlight w:val="none"/>
          <w:u w:val="single"/>
        </w:rPr>
        <w:t>以及承包人办公生活所使用的场所</w:t>
      </w:r>
      <w:r>
        <w:rPr>
          <w:rFonts w:hint="eastAsia" w:hAnsi="宋体" w:cs="宋体"/>
          <w:color w:val="auto"/>
          <w:sz w:val="21"/>
          <w:szCs w:val="21"/>
          <w:highlight w:val="none"/>
        </w:rPr>
        <w:t>。</w:t>
      </w:r>
    </w:p>
    <w:p w14:paraId="0B7C12F1">
      <w:pPr>
        <w:pStyle w:val="49"/>
        <w:spacing w:line="360" w:lineRule="auto"/>
        <w:ind w:firstLine="420" w:firstLineChars="200"/>
        <w:jc w:val="left"/>
        <w:rPr>
          <w:rFonts w:ascii="Times New Roman" w:hAnsi="Times New Roman"/>
          <w:color w:val="auto"/>
          <w:kern w:val="0"/>
          <w:sz w:val="21"/>
          <w:szCs w:val="21"/>
          <w:highlight w:val="none"/>
        </w:rPr>
      </w:pPr>
      <w:r>
        <w:rPr>
          <w:color w:val="auto"/>
          <w:kern w:val="0"/>
          <w:sz w:val="21"/>
          <w:szCs w:val="21"/>
          <w:highlight w:val="none"/>
        </w:rPr>
        <w:t>1.1.3.9</w:t>
      </w:r>
      <w:r>
        <w:rPr>
          <w:rFonts w:hint="eastAsia" w:hAnsi="宋体" w:cs="宋体"/>
          <w:color w:val="auto"/>
          <w:kern w:val="0"/>
          <w:sz w:val="21"/>
          <w:szCs w:val="21"/>
          <w:highlight w:val="none"/>
        </w:rPr>
        <w:t>永久占地包括：</w:t>
      </w:r>
      <w:r>
        <w:rPr>
          <w:rFonts w:hint="eastAsia" w:ascii="宋体" w:hAnsi="宋体"/>
          <w:color w:val="auto"/>
          <w:sz w:val="21"/>
          <w:szCs w:val="21"/>
          <w:highlight w:val="none"/>
          <w:u w:val="single"/>
        </w:rPr>
        <w:t>具体内容见双方确认的本工程规划红线图为准</w:t>
      </w:r>
      <w:r>
        <w:rPr>
          <w:rFonts w:hint="eastAsia" w:ascii="Times New Roman" w:hAnsi="宋体" w:cs="宋体"/>
          <w:color w:val="auto"/>
          <w:kern w:val="0"/>
          <w:sz w:val="21"/>
          <w:szCs w:val="21"/>
          <w:highlight w:val="none"/>
        </w:rPr>
        <w:t>。</w:t>
      </w:r>
    </w:p>
    <w:p w14:paraId="7B57B25C">
      <w:pPr>
        <w:pStyle w:val="49"/>
        <w:spacing w:line="360" w:lineRule="auto"/>
        <w:ind w:firstLine="420" w:firstLineChars="200"/>
        <w:jc w:val="left"/>
        <w:rPr>
          <w:rFonts w:hint="eastAsia" w:ascii="Times New Roman" w:hAnsi="宋体" w:cs="宋体"/>
          <w:color w:val="auto"/>
          <w:kern w:val="0"/>
          <w:sz w:val="21"/>
          <w:szCs w:val="21"/>
          <w:highlight w:val="none"/>
          <w:u w:val="single"/>
        </w:rPr>
      </w:pPr>
      <w:r>
        <w:rPr>
          <w:rFonts w:ascii="Times New Roman" w:hAnsi="Times New Roman"/>
          <w:color w:val="auto"/>
          <w:kern w:val="0"/>
          <w:sz w:val="21"/>
          <w:szCs w:val="21"/>
          <w:highlight w:val="none"/>
        </w:rPr>
        <w:t>1.1.3.10</w:t>
      </w:r>
      <w:r>
        <w:rPr>
          <w:rFonts w:hint="eastAsia" w:ascii="Times New Roman" w:hAnsi="宋体" w:cs="宋体"/>
          <w:color w:val="auto"/>
          <w:kern w:val="0"/>
          <w:sz w:val="21"/>
          <w:szCs w:val="21"/>
          <w:highlight w:val="none"/>
        </w:rPr>
        <w:t>临时占地包括：</w:t>
      </w:r>
      <w:r>
        <w:rPr>
          <w:rFonts w:hint="eastAsia" w:ascii="Times New Roman" w:hAnsi="宋体" w:cs="宋体"/>
          <w:color w:val="auto"/>
          <w:kern w:val="0"/>
          <w:sz w:val="21"/>
          <w:szCs w:val="21"/>
          <w:highlight w:val="none"/>
          <w:u w:val="single"/>
        </w:rPr>
        <w:t>临时设施、运料通道、材料堆放、材料加工等为实施合同工程需临</w:t>
      </w:r>
    </w:p>
    <w:p w14:paraId="7F12E811">
      <w:pPr>
        <w:pStyle w:val="49"/>
        <w:spacing w:line="360" w:lineRule="auto"/>
        <w:ind w:firstLine="420" w:firstLineChars="200"/>
        <w:jc w:val="left"/>
        <w:rPr>
          <w:rFonts w:hint="eastAsia" w:ascii="Times New Roman" w:hAnsi="宋体" w:cs="宋体"/>
          <w:color w:val="auto"/>
          <w:kern w:val="0"/>
          <w:sz w:val="21"/>
          <w:szCs w:val="21"/>
          <w:highlight w:val="none"/>
          <w:u w:val="single"/>
        </w:rPr>
      </w:pPr>
      <w:r>
        <w:rPr>
          <w:rFonts w:hint="eastAsia" w:ascii="Times New Roman" w:hAnsi="宋体" w:cs="宋体"/>
          <w:color w:val="auto"/>
          <w:kern w:val="0"/>
          <w:sz w:val="21"/>
          <w:szCs w:val="21"/>
          <w:highlight w:val="none"/>
          <w:u w:val="single"/>
        </w:rPr>
        <w:t>时占用的土地</w:t>
      </w:r>
      <w:r>
        <w:rPr>
          <w:rFonts w:hint="eastAsia" w:ascii="Times New Roman" w:hAnsi="宋体" w:cs="宋体"/>
          <w:color w:val="auto"/>
          <w:kern w:val="0"/>
          <w:sz w:val="21"/>
          <w:szCs w:val="21"/>
          <w:highlight w:val="none"/>
          <w:u w:val="single"/>
          <w:lang w:eastAsia="zh-CN"/>
        </w:rPr>
        <w:t>；临时占地涉及青苗补偿及地上附着物补偿的，由发包人负责协调，承包人承担实际发生的费用，该费用已包含在磋商报价中。临时用地的复垦、恢复原状责任由承包人承担</w:t>
      </w:r>
      <w:r>
        <w:rPr>
          <w:rFonts w:hint="eastAsia" w:ascii="Times New Roman" w:hAnsi="宋体" w:cs="宋体"/>
          <w:color w:val="auto"/>
          <w:kern w:val="0"/>
          <w:sz w:val="21"/>
          <w:szCs w:val="21"/>
          <w:highlight w:val="none"/>
          <w:u w:val="single"/>
        </w:rPr>
        <w:t>。</w:t>
      </w:r>
    </w:p>
    <w:p w14:paraId="61E52360">
      <w:pPr>
        <w:pStyle w:val="4"/>
        <w:rPr>
          <w:color w:val="auto"/>
          <w:highlight w:val="none"/>
        </w:rPr>
      </w:pPr>
      <w:bookmarkStart w:id="209" w:name="_Toc373478341"/>
      <w:bookmarkStart w:id="210" w:name="_Toc389065260"/>
      <w:bookmarkStart w:id="211" w:name="_Toc27691"/>
      <w:bookmarkStart w:id="212" w:name="_Toc1182598796"/>
      <w:bookmarkStart w:id="213" w:name="_Toc373227694"/>
      <w:bookmarkStart w:id="214" w:name="_Toc78449782"/>
      <w:bookmarkStart w:id="215" w:name="_Toc1162259329"/>
      <w:bookmarkStart w:id="216" w:name="_Toc407135196"/>
      <w:r>
        <w:rPr>
          <w:color w:val="auto"/>
          <w:highlight w:val="none"/>
        </w:rPr>
        <w:t>1.3</w:t>
      </w:r>
      <w:r>
        <w:rPr>
          <w:rFonts w:hint="eastAsia" w:hAnsi="宋体" w:cs="黑体"/>
          <w:color w:val="auto"/>
          <w:highlight w:val="none"/>
        </w:rPr>
        <w:t>法律</w:t>
      </w:r>
      <w:bookmarkEnd w:id="209"/>
      <w:bookmarkEnd w:id="210"/>
      <w:bookmarkEnd w:id="211"/>
      <w:bookmarkEnd w:id="212"/>
      <w:bookmarkEnd w:id="213"/>
      <w:bookmarkEnd w:id="214"/>
      <w:bookmarkEnd w:id="215"/>
      <w:bookmarkEnd w:id="216"/>
    </w:p>
    <w:p w14:paraId="74B0DF44">
      <w:pPr>
        <w:autoSpaceDE w:val="0"/>
        <w:autoSpaceDN w:val="0"/>
        <w:adjustRightInd w:val="0"/>
        <w:spacing w:line="360" w:lineRule="auto"/>
        <w:ind w:firstLine="420" w:firstLineChars="200"/>
        <w:jc w:val="left"/>
        <w:rPr>
          <w:color w:val="auto"/>
          <w:sz w:val="21"/>
          <w:szCs w:val="21"/>
          <w:highlight w:val="none"/>
        </w:rPr>
      </w:pPr>
      <w:r>
        <w:rPr>
          <w:rFonts w:hint="eastAsia" w:ascii="Times New Roman" w:hAnsi="宋体" w:cs="宋体"/>
          <w:color w:val="auto"/>
          <w:sz w:val="21"/>
          <w:szCs w:val="21"/>
          <w:highlight w:val="none"/>
        </w:rPr>
        <w:t>适用于合同的其他规范性文件：</w:t>
      </w:r>
      <w:r>
        <w:rPr>
          <w:rFonts w:hint="eastAsia" w:ascii="Times New Roman" w:hAnsi="宋体" w:eastAsia="宋体" w:cs="宋体"/>
          <w:i w:val="0"/>
          <w:iCs w:val="0"/>
          <w:caps w:val="0"/>
          <w:color w:val="auto"/>
          <w:spacing w:val="0"/>
          <w:kern w:val="0"/>
          <w:sz w:val="21"/>
          <w:szCs w:val="21"/>
          <w:highlight w:val="none"/>
          <w:u w:val="single"/>
          <w:shd w:val="clear"/>
        </w:rPr>
        <w:t>包括但不限于《中华人民共和国民法典》、《中华人民共和国建筑法》、《中华人民共和国招标投标法实施条例》、《保障农民工工资支付条例》、《广西壮族自治区建筑市场管理条例》以及合同签订时已发布并生效的，由国务院、住房和城乡建设部及广西壮族自治区、崇左市、</w:t>
      </w:r>
      <w:r>
        <w:rPr>
          <w:rFonts w:hint="eastAsia" w:hAnsi="宋体" w:cs="宋体"/>
          <w:i w:val="0"/>
          <w:iCs w:val="0"/>
          <w:caps w:val="0"/>
          <w:color w:val="auto"/>
          <w:spacing w:val="0"/>
          <w:kern w:val="0"/>
          <w:sz w:val="21"/>
          <w:szCs w:val="21"/>
          <w:highlight w:val="none"/>
          <w:u w:val="single"/>
          <w:shd w:val="clear"/>
          <w:lang w:eastAsia="zh-CN"/>
        </w:rPr>
        <w:t>崇左市江州区</w:t>
      </w:r>
      <w:r>
        <w:rPr>
          <w:rFonts w:hint="eastAsia" w:ascii="Times New Roman" w:hAnsi="宋体" w:eastAsia="宋体" w:cs="宋体"/>
          <w:i w:val="0"/>
          <w:iCs w:val="0"/>
          <w:caps w:val="0"/>
          <w:color w:val="auto"/>
          <w:spacing w:val="0"/>
          <w:kern w:val="0"/>
          <w:sz w:val="21"/>
          <w:szCs w:val="21"/>
          <w:highlight w:val="none"/>
          <w:u w:val="single"/>
          <w:shd w:val="clear"/>
        </w:rPr>
        <w:t>人民政府及建设行政主管部门制定的相关法律、法规、规章及规范性文件。专用合同条款另有约定的，从其约定</w:t>
      </w:r>
      <w:r>
        <w:rPr>
          <w:rFonts w:hint="eastAsia" w:hAnsi="宋体" w:cs="宋体"/>
          <w:color w:val="auto"/>
          <w:sz w:val="21"/>
          <w:szCs w:val="21"/>
          <w:highlight w:val="none"/>
        </w:rPr>
        <w:t>。</w:t>
      </w:r>
    </w:p>
    <w:p w14:paraId="10E4263E">
      <w:pPr>
        <w:pStyle w:val="4"/>
        <w:rPr>
          <w:color w:val="auto"/>
          <w:highlight w:val="none"/>
        </w:rPr>
      </w:pPr>
      <w:bookmarkStart w:id="217" w:name="_Toc373478342"/>
      <w:bookmarkStart w:id="218" w:name="_Toc407135197"/>
      <w:bookmarkStart w:id="219" w:name="_Toc389065261"/>
      <w:bookmarkStart w:id="220" w:name="_Toc373227695"/>
      <w:bookmarkStart w:id="221" w:name="_Toc78449783"/>
      <w:bookmarkStart w:id="222" w:name="_Toc1694357896"/>
      <w:bookmarkStart w:id="223" w:name="_Toc17025"/>
      <w:bookmarkStart w:id="224" w:name="_Toc1569433547"/>
      <w:r>
        <w:rPr>
          <w:color w:val="auto"/>
          <w:highlight w:val="none"/>
        </w:rPr>
        <w:t>1.4</w:t>
      </w:r>
      <w:r>
        <w:rPr>
          <w:rFonts w:hint="eastAsia" w:hAnsi="宋体" w:cs="黑体"/>
          <w:color w:val="auto"/>
          <w:highlight w:val="none"/>
        </w:rPr>
        <w:t>标准和规范</w:t>
      </w:r>
      <w:bookmarkEnd w:id="217"/>
      <w:bookmarkEnd w:id="218"/>
      <w:bookmarkEnd w:id="219"/>
      <w:bookmarkEnd w:id="220"/>
      <w:bookmarkEnd w:id="221"/>
      <w:bookmarkEnd w:id="222"/>
      <w:bookmarkEnd w:id="223"/>
      <w:bookmarkEnd w:id="224"/>
    </w:p>
    <w:p w14:paraId="556D4065">
      <w:pPr>
        <w:pStyle w:val="49"/>
        <w:spacing w:line="360" w:lineRule="auto"/>
        <w:ind w:firstLine="420" w:firstLineChars="200"/>
        <w:rPr>
          <w:rFonts w:ascii="Times New Roman" w:hAnsi="Times New Roman"/>
          <w:color w:val="auto"/>
          <w:sz w:val="21"/>
          <w:szCs w:val="21"/>
          <w:highlight w:val="none"/>
        </w:rPr>
      </w:pPr>
      <w:r>
        <w:rPr>
          <w:color w:val="auto"/>
          <w:sz w:val="21"/>
          <w:szCs w:val="21"/>
          <w:highlight w:val="none"/>
        </w:rPr>
        <w:t>1.4.1</w:t>
      </w:r>
      <w:r>
        <w:rPr>
          <w:rFonts w:hint="eastAsia" w:hAnsi="宋体" w:cs="宋体"/>
          <w:color w:val="auto"/>
          <w:sz w:val="21"/>
          <w:szCs w:val="21"/>
          <w:highlight w:val="none"/>
        </w:rPr>
        <w:t>适用于工程的标准规范包括：</w:t>
      </w:r>
      <w:r>
        <w:rPr>
          <w:rFonts w:hint="eastAsia" w:ascii="Times New Roman" w:hAnsi="宋体" w:eastAsia="宋体" w:cs="宋体"/>
          <w:i w:val="0"/>
          <w:iCs w:val="0"/>
          <w:caps w:val="0"/>
          <w:color w:val="auto"/>
          <w:spacing w:val="0"/>
          <w:kern w:val="0"/>
          <w:sz w:val="21"/>
          <w:szCs w:val="21"/>
          <w:highlight w:val="none"/>
          <w:u w:val="single"/>
          <w:shd w:val="clear"/>
        </w:rPr>
        <w:t>在</w:t>
      </w:r>
      <w:r>
        <w:rPr>
          <w:rFonts w:hint="eastAsia" w:ascii="Times New Roman" w:hAnsi="宋体" w:eastAsia="宋体" w:cs="宋体"/>
          <w:b w:val="0"/>
          <w:bCs w:val="0"/>
          <w:i w:val="0"/>
          <w:iCs w:val="0"/>
          <w:caps w:val="0"/>
          <w:color w:val="auto"/>
          <w:spacing w:val="0"/>
          <w:kern w:val="0"/>
          <w:sz w:val="21"/>
          <w:szCs w:val="21"/>
          <w:highlight w:val="none"/>
          <w:u w:val="single"/>
          <w:shd w:val="clear"/>
        </w:rPr>
        <w:t>投标截止日期前28日</w:t>
      </w:r>
      <w:r>
        <w:rPr>
          <w:rFonts w:hint="eastAsia" w:ascii="Times New Roman" w:hAnsi="宋体" w:eastAsia="宋体" w:cs="宋体"/>
          <w:i w:val="0"/>
          <w:iCs w:val="0"/>
          <w:caps w:val="0"/>
          <w:color w:val="auto"/>
          <w:spacing w:val="0"/>
          <w:kern w:val="0"/>
          <w:sz w:val="21"/>
          <w:szCs w:val="21"/>
          <w:highlight w:val="none"/>
          <w:u w:val="single"/>
          <w:shd w:val="clear"/>
        </w:rPr>
        <w:t>已发</w:t>
      </w:r>
      <w:r>
        <w:rPr>
          <w:rFonts w:hint="eastAsia" w:ascii="Times New Roman" w:hAnsi="宋体" w:eastAsia="宋体" w:cs="宋体"/>
          <w:b w:val="0"/>
          <w:bCs w:val="0"/>
          <w:i w:val="0"/>
          <w:iCs w:val="0"/>
          <w:caps w:val="0"/>
          <w:color w:val="auto"/>
          <w:spacing w:val="0"/>
          <w:kern w:val="0"/>
          <w:sz w:val="21"/>
          <w:szCs w:val="21"/>
          <w:highlight w:val="none"/>
          <w:u w:val="single"/>
          <w:shd w:val="clear"/>
        </w:rPr>
        <w:t>布并实施的国家标准、规范，行业标准、规范，以及地方标准、规范</w:t>
      </w:r>
      <w:r>
        <w:rPr>
          <w:rFonts w:hint="eastAsia" w:ascii="Times New Roman" w:hAnsi="宋体" w:eastAsia="宋体" w:cs="宋体"/>
          <w:b w:val="0"/>
          <w:bCs w:val="0"/>
          <w:i w:val="0"/>
          <w:iCs w:val="0"/>
          <w:caps w:val="0"/>
          <w:color w:val="auto"/>
          <w:spacing w:val="0"/>
          <w:kern w:val="0"/>
          <w:sz w:val="21"/>
          <w:szCs w:val="21"/>
          <w:highlight w:val="none"/>
          <w:u w:val="single"/>
          <w:shd w:val="clear"/>
          <w:lang w:val="en-US" w:eastAsia="zh-CN"/>
        </w:rPr>
        <w:t>和</w:t>
      </w:r>
      <w:r>
        <w:rPr>
          <w:rFonts w:hint="eastAsia" w:ascii="Times New Roman" w:hAnsi="宋体" w:eastAsia="宋体" w:cs="宋体"/>
          <w:b w:val="0"/>
          <w:bCs w:val="0"/>
          <w:i w:val="0"/>
          <w:iCs w:val="0"/>
          <w:caps w:val="0"/>
          <w:color w:val="auto"/>
          <w:spacing w:val="0"/>
          <w:kern w:val="0"/>
          <w:sz w:val="21"/>
          <w:szCs w:val="21"/>
          <w:highlight w:val="none"/>
          <w:u w:val="single"/>
          <w:shd w:val="clear"/>
        </w:rPr>
        <w:t>道路工程执行</w:t>
      </w:r>
      <w:r>
        <w:rPr>
          <w:rFonts w:hint="eastAsia" w:ascii="Times New Roman" w:hAnsi="宋体" w:cs="宋体"/>
          <w:b w:val="0"/>
          <w:bCs w:val="0"/>
          <w:i w:val="0"/>
          <w:iCs w:val="0"/>
          <w:caps w:val="0"/>
          <w:color w:val="auto"/>
          <w:spacing w:val="0"/>
          <w:kern w:val="0"/>
          <w:sz w:val="21"/>
          <w:szCs w:val="21"/>
          <w:highlight w:val="none"/>
          <w:u w:val="single"/>
          <w:shd w:val="clear"/>
          <w:lang w:eastAsia="zh-CN"/>
        </w:rPr>
        <w:t>适用于工程的标准规范</w:t>
      </w:r>
      <w:r>
        <w:rPr>
          <w:rFonts w:hint="eastAsia" w:ascii="Times New Roman" w:hAnsi="宋体" w:cs="宋体"/>
          <w:b w:val="0"/>
          <w:bCs w:val="0"/>
          <w:i w:val="0"/>
          <w:iCs w:val="0"/>
          <w:caps w:val="0"/>
          <w:color w:val="auto"/>
          <w:spacing w:val="0"/>
          <w:kern w:val="0"/>
          <w:sz w:val="21"/>
          <w:szCs w:val="21"/>
          <w:highlight w:val="none"/>
          <w:u w:val="single"/>
          <w:shd w:val="clear"/>
          <w:lang w:val="en-US" w:eastAsia="zh-CN"/>
        </w:rPr>
        <w:t>详见施工图要求</w:t>
      </w:r>
      <w:r>
        <w:rPr>
          <w:rFonts w:hint="eastAsia" w:ascii="Times New Roman" w:hAnsi="宋体" w:eastAsia="宋体" w:cs="宋体"/>
          <w:b w:val="0"/>
          <w:bCs w:val="0"/>
          <w:i w:val="0"/>
          <w:iCs w:val="0"/>
          <w:caps w:val="0"/>
          <w:color w:val="auto"/>
          <w:spacing w:val="0"/>
          <w:kern w:val="0"/>
          <w:sz w:val="21"/>
          <w:szCs w:val="21"/>
          <w:highlight w:val="none"/>
          <w:u w:val="single"/>
          <w:shd w:val="clear"/>
        </w:rPr>
        <w:t>。对于在此日期之后新发布或修订的标准规范，若其要求高于本合同约定的标准，且非因承包人原因导致必须执行，因此增加的费用和（或）延误的工期应由发包人</w:t>
      </w:r>
      <w:r>
        <w:rPr>
          <w:rFonts w:hint="eastAsia" w:ascii="Times New Roman" w:hAnsi="宋体" w:eastAsia="宋体" w:cs="宋体"/>
          <w:i w:val="0"/>
          <w:iCs w:val="0"/>
          <w:caps w:val="0"/>
          <w:color w:val="auto"/>
          <w:spacing w:val="0"/>
          <w:kern w:val="0"/>
          <w:sz w:val="21"/>
          <w:szCs w:val="21"/>
          <w:highlight w:val="none"/>
          <w:u w:val="single"/>
          <w:shd w:val="clear"/>
        </w:rPr>
        <w:t>承担。具体调整方法如下：(1)增加的费用由承包人提出预算，报发包人及监理人审核确认。(2)因此延误的工期应予以顺延</w:t>
      </w:r>
      <w:r>
        <w:rPr>
          <w:rFonts w:hint="eastAsia" w:ascii="Times New Roman" w:hAnsi="宋体" w:cs="宋体"/>
          <w:color w:val="auto"/>
          <w:kern w:val="0"/>
          <w:sz w:val="21"/>
          <w:szCs w:val="21"/>
          <w:highlight w:val="none"/>
          <w:u w:val="single"/>
        </w:rPr>
        <w:t>。</w:t>
      </w:r>
    </w:p>
    <w:p w14:paraId="0B47B0AD">
      <w:pPr>
        <w:spacing w:line="360" w:lineRule="auto"/>
        <w:rPr>
          <w:color w:val="auto"/>
          <w:kern w:val="0"/>
          <w:sz w:val="21"/>
          <w:szCs w:val="21"/>
          <w:highlight w:val="none"/>
        </w:rPr>
      </w:pPr>
      <w:r>
        <w:rPr>
          <w:color w:val="auto"/>
          <w:kern w:val="0"/>
          <w:sz w:val="21"/>
          <w:szCs w:val="21"/>
          <w:highlight w:val="none"/>
        </w:rPr>
        <w:t>1.4.2</w:t>
      </w: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sz w:val="21"/>
          <w:szCs w:val="21"/>
          <w:highlight w:val="none"/>
        </w:rPr>
        <w:t>；</w:t>
      </w:r>
    </w:p>
    <w:p w14:paraId="173DD587">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发包人提供国外标准、规范的份数：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0B3EE366">
      <w:pPr>
        <w:spacing w:line="360" w:lineRule="auto"/>
        <w:ind w:firstLine="420" w:firstLineChars="200"/>
        <w:rPr>
          <w:color w:val="auto"/>
          <w:sz w:val="21"/>
          <w:szCs w:val="21"/>
          <w:highlight w:val="none"/>
        </w:rPr>
      </w:pP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741E9111">
      <w:pPr>
        <w:spacing w:line="360" w:lineRule="auto"/>
        <w:rPr>
          <w:color w:val="auto"/>
          <w:sz w:val="21"/>
          <w:szCs w:val="21"/>
          <w:highlight w:val="none"/>
        </w:rPr>
      </w:pPr>
      <w:r>
        <w:rPr>
          <w:color w:val="auto"/>
          <w:sz w:val="21"/>
          <w:szCs w:val="21"/>
          <w:highlight w:val="none"/>
        </w:rPr>
        <w:t>1.4.3</w:t>
      </w:r>
      <w:r>
        <w:rPr>
          <w:rFonts w:hint="eastAsia" w:hAnsi="宋体" w:cs="宋体"/>
          <w:color w:val="auto"/>
          <w:sz w:val="21"/>
          <w:szCs w:val="21"/>
          <w:highlight w:val="none"/>
        </w:rPr>
        <w:t>发包人对工程的技术标准和功能要求的特殊要求</w:t>
      </w:r>
      <w:r>
        <w:rPr>
          <w:rFonts w:hint="eastAsia" w:hAnsi="宋体" w:cs="宋体"/>
          <w:color w:val="auto"/>
          <w:kern w:val="0"/>
          <w:sz w:val="21"/>
          <w:szCs w:val="21"/>
          <w:highlight w:val="none"/>
        </w:rPr>
        <w:t>：</w:t>
      </w:r>
      <w:r>
        <w:rPr>
          <w:rFonts w:hint="eastAsia" w:hAnsi="宋体" w:cs="宋体"/>
          <w:color w:val="auto"/>
          <w:sz w:val="21"/>
          <w:szCs w:val="21"/>
          <w:highlight w:val="none"/>
          <w:u w:val="single"/>
          <w:lang w:val="en-US" w:eastAsia="zh-CN"/>
        </w:rPr>
        <w:t>/</w:t>
      </w:r>
      <w:r>
        <w:rPr>
          <w:rFonts w:hint="eastAsia" w:hAnsi="宋体" w:cs="宋体"/>
          <w:color w:val="auto"/>
          <w:sz w:val="21"/>
          <w:szCs w:val="21"/>
          <w:highlight w:val="none"/>
        </w:rPr>
        <w:t>。</w:t>
      </w:r>
    </w:p>
    <w:p w14:paraId="416B9853">
      <w:pPr>
        <w:pStyle w:val="4"/>
        <w:rPr>
          <w:color w:val="auto"/>
          <w:highlight w:val="none"/>
        </w:rPr>
      </w:pPr>
      <w:bookmarkStart w:id="225" w:name="_Toc389065262"/>
      <w:bookmarkStart w:id="226" w:name="_Toc373478343"/>
      <w:bookmarkStart w:id="227" w:name="_Toc373227696"/>
      <w:bookmarkStart w:id="228" w:name="_Toc4269"/>
      <w:bookmarkStart w:id="229" w:name="_Toc407135198"/>
      <w:bookmarkStart w:id="230" w:name="_Toc188277238"/>
      <w:bookmarkStart w:id="231" w:name="_Toc24431861"/>
      <w:bookmarkStart w:id="232" w:name="_Toc78449784"/>
      <w:r>
        <w:rPr>
          <w:color w:val="auto"/>
          <w:highlight w:val="none"/>
        </w:rPr>
        <w:t>1.5</w:t>
      </w:r>
      <w:r>
        <w:rPr>
          <w:rFonts w:hint="eastAsia" w:cs="黑体"/>
          <w:color w:val="auto"/>
          <w:highlight w:val="none"/>
        </w:rPr>
        <w:t>合同文件的优先顺序</w:t>
      </w:r>
      <w:bookmarkEnd w:id="225"/>
      <w:bookmarkEnd w:id="226"/>
      <w:bookmarkEnd w:id="227"/>
      <w:bookmarkEnd w:id="228"/>
      <w:bookmarkEnd w:id="229"/>
      <w:bookmarkEnd w:id="230"/>
      <w:bookmarkEnd w:id="231"/>
      <w:bookmarkEnd w:id="232"/>
    </w:p>
    <w:p w14:paraId="7679BFC4">
      <w:pPr>
        <w:spacing w:line="360" w:lineRule="auto"/>
        <w:ind w:firstLine="420" w:firstLineChars="200"/>
        <w:rPr>
          <w:rFonts w:hint="eastAsia" w:hAnsi="宋体" w:cs="宋体"/>
          <w:color w:val="auto"/>
          <w:kern w:val="0"/>
          <w:sz w:val="21"/>
          <w:szCs w:val="21"/>
          <w:highlight w:val="none"/>
        </w:rPr>
      </w:pPr>
      <w:r>
        <w:rPr>
          <w:rFonts w:hint="eastAsia" w:hAnsi="宋体" w:cs="宋体"/>
          <w:color w:val="auto"/>
          <w:sz w:val="21"/>
          <w:szCs w:val="21"/>
          <w:highlight w:val="none"/>
        </w:rPr>
        <w:t>合同文件组成及优先顺序为：</w:t>
      </w:r>
    </w:p>
    <w:p w14:paraId="14C5E0A9">
      <w:pPr>
        <w:spacing w:line="360" w:lineRule="auto"/>
        <w:ind w:firstLine="420" w:firstLineChars="200"/>
        <w:rPr>
          <w:rFonts w:hint="eastAsia" w:ascii="Times New Roman" w:hAnsi="宋体" w:eastAsia="宋体" w:cs="宋体"/>
          <w:color w:val="auto"/>
          <w:kern w:val="0"/>
          <w:sz w:val="21"/>
          <w:szCs w:val="21"/>
          <w:highlight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1</w:t>
      </w:r>
      <w:r>
        <w:rPr>
          <w:rFonts w:hint="eastAsia" w:ascii="Times New Roman" w:hAnsi="宋体" w:eastAsia="宋体" w:cs="宋体"/>
          <w:color w:val="auto"/>
          <w:kern w:val="0"/>
          <w:sz w:val="21"/>
          <w:szCs w:val="21"/>
          <w:highlight w:val="none"/>
        </w:rPr>
        <w:t>）合同协议书；</w:t>
      </w:r>
    </w:p>
    <w:p w14:paraId="2603738A">
      <w:pPr>
        <w:spacing w:line="360" w:lineRule="auto"/>
        <w:ind w:firstLine="420" w:firstLineChars="200"/>
        <w:rPr>
          <w:rFonts w:hint="eastAsia" w:ascii="Times New Roman" w:hAnsi="宋体" w:eastAsia="宋体" w:cs="宋体"/>
          <w:color w:val="auto"/>
          <w:kern w:val="0"/>
          <w:sz w:val="21"/>
          <w:szCs w:val="21"/>
          <w:highlight w:val="none"/>
        </w:rPr>
      </w:pPr>
      <w:bookmarkStart w:id="233" w:name="bookmark916"/>
      <w:bookmarkEnd w:id="233"/>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2</w:t>
      </w:r>
      <w:r>
        <w:rPr>
          <w:rFonts w:hint="eastAsia" w:ascii="Times New Roman" w:hAnsi="宋体" w:eastAsia="宋体" w:cs="宋体"/>
          <w:color w:val="auto"/>
          <w:kern w:val="0"/>
          <w:sz w:val="21"/>
          <w:szCs w:val="21"/>
          <w:highlight w:val="none"/>
        </w:rPr>
        <w:t>）中标通知书；</w:t>
      </w:r>
    </w:p>
    <w:p w14:paraId="43FEEA01">
      <w:pPr>
        <w:spacing w:line="360" w:lineRule="auto"/>
        <w:ind w:firstLineChars="200"/>
        <w:rPr>
          <w:rFonts w:hint="eastAsia" w:ascii="Times New Roman" w:hAnsi="宋体" w:eastAsia="宋体" w:cs="宋体"/>
          <w:color w:val="auto"/>
          <w:kern w:val="0"/>
          <w:sz w:val="21"/>
          <w:szCs w:val="21"/>
          <w:highlight w:val="none"/>
        </w:rPr>
      </w:pPr>
      <w:bookmarkStart w:id="234" w:name="bookmark917"/>
      <w:bookmarkEnd w:id="234"/>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3</w:t>
      </w:r>
      <w:r>
        <w:rPr>
          <w:rFonts w:hint="eastAsia" w:ascii="Times New Roman" w:hAnsi="宋体" w:eastAsia="宋体" w:cs="宋体"/>
          <w:color w:val="auto"/>
          <w:kern w:val="0"/>
          <w:sz w:val="21"/>
          <w:szCs w:val="21"/>
          <w:highlight w:val="none"/>
        </w:rPr>
        <w:t>）投标函及投标函附录；</w:t>
      </w:r>
    </w:p>
    <w:p w14:paraId="6106074E">
      <w:pPr>
        <w:spacing w:line="360" w:lineRule="auto"/>
        <w:ind w:firstLineChars="200"/>
        <w:rPr>
          <w:rFonts w:hint="eastAsia" w:ascii="Times New Roman" w:hAnsi="宋体" w:eastAsia="宋体" w:cs="宋体"/>
          <w:color w:val="auto"/>
          <w:kern w:val="0"/>
          <w:sz w:val="21"/>
          <w:szCs w:val="21"/>
          <w:highlight w:val="none"/>
        </w:rPr>
      </w:pPr>
      <w:bookmarkStart w:id="235" w:name="bookmark918"/>
      <w:bookmarkEnd w:id="235"/>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4</w:t>
      </w:r>
      <w:r>
        <w:rPr>
          <w:rFonts w:hint="eastAsia" w:ascii="Times New Roman" w:hAnsi="宋体" w:eastAsia="宋体" w:cs="宋体"/>
          <w:color w:val="auto"/>
          <w:kern w:val="0"/>
          <w:sz w:val="21"/>
          <w:szCs w:val="21"/>
          <w:highlight w:val="none"/>
        </w:rPr>
        <w:t>）专用合同条款；</w:t>
      </w:r>
    </w:p>
    <w:p w14:paraId="18927FFB">
      <w:pPr>
        <w:spacing w:line="360" w:lineRule="auto"/>
        <w:ind w:firstLineChars="200"/>
        <w:rPr>
          <w:rFonts w:hint="eastAsia" w:ascii="Times New Roman" w:hAnsi="宋体" w:eastAsia="宋体" w:cs="宋体"/>
          <w:color w:val="auto"/>
          <w:kern w:val="0"/>
          <w:sz w:val="21"/>
          <w:szCs w:val="21"/>
          <w:highlight w:val="none"/>
        </w:rPr>
      </w:pPr>
      <w:bookmarkStart w:id="236" w:name="bookmark919"/>
      <w:bookmarkEnd w:id="236"/>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5</w:t>
      </w:r>
      <w:r>
        <w:rPr>
          <w:rFonts w:hint="eastAsia" w:ascii="Times New Roman" w:hAnsi="宋体" w:eastAsia="宋体" w:cs="宋体"/>
          <w:color w:val="auto"/>
          <w:kern w:val="0"/>
          <w:sz w:val="21"/>
          <w:szCs w:val="21"/>
          <w:highlight w:val="none"/>
        </w:rPr>
        <w:t>）通用合同条款；</w:t>
      </w:r>
    </w:p>
    <w:p w14:paraId="10197C2A">
      <w:pPr>
        <w:spacing w:line="360" w:lineRule="auto"/>
        <w:ind w:firstLineChars="200"/>
        <w:rPr>
          <w:rFonts w:hint="eastAsia" w:ascii="Times New Roman" w:hAnsi="宋体" w:eastAsia="宋体" w:cs="宋体"/>
          <w:color w:val="auto"/>
          <w:kern w:val="0"/>
          <w:sz w:val="21"/>
          <w:szCs w:val="21"/>
          <w:highlight w:val="none"/>
        </w:rPr>
      </w:pPr>
      <w:bookmarkStart w:id="237" w:name="bookmark920"/>
      <w:bookmarkEnd w:id="237"/>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6</w:t>
      </w:r>
      <w:r>
        <w:rPr>
          <w:rFonts w:hint="eastAsia" w:ascii="Times New Roman" w:hAnsi="宋体" w:eastAsia="宋体" w:cs="宋体"/>
          <w:color w:val="auto"/>
          <w:kern w:val="0"/>
          <w:sz w:val="21"/>
          <w:szCs w:val="21"/>
          <w:highlight w:val="none"/>
        </w:rPr>
        <w:t>）技术标准和要求；</w:t>
      </w:r>
    </w:p>
    <w:p w14:paraId="676DFDC2">
      <w:pPr>
        <w:spacing w:line="360" w:lineRule="auto"/>
        <w:ind w:firstLineChars="200"/>
        <w:rPr>
          <w:rFonts w:hint="eastAsia" w:ascii="Times New Roman" w:hAnsi="宋体" w:eastAsia="宋体" w:cs="宋体"/>
          <w:color w:val="auto"/>
          <w:kern w:val="0"/>
          <w:sz w:val="21"/>
          <w:szCs w:val="21"/>
          <w:highlight w:val="none"/>
        </w:rPr>
      </w:pPr>
      <w:bookmarkStart w:id="238" w:name="bookmark921"/>
      <w:bookmarkEnd w:id="238"/>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7</w:t>
      </w:r>
      <w:r>
        <w:rPr>
          <w:rFonts w:hint="eastAsia" w:ascii="Times New Roman" w:hAnsi="宋体" w:eastAsia="宋体" w:cs="宋体"/>
          <w:color w:val="auto"/>
          <w:kern w:val="0"/>
          <w:sz w:val="21"/>
          <w:szCs w:val="21"/>
          <w:highlight w:val="none"/>
        </w:rPr>
        <w:t>）图纸；</w:t>
      </w:r>
    </w:p>
    <w:p w14:paraId="2A7696B4">
      <w:pPr>
        <w:spacing w:line="360" w:lineRule="auto"/>
        <w:ind w:firstLine="420" w:firstLineChars="200"/>
        <w:rPr>
          <w:rFonts w:hint="eastAsia" w:ascii="Times New Roman" w:hAnsi="宋体" w:eastAsia="宋体" w:cs="宋体"/>
          <w:color w:val="auto"/>
          <w:kern w:val="0"/>
          <w:sz w:val="21"/>
          <w:szCs w:val="21"/>
          <w:highlight w:val="none"/>
        </w:rPr>
      </w:pPr>
      <w:bookmarkStart w:id="239" w:name="bookmark922"/>
      <w:bookmarkEnd w:id="239"/>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8</w:t>
      </w:r>
      <w:r>
        <w:rPr>
          <w:rFonts w:hint="eastAsia" w:ascii="Times New Roman" w:hAnsi="宋体" w:eastAsia="宋体" w:cs="宋体"/>
          <w:color w:val="auto"/>
          <w:kern w:val="0"/>
          <w:sz w:val="21"/>
          <w:szCs w:val="21"/>
          <w:highlight w:val="none"/>
        </w:rPr>
        <w:t>）已标价工程量清单；</w:t>
      </w:r>
    </w:p>
    <w:p w14:paraId="57303D53">
      <w:pPr>
        <w:autoSpaceDE/>
        <w:autoSpaceDN/>
        <w:adjustRightInd/>
        <w:spacing w:line="360" w:lineRule="auto"/>
        <w:ind w:firstLine="420" w:firstLineChars="200"/>
        <w:jc w:val="left"/>
        <w:rPr>
          <w:rFonts w:hint="eastAsia" w:ascii="Times New Roman" w:hAnsi="宋体" w:eastAsia="宋体" w:cs="宋体"/>
          <w:color w:val="auto"/>
          <w:kern w:val="0"/>
          <w:sz w:val="21"/>
          <w:szCs w:val="21"/>
          <w:highlight w:val="none"/>
          <w:u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9</w:t>
      </w: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u w:val="none"/>
        </w:rPr>
        <w:t>其他合同文件：</w:t>
      </w:r>
    </w:p>
    <w:p w14:paraId="455FED11">
      <w:pPr>
        <w:spacing w:line="360" w:lineRule="auto"/>
        <w:ind w:firstLine="420" w:firstLineChars="200"/>
        <w:rPr>
          <w:rFonts w:hAnsi="宋体" w:cs="宋体"/>
          <w:color w:val="auto"/>
          <w:kern w:val="0"/>
          <w:sz w:val="21"/>
          <w:szCs w:val="21"/>
          <w:highlight w:val="none"/>
        </w:rPr>
      </w:pPr>
      <w:r>
        <w:rPr>
          <w:rFonts w:hint="eastAsia" w:hAnsi="宋体" w:cs="宋体"/>
          <w:color w:val="auto"/>
          <w:kern w:val="0"/>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kern w:val="0"/>
          <w:sz w:val="21"/>
          <w:szCs w:val="21"/>
          <w:highlight w:val="none"/>
        </w:rPr>
        <w:t>实质性内容的约定除外</w:t>
      </w:r>
      <w:r>
        <w:rPr>
          <w:rFonts w:hint="eastAsia" w:hAnsi="宋体" w:cs="宋体"/>
          <w:color w:val="auto"/>
          <w:kern w:val="0"/>
          <w:sz w:val="21"/>
          <w:szCs w:val="21"/>
          <w:highlight w:val="none"/>
        </w:rPr>
        <w:t>）。专用合同条款及其附件须经合同当事人签字或盖章。</w:t>
      </w:r>
    </w:p>
    <w:p w14:paraId="4C466F3C">
      <w:pPr>
        <w:pStyle w:val="4"/>
        <w:rPr>
          <w:rFonts w:hint="eastAsia" w:eastAsia="宋体"/>
          <w:color w:val="auto"/>
          <w:highlight w:val="none"/>
          <w:lang w:eastAsia="zh-CN"/>
        </w:rPr>
      </w:pPr>
      <w:bookmarkStart w:id="240" w:name="_Toc78449785"/>
      <w:bookmarkStart w:id="241" w:name="_Toc373478344"/>
      <w:bookmarkStart w:id="242" w:name="_Toc407135199"/>
      <w:bookmarkStart w:id="243" w:name="_Toc9232"/>
      <w:bookmarkStart w:id="244" w:name="_Toc373227697"/>
      <w:bookmarkStart w:id="245" w:name="_Toc1537247101"/>
      <w:bookmarkStart w:id="246" w:name="_Toc1531480704"/>
      <w:bookmarkStart w:id="247" w:name="_Toc389065263"/>
      <w:r>
        <w:rPr>
          <w:color w:val="auto"/>
          <w:highlight w:val="none"/>
        </w:rPr>
        <w:t>1.6</w:t>
      </w:r>
      <w:r>
        <w:rPr>
          <w:rFonts w:hint="eastAsia" w:cs="黑体"/>
          <w:color w:val="auto"/>
          <w:highlight w:val="none"/>
        </w:rPr>
        <w:t>图纸和承包人文件</w:t>
      </w:r>
      <w:bookmarkEnd w:id="240"/>
      <w:bookmarkEnd w:id="241"/>
      <w:bookmarkEnd w:id="242"/>
      <w:bookmarkEnd w:id="243"/>
      <w:bookmarkEnd w:id="244"/>
      <w:bookmarkEnd w:id="245"/>
      <w:bookmarkEnd w:id="246"/>
      <w:bookmarkEnd w:id="247"/>
    </w:p>
    <w:p w14:paraId="6B2DC684">
      <w:pPr>
        <w:spacing w:line="360" w:lineRule="auto"/>
        <w:ind w:firstLine="420" w:firstLineChars="200"/>
        <w:rPr>
          <w:color w:val="auto"/>
          <w:sz w:val="21"/>
          <w:szCs w:val="21"/>
          <w:highlight w:val="none"/>
        </w:rPr>
      </w:pPr>
      <w:r>
        <w:rPr>
          <w:color w:val="auto"/>
          <w:sz w:val="21"/>
          <w:szCs w:val="21"/>
          <w:highlight w:val="none"/>
        </w:rPr>
        <w:t>1.6.1</w:t>
      </w:r>
      <w:r>
        <w:rPr>
          <w:rFonts w:hint="eastAsia" w:hAnsi="宋体" w:cs="宋体"/>
          <w:color w:val="auto"/>
          <w:sz w:val="21"/>
          <w:szCs w:val="21"/>
          <w:highlight w:val="none"/>
        </w:rPr>
        <w:t>图纸的提供</w:t>
      </w:r>
    </w:p>
    <w:p w14:paraId="78B16ACB">
      <w:pPr>
        <w:pStyle w:val="49"/>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1.6.1</w:t>
      </w:r>
      <w:r>
        <w:rPr>
          <w:rFonts w:hint="eastAsia" w:ascii="Times New Roman" w:hAnsi="宋体" w:cs="宋体"/>
          <w:color w:val="auto"/>
          <w:sz w:val="21"/>
          <w:szCs w:val="21"/>
          <w:highlight w:val="none"/>
        </w:rPr>
        <w:t>图纸的提供</w:t>
      </w:r>
    </w:p>
    <w:p w14:paraId="5C85F671">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发包人向承包人提供图纸的期限：</w:t>
      </w:r>
      <w:r>
        <w:rPr>
          <w:rFonts w:hint="eastAsia" w:ascii="Times New Roman" w:hAnsi="宋体" w:cs="宋体"/>
          <w:color w:val="auto"/>
          <w:sz w:val="21"/>
          <w:szCs w:val="21"/>
          <w:highlight w:val="none"/>
          <w:u w:val="single"/>
          <w:lang w:val="en-US" w:eastAsia="zh-CN"/>
        </w:rPr>
        <w:t>自签订合同7个工作日内</w:t>
      </w:r>
      <w:r>
        <w:rPr>
          <w:rFonts w:hint="eastAsia" w:ascii="Times New Roman" w:hAnsi="宋体" w:cs="宋体"/>
          <w:color w:val="auto"/>
          <w:sz w:val="21"/>
          <w:szCs w:val="21"/>
          <w:highlight w:val="none"/>
        </w:rPr>
        <w:t>；</w:t>
      </w:r>
    </w:p>
    <w:p w14:paraId="5C80AF00">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发包人向承包人提供图纸的数量：</w:t>
      </w:r>
      <w:r>
        <w:rPr>
          <w:rFonts w:hint="eastAsia" w:ascii="Times New Roman" w:hAnsi="宋体" w:cs="宋体"/>
          <w:color w:val="auto"/>
          <w:sz w:val="21"/>
          <w:szCs w:val="21"/>
          <w:highlight w:val="none"/>
          <w:u w:val="single"/>
          <w:lang w:val="en-US" w:eastAsia="zh-CN"/>
        </w:rPr>
        <w:t>1</w:t>
      </w:r>
      <w:r>
        <w:rPr>
          <w:rFonts w:hint="eastAsia" w:ascii="Times New Roman" w:hAnsi="宋体" w:cs="宋体"/>
          <w:color w:val="auto"/>
          <w:sz w:val="21"/>
          <w:szCs w:val="21"/>
          <w:highlight w:val="none"/>
          <w:u w:val="single"/>
        </w:rPr>
        <w:t>套</w:t>
      </w:r>
      <w:r>
        <w:rPr>
          <w:rFonts w:hint="eastAsia" w:ascii="Times New Roman" w:hAnsi="宋体" w:cs="宋体"/>
          <w:color w:val="auto"/>
          <w:sz w:val="21"/>
          <w:szCs w:val="21"/>
          <w:highlight w:val="none"/>
        </w:rPr>
        <w:t>（承包人需要增加图纸套数的，发包人应代为复制，复制费用由承包人承担）；</w:t>
      </w:r>
    </w:p>
    <w:p w14:paraId="488AFC9B">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发包人向承包人提供图纸的内容：</w:t>
      </w:r>
      <w:r>
        <w:rPr>
          <w:rFonts w:hint="eastAsia" w:ascii="Times New Roman" w:hAnsi="宋体" w:cs="宋体"/>
          <w:color w:val="auto"/>
          <w:sz w:val="21"/>
          <w:szCs w:val="21"/>
          <w:highlight w:val="none"/>
          <w:u w:val="single"/>
          <w:lang w:val="en-US" w:eastAsia="zh-CN"/>
        </w:rPr>
        <w:t>按设计公司盖章的施工图为准</w:t>
      </w:r>
      <w:r>
        <w:rPr>
          <w:rFonts w:hint="eastAsia" w:ascii="Times New Roman" w:hAnsi="宋体" w:cs="宋体"/>
          <w:color w:val="auto"/>
          <w:sz w:val="21"/>
          <w:szCs w:val="21"/>
          <w:highlight w:val="none"/>
        </w:rPr>
        <w:t>。</w:t>
      </w:r>
    </w:p>
    <w:p w14:paraId="24C3B0EF">
      <w:pPr>
        <w:spacing w:line="360" w:lineRule="auto"/>
        <w:ind w:firstLine="420" w:firstLineChars="200"/>
        <w:rPr>
          <w:color w:val="auto"/>
          <w:sz w:val="21"/>
          <w:szCs w:val="21"/>
          <w:highlight w:val="none"/>
        </w:rPr>
      </w:pPr>
      <w:r>
        <w:rPr>
          <w:color w:val="auto"/>
          <w:sz w:val="21"/>
          <w:szCs w:val="21"/>
          <w:highlight w:val="none"/>
        </w:rPr>
        <w:t>1.6.4</w:t>
      </w:r>
      <w:r>
        <w:rPr>
          <w:rFonts w:hint="eastAsia" w:hAnsi="宋体" w:cs="宋体"/>
          <w:color w:val="auto"/>
          <w:sz w:val="21"/>
          <w:szCs w:val="21"/>
          <w:highlight w:val="none"/>
        </w:rPr>
        <w:t>承包人文件</w:t>
      </w:r>
    </w:p>
    <w:p w14:paraId="5067ACE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需要由承包人提供的文件，包括</w:t>
      </w:r>
      <w:r>
        <w:rPr>
          <w:rFonts w:hint="eastAsia" w:ascii="Times New Roman" w:hAnsi="宋体" w:eastAsia="宋体" w:cs="宋体"/>
          <w:color w:val="auto"/>
          <w:kern w:val="2"/>
          <w:sz w:val="21"/>
          <w:szCs w:val="21"/>
          <w:highlight w:val="none"/>
          <w:u w:val="single"/>
          <w:lang w:val="en-US" w:eastAsia="zh-CN" w:bidi="ar-SA"/>
        </w:rPr>
        <w:t>：</w:t>
      </w:r>
      <w:r>
        <w:rPr>
          <w:rFonts w:hint="eastAsia" w:hAnsi="宋体" w:cs="宋体"/>
          <w:color w:val="auto"/>
          <w:kern w:val="2"/>
          <w:sz w:val="21"/>
          <w:szCs w:val="21"/>
          <w:highlight w:val="none"/>
          <w:u w:val="single"/>
          <w:lang w:val="en-US" w:eastAsia="zh-CN" w:bidi="ar-SA"/>
        </w:rPr>
        <w:t>施工组织设计及总进度计划应在合同签订后14日内提交；月度计量报表及付款申请应在每月25日前提交；竣工资料应在工程竣工验收合格后30日内提交；其他文件应在收到发包人或监理人书面通知后7日内提交。前述各项期限若存在冲突，以更早到期的期限为准。</w:t>
      </w:r>
    </w:p>
    <w:p w14:paraId="3892AB0F">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承包人提供的文件的期限为：</w:t>
      </w:r>
      <w:r>
        <w:rPr>
          <w:rFonts w:hint="eastAsia" w:ascii="Times New Roman" w:hAnsi="宋体" w:eastAsia="宋体" w:cs="宋体"/>
          <w:color w:val="auto"/>
          <w:kern w:val="2"/>
          <w:sz w:val="21"/>
          <w:szCs w:val="21"/>
          <w:highlight w:val="none"/>
          <w:u w:val="single"/>
          <w:lang w:val="en-US" w:eastAsia="zh-CN" w:bidi="ar-SA"/>
        </w:rPr>
        <w:t>根据工程进度需求及发包人或监理人的书面通知要求提报。其中，施工组织设计及总进度计划应在合同签订后[14]日内提交；月度计量报表及付款申请应在每月[25]日前提交；竣工资料应在工程竣工验收合格后[30]日内提交；其他文件应在收到发包人或监理人书面通知后[7]日内提交</w:t>
      </w:r>
      <w:r>
        <w:rPr>
          <w:rFonts w:hint="eastAsia" w:hAnsi="宋体" w:cs="宋体"/>
          <w:color w:val="auto"/>
          <w:sz w:val="21"/>
          <w:szCs w:val="21"/>
          <w:highlight w:val="none"/>
        </w:rPr>
        <w:t>；</w:t>
      </w:r>
    </w:p>
    <w:p w14:paraId="78FEC169">
      <w:pPr>
        <w:spacing w:line="360" w:lineRule="auto"/>
        <w:ind w:firstLine="420" w:firstLineChars="200"/>
        <w:rPr>
          <w:rFonts w:hint="eastAsia"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承包人提供的文件的数量为：</w:t>
      </w:r>
      <w:r>
        <w:rPr>
          <w:rFonts w:hint="eastAsia" w:ascii="Times New Roman" w:hAnsi="宋体" w:eastAsia="宋体" w:cs="宋体"/>
          <w:color w:val="auto"/>
          <w:kern w:val="2"/>
          <w:sz w:val="21"/>
          <w:szCs w:val="21"/>
          <w:highlight w:val="none"/>
          <w:u w:val="single"/>
          <w:lang w:val="en-US" w:eastAsia="zh-CN" w:bidi="ar-SA"/>
        </w:rPr>
        <w:t>纸质版一式[三]份，电子版（PDF及可编辑格式，如Word、Excel）一份。发包人或监理人不得要求承包人额外无偿提供超过此数量的文件；</w:t>
      </w:r>
    </w:p>
    <w:p w14:paraId="5981982E">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承包人提供的文件的形式为：</w:t>
      </w:r>
      <w:r>
        <w:rPr>
          <w:rFonts w:hint="eastAsia" w:ascii="Times New Roman" w:hAnsi="宋体" w:eastAsia="宋体" w:cs="宋体"/>
          <w:color w:val="auto"/>
          <w:kern w:val="2"/>
          <w:sz w:val="21"/>
          <w:szCs w:val="21"/>
          <w:highlight w:val="none"/>
          <w:u w:val="single"/>
          <w:lang w:val="en-US" w:eastAsia="zh-CN" w:bidi="ar-SA"/>
        </w:rPr>
        <w:t>纸质版文件应加盖承包人公章或项目章，并有项目经理或其授权人员签字；电子版文件应通过指定邮箱或项目管理平台发送。承包人提交文件至发包人及监理人后，发包人及监理人应予以签收并注明签收日期；</w:t>
      </w:r>
    </w:p>
    <w:p w14:paraId="61C3540F">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发包人审批承包人文件的期限：</w:t>
      </w:r>
      <w:r>
        <w:rPr>
          <w:rFonts w:hint="eastAsia" w:ascii="Times New Roman" w:hAnsi="宋体" w:eastAsia="宋体" w:cs="宋体"/>
          <w:color w:val="auto"/>
          <w:kern w:val="2"/>
          <w:sz w:val="21"/>
          <w:szCs w:val="21"/>
          <w:highlight w:val="none"/>
          <w:u w:val="single"/>
          <w:lang w:val="en-US" w:eastAsia="zh-CN" w:bidi="ar-SA"/>
        </w:rPr>
        <w:t>发包人或监理人应在收到承包人提交的完整文件后[10]个工作日内完成审批并书面回复。若发包人或监理人在上述期限内未提出书面异议或修改意见，</w:t>
      </w:r>
      <w:r>
        <w:rPr>
          <w:rFonts w:hint="default" w:ascii="Times New Roman" w:hAnsi="宋体" w:eastAsia="宋体" w:cs="宋体"/>
          <w:color w:val="auto"/>
          <w:kern w:val="2"/>
          <w:sz w:val="21"/>
          <w:szCs w:val="21"/>
          <w:highlight w:val="none"/>
          <w:u w:val="single"/>
          <w:lang w:val="en-US" w:eastAsia="zh-CN" w:bidi="ar-SA"/>
        </w:rPr>
        <w:t>则视为已批准承包人提交的文件，承包人可据此执行。因发包人或监理人审批延误导致的工期延误和费用增加，由发包人承担</w:t>
      </w:r>
      <w:r>
        <w:rPr>
          <w:rFonts w:hint="eastAsia" w:hAnsi="宋体" w:cs="宋体"/>
          <w:color w:val="auto"/>
          <w:sz w:val="21"/>
          <w:szCs w:val="21"/>
          <w:highlight w:val="none"/>
        </w:rPr>
        <w:t>。</w:t>
      </w:r>
    </w:p>
    <w:p w14:paraId="0E0EDF59">
      <w:pPr>
        <w:spacing w:line="360" w:lineRule="auto"/>
        <w:ind w:firstLine="420" w:firstLineChars="200"/>
        <w:rPr>
          <w:color w:val="auto"/>
          <w:sz w:val="21"/>
          <w:szCs w:val="21"/>
          <w:highlight w:val="none"/>
        </w:rPr>
      </w:pPr>
      <w:r>
        <w:rPr>
          <w:color w:val="auto"/>
          <w:sz w:val="21"/>
          <w:szCs w:val="21"/>
          <w:highlight w:val="none"/>
        </w:rPr>
        <w:t>1.6.5</w:t>
      </w:r>
      <w:r>
        <w:rPr>
          <w:rFonts w:hint="eastAsia" w:hAnsi="宋体" w:cs="宋体"/>
          <w:color w:val="auto"/>
          <w:sz w:val="21"/>
          <w:szCs w:val="21"/>
          <w:highlight w:val="none"/>
        </w:rPr>
        <w:t>现场图纸准备</w:t>
      </w:r>
    </w:p>
    <w:p w14:paraId="21084668">
      <w:pPr>
        <w:spacing w:line="360" w:lineRule="auto"/>
        <w:ind w:firstLine="420" w:firstLineChars="200"/>
        <w:rPr>
          <w:color w:val="auto"/>
          <w:sz w:val="21"/>
          <w:szCs w:val="21"/>
          <w:highlight w:val="none"/>
        </w:rPr>
      </w:pPr>
      <w:r>
        <w:rPr>
          <w:rFonts w:hint="eastAsia" w:hAnsi="宋体" w:cs="宋体"/>
          <w:color w:val="auto"/>
          <w:sz w:val="21"/>
          <w:szCs w:val="21"/>
          <w:highlight w:val="none"/>
        </w:rPr>
        <w:t>关于现场图纸准备的约定</w:t>
      </w:r>
      <w:r>
        <w:rPr>
          <w:rFonts w:hint="eastAsia" w:ascii="Times New Roman" w:hAnsi="宋体" w:eastAsia="宋体" w:cs="宋体"/>
          <w:color w:val="auto"/>
          <w:kern w:val="2"/>
          <w:sz w:val="21"/>
          <w:szCs w:val="21"/>
          <w:highlight w:val="none"/>
          <w:u w:val="single"/>
          <w:lang w:val="en-US" w:eastAsia="zh-CN" w:bidi="ar-SA"/>
        </w:rPr>
        <w:t>：</w:t>
      </w:r>
      <w:r>
        <w:rPr>
          <w:rFonts w:hint="default" w:ascii="Times New Roman" w:hAnsi="宋体" w:eastAsia="宋体" w:cs="宋体"/>
          <w:color w:val="auto"/>
          <w:kern w:val="2"/>
          <w:sz w:val="21"/>
          <w:szCs w:val="21"/>
          <w:highlight w:val="none"/>
          <w:u w:val="single"/>
          <w:lang w:val="en-US" w:eastAsia="zh-CN" w:bidi="ar-SA"/>
        </w:rPr>
        <w:t>发包人提供的施工图纸，承包人应至少保留一套加盖发包人公章或图纸专用章的完整图纸在现场，用于施工及验收。现场图纸的保管、整理、归档由承包人负责，但因图纸本身质量问题（如缺页、模糊）或发包人提供图纸更新导致的图纸作废，发包人应免费提供替换图纸。合同履行完毕后，承包人应按发包人要求将全部图纸（含作废图纸）清点归还。</w:t>
      </w:r>
      <w:r>
        <w:rPr>
          <w:rFonts w:hint="eastAsia" w:ascii="Times New Roman" w:hAnsi="宋体" w:eastAsia="宋体" w:cs="宋体"/>
          <w:color w:val="auto"/>
          <w:kern w:val="2"/>
          <w:sz w:val="21"/>
          <w:szCs w:val="21"/>
          <w:highlight w:val="none"/>
          <w:u w:val="single"/>
          <w:lang w:val="en-US" w:eastAsia="zh-CN" w:bidi="ar-SA"/>
        </w:rPr>
        <w:t>。</w:t>
      </w:r>
    </w:p>
    <w:p w14:paraId="4E5219DB">
      <w:pPr>
        <w:pStyle w:val="4"/>
        <w:rPr>
          <w:color w:val="auto"/>
          <w:highlight w:val="none"/>
        </w:rPr>
      </w:pPr>
      <w:bookmarkStart w:id="248" w:name="_Toc373227698"/>
      <w:bookmarkStart w:id="249" w:name="_Toc110523719"/>
      <w:bookmarkStart w:id="250" w:name="_Toc373478345"/>
      <w:bookmarkStart w:id="251" w:name="_Toc23522"/>
      <w:bookmarkStart w:id="252" w:name="_Toc78449786"/>
      <w:bookmarkStart w:id="253" w:name="_Toc1944260835"/>
      <w:bookmarkStart w:id="254" w:name="_Toc407135200"/>
      <w:bookmarkStart w:id="255" w:name="_Toc389065264"/>
      <w:r>
        <w:rPr>
          <w:color w:val="auto"/>
          <w:highlight w:val="none"/>
        </w:rPr>
        <w:t>1.7</w:t>
      </w:r>
      <w:r>
        <w:rPr>
          <w:rFonts w:hint="eastAsia" w:hAnsi="宋体" w:cs="黑体"/>
          <w:color w:val="auto"/>
          <w:highlight w:val="none"/>
        </w:rPr>
        <w:t>联络</w:t>
      </w:r>
      <w:bookmarkEnd w:id="248"/>
      <w:bookmarkEnd w:id="249"/>
      <w:bookmarkEnd w:id="250"/>
      <w:bookmarkEnd w:id="251"/>
      <w:bookmarkEnd w:id="252"/>
      <w:bookmarkEnd w:id="253"/>
      <w:bookmarkEnd w:id="254"/>
      <w:bookmarkEnd w:id="255"/>
    </w:p>
    <w:p w14:paraId="3236C7E9">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hAnsi="宋体" w:cs="宋体"/>
          <w:color w:val="auto"/>
          <w:kern w:val="0"/>
          <w:sz w:val="21"/>
          <w:szCs w:val="21"/>
          <w:highlight w:val="none"/>
        </w:rPr>
        <w:t>发包人和承包人应当在</w:t>
      </w:r>
      <w:r>
        <w:rPr>
          <w:rFonts w:hint="eastAsia"/>
          <w:color w:val="auto"/>
          <w:sz w:val="21"/>
          <w:szCs w:val="21"/>
          <w:highlight w:val="none"/>
          <w:u w:val="single"/>
          <w:lang w:val="en-US" w:eastAsia="zh-CN"/>
        </w:rPr>
        <w:t>5</w:t>
      </w:r>
      <w:r>
        <w:rPr>
          <w:rFonts w:hint="eastAsia" w:hAnsi="宋体" w:cs="宋体"/>
          <w:color w:val="auto"/>
          <w:kern w:val="0"/>
          <w:sz w:val="21"/>
          <w:szCs w:val="21"/>
          <w:highlight w:val="none"/>
        </w:rPr>
        <w:t>天内将与合同有关的通知、批准、证明、证书、指示、指令、要求、请求、同意、意见、确定和决定等书面函件送达对方当事人。</w:t>
      </w:r>
    </w:p>
    <w:p w14:paraId="34ECDD87">
      <w:pPr>
        <w:spacing w:line="360" w:lineRule="auto"/>
        <w:ind w:firstLine="420" w:firstLineChars="200"/>
        <w:rPr>
          <w:color w:val="auto"/>
          <w:kern w:val="0"/>
          <w:sz w:val="21"/>
          <w:szCs w:val="21"/>
          <w:highlight w:val="none"/>
        </w:rPr>
      </w:pPr>
      <w:r>
        <w:rPr>
          <w:color w:val="auto"/>
          <w:kern w:val="0"/>
          <w:sz w:val="21"/>
          <w:szCs w:val="21"/>
          <w:highlight w:val="none"/>
        </w:rPr>
        <w:t>1.7.2</w:t>
      </w:r>
      <w:r>
        <w:rPr>
          <w:rFonts w:hint="eastAsia" w:hAnsi="宋体" w:cs="宋体"/>
          <w:color w:val="auto"/>
          <w:kern w:val="0"/>
          <w:sz w:val="21"/>
          <w:szCs w:val="21"/>
          <w:highlight w:val="none"/>
        </w:rPr>
        <w:t>发包人接收文件的地点：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778D8444">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75C4C72">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00DAFB0D">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1A028F43">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3430B25E">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6B19A40F">
      <w:pPr>
        <w:pStyle w:val="4"/>
        <w:rPr>
          <w:color w:val="auto"/>
          <w:highlight w:val="none"/>
        </w:rPr>
      </w:pPr>
      <w:bookmarkStart w:id="256" w:name="_Toc373478346"/>
      <w:bookmarkStart w:id="257" w:name="_Toc224348539"/>
      <w:bookmarkStart w:id="258" w:name="_Toc389065265"/>
      <w:bookmarkStart w:id="259" w:name="_Toc373227699"/>
      <w:bookmarkStart w:id="260" w:name="_Toc1387231545"/>
      <w:bookmarkStart w:id="261" w:name="_Toc407135201"/>
      <w:bookmarkStart w:id="262" w:name="_Toc78449787"/>
      <w:bookmarkStart w:id="263" w:name="_Toc23405"/>
      <w:r>
        <w:rPr>
          <w:color w:val="auto"/>
          <w:highlight w:val="none"/>
        </w:rPr>
        <w:t>1.10</w:t>
      </w:r>
      <w:r>
        <w:rPr>
          <w:rFonts w:hint="eastAsia" w:hAnsi="宋体" w:cs="黑体"/>
          <w:color w:val="auto"/>
          <w:highlight w:val="none"/>
        </w:rPr>
        <w:t>交通运输</w:t>
      </w:r>
      <w:bookmarkEnd w:id="256"/>
      <w:bookmarkEnd w:id="257"/>
      <w:bookmarkEnd w:id="258"/>
      <w:bookmarkEnd w:id="259"/>
      <w:bookmarkEnd w:id="260"/>
      <w:bookmarkEnd w:id="261"/>
      <w:bookmarkEnd w:id="262"/>
      <w:bookmarkEnd w:id="263"/>
    </w:p>
    <w:p w14:paraId="4E4F1487">
      <w:pPr>
        <w:spacing w:line="360" w:lineRule="auto"/>
        <w:ind w:firstLine="420" w:firstLineChars="200"/>
        <w:rPr>
          <w:color w:val="auto"/>
          <w:sz w:val="21"/>
          <w:szCs w:val="21"/>
          <w:highlight w:val="none"/>
        </w:rPr>
      </w:pPr>
      <w:r>
        <w:rPr>
          <w:color w:val="auto"/>
          <w:sz w:val="21"/>
          <w:szCs w:val="21"/>
          <w:highlight w:val="none"/>
        </w:rPr>
        <w:t>1.10.1</w:t>
      </w:r>
      <w:r>
        <w:rPr>
          <w:rFonts w:hint="eastAsia" w:hAnsi="宋体" w:cs="宋体"/>
          <w:color w:val="auto"/>
          <w:sz w:val="21"/>
          <w:szCs w:val="21"/>
          <w:highlight w:val="none"/>
        </w:rPr>
        <w:t>出入现场的权利</w:t>
      </w:r>
    </w:p>
    <w:p w14:paraId="4EE0362F">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关于出入现场的权利的约定：</w:t>
      </w:r>
      <w:r>
        <w:rPr>
          <w:rFonts w:hint="eastAsia"/>
          <w:color w:val="auto"/>
          <w:sz w:val="21"/>
          <w:szCs w:val="21"/>
          <w:highlight w:val="none"/>
          <w:u w:val="single"/>
        </w:rPr>
        <w:t>发包人应确保承包人在合同期内有权自由、无阻碍地出入施工现场，包括施工人员、施工机械、设备、材料及临时设施所需的通行权利。发包人负责办理施工场地的出入证、通行许可等所有必要的手续，并承担相关费用。因发包人未能保证上述权利，导致承包人人员、设备、材料无法按时进出场的，由此增加的费用和延误的工期由发包人承担。</w:t>
      </w:r>
    </w:p>
    <w:p w14:paraId="3B9871B9">
      <w:pPr>
        <w:spacing w:line="360" w:lineRule="auto"/>
        <w:ind w:firstLine="420" w:firstLineChars="200"/>
        <w:jc w:val="left"/>
        <w:rPr>
          <w:color w:val="auto"/>
          <w:sz w:val="21"/>
          <w:szCs w:val="21"/>
          <w:highlight w:val="none"/>
        </w:rPr>
      </w:pPr>
      <w:r>
        <w:rPr>
          <w:color w:val="auto"/>
          <w:sz w:val="21"/>
          <w:szCs w:val="21"/>
          <w:highlight w:val="none"/>
        </w:rPr>
        <w:t>1.10.3</w:t>
      </w:r>
      <w:r>
        <w:rPr>
          <w:rFonts w:hint="eastAsia" w:hAnsi="宋体" w:cs="宋体"/>
          <w:color w:val="auto"/>
          <w:sz w:val="21"/>
          <w:szCs w:val="21"/>
          <w:highlight w:val="none"/>
        </w:rPr>
        <w:t>场内交通</w:t>
      </w:r>
    </w:p>
    <w:p w14:paraId="1FDAD715">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关于场外交通和场内交通的边界的约定：</w:t>
      </w:r>
      <w:r>
        <w:rPr>
          <w:rFonts w:hint="eastAsia"/>
          <w:color w:val="auto"/>
          <w:sz w:val="21"/>
          <w:szCs w:val="21"/>
          <w:highlight w:val="none"/>
          <w:u w:val="single"/>
        </w:rPr>
        <w:t>场外交通与场内交通的边界为：施工现场用地红线（或发包人指定的围挡、围墙）的边界线。自公共道路接入点至施工现场用地红线之间的道路为场外交通，由发包人负责协调并保证其畅通；用地红线以内的道路为场内交通，由承包人负责修建、维护和管理。</w:t>
      </w:r>
    </w:p>
    <w:p w14:paraId="1D195FFB">
      <w:pPr>
        <w:spacing w:line="360" w:lineRule="auto"/>
        <w:ind w:firstLine="420" w:firstLineChars="200"/>
        <w:jc w:val="left"/>
        <w:rPr>
          <w:color w:val="auto"/>
          <w:sz w:val="21"/>
          <w:szCs w:val="21"/>
          <w:highlight w:val="none"/>
        </w:rPr>
      </w:pPr>
      <w:r>
        <w:rPr>
          <w:rFonts w:hAnsi="宋体"/>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发包人应在本合同约定的开工日期前[7]日内，将满足施工车辆（含重型载重车辆）通行要求的场内主要干道和必要的交通设施（如临时桥梁、涵洞、加固路面等）修建完成，并免费提供给承包人使用。场内道路的标准应满足施工组织设计中的最大载重和通行频率要求。若发包人提供的道路和设施不足以满足施工需要，承包人有权要求发包人进行改善，因此增加的费用和延误的工期由发包人承担。承包人使用期间，应负责日常维护；工程完工后，按发包人要求恢复或移交。</w:t>
      </w:r>
    </w:p>
    <w:p w14:paraId="6FAEAB28">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hAnsi="宋体" w:cs="宋体"/>
          <w:color w:val="auto"/>
          <w:sz w:val="21"/>
          <w:szCs w:val="21"/>
          <w:highlight w:val="none"/>
        </w:rPr>
        <w:t>超大件和超重件的运输</w:t>
      </w:r>
    </w:p>
    <w:p w14:paraId="31BD5B4C">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运输超大件或超重件所需的道路和桥梁临时加固改造费用和其他有关费用由</w:t>
      </w:r>
      <w:r>
        <w:rPr>
          <w:rFonts w:hint="eastAsia"/>
          <w:color w:val="auto"/>
          <w:sz w:val="21"/>
          <w:szCs w:val="21"/>
          <w:highlight w:val="none"/>
          <w:u w:val="single"/>
          <w:lang w:val="en-US" w:eastAsia="zh-CN"/>
        </w:rPr>
        <w:t>/</w:t>
      </w:r>
      <w:r>
        <w:rPr>
          <w:rFonts w:hint="eastAsia" w:hAnsi="宋体" w:cs="宋体"/>
          <w:color w:val="auto"/>
          <w:sz w:val="21"/>
          <w:szCs w:val="21"/>
          <w:highlight w:val="none"/>
        </w:rPr>
        <w:t>承担。</w:t>
      </w:r>
    </w:p>
    <w:p w14:paraId="135F48A4">
      <w:pPr>
        <w:pStyle w:val="4"/>
        <w:rPr>
          <w:color w:val="auto"/>
          <w:highlight w:val="none"/>
        </w:rPr>
      </w:pPr>
      <w:bookmarkStart w:id="264" w:name="_Toc373478347"/>
      <w:bookmarkStart w:id="265" w:name="_Toc373227700"/>
      <w:bookmarkStart w:id="266" w:name="_Toc512841653"/>
      <w:bookmarkStart w:id="267" w:name="_Toc389065266"/>
      <w:bookmarkStart w:id="268" w:name="_Toc78449788"/>
      <w:bookmarkStart w:id="269" w:name="_Toc1495098807"/>
      <w:bookmarkStart w:id="270" w:name="_Toc12538"/>
      <w:bookmarkStart w:id="271" w:name="_Toc407135202"/>
      <w:r>
        <w:rPr>
          <w:color w:val="auto"/>
          <w:highlight w:val="none"/>
        </w:rPr>
        <w:t>1.11</w:t>
      </w:r>
      <w:r>
        <w:rPr>
          <w:rFonts w:hint="eastAsia" w:hAnsi="宋体" w:cs="黑体"/>
          <w:color w:val="auto"/>
          <w:highlight w:val="none"/>
        </w:rPr>
        <w:t>知识产权</w:t>
      </w:r>
      <w:bookmarkEnd w:id="264"/>
      <w:bookmarkEnd w:id="265"/>
      <w:bookmarkEnd w:id="266"/>
      <w:bookmarkEnd w:id="267"/>
      <w:bookmarkEnd w:id="268"/>
      <w:bookmarkEnd w:id="269"/>
      <w:bookmarkEnd w:id="270"/>
      <w:bookmarkEnd w:id="271"/>
    </w:p>
    <w:p w14:paraId="73413380">
      <w:pPr>
        <w:spacing w:line="360" w:lineRule="auto"/>
        <w:ind w:firstLine="420" w:firstLineChars="200"/>
        <w:rPr>
          <w:color w:val="auto"/>
          <w:sz w:val="21"/>
          <w:szCs w:val="21"/>
          <w:highlight w:val="none"/>
        </w:rPr>
      </w:pPr>
      <w:r>
        <w:rPr>
          <w:color w:val="auto"/>
          <w:sz w:val="21"/>
          <w:szCs w:val="21"/>
          <w:highlight w:val="none"/>
        </w:rPr>
        <w:t>1.11.1</w:t>
      </w:r>
      <w:r>
        <w:rPr>
          <w:rFonts w:hint="eastAsia" w:hAnsi="宋体" w:cs="宋体"/>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color w:val="auto"/>
          <w:sz w:val="21"/>
          <w:szCs w:val="21"/>
          <w:highlight w:val="none"/>
          <w:u w:val="single"/>
        </w:rPr>
        <w:t>发包人</w:t>
      </w:r>
      <w:r>
        <w:rPr>
          <w:rFonts w:hint="eastAsia" w:hAnsi="宋体" w:cs="宋体"/>
          <w:color w:val="auto"/>
          <w:sz w:val="21"/>
          <w:szCs w:val="21"/>
          <w:highlight w:val="none"/>
        </w:rPr>
        <w:t>。</w:t>
      </w:r>
    </w:p>
    <w:p w14:paraId="41D9409F">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关于发包人提供的上述文件的使用限制的要求：</w:t>
      </w:r>
      <w:r>
        <w:rPr>
          <w:color w:val="auto"/>
          <w:sz w:val="21"/>
          <w:szCs w:val="21"/>
          <w:highlight w:val="none"/>
          <w:u w:val="single"/>
        </w:rPr>
        <w:t>承包人仅可将上述文件用于本合同的实施、管理、竣工及保修之目的。未经发包人书面同意，承包人不得为任何与本合同无关的目的复制、使用、或向任何第三方提供、披露上述文件。合同履行完毕或提前终止后，承包人应将全部原件及复制品按发包人要求退还或销毁，但承包人存档投标文件所需的除外</w:t>
      </w:r>
      <w:r>
        <w:rPr>
          <w:rFonts w:hint="eastAsia"/>
          <w:color w:val="auto"/>
          <w:sz w:val="21"/>
          <w:szCs w:val="21"/>
          <w:highlight w:val="none"/>
          <w:u w:val="single"/>
        </w:rPr>
        <w:t>。</w:t>
      </w:r>
    </w:p>
    <w:p w14:paraId="7587E309">
      <w:pPr>
        <w:spacing w:line="360" w:lineRule="auto"/>
        <w:ind w:firstLine="420" w:firstLineChars="200"/>
        <w:rPr>
          <w:color w:val="auto"/>
          <w:sz w:val="21"/>
          <w:szCs w:val="21"/>
          <w:highlight w:val="none"/>
        </w:rPr>
      </w:pPr>
      <w:r>
        <w:rPr>
          <w:color w:val="auto"/>
          <w:sz w:val="21"/>
          <w:szCs w:val="21"/>
          <w:highlight w:val="none"/>
        </w:rPr>
        <w:t>1.11.2</w:t>
      </w:r>
      <w:r>
        <w:rPr>
          <w:rFonts w:hint="eastAsia" w:hAnsi="宋体" w:cs="宋体"/>
          <w:color w:val="auto"/>
          <w:sz w:val="21"/>
          <w:szCs w:val="21"/>
          <w:highlight w:val="none"/>
        </w:rPr>
        <w:t>关于承包人为实施工程所编制文件的著作权的归属</w:t>
      </w:r>
      <w:r>
        <w:rPr>
          <w:rFonts w:hint="eastAsia"/>
          <w:color w:val="auto"/>
          <w:sz w:val="21"/>
          <w:szCs w:val="21"/>
          <w:highlight w:val="none"/>
          <w:u w:val="single"/>
        </w:rPr>
        <w:t>：</w:t>
      </w:r>
      <w:r>
        <w:rPr>
          <w:color w:val="auto"/>
          <w:sz w:val="21"/>
          <w:szCs w:val="21"/>
          <w:highlight w:val="none"/>
          <w:u w:val="single"/>
        </w:rPr>
        <w:t>承包人</w:t>
      </w:r>
      <w:r>
        <w:rPr>
          <w:rFonts w:hint="eastAsia" w:hAnsi="宋体" w:cs="宋体"/>
          <w:color w:val="auto"/>
          <w:sz w:val="21"/>
          <w:szCs w:val="21"/>
          <w:highlight w:val="none"/>
        </w:rPr>
        <w:t>。</w:t>
      </w:r>
    </w:p>
    <w:p w14:paraId="350A3EA7">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关于承包人提供的上述文件的使用限制的要求：</w:t>
      </w:r>
      <w:r>
        <w:rPr>
          <w:color w:val="auto"/>
          <w:sz w:val="21"/>
          <w:szCs w:val="21"/>
          <w:highlight w:val="none"/>
          <w:u w:val="single"/>
        </w:rPr>
        <w:t>发包人可就本项目目的，免费复制、使用和引用承包人提交的施工组织设计、专项施工方案、竣工图等由承包人编制的文件。但发包人不得将上述文件用于与本项目无关的其他工程项目，或向与本项目无关的任何第三方提供、披露，除非得到承包人的书面同意。承包人保证其编制的文件不侵犯任何第三方的知识产权</w:t>
      </w:r>
      <w:r>
        <w:rPr>
          <w:rFonts w:hint="eastAsia"/>
          <w:color w:val="auto"/>
          <w:sz w:val="21"/>
          <w:szCs w:val="21"/>
          <w:highlight w:val="none"/>
          <w:u w:val="single"/>
        </w:rPr>
        <w:t>。</w:t>
      </w:r>
    </w:p>
    <w:p w14:paraId="53DDA12E">
      <w:pPr>
        <w:spacing w:line="360" w:lineRule="auto"/>
        <w:ind w:firstLine="420" w:firstLineChars="200"/>
        <w:rPr>
          <w:rFonts w:hint="eastAsia" w:eastAsia="宋体"/>
          <w:color w:val="auto"/>
          <w:kern w:val="0"/>
          <w:sz w:val="21"/>
          <w:szCs w:val="21"/>
          <w:highlight w:val="none"/>
          <w:lang w:eastAsia="zh-CN"/>
        </w:rPr>
      </w:pPr>
      <w:r>
        <w:rPr>
          <w:color w:val="auto"/>
          <w:sz w:val="21"/>
          <w:szCs w:val="21"/>
          <w:highlight w:val="none"/>
        </w:rPr>
        <w:t>1.11.4</w:t>
      </w:r>
      <w:r>
        <w:rPr>
          <w:rFonts w:hint="eastAsia" w:hAnsi="宋体" w:cs="宋体"/>
          <w:color w:val="auto"/>
          <w:sz w:val="21"/>
          <w:szCs w:val="21"/>
          <w:highlight w:val="none"/>
        </w:rPr>
        <w:t>承包人在施工过程中所采用的专利、专有技术、技术秘密的使用费的承担方式：</w:t>
      </w:r>
      <w:r>
        <w:rPr>
          <w:color w:val="auto"/>
          <w:sz w:val="21"/>
          <w:szCs w:val="21"/>
          <w:highlight w:val="none"/>
          <w:u w:val="single"/>
        </w:rPr>
        <w:t>除合同技术要求或设计文件明确指定的专利或专有技术外，承包人自主选择采用的专利、专有技术、技术秘密，其使用费已包含在合同价款中，发包人不另行支付。若因执行发包人提供的图纸、技术规范或发包人提出的特殊要求而必须采用第三方的专利、专有技术、技术秘密，其使用费及相关的许可费用应由发包人承担。如因此产生第三方侵权索赔，由提供该技术要求的一方负责处理并承担全部责任。</w:t>
      </w:r>
    </w:p>
    <w:p w14:paraId="1E892C76">
      <w:pPr>
        <w:pStyle w:val="4"/>
        <w:rPr>
          <w:color w:val="auto"/>
          <w:highlight w:val="none"/>
        </w:rPr>
      </w:pPr>
      <w:bookmarkStart w:id="272" w:name="_Toc373478348"/>
      <w:bookmarkStart w:id="273" w:name="_Toc407135203"/>
      <w:bookmarkStart w:id="274" w:name="_Toc1194977599"/>
      <w:bookmarkStart w:id="275" w:name="_Toc6200"/>
      <w:bookmarkStart w:id="276" w:name="_Toc373227701"/>
      <w:bookmarkStart w:id="277" w:name="_Toc78449789"/>
      <w:bookmarkStart w:id="278" w:name="_Toc267680563"/>
      <w:bookmarkStart w:id="279" w:name="_Toc389065267"/>
      <w:r>
        <w:rPr>
          <w:color w:val="auto"/>
          <w:highlight w:val="none"/>
        </w:rPr>
        <w:t>1.13</w:t>
      </w:r>
      <w:r>
        <w:rPr>
          <w:rFonts w:hint="eastAsia" w:cs="黑体"/>
          <w:color w:val="auto"/>
          <w:highlight w:val="none"/>
        </w:rPr>
        <w:t>工程量清单错误的修正</w:t>
      </w:r>
      <w:bookmarkEnd w:id="272"/>
      <w:bookmarkEnd w:id="273"/>
      <w:bookmarkEnd w:id="274"/>
      <w:bookmarkEnd w:id="275"/>
      <w:bookmarkEnd w:id="276"/>
      <w:bookmarkEnd w:id="277"/>
      <w:bookmarkEnd w:id="278"/>
      <w:bookmarkEnd w:id="279"/>
    </w:p>
    <w:p w14:paraId="6A9C6200">
      <w:pPr>
        <w:spacing w:line="360" w:lineRule="auto"/>
        <w:ind w:firstLine="420" w:firstLineChars="200"/>
        <w:rPr>
          <w:color w:val="auto"/>
          <w:sz w:val="21"/>
          <w:szCs w:val="21"/>
          <w:highlight w:val="none"/>
        </w:rPr>
      </w:pPr>
      <w:r>
        <w:rPr>
          <w:rFonts w:hint="eastAsia" w:hAnsi="宋体" w:cs="宋体"/>
          <w:color w:val="auto"/>
          <w:sz w:val="21"/>
          <w:szCs w:val="21"/>
          <w:highlight w:val="none"/>
        </w:rPr>
        <w:t>出现工程量清单工程量偏差时，是否调整合同价格：</w:t>
      </w:r>
      <w:r>
        <w:rPr>
          <w:rFonts w:hint="eastAsia" w:ascii="宋体" w:hAnsi="宋体" w:cs="宋体"/>
          <w:color w:val="auto"/>
          <w:sz w:val="21"/>
          <w:szCs w:val="21"/>
          <w:highlight w:val="none"/>
          <w:u w:val="single"/>
        </w:rPr>
        <w:t>□</w:t>
      </w:r>
      <w:r>
        <w:rPr>
          <w:rFonts w:hint="eastAsia" w:hAnsi="宋体" w:cs="宋体"/>
          <w:color w:val="auto"/>
          <w:sz w:val="21"/>
          <w:szCs w:val="21"/>
          <w:highlight w:val="none"/>
          <w:u w:val="single"/>
        </w:rPr>
        <w:t>是</w:t>
      </w:r>
      <w:r>
        <w:rPr>
          <w:rFonts w:hint="eastAsia" w:ascii="宋体" w:hAnsi="宋体" w:cs="宋体"/>
          <w:color w:val="auto"/>
          <w:sz w:val="21"/>
          <w:szCs w:val="21"/>
          <w:highlight w:val="none"/>
          <w:u w:val="single"/>
          <w:lang w:eastAsia="zh-CN"/>
        </w:rPr>
        <w:t>☑</w:t>
      </w:r>
      <w:r>
        <w:rPr>
          <w:rFonts w:hint="eastAsia" w:hAnsi="宋体" w:cs="宋体"/>
          <w:color w:val="auto"/>
          <w:sz w:val="21"/>
          <w:szCs w:val="21"/>
          <w:highlight w:val="none"/>
          <w:u w:val="single"/>
        </w:rPr>
        <w:t>否</w:t>
      </w:r>
      <w:r>
        <w:rPr>
          <w:rFonts w:hint="eastAsia" w:hAnsi="宋体" w:cs="宋体"/>
          <w:color w:val="auto"/>
          <w:kern w:val="0"/>
          <w:sz w:val="21"/>
          <w:szCs w:val="21"/>
          <w:highlight w:val="none"/>
        </w:rPr>
        <w:t>。</w:t>
      </w:r>
    </w:p>
    <w:p w14:paraId="3F33B2BB">
      <w:pPr>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允许调整合同价格的工程量偏差范围及其调整办法：</w:t>
      </w:r>
    </w:p>
    <w:p w14:paraId="49B19271">
      <w:pPr>
        <w:spacing w:line="360" w:lineRule="auto"/>
        <w:ind w:firstLine="420" w:firstLineChars="200"/>
        <w:rPr>
          <w:rFonts w:hint="eastAsia"/>
          <w:color w:val="auto"/>
          <w:sz w:val="21"/>
          <w:szCs w:val="21"/>
          <w:highlight w:val="none"/>
          <w:u w:val="single"/>
        </w:rPr>
      </w:pPr>
      <w:r>
        <w:rPr>
          <w:rFonts w:hint="eastAsia" w:ascii="宋体" w:hAnsi="宋体" w:cs="宋体"/>
          <w:color w:val="auto"/>
          <w:sz w:val="21"/>
          <w:szCs w:val="21"/>
          <w:highlight w:val="none"/>
        </w:rPr>
        <w:t>□</w:t>
      </w:r>
      <w:r>
        <w:rPr>
          <w:rFonts w:hint="eastAsia"/>
          <w:color w:val="auto"/>
          <w:sz w:val="21"/>
          <w:szCs w:val="21"/>
          <w:highlight w:val="none"/>
          <w:u w:val="single"/>
        </w:rPr>
        <w:t>除严重不平衡报价外，无论分部分项工程量清单项目中的工程量变化多少均不调整。</w:t>
      </w:r>
    </w:p>
    <w:p w14:paraId="362476FB">
      <w:pPr>
        <w:spacing w:line="360" w:lineRule="auto"/>
        <w:ind w:firstLine="420" w:firstLineChars="200"/>
        <w:rPr>
          <w:rFonts w:hint="eastAsia"/>
          <w:color w:val="auto"/>
          <w:sz w:val="21"/>
          <w:szCs w:val="21"/>
          <w:highlight w:val="none"/>
          <w:u w:val="single"/>
        </w:rPr>
      </w:pPr>
      <w:r>
        <w:rPr>
          <w:rFonts w:hint="eastAsia"/>
          <w:color w:val="auto"/>
          <w:sz w:val="21"/>
          <w:szCs w:val="21"/>
          <w:highlight w:val="none"/>
          <w:u w:val="single"/>
          <w:lang w:eastAsia="zh-CN"/>
        </w:rPr>
        <w:t>☑</w:t>
      </w:r>
      <w:r>
        <w:rPr>
          <w:rFonts w:hint="eastAsia"/>
          <w:color w:val="auto"/>
          <w:sz w:val="21"/>
          <w:szCs w:val="21"/>
          <w:highlight w:val="none"/>
          <w:u w:val="single"/>
        </w:rPr>
        <w:t>[除招标图纸及工程量清单中明确为暂估量的项目外，清单工程量无论变化多少均不调整合同总价。]</w:t>
      </w:r>
    </w:p>
    <w:p w14:paraId="07867B2A">
      <w:pPr>
        <w:pStyle w:val="3"/>
        <w:rPr>
          <w:color w:val="auto"/>
          <w:highlight w:val="none"/>
        </w:rPr>
      </w:pPr>
      <w:bookmarkStart w:id="280" w:name="_Toc1415467590"/>
      <w:bookmarkStart w:id="281" w:name="_Toc351203634"/>
      <w:bookmarkStart w:id="282" w:name="_Toc373478349"/>
      <w:bookmarkStart w:id="283" w:name="_Toc15743"/>
      <w:bookmarkStart w:id="284" w:name="_Toc373227702"/>
      <w:bookmarkStart w:id="285" w:name="_Toc407135204"/>
      <w:bookmarkStart w:id="286" w:name="_Toc143780453"/>
      <w:bookmarkStart w:id="287" w:name="_Toc78449790"/>
      <w:bookmarkStart w:id="288" w:name="_Toc389065268"/>
      <w:r>
        <w:rPr>
          <w:color w:val="auto"/>
          <w:highlight w:val="none"/>
        </w:rPr>
        <w:t>2</w:t>
      </w:r>
      <w:bookmarkStart w:id="289" w:name="_Toc296347156"/>
      <w:bookmarkStart w:id="290" w:name="_Toc296890985"/>
      <w:bookmarkStart w:id="291" w:name="_Toc292559362"/>
      <w:bookmarkStart w:id="292" w:name="_Toc297048343"/>
      <w:bookmarkStart w:id="293" w:name="_Toc297120457"/>
      <w:bookmarkStart w:id="294" w:name="_Toc296346658"/>
      <w:bookmarkStart w:id="295" w:name="_Toc292559867"/>
      <w:bookmarkStart w:id="296" w:name="_Toc296891197"/>
      <w:bookmarkStart w:id="297" w:name="_Toc296503157"/>
      <w:bookmarkStart w:id="298" w:name="_Toc296944496"/>
      <w:r>
        <w:rPr>
          <w:color w:val="auto"/>
          <w:highlight w:val="none"/>
        </w:rPr>
        <w:t>.</w:t>
      </w:r>
      <w:r>
        <w:rPr>
          <w:rFonts w:hint="eastAsia" w:hAnsi="宋体" w:cs="黑体"/>
          <w:color w:val="auto"/>
          <w:highlight w:val="none"/>
        </w:rPr>
        <w:t>发包人</w:t>
      </w:r>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p w14:paraId="0450EFCA">
      <w:pPr>
        <w:pStyle w:val="4"/>
        <w:rPr>
          <w:color w:val="auto"/>
          <w:highlight w:val="none"/>
        </w:rPr>
      </w:pPr>
      <w:bookmarkStart w:id="299" w:name="_Toc373227703"/>
      <w:bookmarkStart w:id="300" w:name="_Toc407135205"/>
      <w:bookmarkStart w:id="301" w:name="_Toc547644210"/>
      <w:bookmarkStart w:id="302" w:name="_Toc971240048"/>
      <w:bookmarkStart w:id="303" w:name="_Toc373478350"/>
      <w:bookmarkStart w:id="304" w:name="_Toc78449791"/>
      <w:bookmarkStart w:id="305" w:name="_Toc389065269"/>
      <w:bookmarkStart w:id="306" w:name="_Toc17557"/>
      <w:r>
        <w:rPr>
          <w:color w:val="auto"/>
          <w:highlight w:val="none"/>
        </w:rPr>
        <w:t>2.2</w:t>
      </w:r>
      <w:r>
        <w:rPr>
          <w:rFonts w:hint="eastAsia" w:hAnsi="宋体" w:cs="黑体"/>
          <w:color w:val="auto"/>
          <w:highlight w:val="none"/>
        </w:rPr>
        <w:t>发包人代表</w:t>
      </w:r>
      <w:bookmarkEnd w:id="299"/>
      <w:bookmarkEnd w:id="300"/>
      <w:bookmarkEnd w:id="301"/>
      <w:bookmarkEnd w:id="302"/>
      <w:bookmarkEnd w:id="303"/>
      <w:bookmarkEnd w:id="304"/>
      <w:bookmarkEnd w:id="305"/>
      <w:bookmarkEnd w:id="306"/>
    </w:p>
    <w:p w14:paraId="0868B776">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发包人代表：</w:t>
      </w:r>
    </w:p>
    <w:p w14:paraId="3300C215">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43D6A900">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2E97DC63">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6294775C">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0C5AC084">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3E128AB4">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7923E9A3">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发包人对发包人代表的授权范围如下：</w:t>
      </w:r>
      <w:r>
        <w:rPr>
          <w:rFonts w:hint="eastAsia"/>
          <w:color w:val="auto"/>
          <w:sz w:val="21"/>
          <w:szCs w:val="21"/>
          <w:highlight w:val="none"/>
          <w:u w:val="single"/>
        </w:rPr>
        <w:t>代表发包人行使施工合同约定的发包人权利，全面负责施工合同履行过程中的组织协调及日常管理，具体权限以发包人书面授权委托书载明的范围为准。其中，涉及合同价格变更、工程变更签证、工期顺延确认、索赔文件签认等可能引起合同实质性变更的事项，发包人代表的签认文件必须另行加盖发包人法人印章后方为有效。</w:t>
      </w:r>
    </w:p>
    <w:p w14:paraId="3B88600C">
      <w:pPr>
        <w:pStyle w:val="4"/>
        <w:rPr>
          <w:color w:val="auto"/>
          <w:highlight w:val="none"/>
        </w:rPr>
      </w:pPr>
      <w:bookmarkStart w:id="307" w:name="_Toc407135206"/>
      <w:bookmarkStart w:id="308" w:name="_Toc78449792"/>
      <w:bookmarkStart w:id="309" w:name="_Toc29374"/>
      <w:bookmarkStart w:id="310" w:name="_Toc389065270"/>
      <w:bookmarkStart w:id="311" w:name="_Toc373478351"/>
      <w:bookmarkStart w:id="312" w:name="_Toc2077499244"/>
      <w:bookmarkStart w:id="313" w:name="_Toc373227704"/>
      <w:bookmarkStart w:id="314" w:name="_Toc2066513957"/>
      <w:r>
        <w:rPr>
          <w:color w:val="auto"/>
          <w:highlight w:val="none"/>
        </w:rPr>
        <w:t>2.4</w:t>
      </w:r>
      <w:r>
        <w:rPr>
          <w:rFonts w:hint="eastAsia" w:cs="黑体"/>
          <w:color w:val="auto"/>
          <w:highlight w:val="none"/>
        </w:rPr>
        <w:t>施工现场、施工条件和基础资料的提供</w:t>
      </w:r>
      <w:bookmarkEnd w:id="307"/>
      <w:bookmarkEnd w:id="308"/>
      <w:bookmarkEnd w:id="309"/>
      <w:bookmarkEnd w:id="310"/>
      <w:bookmarkEnd w:id="311"/>
      <w:bookmarkEnd w:id="312"/>
      <w:bookmarkEnd w:id="313"/>
      <w:bookmarkEnd w:id="314"/>
    </w:p>
    <w:p w14:paraId="6A655DFC">
      <w:pPr>
        <w:spacing w:line="360" w:lineRule="auto"/>
        <w:ind w:firstLine="420" w:firstLineChars="200"/>
        <w:rPr>
          <w:color w:val="auto"/>
          <w:sz w:val="21"/>
          <w:szCs w:val="21"/>
          <w:highlight w:val="none"/>
        </w:rPr>
      </w:pPr>
      <w:r>
        <w:rPr>
          <w:color w:val="auto"/>
          <w:sz w:val="21"/>
          <w:szCs w:val="21"/>
          <w:highlight w:val="none"/>
        </w:rPr>
        <w:t>2.4.1</w:t>
      </w:r>
      <w:r>
        <w:rPr>
          <w:rFonts w:hint="eastAsia" w:hAnsi="宋体" w:cs="宋体"/>
          <w:color w:val="auto"/>
          <w:sz w:val="21"/>
          <w:szCs w:val="21"/>
          <w:highlight w:val="none"/>
        </w:rPr>
        <w:t>提供施工现场</w:t>
      </w:r>
    </w:p>
    <w:p w14:paraId="4A890D7C">
      <w:pPr>
        <w:spacing w:line="360" w:lineRule="auto"/>
        <w:ind w:firstLine="420" w:firstLineChars="200"/>
        <w:jc w:val="left"/>
        <w:rPr>
          <w:rFonts w:hAnsi="宋体"/>
          <w:color w:val="auto"/>
          <w:sz w:val="21"/>
          <w:szCs w:val="21"/>
          <w:highlight w:val="none"/>
          <w:u w:val="single"/>
        </w:rPr>
      </w:pPr>
      <w:r>
        <w:rPr>
          <w:rFonts w:hint="eastAsia" w:hAnsi="宋体" w:cs="宋体"/>
          <w:color w:val="auto"/>
          <w:sz w:val="21"/>
          <w:szCs w:val="21"/>
          <w:highlight w:val="none"/>
        </w:rPr>
        <w:t>关于发包人移交施工现场的期限要求：</w:t>
      </w:r>
      <w:r>
        <w:rPr>
          <w:rFonts w:hAnsi="宋体"/>
          <w:color w:val="auto"/>
          <w:sz w:val="21"/>
          <w:szCs w:val="21"/>
          <w:highlight w:val="none"/>
          <w:u w:val="single"/>
        </w:rPr>
        <w:t>施工场地应当在监理人发出的开工通知中载明的开工日期前7天具备施工条件并移交给承包人。施工现场范围以双方确认的本工程规划红线图为准，发包人应保障承包人施工期间对施工场地的排他性使用权</w:t>
      </w:r>
      <w:r>
        <w:rPr>
          <w:rFonts w:hint="eastAsia" w:hAnsi="宋体"/>
          <w:color w:val="auto"/>
          <w:sz w:val="21"/>
          <w:szCs w:val="21"/>
          <w:highlight w:val="none"/>
          <w:u w:val="single"/>
        </w:rPr>
        <w:t>。</w:t>
      </w:r>
      <w:r>
        <w:rPr>
          <w:rFonts w:hAnsi="宋体"/>
          <w:color w:val="auto"/>
          <w:sz w:val="21"/>
          <w:szCs w:val="21"/>
          <w:highlight w:val="none"/>
          <w:u w:val="single"/>
        </w:rPr>
        <w:t>发包人负责协调村委及村民，确保承包人可进入林地及规划道路用地范围施工。</w:t>
      </w:r>
      <w:r>
        <w:rPr>
          <w:rFonts w:hint="eastAsia" w:hAnsi="宋体"/>
          <w:color w:val="auto"/>
          <w:sz w:val="21"/>
          <w:szCs w:val="21"/>
          <w:highlight w:val="none"/>
          <w:u w:val="single"/>
          <w:lang w:eastAsia="zh-CN"/>
        </w:rPr>
        <w:t>因村民阻工等原因导致无法进场，工期相应顺延，双方应协商解决。阻工持续时间超过</w:t>
      </w:r>
      <w:r>
        <w:rPr>
          <w:rFonts w:hint="eastAsia" w:hAnsi="宋体"/>
          <w:color w:val="auto"/>
          <w:sz w:val="21"/>
          <w:szCs w:val="21"/>
          <w:highlight w:val="none"/>
          <w:u w:val="single"/>
          <w:lang w:val="en-US" w:eastAsia="zh-CN"/>
        </w:rPr>
        <w:t>10</w:t>
      </w:r>
      <w:r>
        <w:rPr>
          <w:rFonts w:hint="eastAsia" w:hAnsi="宋体"/>
          <w:color w:val="auto"/>
          <w:sz w:val="21"/>
          <w:szCs w:val="21"/>
          <w:highlight w:val="none"/>
          <w:u w:val="single"/>
          <w:lang w:eastAsia="zh-CN"/>
        </w:rPr>
        <w:t>个工作日的，发包人应承担承包人在此期间的合理人员、设备窝工费用，费用标准由双方参照投标报价的人工、机械台班单价协商确定</w:t>
      </w:r>
      <w:r>
        <w:rPr>
          <w:rFonts w:hAnsi="宋体"/>
          <w:color w:val="auto"/>
          <w:sz w:val="21"/>
          <w:szCs w:val="21"/>
          <w:highlight w:val="none"/>
          <w:u w:val="single"/>
        </w:rPr>
        <w:t>。</w:t>
      </w:r>
    </w:p>
    <w:p w14:paraId="7DEE46F7">
      <w:pPr>
        <w:spacing w:line="360" w:lineRule="auto"/>
        <w:ind w:firstLine="420" w:firstLineChars="200"/>
        <w:rPr>
          <w:color w:val="auto"/>
          <w:sz w:val="21"/>
          <w:szCs w:val="21"/>
          <w:highlight w:val="none"/>
        </w:rPr>
      </w:pPr>
      <w:r>
        <w:rPr>
          <w:color w:val="auto"/>
          <w:sz w:val="21"/>
          <w:szCs w:val="21"/>
          <w:highlight w:val="none"/>
        </w:rPr>
        <w:t>2.4.2</w:t>
      </w:r>
      <w:r>
        <w:rPr>
          <w:rFonts w:hint="eastAsia" w:hAnsi="宋体" w:cs="宋体"/>
          <w:color w:val="auto"/>
          <w:sz w:val="21"/>
          <w:szCs w:val="21"/>
          <w:highlight w:val="none"/>
        </w:rPr>
        <w:t>提供施工条件</w:t>
      </w:r>
    </w:p>
    <w:p w14:paraId="4F8B5E83">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Times New Roman"/>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关于发包人应负责提供施工所需要的条件，包括：</w:t>
      </w:r>
      <w:r>
        <w:rPr>
          <w:rFonts w:hint="default" w:ascii="Times New Roman" w:hAnsi="宋体" w:eastAsia="宋体" w:cs="Times New Roman"/>
          <w:color w:val="auto"/>
          <w:kern w:val="2"/>
          <w:sz w:val="21"/>
          <w:szCs w:val="21"/>
          <w:highlight w:val="none"/>
          <w:u w:val="single"/>
          <w:lang w:val="en-US" w:eastAsia="zh-CN" w:bidi="ar-SA"/>
        </w:rPr>
        <w:t>①将施工所需的水、电线路接至施工场地的时间、地点和供应要求：发包人于开工前7日内将施工用水接口接至施工现场边缘，将临时用电接口接至施工现场边缘指定配电点，承包人负责接口后的线路敷设及计量表具安装。②由发包人办理的施工所需证件、批件的名称和完成时间：由发包人负责办理施工许可证、规划许可证等开工前置审批手续。因发包人未及时办理施工许可证导致行政处罚或承包人损失的，由发包人承担相应责任及费用。③施工场地周边环境</w:t>
      </w:r>
      <w:r>
        <w:rPr>
          <w:rFonts w:hint="eastAsia" w:ascii="Times New Roman" w:hAnsi="宋体" w:eastAsia="宋体" w:cs="Times New Roman"/>
          <w:color w:val="auto"/>
          <w:kern w:val="2"/>
          <w:sz w:val="21"/>
          <w:szCs w:val="21"/>
          <w:highlight w:val="none"/>
          <w:u w:val="single"/>
          <w:lang w:val="en-US" w:eastAsia="zh-CN" w:bidi="ar-SA"/>
        </w:rPr>
        <w:t>协调工作</w:t>
      </w:r>
      <w:r>
        <w:rPr>
          <w:rFonts w:hint="default" w:ascii="Times New Roman" w:hAnsi="宋体" w:eastAsia="宋体" w:cs="Times New Roman"/>
          <w:color w:val="auto"/>
          <w:kern w:val="2"/>
          <w:sz w:val="21"/>
          <w:szCs w:val="21"/>
          <w:highlight w:val="none"/>
          <w:u w:val="single"/>
          <w:lang w:val="en-US" w:eastAsia="zh-CN" w:bidi="ar-SA"/>
        </w:rPr>
        <w:t>。若因承包人原因（如未按时提供人员社保、资质文件等）导致施工许可证办理延误，工期不予顺延，由承包人承担相应责任。</w:t>
      </w:r>
    </w:p>
    <w:p w14:paraId="33968765">
      <w:pPr>
        <w:pStyle w:val="4"/>
        <w:rPr>
          <w:color w:val="auto"/>
          <w:highlight w:val="none"/>
        </w:rPr>
      </w:pPr>
      <w:bookmarkStart w:id="315" w:name="_Toc78449793"/>
      <w:bookmarkStart w:id="316" w:name="_Toc389065271"/>
      <w:bookmarkStart w:id="317" w:name="_Toc407135207"/>
      <w:bookmarkStart w:id="318" w:name="_Toc373227705"/>
      <w:bookmarkStart w:id="319" w:name="_Toc1238195908"/>
      <w:bookmarkStart w:id="320" w:name="_Toc672429943"/>
      <w:bookmarkStart w:id="321" w:name="_Toc373478352"/>
      <w:bookmarkStart w:id="322" w:name="_Toc25972"/>
      <w:r>
        <w:rPr>
          <w:color w:val="auto"/>
          <w:highlight w:val="none"/>
        </w:rPr>
        <w:t>2.5</w:t>
      </w:r>
      <w:r>
        <w:rPr>
          <w:rFonts w:hint="eastAsia" w:cs="黑体"/>
          <w:color w:val="auto"/>
          <w:highlight w:val="none"/>
        </w:rPr>
        <w:t>资金来源证明及支付担保</w:t>
      </w:r>
      <w:bookmarkEnd w:id="315"/>
      <w:bookmarkEnd w:id="316"/>
      <w:bookmarkEnd w:id="317"/>
      <w:bookmarkEnd w:id="318"/>
      <w:bookmarkEnd w:id="319"/>
      <w:bookmarkEnd w:id="320"/>
      <w:bookmarkEnd w:id="321"/>
      <w:bookmarkEnd w:id="322"/>
    </w:p>
    <w:p w14:paraId="1FEF20F0">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发包人提供资金来源证明的期限要求：</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B53066A">
      <w:pPr>
        <w:spacing w:line="360" w:lineRule="auto"/>
        <w:ind w:firstLine="420" w:firstLineChars="200"/>
        <w:rPr>
          <w:rFonts w:hint="eastAsia" w:hAnsi="宋体" w:cs="宋体"/>
          <w:color w:val="auto"/>
          <w:sz w:val="21"/>
          <w:szCs w:val="21"/>
          <w:highlight w:val="none"/>
          <w:lang w:val="en" w:eastAsia="zh-CN"/>
        </w:rPr>
      </w:pPr>
      <w:r>
        <w:rPr>
          <w:rFonts w:hint="eastAsia" w:hAnsi="宋体" w:cs="宋体"/>
          <w:color w:val="auto"/>
          <w:sz w:val="21"/>
          <w:szCs w:val="21"/>
          <w:highlight w:val="none"/>
        </w:rPr>
        <w:t>发包人是否提供支付担保：</w:t>
      </w:r>
      <w:r>
        <w:rPr>
          <w:rFonts w:hint="eastAsia"/>
          <w:color w:val="auto"/>
          <w:sz w:val="21"/>
          <w:szCs w:val="21"/>
          <w:highlight w:val="none"/>
          <w:u w:val="single"/>
          <w:lang w:val="en-US" w:eastAsia="zh-CN"/>
        </w:rPr>
        <w:t>/</w:t>
      </w:r>
      <w:r>
        <w:rPr>
          <w:rFonts w:hint="eastAsia" w:ascii="Times New Roman" w:hAnsi="宋体" w:eastAsia="宋体" w:cs="宋体"/>
          <w:color w:val="auto"/>
          <w:sz w:val="21"/>
          <w:szCs w:val="21"/>
          <w:highlight w:val="none"/>
        </w:rPr>
        <w:t>。</w:t>
      </w:r>
      <w:r>
        <w:rPr>
          <w:rFonts w:hint="eastAsia" w:hAnsi="宋体" w:cs="宋体"/>
          <w:color w:val="auto"/>
          <w:sz w:val="21"/>
          <w:szCs w:val="21"/>
          <w:highlight w:val="none"/>
        </w:rPr>
        <w:t>发包人提供支付担保的形式：</w:t>
      </w:r>
      <w:r>
        <w:rPr>
          <w:rFonts w:hint="eastAsia"/>
          <w:color w:val="auto"/>
          <w:sz w:val="21"/>
          <w:szCs w:val="21"/>
          <w:highlight w:val="none"/>
          <w:u w:val="none"/>
          <w:lang w:eastAsia="zh-CN"/>
        </w:rPr>
        <w:t>可以是</w:t>
      </w:r>
      <w:r>
        <w:rPr>
          <w:rFonts w:hint="eastAsia" w:hAnsi="宋体" w:cs="宋体"/>
          <w:color w:val="auto"/>
          <w:sz w:val="21"/>
          <w:szCs w:val="21"/>
          <w:highlight w:val="none"/>
        </w:rPr>
        <w:t>银行转账、电汇或网上支付、保函（银行保函、电子</w:t>
      </w:r>
      <w:r>
        <w:rPr>
          <w:rFonts w:hAnsi="宋体" w:cs="宋体"/>
          <w:color w:val="auto"/>
          <w:sz w:val="21"/>
          <w:szCs w:val="21"/>
          <w:highlight w:val="none"/>
        </w:rPr>
        <w:t>保函</w:t>
      </w:r>
      <w:r>
        <w:rPr>
          <w:rFonts w:hint="eastAsia" w:hAnsi="宋体" w:cs="宋体"/>
          <w:color w:val="auto"/>
          <w:sz w:val="21"/>
          <w:szCs w:val="21"/>
          <w:highlight w:val="none"/>
        </w:rPr>
        <w:t>、保证保险保函、工程担保保函）</w:t>
      </w:r>
      <w:r>
        <w:rPr>
          <w:rFonts w:hint="eastAsia" w:hAnsi="宋体"/>
          <w:color w:val="auto"/>
          <w:sz w:val="21"/>
          <w:szCs w:val="21"/>
          <w:highlight w:val="none"/>
        </w:rPr>
        <w:t>等</w:t>
      </w:r>
      <w:r>
        <w:rPr>
          <w:rFonts w:hint="eastAsia" w:hAnsi="宋体" w:cs="宋体"/>
          <w:color w:val="auto"/>
          <w:sz w:val="21"/>
          <w:szCs w:val="21"/>
          <w:highlight w:val="none"/>
        </w:rPr>
        <w:t>形</w:t>
      </w:r>
      <w:r>
        <w:rPr>
          <w:rFonts w:hint="eastAsia" w:hAnsi="宋体"/>
          <w:color w:val="auto"/>
          <w:sz w:val="21"/>
          <w:szCs w:val="21"/>
          <w:highlight w:val="none"/>
        </w:rPr>
        <w:t>式</w:t>
      </w:r>
      <w:r>
        <w:rPr>
          <w:rFonts w:hint="eastAsia" w:hAnsi="宋体" w:cs="宋体"/>
          <w:color w:val="auto"/>
          <w:sz w:val="21"/>
          <w:szCs w:val="21"/>
          <w:highlight w:val="none"/>
        </w:rPr>
        <w:t>。</w:t>
      </w:r>
      <w:r>
        <w:rPr>
          <w:rFonts w:hint="eastAsia" w:hAnsi="宋体" w:cs="宋体"/>
          <w:color w:val="auto"/>
          <w:sz w:val="21"/>
          <w:szCs w:val="21"/>
          <w:highlight w:val="none"/>
          <w:lang w:eastAsia="zh-CN"/>
        </w:rPr>
        <w:t>工程担保保证人应将出具的保函相关信息录入“广西建筑市场监管云”平台（http://gxjzsc.caihcloud.com），以实现保函查询及验真功能</w:t>
      </w:r>
      <w:r>
        <w:rPr>
          <w:rFonts w:hint="eastAsia" w:hAnsi="宋体" w:cs="宋体"/>
          <w:color w:val="auto"/>
          <w:sz w:val="21"/>
          <w:szCs w:val="21"/>
          <w:highlight w:val="none"/>
          <w:lang w:val="en" w:eastAsia="zh-CN"/>
        </w:rPr>
        <w:t>。</w:t>
      </w:r>
    </w:p>
    <w:p w14:paraId="3D1E3024">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发包人提供的支付担保格式见合同附件</w:t>
      </w:r>
      <w:r>
        <w:rPr>
          <w:rFonts w:hint="eastAsia" w:hAnsi="宋体"/>
          <w:color w:val="auto"/>
          <w:sz w:val="21"/>
          <w:szCs w:val="21"/>
          <w:highlight w:val="none"/>
        </w:rPr>
        <w:t>9</w:t>
      </w:r>
      <w:r>
        <w:rPr>
          <w:rFonts w:hint="eastAsia" w:hAnsi="宋体" w:cs="宋体"/>
          <w:color w:val="auto"/>
          <w:sz w:val="21"/>
          <w:szCs w:val="21"/>
          <w:highlight w:val="none"/>
        </w:rPr>
        <w:t>。</w:t>
      </w:r>
    </w:p>
    <w:p w14:paraId="09E8CBFD">
      <w:pPr>
        <w:pStyle w:val="3"/>
        <w:rPr>
          <w:color w:val="auto"/>
          <w:highlight w:val="none"/>
        </w:rPr>
      </w:pPr>
      <w:bookmarkStart w:id="323" w:name="_Toc373227706"/>
      <w:bookmarkStart w:id="324" w:name="_Toc729657770"/>
      <w:bookmarkStart w:id="325" w:name="_Toc78449794"/>
      <w:bookmarkStart w:id="326" w:name="_Toc32630"/>
      <w:bookmarkStart w:id="327" w:name="_Toc1181400362"/>
      <w:bookmarkStart w:id="328" w:name="_Toc373478353"/>
      <w:bookmarkStart w:id="329" w:name="_Toc351203635"/>
      <w:bookmarkStart w:id="330" w:name="_Toc389065272"/>
      <w:bookmarkStart w:id="331" w:name="_Toc407135208"/>
      <w:r>
        <w:rPr>
          <w:color w:val="auto"/>
          <w:highlight w:val="none"/>
        </w:rPr>
        <w:t>3</w:t>
      </w:r>
      <w:bookmarkStart w:id="332" w:name="_Toc292559363"/>
      <w:bookmarkStart w:id="333" w:name="_Toc296890986"/>
      <w:bookmarkStart w:id="334" w:name="_Toc297120458"/>
      <w:bookmarkStart w:id="335" w:name="_Toc296944497"/>
      <w:bookmarkStart w:id="336" w:name="_Toc296347157"/>
      <w:bookmarkStart w:id="337" w:name="_Toc296503158"/>
      <w:bookmarkStart w:id="338" w:name="_Toc292559868"/>
      <w:bookmarkStart w:id="339" w:name="_Toc297048344"/>
      <w:bookmarkStart w:id="340" w:name="_Toc296346659"/>
      <w:bookmarkStart w:id="341" w:name="_Toc296891198"/>
      <w:r>
        <w:rPr>
          <w:color w:val="auto"/>
          <w:highlight w:val="none"/>
        </w:rPr>
        <w:t>.</w:t>
      </w:r>
      <w:r>
        <w:rPr>
          <w:rFonts w:hint="eastAsia" w:hAnsi="宋体" w:cs="黑体"/>
          <w:color w:val="auto"/>
          <w:highlight w:val="none"/>
        </w:rPr>
        <w:t>承包人</w:t>
      </w:r>
      <w:bookmarkEnd w:id="323"/>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1B776CDE">
      <w:pPr>
        <w:pStyle w:val="4"/>
        <w:rPr>
          <w:color w:val="auto"/>
          <w:highlight w:val="none"/>
        </w:rPr>
      </w:pPr>
      <w:bookmarkStart w:id="342" w:name="_Toc407135209"/>
      <w:bookmarkStart w:id="343" w:name="_Toc389065273"/>
      <w:bookmarkStart w:id="344" w:name="_Toc78449795"/>
      <w:bookmarkStart w:id="345" w:name="_Toc24051"/>
      <w:bookmarkStart w:id="346" w:name="_Toc962678435"/>
      <w:bookmarkStart w:id="347" w:name="_Toc373227707"/>
      <w:bookmarkStart w:id="348" w:name="_Toc373478354"/>
      <w:bookmarkStart w:id="349" w:name="_Toc1642190822"/>
      <w:r>
        <w:rPr>
          <w:color w:val="auto"/>
          <w:highlight w:val="none"/>
        </w:rPr>
        <w:t>3.1</w:t>
      </w:r>
      <w:r>
        <w:rPr>
          <w:rFonts w:hint="eastAsia" w:cs="黑体"/>
          <w:color w:val="auto"/>
          <w:highlight w:val="none"/>
        </w:rPr>
        <w:t>承包人的一般义务</w:t>
      </w:r>
      <w:bookmarkEnd w:id="342"/>
      <w:bookmarkEnd w:id="343"/>
      <w:bookmarkEnd w:id="344"/>
      <w:bookmarkEnd w:id="345"/>
      <w:bookmarkEnd w:id="346"/>
      <w:bookmarkEnd w:id="347"/>
      <w:bookmarkEnd w:id="348"/>
      <w:bookmarkEnd w:id="349"/>
    </w:p>
    <w:p w14:paraId="382AAFBD">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w:t>
      </w:r>
      <w:r>
        <w:rPr>
          <w:color w:val="auto"/>
          <w:kern w:val="0"/>
          <w:sz w:val="21"/>
          <w:szCs w:val="21"/>
          <w:highlight w:val="none"/>
        </w:rPr>
        <w:t>9</w:t>
      </w:r>
      <w:r>
        <w:rPr>
          <w:rFonts w:hint="eastAsia" w:hAnsi="宋体" w:cs="宋体"/>
          <w:color w:val="auto"/>
          <w:kern w:val="0"/>
          <w:sz w:val="21"/>
          <w:szCs w:val="21"/>
          <w:highlight w:val="none"/>
        </w:rPr>
        <w:t>）</w:t>
      </w:r>
      <w:r>
        <w:rPr>
          <w:rFonts w:hint="eastAsia" w:hAnsi="宋体" w:cs="宋体"/>
          <w:color w:val="auto"/>
          <w:sz w:val="21"/>
          <w:szCs w:val="21"/>
          <w:highlight w:val="none"/>
        </w:rPr>
        <w:t>承包人提交的竣工资料的内容</w:t>
      </w:r>
      <w:r>
        <w:rPr>
          <w:rFonts w:hint="eastAsia" w:ascii="Times New Roman" w:hAnsi="Times New Roman"/>
          <w:color w:val="auto"/>
          <w:sz w:val="21"/>
          <w:szCs w:val="21"/>
          <w:highlight w:val="none"/>
          <w:u w:val="single"/>
        </w:rPr>
        <w:t>：竣工图纸（含经审查合格的竣工图CAD电子文件）、竣工验收报告、施工合同及补充协议、图纸会审记录、设计变更通知单及工程洽商记录、工程定位测量及复核记录、隐蔽工程验收记录、各类材料设备质量证明文件及检验试验报告、功能试验记录、分部（子分部）及分项工程质量验收记录、工程质量保修书，以及工程所在地城市建设档案管理机构规定的其他竣工资料。</w:t>
      </w:r>
    </w:p>
    <w:p w14:paraId="05DF99D6">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承包人需要提交的竣工资料套数：</w:t>
      </w:r>
      <w:r>
        <w:rPr>
          <w:rFonts w:hint="eastAsia"/>
          <w:color w:val="auto"/>
          <w:sz w:val="21"/>
          <w:szCs w:val="21"/>
          <w:highlight w:val="none"/>
          <w:u w:val="single"/>
          <w:lang w:val="en-US" w:eastAsia="zh-CN"/>
        </w:rPr>
        <w:t>2套</w:t>
      </w:r>
      <w:r>
        <w:rPr>
          <w:rFonts w:hint="eastAsia" w:hAnsi="宋体" w:cs="宋体"/>
          <w:color w:val="auto"/>
          <w:sz w:val="21"/>
          <w:szCs w:val="21"/>
          <w:highlight w:val="none"/>
        </w:rPr>
        <w:t>。</w:t>
      </w:r>
    </w:p>
    <w:p w14:paraId="6A020B26">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承包人提交的竣工资料的费用承担：</w:t>
      </w:r>
      <w:r>
        <w:rPr>
          <w:rFonts w:hint="eastAsia" w:ascii="Times New Roman" w:hAnsi="Times New Roman"/>
          <w:color w:val="auto"/>
          <w:sz w:val="21"/>
          <w:szCs w:val="21"/>
          <w:highlight w:val="none"/>
          <w:u w:val="single"/>
        </w:rPr>
        <w:t>承包人</w:t>
      </w:r>
      <w:r>
        <w:rPr>
          <w:rFonts w:hint="eastAsia" w:hAnsi="宋体" w:cs="宋体"/>
          <w:color w:val="auto"/>
          <w:sz w:val="21"/>
          <w:szCs w:val="21"/>
          <w:highlight w:val="none"/>
        </w:rPr>
        <w:t>。</w:t>
      </w:r>
    </w:p>
    <w:p w14:paraId="00A7B34B">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承包人提交的竣工资料移交时间：</w:t>
      </w:r>
      <w:r>
        <w:rPr>
          <w:rFonts w:hint="eastAsia" w:ascii="Times New Roman" w:hAnsi="Times New Roman"/>
          <w:color w:val="auto"/>
          <w:sz w:val="21"/>
          <w:szCs w:val="21"/>
          <w:highlight w:val="none"/>
          <w:u w:val="single"/>
        </w:rPr>
        <w:t>竣工验收合格之日起</w:t>
      </w:r>
      <w:r>
        <w:rPr>
          <w:rFonts w:ascii="Times New Roman" w:hAnsi="Times New Roman"/>
          <w:color w:val="auto"/>
          <w:sz w:val="21"/>
          <w:szCs w:val="21"/>
          <w:highlight w:val="none"/>
          <w:u w:val="single"/>
        </w:rPr>
        <w:t>30</w:t>
      </w:r>
      <w:r>
        <w:rPr>
          <w:rFonts w:hint="eastAsia" w:ascii="Times New Roman" w:hAnsi="Times New Roman"/>
          <w:color w:val="auto"/>
          <w:sz w:val="21"/>
          <w:szCs w:val="21"/>
          <w:highlight w:val="none"/>
          <w:u w:val="single"/>
        </w:rPr>
        <w:t>天内</w:t>
      </w:r>
      <w:r>
        <w:rPr>
          <w:rFonts w:hint="eastAsia" w:hAnsi="宋体" w:cs="宋体"/>
          <w:color w:val="auto"/>
          <w:sz w:val="21"/>
          <w:szCs w:val="21"/>
          <w:highlight w:val="none"/>
        </w:rPr>
        <w:t>。</w:t>
      </w:r>
    </w:p>
    <w:p w14:paraId="3684B02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承包人提交的竣工资料形式要求：</w:t>
      </w:r>
      <w:r>
        <w:rPr>
          <w:rFonts w:hint="eastAsia"/>
          <w:color w:val="auto"/>
          <w:sz w:val="21"/>
          <w:szCs w:val="21"/>
          <w:highlight w:val="none"/>
          <w:u w:val="single"/>
          <w:lang w:eastAsia="zh-CN"/>
        </w:rPr>
        <w:t>纸质文件一式叁份（原件不少于壹份），统一采用A4幅面装订成册，图纸可折叠成A4尺寸或装盒归档；电子文件一式两份，分别刻录光盘和U盘，文字资料采用PDF及Word双格式、竣工图纸采用PDF及可编辑CAD（*.dwg）双格式，组卷目录与纸质文件一一对应。</w:t>
      </w:r>
    </w:p>
    <w:p w14:paraId="76FBBB1A">
      <w:pPr>
        <w:pStyle w:val="20"/>
        <w:keepNext w:val="0"/>
        <w:keepLines w:val="0"/>
        <w:widowControl/>
        <w:suppressLineNumbers w:val="0"/>
        <w:shd w:val="clear" w:fill="FFFFFF"/>
        <w:spacing w:before="240" w:beforeAutospacing="0" w:after="240" w:afterAutospacing="0" w:line="360" w:lineRule="auto"/>
        <w:ind w:left="0" w:right="0" w:firstLine="630" w:firstLineChars="300"/>
        <w:rPr>
          <w:rFonts w:hint="default" w:ascii="Times New Roman" w:hAnsi="Times New Roman" w:eastAsia="宋体" w:cs="Times New Roman"/>
          <w:color w:val="auto"/>
          <w:kern w:val="0"/>
          <w:sz w:val="21"/>
          <w:szCs w:val="21"/>
          <w:highlight w:val="none"/>
          <w:u w:val="single"/>
          <w:lang w:val="en-US" w:eastAsia="zh-CN" w:bidi="hi-IN"/>
        </w:rPr>
      </w:pPr>
      <w:r>
        <w:rPr>
          <w:rFonts w:hint="eastAsia" w:hAnsi="宋体" w:cs="宋体"/>
          <w:color w:val="auto"/>
          <w:kern w:val="0"/>
          <w:sz w:val="21"/>
          <w:szCs w:val="21"/>
          <w:highlight w:val="none"/>
        </w:rPr>
        <w:t>（</w:t>
      </w:r>
      <w:r>
        <w:rPr>
          <w:color w:val="auto"/>
          <w:kern w:val="0"/>
          <w:sz w:val="21"/>
          <w:szCs w:val="21"/>
          <w:highlight w:val="none"/>
        </w:rPr>
        <w:t>10</w:t>
      </w:r>
      <w:r>
        <w:rPr>
          <w:rFonts w:hint="eastAsia" w:hAnsi="宋体" w:cs="宋体"/>
          <w:color w:val="auto"/>
          <w:kern w:val="0"/>
          <w:sz w:val="21"/>
          <w:szCs w:val="21"/>
          <w:highlight w:val="none"/>
        </w:rPr>
        <w:t>）承包人应履行的其他义务：</w:t>
      </w:r>
      <w:r>
        <w:rPr>
          <w:rFonts w:hint="default" w:ascii="Times New Roman" w:hAnsi="Times New Roman" w:eastAsia="宋体" w:cs="Times New Roman"/>
          <w:color w:val="auto"/>
          <w:kern w:val="0"/>
          <w:sz w:val="21"/>
          <w:szCs w:val="21"/>
          <w:highlight w:val="none"/>
          <w:u w:val="single"/>
          <w:lang w:val="en-US" w:eastAsia="zh-CN" w:bidi="hi-IN"/>
        </w:rPr>
        <w:t>①承包人应配合发包人办理临时用地手续。临时占用耕地、甘蔗地等农用地的，青苗补偿费及地上附着物补偿费由发包人承担；临时用地的复垦、恢复原状责任由承包人承担，费用已包含在磋商报价中。承包人进场前应与发包人共同清点需临时占用的地块并拍照存档。②因施工需要临时中断村屯道路的，承包人应提前48小时在村内公示，并设置安全、便捷的临时便道（宽度不小于2.5米）供村民及甘蔗运输车辆通行，临时便道的修建及维护费用由承包人承担。涉及村民用地协调的，由发包人负责组织协调，承包人应予以配合。③施工用水、用电：由承包人通过现场勘察后自行确定，自行负责施工场地内的管、线路的铺、架设，并承担施工期间用水、用电的使用、维护和安全责任。</w:t>
      </w:r>
    </w:p>
    <w:p w14:paraId="2B1D343B">
      <w:pPr>
        <w:pStyle w:val="4"/>
        <w:rPr>
          <w:color w:val="auto"/>
          <w:highlight w:val="none"/>
        </w:rPr>
      </w:pPr>
      <w:bookmarkStart w:id="350" w:name="_Toc1659520837"/>
      <w:bookmarkStart w:id="351" w:name="_Toc407135210"/>
      <w:bookmarkStart w:id="352" w:name="_Toc78449796"/>
      <w:bookmarkStart w:id="353" w:name="_Toc501741485"/>
      <w:bookmarkStart w:id="354" w:name="_Toc389065274"/>
      <w:bookmarkStart w:id="355" w:name="_Toc373478355"/>
      <w:bookmarkStart w:id="356" w:name="_Toc29728"/>
      <w:bookmarkStart w:id="357" w:name="_Toc373227708"/>
      <w:r>
        <w:rPr>
          <w:color w:val="auto"/>
          <w:highlight w:val="none"/>
        </w:rPr>
        <w:t>3.2</w:t>
      </w:r>
      <w:r>
        <w:rPr>
          <w:rFonts w:hint="eastAsia" w:hAnsi="宋体" w:cs="黑体"/>
          <w:color w:val="auto"/>
          <w:highlight w:val="none"/>
        </w:rPr>
        <w:t>项目经理</w:t>
      </w:r>
      <w:bookmarkEnd w:id="350"/>
      <w:bookmarkEnd w:id="351"/>
      <w:bookmarkEnd w:id="352"/>
      <w:bookmarkEnd w:id="353"/>
      <w:bookmarkEnd w:id="354"/>
      <w:bookmarkEnd w:id="355"/>
      <w:bookmarkEnd w:id="356"/>
      <w:bookmarkEnd w:id="357"/>
    </w:p>
    <w:p w14:paraId="1C99D9D6">
      <w:pPr>
        <w:spacing w:line="360" w:lineRule="auto"/>
        <w:ind w:firstLine="420" w:firstLineChars="200"/>
        <w:rPr>
          <w:color w:val="auto"/>
          <w:sz w:val="21"/>
          <w:szCs w:val="21"/>
          <w:highlight w:val="none"/>
        </w:rPr>
      </w:pPr>
      <w:r>
        <w:rPr>
          <w:color w:val="auto"/>
          <w:kern w:val="0"/>
          <w:sz w:val="21"/>
          <w:szCs w:val="21"/>
          <w:highlight w:val="none"/>
        </w:rPr>
        <w:t>3.2.1</w:t>
      </w:r>
      <w:r>
        <w:rPr>
          <w:rFonts w:hint="eastAsia" w:hAnsi="宋体" w:cs="宋体"/>
          <w:color w:val="auto"/>
          <w:sz w:val="21"/>
          <w:szCs w:val="21"/>
          <w:highlight w:val="none"/>
        </w:rPr>
        <w:t>项目经理：</w:t>
      </w:r>
    </w:p>
    <w:p w14:paraId="1B9025D3">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17593276">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5CF5FE3C">
      <w:pPr>
        <w:spacing w:line="360" w:lineRule="auto"/>
        <w:ind w:firstLine="420" w:firstLineChars="200"/>
        <w:rPr>
          <w:color w:val="auto"/>
          <w:sz w:val="21"/>
          <w:szCs w:val="21"/>
          <w:highlight w:val="none"/>
        </w:rPr>
      </w:pPr>
      <w:r>
        <w:rPr>
          <w:rFonts w:hAnsi="宋体"/>
          <w:color w:val="auto"/>
          <w:sz w:val="21"/>
          <w:szCs w:val="21"/>
          <w:highlight w:val="none"/>
        </w:rPr>
        <w:t>建造师执业资格等级：</w:t>
      </w:r>
      <w:r>
        <w:rPr>
          <w:rFonts w:hAnsi="宋体"/>
          <w:color w:val="auto"/>
          <w:sz w:val="21"/>
          <w:szCs w:val="21"/>
          <w:highlight w:val="none"/>
          <w:u w:val="single"/>
        </w:rPr>
        <w:t></w:t>
      </w:r>
      <w:r>
        <w:rPr>
          <w:rFonts w:hAnsi="宋体"/>
          <w:color w:val="auto"/>
          <w:sz w:val="21"/>
          <w:szCs w:val="21"/>
          <w:highlight w:val="none"/>
        </w:rPr>
        <w:t>；</w:t>
      </w:r>
    </w:p>
    <w:p w14:paraId="6DE36925">
      <w:pPr>
        <w:spacing w:line="360" w:lineRule="auto"/>
        <w:ind w:firstLine="420" w:firstLineChars="200"/>
        <w:rPr>
          <w:color w:val="auto"/>
          <w:sz w:val="21"/>
          <w:szCs w:val="21"/>
          <w:highlight w:val="none"/>
        </w:rPr>
      </w:pPr>
      <w:r>
        <w:rPr>
          <w:rFonts w:hAnsi="宋体"/>
          <w:color w:val="auto"/>
          <w:sz w:val="21"/>
          <w:szCs w:val="21"/>
          <w:highlight w:val="none"/>
        </w:rPr>
        <w:t>建造师注册证书号：</w:t>
      </w:r>
      <w:r>
        <w:rPr>
          <w:rFonts w:hAnsi="宋体"/>
          <w:color w:val="auto"/>
          <w:sz w:val="21"/>
          <w:szCs w:val="21"/>
          <w:highlight w:val="none"/>
          <w:u w:val="single"/>
        </w:rPr>
        <w:t></w:t>
      </w:r>
      <w:r>
        <w:rPr>
          <w:rFonts w:hAnsi="宋体"/>
          <w:color w:val="auto"/>
          <w:sz w:val="21"/>
          <w:szCs w:val="21"/>
          <w:highlight w:val="none"/>
        </w:rPr>
        <w:t>；</w:t>
      </w:r>
    </w:p>
    <w:p w14:paraId="71B8DA49">
      <w:pPr>
        <w:spacing w:line="360" w:lineRule="auto"/>
        <w:ind w:firstLine="420" w:firstLineChars="200"/>
        <w:rPr>
          <w:rFonts w:hAnsi="宋体"/>
          <w:color w:val="auto"/>
          <w:sz w:val="21"/>
          <w:szCs w:val="21"/>
          <w:highlight w:val="none"/>
        </w:rPr>
      </w:pPr>
      <w:r>
        <w:rPr>
          <w:rFonts w:hAnsi="宋体"/>
          <w:color w:val="auto"/>
          <w:sz w:val="21"/>
          <w:szCs w:val="21"/>
          <w:highlight w:val="none"/>
        </w:rPr>
        <w:t>安全生产考核合格证书号：</w:t>
      </w:r>
      <w:r>
        <w:rPr>
          <w:rFonts w:hAnsi="宋体"/>
          <w:color w:val="auto"/>
          <w:sz w:val="21"/>
          <w:szCs w:val="21"/>
          <w:highlight w:val="none"/>
          <w:u w:val="single"/>
        </w:rPr>
        <w:t></w:t>
      </w:r>
      <w:r>
        <w:rPr>
          <w:rFonts w:hAnsi="宋体"/>
          <w:color w:val="auto"/>
          <w:sz w:val="21"/>
          <w:szCs w:val="21"/>
          <w:highlight w:val="none"/>
        </w:rPr>
        <w:t>；</w:t>
      </w:r>
    </w:p>
    <w:p w14:paraId="54846979">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25CA3796">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2052C91E">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40612A78">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承包人对项目经理的授权范围如下</w:t>
      </w:r>
      <w:r>
        <w:rPr>
          <w:rFonts w:hint="eastAsia" w:hAnsi="宋体" w:cs="宋体"/>
          <w:color w:val="auto"/>
          <w:sz w:val="21"/>
          <w:szCs w:val="21"/>
          <w:highlight w:val="none"/>
          <w:u w:val="single"/>
        </w:rPr>
        <w:t>：项目经理仅限于本工程的现场施工管理，代表承包人签署施工过程中形成的技术文件、进度报告及现场签证单。但未经承包人书面盖章同意，项目经理不得以承包人名义对外签订分包合同、采购材料设备、租赁周转材料、雇佣劳动力、对外借款或为承包人设立任何担保、债务等一切产生法律义务或责任的行为。项目经理不得代表承包人向发包人收取工程款或委托发包人向任何第三方支付款项。</w:t>
      </w:r>
    </w:p>
    <w:p w14:paraId="2253485B">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kern w:val="0"/>
          <w:sz w:val="21"/>
          <w:szCs w:val="21"/>
          <w:highlight w:val="none"/>
        </w:rPr>
        <w:t>关于项目经理每月在施工现场的时间要求：</w:t>
      </w:r>
      <w:r>
        <w:rPr>
          <w:rFonts w:hint="eastAsia" w:hAnsi="宋体" w:cs="宋体"/>
          <w:color w:val="auto"/>
          <w:kern w:val="0"/>
          <w:sz w:val="21"/>
          <w:szCs w:val="21"/>
          <w:highlight w:val="none"/>
          <w:lang w:val="en-US" w:eastAsia="zh-CN"/>
        </w:rPr>
        <w:t>项</w:t>
      </w:r>
      <w:r>
        <w:rPr>
          <w:rFonts w:hint="eastAsia" w:hAnsi="宋体" w:cs="宋体"/>
          <w:color w:val="auto"/>
          <w:sz w:val="21"/>
          <w:szCs w:val="21"/>
          <w:highlight w:val="none"/>
          <w:u w:val="single"/>
        </w:rPr>
        <w:t>目经理每月在施工现场的出勤天数不得少于当月日历天数的80%，因法定节假日、发包人原因停工或不可抗力导致现场无法施工的，相应天数可在计算在岗率时扣除。项目经理离开施工现场应向发包人代表及总监理工程师履行书面请假手续，请假期间应指定具备相应资格的技术负责人代为履职。</w:t>
      </w:r>
    </w:p>
    <w:p w14:paraId="426799DC">
      <w:pPr>
        <w:spacing w:line="360" w:lineRule="auto"/>
        <w:ind w:firstLine="420" w:firstLineChars="200"/>
        <w:rPr>
          <w:rFonts w:hint="eastAsia" w:hAnsi="宋体" w:cs="宋体"/>
          <w:color w:val="auto"/>
          <w:sz w:val="21"/>
          <w:szCs w:val="21"/>
          <w:highlight w:val="none"/>
          <w:u w:val="single"/>
        </w:rPr>
      </w:pPr>
      <w:r>
        <w:rPr>
          <w:rFonts w:hint="eastAsia" w:hAnsi="宋体" w:cs="宋体"/>
          <w:color w:val="auto"/>
          <w:kern w:val="0"/>
          <w:sz w:val="21"/>
          <w:szCs w:val="21"/>
          <w:highlight w:val="none"/>
        </w:rPr>
        <w:t>承包人未提交劳动合同，以及没有为项目经理缴纳社会保险证明的违约责任：</w:t>
      </w:r>
      <w:r>
        <w:rPr>
          <w:rFonts w:hint="eastAsia" w:hAnsi="宋体" w:cs="宋体"/>
          <w:color w:val="auto"/>
          <w:sz w:val="21"/>
          <w:szCs w:val="21"/>
          <w:highlight w:val="none"/>
          <w:u w:val="single"/>
        </w:rPr>
        <w:t>承包人应在开工前5日内向发包人提交项目经理与本单位签订的劳动合同及近3个月在本单位缴纳的社会保险证明。逾期未提交或提交虚假材料的，视为承包人违约，发包人有权按5000元/日处以违约金，并有权要求承包人暂停施工直至提交真实有效材料为止；逾期超过15日的，发包人有权按照第16.2.3条约定解除合同。</w:t>
      </w:r>
    </w:p>
    <w:p w14:paraId="08E68BA3">
      <w:pPr>
        <w:spacing w:line="360" w:lineRule="auto"/>
        <w:ind w:firstLine="420" w:firstLineChars="200"/>
        <w:rPr>
          <w:color w:val="auto"/>
          <w:sz w:val="21"/>
          <w:szCs w:val="21"/>
          <w:highlight w:val="none"/>
          <w:u w:val="single"/>
        </w:rPr>
      </w:pPr>
      <w:r>
        <w:rPr>
          <w:rFonts w:hint="eastAsia" w:hAnsi="宋体" w:cs="宋体"/>
          <w:color w:val="auto"/>
          <w:kern w:val="0"/>
          <w:sz w:val="21"/>
          <w:szCs w:val="21"/>
          <w:highlight w:val="none"/>
        </w:rPr>
        <w:t>项目经理未经批准，擅自离开施工现场的违约责任：</w:t>
      </w:r>
      <w:r>
        <w:rPr>
          <w:rFonts w:ascii="Segoe UI" w:hAnsi="Segoe UI" w:eastAsia="Segoe UI" w:cs="Segoe UI"/>
          <w:i w:val="0"/>
          <w:iCs w:val="0"/>
          <w:caps w:val="0"/>
          <w:color w:val="0F1115"/>
          <w:spacing w:val="0"/>
          <w:sz w:val="21"/>
          <w:szCs w:val="21"/>
          <w:highlight w:val="none"/>
          <w:u w:val="single"/>
          <w:shd w:val="clear" w:fill="FFFFFF"/>
        </w:rPr>
        <w:t>项目经理每月在岗带班时间不得少于当月施工时间的80%。未经发包人同意或正当理由，项目经理每月在岗带班时间少于当月施工时间80%的，少在岗带班一天，发包人有权处违约金</w:t>
      </w:r>
      <w:r>
        <w:rPr>
          <w:rStyle w:val="27"/>
          <w:rFonts w:hint="eastAsia" w:ascii="Segoe UI" w:hAnsi="Segoe UI" w:eastAsia="宋体" w:cs="Segoe UI"/>
          <w:b/>
          <w:bCs/>
          <w:i w:val="0"/>
          <w:iCs w:val="0"/>
          <w:caps w:val="0"/>
          <w:color w:val="0F1115"/>
          <w:spacing w:val="0"/>
          <w:sz w:val="21"/>
          <w:szCs w:val="21"/>
          <w:highlight w:val="none"/>
          <w:u w:val="singl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u w:val="single"/>
          <w:shd w:val="clear" w:fill="FFFFFF"/>
        </w:rPr>
        <w:t>000</w:t>
      </w:r>
      <w:r>
        <w:rPr>
          <w:rFonts w:hint="default" w:ascii="Segoe UI" w:hAnsi="Segoe UI" w:eastAsia="Segoe UI" w:cs="Segoe UI"/>
          <w:i w:val="0"/>
          <w:iCs w:val="0"/>
          <w:caps w:val="0"/>
          <w:color w:val="0F1115"/>
          <w:spacing w:val="0"/>
          <w:sz w:val="21"/>
          <w:szCs w:val="21"/>
          <w:highlight w:val="none"/>
          <w:u w:val="single"/>
          <w:shd w:val="clear" w:fill="FFFFFF"/>
        </w:rPr>
        <w:t>元/日（人民币）</w:t>
      </w:r>
      <w:r>
        <w:rPr>
          <w:rFonts w:hint="eastAsia" w:hAnsi="宋体" w:cs="宋体"/>
          <w:color w:val="auto"/>
          <w:sz w:val="21"/>
          <w:szCs w:val="21"/>
          <w:highlight w:val="none"/>
          <w:u w:val="single"/>
        </w:rPr>
        <w:t>。</w:t>
      </w:r>
    </w:p>
    <w:p w14:paraId="6483E571">
      <w:pPr>
        <w:adjustRightInd w:val="0"/>
        <w:snapToGrid w:val="0"/>
        <w:spacing w:line="460" w:lineRule="exact"/>
        <w:ind w:firstLine="420" w:firstLineChars="200"/>
        <w:jc w:val="left"/>
        <w:rPr>
          <w:rFonts w:ascii="Segoe UI" w:hAnsi="Segoe UI" w:eastAsia="Segoe UI" w:cs="Segoe UI"/>
          <w:i w:val="0"/>
          <w:iCs w:val="0"/>
          <w:caps w:val="0"/>
          <w:color w:val="0F1115"/>
          <w:spacing w:val="0"/>
          <w:sz w:val="21"/>
          <w:szCs w:val="21"/>
          <w:highlight w:val="none"/>
          <w:u w:val="single"/>
          <w:shd w:val="clear" w:fill="FFFFFF"/>
        </w:rPr>
      </w:pPr>
      <w:r>
        <w:rPr>
          <w:color w:val="auto"/>
          <w:sz w:val="21"/>
          <w:szCs w:val="21"/>
          <w:highlight w:val="none"/>
        </w:rPr>
        <w:t>3.2.3</w:t>
      </w:r>
      <w:r>
        <w:rPr>
          <w:rFonts w:hint="eastAsia" w:hAnsi="宋体" w:cs="宋体"/>
          <w:color w:val="auto"/>
          <w:sz w:val="21"/>
          <w:szCs w:val="21"/>
          <w:highlight w:val="none"/>
        </w:rPr>
        <w:t>承包人擅自更换项目经理的违约责任：</w:t>
      </w:r>
      <w:r>
        <w:rPr>
          <w:rFonts w:ascii="Segoe UI" w:hAnsi="Segoe UI" w:eastAsia="Segoe UI" w:cs="Segoe UI"/>
          <w:i w:val="0"/>
          <w:iCs w:val="0"/>
          <w:caps w:val="0"/>
          <w:color w:val="0F1115"/>
          <w:spacing w:val="0"/>
          <w:sz w:val="21"/>
          <w:szCs w:val="21"/>
          <w:highlight w:val="none"/>
          <w:u w:val="single"/>
          <w:shd w:val="clear" w:fill="FFFFFF"/>
        </w:rPr>
        <w:t>承包人项目经理必须与承包人投标时所承诺的人员一致，并在</w:t>
      </w:r>
      <w:r>
        <w:rPr>
          <w:rFonts w:hint="default" w:ascii="Segoe UI" w:hAnsi="Segoe UI" w:eastAsia="Segoe UI" w:cs="Segoe UI"/>
          <w:i w:val="0"/>
          <w:iCs w:val="0"/>
          <w:caps w:val="0"/>
          <w:color w:val="0F1115"/>
          <w:spacing w:val="0"/>
          <w:sz w:val="21"/>
          <w:szCs w:val="21"/>
          <w:highlight w:val="none"/>
          <w:u w:val="single"/>
          <w:shd w:val="clear" w:fill="FFFFFF"/>
        </w:rPr>
        <w:t> 开工日期 前到任。在监理人向承包人颁发 工程接收证书 前，项目经理不得同时兼任其他任何项目的项目经理（符合《广西壮族自治区建筑市场诚信卡管理暂行办法》第十六条第一款及桂建管﹝2016﹞70号、桂建管〔2020〕11号文除外）。未经发包人书面同意，承包人擅自更换项目经理的视为违约，违约金处 30000 元/人·次（人民币）。</w:t>
      </w:r>
    </w:p>
    <w:p w14:paraId="189EE2EB">
      <w:pPr>
        <w:spacing w:line="360" w:lineRule="auto"/>
        <w:ind w:firstLine="420" w:firstLineChars="200"/>
        <w:rPr>
          <w:color w:val="auto"/>
          <w:highlight w:val="none"/>
        </w:rPr>
      </w:pPr>
      <w:r>
        <w:rPr>
          <w:color w:val="auto"/>
          <w:sz w:val="21"/>
          <w:szCs w:val="21"/>
          <w:highlight w:val="none"/>
        </w:rPr>
        <w:t>3.2.4</w:t>
      </w:r>
      <w:r>
        <w:rPr>
          <w:rFonts w:hint="eastAsia" w:hAnsi="宋体" w:cs="宋体"/>
          <w:color w:val="auto"/>
          <w:sz w:val="21"/>
          <w:szCs w:val="21"/>
          <w:highlight w:val="none"/>
        </w:rPr>
        <w:t>承包人无正当理由拒绝更换项目经理的违约责任：</w:t>
      </w:r>
      <w:r>
        <w:rPr>
          <w:rFonts w:hint="eastAsia" w:hAnsi="宋体" w:cs="宋体"/>
          <w:color w:val="auto"/>
          <w:sz w:val="21"/>
          <w:szCs w:val="21"/>
          <w:highlight w:val="none"/>
          <w:u w:val="single"/>
        </w:rPr>
        <w:t>因承包人项目经理不称职，发包人要求调换而未及时调换的，视为承包人违约，必须向发包人交纳处罚金</w:t>
      </w:r>
      <w:r>
        <w:rPr>
          <w:rFonts w:hint="eastAsia" w:hAnsi="宋体" w:cs="宋体"/>
          <w:color w:val="auto"/>
          <w:sz w:val="21"/>
          <w:szCs w:val="21"/>
          <w:highlight w:val="none"/>
          <w:u w:val="single"/>
          <w:lang w:val="en-US" w:eastAsia="zh-CN"/>
        </w:rPr>
        <w:t>5000.00</w:t>
      </w:r>
      <w:r>
        <w:rPr>
          <w:rFonts w:hint="eastAsia" w:hAnsi="宋体" w:cs="宋体"/>
          <w:color w:val="auto"/>
          <w:sz w:val="21"/>
          <w:szCs w:val="21"/>
          <w:highlight w:val="none"/>
          <w:u w:val="single"/>
        </w:rPr>
        <w:t>元/人•次（人民币），同时不免除承包人继续履行调换义务的责任。因更换项目经理造成的工期延误，由承包人按专用合同条款第7.5.2条的约定另行承担逾期竣工违约责任</w:t>
      </w:r>
      <w:r>
        <w:rPr>
          <w:rFonts w:hint="eastAsia" w:hAnsi="宋体" w:cs="宋体"/>
          <w:color w:val="auto"/>
          <w:sz w:val="21"/>
          <w:szCs w:val="21"/>
          <w:highlight w:val="none"/>
        </w:rPr>
        <w:t>。</w:t>
      </w:r>
    </w:p>
    <w:p w14:paraId="22A4C8F5">
      <w:pPr>
        <w:pStyle w:val="4"/>
        <w:rPr>
          <w:color w:val="auto"/>
          <w:highlight w:val="none"/>
        </w:rPr>
      </w:pPr>
      <w:bookmarkStart w:id="358" w:name="_Toc14110"/>
      <w:bookmarkStart w:id="359" w:name="_Toc373478356"/>
      <w:bookmarkStart w:id="360" w:name="_Toc78449797"/>
      <w:bookmarkStart w:id="361" w:name="_Toc407135211"/>
      <w:bookmarkStart w:id="362" w:name="_Toc747710271"/>
      <w:bookmarkStart w:id="363" w:name="_Toc1443830486"/>
      <w:bookmarkStart w:id="364" w:name="_Toc373227709"/>
      <w:bookmarkStart w:id="365" w:name="_Toc389065275"/>
      <w:r>
        <w:rPr>
          <w:color w:val="auto"/>
          <w:highlight w:val="none"/>
        </w:rPr>
        <w:t>3.3</w:t>
      </w:r>
      <w:r>
        <w:rPr>
          <w:rFonts w:hint="eastAsia" w:hAnsi="宋体" w:cs="黑体"/>
          <w:color w:val="auto"/>
          <w:highlight w:val="none"/>
        </w:rPr>
        <w:t>承包人人员</w:t>
      </w:r>
      <w:bookmarkEnd w:id="358"/>
      <w:bookmarkEnd w:id="359"/>
      <w:bookmarkEnd w:id="360"/>
      <w:bookmarkEnd w:id="361"/>
      <w:bookmarkEnd w:id="362"/>
      <w:bookmarkEnd w:id="363"/>
      <w:bookmarkEnd w:id="364"/>
      <w:bookmarkEnd w:id="365"/>
    </w:p>
    <w:p w14:paraId="66EECD3E">
      <w:pPr>
        <w:spacing w:line="360" w:lineRule="auto"/>
        <w:ind w:firstLine="420" w:firstLineChars="200"/>
        <w:rPr>
          <w:rFonts w:hAnsi="宋体"/>
          <w:color w:val="auto"/>
          <w:sz w:val="21"/>
          <w:szCs w:val="21"/>
          <w:highlight w:val="none"/>
        </w:rPr>
      </w:pPr>
      <w:r>
        <w:rPr>
          <w:color w:val="auto"/>
          <w:sz w:val="21"/>
          <w:szCs w:val="21"/>
          <w:highlight w:val="none"/>
        </w:rPr>
        <w:t>3.3.1</w:t>
      </w:r>
      <w:r>
        <w:rPr>
          <w:rFonts w:hint="eastAsia" w:hAnsi="宋体" w:cs="宋体"/>
          <w:color w:val="auto"/>
          <w:sz w:val="21"/>
          <w:szCs w:val="21"/>
          <w:highlight w:val="none"/>
        </w:rPr>
        <w:t>承包人提交项目管理机构及施工现场管理人员安排报告（格式见合同附件</w:t>
      </w:r>
      <w:r>
        <w:rPr>
          <w:rFonts w:hint="eastAsia" w:hAnsi="宋体"/>
          <w:color w:val="auto"/>
          <w:sz w:val="21"/>
          <w:szCs w:val="21"/>
          <w:highlight w:val="none"/>
        </w:rPr>
        <w:t>5</w:t>
      </w:r>
      <w:r>
        <w:rPr>
          <w:rFonts w:hint="eastAsia" w:hAnsi="宋体" w:cs="宋体"/>
          <w:color w:val="auto"/>
          <w:sz w:val="21"/>
          <w:szCs w:val="21"/>
          <w:highlight w:val="none"/>
        </w:rPr>
        <w:t>）的期限：</w:t>
      </w:r>
    </w:p>
    <w:p w14:paraId="05C8B38C">
      <w:pPr>
        <w:spacing w:line="360" w:lineRule="auto"/>
        <w:rPr>
          <w:color w:val="auto"/>
          <w:sz w:val="21"/>
          <w:szCs w:val="21"/>
          <w:highlight w:val="none"/>
        </w:rPr>
      </w:pPr>
      <w:r>
        <w:rPr>
          <w:rFonts w:hint="eastAsia"/>
          <w:color w:val="auto"/>
          <w:sz w:val="21"/>
          <w:szCs w:val="21"/>
          <w:highlight w:val="none"/>
          <w:u w:val="single"/>
          <w:lang w:eastAsia="zh-CN"/>
        </w:rPr>
        <w:t>工程开工前7日内。项目管理机构及施工现场管理人员必须与投标文件中承诺的人员一致，并附全部管理人员的劳动合同及近1个月投标截止时间</w:t>
      </w:r>
      <w:r>
        <w:rPr>
          <w:rFonts w:hint="eastAsia"/>
          <w:color w:val="auto"/>
          <w:sz w:val="21"/>
          <w:szCs w:val="21"/>
          <w:highlight w:val="none"/>
          <w:u w:val="single"/>
          <w:lang w:val="en-US" w:eastAsia="zh-CN"/>
        </w:rPr>
        <w:t>前半年内</w:t>
      </w:r>
      <w:r>
        <w:rPr>
          <w:rFonts w:hint="eastAsia"/>
          <w:color w:val="auto"/>
          <w:sz w:val="21"/>
          <w:szCs w:val="21"/>
          <w:highlight w:val="none"/>
          <w:u w:val="single"/>
          <w:lang w:eastAsia="zh-CN"/>
        </w:rPr>
        <w:t>任意一个月社保）在现任职单位依法缴纳社会保险证明材料的扫描件</w:t>
      </w:r>
      <w:r>
        <w:rPr>
          <w:rFonts w:hint="eastAsia" w:hAnsi="宋体" w:cs="宋体"/>
          <w:color w:val="auto"/>
          <w:sz w:val="21"/>
          <w:szCs w:val="21"/>
          <w:highlight w:val="none"/>
        </w:rPr>
        <w:t>。</w:t>
      </w:r>
    </w:p>
    <w:p w14:paraId="51FC537B">
      <w:pPr>
        <w:spacing w:line="360" w:lineRule="auto"/>
        <w:ind w:firstLine="420" w:firstLineChars="200"/>
        <w:rPr>
          <w:color w:val="auto"/>
          <w:sz w:val="21"/>
          <w:szCs w:val="21"/>
          <w:highlight w:val="none"/>
        </w:rPr>
      </w:pPr>
      <w:r>
        <w:rPr>
          <w:color w:val="auto"/>
          <w:sz w:val="21"/>
          <w:szCs w:val="21"/>
          <w:highlight w:val="none"/>
        </w:rPr>
        <w:t>3.3.3</w:t>
      </w:r>
      <w:r>
        <w:rPr>
          <w:rFonts w:hint="eastAsia" w:hAnsi="宋体" w:cs="宋体"/>
          <w:color w:val="auto"/>
          <w:sz w:val="21"/>
          <w:szCs w:val="21"/>
          <w:highlight w:val="none"/>
        </w:rPr>
        <w:t>承包人无正当理由拒绝撤换主要施工管理人员的违约责任：</w:t>
      </w:r>
      <w:r>
        <w:rPr>
          <w:rFonts w:hint="eastAsia" w:hAnsi="宋体" w:cs="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 w:val="21"/>
          <w:szCs w:val="21"/>
          <w:highlight w:val="none"/>
          <w:u w:val="single"/>
          <w:lang w:val="en-US" w:eastAsia="zh-CN"/>
        </w:rPr>
        <w:t>2000.00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；专业工程师</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182EE5C7">
      <w:pPr>
        <w:spacing w:line="360" w:lineRule="auto"/>
        <w:ind w:firstLine="420" w:firstLineChars="200"/>
        <w:rPr>
          <w:rFonts w:hint="eastAsia" w:hAnsi="宋体" w:cs="宋体"/>
          <w:color w:val="auto"/>
          <w:sz w:val="21"/>
          <w:szCs w:val="21"/>
          <w:highlight w:val="none"/>
          <w:u w:val="single"/>
        </w:rPr>
      </w:pPr>
      <w:r>
        <w:rPr>
          <w:color w:val="auto"/>
          <w:sz w:val="21"/>
          <w:szCs w:val="21"/>
          <w:highlight w:val="none"/>
        </w:rPr>
        <w:t>3.3.4</w:t>
      </w:r>
      <w:r>
        <w:rPr>
          <w:rFonts w:hint="eastAsia" w:hAnsi="宋体" w:cs="宋体"/>
          <w:color w:val="auto"/>
          <w:sz w:val="21"/>
          <w:szCs w:val="21"/>
          <w:highlight w:val="none"/>
        </w:rPr>
        <w:t>承包人主要施工管理人员离开施工现场的批准要求：</w:t>
      </w:r>
      <w:r>
        <w:rPr>
          <w:rFonts w:hint="eastAsia" w:hAnsi="宋体" w:cs="宋体"/>
          <w:color w:val="auto"/>
          <w:sz w:val="21"/>
          <w:szCs w:val="21"/>
          <w:highlight w:val="none"/>
          <w:u w:val="single"/>
        </w:rPr>
        <w:t>项目技术负责人、专职安全生产管理人员离开施工现场，须提前1日向总监理工程师提交书面请假申请，经总监理工程师批准后方可离开，并在施工现场留存书面请假记录备查。请假期间应事先指定具备同等资格的替岗人员，经发包人代表及总监理工程师确认后代替履职。其他施工管理人员离开施工现场，须向项目经理报备。因工作需要临时离开的，事后应在当日施工日志中补记。同一岗位人员连续请假超过3日或月度累计请假超过5日的，须另行取得发包人书面同意。</w:t>
      </w:r>
    </w:p>
    <w:p w14:paraId="4EA4FBA4">
      <w:pPr>
        <w:spacing w:line="360" w:lineRule="auto"/>
        <w:ind w:firstLine="420" w:firstLineChars="200"/>
        <w:rPr>
          <w:color w:val="auto"/>
          <w:sz w:val="21"/>
          <w:szCs w:val="21"/>
          <w:highlight w:val="none"/>
        </w:rPr>
      </w:pPr>
      <w:r>
        <w:rPr>
          <w:color w:val="auto"/>
          <w:sz w:val="21"/>
          <w:szCs w:val="21"/>
          <w:highlight w:val="none"/>
        </w:rPr>
        <w:t>3.3.5</w:t>
      </w:r>
      <w:r>
        <w:rPr>
          <w:rFonts w:hint="eastAsia" w:hAnsi="宋体" w:cs="宋体"/>
          <w:color w:val="auto"/>
          <w:sz w:val="21"/>
          <w:szCs w:val="21"/>
          <w:highlight w:val="none"/>
        </w:rPr>
        <w:t>承包人擅自更换主要施工管理人员的违约责任：</w:t>
      </w:r>
      <w:r>
        <w:rPr>
          <w:rFonts w:hint="eastAsia" w:hAnsi="宋体" w:cs="宋体"/>
          <w:color w:val="auto"/>
          <w:sz w:val="21"/>
          <w:szCs w:val="21"/>
          <w:highlight w:val="none"/>
          <w:u w:val="single"/>
        </w:rPr>
        <w:t>项目技术负责人、专职安全生产管理人员及其承诺的其它在场管理人员未经发包人书面同意不准擅自更换，擅自更换项目技术负责人处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违约金；擅自更换专职安全生产管理人员处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违约金；擅自更换其它在场管理人员处</w:t>
      </w:r>
      <w:r>
        <w:rPr>
          <w:rFonts w:hint="eastAsia"/>
          <w:color w:val="auto"/>
          <w:sz w:val="21"/>
          <w:szCs w:val="21"/>
          <w:highlight w:val="none"/>
          <w:u w:val="single"/>
          <w:lang w:val="en-US" w:eastAsia="zh-CN"/>
        </w:rPr>
        <w:t>5000.00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w:t>
      </w:r>
      <w:r>
        <w:rPr>
          <w:rFonts w:hint="eastAsia" w:hAnsi="宋体" w:cs="宋体"/>
          <w:color w:val="auto"/>
          <w:sz w:val="21"/>
          <w:szCs w:val="21"/>
          <w:highlight w:val="none"/>
        </w:rPr>
        <w:t>。</w:t>
      </w:r>
    </w:p>
    <w:p w14:paraId="038B6C19">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承包人主要施工管理人员擅自离开施工现场的违约责任：</w:t>
      </w:r>
      <w:r>
        <w:rPr>
          <w:rFonts w:hint="eastAsia" w:hAnsi="宋体" w:cs="宋体"/>
          <w:color w:val="auto"/>
          <w:sz w:val="21"/>
          <w:szCs w:val="21"/>
          <w:highlight w:val="none"/>
          <w:u w:val="single"/>
        </w:rPr>
        <w:t>未经发包人同意，项目技术负责人擅自离岗的，视为承包人违约，发包人有权处违约金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；未经发包人同意，专职安全生产管理人员擅自离岗的，视为承包人违约，发包人有权处违约金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；其它在场管理人员擅自离岗的，视为承包人违约，发包人有权处违约金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3DA7A769">
      <w:pPr>
        <w:pStyle w:val="4"/>
        <w:rPr>
          <w:color w:val="auto"/>
          <w:highlight w:val="none"/>
        </w:rPr>
      </w:pPr>
      <w:bookmarkStart w:id="366" w:name="_Toc373227710"/>
      <w:bookmarkStart w:id="367" w:name="_Toc373478357"/>
      <w:bookmarkStart w:id="368" w:name="_Toc389065276"/>
      <w:bookmarkStart w:id="369" w:name="_Toc407135212"/>
      <w:bookmarkStart w:id="370" w:name="_Toc2025600126"/>
      <w:bookmarkStart w:id="371" w:name="_Toc78449798"/>
      <w:bookmarkStart w:id="372" w:name="_Toc20039"/>
      <w:bookmarkStart w:id="373" w:name="_Toc2066279184"/>
      <w:r>
        <w:rPr>
          <w:color w:val="auto"/>
          <w:highlight w:val="none"/>
        </w:rPr>
        <w:t>3</w:t>
      </w:r>
      <w:bookmarkStart w:id="374" w:name="_Toc292559869"/>
      <w:bookmarkStart w:id="375" w:name="_Toc297120459"/>
      <w:bookmarkStart w:id="376" w:name="_Toc297216151"/>
      <w:bookmarkStart w:id="377" w:name="_Toc297123492"/>
      <w:bookmarkStart w:id="378" w:name="_Toc296891199"/>
      <w:bookmarkStart w:id="379" w:name="_Toc296503159"/>
      <w:bookmarkStart w:id="380" w:name="_Toc297048345"/>
      <w:bookmarkStart w:id="381" w:name="_Toc296347158"/>
      <w:bookmarkStart w:id="382" w:name="_Toc312677988"/>
      <w:bookmarkStart w:id="383" w:name="_Toc300934945"/>
      <w:bookmarkStart w:id="384" w:name="_Toc304295523"/>
      <w:bookmarkStart w:id="385" w:name="_Toc296346660"/>
      <w:bookmarkStart w:id="386" w:name="_Toc296890987"/>
      <w:bookmarkStart w:id="387" w:name="_Toc292559364"/>
      <w:bookmarkStart w:id="388" w:name="_Toc296944498"/>
      <w:bookmarkStart w:id="389" w:name="_Toc303539102"/>
      <w:r>
        <w:rPr>
          <w:color w:val="auto"/>
          <w:highlight w:val="none"/>
        </w:rPr>
        <w:t>.5</w:t>
      </w:r>
      <w:r>
        <w:rPr>
          <w:rFonts w:hint="eastAsia" w:hAnsi="宋体" w:cs="黑体"/>
          <w:color w:val="auto"/>
          <w:highlight w:val="none"/>
        </w:rPr>
        <w:t>分包</w:t>
      </w:r>
      <w:bookmarkEnd w:id="366"/>
      <w:bookmarkEnd w:id="367"/>
      <w:bookmarkEnd w:id="368"/>
      <w:bookmarkEnd w:id="369"/>
      <w:bookmarkEnd w:id="370"/>
      <w:bookmarkEnd w:id="371"/>
      <w:bookmarkEnd w:id="372"/>
      <w:bookmarkEnd w:id="373"/>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0CAB4AA3">
      <w:pPr>
        <w:spacing w:line="360" w:lineRule="auto"/>
        <w:ind w:firstLine="420" w:firstLineChars="200"/>
        <w:rPr>
          <w:color w:val="auto"/>
          <w:sz w:val="21"/>
          <w:szCs w:val="21"/>
          <w:highlight w:val="none"/>
        </w:rPr>
      </w:pPr>
      <w:r>
        <w:rPr>
          <w:color w:val="auto"/>
          <w:sz w:val="21"/>
          <w:szCs w:val="21"/>
          <w:highlight w:val="none"/>
        </w:rPr>
        <w:t>3.5.1</w:t>
      </w:r>
      <w:r>
        <w:rPr>
          <w:rFonts w:hint="eastAsia" w:hAnsi="宋体" w:cs="宋体"/>
          <w:color w:val="auto"/>
          <w:sz w:val="21"/>
          <w:szCs w:val="21"/>
          <w:highlight w:val="none"/>
        </w:rPr>
        <w:t>分包的一般约定</w:t>
      </w:r>
    </w:p>
    <w:p w14:paraId="5EAC5C1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禁止分包的工程包括：</w:t>
      </w:r>
      <w:r>
        <w:rPr>
          <w:rFonts w:hint="eastAsia" w:ascii="Segoe UI" w:hAnsi="Segoe UI" w:cs="Segoe UI"/>
          <w:i w:val="0"/>
          <w:iCs w:val="0"/>
          <w:caps w:val="0"/>
          <w:color w:val="0F1115"/>
          <w:spacing w:val="0"/>
          <w:sz w:val="21"/>
          <w:szCs w:val="21"/>
          <w:u w:val="single"/>
          <w:shd w:val="clear" w:fill="FFFFFF"/>
          <w:lang w:eastAsia="zh-CN"/>
        </w:rPr>
        <w:t>管道沟槽的开挖与支护、管道铺设与接口连接、检查井及化粪池的砌筑或浇筑、管道闭水试验</w:t>
      </w:r>
      <w:r>
        <w:rPr>
          <w:rFonts w:hint="eastAsia" w:hAnsi="宋体" w:cs="宋体"/>
          <w:color w:val="auto"/>
          <w:sz w:val="18"/>
          <w:szCs w:val="18"/>
          <w:highlight w:val="none"/>
          <w:u w:val="single"/>
        </w:rPr>
        <w:t>。</w:t>
      </w:r>
    </w:p>
    <w:p w14:paraId="3C4F75D9">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主体结构、关键性工作的范围：</w:t>
      </w:r>
      <w:r>
        <w:rPr>
          <w:rFonts w:hint="eastAsia" w:ascii="Segoe UI" w:hAnsi="Segoe UI" w:eastAsia="宋体" w:cs="Segoe UI"/>
          <w:i w:val="0"/>
          <w:iCs w:val="0"/>
          <w:caps w:val="0"/>
          <w:color w:val="0F1115"/>
          <w:spacing w:val="0"/>
          <w:sz w:val="21"/>
          <w:szCs w:val="21"/>
          <w:u w:val="single"/>
          <w:shd w:val="clear" w:fill="FFFFFF"/>
          <w:lang w:eastAsia="zh-CN"/>
        </w:rPr>
        <w:t>管道沟槽的开挖与支护、管道铺设与接口连接、检查井及化粪池的砌筑或浇筑、管道闭水试验不得分包</w:t>
      </w:r>
      <w:r>
        <w:rPr>
          <w:rFonts w:hint="eastAsia" w:ascii="Segoe UI" w:hAnsi="Segoe UI" w:eastAsia="Segoe UI" w:cs="Segoe UI"/>
          <w:i w:val="0"/>
          <w:iCs w:val="0"/>
          <w:caps w:val="0"/>
          <w:color w:val="0F1115"/>
          <w:spacing w:val="0"/>
          <w:sz w:val="21"/>
          <w:szCs w:val="21"/>
          <w:u w:val="single"/>
          <w:shd w:val="clear" w:fill="FFFFFF"/>
        </w:rPr>
        <w:t>。</w:t>
      </w:r>
    </w:p>
    <w:p w14:paraId="79556AD8">
      <w:pPr>
        <w:spacing w:line="360" w:lineRule="auto"/>
        <w:ind w:firstLine="420" w:firstLineChars="200"/>
        <w:jc w:val="left"/>
        <w:rPr>
          <w:color w:val="auto"/>
          <w:sz w:val="21"/>
          <w:szCs w:val="21"/>
          <w:highlight w:val="none"/>
        </w:rPr>
      </w:pPr>
      <w:r>
        <w:rPr>
          <w:color w:val="auto"/>
          <w:sz w:val="21"/>
          <w:szCs w:val="21"/>
          <w:highlight w:val="none"/>
        </w:rPr>
        <w:t>3.5.2</w:t>
      </w:r>
      <w:r>
        <w:rPr>
          <w:rFonts w:hint="eastAsia" w:hAnsi="宋体" w:cs="宋体"/>
          <w:color w:val="auto"/>
          <w:sz w:val="21"/>
          <w:szCs w:val="21"/>
          <w:highlight w:val="none"/>
        </w:rPr>
        <w:t>分包的确定</w:t>
      </w:r>
    </w:p>
    <w:p w14:paraId="62600259">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Segoe UI" w:hAnsi="Segoe UI" w:eastAsia="Segoe UI" w:cs="Segoe UI"/>
          <w:i w:val="0"/>
          <w:iCs w:val="0"/>
          <w:caps w:val="0"/>
          <w:color w:val="0F1115"/>
          <w:spacing w:val="0"/>
          <w:kern w:val="0"/>
          <w:sz w:val="21"/>
          <w:szCs w:val="21"/>
          <w:u w:val="single"/>
          <w:shd w:val="clear" w:fill="FFFFFF"/>
          <w:lang w:val="en-US" w:eastAsia="zh-CN" w:bidi="hi-IN"/>
        </w:rPr>
      </w:pPr>
      <w:r>
        <w:rPr>
          <w:rFonts w:hint="eastAsia" w:ascii="Segoe UI" w:hAnsi="Segoe UI" w:eastAsia="Segoe UI" w:cs="Segoe UI"/>
          <w:i w:val="0"/>
          <w:iCs w:val="0"/>
          <w:caps w:val="0"/>
          <w:color w:val="0F1115"/>
          <w:spacing w:val="0"/>
          <w:kern w:val="0"/>
          <w:sz w:val="21"/>
          <w:szCs w:val="21"/>
          <w:u w:val="none"/>
          <w:shd w:val="clear" w:fill="FFFFFF"/>
          <w:lang w:val="en-US" w:eastAsia="zh-CN" w:bidi="hi-IN"/>
        </w:rPr>
        <w:t>允许分包的专业工程包括：</w:t>
      </w:r>
      <w:r>
        <w:rPr>
          <w:rFonts w:hint="default" w:ascii="Segoe UI" w:hAnsi="Segoe UI" w:eastAsia="Segoe UI" w:cs="Segoe UI"/>
          <w:i w:val="0"/>
          <w:iCs w:val="0"/>
          <w:caps w:val="0"/>
          <w:color w:val="0F1115"/>
          <w:spacing w:val="0"/>
          <w:kern w:val="0"/>
          <w:sz w:val="21"/>
          <w:szCs w:val="21"/>
          <w:u w:val="single"/>
          <w:shd w:val="clear" w:fill="FFFFFF"/>
          <w:lang w:val="en-US" w:eastAsia="zh-CN" w:bidi="hi-IN"/>
        </w:rPr>
        <w:t>承包人可将劳务作业分包给具有相应资质的劳务企业，但须经发包人书面同意，且分包人不得再次分包。鼓励承包人在同等条件下优先选择项目所在地的村集体经济组织、劳务合作社、村民施工队等承担劳务分包或辅助工程分包。但分包人应具备相应施工能力，特殊工种人员须持证上岗，且不得再次分包。承包人仍对分包工程的质量、安全、工期负总责，衔接财政常态化帮扶资金项目推广以工代赈方式的要求，带动当地群众务工增收。本工程严禁转包。违反上述规定的，发包人有权解除合同并追究违约责任。</w:t>
      </w:r>
    </w:p>
    <w:p w14:paraId="1A19B0BC">
      <w:pPr>
        <w:spacing w:line="360" w:lineRule="auto"/>
        <w:ind w:firstLine="420" w:firstLineChars="200"/>
        <w:rPr>
          <w:color w:val="auto"/>
          <w:sz w:val="21"/>
          <w:szCs w:val="21"/>
          <w:highlight w:val="none"/>
        </w:rPr>
      </w:pPr>
      <w:r>
        <w:rPr>
          <w:rFonts w:hint="eastAsia" w:hAnsi="宋体" w:cs="宋体"/>
          <w:color w:val="auto"/>
          <w:sz w:val="21"/>
          <w:szCs w:val="21"/>
          <w:highlight w:val="none"/>
        </w:rPr>
        <w:t>其他关于分包的约定：</w:t>
      </w:r>
    </w:p>
    <w:p w14:paraId="590C1F6D">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1</w:t>
      </w:r>
      <w:r>
        <w:rPr>
          <w:rFonts w:hint="eastAsia" w:cs="宋体"/>
          <w:color w:val="auto"/>
          <w:sz w:val="21"/>
          <w:szCs w:val="21"/>
          <w:highlight w:val="none"/>
        </w:rPr>
        <w:t>）</w:t>
      </w:r>
      <w:r>
        <w:rPr>
          <w:rFonts w:hint="eastAsia" w:hAnsi="宋体" w:cs="宋体"/>
          <w:color w:val="auto"/>
          <w:sz w:val="21"/>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 w:val="21"/>
          <w:szCs w:val="21"/>
          <w:highlight w:val="none"/>
        </w:rPr>
        <w:t>6</w:t>
      </w:r>
      <w:r>
        <w:rPr>
          <w:rFonts w:hint="eastAsia" w:hAnsi="宋体" w:cs="宋体"/>
          <w:color w:val="auto"/>
          <w:sz w:val="21"/>
          <w:szCs w:val="21"/>
          <w:highlight w:val="none"/>
        </w:rPr>
        <w:t>。</w:t>
      </w:r>
    </w:p>
    <w:p w14:paraId="6F333A12">
      <w:pPr>
        <w:spacing w:line="360" w:lineRule="auto"/>
        <w:ind w:firstLine="420" w:firstLineChars="200"/>
        <w:rPr>
          <w:color w:val="auto"/>
          <w:sz w:val="21"/>
          <w:szCs w:val="21"/>
          <w:highlight w:val="none"/>
          <w:u w:val="single"/>
        </w:rPr>
      </w:pPr>
      <w:r>
        <w:rPr>
          <w:rFonts w:hint="eastAsia" w:cs="宋体"/>
          <w:color w:val="auto"/>
          <w:sz w:val="21"/>
          <w:szCs w:val="21"/>
          <w:highlight w:val="none"/>
        </w:rPr>
        <w:t>（</w:t>
      </w:r>
      <w:r>
        <w:rPr>
          <w:color w:val="auto"/>
          <w:sz w:val="21"/>
          <w:szCs w:val="21"/>
          <w:highlight w:val="none"/>
        </w:rPr>
        <w:t>2</w:t>
      </w:r>
      <w:r>
        <w:rPr>
          <w:rFonts w:hint="eastAsia" w:cs="宋体"/>
          <w:color w:val="auto"/>
          <w:sz w:val="21"/>
          <w:szCs w:val="21"/>
          <w:highlight w:val="none"/>
        </w:rPr>
        <w:t>）</w:t>
      </w:r>
      <w:r>
        <w:rPr>
          <w:rFonts w:hint="eastAsia" w:hAnsi="宋体" w:cs="宋体"/>
          <w:color w:val="auto"/>
          <w:sz w:val="21"/>
          <w:szCs w:val="21"/>
          <w:highlight w:val="none"/>
        </w:rPr>
        <w:t>在相关分包合同签订并报送有关建设行政主管部门备案后</w:t>
      </w:r>
      <w:r>
        <w:rPr>
          <w:color w:val="auto"/>
          <w:sz w:val="21"/>
          <w:szCs w:val="21"/>
          <w:highlight w:val="none"/>
        </w:rPr>
        <w:t>7</w:t>
      </w:r>
      <w:r>
        <w:rPr>
          <w:rFonts w:hint="eastAsia" w:hAnsi="宋体" w:cs="宋体"/>
          <w:color w:val="auto"/>
          <w:sz w:val="21"/>
          <w:szCs w:val="21"/>
          <w:highlight w:val="none"/>
        </w:rPr>
        <w:t>天内，承包人应当将一份副本提交给监理人，承包人应保障分包工作不得再次分包。</w:t>
      </w:r>
    </w:p>
    <w:p w14:paraId="243E4B39">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未经</w:t>
      </w:r>
      <w:r>
        <w:rPr>
          <w:rFonts w:hint="eastAsia" w:hAnsi="宋体" w:cs="宋体"/>
          <w:color w:val="auto"/>
          <w:sz w:val="21"/>
          <w:szCs w:val="21"/>
          <w:highlight w:val="none"/>
          <w:lang w:val="en-US" w:eastAsia="zh-CN"/>
        </w:rPr>
        <w:t>发</w:t>
      </w:r>
      <w:r>
        <w:rPr>
          <w:rFonts w:hint="eastAsia" w:hAnsi="宋体" w:cs="宋体"/>
          <w:color w:val="auto"/>
          <w:sz w:val="21"/>
          <w:szCs w:val="21"/>
          <w:highlight w:val="none"/>
        </w:rPr>
        <w:t>包人和监理人审批同意的分包工程和分包人，承包人有权拒绝验收分包工程和支付相应款项，由此引起的发包人费用增加和</w:t>
      </w:r>
      <w:r>
        <w:rPr>
          <w:color w:val="auto"/>
          <w:sz w:val="21"/>
          <w:szCs w:val="21"/>
          <w:highlight w:val="none"/>
        </w:rPr>
        <w:t>(</w:t>
      </w:r>
      <w:r>
        <w:rPr>
          <w:rFonts w:hint="eastAsia" w:hAnsi="宋体" w:cs="宋体"/>
          <w:color w:val="auto"/>
          <w:sz w:val="21"/>
          <w:szCs w:val="21"/>
          <w:highlight w:val="none"/>
        </w:rPr>
        <w:t>或</w:t>
      </w:r>
      <w:r>
        <w:rPr>
          <w:color w:val="auto"/>
          <w:sz w:val="21"/>
          <w:szCs w:val="21"/>
          <w:highlight w:val="none"/>
        </w:rPr>
        <w:t>)</w:t>
      </w:r>
      <w:r>
        <w:rPr>
          <w:rFonts w:hint="eastAsia" w:hAnsi="宋体" w:cs="宋体"/>
          <w:color w:val="auto"/>
          <w:sz w:val="21"/>
          <w:szCs w:val="21"/>
          <w:highlight w:val="none"/>
        </w:rPr>
        <w:t>延误的工期由发包人承担。</w:t>
      </w:r>
    </w:p>
    <w:p w14:paraId="44DD370E">
      <w:pPr>
        <w:pStyle w:val="13"/>
        <w:spacing w:line="360" w:lineRule="auto"/>
        <w:ind w:firstLine="440" w:firstLineChars="200"/>
        <w:rPr>
          <w:rFonts w:ascii="Times New Roman" w:hAnsi="Times New Roman"/>
          <w:color w:val="auto"/>
          <w:sz w:val="22"/>
          <w:szCs w:val="22"/>
          <w:highlight w:val="none"/>
        </w:rPr>
      </w:pPr>
      <w:r>
        <w:rPr>
          <w:rFonts w:hint="eastAsia" w:ascii="Times New Roman" w:hAnsi="Times New Roman"/>
          <w:color w:val="auto"/>
          <w:sz w:val="22"/>
          <w:szCs w:val="22"/>
          <w:highlight w:val="none"/>
        </w:rPr>
        <w:t>（</w:t>
      </w:r>
      <w:r>
        <w:rPr>
          <w:rFonts w:ascii="Times New Roman" w:hAnsi="Times New Roman"/>
          <w:color w:val="auto"/>
          <w:sz w:val="22"/>
          <w:szCs w:val="22"/>
          <w:highlight w:val="none"/>
        </w:rPr>
        <w:t>4</w:t>
      </w:r>
      <w:r>
        <w:rPr>
          <w:rFonts w:hint="eastAsia" w:ascii="Times New Roman" w:hAnsi="Times New Roman"/>
          <w:color w:val="auto"/>
          <w:sz w:val="22"/>
          <w:szCs w:val="22"/>
          <w:highlight w:val="none"/>
        </w:rPr>
        <w:t>）</w:t>
      </w:r>
      <w:r>
        <w:rPr>
          <w:rFonts w:hint="eastAsia" w:ascii="Times New Roman" w:hAnsi="宋体"/>
          <w:color w:val="auto"/>
          <w:sz w:val="22"/>
          <w:szCs w:val="22"/>
          <w:highlight w:val="none"/>
        </w:rPr>
        <w:t>承包人有以下情况之一者，发包人有权解除合同，并视情况扣除其履约保证金：</w:t>
      </w:r>
    </w:p>
    <w:p w14:paraId="0E653DC8">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①个人承包工程，包括本人单位及外单位人员承包，发包人不承认其个人拥有任何资质等级及营业许可资格。没收全部履约保证金。</w:t>
      </w:r>
    </w:p>
    <w:p w14:paraId="210F6C1A">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②几个人联合承包工程，就地组织暗分包队伍，不具备完成本工程的技术、机械能力，被发包人判定为没有能力履行的承包人。没收全部履约保证金。</w:t>
      </w:r>
    </w:p>
    <w:p w14:paraId="521B2DDA">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③就地转包全部的工程，以谋取高额转让费、管理费的承包人。没收全部履约保证金。</w:t>
      </w:r>
    </w:p>
    <w:p w14:paraId="49E61CA9">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5D269B94">
      <w:pPr>
        <w:spacing w:line="360" w:lineRule="auto"/>
        <w:ind w:firstLine="420" w:firstLineChars="200"/>
        <w:rPr>
          <w:color w:val="auto"/>
          <w:sz w:val="21"/>
          <w:szCs w:val="21"/>
          <w:highlight w:val="none"/>
        </w:rPr>
      </w:pPr>
      <w:r>
        <w:rPr>
          <w:color w:val="auto"/>
          <w:sz w:val="21"/>
          <w:szCs w:val="21"/>
          <w:highlight w:val="none"/>
        </w:rPr>
        <w:t>3.5.4</w:t>
      </w:r>
      <w:r>
        <w:rPr>
          <w:rFonts w:hint="eastAsia" w:hAnsi="宋体" w:cs="宋体"/>
          <w:color w:val="auto"/>
          <w:sz w:val="21"/>
          <w:szCs w:val="21"/>
          <w:highlight w:val="none"/>
        </w:rPr>
        <w:t>分包合同价款</w:t>
      </w:r>
    </w:p>
    <w:p w14:paraId="4ADDACAB">
      <w:pPr>
        <w:spacing w:line="360" w:lineRule="auto"/>
        <w:ind w:firstLine="420" w:firstLineChars="200"/>
        <w:rPr>
          <w:color w:val="auto"/>
          <w:sz w:val="21"/>
          <w:szCs w:val="21"/>
          <w:highlight w:val="none"/>
        </w:rPr>
      </w:pPr>
      <w:bookmarkStart w:id="390" w:name="_Toc389065277"/>
      <w:bookmarkStart w:id="391" w:name="_Toc373227711"/>
      <w:bookmarkStart w:id="392" w:name="_Toc373478358"/>
      <w:r>
        <w:rPr>
          <w:rFonts w:hint="eastAsia" w:hAnsi="宋体" w:cs="宋体"/>
          <w:color w:val="auto"/>
          <w:sz w:val="21"/>
          <w:szCs w:val="21"/>
          <w:highlight w:val="none"/>
        </w:rPr>
        <w:t>关于分包合同价款支付的约定：</w:t>
      </w:r>
      <w:r>
        <w:rPr>
          <w:rFonts w:hint="eastAsia" w:hAnsi="宋体" w:cs="宋体"/>
          <w:color w:val="auto"/>
          <w:sz w:val="21"/>
          <w:szCs w:val="21"/>
          <w:highlight w:val="none"/>
          <w:u w:val="single"/>
        </w:rPr>
        <w:t>分包工程价款由承包人与分包人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结算。发包人未经承包人同意不得以任何形式向分包人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支付相关分包合同项下的任何工程款项。因发包人未经承包人同意直接向分包人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支付相关分包合同项下的任何工程款项而影响承包人工作的，所造成的承包人费用增加和</w:t>
      </w:r>
      <w:r>
        <w:rPr>
          <w:rFonts w:hint="eastAsia" w:cs="宋体"/>
          <w:color w:val="auto"/>
          <w:sz w:val="21"/>
          <w:szCs w:val="21"/>
          <w:highlight w:val="none"/>
          <w:u w:val="single"/>
        </w:rPr>
        <w:t>（</w:t>
      </w:r>
      <w:r>
        <w:rPr>
          <w:rFonts w:hint="eastAsia" w:hAnsi="宋体" w:cs="宋体"/>
          <w:color w:val="auto"/>
          <w:sz w:val="21"/>
          <w:szCs w:val="21"/>
          <w:highlight w:val="none"/>
          <w:u w:val="single"/>
        </w:rPr>
        <w:t>或</w:t>
      </w:r>
      <w:r>
        <w:rPr>
          <w:rFonts w:hint="eastAsia" w:cs="宋体"/>
          <w:color w:val="auto"/>
          <w:sz w:val="21"/>
          <w:szCs w:val="21"/>
          <w:highlight w:val="none"/>
          <w:u w:val="single"/>
        </w:rPr>
        <w:t>）</w:t>
      </w:r>
      <w:r>
        <w:rPr>
          <w:rFonts w:hint="eastAsia" w:hAnsi="宋体" w:cs="宋体"/>
          <w:color w:val="auto"/>
          <w:sz w:val="21"/>
          <w:szCs w:val="21"/>
          <w:highlight w:val="none"/>
          <w:u w:val="single"/>
        </w:rPr>
        <w:t>延误的工期由发包人承担。</w:t>
      </w:r>
    </w:p>
    <w:p w14:paraId="2270BEA0">
      <w:pPr>
        <w:pStyle w:val="4"/>
        <w:rPr>
          <w:color w:val="auto"/>
          <w:highlight w:val="none"/>
        </w:rPr>
      </w:pPr>
      <w:bookmarkStart w:id="393" w:name="_Toc407135213"/>
      <w:bookmarkStart w:id="394" w:name="_Toc101808609"/>
      <w:bookmarkStart w:id="395" w:name="_Toc57329529"/>
      <w:bookmarkStart w:id="396" w:name="_Toc22099"/>
      <w:bookmarkStart w:id="397" w:name="_Toc78449799"/>
      <w:r>
        <w:rPr>
          <w:color w:val="auto"/>
          <w:highlight w:val="none"/>
        </w:rPr>
        <w:t>3.6</w:t>
      </w:r>
      <w:r>
        <w:rPr>
          <w:rFonts w:hint="eastAsia" w:cs="黑体"/>
          <w:color w:val="auto"/>
          <w:highlight w:val="none"/>
        </w:rPr>
        <w:t>工程照管与成品、半成品保护</w:t>
      </w:r>
      <w:bookmarkEnd w:id="390"/>
      <w:bookmarkEnd w:id="391"/>
      <w:bookmarkEnd w:id="392"/>
      <w:bookmarkEnd w:id="393"/>
      <w:bookmarkEnd w:id="394"/>
      <w:bookmarkEnd w:id="395"/>
      <w:bookmarkEnd w:id="396"/>
      <w:bookmarkEnd w:id="397"/>
    </w:p>
    <w:p w14:paraId="2B44AC7F">
      <w:pPr>
        <w:spacing w:line="360" w:lineRule="auto"/>
        <w:ind w:firstLine="420" w:firstLineChars="200"/>
        <w:rPr>
          <w:color w:val="auto"/>
          <w:kern w:val="0"/>
          <w:sz w:val="21"/>
          <w:szCs w:val="21"/>
          <w:highlight w:val="none"/>
          <w:u w:val="single"/>
        </w:rPr>
      </w:pPr>
      <w:r>
        <w:rPr>
          <w:rFonts w:hint="eastAsia" w:hAnsi="宋体" w:cs="宋体"/>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lang w:eastAsia="zh-CN"/>
        </w:rPr>
        <w:t>自监理人发出的开工通知中载明的开工日期起，至工程接收证书颁发之日止。开工日期前发包人已向承包人移交施工场地的，承包人对场地内已接收的材料、工程设备承担照管责任。在照管期间因承包人原因发生的任何工程、材料、工程设备的损失或损坏，由承包人自费修复或赔偿；非因承包人原因导致的损失或损坏，由责任方承担，工期相应顺延。</w:t>
      </w:r>
    </w:p>
    <w:p w14:paraId="0C436347">
      <w:pPr>
        <w:pStyle w:val="4"/>
        <w:rPr>
          <w:color w:val="auto"/>
          <w:highlight w:val="none"/>
        </w:rPr>
      </w:pPr>
      <w:bookmarkStart w:id="398" w:name="_Toc373227712"/>
      <w:bookmarkStart w:id="399" w:name="_Toc389065278"/>
      <w:bookmarkStart w:id="400" w:name="_Toc373478359"/>
      <w:bookmarkStart w:id="401" w:name="_Toc78449800"/>
      <w:bookmarkStart w:id="402" w:name="_Toc1042049436"/>
      <w:bookmarkStart w:id="403" w:name="_Toc19400"/>
      <w:bookmarkStart w:id="404" w:name="_Toc1649716734"/>
      <w:bookmarkStart w:id="405" w:name="_Toc407135214"/>
      <w:r>
        <w:rPr>
          <w:color w:val="auto"/>
          <w:highlight w:val="none"/>
        </w:rPr>
        <w:t>3.7</w:t>
      </w:r>
      <w:r>
        <w:rPr>
          <w:rFonts w:hint="eastAsia" w:hAnsi="宋体" w:cs="黑体"/>
          <w:color w:val="auto"/>
          <w:highlight w:val="none"/>
        </w:rPr>
        <w:t>履约</w:t>
      </w:r>
      <w:bookmarkEnd w:id="398"/>
      <w:bookmarkEnd w:id="399"/>
      <w:bookmarkEnd w:id="400"/>
      <w:r>
        <w:rPr>
          <w:rFonts w:hint="eastAsia" w:hAnsi="宋体" w:cs="黑体"/>
          <w:color w:val="auto"/>
          <w:highlight w:val="none"/>
        </w:rPr>
        <w:t>保证金</w:t>
      </w:r>
      <w:bookmarkEnd w:id="401"/>
      <w:bookmarkEnd w:id="402"/>
      <w:bookmarkEnd w:id="403"/>
      <w:bookmarkEnd w:id="404"/>
      <w:bookmarkEnd w:id="405"/>
    </w:p>
    <w:p w14:paraId="2C69683F">
      <w:pPr>
        <w:spacing w:line="360" w:lineRule="auto"/>
        <w:ind w:firstLine="400" w:firstLineChars="200"/>
        <w:rPr>
          <w:rFonts w:hint="default" w:eastAsia="宋体"/>
          <w:color w:val="auto"/>
          <w:highlight w:val="none"/>
          <w:u w:val="none"/>
          <w:lang w:val="en-US" w:eastAsia="zh-CN"/>
        </w:rPr>
      </w:pPr>
      <w:bookmarkStart w:id="406" w:name="_Toc389065279"/>
      <w:bookmarkStart w:id="407" w:name="_Toc373478360"/>
      <w:bookmarkStart w:id="408" w:name="_Toc373227713"/>
      <w:bookmarkStart w:id="409" w:name="_Toc351203636"/>
      <w:r>
        <w:rPr>
          <w:rFonts w:hint="eastAsia"/>
          <w:color w:val="auto"/>
          <w:highlight w:val="none"/>
          <w:u w:val="none"/>
          <w:lang w:val="en-US" w:eastAsia="zh-CN"/>
        </w:rPr>
        <w:t>本项目不收取履约保证金。</w:t>
      </w:r>
    </w:p>
    <w:p w14:paraId="5C904070">
      <w:pPr>
        <w:pStyle w:val="3"/>
        <w:rPr>
          <w:color w:val="auto"/>
          <w:highlight w:val="none"/>
        </w:rPr>
      </w:pPr>
      <w:bookmarkStart w:id="410" w:name="_Toc407135215"/>
      <w:bookmarkStart w:id="411" w:name="_Toc907912356"/>
      <w:bookmarkStart w:id="412" w:name="_Toc78449801"/>
      <w:bookmarkStart w:id="413" w:name="_Toc931514330"/>
      <w:bookmarkStart w:id="414" w:name="_Toc8208"/>
      <w:r>
        <w:rPr>
          <w:color w:val="auto"/>
          <w:highlight w:val="none"/>
        </w:rPr>
        <w:t>4</w:t>
      </w:r>
      <w:bookmarkStart w:id="415" w:name="_Toc296346663"/>
      <w:bookmarkStart w:id="416" w:name="_Toc296890990"/>
      <w:bookmarkStart w:id="417" w:name="_Toc292559871"/>
      <w:bookmarkStart w:id="418" w:name="_Toc267251413"/>
      <w:bookmarkStart w:id="419" w:name="_Toc292559366"/>
      <w:bookmarkStart w:id="420" w:name="_Toc296944501"/>
      <w:bookmarkStart w:id="421" w:name="_Toc296347161"/>
      <w:bookmarkStart w:id="422" w:name="_Toc297120462"/>
      <w:bookmarkStart w:id="423" w:name="_Toc297048348"/>
      <w:bookmarkStart w:id="424" w:name="_Toc296891202"/>
      <w:bookmarkStart w:id="425" w:name="_Toc296503162"/>
      <w:r>
        <w:rPr>
          <w:color w:val="auto"/>
          <w:highlight w:val="none"/>
        </w:rPr>
        <w:t>.</w:t>
      </w:r>
      <w:r>
        <w:rPr>
          <w:rFonts w:hint="eastAsia" w:hAnsi="宋体" w:cs="黑体"/>
          <w:color w:val="auto"/>
          <w:highlight w:val="none"/>
        </w:rPr>
        <w:t>监</w:t>
      </w:r>
      <w:bookmarkEnd w:id="415"/>
      <w:bookmarkEnd w:id="416"/>
      <w:bookmarkEnd w:id="417"/>
      <w:bookmarkEnd w:id="418"/>
      <w:bookmarkEnd w:id="419"/>
      <w:bookmarkEnd w:id="420"/>
      <w:bookmarkEnd w:id="421"/>
      <w:bookmarkEnd w:id="422"/>
      <w:bookmarkEnd w:id="423"/>
      <w:bookmarkEnd w:id="424"/>
      <w:bookmarkEnd w:id="425"/>
      <w:r>
        <w:rPr>
          <w:rFonts w:hint="eastAsia" w:hAnsi="宋体" w:cs="黑体"/>
          <w:color w:val="auto"/>
          <w:highlight w:val="none"/>
        </w:rPr>
        <w:t>理人</w:t>
      </w:r>
      <w:bookmarkEnd w:id="406"/>
      <w:bookmarkEnd w:id="407"/>
      <w:bookmarkEnd w:id="408"/>
      <w:bookmarkEnd w:id="409"/>
      <w:bookmarkEnd w:id="410"/>
      <w:bookmarkEnd w:id="411"/>
      <w:bookmarkEnd w:id="412"/>
      <w:bookmarkEnd w:id="413"/>
      <w:bookmarkEnd w:id="414"/>
    </w:p>
    <w:p w14:paraId="4CC84E83">
      <w:pPr>
        <w:pStyle w:val="4"/>
        <w:rPr>
          <w:color w:val="auto"/>
          <w:highlight w:val="none"/>
        </w:rPr>
      </w:pPr>
      <w:bookmarkStart w:id="426" w:name="_Toc11509"/>
      <w:bookmarkStart w:id="427" w:name="_Toc389065280"/>
      <w:bookmarkStart w:id="428" w:name="_Toc1008304989"/>
      <w:bookmarkStart w:id="429" w:name="_Toc1595043148"/>
      <w:bookmarkStart w:id="430" w:name="_Toc407135216"/>
      <w:bookmarkStart w:id="431" w:name="_Toc373478361"/>
      <w:bookmarkStart w:id="432" w:name="_Toc78449802"/>
      <w:bookmarkStart w:id="433" w:name="_Toc373227714"/>
      <w:r>
        <w:rPr>
          <w:color w:val="auto"/>
          <w:highlight w:val="none"/>
        </w:rPr>
        <w:t>4.1</w:t>
      </w:r>
      <w:r>
        <w:rPr>
          <w:rFonts w:hint="eastAsia" w:cs="黑体"/>
          <w:color w:val="auto"/>
          <w:highlight w:val="none"/>
        </w:rPr>
        <w:t>监理人的一般规定</w:t>
      </w:r>
      <w:bookmarkEnd w:id="426"/>
      <w:bookmarkEnd w:id="427"/>
      <w:bookmarkEnd w:id="428"/>
      <w:bookmarkEnd w:id="429"/>
      <w:bookmarkEnd w:id="430"/>
      <w:bookmarkEnd w:id="431"/>
      <w:bookmarkEnd w:id="432"/>
      <w:bookmarkEnd w:id="433"/>
    </w:p>
    <w:p w14:paraId="3B0D76E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关于监理人的监理内容：</w:t>
      </w:r>
      <w:r>
        <w:rPr>
          <w:color w:val="auto"/>
          <w:sz w:val="21"/>
          <w:szCs w:val="21"/>
          <w:highlight w:val="none"/>
          <w:u w:val="single"/>
        </w:rPr>
        <w:t>依据《建设工程监理规范》（GB/T50319-2013）及发包人与监理人签订的《建设工程委托监理合同》的约定，对本工程施工阶段实施全过程监理，包括但不限于：工程质量控制、工程进度控制、工程造价控制、安全生产管理、合同管理、信息管理及施工现场组织协调，以及配合发包人进行工程结算审核和工程资料归档等</w:t>
      </w:r>
      <w:r>
        <w:rPr>
          <w:rFonts w:hint="eastAsia"/>
          <w:color w:val="auto"/>
          <w:sz w:val="21"/>
          <w:szCs w:val="21"/>
          <w:highlight w:val="none"/>
          <w:u w:val="single"/>
        </w:rPr>
        <w:t>。</w:t>
      </w:r>
    </w:p>
    <w:p w14:paraId="40570598">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关于监理人的监理权限：</w:t>
      </w:r>
      <w:r>
        <w:rPr>
          <w:color w:val="auto"/>
          <w:sz w:val="21"/>
          <w:szCs w:val="21"/>
          <w:highlight w:val="none"/>
          <w:u w:val="single"/>
        </w:rPr>
        <w:t>监理人应依据《建设工程委托监理合同》的授权范围行使监理职权。其中，涉及签发工程开工令、复工令、停工令，审核涉及设计变更的工程签证及费用，签认工程进度款支付证书，批准工期顺延申请，审定费用索赔报告，处理逾期竣工违约金，以及变更施工合同实质性内容等事项，必须在取得发包人书面批准后方可行使。未经发包人书面批准，监理人签发的上述文件对发包人不具有约束力。</w:t>
      </w:r>
    </w:p>
    <w:p w14:paraId="56906A2D">
      <w:pPr>
        <w:spacing w:line="360" w:lineRule="auto"/>
        <w:ind w:firstLine="420" w:firstLineChars="200"/>
        <w:rPr>
          <w:b w:val="0"/>
          <w:bCs w:val="0"/>
          <w:color w:val="auto"/>
          <w:sz w:val="21"/>
          <w:szCs w:val="21"/>
          <w:highlight w:val="none"/>
          <w:u w:val="single"/>
        </w:rPr>
      </w:pPr>
      <w:r>
        <w:rPr>
          <w:rFonts w:hint="eastAsia" w:hAnsi="宋体" w:cs="宋体"/>
          <w:color w:val="auto"/>
          <w:sz w:val="21"/>
          <w:szCs w:val="21"/>
          <w:highlight w:val="none"/>
        </w:rPr>
        <w:t>关于监理人在施工现场的办公场所、生活场所的提供和费用承担的约定：</w:t>
      </w:r>
      <w:r>
        <w:rPr>
          <w:rStyle w:val="27"/>
          <w:rFonts w:ascii="Segoe UI" w:hAnsi="Segoe UI" w:eastAsia="Segoe UI" w:cs="Segoe UI"/>
          <w:b w:val="0"/>
          <w:bCs w:val="0"/>
          <w:i w:val="0"/>
          <w:iCs w:val="0"/>
          <w:caps w:val="0"/>
          <w:color w:val="0F1115"/>
          <w:spacing w:val="0"/>
          <w:sz w:val="21"/>
          <w:szCs w:val="21"/>
          <w:highlight w:val="none"/>
          <w:u w:val="single"/>
          <w:shd w:val="clear" w:fill="FFFFFF"/>
        </w:rPr>
        <w:t>监理人在施工现场所需的办公场所、生活场所由监理人自行解决，相关费用已包含在监理服务费中。发包人为监理人预留临时办公用房搭建场地，并将施工用水、用电接口接至该场地边缘，场地内临时设施搭建及水电线路敷设由监理人自行负责并承担费用。</w:t>
      </w:r>
    </w:p>
    <w:p w14:paraId="0C456A14">
      <w:pPr>
        <w:pStyle w:val="4"/>
        <w:rPr>
          <w:color w:val="auto"/>
          <w:highlight w:val="none"/>
        </w:rPr>
      </w:pPr>
      <w:bookmarkStart w:id="434" w:name="_Toc373478362"/>
      <w:bookmarkStart w:id="435" w:name="_Toc386397261"/>
      <w:bookmarkStart w:id="436" w:name="_Toc407135217"/>
      <w:bookmarkStart w:id="437" w:name="_Toc12796"/>
      <w:bookmarkStart w:id="438" w:name="_Toc373227715"/>
      <w:bookmarkStart w:id="439" w:name="_Toc1350458461"/>
      <w:bookmarkStart w:id="440" w:name="_Toc389065281"/>
      <w:bookmarkStart w:id="441" w:name="_Toc78449803"/>
      <w:r>
        <w:rPr>
          <w:color w:val="auto"/>
          <w:highlight w:val="none"/>
        </w:rPr>
        <w:t>4.2</w:t>
      </w:r>
      <w:r>
        <w:rPr>
          <w:rFonts w:hint="eastAsia" w:hAnsi="宋体" w:cs="黑体"/>
          <w:color w:val="auto"/>
          <w:highlight w:val="none"/>
        </w:rPr>
        <w:t>监理人员</w:t>
      </w:r>
      <w:bookmarkEnd w:id="434"/>
      <w:bookmarkEnd w:id="435"/>
      <w:bookmarkEnd w:id="436"/>
      <w:bookmarkEnd w:id="437"/>
      <w:bookmarkEnd w:id="438"/>
      <w:bookmarkEnd w:id="439"/>
      <w:bookmarkEnd w:id="440"/>
      <w:bookmarkEnd w:id="441"/>
    </w:p>
    <w:p w14:paraId="1FB81EA3">
      <w:pPr>
        <w:spacing w:line="360" w:lineRule="auto"/>
        <w:ind w:firstLine="420" w:firstLineChars="200"/>
        <w:rPr>
          <w:color w:val="auto"/>
          <w:sz w:val="21"/>
          <w:szCs w:val="21"/>
          <w:highlight w:val="none"/>
        </w:rPr>
      </w:pPr>
      <w:r>
        <w:rPr>
          <w:rFonts w:hint="eastAsia" w:hAnsi="宋体" w:cs="宋体"/>
          <w:color w:val="auto"/>
          <w:sz w:val="21"/>
          <w:szCs w:val="21"/>
          <w:highlight w:val="none"/>
        </w:rPr>
        <w:t>总监理工程师：</w:t>
      </w:r>
    </w:p>
    <w:p w14:paraId="5339413A">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3D7466C9">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1B82CC97">
      <w:pPr>
        <w:spacing w:line="360" w:lineRule="auto"/>
        <w:ind w:firstLine="420" w:firstLineChars="200"/>
        <w:rPr>
          <w:rFonts w:hAnsi="宋体"/>
          <w:color w:val="auto"/>
          <w:sz w:val="21"/>
          <w:szCs w:val="21"/>
          <w:highlight w:val="none"/>
        </w:rPr>
      </w:pPr>
      <w:r>
        <w:rPr>
          <w:rFonts w:hAnsi="宋体"/>
          <w:color w:val="auto"/>
          <w:sz w:val="21"/>
          <w:szCs w:val="21"/>
          <w:highlight w:val="none"/>
        </w:rPr>
        <w:t>监理工程师注册证书号：</w:t>
      </w:r>
      <w:r>
        <w:rPr>
          <w:rFonts w:hAnsi="宋体"/>
          <w:color w:val="auto"/>
          <w:sz w:val="21"/>
          <w:szCs w:val="21"/>
          <w:highlight w:val="none"/>
          <w:u w:val="single"/>
        </w:rPr>
        <w:t></w:t>
      </w:r>
      <w:r>
        <w:rPr>
          <w:rFonts w:hAnsi="宋体"/>
          <w:color w:val="auto"/>
          <w:sz w:val="21"/>
          <w:szCs w:val="21"/>
          <w:highlight w:val="none"/>
        </w:rPr>
        <w:t>；</w:t>
      </w:r>
    </w:p>
    <w:p w14:paraId="44895EA9">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5E339789">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79CE6FE5">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7A04BC9A">
      <w:pPr>
        <w:pStyle w:val="49"/>
        <w:spacing w:line="360" w:lineRule="auto"/>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2" w:name="_Toc407135218"/>
      <w:bookmarkStart w:id="443" w:name="_Toc389065282"/>
      <w:bookmarkStart w:id="444" w:name="_Toc373227716"/>
      <w:bookmarkStart w:id="445" w:name="_Toc539923186"/>
      <w:bookmarkStart w:id="446" w:name="_Toc373478363"/>
      <w:bookmarkStart w:id="447" w:name="_Toc78449804"/>
      <w:bookmarkStart w:id="448" w:name="_Toc941562442"/>
      <w:r>
        <w:rPr>
          <w:rFonts w:ascii="Times New Roman" w:hAnsi="宋体"/>
          <w:color w:val="auto"/>
          <w:sz w:val="21"/>
          <w:szCs w:val="21"/>
          <w:highlight w:val="none"/>
        </w:rPr>
        <w:t>关于监理人的其他约定：</w:t>
      </w:r>
      <w:r>
        <w:rPr>
          <w:rFonts w:hint="eastAsia" w:ascii="Times New Roman" w:hAnsi="宋体" w:eastAsia="宋体" w:cs="Times New Roman"/>
          <w:b w:val="0"/>
          <w:bCs w:val="0"/>
          <w:color w:val="auto"/>
          <w:kern w:val="2"/>
          <w:sz w:val="21"/>
          <w:szCs w:val="21"/>
          <w:highlight w:val="none"/>
          <w:u w:val="single"/>
          <w:lang w:val="en-US" w:eastAsia="zh-CN" w:bidi="ar-SA"/>
        </w:rPr>
        <w:t>（1）发包人委托的职权：依据《建设工程监理规范》（GB/T50319-2013）及发包人与监理人签订的《建设工程委托监理合同》的约定，总监理工程师代表监理人全面履行施工阶段监理职责，包括但不限于：①工程质量控制：审查施工组织设计及施工技术方案，审核进场成品、半成品及原材料的质量证明文件，对进场材料进行见证取样或平行检验，组织隐蔽工程、检验批、分部分项工程的验收；②工程造价控制：审核承包人已完成工程量并签署计量支付凭证，审核工程变更的工程量及费用；③工程进度控制：审核施工进度计划并监督执行，审核承包人的工程延期申请并提出审查意见；④安全生产管理的监理工作：按照《建设工程安全生产管理条例》的规定履行安全监理职责，对危险性较大的分部分项工程实施专项巡视检查；⑤合同管理及信息管理：处理施工合同履行过程中的一般性技术问题，整理监理资料并配合发包人进行工程结算审核及档案归档；⑥施工现场组织协调：协调施工过程中发包人与承包人之间、各承包人之间的关系。</w:t>
      </w:r>
    </w:p>
    <w:p w14:paraId="2741A34C">
      <w:pPr>
        <w:pStyle w:val="4"/>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9" w:name="_Toc1265"/>
      <w:r>
        <w:rPr>
          <w:rFonts w:hint="eastAsia" w:ascii="Times New Roman" w:hAnsi="宋体" w:eastAsia="宋体" w:cs="Times New Roman"/>
          <w:b w:val="0"/>
          <w:bCs w:val="0"/>
          <w:color w:val="auto"/>
          <w:kern w:val="2"/>
          <w:sz w:val="21"/>
          <w:szCs w:val="21"/>
          <w:highlight w:val="none"/>
          <w:u w:val="single"/>
          <w:lang w:val="en-US" w:eastAsia="zh-CN" w:bidi="ar-SA"/>
        </w:rPr>
        <w:t>（2）需要取得发包人批准才能行使的职权：除通用合同条款已有约定外，总监理工程师在行使以下职权时，必须事先取得发包人的书面批准：①签发工程开工令、复工令、停工令；②审核签发涉及设计变更的工程签证及费用变更；③签认工程预付款及进度款支付证书；④批准承包人的工期顺延申请；⑤审定承包人的费用索赔报告；⑥处理承包人逾期竣工违约金；⑦变更施工合同的任何实质性内容。</w:t>
      </w:r>
      <w:bookmarkEnd w:id="449"/>
    </w:p>
    <w:p w14:paraId="1E22EC29">
      <w:pPr>
        <w:pStyle w:val="4"/>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50" w:name="_Toc30310"/>
      <w:r>
        <w:rPr>
          <w:rFonts w:hint="eastAsia" w:ascii="Times New Roman" w:hAnsi="宋体" w:eastAsia="宋体" w:cs="Times New Roman"/>
          <w:b w:val="0"/>
          <w:bCs w:val="0"/>
          <w:color w:val="auto"/>
          <w:kern w:val="2"/>
          <w:sz w:val="21"/>
          <w:szCs w:val="21"/>
          <w:highlight w:val="none"/>
          <w:u w:val="single"/>
          <w:lang w:val="en-US" w:eastAsia="zh-CN" w:bidi="ar-SA"/>
        </w:rPr>
        <w:t>未经发包人书面批准，监理人签发的上述文件对发包人不具有约束力。发包人应在收到监理人书面请示后7日内予以书面回复，逾期未回复视为同意。</w:t>
      </w:r>
      <w:bookmarkEnd w:id="450"/>
    </w:p>
    <w:p w14:paraId="779FE297">
      <w:pPr>
        <w:pStyle w:val="4"/>
        <w:rPr>
          <w:color w:val="auto"/>
          <w:highlight w:val="none"/>
        </w:rPr>
      </w:pPr>
      <w:bookmarkStart w:id="451" w:name="_Toc29114"/>
      <w:r>
        <w:rPr>
          <w:color w:val="auto"/>
          <w:highlight w:val="none"/>
        </w:rPr>
        <w:t>4.4</w:t>
      </w:r>
      <w:r>
        <w:rPr>
          <w:rFonts w:hint="eastAsia" w:hAnsi="宋体" w:cs="黑体"/>
          <w:color w:val="auto"/>
          <w:highlight w:val="none"/>
        </w:rPr>
        <w:t>商定或确定</w:t>
      </w:r>
      <w:bookmarkEnd w:id="442"/>
      <w:bookmarkEnd w:id="443"/>
      <w:bookmarkEnd w:id="444"/>
      <w:bookmarkEnd w:id="445"/>
      <w:bookmarkEnd w:id="446"/>
      <w:bookmarkEnd w:id="447"/>
      <w:bookmarkEnd w:id="448"/>
      <w:bookmarkEnd w:id="451"/>
    </w:p>
    <w:p w14:paraId="1F4DEE7E">
      <w:pPr>
        <w:spacing w:line="360" w:lineRule="auto"/>
        <w:ind w:firstLine="420" w:firstLineChars="200"/>
        <w:rPr>
          <w:color w:val="auto"/>
          <w:sz w:val="21"/>
          <w:szCs w:val="21"/>
          <w:highlight w:val="none"/>
        </w:rPr>
      </w:pPr>
      <w:bookmarkStart w:id="452" w:name="_Toc267251418"/>
      <w:r>
        <w:rPr>
          <w:rFonts w:hint="eastAsia" w:hAnsi="宋体" w:cs="宋体"/>
          <w:color w:val="auto"/>
          <w:sz w:val="21"/>
          <w:szCs w:val="21"/>
          <w:highlight w:val="none"/>
        </w:rPr>
        <w:t>在发包人和承包人不能通过协商达成一致意见时，发包人授权监理人对以下事项进行确定：</w:t>
      </w:r>
    </w:p>
    <w:p w14:paraId="470C4FD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eastAsia" w:ascii="Times New Roman" w:hAnsi="宋体" w:eastAsia="宋体" w:cs="Times New Roman"/>
          <w:b w:val="0"/>
          <w:bCs w:val="0"/>
          <w:color w:val="auto"/>
          <w:kern w:val="2"/>
          <w:sz w:val="21"/>
          <w:szCs w:val="21"/>
          <w:highlight w:val="none"/>
          <w:u w:val="single"/>
          <w:lang w:val="en-US" w:eastAsia="zh-CN" w:bidi="ar-SA"/>
        </w:rPr>
      </w:pPr>
      <w:bookmarkStart w:id="453" w:name="_Toc407135219"/>
      <w:bookmarkStart w:id="454" w:name="_Toc389065283"/>
      <w:bookmarkStart w:id="455" w:name="_Toc1603077308"/>
      <w:bookmarkStart w:id="456" w:name="_Toc78449805"/>
      <w:bookmarkStart w:id="457" w:name="_Toc373478364"/>
      <w:bookmarkStart w:id="458" w:name="_Toc1687297496"/>
      <w:bookmarkStart w:id="459" w:name="_Toc373227717"/>
      <w:bookmarkStart w:id="460" w:name="_Toc351203637"/>
      <w:r>
        <w:rPr>
          <w:rFonts w:hint="default" w:ascii="Times New Roman" w:hAnsi="宋体" w:eastAsia="宋体" w:cs="Times New Roman"/>
          <w:b w:val="0"/>
          <w:bCs w:val="0"/>
          <w:color w:val="auto"/>
          <w:kern w:val="2"/>
          <w:sz w:val="21"/>
          <w:szCs w:val="21"/>
          <w:highlight w:val="none"/>
          <w:u w:val="single"/>
          <w:lang w:val="en-US" w:eastAsia="zh-CN" w:bidi="ar-SA"/>
        </w:rPr>
        <w:t>（1）合同履行过程中出现的施工工艺、施工方案等技术性问题，但涉及工程变更及费用调整的除外；</w:t>
      </w:r>
    </w:p>
    <w:p w14:paraId="1395047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（2）工程施工过程中需要立即处理的现场质量缺陷或安全隐患的整改方案和时限，但涉及费用责任划分及追加合同价款的除外；</w:t>
      </w:r>
    </w:p>
    <w:p w14:paraId="489038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（3）同一施工现场内多个承包人之间的施工界面划分及交叉作业协调，但涉及合同范围变更的除外。</w:t>
      </w:r>
    </w:p>
    <w:p w14:paraId="496C2C3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监理人依据本款对上述事项作出的确定，应以书面形式送达发包人和承包人，双方均无异议的应遵照执行。发包人或承包人对监理人的确定有异议的，可在收到书面确定后7日内向对方提出书面异议，并按照第20条〔争议解决〕的约定处理。异议提出后监理人的确定继续有效并应予执行，除非按照第20条约定被变更或被撤销。</w:t>
      </w:r>
    </w:p>
    <w:p w14:paraId="5195FFC1">
      <w:pPr>
        <w:pStyle w:val="3"/>
        <w:rPr>
          <w:color w:val="auto"/>
          <w:highlight w:val="none"/>
        </w:rPr>
      </w:pPr>
      <w:bookmarkStart w:id="461" w:name="_Toc9362"/>
      <w:r>
        <w:rPr>
          <w:color w:val="auto"/>
          <w:highlight w:val="none"/>
        </w:rPr>
        <w:t>5</w:t>
      </w:r>
      <w:bookmarkEnd w:id="452"/>
      <w:bookmarkStart w:id="462" w:name="_Toc297120463"/>
      <w:bookmarkStart w:id="463" w:name="_Toc292559872"/>
      <w:bookmarkStart w:id="464" w:name="_Toc296944502"/>
      <w:bookmarkStart w:id="465" w:name="_Toc296503163"/>
      <w:bookmarkStart w:id="466" w:name="_Toc296890991"/>
      <w:bookmarkStart w:id="467" w:name="_Toc297048349"/>
      <w:bookmarkStart w:id="468" w:name="_Toc296347162"/>
      <w:bookmarkStart w:id="469" w:name="_Toc296891203"/>
      <w:bookmarkStart w:id="470" w:name="_Toc292559367"/>
      <w:bookmarkStart w:id="471" w:name="_Toc296346664"/>
      <w:r>
        <w:rPr>
          <w:color w:val="auto"/>
          <w:highlight w:val="none"/>
        </w:rPr>
        <w:t>.</w:t>
      </w:r>
      <w:r>
        <w:rPr>
          <w:rFonts w:hint="eastAsia" w:hAnsi="宋体" w:cs="黑体"/>
          <w:color w:val="auto"/>
          <w:highlight w:val="none"/>
        </w:rPr>
        <w:t>工程质量</w:t>
      </w:r>
      <w:bookmarkEnd w:id="453"/>
      <w:bookmarkEnd w:id="454"/>
      <w:bookmarkEnd w:id="455"/>
      <w:bookmarkEnd w:id="456"/>
      <w:bookmarkEnd w:id="457"/>
      <w:bookmarkEnd w:id="458"/>
      <w:bookmarkEnd w:id="459"/>
      <w:bookmarkEnd w:id="460"/>
      <w:bookmarkEnd w:id="461"/>
    </w:p>
    <w:p w14:paraId="7A9BAF72">
      <w:pPr>
        <w:pStyle w:val="4"/>
        <w:rPr>
          <w:color w:val="auto"/>
          <w:highlight w:val="none"/>
        </w:rPr>
      </w:pPr>
      <w:bookmarkStart w:id="472" w:name="_Toc389065284"/>
      <w:bookmarkStart w:id="473" w:name="_Toc1952042622"/>
      <w:bookmarkStart w:id="474" w:name="_Toc1835421345"/>
      <w:bookmarkStart w:id="475" w:name="_Toc8639"/>
      <w:bookmarkStart w:id="476" w:name="_Toc407135220"/>
      <w:bookmarkStart w:id="477" w:name="_Toc373227718"/>
      <w:bookmarkStart w:id="478" w:name="_Toc78449806"/>
      <w:bookmarkStart w:id="479" w:name="_Toc373478365"/>
      <w:r>
        <w:rPr>
          <w:color w:val="auto"/>
          <w:highlight w:val="none"/>
        </w:rPr>
        <w:t>5.1</w:t>
      </w:r>
      <w:r>
        <w:rPr>
          <w:rFonts w:hint="eastAsia" w:hAnsi="宋体" w:cs="黑体"/>
          <w:color w:val="auto"/>
          <w:highlight w:val="none"/>
        </w:rPr>
        <w:t>质量要求</w:t>
      </w:r>
      <w:bookmarkEnd w:id="472"/>
      <w:bookmarkEnd w:id="473"/>
      <w:bookmarkEnd w:id="474"/>
      <w:bookmarkEnd w:id="475"/>
      <w:bookmarkEnd w:id="476"/>
      <w:bookmarkEnd w:id="477"/>
      <w:bookmarkEnd w:id="478"/>
      <w:bookmarkEnd w:id="479"/>
    </w:p>
    <w:p w14:paraId="674E85FE">
      <w:pPr>
        <w:spacing w:line="360" w:lineRule="auto"/>
        <w:ind w:firstLine="420" w:firstLineChars="200"/>
        <w:jc w:val="left"/>
        <w:rPr>
          <w:color w:val="auto"/>
          <w:sz w:val="21"/>
          <w:szCs w:val="21"/>
          <w:highlight w:val="none"/>
          <w:u w:val="single"/>
        </w:rPr>
      </w:pPr>
      <w:r>
        <w:rPr>
          <w:color w:val="auto"/>
          <w:sz w:val="21"/>
          <w:szCs w:val="21"/>
          <w:highlight w:val="none"/>
        </w:rPr>
        <w:t>5</w:t>
      </w:r>
      <w:bookmarkStart w:id="480" w:name="_Toc300934949"/>
      <w:bookmarkStart w:id="481" w:name="_Toc297123496"/>
      <w:bookmarkStart w:id="482" w:name="_Toc304295527"/>
      <w:bookmarkStart w:id="483" w:name="_Toc312677997"/>
      <w:bookmarkStart w:id="484" w:name="_Toc318581164"/>
      <w:bookmarkStart w:id="485" w:name="_Toc303539106"/>
      <w:bookmarkStart w:id="486" w:name="_Toc297216155"/>
      <w:r>
        <w:rPr>
          <w:color w:val="auto"/>
          <w:sz w:val="21"/>
          <w:szCs w:val="21"/>
          <w:highlight w:val="none"/>
        </w:rPr>
        <w:t>.1.1</w:t>
      </w:r>
      <w:r>
        <w:rPr>
          <w:rFonts w:hint="eastAsia" w:hAnsi="宋体" w:cs="宋体"/>
          <w:color w:val="auto"/>
          <w:sz w:val="21"/>
          <w:szCs w:val="21"/>
          <w:highlight w:val="none"/>
        </w:rPr>
        <w:t>特殊质量标准和要求：</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4888A70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关于工程奖项的约定：</w:t>
      </w:r>
      <w:r>
        <w:rPr>
          <w:rFonts w:hint="eastAsia"/>
          <w:color w:val="auto"/>
          <w:sz w:val="21"/>
          <w:szCs w:val="21"/>
          <w:highlight w:val="none"/>
        </w:rPr>
        <w:t>如果</w:t>
      </w:r>
      <w:r>
        <w:rPr>
          <w:color w:val="auto"/>
          <w:sz w:val="21"/>
          <w:szCs w:val="21"/>
          <w:highlight w:val="none"/>
        </w:rPr>
        <w:t>工程获得</w:t>
      </w:r>
      <w:r>
        <w:rPr>
          <w:rFonts w:hint="eastAsia"/>
          <w:color w:val="auto"/>
          <w:sz w:val="21"/>
          <w:szCs w:val="21"/>
          <w:highlight w:val="none"/>
          <w:u w:val="single"/>
          <w:lang w:val="en-US" w:eastAsia="zh-CN"/>
        </w:rPr>
        <w:t>/</w:t>
      </w:r>
      <w:r>
        <w:rPr>
          <w:rFonts w:hint="eastAsia"/>
          <w:color w:val="auto"/>
          <w:sz w:val="21"/>
          <w:szCs w:val="21"/>
          <w:highlight w:val="none"/>
          <w:u w:val="single"/>
        </w:rPr>
        <w:t>（奖项名称）</w:t>
      </w:r>
      <w:r>
        <w:rPr>
          <w:rFonts w:hint="eastAsia"/>
          <w:color w:val="auto"/>
          <w:sz w:val="21"/>
          <w:szCs w:val="21"/>
          <w:highlight w:val="none"/>
        </w:rPr>
        <w:t>，</w:t>
      </w:r>
      <w:r>
        <w:rPr>
          <w:color w:val="auto"/>
          <w:sz w:val="21"/>
          <w:szCs w:val="21"/>
          <w:highlight w:val="none"/>
        </w:rPr>
        <w:t>给予</w:t>
      </w:r>
      <w:r>
        <w:rPr>
          <w:rFonts w:hint="eastAsia"/>
          <w:color w:val="auto"/>
          <w:sz w:val="21"/>
          <w:szCs w:val="21"/>
          <w:highlight w:val="none"/>
        </w:rPr>
        <w:t>承包人</w:t>
      </w:r>
      <w:r>
        <w:rPr>
          <w:color w:val="auto"/>
          <w:sz w:val="21"/>
          <w:szCs w:val="21"/>
          <w:highlight w:val="none"/>
        </w:rPr>
        <w:t>合同价</w:t>
      </w:r>
      <w:r>
        <w:rPr>
          <w:rFonts w:hint="eastAsia"/>
          <w:color w:val="auto"/>
          <w:sz w:val="21"/>
          <w:szCs w:val="21"/>
          <w:highlight w:val="none"/>
          <w:u w:val="single"/>
          <w:lang w:val="en-US" w:eastAsia="zh-CN"/>
        </w:rPr>
        <w:t>/</w:t>
      </w:r>
      <w:r>
        <w:rPr>
          <w:color w:val="auto"/>
          <w:sz w:val="21"/>
          <w:szCs w:val="21"/>
          <w:highlight w:val="none"/>
        </w:rPr>
        <w:t>%的奖励</w:t>
      </w:r>
      <w:r>
        <w:rPr>
          <w:rFonts w:hint="eastAsia" w:hAnsi="宋体" w:cs="宋体"/>
          <w:color w:val="auto"/>
          <w:sz w:val="21"/>
          <w:szCs w:val="21"/>
          <w:highlight w:val="none"/>
        </w:rPr>
        <w:t>。（建设单位创建优质工程的，鼓励在招标控制价和预算中按我区工程建设定额规定计列工程优质费，并在招标文件中明确工程优质费不可竞争。）</w:t>
      </w:r>
    </w:p>
    <w:p w14:paraId="17ADAD4C">
      <w:pPr>
        <w:spacing w:line="360" w:lineRule="auto"/>
        <w:ind w:firstLine="420" w:firstLineChars="200"/>
        <w:jc w:val="left"/>
        <w:rPr>
          <w:color w:val="auto"/>
          <w:sz w:val="21"/>
          <w:szCs w:val="21"/>
          <w:highlight w:val="none"/>
        </w:rPr>
      </w:pPr>
      <w:r>
        <w:rPr>
          <w:color w:val="auto"/>
          <w:sz w:val="21"/>
          <w:szCs w:val="21"/>
          <w:highlight w:val="none"/>
        </w:rPr>
        <w:t>5.3</w:t>
      </w:r>
      <w:r>
        <w:rPr>
          <w:rFonts w:hint="eastAsia" w:hAnsi="宋体" w:cs="宋体"/>
          <w:color w:val="auto"/>
          <w:sz w:val="21"/>
          <w:szCs w:val="21"/>
          <w:highlight w:val="none"/>
        </w:rPr>
        <w:t>隐蔽工程检查</w:t>
      </w:r>
    </w:p>
    <w:p w14:paraId="53D11895">
      <w:pPr>
        <w:spacing w:line="360" w:lineRule="auto"/>
        <w:ind w:firstLine="420" w:firstLineChars="200"/>
        <w:jc w:val="left"/>
        <w:rPr>
          <w:color w:val="auto"/>
          <w:sz w:val="21"/>
          <w:szCs w:val="21"/>
          <w:highlight w:val="none"/>
          <w:u w:val="single"/>
        </w:rPr>
      </w:pPr>
      <w:r>
        <w:rPr>
          <w:color w:val="auto"/>
          <w:sz w:val="21"/>
          <w:szCs w:val="21"/>
          <w:highlight w:val="none"/>
        </w:rPr>
        <w:t>5.3.2</w:t>
      </w:r>
      <w:r>
        <w:rPr>
          <w:rFonts w:hint="eastAsia" w:hAnsi="宋体" w:cs="宋体"/>
          <w:color w:val="auto"/>
          <w:sz w:val="21"/>
          <w:szCs w:val="21"/>
          <w:highlight w:val="none"/>
        </w:rPr>
        <w:t>承包人提前通知监理人隐蔽工程检查的期限的约定：工程隐蔽或中间验收前</w:t>
      </w:r>
      <w:r>
        <w:rPr>
          <w:color w:val="auto"/>
          <w:sz w:val="21"/>
          <w:szCs w:val="21"/>
          <w:highlight w:val="none"/>
        </w:rPr>
        <w:t>12</w:t>
      </w:r>
      <w:r>
        <w:rPr>
          <w:rFonts w:hint="eastAsia" w:hAnsi="宋体" w:cs="宋体"/>
          <w:color w:val="auto"/>
          <w:sz w:val="21"/>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0DEC40BA">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监理人不能按时进行检查时，应提前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2BE2EE1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p>
    <w:p w14:paraId="64792F11">
      <w:pPr>
        <w:pStyle w:val="3"/>
        <w:rPr>
          <w:color w:val="auto"/>
          <w:sz w:val="21"/>
          <w:szCs w:val="21"/>
          <w:highlight w:val="none"/>
        </w:rPr>
      </w:pPr>
      <w:bookmarkStart w:id="487" w:name="_Toc389065285"/>
      <w:bookmarkStart w:id="488" w:name="_Toc373478366"/>
      <w:bookmarkStart w:id="489" w:name="_Toc7302"/>
      <w:bookmarkStart w:id="490" w:name="_Toc78449807"/>
      <w:bookmarkStart w:id="491" w:name="_Toc1259019817"/>
      <w:bookmarkStart w:id="492" w:name="_Toc351203638"/>
      <w:bookmarkStart w:id="493" w:name="_Toc703841976"/>
      <w:bookmarkStart w:id="494" w:name="_Toc407135221"/>
      <w:bookmarkStart w:id="495" w:name="_Toc373227719"/>
      <w:r>
        <w:rPr>
          <w:color w:val="auto"/>
          <w:sz w:val="21"/>
          <w:szCs w:val="21"/>
          <w:highlight w:val="none"/>
        </w:rPr>
        <w:t>6.</w:t>
      </w:r>
      <w:r>
        <w:rPr>
          <w:rFonts w:hint="eastAsia" w:cs="黑体"/>
          <w:color w:val="auto"/>
          <w:sz w:val="21"/>
          <w:szCs w:val="21"/>
          <w:highlight w:val="none"/>
        </w:rPr>
        <w:t>安全文明施工与环境保护</w:t>
      </w:r>
      <w:bookmarkEnd w:id="487"/>
      <w:bookmarkEnd w:id="488"/>
      <w:bookmarkEnd w:id="489"/>
      <w:bookmarkEnd w:id="490"/>
      <w:bookmarkEnd w:id="491"/>
      <w:bookmarkEnd w:id="492"/>
      <w:bookmarkEnd w:id="493"/>
      <w:bookmarkEnd w:id="494"/>
      <w:bookmarkEnd w:id="495"/>
    </w:p>
    <w:p w14:paraId="6430C1FA">
      <w:pPr>
        <w:pStyle w:val="4"/>
        <w:rPr>
          <w:color w:val="auto"/>
          <w:sz w:val="21"/>
          <w:szCs w:val="21"/>
          <w:highlight w:val="none"/>
        </w:rPr>
      </w:pPr>
      <w:bookmarkStart w:id="496" w:name="_Toc78449808"/>
      <w:bookmarkStart w:id="497" w:name="_Toc389065286"/>
      <w:bookmarkStart w:id="498" w:name="_Toc373478367"/>
      <w:bookmarkStart w:id="499" w:name="_Toc407135222"/>
      <w:bookmarkStart w:id="500" w:name="_Toc31481"/>
      <w:bookmarkStart w:id="501" w:name="_Toc180514231"/>
      <w:bookmarkStart w:id="502" w:name="_Toc1296292062"/>
      <w:bookmarkStart w:id="503" w:name="_Toc373227720"/>
      <w:r>
        <w:rPr>
          <w:color w:val="auto"/>
          <w:sz w:val="21"/>
          <w:szCs w:val="21"/>
          <w:highlight w:val="none"/>
        </w:rPr>
        <w:t>6.1</w:t>
      </w:r>
      <w:r>
        <w:rPr>
          <w:rFonts w:hint="eastAsia" w:cs="黑体"/>
          <w:color w:val="auto"/>
          <w:sz w:val="21"/>
          <w:szCs w:val="21"/>
          <w:highlight w:val="none"/>
        </w:rPr>
        <w:t>安全文明施工</w:t>
      </w:r>
      <w:bookmarkEnd w:id="496"/>
      <w:bookmarkEnd w:id="497"/>
      <w:bookmarkEnd w:id="498"/>
      <w:bookmarkEnd w:id="499"/>
      <w:bookmarkEnd w:id="500"/>
      <w:bookmarkEnd w:id="501"/>
      <w:bookmarkEnd w:id="502"/>
      <w:bookmarkEnd w:id="503"/>
    </w:p>
    <w:p w14:paraId="6AE72BB9">
      <w:pPr>
        <w:spacing w:line="360" w:lineRule="auto"/>
        <w:ind w:firstLine="420" w:firstLineChars="200"/>
        <w:jc w:val="left"/>
        <w:rPr>
          <w:color w:val="auto"/>
          <w:sz w:val="21"/>
          <w:szCs w:val="21"/>
          <w:highlight w:val="none"/>
          <w:u w:val="single"/>
        </w:rPr>
      </w:pPr>
      <w:r>
        <w:rPr>
          <w:color w:val="auto"/>
          <w:sz w:val="21"/>
          <w:szCs w:val="21"/>
          <w:highlight w:val="none"/>
        </w:rPr>
        <w:t>6.1.1</w:t>
      </w:r>
      <w:r>
        <w:rPr>
          <w:rFonts w:hint="eastAsia" w:hAnsi="宋体" w:cs="宋体"/>
          <w:color w:val="auto"/>
          <w:sz w:val="21"/>
          <w:szCs w:val="21"/>
          <w:highlight w:val="none"/>
        </w:rPr>
        <w:t>项目安全生产的达标目标及相应事项的约定：</w:t>
      </w:r>
      <w:r>
        <w:rPr>
          <w:color w:val="auto"/>
          <w:sz w:val="21"/>
          <w:szCs w:val="21"/>
          <w:highlight w:val="none"/>
          <w:u w:val="single"/>
        </w:rPr>
        <w:t>本工程安全生产管理目标为：实现“零死亡、零重大伤害事故”的安全生产管理目标，争创崇左市建设工程施工安全文明标准化工地。承包人应严格按照《建筑施工安全检查标准》（JGJ59-2011）和《广西壮族自治区房屋建筑和市政基础设施工程安全生产动态扣分管理办法》的规定，建立健全安全生产责任制度和安全教育培训制度，制定安全生产规章制度和操作规程，保证安全生产条件所需资金的投入。对本工程涉及的危险性较大的分部分项工程（详见招标文件第七章），承包人应在施工前单独编制专项施工方案，并按照《危险性较大的分部分项工程安全管理规定》（住建部令第37号）和《住房和城乡建设部办公厅关于实施〈危险性较大的分部分项工程安全管理规定〉有关问题的通知》（建办质〔2018〕31号）的规定组织专家论证。安全生产专项方案未经批准不得施工。</w:t>
      </w:r>
    </w:p>
    <w:p w14:paraId="0319A141">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关于安全文明施工奖项的约定：</w:t>
      </w:r>
      <w:r>
        <w:rPr>
          <w:color w:val="auto"/>
          <w:sz w:val="21"/>
          <w:szCs w:val="21"/>
          <w:highlight w:val="none"/>
          <w:u w:val="single"/>
        </w:rPr>
        <w:t>本工程不设置安全文明施工创优奖励。</w:t>
      </w:r>
    </w:p>
    <w:p w14:paraId="4F7EB6F3">
      <w:pPr>
        <w:spacing w:line="360" w:lineRule="auto"/>
        <w:ind w:firstLine="420" w:firstLineChars="200"/>
        <w:jc w:val="left"/>
        <w:rPr>
          <w:color w:val="auto"/>
          <w:sz w:val="21"/>
          <w:szCs w:val="21"/>
          <w:highlight w:val="none"/>
          <w:u w:val="single"/>
        </w:rPr>
      </w:pPr>
      <w:r>
        <w:rPr>
          <w:color w:val="auto"/>
          <w:sz w:val="21"/>
          <w:szCs w:val="21"/>
          <w:highlight w:val="none"/>
        </w:rPr>
        <w:t>6.1.4</w:t>
      </w:r>
      <w:r>
        <w:rPr>
          <w:rFonts w:hint="eastAsia" w:hAnsi="宋体" w:cs="宋体"/>
          <w:color w:val="auto"/>
          <w:sz w:val="21"/>
          <w:szCs w:val="21"/>
          <w:highlight w:val="none"/>
        </w:rPr>
        <w:t>关于治安保卫的特别约定：</w:t>
      </w:r>
      <w:r>
        <w:rPr>
          <w:rFonts w:hint="eastAsia"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B3279AD">
      <w:pPr>
        <w:spacing w:line="360" w:lineRule="auto"/>
        <w:ind w:firstLine="420" w:firstLineChars="200"/>
        <w:jc w:val="left"/>
        <w:rPr>
          <w:rStyle w:val="27"/>
          <w:rFonts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color w:val="auto"/>
          <w:sz w:val="21"/>
          <w:szCs w:val="21"/>
          <w:highlight w:val="none"/>
        </w:rPr>
        <w:t>关于编制施工场地治安管理计划的约定：</w:t>
      </w:r>
      <w:r>
        <w:rPr>
          <w:rStyle w:val="27"/>
          <w:rFonts w:ascii="Segoe UI" w:hAnsi="Segoe UI" w:eastAsia="Segoe UI" w:cs="Segoe UI"/>
          <w:b w:val="0"/>
          <w:bCs w:val="0"/>
          <w:i w:val="0"/>
          <w:iCs w:val="0"/>
          <w:caps w:val="0"/>
          <w:color w:val="0F1115"/>
          <w:spacing w:val="0"/>
          <w:sz w:val="21"/>
          <w:szCs w:val="21"/>
          <w:highlight w:val="none"/>
          <w:u w:val="single"/>
          <w:shd w:val="clear" w:fill="FFFFFF"/>
        </w:rPr>
        <w:t>承包人应在工程开工前7日内编制施工场地治安管理计划，报总监理工程师和发包人代表审核，并报当地公安机关备案。治安管理计划应包括施工现场治安保卫制度、门卫值守制度、治安突发事件应急预案等内容。承包人应在施工现场设置安全警示标志，配备灭火器材，并安排专人对林地防火进行巡查。</w:t>
      </w:r>
    </w:p>
    <w:p w14:paraId="52C10AAE">
      <w:pPr>
        <w:spacing w:line="360" w:lineRule="auto"/>
        <w:ind w:firstLine="400" w:firstLineChars="200"/>
        <w:jc w:val="left"/>
        <w:rPr>
          <w:color w:val="auto"/>
          <w:highlight w:val="none"/>
        </w:rPr>
      </w:pPr>
      <w:r>
        <w:rPr>
          <w:color w:val="auto"/>
          <w:highlight w:val="none"/>
        </w:rPr>
        <w:t>6.1.5</w:t>
      </w:r>
      <w:r>
        <w:rPr>
          <w:rFonts w:hint="eastAsia" w:hAnsi="宋体" w:cs="宋体"/>
          <w:color w:val="auto"/>
          <w:highlight w:val="none"/>
        </w:rPr>
        <w:t>文明施工</w:t>
      </w:r>
    </w:p>
    <w:p w14:paraId="6B8B38AF">
      <w:pPr>
        <w:pStyle w:val="20"/>
        <w:keepNext w:val="0"/>
        <w:keepLines w:val="0"/>
        <w:widowControl/>
        <w:suppressLineNumbers w:val="0"/>
        <w:shd w:val="clear" w:fill="FFFFFF"/>
        <w:spacing w:before="240" w:beforeAutospacing="0" w:after="240" w:afterAutospacing="0"/>
        <w:ind w:left="0" w:right="0" w:firstLine="0"/>
        <w:rPr>
          <w:rFonts w:hint="eastAsia" w:hAnsi="宋体" w:cs="宋体"/>
          <w:color w:val="auto"/>
          <w:sz w:val="21"/>
          <w:szCs w:val="21"/>
          <w:highlight w:val="none"/>
        </w:rPr>
      </w:pPr>
      <w:r>
        <w:rPr>
          <w:rFonts w:hint="eastAsia" w:hAnsi="宋体" w:cs="宋体"/>
          <w:color w:val="auto"/>
          <w:sz w:val="21"/>
          <w:szCs w:val="21"/>
          <w:highlight w:val="none"/>
        </w:rPr>
        <w:t>合同当事人对文明施工的要求：</w:t>
      </w:r>
    </w:p>
    <w:p w14:paraId="087CB7F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1.本工程文明施工管理目标为：达到《建筑施工安全生产检查标准》（JGJ59-2011）的合格标准，并符合《广西壮族自治区建筑工程文明施工导则》和《崇左市建设工程文明施工管理规定》的要求。</w:t>
      </w:r>
    </w:p>
    <w:p w14:paraId="03AD37D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2.承包人应将安全文明施工费专款专用，按照《广西壮族自治区建设工程安全文明施工费使用管理细则》（桂建质〔2015〕16号）的规定，建立安全文明施工费使用台账，接受发包人和监理人的监督核查。</w:t>
      </w:r>
    </w:p>
    <w:p w14:paraId="67CB956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3.施工现场须按照桂建质〔2015〕16号文附件一的规定，全面落实现场围挡、七牌二图、场容场貌、材料堆放、现场防火、垃圾清运等各项文明施工措施。</w:t>
      </w:r>
    </w:p>
    <w:p w14:paraId="54E8961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4.因本工程除满足上述一般要求外，还须执行以下特殊要求：</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承包人须按照崇左市"蓝天保卫战"和大气污染防治攻坚行动的要求，落实各项扬尘防治措施。（3）施工排污控制：施工现场须设置沉淀池，施工废水须经沉淀处理后方可排放；生活区须设置化粪池，生活污水须按规定处理或由环卫部门定期清运，严禁直接排入周边农田、甘蔗地及灌溉水体。（4）施工人员管理：施工人员须佩戴统一工作牌，在划定的施工区域内活动，未经允许不得进入村民甘蔗地、农田等非施工区域。严禁施工人员在施工现场饮酒、赌博、打架斗殴。施工人员如发现患有传染性疾病，须立即撤离施工现场。</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体。（</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5</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人员管理：施工人员须佩戴统一工作牌，在划定的施工区域内活动，未经允许不得进入居民楼栋、私家花园等非施工区域。严禁施工人员在施工现场饮酒、赌博、打架斗殴。施工人员如发现患有传染性疾病，须立即撤离施工现场。</w:t>
      </w:r>
      <w:r>
        <w:rPr>
          <w:rStyle w:val="27"/>
          <w:rFonts w:hint="eastAsia" w:ascii="Segoe UI" w:hAnsi="Segoe UI" w:eastAsia="Segoe UI" w:cs="Segoe UI"/>
          <w:b w:val="0"/>
          <w:bCs w:val="0"/>
          <w:i w:val="0"/>
          <w:iCs w:val="0"/>
          <w:caps w:val="0"/>
          <w:color w:val="0F1115"/>
          <w:spacing w:val="0"/>
          <w:sz w:val="21"/>
          <w:szCs w:val="21"/>
          <w:highlight w:val="none"/>
          <w:u w:val="single"/>
          <w:shd w:val="clear" w:fill="FFFFFF"/>
          <w:lang w:eastAsia="zh-CN"/>
        </w:rPr>
        <w:t>（</w:t>
      </w:r>
      <w:r>
        <w:rPr>
          <w:rStyle w:val="27"/>
          <w:rFonts w:hint="eastAsia" w:ascii="Segoe UI" w:hAnsi="Segoe UI" w:eastAsia="Segoe UI" w:cs="Segoe UI"/>
          <w:b w:val="0"/>
          <w:bCs w:val="0"/>
          <w:i w:val="0"/>
          <w:iCs w:val="0"/>
          <w:caps w:val="0"/>
          <w:color w:val="0F1115"/>
          <w:spacing w:val="0"/>
          <w:sz w:val="21"/>
          <w:szCs w:val="21"/>
          <w:highlight w:val="none"/>
          <w:u w:val="single"/>
          <w:shd w:val="clear" w:fill="FFFFFF"/>
          <w:lang w:val="en-US" w:eastAsia="zh-CN"/>
        </w:rPr>
        <w:t>6</w:t>
      </w:r>
      <w:r>
        <w:rPr>
          <w:rStyle w:val="27"/>
          <w:rFonts w:hint="eastAsia" w:ascii="Segoe UI" w:hAnsi="Segoe UI" w:eastAsia="Segoe UI" w:cs="Segoe UI"/>
          <w:b w:val="0"/>
          <w:bCs w:val="0"/>
          <w:i w:val="0"/>
          <w:iCs w:val="0"/>
          <w:caps w:val="0"/>
          <w:color w:val="0F1115"/>
          <w:spacing w:val="0"/>
          <w:sz w:val="21"/>
          <w:szCs w:val="21"/>
          <w:highlight w:val="none"/>
          <w:u w:val="single"/>
          <w:shd w:val="clear" w:fill="FFFFFF"/>
          <w:lang w:eastAsia="zh-CN"/>
        </w:rPr>
        <w:t>）</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施工期间，承包人应保护周边农作物，造成青苗损毁的，由承包人按当地标准赔偿。</w:t>
      </w:r>
    </w:p>
    <w:p w14:paraId="49E10D32">
      <w:pPr>
        <w:spacing w:line="360" w:lineRule="auto"/>
        <w:ind w:firstLine="420" w:firstLineChars="200"/>
        <w:jc w:val="left"/>
        <w:rPr>
          <w:rFonts w:hAnsi="宋体"/>
          <w:color w:val="auto"/>
          <w:sz w:val="21"/>
          <w:szCs w:val="21"/>
          <w:highlight w:val="none"/>
        </w:rPr>
      </w:pPr>
      <w:r>
        <w:rPr>
          <w:color w:val="auto"/>
          <w:sz w:val="21"/>
          <w:szCs w:val="21"/>
          <w:highlight w:val="none"/>
        </w:rPr>
        <w:t>6.1.6</w:t>
      </w:r>
      <w:r>
        <w:rPr>
          <w:rFonts w:hAnsi="宋体" w:cs="宋体"/>
          <w:color w:val="auto"/>
          <w:kern w:val="0"/>
          <w:sz w:val="21"/>
          <w:szCs w:val="21"/>
          <w:highlight w:val="none"/>
        </w:rPr>
        <w:t>关于安全</w:t>
      </w:r>
      <w:r>
        <w:rPr>
          <w:rFonts w:hint="eastAsia" w:hAnsi="宋体" w:cs="宋体"/>
          <w:color w:val="auto"/>
          <w:kern w:val="0"/>
          <w:sz w:val="21"/>
          <w:szCs w:val="21"/>
          <w:highlight w:val="none"/>
        </w:rPr>
        <w:t>生产</w:t>
      </w:r>
      <w:r>
        <w:rPr>
          <w:rFonts w:hAnsi="宋体" w:cs="宋体"/>
          <w:color w:val="auto"/>
          <w:kern w:val="0"/>
          <w:sz w:val="21"/>
          <w:szCs w:val="21"/>
          <w:highlight w:val="none"/>
        </w:rPr>
        <w:t>费</w:t>
      </w:r>
      <w:r>
        <w:rPr>
          <w:rFonts w:hint="eastAsia" w:hAnsi="宋体" w:cs="宋体"/>
          <w:color w:val="auto"/>
          <w:kern w:val="0"/>
          <w:sz w:val="21"/>
          <w:szCs w:val="21"/>
          <w:highlight w:val="none"/>
        </w:rPr>
        <w:t>总额、</w:t>
      </w:r>
      <w:r>
        <w:rPr>
          <w:rFonts w:hAnsi="宋体" w:cs="宋体"/>
          <w:color w:val="auto"/>
          <w:kern w:val="0"/>
          <w:sz w:val="21"/>
          <w:szCs w:val="21"/>
          <w:highlight w:val="none"/>
        </w:rPr>
        <w:t>支付比例</w:t>
      </w:r>
      <w:r>
        <w:rPr>
          <w:rFonts w:hint="eastAsia" w:hAnsi="宋体" w:cs="宋体"/>
          <w:color w:val="auto"/>
          <w:kern w:val="0"/>
          <w:sz w:val="21"/>
          <w:szCs w:val="21"/>
          <w:highlight w:val="none"/>
        </w:rPr>
        <w:t>、</w:t>
      </w:r>
      <w:r>
        <w:rPr>
          <w:rFonts w:hAnsi="宋体" w:cs="宋体"/>
          <w:color w:val="auto"/>
          <w:kern w:val="0"/>
          <w:sz w:val="21"/>
          <w:szCs w:val="21"/>
          <w:highlight w:val="none"/>
        </w:rPr>
        <w:t>支付期限</w:t>
      </w:r>
      <w:r>
        <w:rPr>
          <w:rFonts w:hint="eastAsia" w:hAnsi="宋体" w:cs="宋体"/>
          <w:color w:val="auto"/>
          <w:kern w:val="0"/>
          <w:sz w:val="21"/>
          <w:szCs w:val="21"/>
          <w:highlight w:val="none"/>
        </w:rPr>
        <w:t>、转入和结余收回</w:t>
      </w:r>
      <w:r>
        <w:rPr>
          <w:rFonts w:hAnsi="宋体" w:cs="宋体"/>
          <w:color w:val="auto"/>
          <w:kern w:val="0"/>
          <w:sz w:val="21"/>
          <w:szCs w:val="21"/>
          <w:highlight w:val="none"/>
        </w:rPr>
        <w:t>的约定：</w:t>
      </w:r>
    </w:p>
    <w:p w14:paraId="01D94D8F">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1</w:t>
      </w:r>
      <w:r>
        <w:rPr>
          <w:rFonts w:hint="eastAsia" w:hAnsi="宋体" w:cs="宋体"/>
          <w:color w:val="auto"/>
          <w:kern w:val="0"/>
          <w:sz w:val="21"/>
          <w:szCs w:val="21"/>
          <w:highlight w:val="none"/>
        </w:rPr>
        <w:t>）本合同价款已包含安全文明施工费元。</w:t>
      </w:r>
    </w:p>
    <w:p w14:paraId="0A2B1E68">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2</w:t>
      </w:r>
      <w:r>
        <w:rPr>
          <w:rFonts w:hint="eastAsia" w:hAnsi="宋体" w:cs="宋体"/>
          <w:color w:val="auto"/>
          <w:kern w:val="0"/>
          <w:sz w:val="21"/>
          <w:szCs w:val="21"/>
          <w:highlight w:val="none"/>
        </w:rPr>
        <w:t>）使用要求：专款专用。具体按</w:t>
      </w:r>
      <w:r>
        <w:rPr>
          <w:rFonts w:hint="eastAsia" w:hAnsi="宋体" w:cs="宋体"/>
          <w:color w:val="auto"/>
          <w:kern w:val="0"/>
          <w:sz w:val="21"/>
          <w:szCs w:val="21"/>
          <w:highlight w:val="none"/>
          <w:u w:val="single"/>
        </w:rPr>
        <w:t>《广西壮族自治区建设工程安全文明施工费使用管理细则》（桂建质〔</w:t>
      </w:r>
      <w:r>
        <w:rPr>
          <w:rFonts w:hAnsi="宋体"/>
          <w:color w:val="auto"/>
          <w:kern w:val="0"/>
          <w:sz w:val="21"/>
          <w:szCs w:val="21"/>
          <w:highlight w:val="none"/>
          <w:u w:val="single"/>
        </w:rPr>
        <w:t>2015</w:t>
      </w:r>
      <w:r>
        <w:rPr>
          <w:rFonts w:hint="eastAsia" w:hAnsi="宋体" w:cs="宋体"/>
          <w:color w:val="auto"/>
          <w:kern w:val="0"/>
          <w:sz w:val="21"/>
          <w:szCs w:val="21"/>
          <w:highlight w:val="none"/>
          <w:u w:val="single"/>
        </w:rPr>
        <w:t>〕</w:t>
      </w:r>
      <w:r>
        <w:rPr>
          <w:rFonts w:hAnsi="宋体"/>
          <w:color w:val="auto"/>
          <w:kern w:val="0"/>
          <w:sz w:val="21"/>
          <w:szCs w:val="21"/>
          <w:highlight w:val="none"/>
          <w:u w:val="single"/>
        </w:rPr>
        <w:t>16</w:t>
      </w:r>
      <w:r>
        <w:rPr>
          <w:rFonts w:hint="eastAsia" w:hAnsi="宋体" w:cs="宋体"/>
          <w:color w:val="auto"/>
          <w:kern w:val="0"/>
          <w:sz w:val="21"/>
          <w:szCs w:val="21"/>
          <w:highlight w:val="none"/>
          <w:u w:val="single"/>
        </w:rPr>
        <w:t>号）</w:t>
      </w:r>
      <w:r>
        <w:rPr>
          <w:rFonts w:hint="eastAsia" w:hAnsi="宋体" w:cs="宋体"/>
          <w:color w:val="auto"/>
          <w:kern w:val="0"/>
          <w:sz w:val="21"/>
          <w:szCs w:val="21"/>
          <w:highlight w:val="none"/>
        </w:rPr>
        <w:t>和</w:t>
      </w:r>
      <w:r>
        <w:rPr>
          <w:rFonts w:hint="eastAsia" w:hAnsi="宋体"/>
          <w:color w:val="auto"/>
          <w:kern w:val="0"/>
          <w:sz w:val="21"/>
          <w:szCs w:val="21"/>
          <w:highlight w:val="none"/>
          <w:u w:val="single"/>
          <w:lang w:val="en-US" w:eastAsia="zh-CN"/>
        </w:rPr>
        <w:t>崇左</w:t>
      </w:r>
      <w:r>
        <w:rPr>
          <w:rFonts w:hint="eastAsia" w:hAnsi="宋体" w:cs="宋体"/>
          <w:color w:val="auto"/>
          <w:kern w:val="0"/>
          <w:sz w:val="21"/>
          <w:szCs w:val="21"/>
          <w:highlight w:val="none"/>
        </w:rPr>
        <w:t>市相关规定执行。</w:t>
      </w:r>
    </w:p>
    <w:p w14:paraId="768131F7">
      <w:pPr>
        <w:autoSpaceDE w:val="0"/>
        <w:autoSpaceDN w:val="0"/>
        <w:adjustRightInd w:val="0"/>
        <w:spacing w:line="360" w:lineRule="auto"/>
        <w:ind w:firstLine="420" w:firstLineChars="200"/>
        <w:jc w:val="left"/>
        <w:rPr>
          <w:rFonts w:hAnsi="宋体" w:cs="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3</w:t>
      </w:r>
      <w:r>
        <w:rPr>
          <w:rFonts w:hint="eastAsia" w:hAnsi="宋体" w:cs="宋体"/>
          <w:color w:val="auto"/>
          <w:kern w:val="0"/>
          <w:sz w:val="21"/>
          <w:szCs w:val="21"/>
          <w:highlight w:val="none"/>
        </w:rPr>
        <w:t>）支付约定：</w:t>
      </w:r>
      <w:r>
        <w:rPr>
          <w:rFonts w:hint="eastAsia" w:cs="宋体"/>
          <w:color w:val="auto"/>
          <w:kern w:val="0"/>
          <w:sz w:val="21"/>
          <w:szCs w:val="21"/>
          <w:highlight w:val="none"/>
        </w:rPr>
        <w:t>在本合同签订后</w:t>
      </w:r>
      <w:r>
        <w:rPr>
          <w:rFonts w:hint="eastAsia"/>
          <w:color w:val="auto"/>
          <w:kern w:val="0"/>
          <w:sz w:val="21"/>
          <w:szCs w:val="21"/>
          <w:highlight w:val="none"/>
          <w:lang w:val="en-US" w:eastAsia="zh-CN"/>
        </w:rPr>
        <w:t>10</w:t>
      </w:r>
      <w:r>
        <w:rPr>
          <w:rFonts w:hint="eastAsia" w:cs="宋体"/>
          <w:color w:val="auto"/>
          <w:kern w:val="0"/>
          <w:sz w:val="21"/>
          <w:szCs w:val="21"/>
          <w:highlight w:val="none"/>
        </w:rPr>
        <w:t>个工作日内，预付安全文明施工费总额的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%，其余部分与进度款同期支付，安全文明施工费预付款在工程进度款累计金额超过合同价的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%时开始起扣，每月从支付给承包商的工程款内按安全文明预付款占合同总价的同一百分比扣回</w:t>
      </w:r>
      <w:r>
        <w:rPr>
          <w:rFonts w:hint="eastAsia" w:hAnsi="宋体" w:cs="宋体"/>
          <w:color w:val="auto"/>
          <w:kern w:val="0"/>
          <w:sz w:val="21"/>
          <w:szCs w:val="21"/>
          <w:highlight w:val="none"/>
        </w:rPr>
        <w:t>。</w:t>
      </w:r>
    </w:p>
    <w:p w14:paraId="47557471">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（4）建设单位按规定将安全生产费用转入施工单位设立的安全生产费用专户。</w:t>
      </w:r>
    </w:p>
    <w:p w14:paraId="6B6E616B">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（5）工程施工完成后安全生产费用尚有结余的，结余部分由建设单位收回。</w:t>
      </w:r>
    </w:p>
    <w:p w14:paraId="7C7307A7">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（6）施工单位将安全生产费用使用情况定期报告建设单位和监理单位，并提供相应的材料接受建设行政主管部门对此事项监管。</w:t>
      </w:r>
    </w:p>
    <w:p w14:paraId="78BC0601">
      <w:pPr>
        <w:autoSpaceDE w:val="0"/>
        <w:autoSpaceDN w:val="0"/>
        <w:adjustRightInd w:val="0"/>
        <w:spacing w:line="360" w:lineRule="auto"/>
        <w:ind w:firstLine="420" w:firstLineChars="200"/>
        <w:jc w:val="left"/>
        <w:rPr>
          <w:rFonts w:hint="eastAsia" w:hAnsi="宋体"/>
          <w:color w:val="auto"/>
          <w:kern w:val="0"/>
          <w:sz w:val="21"/>
          <w:szCs w:val="21"/>
          <w:highlight w:val="none"/>
        </w:rPr>
      </w:pPr>
      <w:r>
        <w:rPr>
          <w:rFonts w:hint="eastAsia" w:hAnsi="宋体" w:cs="宋体"/>
          <w:color w:val="auto"/>
          <w:kern w:val="0"/>
          <w:sz w:val="21"/>
          <w:szCs w:val="21"/>
          <w:highlight w:val="none"/>
        </w:rPr>
        <w:t>（7）安全生产费用专户：</w:t>
      </w:r>
      <w:r>
        <w:rPr>
          <w:rFonts w:hAnsi="宋体" w:cs="宋体"/>
          <w:color w:val="auto"/>
          <w:kern w:val="0"/>
          <w:sz w:val="21"/>
          <w:szCs w:val="21"/>
          <w:highlight w:val="none"/>
        </w:rPr>
        <w:t>××××</w:t>
      </w:r>
      <w:r>
        <w:rPr>
          <w:rFonts w:hint="eastAsia" w:hAnsi="宋体" w:cs="宋体"/>
          <w:color w:val="auto"/>
          <w:kern w:val="0"/>
          <w:sz w:val="21"/>
          <w:szCs w:val="21"/>
          <w:highlight w:val="none"/>
        </w:rPr>
        <w:t>公司安全生产费用专户。账号：。</w:t>
      </w:r>
    </w:p>
    <w:p w14:paraId="7139EF53">
      <w:pPr>
        <w:pStyle w:val="4"/>
        <w:rPr>
          <w:color w:val="auto"/>
          <w:highlight w:val="none"/>
        </w:rPr>
      </w:pPr>
      <w:bookmarkStart w:id="504" w:name="_Toc1922268668"/>
      <w:bookmarkStart w:id="505" w:name="_Toc1519050792"/>
      <w:bookmarkStart w:id="506" w:name="_Toc78449809"/>
      <w:bookmarkStart w:id="507" w:name="_Toc389065287"/>
      <w:bookmarkStart w:id="508" w:name="_Toc373478368"/>
      <w:bookmarkStart w:id="509" w:name="_Toc16955"/>
      <w:bookmarkStart w:id="510" w:name="_Toc373227721"/>
      <w:bookmarkStart w:id="511" w:name="_Toc407135223"/>
      <w:r>
        <w:rPr>
          <w:color w:val="auto"/>
          <w:highlight w:val="none"/>
        </w:rPr>
        <w:t>6.3</w:t>
      </w:r>
      <w:r>
        <w:rPr>
          <w:rFonts w:hint="eastAsia" w:hAnsi="宋体" w:cs="黑体"/>
          <w:color w:val="auto"/>
          <w:highlight w:val="none"/>
        </w:rPr>
        <w:t>环境保护</w:t>
      </w:r>
      <w:bookmarkEnd w:id="504"/>
      <w:bookmarkEnd w:id="505"/>
      <w:bookmarkEnd w:id="506"/>
      <w:bookmarkEnd w:id="507"/>
      <w:bookmarkEnd w:id="508"/>
      <w:bookmarkEnd w:id="509"/>
      <w:bookmarkEnd w:id="510"/>
      <w:bookmarkEnd w:id="511"/>
    </w:p>
    <w:p w14:paraId="2161D98F">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u w:val="single"/>
        </w:rPr>
        <w:t>因施工需要，经发包人批准，由承包人办理有关施工场地交通、环卫和施工噪音管理等手续，费用由承包人负责。</w:t>
      </w:r>
    </w:p>
    <w:p w14:paraId="6303E9E1">
      <w:pPr>
        <w:spacing w:line="360" w:lineRule="auto"/>
        <w:ind w:firstLine="420" w:firstLineChars="200"/>
        <w:jc w:val="left"/>
        <w:rPr>
          <w:color w:val="auto"/>
          <w:highlight w:val="none"/>
          <w:u w:val="single"/>
        </w:rPr>
      </w:pPr>
      <w:r>
        <w:rPr>
          <w:rFonts w:hint="eastAsia"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r>
        <w:rPr>
          <w:rFonts w:hint="eastAsia" w:hAnsi="宋体" w:cs="宋体"/>
          <w:color w:val="auto"/>
          <w:highlight w:val="none"/>
          <w:u w:val="single"/>
        </w:rPr>
        <w:t>。</w:t>
      </w:r>
    </w:p>
    <w:bookmarkEnd w:id="480"/>
    <w:bookmarkEnd w:id="481"/>
    <w:bookmarkEnd w:id="482"/>
    <w:bookmarkEnd w:id="483"/>
    <w:bookmarkEnd w:id="484"/>
    <w:bookmarkEnd w:id="485"/>
    <w:bookmarkEnd w:id="486"/>
    <w:p w14:paraId="445FF5B3">
      <w:pPr>
        <w:pStyle w:val="3"/>
        <w:rPr>
          <w:color w:val="auto"/>
          <w:highlight w:val="none"/>
        </w:rPr>
      </w:pPr>
      <w:bookmarkStart w:id="512" w:name="_Toc373227722"/>
      <w:bookmarkStart w:id="513" w:name="_Toc78449810"/>
      <w:bookmarkStart w:id="514" w:name="_Toc373478369"/>
      <w:bookmarkStart w:id="515" w:name="_Toc389065288"/>
      <w:bookmarkStart w:id="516" w:name="_Toc407135224"/>
      <w:bookmarkStart w:id="517" w:name="_Toc6099"/>
      <w:bookmarkStart w:id="518" w:name="_Toc315674767"/>
      <w:bookmarkStart w:id="519" w:name="_Toc351203639"/>
      <w:bookmarkStart w:id="520" w:name="_Toc1408286886"/>
      <w:r>
        <w:rPr>
          <w:color w:val="auto"/>
          <w:highlight w:val="none"/>
        </w:rPr>
        <w:t>7.</w:t>
      </w:r>
      <w:r>
        <w:rPr>
          <w:rFonts w:hint="eastAsia" w:cs="黑体"/>
          <w:color w:val="auto"/>
          <w:highlight w:val="none"/>
        </w:rPr>
        <w:t>工期和进度</w:t>
      </w:r>
      <w:bookmarkEnd w:id="512"/>
      <w:bookmarkEnd w:id="513"/>
      <w:bookmarkEnd w:id="514"/>
      <w:bookmarkEnd w:id="515"/>
      <w:bookmarkEnd w:id="516"/>
      <w:bookmarkEnd w:id="517"/>
      <w:bookmarkEnd w:id="518"/>
      <w:bookmarkEnd w:id="519"/>
      <w:bookmarkEnd w:id="520"/>
    </w:p>
    <w:p w14:paraId="684D46D8">
      <w:pPr>
        <w:pStyle w:val="4"/>
        <w:rPr>
          <w:color w:val="auto"/>
          <w:highlight w:val="none"/>
        </w:rPr>
      </w:pPr>
      <w:bookmarkStart w:id="521" w:name="_Toc1194482517"/>
      <w:bookmarkStart w:id="522" w:name="_Toc664905709"/>
      <w:bookmarkStart w:id="523" w:name="_Toc389065289"/>
      <w:bookmarkStart w:id="524" w:name="_Toc23390"/>
      <w:bookmarkStart w:id="525" w:name="_Toc373227723"/>
      <w:bookmarkStart w:id="526" w:name="_Toc407135225"/>
      <w:bookmarkStart w:id="527" w:name="_Toc78449811"/>
      <w:bookmarkStart w:id="528" w:name="_Toc373478370"/>
      <w:r>
        <w:rPr>
          <w:color w:val="auto"/>
          <w:highlight w:val="none"/>
        </w:rPr>
        <w:t>7.1</w:t>
      </w:r>
      <w:r>
        <w:rPr>
          <w:rFonts w:hint="eastAsia" w:cs="黑体"/>
          <w:color w:val="auto"/>
          <w:highlight w:val="none"/>
        </w:rPr>
        <w:t>施工组织设计</w:t>
      </w:r>
      <w:bookmarkEnd w:id="521"/>
      <w:bookmarkEnd w:id="522"/>
      <w:bookmarkEnd w:id="523"/>
      <w:bookmarkEnd w:id="524"/>
      <w:bookmarkEnd w:id="525"/>
      <w:bookmarkEnd w:id="526"/>
      <w:bookmarkEnd w:id="527"/>
      <w:bookmarkEnd w:id="528"/>
    </w:p>
    <w:p w14:paraId="73B88D9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color w:val="auto"/>
          <w:sz w:val="21"/>
          <w:szCs w:val="21"/>
          <w:highlight w:val="none"/>
        </w:rPr>
        <w:t>7.1.1</w:t>
      </w:r>
      <w:r>
        <w:rPr>
          <w:rFonts w:hint="eastAsia" w:hAnsi="宋体" w:cs="宋体"/>
          <w:color w:val="auto"/>
          <w:sz w:val="21"/>
          <w:szCs w:val="21"/>
          <w:highlight w:val="none"/>
        </w:rPr>
        <w:t>合</w:t>
      </w:r>
      <w:r>
        <w:rPr>
          <w:rFonts w:hint="eastAsia" w:hAnsi="宋体" w:cs="宋体"/>
          <w:color w:val="auto"/>
          <w:kern w:val="0"/>
          <w:sz w:val="21"/>
          <w:szCs w:val="21"/>
          <w:highlight w:val="none"/>
        </w:rPr>
        <w:t>同当事人约定的施工组织设计应包括的其他内容：</w:t>
      </w:r>
      <w:r>
        <w:rPr>
          <w:rFonts w:hint="default" w:ascii="Segoe UI" w:hAnsi="Segoe UI" w:eastAsia="Segoe UI" w:cs="Segoe UI"/>
          <w:b w:val="0"/>
          <w:bCs w:val="0"/>
          <w:i w:val="0"/>
          <w:iCs w:val="0"/>
          <w:caps w:val="0"/>
          <w:color w:val="0F1115"/>
          <w:spacing w:val="0"/>
          <w:sz w:val="21"/>
          <w:szCs w:val="21"/>
          <w:highlight w:val="none"/>
          <w:u w:val="single"/>
          <w:shd w:val="clear" w:fill="FFFFFF"/>
        </w:rPr>
        <w:t>合同当事人约定的施工组织设计应包括的其他内容：</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除通用合同条款第7.1.1项约定的内容外，施工组织设计还应包括以下内容：</w:t>
      </w:r>
    </w:p>
    <w:p w14:paraId="2BD770D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（1）施工区域与村民活动区域隔离方案：明确施工沿线安全警示带或警示桩设置位置、间距、方式，施工通道与村民生产通行通道的分流方案，以及施工人员活动区域限制措施；</w:t>
      </w:r>
    </w:p>
    <w:p w14:paraId="3D4555A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（2）施工噪音及扬尘控制专项方案：明确各施工阶段的高噪音作业清单及计划作业时间，雾炮机、喷淋系统等降尘设备配置方案，以及砂石料堆场覆盖、土方湿法作业、车辆冲洗等具体措施；</w:t>
      </w:r>
    </w:p>
    <w:p w14:paraId="21258BA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（3）施工交通组织方案：明确施工车辆进出村屯道路的专用时段、限速要求及交通疏导措施，甘蔗榨季运输高峰时段的施工车辆管控措施；</w:t>
      </w:r>
    </w:p>
    <w:p w14:paraId="11F5625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4</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）施工期间突发事件应急预案：明确施工区域发生安全事故、火灾、人员伤害等突发事件的应急响应程序、人员疏散路线、应急联动（贵合村村委会、向都镇卫生院）的联系方式等。</w:t>
      </w:r>
    </w:p>
    <w:p w14:paraId="567F7CBF">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7.1.2</w:t>
      </w:r>
      <w:r>
        <w:rPr>
          <w:rFonts w:hint="eastAsia" w:hAnsi="宋体" w:cs="宋体"/>
          <w:color w:val="auto"/>
          <w:kern w:val="0"/>
          <w:sz w:val="21"/>
          <w:szCs w:val="21"/>
          <w:highlight w:val="none"/>
        </w:rPr>
        <w:t>施工组织设计的提交和修改</w:t>
      </w:r>
    </w:p>
    <w:p w14:paraId="24996C9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bookmarkStart w:id="529" w:name="_Toc1674747833"/>
      <w:bookmarkStart w:id="530" w:name="_Toc78449812"/>
      <w:bookmarkStart w:id="531" w:name="_Toc1393005721"/>
      <w:bookmarkStart w:id="532" w:name="_Toc407135226"/>
      <w:bookmarkStart w:id="533" w:name="_Toc373227724"/>
      <w:bookmarkStart w:id="534" w:name="_Toc389065290"/>
      <w:bookmarkStart w:id="535" w:name="_Toc373478371"/>
      <w:r>
        <w:rPr>
          <w:rFonts w:hint="default" w:ascii="Segoe UI" w:hAnsi="Segoe UI" w:eastAsia="Segoe UI" w:cs="Segoe UI"/>
          <w:b w:val="0"/>
          <w:bCs w:val="0"/>
          <w:i w:val="0"/>
          <w:iCs w:val="0"/>
          <w:caps w:val="0"/>
          <w:color w:val="0F1115"/>
          <w:spacing w:val="0"/>
          <w:sz w:val="21"/>
          <w:szCs w:val="21"/>
          <w:highlight w:val="none"/>
          <w:u w:val="none"/>
          <w:shd w:val="clear" w:fill="FFFFFF"/>
        </w:rPr>
        <w:t>承包人提交详细施工组织设计的期限的约定：</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承包人应在合同签订后15日内，向总监理工程师提交详细施工组织设计。施工组织设计提交前应经承包人技术负责人审核签字并加盖承包人单位公章。</w:t>
      </w:r>
    </w:p>
    <w:p w14:paraId="578AF3C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发包人和监理人在收到详细的施工组织设计后确认或提出修改意见的期限：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施工组织设计后14日内予以确认或提出书面修改意见。承包人应按照发包人和监理人的修改意见进行修改完善，并在收到修改意见后7日内重新提交。发包人和监理人应在收到重新提交的施工组织设计后7日内予以确认或提出进一步修改意见。</w:t>
      </w:r>
    </w:p>
    <w:p w14:paraId="46AB11ED">
      <w:pPr>
        <w:pStyle w:val="4"/>
        <w:rPr>
          <w:color w:val="auto"/>
          <w:highlight w:val="none"/>
        </w:rPr>
      </w:pPr>
      <w:bookmarkStart w:id="536" w:name="_Toc12404"/>
      <w:r>
        <w:rPr>
          <w:color w:val="auto"/>
          <w:highlight w:val="none"/>
        </w:rPr>
        <w:t>7</w:t>
      </w:r>
      <w:bookmarkStart w:id="537" w:name="_Toc312677479"/>
      <w:bookmarkStart w:id="538" w:name="_Toc297123514"/>
      <w:bookmarkStart w:id="539" w:name="_Toc303539123"/>
      <w:bookmarkStart w:id="540" w:name="_Toc304295541"/>
      <w:bookmarkStart w:id="541" w:name="_Toc297216173"/>
      <w:bookmarkStart w:id="542" w:name="_Toc312678005"/>
      <w:bookmarkStart w:id="543" w:name="_Toc300934966"/>
      <w:r>
        <w:rPr>
          <w:color w:val="auto"/>
          <w:highlight w:val="none"/>
        </w:rPr>
        <w:t>.2</w:t>
      </w:r>
      <w:r>
        <w:rPr>
          <w:rFonts w:hint="eastAsia" w:cs="黑体"/>
          <w:color w:val="auto"/>
          <w:highlight w:val="none"/>
        </w:rPr>
        <w:t>施工进度计划</w:t>
      </w:r>
      <w:bookmarkEnd w:id="529"/>
      <w:bookmarkEnd w:id="530"/>
      <w:bookmarkEnd w:id="531"/>
      <w:bookmarkEnd w:id="532"/>
      <w:bookmarkEnd w:id="533"/>
      <w:bookmarkEnd w:id="534"/>
      <w:bookmarkEnd w:id="535"/>
      <w:bookmarkEnd w:id="536"/>
    </w:p>
    <w:p w14:paraId="384D3D37">
      <w:pPr>
        <w:spacing w:line="360" w:lineRule="auto"/>
        <w:ind w:firstLine="420" w:firstLineChars="200"/>
        <w:jc w:val="left"/>
        <w:rPr>
          <w:color w:val="auto"/>
          <w:sz w:val="21"/>
          <w:szCs w:val="21"/>
          <w:highlight w:val="none"/>
        </w:rPr>
      </w:pPr>
      <w:r>
        <w:rPr>
          <w:color w:val="auto"/>
          <w:sz w:val="21"/>
          <w:szCs w:val="21"/>
          <w:highlight w:val="none"/>
        </w:rPr>
        <w:t>7.2.2</w:t>
      </w:r>
      <w:r>
        <w:rPr>
          <w:rFonts w:hint="eastAsia" w:hAnsi="宋体" w:cs="宋体"/>
          <w:color w:val="auto"/>
          <w:sz w:val="21"/>
          <w:szCs w:val="21"/>
          <w:highlight w:val="none"/>
        </w:rPr>
        <w:t>施工进度计划的修订</w:t>
      </w:r>
    </w:p>
    <w:p w14:paraId="39B6494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发包人和监理人在收到修订的施工进度计划后确认或提出修改意见的期限：</w:t>
      </w:r>
      <w:r>
        <w:rPr>
          <w:rStyle w:val="27"/>
          <w:rFonts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发包人和监理人应在收到承包人提交的修订施工进度计划后14日内予以确认或提出书面修改意见。承包人应按照发包人和监理人的修改意见进行修改完善，并在收到修改意见后7日内重新提交。</w:t>
      </w:r>
    </w:p>
    <w:p w14:paraId="65C63AD9">
      <w:pPr>
        <w:pStyle w:val="4"/>
        <w:rPr>
          <w:color w:val="auto"/>
          <w:sz w:val="21"/>
          <w:szCs w:val="21"/>
          <w:highlight w:val="none"/>
        </w:rPr>
      </w:pPr>
      <w:bookmarkStart w:id="544" w:name="_Toc373227725"/>
      <w:bookmarkStart w:id="545" w:name="_Toc423062567"/>
      <w:bookmarkStart w:id="546" w:name="_Toc407135227"/>
      <w:bookmarkStart w:id="547" w:name="_Toc373478372"/>
      <w:bookmarkStart w:id="548" w:name="_Toc78449813"/>
      <w:bookmarkStart w:id="549" w:name="_Toc19457"/>
      <w:bookmarkStart w:id="550" w:name="_Toc389065291"/>
      <w:bookmarkStart w:id="551" w:name="_Toc1498273563"/>
      <w:r>
        <w:rPr>
          <w:color w:val="auto"/>
          <w:sz w:val="21"/>
          <w:szCs w:val="21"/>
          <w:highlight w:val="none"/>
        </w:rPr>
        <w:t>7.3</w:t>
      </w:r>
      <w:r>
        <w:rPr>
          <w:rFonts w:hint="eastAsia" w:cs="黑体"/>
          <w:color w:val="auto"/>
          <w:sz w:val="21"/>
          <w:szCs w:val="21"/>
          <w:highlight w:val="none"/>
        </w:rPr>
        <w:t>开工</w:t>
      </w:r>
      <w:bookmarkEnd w:id="544"/>
      <w:bookmarkEnd w:id="545"/>
      <w:bookmarkEnd w:id="546"/>
      <w:bookmarkEnd w:id="547"/>
      <w:bookmarkEnd w:id="548"/>
      <w:bookmarkEnd w:id="549"/>
      <w:bookmarkEnd w:id="550"/>
      <w:bookmarkEnd w:id="551"/>
    </w:p>
    <w:p w14:paraId="644CF8F3">
      <w:pPr>
        <w:spacing w:line="360" w:lineRule="auto"/>
        <w:ind w:firstLine="420" w:firstLineChars="200"/>
        <w:jc w:val="left"/>
        <w:rPr>
          <w:color w:val="auto"/>
          <w:sz w:val="21"/>
          <w:szCs w:val="21"/>
          <w:highlight w:val="none"/>
        </w:rPr>
      </w:pPr>
      <w:r>
        <w:rPr>
          <w:color w:val="auto"/>
          <w:sz w:val="21"/>
          <w:szCs w:val="21"/>
          <w:highlight w:val="none"/>
        </w:rPr>
        <w:t>7.3.1</w:t>
      </w:r>
      <w:r>
        <w:rPr>
          <w:rFonts w:hint="eastAsia" w:hAnsi="宋体" w:cs="宋体"/>
          <w:color w:val="auto"/>
          <w:sz w:val="21"/>
          <w:szCs w:val="21"/>
          <w:highlight w:val="none"/>
        </w:rPr>
        <w:t>开工准备</w:t>
      </w:r>
    </w:p>
    <w:p w14:paraId="2882A71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关于承包人提交工程开工报审表的期限：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合同签订后10日内。开工报审表应附施工组织设计（经审批确认后的版本）、项目管理机构人员到位情况及联系方式、进场施工机械设备清单、临时设施搭建方案、施工测量放线成果等资料。</w:t>
      </w:r>
    </w:p>
    <w:p w14:paraId="6B7E37C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关于发包人应完成的其他开工准备工作及期限：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应在计划开工日期前7日内完成以下准备工作：施工场地移交、施工用水电接口接至施工现场、测量基准点及水准点现场交验、施工许可证办理等。发包人应向承包人提供本工程《建设工程委托监理合同》复印件，并将发包人代表及总监理工程师的授权书面通知承包人。因发包人原因未按期完成的，开工日期相应顺延，工期相应顺延。</w:t>
      </w:r>
    </w:p>
    <w:p w14:paraId="567E196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关于承包人应完成的其他开工准备工作及期限：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计划开工日期前完成以下准备工作：施工人员进场及安全教育、施工机械设备进场报验、临时设施搭建、施工用水电线路敷设及计量表具安装、施工沿线安全警示标志标牌设置。承包人应在开工日期前7日内完成施工区域危险点的安全警示带或警示桩设置，并经发包人代表及总监理工程师验收合格。</w:t>
      </w:r>
    </w:p>
    <w:p w14:paraId="7214F909">
      <w:pPr>
        <w:spacing w:line="360" w:lineRule="auto"/>
        <w:ind w:firstLine="420" w:firstLineChars="200"/>
        <w:jc w:val="left"/>
        <w:rPr>
          <w:color w:val="auto"/>
          <w:sz w:val="21"/>
          <w:szCs w:val="21"/>
          <w:highlight w:val="none"/>
        </w:rPr>
      </w:pPr>
      <w:r>
        <w:rPr>
          <w:color w:val="auto"/>
          <w:sz w:val="21"/>
          <w:szCs w:val="21"/>
          <w:highlight w:val="none"/>
        </w:rPr>
        <w:t>7.3.2</w:t>
      </w:r>
      <w:r>
        <w:rPr>
          <w:rFonts w:hint="eastAsia" w:hAnsi="宋体" w:cs="宋体"/>
          <w:color w:val="auto"/>
          <w:sz w:val="21"/>
          <w:szCs w:val="21"/>
          <w:highlight w:val="none"/>
        </w:rPr>
        <w:t>开工通知</w:t>
      </w:r>
    </w:p>
    <w:p w14:paraId="7803A79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因发包人原因造成监理人未能在计划开工日期之日起</w:t>
      </w:r>
      <w:r>
        <w:rPr>
          <w:rFonts w:hint="eastAsia"/>
          <w:color w:val="auto"/>
          <w:sz w:val="21"/>
          <w:szCs w:val="21"/>
          <w:highlight w:val="none"/>
          <w:u w:val="single"/>
          <w:lang w:val="en-US" w:eastAsia="zh-CN"/>
        </w:rPr>
        <w:t>30</w:t>
      </w:r>
      <w:r>
        <w:rPr>
          <w:rFonts w:hint="eastAsia" w:hAnsi="宋体" w:cs="宋体"/>
          <w:color w:val="auto"/>
          <w:sz w:val="21"/>
          <w:szCs w:val="21"/>
          <w:highlight w:val="none"/>
        </w:rPr>
        <w:t>天内发出开工通知的，承包人有权提出价格调整要求，或者解除合同。</w:t>
      </w:r>
    </w:p>
    <w:bookmarkEnd w:id="537"/>
    <w:bookmarkEnd w:id="538"/>
    <w:bookmarkEnd w:id="539"/>
    <w:bookmarkEnd w:id="540"/>
    <w:bookmarkEnd w:id="541"/>
    <w:bookmarkEnd w:id="542"/>
    <w:bookmarkEnd w:id="543"/>
    <w:p w14:paraId="4E297EED">
      <w:pPr>
        <w:pStyle w:val="4"/>
        <w:rPr>
          <w:color w:val="auto"/>
          <w:highlight w:val="none"/>
        </w:rPr>
      </w:pPr>
      <w:bookmarkStart w:id="552" w:name="_Toc78449814"/>
      <w:bookmarkStart w:id="553" w:name="_Toc31518"/>
      <w:bookmarkStart w:id="554" w:name="_Toc741356765"/>
      <w:bookmarkStart w:id="555" w:name="_Toc373227726"/>
      <w:bookmarkStart w:id="556" w:name="_Toc373478373"/>
      <w:bookmarkStart w:id="557" w:name="_Toc407135228"/>
      <w:bookmarkStart w:id="558" w:name="_Toc86855608"/>
      <w:bookmarkStart w:id="559" w:name="_Toc389065292"/>
      <w:r>
        <w:rPr>
          <w:color w:val="auto"/>
          <w:highlight w:val="none"/>
        </w:rPr>
        <w:t>7.4</w:t>
      </w:r>
      <w:r>
        <w:rPr>
          <w:rFonts w:hint="eastAsia" w:hAnsi="宋体" w:cs="黑体"/>
          <w:color w:val="auto"/>
          <w:highlight w:val="none"/>
        </w:rPr>
        <w:t>测量放线</w:t>
      </w:r>
      <w:bookmarkEnd w:id="552"/>
      <w:bookmarkEnd w:id="553"/>
      <w:bookmarkEnd w:id="554"/>
      <w:bookmarkEnd w:id="555"/>
      <w:bookmarkEnd w:id="556"/>
      <w:bookmarkEnd w:id="557"/>
      <w:bookmarkEnd w:id="558"/>
      <w:bookmarkEnd w:id="559"/>
    </w:p>
    <w:p w14:paraId="447AB380">
      <w:pPr>
        <w:spacing w:line="360" w:lineRule="auto"/>
        <w:ind w:firstLine="420" w:firstLineChars="200"/>
        <w:jc w:val="left"/>
        <w:rPr>
          <w:rFonts w:hint="eastAsia" w:ascii="Times New Roman" w:hAnsi="宋体" w:eastAsia="宋体" w:cs="宋体"/>
          <w:b w:val="0"/>
          <w:bCs w:val="0"/>
          <w:color w:val="auto"/>
          <w:kern w:val="2"/>
          <w:sz w:val="21"/>
          <w:szCs w:val="21"/>
          <w:highlight w:val="none"/>
          <w:u w:val="single"/>
          <w:lang w:val="en-US" w:eastAsia="zh-CN" w:bidi="ar-SA"/>
        </w:rPr>
      </w:pPr>
      <w:r>
        <w:rPr>
          <w:color w:val="auto"/>
          <w:sz w:val="21"/>
          <w:szCs w:val="21"/>
          <w:highlight w:val="none"/>
        </w:rPr>
        <w:t>7.4.1</w:t>
      </w:r>
      <w:r>
        <w:rPr>
          <w:rFonts w:hint="eastAsia" w:hAnsi="宋体" w:cs="宋体"/>
          <w:color w:val="auto"/>
          <w:sz w:val="21"/>
          <w:szCs w:val="21"/>
          <w:highlight w:val="none"/>
        </w:rPr>
        <w:t>发包人通过监理人向承包人提供测量基准点、基准线和水准点及其书面资料的期限：</w:t>
      </w:r>
      <w:bookmarkStart w:id="560" w:name="_Toc12781"/>
      <w:bookmarkStart w:id="561" w:name="_Toc373478374"/>
      <w:bookmarkStart w:id="562" w:name="_Toc1417437583"/>
      <w:bookmarkStart w:id="563" w:name="_Toc407135229"/>
      <w:bookmarkStart w:id="564" w:name="_Toc78449815"/>
      <w:bookmarkStart w:id="565" w:name="_Toc373227727"/>
      <w:bookmarkStart w:id="566" w:name="_Toc389065293"/>
      <w:bookmarkStart w:id="567" w:name="_Toc1863025072"/>
      <w:r>
        <w:rPr>
          <w:rFonts w:hint="eastAsia" w:ascii="Times New Roman" w:hAnsi="宋体" w:eastAsia="宋体" w:cs="宋体"/>
          <w:b w:val="0"/>
          <w:bCs w:val="0"/>
          <w:color w:val="auto"/>
          <w:kern w:val="2"/>
          <w:sz w:val="21"/>
          <w:szCs w:val="21"/>
          <w:highlight w:val="none"/>
          <w:u w:val="single"/>
          <w:lang w:val="en-US" w:eastAsia="zh-CN" w:bidi="ar-SA"/>
        </w:rPr>
        <w:t>开工前7日内。发包人应提供不少于3个测量基准点，并提供测量控制点成果表及相应的书面资料。发包人、监理人与承包人三方应在现场共同交验，确认基准点桩位完好、标识清晰后签署交接记录。发包人提供的测量基准点、基准线和水准点存在错误或遗漏，导致承包人测量放线返工的，费用由发包人承担，工期相应顺延。承包人应在收到测量基准点后14日内完成施工测量放线复核，并向监理人提交测量复核成果报告。承包人对测量基准点有异议的，应在复核后3日内书面提出，逾期视为确认无误。</w:t>
      </w:r>
      <w:bookmarkEnd w:id="560"/>
    </w:p>
    <w:p w14:paraId="2B3CF038">
      <w:pPr>
        <w:pStyle w:val="4"/>
        <w:rPr>
          <w:color w:val="auto"/>
          <w:highlight w:val="none"/>
        </w:rPr>
      </w:pPr>
      <w:bookmarkStart w:id="568" w:name="_Toc9407"/>
      <w:r>
        <w:rPr>
          <w:color w:val="auto"/>
          <w:highlight w:val="none"/>
        </w:rPr>
        <w:t>7</w:t>
      </w:r>
      <w:bookmarkStart w:id="569" w:name="_Toc303539125"/>
      <w:bookmarkStart w:id="570" w:name="_Toc304295546"/>
      <w:bookmarkStart w:id="571" w:name="_Toc300934968"/>
      <w:bookmarkStart w:id="572" w:name="_Toc297123516"/>
      <w:bookmarkStart w:id="573" w:name="_Toc297216175"/>
      <w:bookmarkStart w:id="574" w:name="_Toc312678010"/>
      <w:bookmarkStart w:id="575" w:name="_Toc312677484"/>
      <w:r>
        <w:rPr>
          <w:color w:val="auto"/>
          <w:highlight w:val="none"/>
        </w:rPr>
        <w:t>.5</w:t>
      </w:r>
      <w:r>
        <w:rPr>
          <w:rFonts w:hint="eastAsia" w:hAnsi="宋体" w:cs="黑体"/>
          <w:color w:val="auto"/>
          <w:highlight w:val="none"/>
        </w:rPr>
        <w:t>工期延误</w:t>
      </w:r>
      <w:bookmarkEnd w:id="561"/>
      <w:bookmarkEnd w:id="562"/>
      <w:bookmarkEnd w:id="563"/>
      <w:bookmarkEnd w:id="564"/>
      <w:bookmarkEnd w:id="565"/>
      <w:bookmarkEnd w:id="566"/>
      <w:bookmarkEnd w:id="567"/>
      <w:bookmarkEnd w:id="568"/>
    </w:p>
    <w:bookmarkEnd w:id="569"/>
    <w:bookmarkEnd w:id="570"/>
    <w:bookmarkEnd w:id="571"/>
    <w:bookmarkEnd w:id="572"/>
    <w:bookmarkEnd w:id="573"/>
    <w:bookmarkEnd w:id="574"/>
    <w:bookmarkEnd w:id="575"/>
    <w:p w14:paraId="3106A2AB">
      <w:pPr>
        <w:spacing w:line="360" w:lineRule="auto"/>
        <w:ind w:firstLine="420" w:firstLineChars="200"/>
        <w:jc w:val="left"/>
        <w:rPr>
          <w:color w:val="auto"/>
          <w:sz w:val="21"/>
          <w:szCs w:val="21"/>
          <w:highlight w:val="none"/>
        </w:rPr>
      </w:pPr>
      <w:r>
        <w:rPr>
          <w:color w:val="auto"/>
          <w:sz w:val="21"/>
          <w:szCs w:val="21"/>
          <w:highlight w:val="none"/>
        </w:rPr>
        <w:t>7.5.1</w:t>
      </w:r>
      <w:r>
        <w:rPr>
          <w:rFonts w:hint="eastAsia" w:hAnsi="宋体" w:cs="宋体"/>
          <w:color w:val="auto"/>
          <w:sz w:val="21"/>
          <w:szCs w:val="21"/>
          <w:highlight w:val="none"/>
        </w:rPr>
        <w:t>因发包人原因导致工期延误</w:t>
      </w:r>
    </w:p>
    <w:p w14:paraId="27C0111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）因发包人原因导致工期延误的其他情形：</w:t>
      </w:r>
      <w:r>
        <w:rPr>
          <w:rFonts w:hint="eastAsia" w:ascii="宋体" w:hAnsi="宋体" w:cs="宋体"/>
          <w:color w:val="auto"/>
          <w:sz w:val="21"/>
          <w:szCs w:val="21"/>
          <w:highlight w:val="none"/>
          <w:u w:val="single"/>
        </w:rPr>
        <w:t>①重大图纸变更影响关健线路工序施工；②施工期间如因停电、停水连续</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小时以上或一周内间歇性停水、停电累计</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小时（含</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s="宋体"/>
          <w:color w:val="auto"/>
          <w:sz w:val="21"/>
          <w:szCs w:val="21"/>
          <w:highlight w:val="none"/>
        </w:rPr>
        <w:t>。</w:t>
      </w:r>
    </w:p>
    <w:p w14:paraId="16218B63">
      <w:pPr>
        <w:spacing w:line="360" w:lineRule="auto"/>
        <w:ind w:firstLine="420" w:firstLineChars="200"/>
        <w:jc w:val="left"/>
        <w:rPr>
          <w:color w:val="auto"/>
          <w:sz w:val="21"/>
          <w:szCs w:val="21"/>
          <w:highlight w:val="none"/>
        </w:rPr>
      </w:pPr>
      <w:r>
        <w:rPr>
          <w:color w:val="auto"/>
          <w:sz w:val="21"/>
          <w:szCs w:val="21"/>
          <w:highlight w:val="none"/>
        </w:rPr>
        <w:t>7.5.2</w:t>
      </w:r>
      <w:r>
        <w:rPr>
          <w:rFonts w:hint="eastAsia" w:hAnsi="宋体" w:cs="宋体"/>
          <w:color w:val="auto"/>
          <w:sz w:val="21"/>
          <w:szCs w:val="21"/>
          <w:highlight w:val="none"/>
        </w:rPr>
        <w:t>因承包人原因导致工期延误</w:t>
      </w:r>
    </w:p>
    <w:p w14:paraId="7B583494">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0" w:lineRule="atLeast"/>
        <w:ind w:left="0" w:right="0" w:firstLine="0"/>
        <w:rPr>
          <w:rFonts w:hint="eastAsia" w:ascii="宋体" w:hAnsi="宋体" w:eastAsia="宋体" w:cs="宋体"/>
          <w:color w:val="auto"/>
          <w:kern w:val="0"/>
          <w:sz w:val="21"/>
          <w:szCs w:val="21"/>
          <w:highlight w:val="none"/>
          <w:u w:val="single"/>
          <w:lang w:val="en-US" w:eastAsia="zh-CN" w:bidi="hi-IN"/>
        </w:rPr>
      </w:pPr>
      <w:r>
        <w:rPr>
          <w:rFonts w:hint="eastAsia" w:hAnsi="宋体" w:cs="宋体"/>
          <w:color w:val="auto"/>
          <w:sz w:val="21"/>
          <w:szCs w:val="21"/>
          <w:highlight w:val="none"/>
        </w:rPr>
        <w:t>双方约定经监理工程师确认，工期相应顺延的情况</w:t>
      </w:r>
      <w:r>
        <w:rPr>
          <w:rFonts w:hint="eastAsia" w:ascii="宋体" w:hAnsi="宋体" w:cs="宋体"/>
          <w:color w:val="auto"/>
          <w:sz w:val="21"/>
          <w:szCs w:val="21"/>
          <w:highlight w:val="none"/>
          <w:u w:val="single"/>
        </w:rPr>
        <w:t>：</w:t>
      </w:r>
      <w:r>
        <w:rPr>
          <w:rFonts w:hint="default" w:ascii="宋体" w:hAnsi="宋体" w:eastAsia="宋体" w:cs="宋体"/>
          <w:color w:val="auto"/>
          <w:kern w:val="0"/>
          <w:sz w:val="21"/>
          <w:szCs w:val="21"/>
          <w:highlight w:val="none"/>
          <w:u w:val="single"/>
          <w:lang w:val="en-US" w:eastAsia="zh-CN" w:bidi="hi-IN"/>
        </w:rPr>
        <w:t>（1）因承包人原因造成工期延误，逾期竣工违约金按合同总价的万分之五/日计算，上限为合同总价的</w:t>
      </w:r>
      <w:r>
        <w:rPr>
          <w:rFonts w:hint="eastAsia" w:ascii="宋体" w:hAnsi="宋体" w:eastAsia="宋体" w:cs="宋体"/>
          <w:color w:val="auto"/>
          <w:kern w:val="0"/>
          <w:sz w:val="21"/>
          <w:szCs w:val="21"/>
          <w:highlight w:val="none"/>
          <w:u w:val="single"/>
          <w:lang w:val="en-US" w:eastAsia="zh-CN" w:bidi="hi-IN"/>
        </w:rPr>
        <w:t>2</w:t>
      </w:r>
      <w:r>
        <w:rPr>
          <w:rFonts w:hint="default" w:ascii="宋体" w:hAnsi="宋体" w:eastAsia="宋体" w:cs="宋体"/>
          <w:color w:val="auto"/>
          <w:kern w:val="0"/>
          <w:sz w:val="21"/>
          <w:szCs w:val="21"/>
          <w:highlight w:val="none"/>
          <w:u w:val="single"/>
          <w:lang w:val="en-US" w:eastAsia="zh-CN" w:bidi="hi-IN"/>
        </w:rPr>
        <w:t>%。（2）逾期超过30日的，发包人有权单方解除合同，并要求承包人赔偿全部损失。（3）因承包人未做好村屯协调、村民沟通、扰民处理、交通疏导等原因造成的停工、投诉、管制、处罚，均属于承包人原因，工期不予顺延。</w:t>
      </w:r>
    </w:p>
    <w:p w14:paraId="2ECE4113">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sz w:val="21"/>
          <w:szCs w:val="21"/>
          <w:highlight w:val="none"/>
        </w:rPr>
        <w:t>因承包人原因造成工期延误，逾期竣工违约金的计算方法为：</w:t>
      </w:r>
      <w:r>
        <w:rPr>
          <w:rFonts w:hint="eastAsia" w:ascii="宋体" w:hAnsi="宋体" w:cs="宋体"/>
          <w:color w:val="auto"/>
          <w:sz w:val="21"/>
          <w:szCs w:val="21"/>
          <w:highlight w:val="none"/>
          <w:u w:val="single"/>
          <w:lang w:eastAsia="zh-CN"/>
        </w:rPr>
        <w:t>因承包人原因造成工期延误，逾期竣工违约金按签约合同价的万分之五/日计算，累计违约金总额不超过签约合同价的2%。逾期超过30日的，发包人有权解除合同</w:t>
      </w:r>
      <w:r>
        <w:rPr>
          <w:rFonts w:hint="eastAsia" w:hAnsi="宋体" w:cs="宋体"/>
          <w:color w:val="auto"/>
          <w:sz w:val="21"/>
          <w:szCs w:val="21"/>
          <w:highlight w:val="none"/>
          <w:u w:val="single"/>
        </w:rPr>
        <w:t>。</w:t>
      </w:r>
    </w:p>
    <w:p w14:paraId="2E3A794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因承包人原因造成工期延误，逾</w:t>
      </w:r>
      <w:bookmarkStart w:id="576" w:name="_Toc318581171"/>
      <w:bookmarkStart w:id="577" w:name="_Toc312678014"/>
      <w:r>
        <w:rPr>
          <w:rFonts w:hint="eastAsia" w:hAnsi="宋体" w:cs="宋体"/>
          <w:color w:val="auto"/>
          <w:sz w:val="21"/>
          <w:szCs w:val="21"/>
          <w:highlight w:val="none"/>
        </w:rPr>
        <w:t>期竣工违约金的上限：</w:t>
      </w:r>
      <w:r>
        <w:rPr>
          <w:rFonts w:hint="eastAsia" w:ascii="宋体" w:hAnsi="宋体" w:cs="宋体"/>
          <w:color w:val="auto"/>
          <w:sz w:val="21"/>
          <w:szCs w:val="21"/>
          <w:highlight w:val="none"/>
          <w:u w:val="single"/>
        </w:rPr>
        <w:t>逾期竣工的单项工程结算造价</w:t>
      </w:r>
      <w:r>
        <w:rPr>
          <w:rFonts w:hint="eastAsia" w:hAnsi="宋体" w:cs="宋体"/>
          <w:color w:val="auto"/>
          <w:sz w:val="21"/>
          <w:szCs w:val="21"/>
          <w:highlight w:val="none"/>
          <w:u w:val="single"/>
        </w:rPr>
        <w:t>的</w:t>
      </w:r>
      <w:r>
        <w:rPr>
          <w:rFonts w:hint="eastAsia"/>
          <w:color w:val="auto"/>
          <w:sz w:val="21"/>
          <w:szCs w:val="21"/>
          <w:highlight w:val="none"/>
          <w:u w:val="single"/>
          <w:lang w:val="en-US" w:eastAsia="zh-CN"/>
        </w:rPr>
        <w:t>2</w:t>
      </w:r>
      <w:r>
        <w:rPr>
          <w:color w:val="auto"/>
          <w:sz w:val="21"/>
          <w:szCs w:val="21"/>
          <w:highlight w:val="none"/>
          <w:u w:val="single"/>
        </w:rPr>
        <w:t>%</w:t>
      </w:r>
      <w:r>
        <w:rPr>
          <w:rFonts w:hint="eastAsia" w:hAnsi="宋体" w:cs="宋体"/>
          <w:color w:val="auto"/>
          <w:sz w:val="21"/>
          <w:szCs w:val="21"/>
          <w:highlight w:val="none"/>
        </w:rPr>
        <w:t>。</w:t>
      </w:r>
      <w:r>
        <w:rPr>
          <w:rFonts w:hint="default" w:ascii="Segoe UI" w:hAnsi="Segoe UI" w:eastAsia="Segoe UI" w:cs="Segoe UI"/>
          <w:i w:val="0"/>
          <w:iCs w:val="0"/>
          <w:caps w:val="0"/>
          <w:color w:val="0F1115"/>
          <w:spacing w:val="0"/>
          <w:sz w:val="22"/>
          <w:szCs w:val="22"/>
          <w:shd w:val="clear" w:fill="FFFFFF"/>
        </w:rPr>
        <w:t>。</w:t>
      </w:r>
    </w:p>
    <w:bookmarkEnd w:id="576"/>
    <w:bookmarkEnd w:id="577"/>
    <w:p w14:paraId="5BA65F84">
      <w:pPr>
        <w:pStyle w:val="4"/>
        <w:rPr>
          <w:color w:val="auto"/>
          <w:highlight w:val="none"/>
        </w:rPr>
      </w:pPr>
      <w:bookmarkStart w:id="578" w:name="_Toc888037017"/>
      <w:bookmarkStart w:id="579" w:name="_Toc7032"/>
      <w:bookmarkStart w:id="580" w:name="_Toc389065294"/>
      <w:bookmarkStart w:id="581" w:name="_Toc1954543271"/>
      <w:bookmarkStart w:id="582" w:name="_Toc407135230"/>
      <w:bookmarkStart w:id="583" w:name="_Toc78449816"/>
      <w:bookmarkStart w:id="584" w:name="_Toc373227728"/>
      <w:bookmarkStart w:id="585" w:name="_Toc373478375"/>
      <w:r>
        <w:rPr>
          <w:color w:val="auto"/>
          <w:highlight w:val="none"/>
        </w:rPr>
        <w:t>7</w:t>
      </w:r>
      <w:bookmarkStart w:id="586" w:name="_Toc304295549"/>
      <w:bookmarkStart w:id="587" w:name="_Toc303539128"/>
      <w:bookmarkStart w:id="588" w:name="_Toc312678015"/>
      <w:bookmarkStart w:id="589" w:name="_Toc297123519"/>
      <w:bookmarkStart w:id="590" w:name="_Toc300934971"/>
      <w:bookmarkStart w:id="591" w:name="_Toc297216178"/>
      <w:r>
        <w:rPr>
          <w:color w:val="auto"/>
          <w:highlight w:val="none"/>
        </w:rPr>
        <w:t>.6</w:t>
      </w:r>
      <w:r>
        <w:rPr>
          <w:rFonts w:hint="eastAsia" w:cs="黑体"/>
          <w:color w:val="auto"/>
          <w:highlight w:val="none"/>
        </w:rPr>
        <w:t>不</w:t>
      </w:r>
      <w:bookmarkEnd w:id="586"/>
      <w:bookmarkEnd w:id="587"/>
      <w:bookmarkEnd w:id="588"/>
      <w:bookmarkEnd w:id="589"/>
      <w:bookmarkEnd w:id="590"/>
      <w:bookmarkEnd w:id="591"/>
      <w:r>
        <w:rPr>
          <w:rFonts w:hint="eastAsia" w:cs="黑体"/>
          <w:color w:val="auto"/>
          <w:highlight w:val="none"/>
        </w:rPr>
        <w:t>利物质条件</w:t>
      </w:r>
      <w:bookmarkEnd w:id="578"/>
      <w:bookmarkEnd w:id="579"/>
      <w:bookmarkEnd w:id="580"/>
      <w:bookmarkEnd w:id="581"/>
      <w:bookmarkEnd w:id="582"/>
      <w:bookmarkEnd w:id="583"/>
      <w:bookmarkEnd w:id="584"/>
      <w:bookmarkEnd w:id="585"/>
    </w:p>
    <w:p w14:paraId="70195F88">
      <w:pPr>
        <w:spacing w:line="360" w:lineRule="auto"/>
        <w:ind w:firstLine="420" w:firstLineChars="200"/>
        <w:jc w:val="left"/>
        <w:rPr>
          <w:color w:val="auto"/>
          <w:sz w:val="21"/>
          <w:szCs w:val="21"/>
          <w:highlight w:val="none"/>
          <w:u w:val="single"/>
        </w:rPr>
      </w:pPr>
      <w:bookmarkStart w:id="592" w:name="_Toc297123520"/>
      <w:bookmarkStart w:id="593" w:name="_Toc303539129"/>
      <w:bookmarkStart w:id="594" w:name="_Toc318581172"/>
      <w:bookmarkStart w:id="595" w:name="_Toc297216179"/>
      <w:bookmarkStart w:id="596" w:name="_Toc312678016"/>
      <w:bookmarkStart w:id="597" w:name="_Toc300934972"/>
      <w:bookmarkStart w:id="598" w:name="_Toc304295550"/>
      <w:r>
        <w:rPr>
          <w:rFonts w:hint="eastAsia" w:hAnsi="宋体" w:cs="宋体"/>
          <w:color w:val="auto"/>
          <w:sz w:val="21"/>
          <w:szCs w:val="21"/>
          <w:highlight w:val="none"/>
        </w:rPr>
        <w:t>不利物质条件的其他情形和有关约定：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bookmarkEnd w:id="592"/>
    <w:bookmarkEnd w:id="593"/>
    <w:bookmarkEnd w:id="594"/>
    <w:bookmarkEnd w:id="595"/>
    <w:bookmarkEnd w:id="596"/>
    <w:bookmarkEnd w:id="597"/>
    <w:bookmarkEnd w:id="598"/>
    <w:p w14:paraId="5A8520F2">
      <w:pPr>
        <w:pStyle w:val="4"/>
        <w:rPr>
          <w:color w:val="auto"/>
          <w:highlight w:val="none"/>
        </w:rPr>
      </w:pPr>
      <w:bookmarkStart w:id="599" w:name="_Toc2031116443"/>
      <w:bookmarkStart w:id="600" w:name="_Toc373227729"/>
      <w:bookmarkStart w:id="601" w:name="_Toc407135231"/>
      <w:bookmarkStart w:id="602" w:name="_Toc389065295"/>
      <w:bookmarkStart w:id="603" w:name="_Toc19186"/>
      <w:bookmarkStart w:id="604" w:name="_Toc373478376"/>
      <w:bookmarkStart w:id="605" w:name="_Toc851880484"/>
      <w:bookmarkStart w:id="606" w:name="_Toc78449817"/>
      <w:r>
        <w:rPr>
          <w:color w:val="auto"/>
          <w:highlight w:val="none"/>
        </w:rPr>
        <w:t>7</w:t>
      </w:r>
      <w:bookmarkStart w:id="607" w:name="_Toc303539130"/>
      <w:bookmarkStart w:id="608" w:name="_Toc297123521"/>
      <w:bookmarkStart w:id="609" w:name="_Toc312678017"/>
      <w:bookmarkStart w:id="610" w:name="_Toc304295551"/>
      <w:bookmarkStart w:id="611" w:name="_Toc297216180"/>
      <w:bookmarkStart w:id="612" w:name="_Toc300934973"/>
      <w:r>
        <w:rPr>
          <w:color w:val="auto"/>
          <w:highlight w:val="none"/>
        </w:rPr>
        <w:t>.7</w:t>
      </w:r>
      <w:r>
        <w:rPr>
          <w:rFonts w:hint="eastAsia" w:cs="黑体"/>
          <w:color w:val="auto"/>
          <w:highlight w:val="none"/>
        </w:rPr>
        <w:t>异常恶劣的气候条件</w:t>
      </w:r>
      <w:bookmarkEnd w:id="599"/>
      <w:bookmarkEnd w:id="600"/>
      <w:bookmarkEnd w:id="601"/>
      <w:bookmarkEnd w:id="602"/>
      <w:bookmarkEnd w:id="603"/>
      <w:bookmarkEnd w:id="604"/>
      <w:bookmarkEnd w:id="605"/>
      <w:bookmarkEnd w:id="606"/>
    </w:p>
    <w:bookmarkEnd w:id="607"/>
    <w:bookmarkEnd w:id="608"/>
    <w:bookmarkEnd w:id="609"/>
    <w:bookmarkEnd w:id="610"/>
    <w:bookmarkEnd w:id="611"/>
    <w:bookmarkEnd w:id="612"/>
    <w:p w14:paraId="5A329A2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发包人和承包人同意以下情形视为异常恶劣的气候条件：</w:t>
      </w:r>
    </w:p>
    <w:p w14:paraId="37DE02A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color w:val="auto"/>
          <w:kern w:val="2"/>
          <w:sz w:val="21"/>
          <w:szCs w:val="21"/>
          <w:highlight w:val="none"/>
          <w:u w:val="single"/>
          <w:lang w:val="en-US" w:eastAsia="zh-CN" w:bidi="ar-SA"/>
        </w:rPr>
      </w:pPr>
      <w:bookmarkStart w:id="613" w:name="_Toc389065296"/>
      <w:bookmarkStart w:id="614" w:name="_Toc373478377"/>
      <w:bookmarkStart w:id="615" w:name="_Toc2087373611"/>
      <w:bookmarkStart w:id="616" w:name="_Toc657185480"/>
      <w:bookmarkStart w:id="617" w:name="_Toc407135232"/>
      <w:bookmarkStart w:id="618" w:name="_Toc78449818"/>
      <w:bookmarkStart w:id="619" w:name="_Toc373227730"/>
      <w:r>
        <w:rPr>
          <w:rFonts w:hint="default" w:ascii="宋体" w:hAnsi="宋体" w:eastAsia="宋体" w:cs="宋体"/>
          <w:color w:val="auto"/>
          <w:kern w:val="2"/>
          <w:sz w:val="21"/>
          <w:szCs w:val="21"/>
          <w:highlight w:val="none"/>
          <w:u w:val="single"/>
          <w:lang w:val="en-US" w:eastAsia="zh-CN" w:bidi="ar-SA"/>
        </w:rPr>
        <w:t>（1）台风橙色及以上预警信号生效期间，或虽然未发布该等级预警但施工现场实测瞬时风速达到8级及以上的大风天气；</w:t>
      </w:r>
    </w:p>
    <w:p w14:paraId="322E83D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（2）暴雨红色预警信号生效期间，或虽然未发布该等级预警但施工现场12小时连续降雨量达到50毫米及以上的降水天气；</w:t>
      </w:r>
    </w:p>
    <w:p w14:paraId="6FBBF87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（3）高温红色预警信号生效期间（以当地气象部门发布的气象灾害预警信号为准），即24小时内最高气温将达到40℃以上的高温天气。</w:t>
      </w:r>
    </w:p>
    <w:p w14:paraId="25B2058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上述异常恶劣气候条件以当地气象部门发布的预警信号或实测数据为准。因异常恶劣气候条件造成工程暂停施工及无法正常施工的，承包人应在该情形发生后3日内书面报告监理人，经监理人和发包人确认后，相应顺延工期。承包人未在前述期限内书面报告的，视为该情形未对工期造成影响。</w:t>
      </w:r>
    </w:p>
    <w:p w14:paraId="612A460E">
      <w:pPr>
        <w:pStyle w:val="4"/>
        <w:rPr>
          <w:color w:val="auto"/>
          <w:highlight w:val="none"/>
          <w:lang w:val="en-US"/>
        </w:rPr>
      </w:pPr>
      <w:bookmarkStart w:id="620" w:name="_Toc15877"/>
      <w:r>
        <w:rPr>
          <w:color w:val="auto"/>
          <w:highlight w:val="none"/>
          <w:lang w:val="en-US"/>
        </w:rPr>
        <w:t>7.9</w:t>
      </w:r>
      <w:r>
        <w:rPr>
          <w:rFonts w:hint="eastAsia" w:hAnsi="宋体" w:cs="黑体"/>
          <w:color w:val="auto"/>
          <w:highlight w:val="none"/>
        </w:rPr>
        <w:t>提前竣工</w:t>
      </w:r>
      <w:bookmarkEnd w:id="613"/>
      <w:bookmarkEnd w:id="614"/>
      <w:bookmarkEnd w:id="615"/>
      <w:bookmarkEnd w:id="616"/>
      <w:bookmarkEnd w:id="617"/>
      <w:bookmarkEnd w:id="618"/>
      <w:bookmarkEnd w:id="619"/>
      <w:bookmarkEnd w:id="620"/>
    </w:p>
    <w:p w14:paraId="2D20A8EA">
      <w:pPr>
        <w:spacing w:line="360" w:lineRule="auto"/>
        <w:ind w:firstLine="420" w:firstLineChars="200"/>
        <w:jc w:val="left"/>
        <w:rPr>
          <w:rFonts w:hAnsi="宋体"/>
          <w:color w:val="auto"/>
          <w:sz w:val="21"/>
          <w:szCs w:val="21"/>
          <w:highlight w:val="none"/>
        </w:rPr>
      </w:pPr>
      <w:r>
        <w:rPr>
          <w:color w:val="auto"/>
          <w:sz w:val="21"/>
          <w:szCs w:val="21"/>
          <w:highlight w:val="none"/>
        </w:rPr>
        <w:t>7.9.2</w:t>
      </w:r>
      <w:r>
        <w:rPr>
          <w:rFonts w:hint="eastAsia" w:hAnsi="宋体" w:cs="宋体"/>
          <w:color w:val="auto"/>
          <w:sz w:val="21"/>
          <w:szCs w:val="21"/>
          <w:highlight w:val="none"/>
        </w:rPr>
        <w:t>提前竣工（赶工）增加费的计算方法：</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674612E5">
      <w:pPr>
        <w:pStyle w:val="3"/>
        <w:rPr>
          <w:color w:val="auto"/>
          <w:highlight w:val="none"/>
        </w:rPr>
      </w:pPr>
      <w:bookmarkStart w:id="621" w:name="_Toc373227731"/>
      <w:bookmarkStart w:id="622" w:name="_Toc78449819"/>
      <w:bookmarkStart w:id="623" w:name="_Toc373478378"/>
      <w:bookmarkStart w:id="624" w:name="_Toc1400878670"/>
      <w:bookmarkStart w:id="625" w:name="_Toc407135233"/>
      <w:bookmarkStart w:id="626" w:name="_Toc27381"/>
      <w:bookmarkStart w:id="627" w:name="_Toc1302158431"/>
      <w:bookmarkStart w:id="628" w:name="_Toc351203640"/>
      <w:bookmarkStart w:id="629" w:name="_Toc389065297"/>
      <w:r>
        <w:rPr>
          <w:color w:val="auto"/>
          <w:highlight w:val="none"/>
        </w:rPr>
        <w:t>8.</w:t>
      </w:r>
      <w:r>
        <w:rPr>
          <w:rFonts w:hint="eastAsia" w:cs="黑体"/>
          <w:color w:val="auto"/>
          <w:highlight w:val="none"/>
        </w:rPr>
        <w:t>材料与设备</w:t>
      </w:r>
      <w:bookmarkEnd w:id="621"/>
      <w:bookmarkEnd w:id="622"/>
      <w:bookmarkEnd w:id="623"/>
      <w:bookmarkEnd w:id="624"/>
      <w:bookmarkEnd w:id="625"/>
      <w:bookmarkEnd w:id="626"/>
      <w:bookmarkEnd w:id="627"/>
      <w:bookmarkEnd w:id="628"/>
      <w:bookmarkEnd w:id="629"/>
    </w:p>
    <w:bookmarkEnd w:id="462"/>
    <w:bookmarkEnd w:id="463"/>
    <w:bookmarkEnd w:id="464"/>
    <w:bookmarkEnd w:id="465"/>
    <w:bookmarkEnd w:id="466"/>
    <w:bookmarkEnd w:id="467"/>
    <w:bookmarkEnd w:id="468"/>
    <w:bookmarkEnd w:id="469"/>
    <w:bookmarkEnd w:id="470"/>
    <w:bookmarkEnd w:id="471"/>
    <w:p w14:paraId="19AA4AD7">
      <w:pPr>
        <w:pStyle w:val="4"/>
        <w:rPr>
          <w:color w:val="auto"/>
          <w:highlight w:val="none"/>
        </w:rPr>
      </w:pPr>
      <w:bookmarkStart w:id="630" w:name="_Toc1078610395"/>
      <w:bookmarkStart w:id="631" w:name="_Toc78449820"/>
      <w:bookmarkStart w:id="632" w:name="_Toc29088"/>
      <w:bookmarkStart w:id="633" w:name="_Toc389065298"/>
      <w:bookmarkStart w:id="634" w:name="_Toc373227732"/>
      <w:bookmarkStart w:id="635" w:name="_Toc1119561048"/>
      <w:bookmarkStart w:id="636" w:name="_Toc373478379"/>
      <w:bookmarkStart w:id="637" w:name="_Toc407135234"/>
      <w:r>
        <w:rPr>
          <w:color w:val="auto"/>
          <w:highlight w:val="none"/>
        </w:rPr>
        <w:t>8.2</w:t>
      </w:r>
      <w:r>
        <w:rPr>
          <w:rFonts w:hint="eastAsia" w:cs="黑体"/>
          <w:color w:val="auto"/>
          <w:highlight w:val="none"/>
        </w:rPr>
        <w:t>承包人采购材料与工程设备</w:t>
      </w:r>
      <w:bookmarkEnd w:id="630"/>
      <w:bookmarkEnd w:id="631"/>
      <w:bookmarkEnd w:id="632"/>
      <w:bookmarkEnd w:id="633"/>
      <w:bookmarkEnd w:id="634"/>
      <w:bookmarkEnd w:id="635"/>
      <w:bookmarkEnd w:id="636"/>
      <w:bookmarkEnd w:id="637"/>
    </w:p>
    <w:p w14:paraId="2414B463">
      <w:pPr>
        <w:autoSpaceDE w:val="0"/>
        <w:autoSpaceDN w:val="0"/>
        <w:adjustRightInd w:val="0"/>
        <w:spacing w:line="360" w:lineRule="auto"/>
        <w:ind w:firstLine="420" w:firstLineChars="200"/>
        <w:jc w:val="left"/>
        <w:rPr>
          <w:rFonts w:hint="eastAsia" w:cs="宋体"/>
          <w:color w:val="auto"/>
          <w:sz w:val="21"/>
          <w:szCs w:val="21"/>
          <w:highlight w:val="none"/>
        </w:rPr>
      </w:pPr>
      <w:r>
        <w:rPr>
          <w:rFonts w:hint="eastAsia" w:cs="宋体"/>
          <w:color w:val="auto"/>
          <w:kern w:val="0"/>
          <w:sz w:val="21"/>
          <w:szCs w:val="21"/>
          <w:highlight w:val="none"/>
        </w:rPr>
        <w:t>除已标价工程量清单《发包人提供主要材料和工程设备一览表》（表</w:t>
      </w:r>
      <w:r>
        <w:rPr>
          <w:color w:val="auto"/>
          <w:kern w:val="0"/>
          <w:sz w:val="21"/>
          <w:szCs w:val="21"/>
          <w:highlight w:val="none"/>
        </w:rPr>
        <w:t>-21</w:t>
      </w:r>
      <w:r>
        <w:rPr>
          <w:rFonts w:hint="eastAsia" w:cs="宋体"/>
          <w:color w:val="auto"/>
          <w:kern w:val="0"/>
          <w:sz w:val="21"/>
          <w:szCs w:val="21"/>
          <w:highlight w:val="none"/>
        </w:rPr>
        <w:t>）中明确的材料、工程设备外，由承包人负责材料和工程设备的采购、运输和保管。</w:t>
      </w:r>
      <w:bookmarkStart w:id="638" w:name="_Toc373227733"/>
      <w:bookmarkStart w:id="639" w:name="_Toc373478380"/>
      <w:bookmarkStart w:id="640" w:name="_Toc389065299"/>
    </w:p>
    <w:p w14:paraId="69DECF9E">
      <w:pPr>
        <w:autoSpaceDE w:val="0"/>
        <w:autoSpaceDN w:val="0"/>
        <w:adjustRightIn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对发包人在招标时有“参照或相当于</w:t>
      </w:r>
      <w:r>
        <w:rPr>
          <w:color w:val="auto"/>
          <w:sz w:val="21"/>
          <w:szCs w:val="21"/>
          <w:highlight w:val="none"/>
        </w:rPr>
        <w:t>**</w:t>
      </w:r>
      <w:r>
        <w:rPr>
          <w:rFonts w:hint="eastAsia" w:cs="宋体"/>
          <w:color w:val="auto"/>
          <w:sz w:val="21"/>
          <w:szCs w:val="21"/>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52D9E05C">
      <w:pPr>
        <w:autoSpaceDE w:val="0"/>
        <w:autoSpaceDN w:val="0"/>
        <w:adjustRightInd w:val="0"/>
        <w:spacing w:line="360" w:lineRule="auto"/>
        <w:ind w:firstLine="420" w:firstLineChars="200"/>
        <w:jc w:val="left"/>
        <w:rPr>
          <w:rFonts w:hint="eastAsia"/>
          <w:color w:val="auto"/>
          <w:sz w:val="21"/>
          <w:szCs w:val="21"/>
          <w:highlight w:val="none"/>
        </w:rPr>
      </w:pPr>
      <w:r>
        <w:rPr>
          <w:rFonts w:hint="eastAsia"/>
          <w:color w:val="auto"/>
          <w:sz w:val="21"/>
          <w:szCs w:val="21"/>
          <w:highlight w:val="none"/>
        </w:rPr>
        <w:t>禁止使用松木、松木包装材料设备、种子、苗木、花卉及繁殖材料。</w:t>
      </w:r>
    </w:p>
    <w:p w14:paraId="730673F1">
      <w:pPr>
        <w:pStyle w:val="4"/>
        <w:rPr>
          <w:color w:val="auto"/>
          <w:highlight w:val="none"/>
        </w:rPr>
      </w:pPr>
      <w:bookmarkStart w:id="641" w:name="_Toc407135235"/>
      <w:bookmarkStart w:id="642" w:name="_Toc1355357553"/>
      <w:bookmarkStart w:id="643" w:name="_Toc800965933"/>
      <w:bookmarkStart w:id="644" w:name="_Toc5471"/>
      <w:bookmarkStart w:id="645" w:name="_Toc78449821"/>
      <w:r>
        <w:rPr>
          <w:color w:val="auto"/>
          <w:highlight w:val="none"/>
        </w:rPr>
        <w:t>8</w:t>
      </w:r>
      <w:bookmarkStart w:id="646" w:name="_Toc312677493"/>
      <w:bookmarkStart w:id="647" w:name="_Toc297048353"/>
      <w:bookmarkStart w:id="648" w:name="_Toc296890995"/>
      <w:bookmarkStart w:id="649" w:name="_Toc292559877"/>
      <w:bookmarkStart w:id="650" w:name="_Toc297123527"/>
      <w:bookmarkStart w:id="651" w:name="_Toc296347166"/>
      <w:bookmarkStart w:id="652" w:name="_Toc296944506"/>
      <w:bookmarkStart w:id="653" w:name="_Toc312678019"/>
      <w:bookmarkStart w:id="654" w:name="_Toc304295556"/>
      <w:bookmarkStart w:id="655" w:name="_Toc296503167"/>
      <w:bookmarkStart w:id="656" w:name="_Toc297216186"/>
      <w:bookmarkStart w:id="657" w:name="_Toc303539136"/>
      <w:bookmarkStart w:id="658" w:name="_Toc296346668"/>
      <w:bookmarkStart w:id="659" w:name="_Toc292559372"/>
      <w:bookmarkStart w:id="660" w:name="_Toc297120467"/>
      <w:bookmarkStart w:id="661" w:name="_Toc300934979"/>
      <w:bookmarkStart w:id="662" w:name="_Toc280868654"/>
      <w:bookmarkStart w:id="663" w:name="_Toc296891207"/>
      <w:bookmarkStart w:id="664" w:name="_Toc280868656"/>
      <w:bookmarkStart w:id="665" w:name="_Toc280868655"/>
      <w:bookmarkStart w:id="666" w:name="_Toc267251424"/>
      <w:r>
        <w:rPr>
          <w:color w:val="auto"/>
          <w:highlight w:val="none"/>
        </w:rPr>
        <w:t>.4</w:t>
      </w:r>
      <w:r>
        <w:rPr>
          <w:rFonts w:hint="eastAsia" w:cs="黑体"/>
          <w:color w:val="auto"/>
          <w:highlight w:val="none"/>
        </w:rPr>
        <w:t>材料与工程设备的保管与使用</w:t>
      </w:r>
      <w:bookmarkEnd w:id="638"/>
      <w:bookmarkEnd w:id="639"/>
      <w:bookmarkEnd w:id="640"/>
      <w:bookmarkEnd w:id="641"/>
      <w:bookmarkEnd w:id="642"/>
      <w:bookmarkEnd w:id="643"/>
      <w:bookmarkEnd w:id="644"/>
      <w:bookmarkEnd w:id="645"/>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14:paraId="60CF5B42">
      <w:pPr>
        <w:spacing w:line="360" w:lineRule="auto"/>
        <w:ind w:firstLine="420" w:firstLineChars="200"/>
        <w:jc w:val="left"/>
        <w:rPr>
          <w:color w:val="auto"/>
          <w:sz w:val="21"/>
          <w:szCs w:val="21"/>
          <w:highlight w:val="none"/>
          <w:u w:val="single"/>
        </w:rPr>
      </w:pPr>
      <w:r>
        <w:rPr>
          <w:color w:val="auto"/>
          <w:sz w:val="21"/>
          <w:szCs w:val="21"/>
          <w:highlight w:val="none"/>
        </w:rPr>
        <w:t>8</w:t>
      </w:r>
      <w:bookmarkStart w:id="667" w:name="_Toc292559373"/>
      <w:bookmarkStart w:id="668" w:name="_Toc292559878"/>
      <w:bookmarkStart w:id="669" w:name="_Toc297120468"/>
      <w:bookmarkStart w:id="670" w:name="_Toc300934980"/>
      <w:bookmarkStart w:id="671" w:name="_Toc312678020"/>
      <w:bookmarkStart w:id="672" w:name="_Toc318581173"/>
      <w:bookmarkStart w:id="673" w:name="_Toc296944507"/>
      <w:bookmarkStart w:id="674" w:name="_Toc296503168"/>
      <w:bookmarkStart w:id="675" w:name="_Toc297123528"/>
      <w:bookmarkStart w:id="676" w:name="_Toc296890996"/>
      <w:bookmarkStart w:id="677" w:name="_Toc304295557"/>
      <w:bookmarkStart w:id="678" w:name="_Toc296346669"/>
      <w:bookmarkStart w:id="679" w:name="_Toc296347167"/>
      <w:bookmarkStart w:id="680" w:name="_Toc297048354"/>
      <w:bookmarkStart w:id="681" w:name="_Toc312677494"/>
      <w:bookmarkStart w:id="682" w:name="_Toc303539137"/>
      <w:bookmarkStart w:id="683" w:name="_Toc296891208"/>
      <w:bookmarkStart w:id="684" w:name="_Toc297216187"/>
      <w:r>
        <w:rPr>
          <w:color w:val="auto"/>
          <w:sz w:val="21"/>
          <w:szCs w:val="21"/>
          <w:highlight w:val="none"/>
        </w:rPr>
        <w:t>.4.1</w:t>
      </w:r>
      <w:r>
        <w:rPr>
          <w:rFonts w:hint="eastAsia" w:hAnsi="宋体" w:cs="宋体"/>
          <w:color w:val="auto"/>
          <w:sz w:val="21"/>
          <w:szCs w:val="21"/>
          <w:highlight w:val="none"/>
        </w:rPr>
        <w:t>发包人供应的材料设备的保管费用的承担：</w:t>
      </w:r>
      <w:r>
        <w:rPr>
          <w:rFonts w:hint="eastAsia"/>
          <w:color w:val="auto"/>
          <w:sz w:val="21"/>
          <w:szCs w:val="21"/>
          <w:highlight w:val="none"/>
          <w:u w:val="single"/>
          <w:lang w:val="en-US" w:eastAsia="zh-CN"/>
        </w:rPr>
        <w:t>发包人</w:t>
      </w:r>
      <w:r>
        <w:rPr>
          <w:rFonts w:hint="eastAsia" w:hAnsi="宋体" w:cs="宋体"/>
          <w:color w:val="auto"/>
          <w:sz w:val="21"/>
          <w:szCs w:val="21"/>
          <w:highlight w:val="none"/>
        </w:rPr>
        <w:t>。</w:t>
      </w:r>
    </w:p>
    <w:bookmarkEnd w:id="667"/>
    <w:bookmarkEnd w:id="668"/>
    <w:p w14:paraId="0AA0673C">
      <w:pPr>
        <w:pStyle w:val="4"/>
        <w:rPr>
          <w:color w:val="auto"/>
          <w:highlight w:val="none"/>
        </w:rPr>
      </w:pPr>
      <w:bookmarkStart w:id="685" w:name="_Toc8783"/>
      <w:bookmarkStart w:id="686" w:name="_Toc125914831"/>
      <w:bookmarkStart w:id="687" w:name="_Toc1948522881"/>
      <w:bookmarkStart w:id="688" w:name="_Toc373227734"/>
      <w:bookmarkStart w:id="689" w:name="_Toc373478381"/>
      <w:bookmarkStart w:id="690" w:name="_Toc407135236"/>
      <w:bookmarkStart w:id="691" w:name="_Toc78449822"/>
      <w:bookmarkStart w:id="692" w:name="_Toc389065300"/>
      <w:r>
        <w:rPr>
          <w:color w:val="auto"/>
          <w:highlight w:val="none"/>
        </w:rPr>
        <w:t>8.6</w:t>
      </w:r>
      <w:r>
        <w:rPr>
          <w:rFonts w:hint="eastAsia" w:hAnsi="宋体" w:cs="黑体"/>
          <w:color w:val="auto"/>
          <w:highlight w:val="none"/>
        </w:rPr>
        <w:t>样品</w:t>
      </w:r>
      <w:bookmarkEnd w:id="685"/>
      <w:bookmarkEnd w:id="686"/>
      <w:bookmarkEnd w:id="687"/>
      <w:bookmarkEnd w:id="688"/>
      <w:bookmarkEnd w:id="689"/>
      <w:bookmarkEnd w:id="690"/>
      <w:bookmarkEnd w:id="691"/>
      <w:bookmarkEnd w:id="692"/>
    </w:p>
    <w:p w14:paraId="0D22A06E">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rFonts w:hint="eastAsia" w:hAnsi="宋体" w:cs="宋体"/>
          <w:color w:val="auto"/>
          <w:kern w:val="0"/>
          <w:sz w:val="21"/>
          <w:szCs w:val="21"/>
          <w:highlight w:val="none"/>
        </w:rPr>
        <w:t>样品的报送与封存</w:t>
      </w:r>
    </w:p>
    <w:p w14:paraId="1B8BF1F1">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需要承包人报送样品的材料或工程设备，样品的种类、名称、规格、数量要求：</w:t>
      </w:r>
      <w:r>
        <w:rPr>
          <w:rFonts w:hint="eastAsia" w:hAnsi="宋体" w:cs="宋体"/>
          <w:color w:val="auto"/>
          <w:sz w:val="21"/>
          <w:szCs w:val="21"/>
          <w:highlight w:val="none"/>
          <w:u w:val="single"/>
        </w:rPr>
        <w:t>主要材料涉及品种、款式、颜色等方面内容的，承包人应提交准备合格的材料样品送发包人选定。</w:t>
      </w:r>
    </w:p>
    <w:p w14:paraId="7DA2F60C">
      <w:pPr>
        <w:pStyle w:val="4"/>
        <w:rPr>
          <w:color w:val="auto"/>
          <w:highlight w:val="none"/>
        </w:rPr>
      </w:pPr>
      <w:bookmarkStart w:id="693" w:name="_Toc373478382"/>
      <w:bookmarkStart w:id="694" w:name="_Toc407135237"/>
      <w:bookmarkStart w:id="695" w:name="_Toc29865"/>
      <w:bookmarkStart w:id="696" w:name="_Toc389065301"/>
      <w:bookmarkStart w:id="697" w:name="_Toc997640704"/>
      <w:bookmarkStart w:id="698" w:name="_Toc1049576644"/>
      <w:bookmarkStart w:id="699" w:name="_Toc78449823"/>
      <w:bookmarkStart w:id="700" w:name="_Toc373227735"/>
      <w:r>
        <w:rPr>
          <w:color w:val="auto"/>
          <w:highlight w:val="none"/>
        </w:rPr>
        <w:t>8.8</w:t>
      </w:r>
      <w:r>
        <w:rPr>
          <w:rFonts w:hint="eastAsia" w:cs="黑体"/>
          <w:color w:val="auto"/>
          <w:highlight w:val="none"/>
        </w:rPr>
        <w:t>施工设备和临时设施</w:t>
      </w:r>
      <w:bookmarkEnd w:id="693"/>
      <w:bookmarkEnd w:id="694"/>
      <w:bookmarkEnd w:id="695"/>
      <w:bookmarkEnd w:id="696"/>
      <w:bookmarkEnd w:id="697"/>
      <w:bookmarkEnd w:id="698"/>
      <w:bookmarkEnd w:id="699"/>
      <w:bookmarkEnd w:id="700"/>
    </w:p>
    <w:p w14:paraId="0390E299">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8.8.1</w:t>
      </w:r>
      <w:r>
        <w:rPr>
          <w:rFonts w:hint="eastAsia" w:hAnsi="宋体" w:cs="宋体"/>
          <w:color w:val="auto"/>
          <w:sz w:val="21"/>
          <w:szCs w:val="21"/>
          <w:highlight w:val="none"/>
        </w:rPr>
        <w:t>承包人提供的施工设备和临时设施</w:t>
      </w:r>
    </w:p>
    <w:p w14:paraId="54509CD9">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sz w:val="21"/>
          <w:szCs w:val="21"/>
          <w:highlight w:val="none"/>
        </w:rPr>
        <w:t>承包人用于本工程的主要机械设备清单见合同附件4。</w:t>
      </w:r>
    </w:p>
    <w:p w14:paraId="7F5CC0EF">
      <w:pPr>
        <w:pStyle w:val="20"/>
        <w:keepNext w:val="0"/>
        <w:keepLines w:val="0"/>
        <w:widowControl/>
        <w:suppressLineNumbers w:val="0"/>
        <w:shd w:val="clear" w:fill="FFFFFF"/>
        <w:spacing w:before="240" w:beforeAutospacing="0" w:after="240" w:afterAutospacing="0"/>
        <w:ind w:left="0" w:right="0" w:firstLine="420" w:firstLineChars="200"/>
        <w:rPr>
          <w:rFonts w:hint="eastAsia" w:hAnsi="宋体" w:cs="宋体"/>
          <w:color w:val="auto"/>
          <w:sz w:val="21"/>
          <w:szCs w:val="21"/>
          <w:highlight w:val="none"/>
        </w:rPr>
      </w:pPr>
      <w:r>
        <w:rPr>
          <w:rFonts w:hint="eastAsia" w:hAnsi="宋体" w:cs="宋体"/>
          <w:color w:val="auto"/>
          <w:sz w:val="21"/>
          <w:szCs w:val="21"/>
          <w:highlight w:val="none"/>
        </w:rPr>
        <w:t>关于修建临时设施费用承担的约定：</w:t>
      </w:r>
    </w:p>
    <w:p w14:paraId="5B941D9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（1）承包人自行修建的临时设施费用已在投标报价中综合考虑，除专用合同条款另有约定外，由承包人自行承担。</w:t>
      </w:r>
    </w:p>
    <w:p w14:paraId="7FFC972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承包人的临时设施用地（含项目部驻地、材料加工场、材料堆场等）的租用费用由承包人承担。承包人在规划红线范围外搭设临时设施需要临时占地的，应由承包人按照相关要求办理申请手续并承担相应费用，并应获得发包人的事先书面批准。</w:t>
      </w:r>
    </w:p>
    <w:p w14:paraId="3072DF8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（3）承包人负责合同实施期间其施工区域内临时交通道路（含场内外连接公共交通道路）和交通设施的修建、维修、养护和交通管理工作，费用由承包人承担。</w:t>
      </w:r>
    </w:p>
    <w:p w14:paraId="30505A1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（4）承包人修建的临时道路和交通设施，应免费提供给发包人、监理人使用。</w:t>
      </w:r>
    </w:p>
    <w:p w14:paraId="3DDE464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（5）施工用水用电从发包人提供的接口点至各施工用水用电点的管线敷设及计量表具安装，费用由承包人承担。</w:t>
      </w:r>
    </w:p>
    <w:p w14:paraId="30DEA4A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u w:val="single"/>
          <w:lang w:val="en-US" w:eastAsia="zh-CN" w:bidi="ar-SA"/>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w:t>
      </w:r>
      <w:r>
        <w:rPr>
          <w:rFonts w:hint="eastAsia" w:ascii="Times New Roman" w:cs="宋体"/>
          <w:color w:val="auto"/>
          <w:kern w:val="2"/>
          <w:sz w:val="21"/>
          <w:szCs w:val="21"/>
          <w:highlight w:val="none"/>
          <w:u w:val="single"/>
          <w:lang w:val="en-US" w:eastAsia="zh-CN" w:bidi="ar-SA"/>
        </w:rPr>
        <w:t>3</w:t>
      </w:r>
      <w:r>
        <w:rPr>
          <w:rFonts w:hint="eastAsia" w:ascii="Times New Roman" w:hAnsi="宋体" w:eastAsia="宋体" w:cs="宋体"/>
          <w:color w:val="auto"/>
          <w:kern w:val="2"/>
          <w:sz w:val="21"/>
          <w:szCs w:val="21"/>
          <w:highlight w:val="none"/>
          <w:u w:val="single"/>
          <w:lang w:val="en-US" w:eastAsia="zh-CN" w:bidi="ar-SA"/>
        </w:rPr>
        <w:t>）承包人的临时设施布置须经发包人代表及总监理工程师审批同意后方可实施。承包人的临时办公和生活设施应避开村民饮用水源、农田灌溉渠道等区域，不得影响村民正常生产生活。</w:t>
      </w:r>
    </w:p>
    <w:p w14:paraId="4343F663">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8.8.2</w:t>
      </w:r>
      <w:r>
        <w:rPr>
          <w:rFonts w:hint="eastAsia" w:hAnsi="宋体" w:cs="宋体"/>
          <w:color w:val="auto"/>
          <w:sz w:val="21"/>
          <w:szCs w:val="21"/>
          <w:highlight w:val="none"/>
        </w:rPr>
        <w:t>发包人提供的施工设备和临时设施</w:t>
      </w:r>
    </w:p>
    <w:p w14:paraId="42C6A920">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w:t>
      </w:r>
      <w:r>
        <w:rPr>
          <w:rFonts w:hint="eastAsia"/>
          <w:color w:val="auto"/>
          <w:sz w:val="21"/>
          <w:szCs w:val="21"/>
          <w:highlight w:val="none"/>
          <w:u w:val="single"/>
          <w:lang w:eastAsia="zh-CN"/>
        </w:rPr>
        <w:t>本项目发包人不提供施工设备和临时设施，所有施工设备及临时设施均由承包人自行配备和修建。发包人在施工现场为承包人及监理人各预留一处临时办公用房搭建场地，具体位置由发包人指定。发包人将施工用水接口接至施工现场边缘，将临时用电接口接至施工现场边缘指定配电点。承包人负责接口后的水电线路敷设计量表具安装。</w:t>
      </w:r>
      <w:r>
        <w:rPr>
          <w:rFonts w:hint="eastAsia" w:hAnsi="宋体" w:cs="宋体"/>
          <w:color w:val="auto"/>
          <w:sz w:val="21"/>
          <w:szCs w:val="21"/>
          <w:highlight w:val="none"/>
        </w:rPr>
        <w:t>。</w:t>
      </w:r>
    </w:p>
    <w:p w14:paraId="4DDA1EF3">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发包人提供的施工设备和临时设施的运行、维护、拆除、清运费用的承担人：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14:paraId="1ED5C934">
      <w:pPr>
        <w:pStyle w:val="3"/>
        <w:rPr>
          <w:color w:val="auto"/>
          <w:highlight w:val="none"/>
        </w:rPr>
      </w:pPr>
      <w:bookmarkStart w:id="701" w:name="_Toc2039161841"/>
      <w:bookmarkStart w:id="702" w:name="_Toc78449824"/>
      <w:bookmarkStart w:id="703" w:name="_Toc351203641"/>
      <w:bookmarkStart w:id="704" w:name="_Toc373478383"/>
      <w:bookmarkStart w:id="705" w:name="_Toc11532"/>
      <w:bookmarkStart w:id="706" w:name="_Toc373227736"/>
      <w:bookmarkStart w:id="707" w:name="_Toc389065302"/>
      <w:bookmarkStart w:id="708" w:name="_Toc2027787496"/>
      <w:bookmarkStart w:id="709" w:name="_Toc407135238"/>
      <w:r>
        <w:rPr>
          <w:color w:val="auto"/>
          <w:highlight w:val="none"/>
        </w:rPr>
        <w:t>9</w:t>
      </w:r>
      <w:bookmarkEnd w:id="664"/>
      <w:bookmarkEnd w:id="665"/>
      <w:bookmarkEnd w:id="666"/>
      <w:bookmarkStart w:id="710" w:name="_Toc303539139"/>
      <w:bookmarkStart w:id="711" w:name="_Toc312677495"/>
      <w:bookmarkStart w:id="712" w:name="_Toc312678021"/>
      <w:bookmarkStart w:id="713" w:name="_Toc297123533"/>
      <w:bookmarkStart w:id="714" w:name="_Toc297216192"/>
      <w:bookmarkStart w:id="715" w:name="_Toc300934982"/>
      <w:bookmarkStart w:id="716" w:name="_Toc304295559"/>
      <w:bookmarkStart w:id="717" w:name="_Toc267251427"/>
      <w:bookmarkStart w:id="718" w:name="_Toc296891001"/>
      <w:bookmarkStart w:id="719" w:name="_Toc296503173"/>
      <w:bookmarkStart w:id="720" w:name="_Toc297120473"/>
      <w:bookmarkStart w:id="721" w:name="_Toc296346674"/>
      <w:bookmarkStart w:id="722" w:name="_Toc292559378"/>
      <w:bookmarkStart w:id="723" w:name="_Toc296891213"/>
      <w:bookmarkStart w:id="724" w:name="_Toc297048359"/>
      <w:bookmarkStart w:id="725" w:name="_Toc292559883"/>
      <w:bookmarkStart w:id="726" w:name="_Toc267251428"/>
      <w:bookmarkStart w:id="727" w:name="_Toc296347172"/>
      <w:bookmarkStart w:id="728" w:name="_Toc296944512"/>
      <w:r>
        <w:rPr>
          <w:color w:val="auto"/>
          <w:highlight w:val="none"/>
        </w:rPr>
        <w:t>.</w:t>
      </w:r>
      <w:r>
        <w:rPr>
          <w:rFonts w:hint="eastAsia" w:cs="黑体"/>
          <w:color w:val="auto"/>
          <w:highlight w:val="none"/>
        </w:rPr>
        <w:t>试验与检验</w:t>
      </w:r>
      <w:bookmarkEnd w:id="701"/>
      <w:bookmarkEnd w:id="702"/>
      <w:bookmarkEnd w:id="703"/>
      <w:bookmarkEnd w:id="704"/>
      <w:bookmarkEnd w:id="705"/>
      <w:bookmarkEnd w:id="706"/>
      <w:bookmarkEnd w:id="707"/>
      <w:bookmarkEnd w:id="708"/>
      <w:bookmarkEnd w:id="709"/>
    </w:p>
    <w:bookmarkEnd w:id="710"/>
    <w:bookmarkEnd w:id="711"/>
    <w:bookmarkEnd w:id="712"/>
    <w:bookmarkEnd w:id="713"/>
    <w:bookmarkEnd w:id="714"/>
    <w:bookmarkEnd w:id="715"/>
    <w:bookmarkEnd w:id="716"/>
    <w:p w14:paraId="7BA3A6CD">
      <w:pPr>
        <w:pStyle w:val="4"/>
        <w:rPr>
          <w:color w:val="auto"/>
          <w:highlight w:val="none"/>
        </w:rPr>
      </w:pPr>
      <w:bookmarkStart w:id="729" w:name="_Toc78449825"/>
      <w:bookmarkStart w:id="730" w:name="_Toc1307315193"/>
      <w:bookmarkStart w:id="731" w:name="_Toc530697003"/>
      <w:bookmarkStart w:id="732" w:name="_Toc373478384"/>
      <w:bookmarkStart w:id="733" w:name="_Toc407135239"/>
      <w:bookmarkStart w:id="734" w:name="_Toc373227737"/>
      <w:bookmarkStart w:id="735" w:name="_Toc389065303"/>
      <w:bookmarkStart w:id="736" w:name="_Toc25788"/>
      <w:r>
        <w:rPr>
          <w:color w:val="auto"/>
          <w:highlight w:val="none"/>
        </w:rPr>
        <w:t>9</w:t>
      </w:r>
      <w:bookmarkStart w:id="737" w:name="_Toc300934983"/>
      <w:bookmarkStart w:id="738" w:name="_Toc297123534"/>
      <w:bookmarkStart w:id="739" w:name="_Toc303539140"/>
      <w:bookmarkStart w:id="740" w:name="_Toc304295560"/>
      <w:bookmarkStart w:id="741" w:name="_Toc297216193"/>
      <w:bookmarkStart w:id="742" w:name="_Toc312677496"/>
      <w:bookmarkStart w:id="743" w:name="_Toc312678022"/>
      <w:r>
        <w:rPr>
          <w:color w:val="auto"/>
          <w:highlight w:val="none"/>
        </w:rPr>
        <w:t>.1</w:t>
      </w:r>
      <w:r>
        <w:rPr>
          <w:rFonts w:hint="eastAsia" w:cs="黑体"/>
          <w:color w:val="auto"/>
          <w:highlight w:val="none"/>
        </w:rPr>
        <w:t>试验设备与试验人员</w:t>
      </w:r>
      <w:bookmarkEnd w:id="729"/>
      <w:bookmarkEnd w:id="730"/>
      <w:bookmarkEnd w:id="731"/>
      <w:bookmarkEnd w:id="732"/>
      <w:bookmarkEnd w:id="733"/>
      <w:bookmarkEnd w:id="734"/>
      <w:bookmarkEnd w:id="735"/>
      <w:bookmarkEnd w:id="736"/>
    </w:p>
    <w:bookmarkEnd w:id="737"/>
    <w:bookmarkEnd w:id="738"/>
    <w:bookmarkEnd w:id="739"/>
    <w:bookmarkEnd w:id="740"/>
    <w:bookmarkEnd w:id="741"/>
    <w:bookmarkEnd w:id="742"/>
    <w:bookmarkEnd w:id="743"/>
    <w:p w14:paraId="6726773C">
      <w:pPr>
        <w:spacing w:line="360" w:lineRule="auto"/>
        <w:ind w:firstLine="420" w:firstLineChars="200"/>
        <w:jc w:val="left"/>
        <w:rPr>
          <w:color w:val="auto"/>
          <w:sz w:val="21"/>
          <w:szCs w:val="21"/>
          <w:highlight w:val="none"/>
        </w:rPr>
      </w:pPr>
      <w:r>
        <w:rPr>
          <w:color w:val="auto"/>
          <w:sz w:val="21"/>
          <w:szCs w:val="21"/>
          <w:highlight w:val="none"/>
        </w:rPr>
        <w:t>9</w:t>
      </w:r>
      <w:bookmarkStart w:id="744" w:name="_Toc297216194"/>
      <w:bookmarkStart w:id="745" w:name="_Toc304295561"/>
      <w:bookmarkStart w:id="746" w:name="_Toc312678023"/>
      <w:bookmarkStart w:id="747" w:name="_Toc300934984"/>
      <w:bookmarkStart w:id="748" w:name="_Toc303539141"/>
      <w:bookmarkStart w:id="749" w:name="_Toc312677497"/>
      <w:bookmarkStart w:id="750" w:name="_Toc297123535"/>
      <w:bookmarkStart w:id="751" w:name="_Toc318581174"/>
      <w:r>
        <w:rPr>
          <w:color w:val="auto"/>
          <w:sz w:val="21"/>
          <w:szCs w:val="21"/>
          <w:highlight w:val="none"/>
        </w:rPr>
        <w:t>.1.2</w:t>
      </w:r>
      <w:r>
        <w:rPr>
          <w:rFonts w:hint="eastAsia" w:hAnsi="宋体" w:cs="宋体"/>
          <w:color w:val="auto"/>
          <w:sz w:val="21"/>
          <w:szCs w:val="21"/>
          <w:highlight w:val="none"/>
        </w:rPr>
        <w:t>试验设备</w:t>
      </w:r>
    </w:p>
    <w:bookmarkEnd w:id="744"/>
    <w:bookmarkEnd w:id="745"/>
    <w:bookmarkEnd w:id="746"/>
    <w:bookmarkEnd w:id="747"/>
    <w:bookmarkEnd w:id="748"/>
    <w:bookmarkEnd w:id="749"/>
    <w:bookmarkEnd w:id="750"/>
    <w:p w14:paraId="5337B1F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pPr>
      <w:bookmarkStart w:id="752" w:name="_Toc373227738"/>
      <w:bookmarkStart w:id="753" w:name="_Toc492347879"/>
      <w:bookmarkStart w:id="754" w:name="_Toc389065304"/>
      <w:bookmarkStart w:id="755" w:name="_Toc407135240"/>
      <w:bookmarkStart w:id="756" w:name="_Toc78449826"/>
      <w:bookmarkStart w:id="757" w:name="_Toc373478385"/>
      <w:bookmarkStart w:id="758" w:name="_Toc2012255079"/>
      <w:bookmarkStart w:id="759" w:name="_Toc312678024"/>
      <w:bookmarkStart w:id="760" w:name="_Toc300934985"/>
      <w:bookmarkStart w:id="761" w:name="_Toc297123536"/>
      <w:bookmarkStart w:id="762" w:name="_Toc303539142"/>
      <w:bookmarkStart w:id="763" w:name="_Toc304295562"/>
      <w:bookmarkStart w:id="764" w:name="_Toc297216195"/>
      <w:bookmarkStart w:id="765" w:name="_Toc312677498"/>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施工现场需要配置的试验场所：</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设置恒温恒湿标准养护设施（标准养护室或恒温恒湿养护箱），养护条件须符合《混凝土物理力学性能试验方法标准》（GB/T50081-2019）第4.4.1条的规定（温度20±2℃，相对湿度≥95%）。工程质量检测业务由发包人依据专用合同条款第9.5条委托有相应资质的检测机构实施，检测机构所需试验仪器设备不在本条约定的配置范围内</w:t>
      </w:r>
    </w:p>
    <w:p w14:paraId="7A8305A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施工现场需要配备的试验设备：</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配备混凝土试模、砂浆试模、混凝土坍落度测定仪、回弹仪等常用质量控制设备。工程质量检测业务由发包人依据专用合同条款第9.5条委托有相应资质的检测机构实施，检测机构所需试验仪器设备不在本条约定的配置范围内</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5B5A452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施工现场需要具备的其他试验条件：</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现场应满足试验设备正常运行的供电条件。涉及见证取样的，应按照《广西壮族自治区建设工程质量检测管理实施细则》（桂建发〔2025〕5号）的要求，由建设单位或监理单位的见证人员监督下现场取样，并在施工现场指定见证取样区域</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430BF640">
      <w:pPr>
        <w:pStyle w:val="4"/>
        <w:rPr>
          <w:rFonts w:hint="eastAsia" w:eastAsia="宋体"/>
          <w:color w:val="auto"/>
          <w:highlight w:val="none"/>
          <w:lang w:eastAsia="zh-CN"/>
        </w:rPr>
      </w:pPr>
      <w:bookmarkStart w:id="766" w:name="_Toc3471"/>
      <w:r>
        <w:rPr>
          <w:color w:val="auto"/>
          <w:highlight w:val="none"/>
        </w:rPr>
        <w:t>9.4</w:t>
      </w:r>
      <w:r>
        <w:rPr>
          <w:rFonts w:hint="eastAsia" w:hAnsi="宋体" w:cs="黑体"/>
          <w:color w:val="auto"/>
          <w:highlight w:val="none"/>
        </w:rPr>
        <w:t>现场工艺试验</w:t>
      </w:r>
      <w:bookmarkEnd w:id="752"/>
      <w:bookmarkEnd w:id="753"/>
      <w:bookmarkEnd w:id="754"/>
      <w:bookmarkEnd w:id="755"/>
      <w:bookmarkEnd w:id="756"/>
      <w:bookmarkEnd w:id="757"/>
      <w:bookmarkEnd w:id="758"/>
      <w:bookmarkEnd w:id="766"/>
    </w:p>
    <w:p w14:paraId="031DD143">
      <w:pPr>
        <w:spacing w:line="360" w:lineRule="auto"/>
        <w:ind w:firstLine="400" w:firstLineChars="200"/>
        <w:jc w:val="left"/>
        <w:rPr>
          <w:color w:val="auto"/>
          <w:highlight w:val="none"/>
        </w:rPr>
      </w:pPr>
      <w:r>
        <w:rPr>
          <w:rFonts w:hint="eastAsia" w:hAnsi="宋体" w:cs="宋体"/>
          <w:color w:val="auto"/>
          <w:highlight w:val="none"/>
        </w:rPr>
        <w:t>现场工艺试验的有关约定：</w:t>
      </w:r>
      <w:r>
        <w:rPr>
          <w:rFonts w:hint="eastAsia"/>
          <w:color w:val="auto"/>
          <w:highlight w:val="none"/>
          <w:u w:val="single"/>
          <w:lang w:val="en-US" w:eastAsia="zh-CN"/>
        </w:rPr>
        <w:t>无</w:t>
      </w:r>
      <w:r>
        <w:rPr>
          <w:rFonts w:hint="eastAsia" w:hAnsi="宋体" w:cs="宋体"/>
          <w:color w:val="auto"/>
          <w:highlight w:val="none"/>
        </w:rPr>
        <w:t>。</w:t>
      </w:r>
    </w:p>
    <w:p w14:paraId="3A0375A3">
      <w:pPr>
        <w:pStyle w:val="4"/>
        <w:rPr>
          <w:color w:val="auto"/>
          <w:highlight w:val="none"/>
        </w:rPr>
      </w:pPr>
      <w:bookmarkStart w:id="767" w:name="_Toc78449827"/>
      <w:bookmarkStart w:id="768" w:name="_Toc407135241"/>
      <w:bookmarkStart w:id="769" w:name="_Toc1539824686"/>
      <w:bookmarkStart w:id="770" w:name="_Toc393419678"/>
      <w:bookmarkStart w:id="771" w:name="_Toc3103"/>
      <w:bookmarkStart w:id="772" w:name="OLE_LINK1"/>
      <w:r>
        <w:rPr>
          <w:color w:val="auto"/>
          <w:highlight w:val="none"/>
        </w:rPr>
        <w:t>9.5</w:t>
      </w:r>
      <w:r>
        <w:rPr>
          <w:rFonts w:hint="eastAsia" w:hAnsi="宋体" w:cs="黑体"/>
          <w:color w:val="auto"/>
          <w:highlight w:val="none"/>
        </w:rPr>
        <w:t>检验费用</w:t>
      </w:r>
      <w:bookmarkEnd w:id="767"/>
      <w:bookmarkEnd w:id="768"/>
      <w:bookmarkEnd w:id="769"/>
      <w:bookmarkEnd w:id="770"/>
      <w:bookmarkEnd w:id="771"/>
    </w:p>
    <w:p w14:paraId="5506B711">
      <w:pPr>
        <w:spacing w:line="360" w:lineRule="auto"/>
        <w:ind w:firstLine="411" w:firstLineChars="196"/>
        <w:rPr>
          <w:color w:val="auto"/>
          <w:sz w:val="21"/>
          <w:szCs w:val="21"/>
          <w:highlight w:val="none"/>
        </w:rPr>
      </w:pPr>
      <w:r>
        <w:rPr>
          <w:rFonts w:hint="eastAsia" w:hAnsi="宋体" w:cs="宋体"/>
          <w:color w:val="auto"/>
          <w:sz w:val="21"/>
          <w:szCs w:val="21"/>
          <w:highlight w:val="none"/>
          <w:lang w:val="en-US" w:eastAsia="zh-CN"/>
        </w:rPr>
        <w:t>如有，</w:t>
      </w:r>
      <w:r>
        <w:rPr>
          <w:rFonts w:hint="eastAsia" w:hAnsi="宋体" w:cs="宋体"/>
          <w:color w:val="auto"/>
          <w:sz w:val="21"/>
          <w:szCs w:val="21"/>
          <w:highlight w:val="none"/>
        </w:rPr>
        <w:t>根据《建设工程质量检测管理办法》（建设部令第</w:t>
      </w:r>
      <w:r>
        <w:rPr>
          <w:color w:val="auto"/>
          <w:sz w:val="21"/>
          <w:szCs w:val="21"/>
          <w:highlight w:val="none"/>
        </w:rPr>
        <w:t>141</w:t>
      </w:r>
      <w:r>
        <w:rPr>
          <w:rFonts w:hint="eastAsia" w:hAnsi="宋体" w:cs="宋体"/>
          <w:color w:val="auto"/>
          <w:sz w:val="21"/>
          <w:szCs w:val="21"/>
          <w:highlight w:val="none"/>
        </w:rPr>
        <w:t>号）以及《广西壮族自治区建设工程质量检测管理规定》</w:t>
      </w:r>
      <w:r>
        <w:rPr>
          <w:rFonts w:hint="eastAsia" w:cs="宋体"/>
          <w:color w:val="auto"/>
          <w:sz w:val="21"/>
          <w:szCs w:val="21"/>
          <w:highlight w:val="none"/>
        </w:rPr>
        <w:t>（</w:t>
      </w:r>
      <w:r>
        <w:rPr>
          <w:rFonts w:hint="eastAsia" w:hAnsi="宋体" w:cs="宋体"/>
          <w:color w:val="auto"/>
          <w:sz w:val="21"/>
          <w:szCs w:val="21"/>
          <w:highlight w:val="none"/>
        </w:rPr>
        <w:t>桂建管</w:t>
      </w:r>
      <w:r>
        <w:rPr>
          <w:rFonts w:hint="eastAsia" w:cs="宋体"/>
          <w:color w:val="auto"/>
          <w:sz w:val="21"/>
          <w:szCs w:val="21"/>
          <w:highlight w:val="none"/>
        </w:rPr>
        <w:t>〔</w:t>
      </w:r>
      <w:r>
        <w:rPr>
          <w:color w:val="auto"/>
          <w:sz w:val="21"/>
          <w:szCs w:val="21"/>
          <w:highlight w:val="none"/>
        </w:rPr>
        <w:t>2013</w:t>
      </w:r>
      <w:r>
        <w:rPr>
          <w:rFonts w:hint="eastAsia" w:cs="宋体"/>
          <w:color w:val="auto"/>
          <w:sz w:val="21"/>
          <w:szCs w:val="21"/>
          <w:highlight w:val="none"/>
        </w:rPr>
        <w:t>〕</w:t>
      </w:r>
      <w:r>
        <w:rPr>
          <w:color w:val="auto"/>
          <w:sz w:val="21"/>
          <w:szCs w:val="21"/>
          <w:highlight w:val="none"/>
        </w:rPr>
        <w:t>11</w:t>
      </w:r>
      <w:r>
        <w:rPr>
          <w:rFonts w:hint="eastAsia" w:hAnsi="宋体" w:cs="宋体"/>
          <w:color w:val="auto"/>
          <w:sz w:val="21"/>
          <w:szCs w:val="21"/>
          <w:highlight w:val="none"/>
        </w:rPr>
        <w:t>号</w:t>
      </w:r>
      <w:r>
        <w:rPr>
          <w:rFonts w:hint="eastAsia" w:cs="宋体"/>
          <w:color w:val="auto"/>
          <w:sz w:val="21"/>
          <w:szCs w:val="21"/>
          <w:highlight w:val="none"/>
        </w:rPr>
        <w:t>）</w:t>
      </w:r>
      <w:r>
        <w:rPr>
          <w:rFonts w:hint="eastAsia" w:hAnsi="宋体" w:cs="宋体"/>
          <w:color w:val="auto"/>
          <w:sz w:val="21"/>
          <w:szCs w:val="21"/>
          <w:highlight w:val="none"/>
        </w:rPr>
        <w:t>规定，工程质量检测业务由发包人委托有相应资质的检测机构检测。费用从发包人的项目建设经费中支出并直接支付给检测机构，不计入合同价款内。</w:t>
      </w:r>
    </w:p>
    <w:bookmarkEnd w:id="751"/>
    <w:bookmarkEnd w:id="759"/>
    <w:bookmarkEnd w:id="760"/>
    <w:bookmarkEnd w:id="761"/>
    <w:bookmarkEnd w:id="762"/>
    <w:bookmarkEnd w:id="763"/>
    <w:bookmarkEnd w:id="764"/>
    <w:bookmarkEnd w:id="765"/>
    <w:bookmarkEnd w:id="772"/>
    <w:p w14:paraId="39803E3A">
      <w:pPr>
        <w:pStyle w:val="3"/>
        <w:rPr>
          <w:color w:val="auto"/>
          <w:highlight w:val="none"/>
        </w:rPr>
      </w:pPr>
      <w:bookmarkStart w:id="773" w:name="_Toc603662032"/>
      <w:bookmarkStart w:id="774" w:name="_Toc11076"/>
      <w:bookmarkStart w:id="775" w:name="_Toc389065305"/>
      <w:bookmarkStart w:id="776" w:name="_Toc1278407274"/>
      <w:bookmarkStart w:id="777" w:name="_Toc373227739"/>
      <w:bookmarkStart w:id="778" w:name="_Toc407135242"/>
      <w:bookmarkStart w:id="779" w:name="_Toc351203642"/>
      <w:bookmarkStart w:id="780" w:name="_Toc78449828"/>
      <w:bookmarkStart w:id="781" w:name="_Toc373478386"/>
      <w:r>
        <w:rPr>
          <w:color w:val="auto"/>
          <w:highlight w:val="none"/>
        </w:rPr>
        <w:t>1</w:t>
      </w:r>
      <w:bookmarkEnd w:id="717"/>
      <w:bookmarkEnd w:id="718"/>
      <w:bookmarkEnd w:id="719"/>
      <w:bookmarkEnd w:id="720"/>
      <w:bookmarkEnd w:id="721"/>
      <w:bookmarkEnd w:id="722"/>
      <w:bookmarkEnd w:id="723"/>
      <w:bookmarkEnd w:id="724"/>
      <w:bookmarkEnd w:id="725"/>
      <w:bookmarkEnd w:id="726"/>
      <w:bookmarkEnd w:id="727"/>
      <w:bookmarkEnd w:id="728"/>
      <w:bookmarkStart w:id="782" w:name="_Toc296503193"/>
      <w:bookmarkStart w:id="783" w:name="_Toc297123540"/>
      <w:bookmarkStart w:id="784" w:name="_Toc296346694"/>
      <w:bookmarkStart w:id="785" w:name="_Toc304295566"/>
      <w:bookmarkStart w:id="786" w:name="_Toc297120493"/>
      <w:bookmarkStart w:id="787" w:name="_Toc296944532"/>
      <w:bookmarkStart w:id="788" w:name="_Toc292559903"/>
      <w:bookmarkStart w:id="789" w:name="_Toc296891021"/>
      <w:bookmarkStart w:id="790" w:name="_Toc292559398"/>
      <w:bookmarkStart w:id="791" w:name="_Toc300934989"/>
      <w:bookmarkStart w:id="792" w:name="_Toc296347192"/>
      <w:bookmarkStart w:id="793" w:name="_Toc303539146"/>
      <w:bookmarkStart w:id="794" w:name="_Toc297216199"/>
      <w:bookmarkStart w:id="795" w:name="_Toc297048379"/>
      <w:bookmarkStart w:id="796" w:name="_Toc296891233"/>
      <w:bookmarkStart w:id="797" w:name="_Toc312677499"/>
      <w:bookmarkStart w:id="798" w:name="_Toc312678025"/>
      <w:bookmarkStart w:id="799" w:name="_Toc267251435"/>
      <w:bookmarkStart w:id="800" w:name="_Toc267251433"/>
      <w:bookmarkStart w:id="801" w:name="_Toc267251440"/>
      <w:bookmarkStart w:id="802" w:name="_Toc267251439"/>
      <w:bookmarkStart w:id="803" w:name="_Toc267251437"/>
      <w:bookmarkStart w:id="804" w:name="_Toc267251441"/>
      <w:bookmarkStart w:id="805" w:name="_Toc267251442"/>
      <w:r>
        <w:rPr>
          <w:color w:val="auto"/>
          <w:highlight w:val="none"/>
        </w:rPr>
        <w:t>0.</w:t>
      </w:r>
      <w:r>
        <w:rPr>
          <w:rFonts w:hint="eastAsia" w:hAnsi="宋体" w:cs="黑体"/>
          <w:color w:val="auto"/>
          <w:highlight w:val="none"/>
        </w:rPr>
        <w:t>变更</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bookmarkEnd w:id="797"/>
    <w:bookmarkEnd w:id="798"/>
    <w:p w14:paraId="7028C25C">
      <w:pPr>
        <w:pStyle w:val="4"/>
        <w:rPr>
          <w:color w:val="auto"/>
          <w:highlight w:val="none"/>
        </w:rPr>
      </w:pPr>
      <w:bookmarkStart w:id="806" w:name="_Toc78449829"/>
      <w:bookmarkStart w:id="807" w:name="_Toc373227740"/>
      <w:bookmarkStart w:id="808" w:name="_Toc389065306"/>
      <w:bookmarkStart w:id="809" w:name="_Toc407135243"/>
      <w:bookmarkStart w:id="810" w:name="_Toc411143415"/>
      <w:bookmarkStart w:id="811" w:name="_Toc11140"/>
      <w:bookmarkStart w:id="812" w:name="_Toc373478387"/>
      <w:bookmarkStart w:id="813" w:name="_Toc1890371558"/>
      <w:r>
        <w:rPr>
          <w:color w:val="auto"/>
          <w:highlight w:val="none"/>
        </w:rPr>
        <w:t>1</w:t>
      </w:r>
      <w:bookmarkStart w:id="814" w:name="_Toc292559904"/>
      <w:bookmarkStart w:id="815" w:name="_Toc296944533"/>
      <w:bookmarkStart w:id="816" w:name="_Toc304295567"/>
      <w:bookmarkStart w:id="817" w:name="_Toc296891234"/>
      <w:bookmarkStart w:id="818" w:name="_Toc296346695"/>
      <w:bookmarkStart w:id="819" w:name="_Toc292559399"/>
      <w:bookmarkStart w:id="820" w:name="_Toc312678026"/>
      <w:bookmarkStart w:id="821" w:name="_Toc297216200"/>
      <w:bookmarkStart w:id="822" w:name="_Toc296503194"/>
      <w:bookmarkStart w:id="823" w:name="_Toc300934990"/>
      <w:bookmarkStart w:id="824" w:name="_Toc297048380"/>
      <w:bookmarkStart w:id="825" w:name="_Toc296891022"/>
      <w:bookmarkStart w:id="826" w:name="_Toc312677500"/>
      <w:bookmarkStart w:id="827" w:name="_Toc303539147"/>
      <w:bookmarkStart w:id="828" w:name="_Toc297120494"/>
      <w:bookmarkStart w:id="829" w:name="_Toc297123541"/>
      <w:bookmarkStart w:id="830" w:name="_Toc296347193"/>
      <w:r>
        <w:rPr>
          <w:color w:val="auto"/>
          <w:highlight w:val="none"/>
        </w:rPr>
        <w:t>0.1</w:t>
      </w:r>
      <w:r>
        <w:rPr>
          <w:rFonts w:hint="eastAsia" w:hAnsi="宋体" w:cs="黑体"/>
          <w:color w:val="auto"/>
          <w:highlight w:val="none"/>
        </w:rPr>
        <w:t>变更的范围</w:t>
      </w:r>
      <w:bookmarkEnd w:id="806"/>
      <w:bookmarkEnd w:id="807"/>
      <w:bookmarkEnd w:id="808"/>
      <w:bookmarkEnd w:id="809"/>
      <w:bookmarkEnd w:id="810"/>
      <w:bookmarkEnd w:id="811"/>
      <w:bookmarkEnd w:id="812"/>
      <w:bookmarkEnd w:id="813"/>
    </w:p>
    <w:p w14:paraId="72137E3A">
      <w:pPr>
        <w:pStyle w:val="20"/>
        <w:keepNext w:val="0"/>
        <w:keepLines w:val="0"/>
        <w:widowControl/>
        <w:suppressLineNumbers w:val="0"/>
        <w:shd w:val="clear" w:fill="FFFFFF"/>
        <w:spacing w:before="240" w:beforeAutospacing="0" w:after="240" w:afterAutospacing="0" w:line="360" w:lineRule="auto"/>
        <w:ind w:left="0" w:right="0" w:firstLine="0"/>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关于变更的范围的约定：</w:t>
      </w:r>
      <w:r>
        <w:rPr>
          <w:rFonts w:hint="default" w:ascii="Times New Roman" w:hAnsi="宋体" w:eastAsia="宋体" w:cs="宋体"/>
          <w:color w:val="auto"/>
          <w:kern w:val="2"/>
          <w:sz w:val="21"/>
          <w:szCs w:val="21"/>
          <w:highlight w:val="none"/>
          <w:u w:val="single"/>
          <w:lang w:val="en-US" w:eastAsia="zh-CN" w:bidi="ar-SA"/>
        </w:rPr>
        <w:t>除专用合同条款另有约定外，在合同履行过程中发生以下情形的，按照本条第10条的约定进行变更：（1）经发包人书面批准的设计文件变更，包括因规划调整、使用功能调整、设计缺陷修正等原因引起的施工图设计变更；（2）发包人书面要求增加或减少合同内某项工作内容，或者为完成本工程需要增加合同外额外工作；（3）施工现场实际条件（含地质条件、地下管线、地下障碍物等）与发包人提供资料存在实质性差异，须调整施工方案或增补技术措施；（4）发包人通知暂停施工后，因发包人原因无法在原定时间内恢复施工，需调整施工顺序或采取赶工措施；（5）因发包人提供的材料、设备规格、数量、交货时间变更或甲供材转为乙供材导致施工方案、施工进度及费用发生实质性变化；（6）发包人书面要求改变合同中任何工作的质量标准或其他特性；（7）发包人书面要求改变合同中约定的工程基线、标高、位置和尺寸；（8）发包人书面要求改变合同中约定的施工顺序或时间安排；（9）为完成本工程需要追加的额外工作，包括但不限于为满足工程竣工验收、规划验收、消防验收、档案验收等建设程序要求所必须增加的配套工作。</w:t>
      </w:r>
    </w:p>
    <w:p w14:paraId="76AECEFB">
      <w:pPr>
        <w:spacing w:line="360" w:lineRule="auto"/>
        <w:ind w:firstLine="426"/>
        <w:jc w:val="left"/>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kern w:val="2"/>
          <w:sz w:val="21"/>
          <w:szCs w:val="21"/>
          <w:highlight w:val="none"/>
          <w:u w:val="single"/>
          <w:lang w:val="en-US" w:eastAsia="zh-CN" w:bidi="ar-SA"/>
        </w:rPr>
        <w:t>承包人不得以变更名义擅自改变原设计文件的工程规模、使用功能及主要技术指标。涉及改变本工程经批复的初步设计及投资概算控制范围内工程内容的，须按崇左市及</w:t>
      </w:r>
      <w:r>
        <w:rPr>
          <w:rFonts w:hint="eastAsia" w:hAnsi="宋体" w:cs="宋体"/>
          <w:color w:val="auto"/>
          <w:kern w:val="2"/>
          <w:sz w:val="21"/>
          <w:szCs w:val="21"/>
          <w:highlight w:val="none"/>
          <w:u w:val="single"/>
          <w:lang w:val="en-US" w:eastAsia="zh-CN" w:bidi="ar-SA"/>
        </w:rPr>
        <w:t>崇左市江州区</w:t>
      </w:r>
      <w:r>
        <w:rPr>
          <w:rFonts w:hint="eastAsia" w:ascii="Times New Roman" w:hAnsi="宋体" w:eastAsia="宋体" w:cs="宋体"/>
          <w:color w:val="auto"/>
          <w:kern w:val="2"/>
          <w:sz w:val="21"/>
          <w:szCs w:val="21"/>
          <w:highlight w:val="none"/>
          <w:u w:val="single"/>
          <w:lang w:val="en-US" w:eastAsia="zh-CN" w:bidi="ar-SA"/>
        </w:rPr>
        <w:t>有关政府投资项目管理的规定办理概算调整审批手续，在审批手续完成前不得擅自实施变更。因图纸深化、图纸会审、施工工艺细化、BIM技术应用等承包人施工义务范围内的技术工作产生的变化，不属于本条约定的工程变更，不调整合同价款。</w:t>
      </w:r>
    </w:p>
    <w:p w14:paraId="67EDF994">
      <w:pPr>
        <w:pStyle w:val="4"/>
        <w:rPr>
          <w:color w:val="auto"/>
          <w:highlight w:val="none"/>
        </w:rPr>
      </w:pPr>
      <w:bookmarkStart w:id="831" w:name="_Toc450749207"/>
      <w:bookmarkStart w:id="832" w:name="_Toc389065307"/>
      <w:bookmarkStart w:id="833" w:name="_Toc373227741"/>
      <w:bookmarkStart w:id="834" w:name="_Toc1641633295"/>
      <w:bookmarkStart w:id="835" w:name="_Toc18217"/>
      <w:bookmarkStart w:id="836" w:name="_Toc373478388"/>
      <w:bookmarkStart w:id="837" w:name="_Toc78449830"/>
      <w:bookmarkStart w:id="838" w:name="_Toc407135244"/>
      <w:r>
        <w:rPr>
          <w:color w:val="auto"/>
          <w:highlight w:val="none"/>
        </w:rPr>
        <w:t>10.3</w:t>
      </w:r>
      <w:r>
        <w:rPr>
          <w:rFonts w:hint="eastAsia" w:hAnsi="宋体" w:cs="黑体"/>
          <w:color w:val="auto"/>
          <w:highlight w:val="none"/>
        </w:rPr>
        <w:t>变更程序</w:t>
      </w:r>
      <w:bookmarkEnd w:id="831"/>
      <w:bookmarkEnd w:id="832"/>
      <w:bookmarkEnd w:id="833"/>
      <w:bookmarkEnd w:id="834"/>
      <w:bookmarkEnd w:id="835"/>
      <w:bookmarkEnd w:id="836"/>
      <w:bookmarkEnd w:id="837"/>
      <w:bookmarkEnd w:id="838"/>
    </w:p>
    <w:p w14:paraId="572466F8">
      <w:pPr>
        <w:pStyle w:val="13"/>
        <w:spacing w:line="360" w:lineRule="auto"/>
        <w:ind w:firstLine="462" w:firstLineChars="210"/>
        <w:rPr>
          <w:rFonts w:ascii="Times New Roman" w:hAnsi="Times New Roman"/>
          <w:color w:val="auto"/>
          <w:sz w:val="22"/>
          <w:szCs w:val="22"/>
          <w:highlight w:val="none"/>
        </w:rPr>
      </w:pPr>
      <w:r>
        <w:rPr>
          <w:rFonts w:ascii="Times New Roman" w:hAnsi="Times New Roman"/>
          <w:color w:val="auto"/>
          <w:sz w:val="22"/>
          <w:szCs w:val="22"/>
          <w:highlight w:val="none"/>
        </w:rPr>
        <w:t>10.3.1</w:t>
      </w:r>
      <w:r>
        <w:rPr>
          <w:rFonts w:hint="eastAsia" w:ascii="Times New Roman" w:hAnsi="Times New Roman"/>
          <w:color w:val="auto"/>
          <w:sz w:val="22"/>
          <w:szCs w:val="22"/>
          <w:highlight w:val="none"/>
        </w:rPr>
        <w:t>国有投资项目：</w:t>
      </w:r>
    </w:p>
    <w:p w14:paraId="54DE426F">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⑴设计变更和工程签证，按各市政府或相关部门的规定办理。属不可抗力（自然灾害、突发事件等）造成变更的，按特事特办原则予以办理。</w:t>
      </w:r>
    </w:p>
    <w:p w14:paraId="5A66DB5B">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⑵建设单位在实施项目过程中，若发生单价变动，由发包人、承包人、监理或造价咨询等单位共同商定并签字确认。</w:t>
      </w:r>
    </w:p>
    <w:p w14:paraId="7FB22BA6">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12B51415">
      <w:pPr>
        <w:spacing w:line="360" w:lineRule="auto"/>
        <w:jc w:val="left"/>
        <w:rPr>
          <w:color w:val="auto"/>
          <w:sz w:val="21"/>
          <w:szCs w:val="21"/>
          <w:highlight w:val="none"/>
        </w:rPr>
      </w:pPr>
      <w:r>
        <w:rPr>
          <w:color w:val="auto"/>
          <w:sz w:val="21"/>
          <w:szCs w:val="21"/>
          <w:highlight w:val="none"/>
        </w:rPr>
        <w:t>10.3.2</w:t>
      </w:r>
      <w:r>
        <w:rPr>
          <w:rFonts w:hint="eastAsia" w:cs="宋体"/>
          <w:color w:val="auto"/>
          <w:sz w:val="21"/>
          <w:szCs w:val="21"/>
          <w:highlight w:val="none"/>
        </w:rPr>
        <w:t>非国有投资项目：</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75B6DF1B">
      <w:pPr>
        <w:pStyle w:val="4"/>
        <w:rPr>
          <w:color w:val="auto"/>
          <w:highlight w:val="none"/>
        </w:rPr>
      </w:pPr>
      <w:bookmarkStart w:id="839" w:name="_Toc1645711468"/>
      <w:bookmarkStart w:id="840" w:name="_Toc389065308"/>
      <w:bookmarkStart w:id="841" w:name="_Toc780640360"/>
      <w:bookmarkStart w:id="842" w:name="_Toc16060"/>
      <w:bookmarkStart w:id="843" w:name="_Toc78449831"/>
      <w:bookmarkStart w:id="844" w:name="_Toc373478389"/>
      <w:bookmarkStart w:id="845" w:name="_Toc373227742"/>
      <w:bookmarkStart w:id="846" w:name="_Toc407135245"/>
      <w:r>
        <w:rPr>
          <w:color w:val="auto"/>
          <w:highlight w:val="none"/>
        </w:rPr>
        <w:t>10.4</w:t>
      </w:r>
      <w:r>
        <w:rPr>
          <w:rFonts w:hint="eastAsia" w:hAnsi="宋体" w:cs="黑体"/>
          <w:color w:val="auto"/>
          <w:highlight w:val="none"/>
        </w:rPr>
        <w:t>变更估价</w:t>
      </w:r>
      <w:bookmarkEnd w:id="839"/>
      <w:bookmarkEnd w:id="840"/>
      <w:bookmarkEnd w:id="841"/>
      <w:bookmarkEnd w:id="842"/>
      <w:bookmarkEnd w:id="843"/>
      <w:bookmarkEnd w:id="844"/>
      <w:bookmarkEnd w:id="845"/>
      <w:bookmarkEnd w:id="846"/>
    </w:p>
    <w:p w14:paraId="4188D6B6">
      <w:pPr>
        <w:spacing w:line="360" w:lineRule="auto"/>
        <w:ind w:firstLine="420" w:firstLineChars="200"/>
        <w:jc w:val="left"/>
        <w:rPr>
          <w:color w:val="auto"/>
          <w:sz w:val="21"/>
          <w:szCs w:val="21"/>
          <w:highlight w:val="none"/>
        </w:rPr>
      </w:pPr>
      <w:r>
        <w:rPr>
          <w:color w:val="auto"/>
          <w:sz w:val="21"/>
          <w:szCs w:val="21"/>
          <w:highlight w:val="none"/>
        </w:rPr>
        <w:t>10.4.1</w:t>
      </w:r>
      <w:r>
        <w:rPr>
          <w:rFonts w:hint="eastAsia" w:hAnsi="宋体" w:cs="宋体"/>
          <w:color w:val="auto"/>
          <w:sz w:val="21"/>
          <w:szCs w:val="21"/>
          <w:highlight w:val="none"/>
        </w:rPr>
        <w:t>变更估价原则</w:t>
      </w:r>
    </w:p>
    <w:p w14:paraId="68514669">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关于变更估价的约定</w:t>
      </w:r>
      <w:r>
        <w:rPr>
          <w:color w:val="auto"/>
          <w:sz w:val="21"/>
          <w:szCs w:val="21"/>
          <w:highlight w:val="none"/>
        </w:rPr>
        <w:t>:</w:t>
      </w:r>
      <w:bookmarkStart w:id="847" w:name="_Toc251051742"/>
      <w:r>
        <w:rPr>
          <w:rFonts w:hint="eastAsia" w:hAnsi="宋体" w:cs="宋体"/>
          <w:color w:val="auto"/>
          <w:sz w:val="21"/>
          <w:szCs w:val="21"/>
          <w:highlight w:val="none"/>
          <w:u w:val="single"/>
        </w:rPr>
        <w:t>工程变更合同价款按下列方法进行：（</w:t>
      </w:r>
      <w:r>
        <w:rPr>
          <w:color w:val="auto"/>
          <w:sz w:val="21"/>
          <w:szCs w:val="21"/>
          <w:highlight w:val="none"/>
          <w:u w:val="single"/>
        </w:rPr>
        <w:t>1</w:t>
      </w:r>
      <w:r>
        <w:rPr>
          <w:rFonts w:hint="eastAsia" w:hAnsi="宋体" w:cs="宋体"/>
          <w:color w:val="auto"/>
          <w:sz w:val="21"/>
          <w:szCs w:val="21"/>
          <w:highlight w:val="none"/>
          <w:u w:val="single"/>
        </w:rPr>
        <w:t>）合同中已有相同清单项目的，按合同该清单项目价格进行计算；（</w:t>
      </w:r>
      <w:r>
        <w:rPr>
          <w:color w:val="auto"/>
          <w:sz w:val="21"/>
          <w:szCs w:val="21"/>
          <w:highlight w:val="none"/>
          <w:u w:val="single"/>
        </w:rPr>
        <w:t>2</w:t>
      </w:r>
      <w:r>
        <w:rPr>
          <w:rFonts w:hint="eastAsia" w:hAnsi="宋体" w:cs="宋体"/>
          <w:color w:val="auto"/>
          <w:sz w:val="21"/>
          <w:szCs w:val="21"/>
          <w:highlight w:val="none"/>
          <w:u w:val="single"/>
        </w:rPr>
        <w:t>）合同中只有类似清单项目的，参照该类似清单项目价格进行计算；（</w:t>
      </w:r>
      <w:r>
        <w:rPr>
          <w:color w:val="auto"/>
          <w:sz w:val="21"/>
          <w:szCs w:val="21"/>
          <w:highlight w:val="none"/>
          <w:u w:val="single"/>
        </w:rPr>
        <w:t>3</w:t>
      </w:r>
      <w:r>
        <w:rPr>
          <w:rFonts w:hint="eastAsia" w:hAnsi="宋体" w:cs="宋体"/>
          <w:color w:val="auto"/>
          <w:sz w:val="21"/>
          <w:szCs w:val="21"/>
          <w:highlight w:val="none"/>
          <w:u w:val="single"/>
        </w:rPr>
        <w:t>）合同中没有适用或类似清单项目的价格计算方法：有定额的套定额，并（</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乘以下浮系数</w:t>
      </w:r>
      <w:r>
        <w:rPr>
          <w:color w:val="auto"/>
          <w:sz w:val="21"/>
          <w:szCs w:val="21"/>
          <w:highlight w:val="none"/>
          <w:u w:val="single"/>
        </w:rPr>
        <w:t>%</w:t>
      </w:r>
      <w:r>
        <w:rPr>
          <w:rFonts w:hint="eastAsia" w:cs="宋体"/>
          <w:color w:val="auto"/>
          <w:sz w:val="21"/>
          <w:szCs w:val="21"/>
          <w:highlight w:val="none"/>
          <w:u w:val="single"/>
        </w:rPr>
        <w:t>，</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不乘下浮系数）计算，其中：材料设备价格按施工期间的《</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市建设工程造价信息》相应信息价的加权平均值计算，《</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847"/>
      <w:r>
        <w:rPr>
          <w:rFonts w:hint="eastAsia" w:hAnsi="宋体" w:cs="宋体"/>
          <w:color w:val="auto"/>
          <w:sz w:val="21"/>
          <w:szCs w:val="21"/>
          <w:highlight w:val="none"/>
        </w:rPr>
        <w:t>。以上约定同时适用于招标工程量清单缺项以及工程量清单项目特征与图纸不符时的价款确定。</w:t>
      </w:r>
    </w:p>
    <w:p w14:paraId="66B20BED">
      <w:pPr>
        <w:spacing w:line="360" w:lineRule="auto"/>
        <w:ind w:firstLine="420" w:firstLineChars="200"/>
        <w:jc w:val="left"/>
        <w:rPr>
          <w:rFonts w:hint="eastAsia" w:cs="宋体"/>
          <w:color w:val="auto"/>
          <w:sz w:val="21"/>
          <w:szCs w:val="21"/>
          <w:highlight w:val="none"/>
          <w:u w:val="single"/>
        </w:rPr>
      </w:pPr>
      <w:r>
        <w:rPr>
          <w:rFonts w:hint="eastAsia" w:cs="宋体"/>
          <w:color w:val="auto"/>
          <w:sz w:val="21"/>
          <w:szCs w:val="21"/>
          <w:highlight w:val="none"/>
          <w:u w:val="single"/>
        </w:rPr>
        <w:t>工程变更导致实际完成的变更工程量与已标价清单或预算书中列明的该项目工程量有偏差时，其综合单价的确定按专用条款“</w:t>
      </w:r>
      <w:r>
        <w:rPr>
          <w:color w:val="auto"/>
          <w:sz w:val="21"/>
          <w:szCs w:val="21"/>
          <w:highlight w:val="none"/>
          <w:u w:val="single"/>
        </w:rPr>
        <w:t>1.13</w:t>
      </w:r>
      <w:r>
        <w:rPr>
          <w:rFonts w:hint="eastAsia" w:cs="宋体"/>
          <w:color w:val="auto"/>
          <w:sz w:val="21"/>
          <w:szCs w:val="21"/>
          <w:highlight w:val="none"/>
          <w:u w:val="single"/>
        </w:rPr>
        <w:t>工程量清单错误的修正”执行。</w:t>
      </w:r>
    </w:p>
    <w:p w14:paraId="274839DF">
      <w:pPr>
        <w:pStyle w:val="4"/>
        <w:rPr>
          <w:color w:val="auto"/>
          <w:highlight w:val="none"/>
        </w:rPr>
      </w:pPr>
      <w:bookmarkStart w:id="848" w:name="_Toc407135246"/>
      <w:bookmarkStart w:id="849" w:name="_Toc389065309"/>
      <w:bookmarkStart w:id="850" w:name="_Toc78449832"/>
      <w:bookmarkStart w:id="851" w:name="_Toc373227743"/>
      <w:bookmarkStart w:id="852" w:name="_Toc373478390"/>
      <w:bookmarkStart w:id="853" w:name="_Toc22889"/>
      <w:bookmarkStart w:id="854" w:name="_Toc650800266"/>
      <w:bookmarkStart w:id="855" w:name="_Toc1342657745"/>
      <w:r>
        <w:rPr>
          <w:color w:val="auto"/>
          <w:highlight w:val="none"/>
        </w:rPr>
        <w:t>1</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Start w:id="856" w:name="_Toc296347196"/>
      <w:bookmarkStart w:id="857" w:name="_Toc297048383"/>
      <w:bookmarkStart w:id="858" w:name="_Toc297123544"/>
      <w:bookmarkStart w:id="859" w:name="_Toc296346698"/>
      <w:bookmarkStart w:id="860" w:name="_Toc292559402"/>
      <w:bookmarkStart w:id="861" w:name="_Toc303539150"/>
      <w:bookmarkStart w:id="862" w:name="_Toc292559907"/>
      <w:bookmarkStart w:id="863" w:name="_Toc296891237"/>
      <w:bookmarkStart w:id="864" w:name="_Toc297120497"/>
      <w:bookmarkStart w:id="865" w:name="_Toc296944536"/>
      <w:bookmarkStart w:id="866" w:name="_Toc297216203"/>
      <w:bookmarkStart w:id="867" w:name="_Toc296891025"/>
      <w:bookmarkStart w:id="868" w:name="_Toc300934993"/>
      <w:bookmarkStart w:id="869" w:name="_Toc296503197"/>
      <w:bookmarkStart w:id="870" w:name="_Toc304295570"/>
      <w:bookmarkStart w:id="871" w:name="_Toc312678029"/>
      <w:bookmarkStart w:id="872" w:name="_Toc312677503"/>
      <w:r>
        <w:rPr>
          <w:color w:val="auto"/>
          <w:highlight w:val="none"/>
        </w:rPr>
        <w:t>0.5</w:t>
      </w:r>
      <w:r>
        <w:rPr>
          <w:rFonts w:hint="eastAsia" w:cs="黑体"/>
          <w:color w:val="auto"/>
          <w:highlight w:val="none"/>
        </w:rPr>
        <w:t>承</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Start w:id="873" w:name="_Toc297048389"/>
      <w:bookmarkStart w:id="874" w:name="_Toc292559408"/>
      <w:bookmarkStart w:id="875" w:name="_Toc297120503"/>
      <w:bookmarkStart w:id="876" w:name="_Toc296503203"/>
      <w:bookmarkStart w:id="877" w:name="_Toc296944542"/>
      <w:bookmarkStart w:id="878" w:name="_Toc292559913"/>
      <w:bookmarkStart w:id="879" w:name="_Toc297216204"/>
      <w:bookmarkStart w:id="880" w:name="_Toc296891031"/>
      <w:bookmarkStart w:id="881" w:name="_Toc303539151"/>
      <w:bookmarkStart w:id="882" w:name="_Toc297123545"/>
      <w:bookmarkStart w:id="883" w:name="_Toc296346704"/>
      <w:bookmarkStart w:id="884" w:name="_Toc296347202"/>
      <w:bookmarkStart w:id="885" w:name="_Toc296891243"/>
      <w:bookmarkStart w:id="886" w:name="_Toc300934994"/>
      <w:r>
        <w:rPr>
          <w:rFonts w:hint="eastAsia" w:cs="黑体"/>
          <w:color w:val="auto"/>
          <w:highlight w:val="none"/>
        </w:rPr>
        <w:t>包人的合理化建议</w:t>
      </w:r>
      <w:bookmarkEnd w:id="848"/>
      <w:bookmarkEnd w:id="849"/>
      <w:bookmarkEnd w:id="850"/>
      <w:bookmarkEnd w:id="851"/>
      <w:bookmarkEnd w:id="852"/>
      <w:bookmarkEnd w:id="853"/>
      <w:bookmarkEnd w:id="854"/>
      <w:bookmarkEnd w:id="855"/>
    </w:p>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428F7E2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监理人审查承包人合理化建议的期限：</w:t>
      </w:r>
      <w:r>
        <w:rPr>
          <w:rFonts w:hint="eastAsia"/>
          <w:color w:val="auto"/>
          <w:sz w:val="21"/>
          <w:szCs w:val="21"/>
          <w:highlight w:val="none"/>
          <w:u w:val="single"/>
          <w:lang w:eastAsia="zh-CN"/>
        </w:rPr>
        <w:t>监理人应在收到承包人提交的合理化建议书后14日内完成审查，并向发包人提交审查意见书。审查意见应明确建议是否可行、对工期和费用的影响评估、是否建议采纳等内容。逾期未提交审查意见的，视为监理人认可该合理化建议的技术可行性</w:t>
      </w:r>
      <w:r>
        <w:rPr>
          <w:rFonts w:hint="eastAsia" w:hAnsi="宋体" w:cs="宋体"/>
          <w:color w:val="auto"/>
          <w:sz w:val="21"/>
          <w:szCs w:val="21"/>
          <w:highlight w:val="none"/>
        </w:rPr>
        <w:t>。</w:t>
      </w:r>
    </w:p>
    <w:p w14:paraId="15E4968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发包人审批承包人合理化建议的期限：</w:t>
      </w:r>
      <w:r>
        <w:rPr>
          <w:rFonts w:hint="eastAsia"/>
          <w:color w:val="auto"/>
          <w:sz w:val="21"/>
          <w:szCs w:val="21"/>
          <w:highlight w:val="none"/>
          <w:u w:val="single"/>
          <w:lang w:eastAsia="zh-CN"/>
        </w:rPr>
        <w:t>发包人应在收到监理人审查意见书后14日内完成审批，并书面通知承包人。合理化建议涉及设计变更的，发包人须在审批前征得设计单位书面同意。设计单位的审核时间不计入发包人审批期限，但发包人应在收到监理人审查意见书后7日内向设计单位发出征求意见函，设计单位应在收到征求意见函后14日内书面回复。逾期未审批的，视为发包人同意该合理化建议。</w:t>
      </w:r>
    </w:p>
    <w:p w14:paraId="13EB0754">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承</w:t>
      </w:r>
      <w:bookmarkStart w:id="887" w:name="_Toc318581175"/>
      <w:bookmarkStart w:id="888" w:name="_Toc300934995"/>
      <w:bookmarkStart w:id="889" w:name="_Toc297216205"/>
      <w:bookmarkStart w:id="890" w:name="_Toc296891244"/>
      <w:bookmarkStart w:id="891" w:name="_Toc296891032"/>
      <w:bookmarkStart w:id="892" w:name="_Toc292559409"/>
      <w:bookmarkStart w:id="893" w:name="_Toc296503204"/>
      <w:bookmarkStart w:id="894" w:name="_Toc312677504"/>
      <w:bookmarkStart w:id="895" w:name="_Toc304295571"/>
      <w:bookmarkStart w:id="896" w:name="_Toc303539152"/>
      <w:bookmarkStart w:id="897" w:name="_Toc292559914"/>
      <w:bookmarkStart w:id="898" w:name="_Toc296347203"/>
      <w:bookmarkStart w:id="899" w:name="_Toc312678030"/>
      <w:bookmarkStart w:id="900" w:name="_Toc297048390"/>
      <w:bookmarkStart w:id="901" w:name="_Toc297123546"/>
      <w:bookmarkStart w:id="902" w:name="_Toc296944543"/>
      <w:bookmarkStart w:id="903" w:name="_Toc297120504"/>
      <w:bookmarkStart w:id="904" w:name="_Toc296346705"/>
      <w:r>
        <w:rPr>
          <w:rFonts w:hint="eastAsia" w:hAnsi="宋体" w:cs="宋体"/>
          <w:color w:val="auto"/>
          <w:sz w:val="21"/>
          <w:szCs w:val="21"/>
          <w:highlight w:val="none"/>
        </w:rPr>
        <w:t>包人提出的合理化建议降低了合同价格或者提高了工程经济效益的奖励的方法和金额为：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0936307D">
      <w:pPr>
        <w:pStyle w:val="4"/>
        <w:rPr>
          <w:color w:val="auto"/>
          <w:highlight w:val="none"/>
        </w:rPr>
      </w:pPr>
      <w:bookmarkStart w:id="905" w:name="_Toc389065310"/>
      <w:bookmarkStart w:id="906" w:name="_Toc373478391"/>
      <w:bookmarkStart w:id="907" w:name="_Toc373227744"/>
      <w:bookmarkStart w:id="908" w:name="_Toc502454636"/>
      <w:bookmarkStart w:id="909" w:name="_Toc407135247"/>
      <w:bookmarkStart w:id="910" w:name="_Toc8804"/>
      <w:bookmarkStart w:id="911" w:name="_Toc2045792355"/>
      <w:bookmarkStart w:id="912" w:name="_Toc78449833"/>
      <w:r>
        <w:rPr>
          <w:color w:val="auto"/>
          <w:highlight w:val="none"/>
        </w:rPr>
        <w:t>1</w:t>
      </w:r>
      <w:bookmarkStart w:id="913" w:name="_Toc297123548"/>
      <w:bookmarkStart w:id="914" w:name="_Toc296891239"/>
      <w:bookmarkStart w:id="915" w:name="_Toc292559909"/>
      <w:bookmarkStart w:id="916" w:name="_Toc303539154"/>
      <w:bookmarkStart w:id="917" w:name="_Toc297120499"/>
      <w:bookmarkStart w:id="918" w:name="_Toc292559404"/>
      <w:bookmarkStart w:id="919" w:name="_Toc296891027"/>
      <w:bookmarkStart w:id="920" w:name="_Toc312677507"/>
      <w:bookmarkStart w:id="921" w:name="_Toc296347198"/>
      <w:bookmarkStart w:id="922" w:name="_Toc297216207"/>
      <w:bookmarkStart w:id="923" w:name="_Toc297048385"/>
      <w:bookmarkStart w:id="924" w:name="_Toc312678033"/>
      <w:bookmarkStart w:id="925" w:name="_Toc296944538"/>
      <w:bookmarkStart w:id="926" w:name="_Toc296346700"/>
      <w:bookmarkStart w:id="927" w:name="_Toc296503199"/>
      <w:bookmarkStart w:id="928" w:name="_Toc304295574"/>
      <w:bookmarkStart w:id="929" w:name="_Toc300934997"/>
      <w:r>
        <w:rPr>
          <w:color w:val="auto"/>
          <w:highlight w:val="none"/>
        </w:rPr>
        <w:t>0.7</w:t>
      </w:r>
      <w:r>
        <w:rPr>
          <w:rFonts w:hint="eastAsia" w:hAnsi="宋体" w:cs="黑体"/>
          <w:color w:val="auto"/>
          <w:highlight w:val="none"/>
        </w:rPr>
        <w:t>暂估价</w:t>
      </w:r>
      <w:bookmarkEnd w:id="905"/>
      <w:bookmarkEnd w:id="906"/>
      <w:bookmarkEnd w:id="907"/>
      <w:bookmarkEnd w:id="908"/>
      <w:bookmarkEnd w:id="909"/>
      <w:bookmarkEnd w:id="910"/>
      <w:bookmarkEnd w:id="911"/>
      <w:bookmarkEnd w:id="912"/>
    </w:p>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14:paraId="30B232BE">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暂</w:t>
      </w:r>
      <w:bookmarkStart w:id="930" w:name="_Toc318581176"/>
      <w:bookmarkStart w:id="931" w:name="_Toc312677508"/>
      <w:bookmarkStart w:id="932" w:name="_Toc312678034"/>
      <w:r>
        <w:rPr>
          <w:rFonts w:hint="eastAsia" w:hAnsi="宋体" w:cs="宋体"/>
          <w:color w:val="auto"/>
          <w:kern w:val="0"/>
          <w:sz w:val="21"/>
          <w:szCs w:val="21"/>
          <w:highlight w:val="none"/>
        </w:rPr>
        <w:t>估价材料和工程设备的明细详见已标价工程量清单《</w:t>
      </w:r>
      <w:r>
        <w:rPr>
          <w:rFonts w:hint="eastAsia" w:cs="宋体"/>
          <w:color w:val="auto"/>
          <w:sz w:val="21"/>
          <w:szCs w:val="21"/>
          <w:highlight w:val="none"/>
        </w:rPr>
        <w:t>材料（工程设备）暂估价格及调整表》</w:t>
      </w:r>
      <w:r>
        <w:rPr>
          <w:rFonts w:hint="eastAsia" w:hAnsi="宋体" w:cs="宋体"/>
          <w:color w:val="auto"/>
          <w:kern w:val="0"/>
          <w:sz w:val="21"/>
          <w:szCs w:val="21"/>
          <w:highlight w:val="none"/>
        </w:rPr>
        <w:t>（表</w:t>
      </w:r>
      <w:r>
        <w:rPr>
          <w:rFonts w:hAnsi="宋体"/>
          <w:color w:val="auto"/>
          <w:kern w:val="0"/>
          <w:sz w:val="21"/>
          <w:szCs w:val="21"/>
          <w:highlight w:val="none"/>
        </w:rPr>
        <w:t>12-2</w:t>
      </w:r>
      <w:r>
        <w:rPr>
          <w:rFonts w:hint="eastAsia" w:hAnsi="宋体" w:cs="宋体"/>
          <w:color w:val="auto"/>
          <w:kern w:val="0"/>
          <w:sz w:val="21"/>
          <w:szCs w:val="21"/>
          <w:highlight w:val="none"/>
        </w:rPr>
        <w:t>）和《</w:t>
      </w:r>
      <w:r>
        <w:rPr>
          <w:rFonts w:hint="eastAsia" w:cs="宋体"/>
          <w:color w:val="auto"/>
          <w:sz w:val="21"/>
          <w:szCs w:val="21"/>
          <w:highlight w:val="none"/>
        </w:rPr>
        <w:t>专业工程暂估价表》（</w:t>
      </w:r>
      <w:r>
        <w:rPr>
          <w:rFonts w:hint="eastAsia" w:hAnsi="宋体" w:cs="宋体"/>
          <w:color w:val="auto"/>
          <w:kern w:val="0"/>
          <w:sz w:val="21"/>
          <w:szCs w:val="21"/>
          <w:highlight w:val="none"/>
        </w:rPr>
        <w:t>表</w:t>
      </w:r>
      <w:r>
        <w:rPr>
          <w:rFonts w:hAnsi="宋体"/>
          <w:color w:val="auto"/>
          <w:kern w:val="0"/>
          <w:sz w:val="21"/>
          <w:szCs w:val="21"/>
          <w:highlight w:val="none"/>
        </w:rPr>
        <w:t>12-3</w:t>
      </w:r>
      <w:r>
        <w:rPr>
          <w:rFonts w:hint="eastAsia" w:hAnsi="宋体" w:cs="宋体"/>
          <w:color w:val="auto"/>
          <w:kern w:val="0"/>
          <w:sz w:val="21"/>
          <w:szCs w:val="21"/>
          <w:highlight w:val="none"/>
        </w:rPr>
        <w:t>）。</w:t>
      </w:r>
    </w:p>
    <w:bookmarkEnd w:id="930"/>
    <w:bookmarkEnd w:id="931"/>
    <w:bookmarkEnd w:id="932"/>
    <w:p w14:paraId="5D889E4C">
      <w:pPr>
        <w:spacing w:line="360" w:lineRule="auto"/>
        <w:ind w:firstLine="420" w:firstLineChars="200"/>
        <w:jc w:val="left"/>
        <w:rPr>
          <w:color w:val="auto"/>
          <w:sz w:val="21"/>
          <w:szCs w:val="21"/>
          <w:highlight w:val="none"/>
        </w:rPr>
      </w:pPr>
      <w:r>
        <w:rPr>
          <w:color w:val="auto"/>
          <w:sz w:val="21"/>
          <w:szCs w:val="21"/>
          <w:highlight w:val="none"/>
        </w:rPr>
        <w:t>1</w:t>
      </w:r>
      <w:bookmarkStart w:id="933" w:name="_Toc312678035"/>
      <w:bookmarkStart w:id="934" w:name="_Toc312677509"/>
      <w:bookmarkStart w:id="935" w:name="_Toc318581177"/>
      <w:r>
        <w:rPr>
          <w:color w:val="auto"/>
          <w:sz w:val="21"/>
          <w:szCs w:val="21"/>
          <w:highlight w:val="none"/>
        </w:rPr>
        <w:t>0.7.1</w:t>
      </w:r>
      <w:r>
        <w:rPr>
          <w:rFonts w:hint="eastAsia" w:hAnsi="宋体" w:cs="宋体"/>
          <w:color w:val="auto"/>
          <w:sz w:val="21"/>
          <w:szCs w:val="21"/>
          <w:highlight w:val="none"/>
        </w:rPr>
        <w:t>依法必须招标的暂估价项目</w:t>
      </w:r>
    </w:p>
    <w:bookmarkEnd w:id="933"/>
    <w:bookmarkEnd w:id="934"/>
    <w:bookmarkEnd w:id="935"/>
    <w:p w14:paraId="67EAD72D">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1CF7548D">
      <w:pPr>
        <w:spacing w:line="360" w:lineRule="auto"/>
        <w:ind w:firstLine="420" w:firstLineChars="200"/>
        <w:jc w:val="left"/>
        <w:rPr>
          <w:color w:val="auto"/>
          <w:sz w:val="21"/>
          <w:szCs w:val="21"/>
          <w:highlight w:val="none"/>
        </w:rPr>
      </w:pPr>
      <w:r>
        <w:rPr>
          <w:color w:val="auto"/>
          <w:sz w:val="21"/>
          <w:szCs w:val="21"/>
          <w:highlight w:val="none"/>
        </w:rPr>
        <w:t>10.7.2</w:t>
      </w:r>
      <w:r>
        <w:rPr>
          <w:rFonts w:hint="eastAsia" w:hAnsi="宋体" w:cs="宋体"/>
          <w:color w:val="auto"/>
          <w:sz w:val="21"/>
          <w:szCs w:val="21"/>
          <w:highlight w:val="none"/>
        </w:rPr>
        <w:t>不属于依法必须招标的暂估价项目</w:t>
      </w:r>
    </w:p>
    <w:p w14:paraId="1F84F21D">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对于不属于依法必须招标的暂估价项目的确认和批准采取第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3C0BDE28">
      <w:pPr>
        <w:spacing w:line="360" w:lineRule="auto"/>
        <w:ind w:firstLine="420" w:firstLineChars="200"/>
        <w:jc w:val="left"/>
        <w:rPr>
          <w:color w:val="auto"/>
          <w:kern w:val="0"/>
          <w:sz w:val="21"/>
          <w:szCs w:val="21"/>
          <w:highlight w:val="none"/>
        </w:rPr>
      </w:pPr>
      <w:r>
        <w:rPr>
          <w:rFonts w:hint="eastAsia" w:hAnsi="宋体" w:cs="宋体"/>
          <w:color w:val="auto"/>
          <w:sz w:val="21"/>
          <w:szCs w:val="21"/>
          <w:highlight w:val="none"/>
        </w:rPr>
        <w:t>第</w:t>
      </w:r>
      <w:r>
        <w:rPr>
          <w:color w:val="auto"/>
          <w:sz w:val="21"/>
          <w:szCs w:val="21"/>
          <w:highlight w:val="none"/>
        </w:rPr>
        <w:t>3</w:t>
      </w:r>
      <w:r>
        <w:rPr>
          <w:rFonts w:hint="eastAsia" w:hAnsi="宋体" w:cs="宋体"/>
          <w:color w:val="auto"/>
          <w:sz w:val="21"/>
          <w:szCs w:val="21"/>
          <w:highlight w:val="none"/>
        </w:rPr>
        <w:t>种方式：</w:t>
      </w:r>
      <w:r>
        <w:rPr>
          <w:rFonts w:hint="eastAsia" w:hAnsi="宋体" w:cs="宋体"/>
          <w:color w:val="auto"/>
          <w:kern w:val="0"/>
          <w:sz w:val="21"/>
          <w:szCs w:val="21"/>
          <w:highlight w:val="none"/>
        </w:rPr>
        <w:t>承包人直接实施的暂估价项目</w:t>
      </w:r>
    </w:p>
    <w:p w14:paraId="74BBC441">
      <w:pPr>
        <w:spacing w:line="360" w:lineRule="auto"/>
        <w:ind w:firstLine="420" w:firstLineChars="200"/>
        <w:jc w:val="left"/>
        <w:rPr>
          <w:rFonts w:hint="eastAsia" w:hAnsi="宋体" w:cs="宋体"/>
          <w:color w:val="auto"/>
          <w:kern w:val="0"/>
          <w:sz w:val="21"/>
          <w:szCs w:val="21"/>
          <w:highlight w:val="none"/>
          <w:u w:val="single"/>
        </w:rPr>
      </w:pPr>
      <w:r>
        <w:rPr>
          <w:rFonts w:hint="eastAsia" w:hAnsi="宋体" w:cs="宋体"/>
          <w:color w:val="auto"/>
          <w:sz w:val="21"/>
          <w:szCs w:val="21"/>
          <w:highlight w:val="none"/>
        </w:rPr>
        <w:t>承包人直接实施的暂估价项目的约定：</w:t>
      </w:r>
      <w:r>
        <w:rPr>
          <w:rFonts w:hint="eastAsia" w:hAnsi="宋体" w:cs="宋体"/>
          <w:color w:val="auto"/>
          <w:kern w:val="0"/>
          <w:sz w:val="21"/>
          <w:szCs w:val="21"/>
          <w:highlight w:val="none"/>
          <w:u w:val="single"/>
        </w:rPr>
        <w:t>承包人具备实施暂估价项目的资格和条件的，经发包人和承包人协商一致后，可由承包人自行实施暂估价项目。承包人自行实施暂估价项目的，应由承包人提出该暂估价项目的施工方案及预算报价，预算报价的定价原则按照专用合同条款第10.4.1条变更估价原则执行。经发包人及监理人审核批准后，双方以补充协议形式确定该暂估价项目的合同价款。承包人直接实施的暂估价项目结算时按实际完成的工程量结算，最终以审计部门审定金额为准。</w:t>
      </w:r>
    </w:p>
    <w:p w14:paraId="7C60D944">
      <w:pPr>
        <w:pStyle w:val="4"/>
        <w:rPr>
          <w:color w:val="auto"/>
          <w:highlight w:val="none"/>
        </w:rPr>
      </w:pPr>
      <w:bookmarkStart w:id="936" w:name="_Toc2032108729"/>
      <w:bookmarkStart w:id="937" w:name="_Toc407135248"/>
      <w:bookmarkStart w:id="938" w:name="_Toc2131098822"/>
      <w:bookmarkStart w:id="939" w:name="_Toc373227745"/>
      <w:bookmarkStart w:id="940" w:name="_Toc25829"/>
      <w:bookmarkStart w:id="941" w:name="_Toc389065311"/>
      <w:bookmarkStart w:id="942" w:name="_Toc78449834"/>
      <w:bookmarkStart w:id="943" w:name="_Toc373478392"/>
      <w:r>
        <w:rPr>
          <w:color w:val="auto"/>
          <w:highlight w:val="none"/>
        </w:rPr>
        <w:t>10.8</w:t>
      </w:r>
      <w:r>
        <w:rPr>
          <w:rFonts w:hint="eastAsia" w:hAnsi="宋体" w:cs="黑体"/>
          <w:color w:val="auto"/>
          <w:highlight w:val="none"/>
        </w:rPr>
        <w:t>暂列金额</w:t>
      </w:r>
      <w:bookmarkEnd w:id="936"/>
      <w:bookmarkEnd w:id="937"/>
      <w:bookmarkEnd w:id="938"/>
      <w:bookmarkEnd w:id="939"/>
      <w:bookmarkEnd w:id="940"/>
      <w:bookmarkEnd w:id="941"/>
      <w:bookmarkEnd w:id="942"/>
      <w:bookmarkEnd w:id="943"/>
    </w:p>
    <w:p w14:paraId="0DE63274">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合同当事人关于暂列金额使用的约定：</w:t>
      </w:r>
      <w:r>
        <w:rPr>
          <w:rFonts w:hint="eastAsia"/>
          <w:color w:val="auto"/>
          <w:sz w:val="21"/>
          <w:szCs w:val="21"/>
          <w:highlight w:val="none"/>
          <w:u w:val="single"/>
          <w:lang w:eastAsia="zh-CN"/>
        </w:rPr>
        <w:t>暂列金额是发包人为可能发生的合同价款调整而预先预留的资金，属发包人所有。暂列金额的使用须同时满足以下条件：（1）合同履行过程中确实发生了本专用合同条款约定的变更或工程量清单缺项等合同价款调整事件；（2）该事件已按本合同约定的变更程序取得发包人的书面批准；（3）相应工程量已由承包人实施完毕并经监理人和发包人验收合格。暂列金额由发包人依据工程变更指令和相关签证文件据实拨付，承包人不得自行使用。在竣工结算时，暂列金额余额归发包人所有，从合同总价中扣除。暂列金额不足的，应由发包人通过增加投资等合规渠道予以解决，在资金来源未落实前承包人有权拒绝实施相应的超出暂列金额部分的工程变更。涉及使用财政资金支付的暂列金额动用事项，须按崇左市及崇左市江州区政府投资项目管理的有关规定办理审批手续，在审批手续完成前不得擅自实施变更。</w:t>
      </w:r>
    </w:p>
    <w:p w14:paraId="01CE0C8E">
      <w:pPr>
        <w:pStyle w:val="3"/>
        <w:numPr>
          <w:ilvl w:val="0"/>
          <w:numId w:val="8"/>
        </w:numPr>
        <w:rPr>
          <w:color w:val="auto"/>
          <w:highlight w:val="none"/>
        </w:rPr>
      </w:pPr>
      <w:bookmarkStart w:id="944" w:name="_Toc136736539"/>
      <w:bookmarkStart w:id="945" w:name="_Toc351203643"/>
      <w:bookmarkStart w:id="946" w:name="_Toc407135249"/>
      <w:bookmarkStart w:id="947" w:name="_Toc389065312"/>
      <w:bookmarkStart w:id="948" w:name="_Toc78449835"/>
      <w:bookmarkStart w:id="949" w:name="_Toc19388"/>
      <w:bookmarkStart w:id="950" w:name="_Toc373478393"/>
      <w:bookmarkStart w:id="951" w:name="_Toc1190723452"/>
      <w:bookmarkStart w:id="952" w:name="_Toc373227746"/>
      <w:r>
        <w:rPr>
          <w:rFonts w:hint="eastAsia" w:hAnsi="宋体" w:cs="黑体"/>
          <w:color w:val="auto"/>
          <w:highlight w:val="none"/>
        </w:rPr>
        <w:t>价格调整</w:t>
      </w:r>
      <w:bookmarkEnd w:id="944"/>
      <w:bookmarkEnd w:id="945"/>
      <w:bookmarkEnd w:id="946"/>
      <w:bookmarkEnd w:id="947"/>
      <w:bookmarkEnd w:id="948"/>
      <w:bookmarkEnd w:id="949"/>
      <w:bookmarkEnd w:id="950"/>
      <w:bookmarkEnd w:id="951"/>
      <w:bookmarkEnd w:id="952"/>
    </w:p>
    <w:p w14:paraId="5C8FCD89">
      <w:pPr>
        <w:pStyle w:val="4"/>
        <w:rPr>
          <w:color w:val="auto"/>
          <w:highlight w:val="none"/>
        </w:rPr>
      </w:pPr>
      <w:bookmarkStart w:id="953" w:name="_Toc389065313"/>
      <w:bookmarkStart w:id="954" w:name="_Toc1501386015"/>
      <w:bookmarkStart w:id="955" w:name="_Toc42268484"/>
      <w:bookmarkStart w:id="956" w:name="_Toc14359"/>
      <w:bookmarkStart w:id="957" w:name="_Toc373478394"/>
      <w:bookmarkStart w:id="958" w:name="_Toc407135250"/>
      <w:bookmarkStart w:id="959" w:name="_Toc373227747"/>
      <w:bookmarkStart w:id="960" w:name="_Toc78449836"/>
      <w:bookmarkStart w:id="961" w:name="_Toc292559911"/>
      <w:bookmarkStart w:id="962" w:name="_Toc297048387"/>
      <w:bookmarkStart w:id="963" w:name="_Toc296503201"/>
      <w:bookmarkStart w:id="964" w:name="_Toc296347200"/>
      <w:bookmarkStart w:id="965" w:name="_Toc296891029"/>
      <w:bookmarkStart w:id="966" w:name="_Toc296944540"/>
      <w:bookmarkStart w:id="967" w:name="_Toc304295577"/>
      <w:bookmarkStart w:id="968" w:name="_Toc296891241"/>
      <w:bookmarkStart w:id="969" w:name="_Toc296346702"/>
      <w:bookmarkStart w:id="970" w:name="_Toc312678039"/>
      <w:bookmarkStart w:id="971" w:name="_Toc297123550"/>
      <w:bookmarkStart w:id="972" w:name="_Toc303539157"/>
      <w:bookmarkStart w:id="973" w:name="_Toc292559406"/>
      <w:bookmarkStart w:id="974" w:name="_Toc297120501"/>
      <w:bookmarkStart w:id="975" w:name="_Toc300935000"/>
      <w:bookmarkStart w:id="976" w:name="_Toc297216209"/>
      <w:r>
        <w:rPr>
          <w:color w:val="auto"/>
          <w:highlight w:val="none"/>
        </w:rPr>
        <w:t>11.1</w:t>
      </w:r>
      <w:r>
        <w:rPr>
          <w:rFonts w:hint="eastAsia" w:cs="黑体"/>
          <w:color w:val="auto"/>
          <w:highlight w:val="none"/>
        </w:rPr>
        <w:t>市场价格波动引起的调整</w:t>
      </w:r>
      <w:bookmarkEnd w:id="953"/>
      <w:bookmarkEnd w:id="954"/>
      <w:bookmarkEnd w:id="955"/>
      <w:bookmarkEnd w:id="956"/>
      <w:bookmarkEnd w:id="957"/>
      <w:bookmarkEnd w:id="958"/>
      <w:bookmarkEnd w:id="959"/>
      <w:bookmarkEnd w:id="960"/>
    </w:p>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14:paraId="17BF9AFF">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市场价格波动是否调整合同价格的约定：</w:t>
      </w:r>
      <w:r>
        <w:rPr>
          <w:rFonts w:hint="eastAsia"/>
          <w:color w:val="auto"/>
          <w:sz w:val="21"/>
          <w:szCs w:val="21"/>
          <w:highlight w:val="none"/>
          <w:u w:val="single"/>
        </w:rPr>
        <w:t>非施工单位原因造成的主要材料价差在5%以内（含5%）的，由施工单位承担；超过5%部分的价差，由建设单位承担</w:t>
      </w:r>
      <w:r>
        <w:rPr>
          <w:rFonts w:hint="eastAsia" w:hAnsi="宋体" w:cs="宋体"/>
          <w:color w:val="auto"/>
          <w:sz w:val="21"/>
          <w:szCs w:val="21"/>
          <w:highlight w:val="none"/>
        </w:rPr>
        <w:t>。</w:t>
      </w:r>
    </w:p>
    <w:p w14:paraId="7E0500F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因市场价格波动调整合同价格，采用以下第种方式对合同价格进行调整：</w:t>
      </w:r>
    </w:p>
    <w:p w14:paraId="4F58089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第</w:t>
      </w:r>
      <w:r>
        <w:rPr>
          <w:color w:val="auto"/>
          <w:sz w:val="21"/>
          <w:szCs w:val="21"/>
          <w:highlight w:val="none"/>
        </w:rPr>
        <w:t>1</w:t>
      </w:r>
      <w:r>
        <w:rPr>
          <w:rFonts w:hint="eastAsia" w:hAnsi="宋体" w:cs="宋体"/>
          <w:color w:val="auto"/>
          <w:sz w:val="21"/>
          <w:szCs w:val="21"/>
          <w:highlight w:val="none"/>
        </w:rPr>
        <w:t>种方式：采用价格指数进行价格调整。</w:t>
      </w:r>
    </w:p>
    <w:p w14:paraId="3B75DBD3">
      <w:pPr>
        <w:spacing w:line="360" w:lineRule="auto"/>
        <w:ind w:firstLine="420" w:firstLineChars="200"/>
        <w:jc w:val="left"/>
        <w:rPr>
          <w:rFonts w:hint="eastAsia" w:eastAsia="宋体"/>
          <w:color w:val="auto"/>
          <w:sz w:val="21"/>
          <w:szCs w:val="21"/>
          <w:highlight w:val="none"/>
          <w:u w:val="single"/>
          <w:lang w:eastAsia="zh-CN"/>
        </w:rPr>
      </w:pPr>
      <w:r>
        <w:rPr>
          <w:rFonts w:hint="eastAsia" w:hAnsi="宋体" w:cs="宋体"/>
          <w:color w:val="auto"/>
          <w:sz w:val="21"/>
          <w:szCs w:val="21"/>
          <w:highlight w:val="none"/>
        </w:rPr>
        <w:t>关于各可调因子、定值和变值权重，以及基本价格指数及其来源的约定：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55D7AD6C">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第</w:t>
      </w:r>
      <w:r>
        <w:rPr>
          <w:color w:val="auto"/>
          <w:sz w:val="21"/>
          <w:szCs w:val="21"/>
          <w:highlight w:val="none"/>
        </w:rPr>
        <w:t>2</w:t>
      </w:r>
      <w:r>
        <w:rPr>
          <w:rFonts w:hint="eastAsia" w:hAnsi="宋体" w:cs="宋体"/>
          <w:color w:val="auto"/>
          <w:sz w:val="21"/>
          <w:szCs w:val="21"/>
          <w:highlight w:val="none"/>
        </w:rPr>
        <w:t>种方式：采用造价信息进行价格调整。</w:t>
      </w:r>
    </w:p>
    <w:p w14:paraId="3B0C0FB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）允许调整主要材料和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设备、基期价格、风险系数、投标报价详见《</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设备一览表》</w:t>
      </w:r>
      <w:r>
        <w:rPr>
          <w:rFonts w:hint="eastAsia" w:ascii="宋体" w:hAnsi="宋体"/>
          <w:color w:val="auto"/>
          <w:kern w:val="0"/>
          <w:sz w:val="21"/>
          <w:szCs w:val="21"/>
          <w:highlight w:val="none"/>
        </w:rPr>
        <w:t>（表</w:t>
      </w:r>
      <w:r>
        <w:rPr>
          <w:rFonts w:ascii="宋体" w:hAnsi="宋体"/>
          <w:color w:val="auto"/>
          <w:kern w:val="0"/>
          <w:sz w:val="21"/>
          <w:szCs w:val="21"/>
          <w:highlight w:val="none"/>
        </w:rPr>
        <w:t>-22</w:t>
      </w:r>
      <w:r>
        <w:rPr>
          <w:rFonts w:hint="eastAsia" w:ascii="宋体" w:hAnsi="宋体"/>
          <w:color w:val="auto"/>
          <w:kern w:val="0"/>
          <w:sz w:val="21"/>
          <w:szCs w:val="21"/>
          <w:highlight w:val="none"/>
        </w:rPr>
        <w:t>）</w:t>
      </w:r>
      <w:r>
        <w:rPr>
          <w:rFonts w:hint="eastAsia" w:hAnsi="宋体" w:cs="宋体"/>
          <w:color w:val="auto"/>
          <w:sz w:val="21"/>
          <w:szCs w:val="21"/>
          <w:highlight w:val="none"/>
        </w:rPr>
        <w:t>,价</w:t>
      </w:r>
      <w:r>
        <w:rPr>
          <w:rFonts w:hAnsi="宋体" w:cs="宋体"/>
          <w:color w:val="auto"/>
          <w:sz w:val="21"/>
          <w:szCs w:val="21"/>
          <w:highlight w:val="none"/>
        </w:rPr>
        <w:t>差</w:t>
      </w:r>
      <w:r>
        <w:rPr>
          <w:rFonts w:hint="eastAsia" w:ascii="Calibri" w:hAnsi="宋体" w:cs="宋体"/>
          <w:color w:val="auto"/>
          <w:sz w:val="21"/>
          <w:szCs w:val="21"/>
          <w:highlight w:val="none"/>
        </w:rPr>
        <w:t>调整部分仅计算税金，除此表列明的材料、设备外，其余材料设备价差原则上不予调整。</w:t>
      </w:r>
    </w:p>
    <w:p w14:paraId="0D534EC2">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设备确认价：</w:t>
      </w:r>
    </w:p>
    <w:p w14:paraId="6B191D9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按施工期间《</w:t>
      </w:r>
      <w:r>
        <w:rPr>
          <w:rFonts w:hint="eastAsia"/>
          <w:color w:val="auto"/>
          <w:sz w:val="21"/>
          <w:szCs w:val="21"/>
          <w:highlight w:val="none"/>
          <w:u w:val="single"/>
          <w:lang w:val="en-US" w:eastAsia="zh-CN"/>
        </w:rPr>
        <w:t>崇左</w:t>
      </w:r>
      <w:r>
        <w:rPr>
          <w:rFonts w:hint="eastAsia" w:hAnsi="宋体" w:cs="宋体"/>
          <w:color w:val="auto"/>
          <w:sz w:val="21"/>
          <w:szCs w:val="21"/>
          <w:highlight w:val="none"/>
        </w:rPr>
        <w:t>市建设工程造价信息》材料信息价的加权平均价计算，信息价没有的按通用条款规定确定。</w:t>
      </w:r>
    </w:p>
    <w:p w14:paraId="19EAC5B5">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）价差计算方法：</w:t>
      </w:r>
    </w:p>
    <w:p w14:paraId="47DA4CA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①《</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449AA79F">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②承包人在《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5F7C5DE6">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③承包人在《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20016B82">
      <w:pPr>
        <w:spacing w:line="360" w:lineRule="auto"/>
        <w:ind w:firstLine="645"/>
        <w:jc w:val="left"/>
        <w:rPr>
          <w:color w:val="auto"/>
          <w:sz w:val="21"/>
          <w:szCs w:val="21"/>
          <w:highlight w:val="none"/>
        </w:rPr>
      </w:pPr>
      <w:r>
        <w:rPr>
          <w:rFonts w:hint="eastAsia" w:hAnsi="宋体" w:cs="宋体"/>
          <w:color w:val="auto"/>
          <w:sz w:val="21"/>
          <w:szCs w:val="21"/>
          <w:highlight w:val="none"/>
        </w:rPr>
        <w:t>第</w:t>
      </w:r>
      <w:r>
        <w:rPr>
          <w:rFonts w:hAnsi="宋体"/>
          <w:color w:val="auto"/>
          <w:sz w:val="21"/>
          <w:szCs w:val="21"/>
          <w:highlight w:val="none"/>
        </w:rPr>
        <w:t>3</w:t>
      </w:r>
      <w:r>
        <w:rPr>
          <w:rFonts w:hint="eastAsia" w:hAnsi="宋体" w:cs="宋体"/>
          <w:color w:val="auto"/>
          <w:sz w:val="21"/>
          <w:szCs w:val="21"/>
          <w:highlight w:val="none"/>
        </w:rPr>
        <w:t>种方式：</w:t>
      </w:r>
      <w:r>
        <w:rPr>
          <w:rFonts w:hint="eastAsia"/>
          <w:color w:val="auto"/>
          <w:sz w:val="21"/>
          <w:szCs w:val="21"/>
          <w:highlight w:val="none"/>
          <w:u w:val="single"/>
          <w:lang w:val="en-US" w:eastAsia="zh-CN"/>
        </w:rPr>
        <w:t>/</w:t>
      </w:r>
      <w:r>
        <w:rPr>
          <w:rFonts w:hint="eastAsia" w:cs="宋体"/>
          <w:color w:val="auto"/>
          <w:sz w:val="21"/>
          <w:szCs w:val="21"/>
          <w:highlight w:val="none"/>
        </w:rPr>
        <w:t>。</w:t>
      </w:r>
    </w:p>
    <w:bookmarkEnd w:id="799"/>
    <w:bookmarkEnd w:id="800"/>
    <w:bookmarkEnd w:id="801"/>
    <w:bookmarkEnd w:id="802"/>
    <w:bookmarkEnd w:id="803"/>
    <w:bookmarkEnd w:id="804"/>
    <w:p w14:paraId="1B674CF6">
      <w:pPr>
        <w:pStyle w:val="3"/>
        <w:rPr>
          <w:color w:val="auto"/>
          <w:highlight w:val="none"/>
        </w:rPr>
      </w:pPr>
      <w:bookmarkStart w:id="977" w:name="_Toc292559410"/>
      <w:bookmarkStart w:id="978" w:name="_Toc292559915"/>
      <w:bookmarkStart w:id="979" w:name="_Toc296503205"/>
      <w:bookmarkStart w:id="980" w:name="_Toc297120505"/>
      <w:bookmarkStart w:id="981" w:name="_Toc296347204"/>
      <w:bookmarkStart w:id="982" w:name="_Toc296891245"/>
      <w:bookmarkStart w:id="983" w:name="_Toc296346706"/>
      <w:bookmarkStart w:id="984" w:name="_Toc297048391"/>
      <w:bookmarkStart w:id="985" w:name="_Toc296891033"/>
      <w:bookmarkStart w:id="986" w:name="_Toc296944544"/>
      <w:bookmarkStart w:id="987" w:name="_Toc351203644"/>
      <w:bookmarkStart w:id="988" w:name="_Toc78449837"/>
      <w:bookmarkStart w:id="989" w:name="_Toc407135251"/>
      <w:bookmarkStart w:id="990" w:name="_Toc373227748"/>
      <w:bookmarkStart w:id="991" w:name="_Toc1720046426"/>
      <w:bookmarkStart w:id="992" w:name="_Toc373478395"/>
      <w:bookmarkStart w:id="993" w:name="_Toc1935657796"/>
      <w:bookmarkStart w:id="994" w:name="_Toc19601"/>
      <w:bookmarkStart w:id="995" w:name="_Toc312678040"/>
      <w:bookmarkStart w:id="996" w:name="_Toc303539159"/>
      <w:bookmarkStart w:id="997" w:name="_Toc304295579"/>
      <w:bookmarkStart w:id="998" w:name="_Toc297123552"/>
      <w:bookmarkStart w:id="999" w:name="_Toc300935002"/>
      <w:bookmarkStart w:id="1000" w:name="_Toc297216211"/>
      <w:r>
        <w:rPr>
          <w:color w:val="auto"/>
          <w:highlight w:val="none"/>
        </w:rPr>
        <w:t>12.</w:t>
      </w:r>
      <w:bookmarkEnd w:id="977"/>
      <w:bookmarkEnd w:id="978"/>
      <w:bookmarkEnd w:id="979"/>
      <w:bookmarkEnd w:id="980"/>
      <w:bookmarkEnd w:id="981"/>
      <w:bookmarkEnd w:id="982"/>
      <w:bookmarkEnd w:id="983"/>
      <w:bookmarkEnd w:id="984"/>
      <w:bookmarkEnd w:id="985"/>
      <w:bookmarkEnd w:id="986"/>
      <w:r>
        <w:rPr>
          <w:rFonts w:hint="eastAsia" w:cs="黑体"/>
          <w:color w:val="auto"/>
          <w:highlight w:val="none"/>
        </w:rPr>
        <w:t>合同价格、计量与支付</w:t>
      </w:r>
      <w:bookmarkEnd w:id="987"/>
      <w:bookmarkEnd w:id="988"/>
      <w:bookmarkEnd w:id="989"/>
      <w:bookmarkEnd w:id="990"/>
      <w:bookmarkEnd w:id="991"/>
      <w:bookmarkEnd w:id="992"/>
      <w:bookmarkEnd w:id="993"/>
      <w:bookmarkEnd w:id="994"/>
    </w:p>
    <w:bookmarkEnd w:id="995"/>
    <w:bookmarkEnd w:id="996"/>
    <w:bookmarkEnd w:id="997"/>
    <w:bookmarkEnd w:id="998"/>
    <w:bookmarkEnd w:id="999"/>
    <w:bookmarkEnd w:id="1000"/>
    <w:p w14:paraId="5692CBA7">
      <w:pPr>
        <w:pStyle w:val="4"/>
        <w:rPr>
          <w:color w:val="auto"/>
          <w:highlight w:val="none"/>
        </w:rPr>
      </w:pPr>
      <w:bookmarkStart w:id="1001" w:name="_Toc267251461"/>
      <w:bookmarkStart w:id="1002" w:name="_Toc292559411"/>
      <w:bookmarkStart w:id="1003" w:name="_Toc292559916"/>
      <w:bookmarkStart w:id="1004" w:name="_Toc296944545"/>
      <w:bookmarkStart w:id="1005" w:name="_Toc296891246"/>
      <w:bookmarkStart w:id="1006" w:name="_Toc297048392"/>
      <w:bookmarkStart w:id="1007" w:name="_Toc297120506"/>
      <w:bookmarkStart w:id="1008" w:name="_Toc296503206"/>
      <w:bookmarkStart w:id="1009" w:name="_Toc296346707"/>
      <w:bookmarkStart w:id="1010" w:name="_Toc296891034"/>
      <w:bookmarkStart w:id="1011" w:name="_Toc296347205"/>
      <w:bookmarkStart w:id="1012" w:name="_Toc373227749"/>
      <w:bookmarkStart w:id="1013" w:name="_Toc3567"/>
      <w:bookmarkStart w:id="1014" w:name="_Toc1894565429"/>
      <w:bookmarkStart w:id="1015" w:name="_Toc407135252"/>
      <w:bookmarkStart w:id="1016" w:name="_Toc389065314"/>
      <w:bookmarkStart w:id="1017" w:name="_Toc1395756356"/>
      <w:bookmarkStart w:id="1018" w:name="_Toc78449838"/>
      <w:bookmarkStart w:id="1019" w:name="_Toc373478396"/>
      <w:bookmarkStart w:id="1020" w:name="_Toc303539160"/>
      <w:bookmarkStart w:id="1021" w:name="_Toc300935003"/>
      <w:bookmarkStart w:id="1022" w:name="_Toc297123553"/>
      <w:bookmarkStart w:id="1023" w:name="_Toc297216212"/>
      <w:bookmarkStart w:id="1024" w:name="_Toc312678041"/>
      <w:bookmarkStart w:id="1025" w:name="_Toc304295580"/>
      <w:r>
        <w:rPr>
          <w:color w:val="auto"/>
          <w:highlight w:val="none"/>
        </w:rPr>
        <w:t>12.1</w:t>
      </w:r>
      <w:r>
        <w:rPr>
          <w:rFonts w:hint="eastAsia" w:hAnsi="宋体" w:cs="黑体"/>
          <w:color w:val="auto"/>
          <w:highlight w:val="none"/>
        </w:rPr>
        <w:t>合</w:t>
      </w:r>
      <w:bookmarkEnd w:id="1001"/>
      <w:bookmarkEnd w:id="1002"/>
      <w:bookmarkEnd w:id="1003"/>
      <w:r>
        <w:rPr>
          <w:rFonts w:hint="eastAsia" w:hAnsi="宋体" w:cs="黑体"/>
          <w:color w:val="auto"/>
          <w:highlight w:val="none"/>
        </w:rPr>
        <w:t>同价</w:t>
      </w:r>
      <w:bookmarkEnd w:id="1004"/>
      <w:bookmarkEnd w:id="1005"/>
      <w:bookmarkEnd w:id="1006"/>
      <w:bookmarkEnd w:id="1007"/>
      <w:bookmarkEnd w:id="1008"/>
      <w:bookmarkEnd w:id="1009"/>
      <w:bookmarkEnd w:id="1010"/>
      <w:bookmarkEnd w:id="1011"/>
      <w:r>
        <w:rPr>
          <w:rFonts w:hint="eastAsia" w:hAnsi="宋体" w:cs="黑体"/>
          <w:color w:val="auto"/>
          <w:highlight w:val="none"/>
        </w:rPr>
        <w:t>格形式</w:t>
      </w:r>
      <w:bookmarkEnd w:id="1012"/>
      <w:bookmarkEnd w:id="1013"/>
      <w:bookmarkEnd w:id="1014"/>
      <w:bookmarkEnd w:id="1015"/>
      <w:bookmarkEnd w:id="1016"/>
      <w:bookmarkEnd w:id="1017"/>
      <w:bookmarkEnd w:id="1018"/>
      <w:bookmarkEnd w:id="1019"/>
    </w:p>
    <w:bookmarkEnd w:id="1020"/>
    <w:bookmarkEnd w:id="1021"/>
    <w:bookmarkEnd w:id="1022"/>
    <w:bookmarkEnd w:id="1023"/>
    <w:bookmarkEnd w:id="1024"/>
    <w:bookmarkEnd w:id="1025"/>
    <w:p w14:paraId="32DA8B63">
      <w:pPr>
        <w:spacing w:line="360" w:lineRule="auto"/>
        <w:ind w:firstLine="420" w:firstLineChars="200"/>
        <w:jc w:val="left"/>
        <w:rPr>
          <w:rFonts w:hAnsi="宋体"/>
          <w:color w:val="auto"/>
          <w:sz w:val="21"/>
          <w:szCs w:val="21"/>
          <w:highlight w:val="none"/>
        </w:rPr>
      </w:pPr>
      <w:bookmarkStart w:id="1026" w:name="_Toc389065315"/>
      <w:bookmarkStart w:id="1027" w:name="_Toc373227750"/>
      <w:bookmarkStart w:id="1028" w:name="_Toc373478397"/>
      <w:bookmarkStart w:id="1029" w:name="_Toc297123554"/>
      <w:bookmarkStart w:id="1030" w:name="_Toc300935004"/>
      <w:bookmarkStart w:id="1031" w:name="_Toc303539161"/>
      <w:bookmarkStart w:id="1032" w:name="_Toc304295581"/>
      <w:bookmarkStart w:id="1033" w:name="_Toc297216213"/>
      <w:bookmarkStart w:id="1034" w:name="_Toc312678042"/>
      <w:bookmarkStart w:id="1035" w:name="_Toc296891035"/>
      <w:bookmarkStart w:id="1036" w:name="_Toc296944546"/>
      <w:bookmarkStart w:id="1037" w:name="_Toc296891247"/>
      <w:bookmarkStart w:id="1038" w:name="_Toc297120507"/>
      <w:bookmarkStart w:id="1039" w:name="_Toc292559412"/>
      <w:bookmarkStart w:id="1040" w:name="_Toc297048393"/>
      <w:bookmarkStart w:id="1041" w:name="_Toc292559917"/>
      <w:bookmarkStart w:id="1042" w:name="_Toc296346708"/>
      <w:bookmarkStart w:id="1043" w:name="_Toc296347206"/>
      <w:bookmarkStart w:id="1044" w:name="_Toc296503207"/>
      <w:r>
        <w:rPr>
          <w:rFonts w:hint="eastAsia" w:hAnsi="宋体" w:cs="宋体"/>
          <w:color w:val="auto"/>
          <w:sz w:val="21"/>
          <w:szCs w:val="21"/>
          <w:highlight w:val="none"/>
        </w:rPr>
        <w:t>本工程采用</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1</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单价合同</w:t>
      </w:r>
      <w:r>
        <w:rPr>
          <w:rFonts w:hint="eastAsia" w:hAnsi="宋体" w:cs="宋体"/>
          <w:color w:val="auto"/>
          <w:sz w:val="21"/>
          <w:szCs w:val="21"/>
          <w:highlight w:val="none"/>
        </w:rPr>
        <w:t>合同价格形式，合同价格包含增值税，本工程计价时采用的增值税计税方法为：</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一般计税法</w:t>
      </w:r>
      <w:r>
        <w:rPr>
          <w:rFonts w:hint="eastAsia" w:ascii="宋体" w:hAnsi="宋体" w:cs="宋体"/>
          <w:color w:val="auto"/>
          <w:sz w:val="21"/>
          <w:szCs w:val="21"/>
          <w:highlight w:val="none"/>
        </w:rPr>
        <w:t>□</w:t>
      </w:r>
      <w:r>
        <w:rPr>
          <w:rFonts w:hint="eastAsia" w:hAnsi="宋体" w:cs="宋体"/>
          <w:color w:val="auto"/>
          <w:sz w:val="21"/>
          <w:szCs w:val="21"/>
          <w:highlight w:val="none"/>
        </w:rPr>
        <w:t>简易计税法。</w:t>
      </w:r>
    </w:p>
    <w:p w14:paraId="4CA78718">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）单价合同。</w:t>
      </w:r>
    </w:p>
    <w:p w14:paraId="2987507F">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采用综合单价合同方式时，工程量按建设单位、监理单位、施工单位三方确认的竣工图结算。</w:t>
      </w:r>
    </w:p>
    <w:p w14:paraId="1ADAE291">
      <w:pPr>
        <w:spacing w:line="360" w:lineRule="auto"/>
        <w:ind w:firstLine="420" w:firstLineChars="200"/>
        <w:jc w:val="left"/>
        <w:rPr>
          <w:rFonts w:hint="eastAsia" w:hAnsi="宋体"/>
          <w:color w:val="auto"/>
          <w:sz w:val="21"/>
          <w:szCs w:val="21"/>
          <w:highlight w:val="none"/>
          <w:u w:val="single"/>
          <w:lang w:val="en-US" w:eastAsia="zh-CN"/>
        </w:rPr>
      </w:pPr>
      <w:r>
        <w:rPr>
          <w:rFonts w:hint="eastAsia" w:hAnsi="宋体" w:cs="宋体"/>
          <w:color w:val="auto"/>
          <w:sz w:val="21"/>
          <w:szCs w:val="21"/>
          <w:highlight w:val="none"/>
        </w:rPr>
        <w:t>综合单价包含的风险范围：</w:t>
      </w:r>
      <w:r>
        <w:rPr>
          <w:rFonts w:hint="eastAsia" w:hAnsi="宋体"/>
          <w:color w:val="auto"/>
          <w:sz w:val="21"/>
          <w:szCs w:val="21"/>
          <w:highlight w:val="none"/>
          <w:u w:val="single"/>
          <w:lang w:val="en-US" w:eastAsia="zh-CN"/>
        </w:rPr>
        <w:t>除工程变更、项目特征不符、工程量清单缺项、工程量偏差、政策性调整、市场价格波动以外的所有风险。风险范围以外合同价格的调整方法：①工程变更等按10.4.1条；②工程量偏差按1.13条；③政策性调整按相关文件；④市场价格波动按11.1条。</w:t>
      </w:r>
    </w:p>
    <w:p w14:paraId="4BC3A21A">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40660A38">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①工程变更</w:t>
      </w:r>
      <w:r>
        <w:rPr>
          <w:rFonts w:hint="eastAsia" w:ascii="Calibri" w:hAnsi="宋体" w:cs="宋体"/>
          <w:color w:val="auto"/>
          <w:sz w:val="21"/>
          <w:szCs w:val="21"/>
          <w:highlight w:val="none"/>
        </w:rPr>
        <w:t>、项目特征不符、工程量清单缺项</w:t>
      </w:r>
      <w:r>
        <w:rPr>
          <w:rFonts w:hint="eastAsia" w:hAnsi="宋体" w:cs="宋体"/>
          <w:color w:val="auto"/>
          <w:sz w:val="21"/>
          <w:szCs w:val="21"/>
          <w:highlight w:val="none"/>
        </w:rPr>
        <w:t>：按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112FBDB7">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②</w:t>
      </w:r>
      <w:r>
        <w:rPr>
          <w:rFonts w:hint="eastAsia" w:ascii="Calibri" w:hAnsi="宋体" w:cs="宋体"/>
          <w:color w:val="auto"/>
          <w:sz w:val="21"/>
          <w:szCs w:val="21"/>
          <w:highlight w:val="none"/>
        </w:rPr>
        <w:t>工程量偏差：按1.13工程量清单错误修正的约定调整。</w:t>
      </w:r>
    </w:p>
    <w:p w14:paraId="0849BBDE">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③政策性调整：</w:t>
      </w:r>
      <w:r>
        <w:rPr>
          <w:rFonts w:hint="eastAsia" w:ascii="仿宋_GB2312" w:hAnsi="宋体"/>
          <w:color w:val="auto"/>
          <w:sz w:val="21"/>
          <w:szCs w:val="21"/>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sz w:val="21"/>
          <w:szCs w:val="21"/>
          <w:highlight w:val="none"/>
        </w:rPr>
        <w:t>住房城乡建设主管部门颁布的文件执行</w:t>
      </w:r>
      <w:r>
        <w:rPr>
          <w:rFonts w:hint="eastAsia" w:hAnsi="宋体" w:cs="宋体"/>
          <w:color w:val="auto"/>
          <w:sz w:val="21"/>
          <w:szCs w:val="21"/>
          <w:highlight w:val="none"/>
        </w:rPr>
        <w:t>。</w:t>
      </w:r>
    </w:p>
    <w:p w14:paraId="548D1B3C">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④市场波动引起的调整：按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22B7DC89">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⑤其它：。</w:t>
      </w:r>
    </w:p>
    <w:p w14:paraId="2A849CCB">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2</w:t>
      </w:r>
      <w:r>
        <w:rPr>
          <w:rFonts w:hint="eastAsia" w:hAnsi="宋体" w:cs="宋体"/>
          <w:color w:val="auto"/>
          <w:sz w:val="21"/>
          <w:szCs w:val="21"/>
          <w:highlight w:val="none"/>
        </w:rPr>
        <w:t>）总价合同。</w:t>
      </w:r>
    </w:p>
    <w:p w14:paraId="71F34595">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总价包含的风险范围：包含除工程变更、政策性调整、</w:t>
      </w:r>
      <w:r>
        <w:rPr>
          <w:rFonts w:hint="eastAsia" w:hAnsi="宋体" w:cs="宋体"/>
          <w:color w:val="auto"/>
          <w:sz w:val="21"/>
          <w:szCs w:val="21"/>
          <w:highlight w:val="none"/>
          <w:u w:val="single"/>
        </w:rPr>
        <w:t>市场价格波动。除工程变更外，结算时不再对招标施工图对应的工程量重新计量</w:t>
      </w:r>
      <w:r>
        <w:rPr>
          <w:rFonts w:hint="eastAsia" w:hAnsi="宋体" w:cs="宋体"/>
          <w:color w:val="auto"/>
          <w:sz w:val="21"/>
          <w:szCs w:val="21"/>
          <w:highlight w:val="none"/>
        </w:rPr>
        <w:t>。</w:t>
      </w:r>
    </w:p>
    <w:p w14:paraId="55F66559">
      <w:pPr>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风险范围以外合同价格的调整方法：</w:t>
      </w:r>
    </w:p>
    <w:p w14:paraId="1DF551D0">
      <w:pPr>
        <w:numPr>
          <w:ilvl w:val="0"/>
          <w:numId w:val="9"/>
        </w:numPr>
        <w:spacing w:line="360" w:lineRule="auto"/>
        <w:ind w:firstLine="420" w:firstLineChars="0"/>
        <w:jc w:val="left"/>
        <w:rPr>
          <w:rFonts w:hint="eastAsia" w:hAnsi="宋体" w:cs="宋体"/>
          <w:color w:val="auto"/>
          <w:sz w:val="21"/>
          <w:szCs w:val="21"/>
          <w:highlight w:val="none"/>
        </w:rPr>
      </w:pPr>
      <w:r>
        <w:rPr>
          <w:rFonts w:hint="eastAsia" w:hAnsi="宋体" w:cs="宋体"/>
          <w:color w:val="auto"/>
          <w:sz w:val="21"/>
          <w:szCs w:val="21"/>
          <w:highlight w:val="none"/>
        </w:rPr>
        <w:t>工程变更：按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1DB2CC20">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②政策性调整：</w:t>
      </w:r>
      <w:r>
        <w:rPr>
          <w:rFonts w:hint="eastAsia" w:ascii="仿宋_GB2312" w:hAnsi="宋体"/>
          <w:color w:val="auto"/>
          <w:sz w:val="21"/>
          <w:szCs w:val="21"/>
          <w:highlight w:val="none"/>
        </w:rPr>
        <w:t>按国</w:t>
      </w:r>
      <w:r>
        <w:rPr>
          <w:rFonts w:ascii="仿宋_GB2312" w:hAnsi="宋体"/>
          <w:color w:val="auto"/>
          <w:sz w:val="21"/>
          <w:szCs w:val="21"/>
          <w:highlight w:val="none"/>
        </w:rPr>
        <w:t>家、</w:t>
      </w:r>
      <w:r>
        <w:rPr>
          <w:rFonts w:hint="eastAsia" w:ascii="仿宋_GB2312" w:hAnsi="宋体"/>
          <w:color w:val="auto"/>
          <w:sz w:val="21"/>
          <w:szCs w:val="21"/>
          <w:highlight w:val="none"/>
        </w:rPr>
        <w:t>自治区住房城乡建设厅或工程所在地市级住房城乡建设主管部门颁布的文件执行</w:t>
      </w:r>
      <w:r>
        <w:rPr>
          <w:rFonts w:hint="eastAsia" w:hAnsi="宋体" w:cs="宋体"/>
          <w:color w:val="auto"/>
          <w:sz w:val="21"/>
          <w:szCs w:val="21"/>
          <w:highlight w:val="none"/>
        </w:rPr>
        <w:t>。</w:t>
      </w:r>
    </w:p>
    <w:p w14:paraId="2481DFA7">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101F45A9">
      <w:pPr>
        <w:spacing w:line="360" w:lineRule="auto"/>
        <w:ind w:firstLine="420" w:firstLineChars="200"/>
        <w:jc w:val="left"/>
        <w:rPr>
          <w:rFonts w:hAnsi="宋体"/>
          <w:color w:val="auto"/>
          <w:sz w:val="21"/>
          <w:szCs w:val="21"/>
          <w:highlight w:val="none"/>
        </w:rPr>
      </w:pPr>
      <w:r>
        <w:rPr>
          <w:rFonts w:hAnsi="宋体" w:cs="宋体"/>
          <w:color w:val="auto"/>
          <w:sz w:val="21"/>
          <w:szCs w:val="21"/>
          <w:highlight w:val="none"/>
        </w:rPr>
        <w:fldChar w:fldCharType="begin"/>
      </w:r>
      <w:r>
        <w:rPr>
          <w:rFonts w:hAnsi="宋体" w:cs="宋体"/>
          <w:color w:val="auto"/>
          <w:sz w:val="21"/>
          <w:szCs w:val="21"/>
          <w:highlight w:val="none"/>
        </w:rPr>
        <w:instrText xml:space="preserve"> </w:instrText>
      </w:r>
      <w:r>
        <w:rPr>
          <w:rFonts w:hint="eastAsia" w:hAnsi="宋体" w:cs="宋体"/>
          <w:color w:val="auto"/>
          <w:sz w:val="21"/>
          <w:szCs w:val="21"/>
          <w:highlight w:val="none"/>
        </w:rPr>
        <w:instrText xml:space="preserve">= 4 \* GB3</w:instrText>
      </w:r>
      <w:r>
        <w:rPr>
          <w:rFonts w:hAnsi="宋体" w:cs="宋体"/>
          <w:color w:val="auto"/>
          <w:sz w:val="21"/>
          <w:szCs w:val="21"/>
          <w:highlight w:val="none"/>
        </w:rPr>
        <w:instrText xml:space="preserve"> </w:instrText>
      </w:r>
      <w:r>
        <w:rPr>
          <w:rFonts w:hAnsi="宋体" w:cs="宋体"/>
          <w:color w:val="auto"/>
          <w:sz w:val="21"/>
          <w:szCs w:val="21"/>
          <w:highlight w:val="none"/>
        </w:rPr>
        <w:fldChar w:fldCharType="separate"/>
      </w:r>
      <w:r>
        <w:rPr>
          <w:rFonts w:hint="eastAsia" w:hAnsi="宋体" w:cs="宋体"/>
          <w:color w:val="auto"/>
          <w:sz w:val="21"/>
          <w:szCs w:val="21"/>
          <w:highlight w:val="none"/>
        </w:rPr>
        <w:t>④</w:t>
      </w:r>
      <w:r>
        <w:rPr>
          <w:rFonts w:hAnsi="宋体" w:cs="宋体"/>
          <w:color w:val="auto"/>
          <w:sz w:val="21"/>
          <w:szCs w:val="21"/>
          <w:highlight w:val="none"/>
        </w:rPr>
        <w:fldChar w:fldCharType="end"/>
      </w:r>
      <w:r>
        <w:rPr>
          <w:rFonts w:hint="eastAsia" w:hAnsi="宋体" w:cs="宋体"/>
          <w:color w:val="auto"/>
          <w:sz w:val="21"/>
          <w:szCs w:val="21"/>
          <w:highlight w:val="none"/>
        </w:rPr>
        <w:t>其它：</w:t>
      </w:r>
      <w:r>
        <w:rPr>
          <w:rFonts w:hint="eastAsia" w:hAnsi="宋体"/>
          <w:color w:val="auto"/>
          <w:sz w:val="21"/>
          <w:szCs w:val="21"/>
          <w:highlight w:val="none"/>
          <w:u w:val="single"/>
          <w:lang w:val="en-US" w:eastAsia="zh-CN"/>
        </w:rPr>
        <w:t>/</w:t>
      </w:r>
      <w:r>
        <w:rPr>
          <w:rFonts w:hint="eastAsia" w:hAnsi="宋体" w:cs="宋体"/>
          <w:color w:val="auto"/>
          <w:sz w:val="21"/>
          <w:szCs w:val="21"/>
          <w:highlight w:val="none"/>
        </w:rPr>
        <w:t>。</w:t>
      </w:r>
    </w:p>
    <w:p w14:paraId="57C64D90">
      <w:pPr>
        <w:spacing w:line="360" w:lineRule="auto"/>
        <w:ind w:firstLine="420" w:firstLineChars="200"/>
        <w:jc w:val="left"/>
        <w:rPr>
          <w:color w:val="auto"/>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）其他价格方式：</w:t>
      </w:r>
      <w:r>
        <w:rPr>
          <w:rFonts w:hint="eastAsia"/>
          <w:color w:val="auto"/>
          <w:sz w:val="21"/>
          <w:szCs w:val="21"/>
          <w:highlight w:val="none"/>
          <w:u w:val="single"/>
          <w:lang w:val="en-US" w:eastAsia="zh-CN"/>
        </w:rPr>
        <w:t>/</w:t>
      </w:r>
      <w:r>
        <w:rPr>
          <w:rFonts w:hint="eastAsia" w:cs="宋体"/>
          <w:color w:val="auto"/>
          <w:highlight w:val="none"/>
        </w:rPr>
        <w:t>。</w:t>
      </w:r>
    </w:p>
    <w:p w14:paraId="208028E8">
      <w:pPr>
        <w:pStyle w:val="4"/>
        <w:rPr>
          <w:color w:val="auto"/>
          <w:highlight w:val="none"/>
        </w:rPr>
      </w:pPr>
      <w:bookmarkStart w:id="1045" w:name="_Toc1338560546"/>
      <w:bookmarkStart w:id="1046" w:name="_Toc407135253"/>
      <w:bookmarkStart w:id="1047" w:name="_Toc27427"/>
      <w:bookmarkStart w:id="1048" w:name="_Toc78449839"/>
      <w:bookmarkStart w:id="1049" w:name="_Toc1681900246"/>
      <w:r>
        <w:rPr>
          <w:color w:val="auto"/>
          <w:highlight w:val="none"/>
        </w:rPr>
        <w:t>12.2</w:t>
      </w:r>
      <w:r>
        <w:rPr>
          <w:rFonts w:hint="eastAsia" w:hAnsi="宋体" w:cs="黑体"/>
          <w:color w:val="auto"/>
          <w:highlight w:val="none"/>
        </w:rPr>
        <w:t>预付款</w:t>
      </w:r>
      <w:bookmarkEnd w:id="1026"/>
      <w:bookmarkEnd w:id="1027"/>
      <w:bookmarkEnd w:id="1028"/>
      <w:bookmarkEnd w:id="1045"/>
      <w:bookmarkEnd w:id="1046"/>
      <w:bookmarkEnd w:id="1047"/>
      <w:bookmarkEnd w:id="1048"/>
      <w:bookmarkEnd w:id="1049"/>
    </w:p>
    <w:bookmarkEnd w:id="1029"/>
    <w:bookmarkEnd w:id="1030"/>
    <w:bookmarkEnd w:id="1031"/>
    <w:bookmarkEnd w:id="1032"/>
    <w:bookmarkEnd w:id="1033"/>
    <w:bookmarkEnd w:id="1034"/>
    <w:p w14:paraId="5F4D469D">
      <w:pPr>
        <w:spacing w:line="360" w:lineRule="auto"/>
        <w:ind w:firstLine="420" w:firstLineChars="200"/>
        <w:jc w:val="left"/>
        <w:rPr>
          <w:color w:val="auto"/>
          <w:sz w:val="21"/>
          <w:szCs w:val="21"/>
          <w:highlight w:val="none"/>
        </w:rPr>
      </w:pPr>
      <w:r>
        <w:rPr>
          <w:color w:val="auto"/>
          <w:sz w:val="21"/>
          <w:szCs w:val="21"/>
          <w:highlight w:val="none"/>
        </w:rPr>
        <w:t>12.2.1</w:t>
      </w:r>
      <w:r>
        <w:rPr>
          <w:rFonts w:hint="eastAsia" w:hAnsi="宋体" w:cs="宋体"/>
          <w:color w:val="auto"/>
          <w:sz w:val="21"/>
          <w:szCs w:val="21"/>
          <w:highlight w:val="none"/>
        </w:rPr>
        <w:t>预付款的支付</w:t>
      </w:r>
    </w:p>
    <w:p w14:paraId="05620E5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预付款支付比例或金额：</w:t>
      </w:r>
      <w:r>
        <w:rPr>
          <w:rStyle w:val="27"/>
          <w:rFonts w:ascii="Segoe UI" w:hAnsi="Segoe UI" w:eastAsia="Segoe UI" w:cs="Segoe UI"/>
          <w:b w:val="0"/>
          <w:bCs w:val="0"/>
          <w:i w:val="0"/>
          <w:iCs w:val="0"/>
          <w:caps w:val="0"/>
          <w:color w:val="0F1115"/>
          <w:spacing w:val="0"/>
          <w:sz w:val="21"/>
          <w:szCs w:val="21"/>
          <w:highlight w:val="none"/>
          <w:u w:val="single"/>
          <w:shd w:val="clear" w:fill="FFFFFF"/>
        </w:rPr>
        <w:t>合同价（扣除暂列金额及安全文明施工费后）的30%</w:t>
      </w:r>
      <w:r>
        <w:rPr>
          <w:rFonts w:hint="eastAsia" w:hAnsi="宋体" w:cs="宋体"/>
          <w:b w:val="0"/>
          <w:bCs w:val="0"/>
          <w:color w:val="auto"/>
          <w:sz w:val="21"/>
          <w:szCs w:val="21"/>
          <w:highlight w:val="none"/>
          <w:u w:val="single"/>
        </w:rPr>
        <w:t>【</w:t>
      </w:r>
      <w:r>
        <w:rPr>
          <w:rFonts w:hint="eastAsia" w:hAnsi="宋体" w:cs="宋体"/>
          <w:color w:val="auto"/>
          <w:sz w:val="21"/>
          <w:szCs w:val="21"/>
          <w:highlight w:val="none"/>
          <w:u w:val="single"/>
        </w:rPr>
        <w:t>备注：政府投资项目应严格执行工程预付款制度，工程预付款应不低于合同总价（扣除暂列金额）的10%（最高不超过30%，并与工程进度款分期按约定比例抵扣）】</w:t>
      </w:r>
      <w:r>
        <w:rPr>
          <w:rFonts w:hint="eastAsia" w:hAnsi="宋体" w:cs="宋体"/>
          <w:color w:val="auto"/>
          <w:sz w:val="21"/>
          <w:szCs w:val="21"/>
          <w:highlight w:val="none"/>
        </w:rPr>
        <w:t>。</w:t>
      </w:r>
    </w:p>
    <w:p w14:paraId="7131990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预付款支付期限：</w:t>
      </w:r>
      <w:r>
        <w:rPr>
          <w:rFonts w:hint="eastAsia"/>
          <w:color w:val="auto"/>
          <w:sz w:val="21"/>
          <w:szCs w:val="21"/>
          <w:highlight w:val="none"/>
          <w:u w:val="single"/>
          <w:lang w:eastAsia="zh-CN"/>
        </w:rPr>
        <w:t>合同签订生效后，在</w:t>
      </w:r>
      <w:r>
        <w:rPr>
          <w:rFonts w:hint="eastAsia" w:ascii="Times New Roman" w:hAnsi="宋体" w:eastAsia="宋体" w:cs="宋体"/>
          <w:color w:val="auto"/>
          <w:sz w:val="21"/>
          <w:szCs w:val="21"/>
          <w:highlight w:val="none"/>
          <w:u w:val="single"/>
          <w:lang w:eastAsia="zh-CN"/>
        </w:rPr>
        <w:t>承包方</w:t>
      </w:r>
      <w:r>
        <w:rPr>
          <w:rFonts w:hint="eastAsia" w:hAnsi="宋体" w:eastAsia="宋体" w:cs="宋体"/>
          <w:color w:val="auto"/>
          <w:sz w:val="21"/>
          <w:szCs w:val="21"/>
          <w:highlight w:val="none"/>
          <w:u w:val="single"/>
          <w:lang w:eastAsia="zh-CN"/>
        </w:rPr>
        <w:t>开具</w:t>
      </w:r>
      <w:r>
        <w:rPr>
          <w:rFonts w:hint="eastAsia" w:hAnsi="宋体" w:cs="宋体"/>
          <w:color w:val="auto"/>
          <w:sz w:val="21"/>
          <w:szCs w:val="21"/>
          <w:highlight w:val="none"/>
          <w:u w:val="single"/>
          <w:lang w:eastAsia="zh-CN"/>
        </w:rPr>
        <w:t>等额增值税发票</w:t>
      </w:r>
      <w:r>
        <w:rPr>
          <w:rFonts w:hint="eastAsia" w:hAnsi="宋体" w:cs="宋体"/>
          <w:color w:val="auto"/>
          <w:sz w:val="21"/>
          <w:szCs w:val="21"/>
          <w:highlight w:val="none"/>
          <w:u w:val="single"/>
          <w:lang w:val="en-US" w:eastAsia="zh-CN"/>
        </w:rPr>
        <w:t>10个工作日</w:t>
      </w:r>
      <w:r>
        <w:rPr>
          <w:rFonts w:hint="eastAsia" w:ascii="Times New Roman" w:hAnsi="宋体" w:eastAsia="宋体" w:cs="宋体"/>
          <w:color w:val="auto"/>
          <w:sz w:val="21"/>
          <w:szCs w:val="21"/>
          <w:highlight w:val="none"/>
          <w:u w:val="single"/>
        </w:rPr>
        <w:t>内</w:t>
      </w:r>
      <w:r>
        <w:rPr>
          <w:rFonts w:hint="eastAsia" w:hAnsi="宋体" w:cs="宋体"/>
          <w:color w:val="auto"/>
          <w:sz w:val="21"/>
          <w:szCs w:val="21"/>
          <w:highlight w:val="none"/>
        </w:rPr>
        <w:t>。</w:t>
      </w:r>
    </w:p>
    <w:p w14:paraId="34FC3E4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预付款扣回的方式：</w:t>
      </w:r>
      <w:r>
        <w:rPr>
          <w:rFonts w:hint="eastAsia"/>
          <w:color w:val="auto"/>
          <w:sz w:val="21"/>
          <w:szCs w:val="21"/>
          <w:highlight w:val="none"/>
          <w:u w:val="single"/>
          <w:lang w:val="en-US" w:eastAsia="zh-CN"/>
        </w:rPr>
        <w:t>/</w:t>
      </w:r>
      <w:r>
        <w:rPr>
          <w:rFonts w:hint="eastAsia"/>
          <w:color w:val="auto"/>
          <w:sz w:val="21"/>
          <w:szCs w:val="21"/>
          <w:highlight w:val="none"/>
          <w:u w:val="single"/>
          <w:lang w:eastAsia="zh-CN"/>
        </w:rPr>
        <w:t>。</w:t>
      </w:r>
    </w:p>
    <w:p w14:paraId="53BC3AC6">
      <w:pPr>
        <w:spacing w:line="360" w:lineRule="auto"/>
        <w:ind w:firstLine="420" w:firstLineChars="200"/>
        <w:jc w:val="left"/>
        <w:rPr>
          <w:color w:val="auto"/>
          <w:sz w:val="21"/>
          <w:szCs w:val="21"/>
          <w:highlight w:val="none"/>
        </w:rPr>
      </w:pPr>
      <w:r>
        <w:rPr>
          <w:color w:val="auto"/>
          <w:sz w:val="21"/>
          <w:szCs w:val="21"/>
          <w:highlight w:val="none"/>
        </w:rPr>
        <w:t>12.2.2</w:t>
      </w:r>
      <w:r>
        <w:rPr>
          <w:rFonts w:hint="eastAsia" w:hAnsi="宋体" w:cs="宋体"/>
          <w:color w:val="auto"/>
          <w:sz w:val="21"/>
          <w:szCs w:val="21"/>
          <w:highlight w:val="none"/>
        </w:rPr>
        <w:t>预付款担保</w:t>
      </w:r>
    </w:p>
    <w:p w14:paraId="0CB9507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承包人提交预付款担保的期限：</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7DDB1612">
      <w:pPr>
        <w:spacing w:line="360" w:lineRule="auto"/>
        <w:ind w:firstLine="420" w:firstLineChars="200"/>
        <w:jc w:val="left"/>
        <w:rPr>
          <w:rFonts w:hint="eastAsia" w:ascii="Times New Roman" w:hAnsi="宋体" w:eastAsia="宋体" w:cs="宋体"/>
          <w:color w:val="auto"/>
          <w:sz w:val="21"/>
          <w:szCs w:val="21"/>
          <w:highlight w:val="none"/>
        </w:rPr>
      </w:pPr>
      <w:r>
        <w:rPr>
          <w:rFonts w:hint="eastAsia" w:hAnsi="宋体" w:cs="宋体"/>
          <w:color w:val="auto"/>
          <w:sz w:val="21"/>
          <w:szCs w:val="21"/>
          <w:highlight w:val="none"/>
        </w:rPr>
        <w:t>预付款担保的形式为：</w:t>
      </w:r>
      <w:r>
        <w:rPr>
          <w:rFonts w:hint="eastAsia"/>
          <w:color w:val="auto"/>
          <w:sz w:val="21"/>
          <w:szCs w:val="21"/>
          <w:highlight w:val="none"/>
          <w:u w:val="none"/>
          <w:lang w:eastAsia="zh-CN"/>
        </w:rPr>
        <w:t>可以是</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式。工程担保保证人应将出具的保函相关信息录入“广西建筑市场监管云”平台（http://gxjzsc.caihcloud.com），以实现保函查询及验真功能</w:t>
      </w:r>
      <w:r>
        <w:rPr>
          <w:rFonts w:hint="eastAsia" w:ascii="Times New Roman" w:hAnsi="宋体" w:eastAsia="宋体" w:cs="宋体"/>
          <w:color w:val="auto"/>
          <w:sz w:val="21"/>
          <w:szCs w:val="21"/>
          <w:highlight w:val="none"/>
          <w:lang w:eastAsia="zh-CN"/>
        </w:rPr>
        <w:t>。</w:t>
      </w:r>
    </w:p>
    <w:p w14:paraId="29EFCFAD">
      <w:pPr>
        <w:spacing w:line="360" w:lineRule="auto"/>
        <w:ind w:firstLine="420" w:firstLineChars="200"/>
        <w:jc w:val="left"/>
        <w:rPr>
          <w:color w:val="auto"/>
          <w:sz w:val="21"/>
          <w:szCs w:val="21"/>
          <w:highlight w:val="none"/>
        </w:rPr>
      </w:pPr>
      <w:r>
        <w:rPr>
          <w:rFonts w:hint="eastAsia" w:ascii="宋体" w:hAnsi="宋体" w:cs="宋体"/>
          <w:color w:val="auto"/>
          <w:sz w:val="21"/>
          <w:szCs w:val="21"/>
          <w:highlight w:val="none"/>
        </w:rPr>
        <w:t>预付款担保格式见合同附件8。预付款支付申请（核准）表见合同附件10</w:t>
      </w:r>
    </w:p>
    <w:bookmarkEnd w:id="1035"/>
    <w:bookmarkEnd w:id="1036"/>
    <w:bookmarkEnd w:id="1037"/>
    <w:bookmarkEnd w:id="1038"/>
    <w:bookmarkEnd w:id="1039"/>
    <w:bookmarkEnd w:id="1040"/>
    <w:bookmarkEnd w:id="1041"/>
    <w:bookmarkEnd w:id="1042"/>
    <w:bookmarkEnd w:id="1043"/>
    <w:bookmarkEnd w:id="1044"/>
    <w:p w14:paraId="39FEEDD4">
      <w:pPr>
        <w:pStyle w:val="4"/>
        <w:rPr>
          <w:color w:val="auto"/>
          <w:sz w:val="21"/>
          <w:szCs w:val="21"/>
          <w:highlight w:val="none"/>
        </w:rPr>
      </w:pPr>
      <w:bookmarkStart w:id="1050" w:name="_Toc22159"/>
      <w:bookmarkStart w:id="1051" w:name="_Toc373227751"/>
      <w:bookmarkStart w:id="1052" w:name="_Toc78449840"/>
      <w:bookmarkStart w:id="1053" w:name="_Toc373478398"/>
      <w:bookmarkStart w:id="1054" w:name="_Toc1494831447"/>
      <w:bookmarkStart w:id="1055" w:name="_Toc407135254"/>
      <w:bookmarkStart w:id="1056" w:name="_Toc389065316"/>
      <w:bookmarkStart w:id="1057" w:name="_Toc1307224940"/>
      <w:r>
        <w:rPr>
          <w:color w:val="auto"/>
          <w:sz w:val="21"/>
          <w:szCs w:val="21"/>
          <w:highlight w:val="none"/>
        </w:rPr>
        <w:t>12.3</w:t>
      </w:r>
      <w:r>
        <w:rPr>
          <w:rFonts w:hint="eastAsia" w:hAnsi="宋体" w:cs="黑体"/>
          <w:color w:val="auto"/>
          <w:sz w:val="21"/>
          <w:szCs w:val="21"/>
          <w:highlight w:val="none"/>
        </w:rPr>
        <w:t>计量</w:t>
      </w:r>
      <w:bookmarkEnd w:id="1050"/>
      <w:bookmarkEnd w:id="1051"/>
      <w:bookmarkEnd w:id="1052"/>
      <w:bookmarkEnd w:id="1053"/>
      <w:bookmarkEnd w:id="1054"/>
      <w:bookmarkEnd w:id="1055"/>
      <w:bookmarkEnd w:id="1056"/>
      <w:bookmarkEnd w:id="1057"/>
    </w:p>
    <w:p w14:paraId="4C40A27E">
      <w:pPr>
        <w:spacing w:line="360" w:lineRule="auto"/>
        <w:ind w:firstLine="420" w:firstLineChars="200"/>
        <w:jc w:val="left"/>
        <w:rPr>
          <w:color w:val="auto"/>
          <w:sz w:val="21"/>
          <w:szCs w:val="21"/>
          <w:highlight w:val="none"/>
        </w:rPr>
      </w:pPr>
      <w:r>
        <w:rPr>
          <w:color w:val="auto"/>
          <w:sz w:val="21"/>
          <w:szCs w:val="21"/>
          <w:highlight w:val="none"/>
        </w:rPr>
        <w:t>12.3.1</w:t>
      </w:r>
      <w:r>
        <w:rPr>
          <w:rFonts w:hint="eastAsia" w:hAnsi="宋体" w:cs="宋体"/>
          <w:color w:val="auto"/>
          <w:sz w:val="21"/>
          <w:szCs w:val="21"/>
          <w:highlight w:val="none"/>
        </w:rPr>
        <w:t>计量原则</w:t>
      </w:r>
    </w:p>
    <w:p w14:paraId="2013860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工程量计算规则：</w:t>
      </w:r>
      <w:r>
        <w:rPr>
          <w:rFonts w:hint="eastAsia" w:hAnsi="宋体" w:cs="宋体"/>
          <w:color w:val="auto"/>
          <w:sz w:val="21"/>
          <w:szCs w:val="21"/>
          <w:highlight w:val="none"/>
          <w:u w:val="single"/>
        </w:rPr>
        <w:t>工程的计量均以《建设工程工程量清单计价规范》（</w:t>
      </w:r>
      <w:r>
        <w:rPr>
          <w:color w:val="auto"/>
          <w:sz w:val="21"/>
          <w:szCs w:val="21"/>
          <w:highlight w:val="none"/>
          <w:u w:val="single"/>
        </w:rPr>
        <w:t>GB50500</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）及广西壮族自治区实施细则、《建设工程工程量清单计算规范》（</w:t>
      </w:r>
      <w:r>
        <w:rPr>
          <w:color w:val="auto"/>
          <w:sz w:val="21"/>
          <w:szCs w:val="21"/>
          <w:highlight w:val="none"/>
          <w:u w:val="single"/>
        </w:rPr>
        <w:t>GB50854~50862</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）及广西实施细则、本工程补充项目清单为准。</w:t>
      </w:r>
    </w:p>
    <w:p w14:paraId="635AEC93">
      <w:pPr>
        <w:spacing w:line="360" w:lineRule="auto"/>
        <w:ind w:firstLine="420" w:firstLineChars="200"/>
        <w:jc w:val="left"/>
        <w:rPr>
          <w:color w:val="auto"/>
          <w:sz w:val="21"/>
          <w:szCs w:val="21"/>
          <w:highlight w:val="none"/>
        </w:rPr>
      </w:pPr>
      <w:r>
        <w:rPr>
          <w:color w:val="auto"/>
          <w:sz w:val="21"/>
          <w:szCs w:val="21"/>
          <w:highlight w:val="none"/>
        </w:rPr>
        <w:t>12.3.2</w:t>
      </w:r>
      <w:r>
        <w:rPr>
          <w:rFonts w:hint="eastAsia" w:hAnsi="宋体" w:cs="宋体"/>
          <w:color w:val="auto"/>
          <w:sz w:val="21"/>
          <w:szCs w:val="21"/>
          <w:highlight w:val="none"/>
        </w:rPr>
        <w:t>计量周期</w:t>
      </w:r>
    </w:p>
    <w:p w14:paraId="7E059D3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关于计量周期的约定：</w:t>
      </w:r>
      <w:r>
        <w:rPr>
          <w:rFonts w:hint="eastAsia" w:hAnsi="宋体" w:cs="宋体"/>
          <w:color w:val="auto"/>
          <w:sz w:val="21"/>
          <w:szCs w:val="21"/>
          <w:highlight w:val="none"/>
          <w:u w:val="single"/>
        </w:rPr>
        <w:t>每月</w:t>
      </w:r>
      <w:r>
        <w:rPr>
          <w:color w:val="auto"/>
          <w:sz w:val="21"/>
          <w:szCs w:val="21"/>
          <w:highlight w:val="none"/>
          <w:u w:val="single"/>
        </w:rPr>
        <w:t>25</w:t>
      </w:r>
      <w:r>
        <w:rPr>
          <w:rFonts w:hint="eastAsia" w:hAnsi="宋体" w:cs="宋体"/>
          <w:color w:val="auto"/>
          <w:sz w:val="21"/>
          <w:szCs w:val="21"/>
          <w:highlight w:val="none"/>
          <w:u w:val="single"/>
        </w:rPr>
        <w:t>日前</w:t>
      </w:r>
      <w:r>
        <w:rPr>
          <w:rFonts w:hint="eastAsia" w:hAnsi="宋体" w:cs="宋体"/>
          <w:color w:val="auto"/>
          <w:sz w:val="21"/>
          <w:szCs w:val="21"/>
          <w:highlight w:val="none"/>
        </w:rPr>
        <w:t>。</w:t>
      </w:r>
    </w:p>
    <w:p w14:paraId="34DF49F8">
      <w:pPr>
        <w:spacing w:line="360" w:lineRule="auto"/>
        <w:ind w:firstLine="420" w:firstLineChars="200"/>
        <w:jc w:val="left"/>
        <w:outlineLvl w:val="0"/>
        <w:rPr>
          <w:color w:val="auto"/>
          <w:sz w:val="21"/>
          <w:szCs w:val="21"/>
          <w:highlight w:val="none"/>
        </w:rPr>
      </w:pPr>
      <w:bookmarkStart w:id="1058" w:name="_Toc5727"/>
      <w:r>
        <w:rPr>
          <w:color w:val="auto"/>
          <w:sz w:val="21"/>
          <w:szCs w:val="21"/>
          <w:highlight w:val="none"/>
        </w:rPr>
        <w:t>12.3.3</w:t>
      </w:r>
      <w:r>
        <w:rPr>
          <w:rFonts w:hint="eastAsia" w:hAnsi="宋体" w:cs="宋体"/>
          <w:color w:val="auto"/>
          <w:sz w:val="21"/>
          <w:szCs w:val="21"/>
          <w:highlight w:val="none"/>
        </w:rPr>
        <w:t>单价合同的计量</w:t>
      </w:r>
      <w:bookmarkEnd w:id="1058"/>
    </w:p>
    <w:p w14:paraId="5BE271DC">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关于单价合同计量的约定：</w:t>
      </w:r>
    </w:p>
    <w:p w14:paraId="54E944AC">
      <w:pPr>
        <w:spacing w:line="360" w:lineRule="auto"/>
        <w:ind w:firstLine="441" w:firstLineChars="21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036D178F">
      <w:pPr>
        <w:spacing w:line="360" w:lineRule="auto"/>
        <w:ind w:firstLine="441" w:firstLineChars="210"/>
        <w:rPr>
          <w:color w:val="auto"/>
          <w:sz w:val="21"/>
          <w:szCs w:val="21"/>
          <w:highlight w:val="none"/>
        </w:rPr>
      </w:pPr>
      <w:r>
        <w:rPr>
          <w:color w:val="auto"/>
          <w:sz w:val="21"/>
          <w:szCs w:val="21"/>
          <w:highlight w:val="none"/>
        </w:rPr>
        <w:t>(2)</w:t>
      </w:r>
      <w:r>
        <w:rPr>
          <w:rFonts w:hint="eastAsia" w:hAnsi="宋体" w:cs="宋体"/>
          <w:color w:val="auto"/>
          <w:sz w:val="21"/>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67FC67A7">
      <w:pPr>
        <w:spacing w:line="360" w:lineRule="auto"/>
        <w:ind w:firstLine="420" w:firstLineChars="200"/>
        <w:jc w:val="left"/>
        <w:rPr>
          <w:color w:val="auto"/>
          <w:sz w:val="21"/>
          <w:szCs w:val="21"/>
          <w:highlight w:val="none"/>
        </w:rPr>
      </w:pPr>
      <w:r>
        <w:rPr>
          <w:color w:val="auto"/>
          <w:sz w:val="21"/>
          <w:szCs w:val="21"/>
          <w:highlight w:val="none"/>
        </w:rPr>
        <w:t>12.3.4</w:t>
      </w:r>
      <w:r>
        <w:rPr>
          <w:rFonts w:hint="eastAsia" w:hAnsi="宋体" w:cs="宋体"/>
          <w:color w:val="auto"/>
          <w:sz w:val="21"/>
          <w:szCs w:val="21"/>
          <w:highlight w:val="none"/>
        </w:rPr>
        <w:t>总价合同的计量</w:t>
      </w:r>
    </w:p>
    <w:p w14:paraId="18460F78">
      <w:pPr>
        <w:spacing w:line="360" w:lineRule="auto"/>
        <w:ind w:firstLine="420" w:firstLineChars="200"/>
        <w:jc w:val="left"/>
        <w:rPr>
          <w:rFonts w:cs="宋体"/>
          <w:color w:val="auto"/>
          <w:sz w:val="21"/>
          <w:szCs w:val="21"/>
          <w:highlight w:val="none"/>
        </w:rPr>
      </w:pPr>
      <w:r>
        <w:rPr>
          <w:rFonts w:hint="eastAsia" w:ascii="Calibri" w:hAnsi="宋体" w:cs="宋体"/>
          <w:color w:val="auto"/>
          <w:sz w:val="21"/>
          <w:szCs w:val="21"/>
          <w:highlight w:val="none"/>
        </w:rPr>
        <w:t>（1）总价合同计量约定：</w:t>
      </w:r>
      <w:r>
        <w:rPr>
          <w:rFonts w:hint="eastAsia" w:hAnsi="宋体" w:cs="宋体"/>
          <w:color w:val="auto"/>
          <w:sz w:val="21"/>
          <w:szCs w:val="21"/>
          <w:highlight w:val="none"/>
        </w:rPr>
        <w:t>进度款按支付分解表支付</w:t>
      </w:r>
      <w:r>
        <w:rPr>
          <w:rFonts w:hint="eastAsia" w:ascii="宋体" w:hAnsi="宋体" w:cs="宋体"/>
          <w:color w:val="auto"/>
          <w:kern w:val="0"/>
          <w:sz w:val="21"/>
          <w:szCs w:val="21"/>
          <w:highlight w:val="none"/>
        </w:rPr>
        <w:t>，</w:t>
      </w:r>
      <w:r>
        <w:rPr>
          <w:rFonts w:hint="eastAsia" w:cs="宋体"/>
          <w:color w:val="auto"/>
          <w:sz w:val="21"/>
          <w:szCs w:val="21"/>
          <w:highlight w:val="none"/>
        </w:rPr>
        <w:t>支付分解表在招标完成后签合同之前制定，具体详见本专用合同条款12.4.6。</w:t>
      </w:r>
    </w:p>
    <w:p w14:paraId="3D982C3D">
      <w:pPr>
        <w:spacing w:line="360" w:lineRule="auto"/>
        <w:ind w:firstLine="420" w:firstLineChars="200"/>
        <w:jc w:val="left"/>
        <w:rPr>
          <w:color w:val="auto"/>
          <w:sz w:val="21"/>
          <w:szCs w:val="21"/>
          <w:highlight w:val="none"/>
        </w:rPr>
      </w:pPr>
      <w:r>
        <w:rPr>
          <w:color w:val="auto"/>
          <w:sz w:val="21"/>
          <w:szCs w:val="21"/>
          <w:highlight w:val="none"/>
        </w:rPr>
        <w:t>12.3.6</w:t>
      </w:r>
      <w:r>
        <w:rPr>
          <w:rFonts w:hint="eastAsia" w:hAnsi="宋体" w:cs="宋体"/>
          <w:color w:val="auto"/>
          <w:sz w:val="21"/>
          <w:szCs w:val="21"/>
          <w:highlight w:val="none"/>
        </w:rPr>
        <w:t>其他价格形式合同的计量</w:t>
      </w:r>
    </w:p>
    <w:p w14:paraId="0866A90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其他价格形式的计量方式和程序：。</w:t>
      </w:r>
    </w:p>
    <w:p w14:paraId="54C76D17">
      <w:pPr>
        <w:pStyle w:val="4"/>
        <w:rPr>
          <w:color w:val="auto"/>
          <w:highlight w:val="none"/>
        </w:rPr>
      </w:pPr>
      <w:bookmarkStart w:id="1059" w:name="_Toc1155368667"/>
      <w:bookmarkStart w:id="1060" w:name="_Toc373227752"/>
      <w:bookmarkStart w:id="1061" w:name="_Toc1711431123"/>
      <w:bookmarkStart w:id="1062" w:name="_Toc407135255"/>
      <w:bookmarkStart w:id="1063" w:name="_Toc28450"/>
      <w:bookmarkStart w:id="1064" w:name="_Toc373478399"/>
      <w:bookmarkStart w:id="1065" w:name="_Toc389065317"/>
      <w:bookmarkStart w:id="1066" w:name="_Toc78449841"/>
      <w:r>
        <w:rPr>
          <w:color w:val="auto"/>
          <w:highlight w:val="none"/>
        </w:rPr>
        <w:t>12.4</w:t>
      </w:r>
      <w:r>
        <w:rPr>
          <w:rFonts w:hint="eastAsia" w:cs="黑体"/>
          <w:color w:val="auto"/>
          <w:highlight w:val="none"/>
        </w:rPr>
        <w:t>工程进度款支付</w:t>
      </w:r>
      <w:bookmarkEnd w:id="1059"/>
      <w:bookmarkEnd w:id="1060"/>
      <w:bookmarkEnd w:id="1061"/>
      <w:bookmarkEnd w:id="1062"/>
      <w:bookmarkEnd w:id="1063"/>
      <w:bookmarkEnd w:id="1064"/>
      <w:bookmarkEnd w:id="1065"/>
      <w:bookmarkEnd w:id="1066"/>
    </w:p>
    <w:p w14:paraId="3594B9C3">
      <w:pPr>
        <w:spacing w:line="400" w:lineRule="exact"/>
        <w:ind w:firstLine="420" w:firstLineChars="200"/>
        <w:jc w:val="left"/>
        <w:rPr>
          <w:color w:val="auto"/>
          <w:sz w:val="21"/>
          <w:szCs w:val="21"/>
          <w:highlight w:val="none"/>
        </w:rPr>
      </w:pPr>
      <w:bookmarkStart w:id="1067" w:name="_Toc296347210"/>
      <w:bookmarkStart w:id="1068" w:name="_Toc296891039"/>
      <w:bookmarkStart w:id="1069" w:name="_Toc297216215"/>
      <w:bookmarkStart w:id="1070" w:name="_Toc297048397"/>
      <w:bookmarkStart w:id="1071" w:name="_Toc297123556"/>
      <w:bookmarkStart w:id="1072" w:name="_Toc296346712"/>
      <w:bookmarkStart w:id="1073" w:name="_Toc297120511"/>
      <w:bookmarkStart w:id="1074" w:name="_Toc303539163"/>
      <w:bookmarkStart w:id="1075" w:name="_Toc296503211"/>
      <w:bookmarkStart w:id="1076" w:name="_Toc292559921"/>
      <w:bookmarkStart w:id="1077" w:name="_Toc296944550"/>
      <w:bookmarkStart w:id="1078" w:name="_Toc300935006"/>
      <w:bookmarkStart w:id="1079" w:name="_Toc296891251"/>
      <w:bookmarkStart w:id="1080" w:name="_Toc292559416"/>
      <w:r>
        <w:rPr>
          <w:rFonts w:ascii="宋体" w:hAnsi="宋体" w:eastAsia="宋体" w:cs="宋体"/>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kern w:val="0"/>
          <w:sz w:val="21"/>
          <w:szCs w:val="21"/>
          <w:highlight w:val="none"/>
          <w:lang w:val="en-US" w:eastAsia="zh-CN" w:bidi="ar"/>
        </w:rPr>
        <w:t>。</w:t>
      </w:r>
    </w:p>
    <w:p w14:paraId="595DFE6C">
      <w:pPr>
        <w:spacing w:line="360" w:lineRule="auto"/>
        <w:ind w:firstLine="420" w:firstLineChars="200"/>
        <w:jc w:val="left"/>
        <w:rPr>
          <w:color w:val="auto"/>
          <w:sz w:val="21"/>
          <w:szCs w:val="21"/>
          <w:highlight w:val="none"/>
        </w:rPr>
      </w:pPr>
      <w:r>
        <w:rPr>
          <w:color w:val="auto"/>
          <w:sz w:val="21"/>
          <w:szCs w:val="21"/>
          <w:highlight w:val="none"/>
        </w:rPr>
        <w:t>12.4.1</w:t>
      </w:r>
      <w:r>
        <w:rPr>
          <w:rFonts w:hint="eastAsia" w:hAnsi="宋体" w:cs="宋体"/>
          <w:color w:val="auto"/>
          <w:sz w:val="21"/>
          <w:szCs w:val="21"/>
          <w:highlight w:val="none"/>
        </w:rPr>
        <w:t>付款周期</w:t>
      </w:r>
    </w:p>
    <w:p w14:paraId="431F09A7">
      <w:pPr>
        <w:spacing w:line="400" w:lineRule="exact"/>
        <w:ind w:firstLine="420" w:firstLineChars="200"/>
        <w:jc w:val="left"/>
        <w:rPr>
          <w:rFonts w:ascii="宋体" w:hAnsi="宋体" w:eastAsia="宋体" w:cs="宋体"/>
          <w:kern w:val="0"/>
          <w:sz w:val="21"/>
          <w:szCs w:val="21"/>
          <w:highlight w:val="none"/>
          <w:u w:val="single"/>
          <w:lang w:val="en-US" w:eastAsia="zh-CN" w:bidi="ar"/>
        </w:rPr>
      </w:pPr>
      <w:r>
        <w:rPr>
          <w:rFonts w:ascii="宋体" w:hAnsi="宋体" w:eastAsia="宋体" w:cs="宋体"/>
          <w:kern w:val="0"/>
          <w:sz w:val="21"/>
          <w:szCs w:val="21"/>
          <w:highlight w:val="none"/>
          <w:u w:val="single"/>
          <w:lang w:val="en-US" w:eastAsia="zh-CN" w:bidi="ar"/>
        </w:rPr>
        <w:t>工程完工验收合格后，</w:t>
      </w:r>
      <w:r>
        <w:rPr>
          <w:rFonts w:hint="eastAsia" w:ascii="宋体" w:hAnsi="宋体" w:eastAsia="宋体" w:cs="宋体"/>
          <w:kern w:val="0"/>
          <w:sz w:val="21"/>
          <w:szCs w:val="21"/>
          <w:highlight w:val="none"/>
          <w:u w:val="single"/>
          <w:lang w:val="en-US" w:eastAsia="zh-CN" w:bidi="ar"/>
        </w:rPr>
        <w:t>发包人在承包人开具等额发票后10个工作日内支付</w:t>
      </w:r>
      <w:r>
        <w:rPr>
          <w:rFonts w:ascii="宋体" w:hAnsi="宋体" w:eastAsia="宋体" w:cs="宋体"/>
          <w:kern w:val="0"/>
          <w:sz w:val="21"/>
          <w:szCs w:val="21"/>
          <w:highlight w:val="none"/>
          <w:u w:val="single"/>
          <w:lang w:val="en-US" w:eastAsia="zh-CN" w:bidi="ar"/>
        </w:rPr>
        <w:t>至合同价款的</w:t>
      </w:r>
      <w:r>
        <w:rPr>
          <w:rFonts w:hint="eastAsia" w:ascii="宋体" w:hAnsi="宋体" w:cs="宋体"/>
          <w:kern w:val="0"/>
          <w:sz w:val="21"/>
          <w:szCs w:val="21"/>
          <w:highlight w:val="none"/>
          <w:u w:val="single"/>
          <w:lang w:val="en-US" w:eastAsia="zh-CN" w:bidi="ar"/>
        </w:rPr>
        <w:t>80</w:t>
      </w:r>
      <w:r>
        <w:rPr>
          <w:rFonts w:ascii="宋体" w:hAnsi="宋体" w:eastAsia="宋体" w:cs="宋体"/>
          <w:kern w:val="0"/>
          <w:sz w:val="21"/>
          <w:szCs w:val="21"/>
          <w:highlight w:val="none"/>
          <w:u w:val="single"/>
          <w:lang w:val="en-US" w:eastAsia="zh-CN" w:bidi="ar"/>
        </w:rPr>
        <w:t>%；工程结算经发包人和承包人双方共同确认后，</w:t>
      </w:r>
      <w:r>
        <w:rPr>
          <w:rFonts w:hint="eastAsia" w:ascii="宋体" w:hAnsi="宋体" w:eastAsia="宋体" w:cs="宋体"/>
          <w:kern w:val="0"/>
          <w:sz w:val="21"/>
          <w:szCs w:val="21"/>
          <w:highlight w:val="none"/>
          <w:u w:val="single"/>
          <w:lang w:val="en-US" w:eastAsia="zh-CN" w:bidi="ar"/>
        </w:rPr>
        <w:t>发包人在承包人开具等额发票后10个工作日内支付</w:t>
      </w:r>
      <w:r>
        <w:rPr>
          <w:rFonts w:ascii="宋体" w:hAnsi="宋体" w:eastAsia="宋体" w:cs="宋体"/>
          <w:kern w:val="0"/>
          <w:sz w:val="21"/>
          <w:szCs w:val="21"/>
          <w:highlight w:val="none"/>
          <w:u w:val="single"/>
          <w:lang w:val="en-US" w:eastAsia="zh-CN" w:bidi="ar"/>
        </w:rPr>
        <w:t>至结算价款的</w:t>
      </w:r>
      <w:r>
        <w:rPr>
          <w:rFonts w:ascii="宋体" w:hAnsi="宋体" w:eastAsia="宋体" w:cs="宋体"/>
          <w:color w:val="auto"/>
          <w:kern w:val="0"/>
          <w:sz w:val="21"/>
          <w:szCs w:val="21"/>
          <w:highlight w:val="none"/>
          <w:u w:val="single"/>
          <w:lang w:val="en-US" w:eastAsia="zh-CN" w:bidi="ar"/>
        </w:rPr>
        <w:t>97%</w:t>
      </w:r>
      <w:r>
        <w:rPr>
          <w:rFonts w:ascii="宋体" w:hAnsi="宋体" w:eastAsia="宋体" w:cs="宋体"/>
          <w:kern w:val="0"/>
          <w:sz w:val="21"/>
          <w:szCs w:val="21"/>
          <w:highlight w:val="none"/>
          <w:u w:val="single"/>
          <w:lang w:val="en-US" w:eastAsia="zh-CN" w:bidi="ar"/>
        </w:rPr>
        <w:t>（承包人应同时提交与结算价款等额的增值税专用发票）</w:t>
      </w:r>
      <w:r>
        <w:rPr>
          <w:rFonts w:hint="eastAsia" w:ascii="宋体" w:hAnsi="宋体" w:cs="宋体"/>
          <w:kern w:val="0"/>
          <w:sz w:val="21"/>
          <w:szCs w:val="21"/>
          <w:highlight w:val="none"/>
          <w:u w:val="single"/>
          <w:lang w:val="en-US" w:eastAsia="zh-CN" w:bidi="ar"/>
        </w:rPr>
        <w:t>；发包人</w:t>
      </w:r>
      <w:r>
        <w:rPr>
          <w:rFonts w:hint="eastAsia" w:ascii="宋体" w:hAnsi="宋体" w:eastAsia="宋体" w:cs="宋体"/>
          <w:kern w:val="0"/>
          <w:sz w:val="21"/>
          <w:szCs w:val="21"/>
          <w:highlight w:val="none"/>
          <w:u w:val="single"/>
          <w:lang w:val="en-US" w:eastAsia="zh-CN" w:bidi="ar"/>
        </w:rPr>
        <w:t>按结算金额的3%预留工程质量保证金，于一年后如无质量问题一次性付清。</w:t>
      </w:r>
    </w:p>
    <w:p w14:paraId="770FE32C">
      <w:pPr>
        <w:spacing w:line="360" w:lineRule="auto"/>
        <w:ind w:firstLine="420" w:firstLineChars="200"/>
        <w:jc w:val="left"/>
        <w:rPr>
          <w:color w:val="auto"/>
          <w:sz w:val="21"/>
          <w:szCs w:val="21"/>
          <w:highlight w:val="none"/>
        </w:rPr>
      </w:pPr>
      <w:r>
        <w:rPr>
          <w:color w:val="auto"/>
          <w:sz w:val="21"/>
          <w:szCs w:val="21"/>
          <w:highlight w:val="none"/>
        </w:rPr>
        <w:t>12.4.2</w:t>
      </w:r>
      <w:r>
        <w:rPr>
          <w:rFonts w:hint="eastAsia" w:hAnsi="宋体" w:cs="宋体"/>
          <w:color w:val="auto"/>
          <w:sz w:val="21"/>
          <w:szCs w:val="21"/>
          <w:highlight w:val="none"/>
        </w:rPr>
        <w:t>进度付款申请单的编制</w:t>
      </w:r>
    </w:p>
    <w:p w14:paraId="7E54E70E">
      <w:pPr>
        <w:pStyle w:val="20"/>
        <w:keepNext w:val="0"/>
        <w:keepLines w:val="0"/>
        <w:widowControl/>
        <w:suppressLineNumbers w:val="0"/>
        <w:shd w:val="clear" w:fill="FFFFFF"/>
        <w:spacing w:before="240" w:beforeAutospacing="0" w:after="240" w:afterAutospacing="0"/>
        <w:ind w:left="0" w:right="0" w:firstLine="0"/>
        <w:rPr>
          <w:rFonts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关于进度付款申请单编制的约定：</w:t>
      </w:r>
      <w:r>
        <w:rPr>
          <w:rFonts w:hint="default" w:ascii="Times New Roman" w:hAnsi="宋体" w:eastAsia="宋体" w:cs="宋体"/>
          <w:color w:val="auto"/>
          <w:kern w:val="2"/>
          <w:sz w:val="21"/>
          <w:szCs w:val="21"/>
          <w:highlight w:val="none"/>
          <w:u w:val="single"/>
          <w:lang w:val="en-US" w:eastAsia="zh-CN" w:bidi="ar-SA"/>
        </w:rPr>
        <w:t>承包人应在每月25日前，向监理人提交当月已完工程量的进度付款申请单，一式肆份。进度付款申请单应包括以下内容：</w:t>
      </w:r>
    </w:p>
    <w:p w14:paraId="17B8AE63">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（1）《工程款支付申请表》；</w:t>
      </w:r>
    </w:p>
    <w:p w14:paraId="2B82B444">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（2）《已完工程量汇总表》（含合同内项目及经批准的变更项目），按照分部分项工程量清单计量规范的要求详细列明当期完成的各分部分项工程、措施项目及其他项目的工程量和计价；</w:t>
      </w:r>
    </w:p>
    <w:p w14:paraId="36C5B7DA">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（3）经监理人和发包人签认的工程质量验收合格证明文件；</w:t>
      </w:r>
    </w:p>
    <w:p w14:paraId="255417B6">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（4）主要材料进场验收单及复试报告（当月发生的）；</w:t>
      </w:r>
    </w:p>
    <w:p w14:paraId="52A6642A">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（5）已完工程量应支付金额、累计已支付金额、本期应扣回的预付款金额及质量保证金金额、本期应支付金额的详细计算表；</w:t>
      </w:r>
    </w:p>
    <w:p w14:paraId="5D6668CD">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（6）当月农民工工资发放清单（应包含农民工姓名、身份证号、工种、出勤天数、月工资额、实发金额、银行代发转账凭证等内容）及工资支付公示照片；</w:t>
      </w:r>
    </w:p>
    <w:p w14:paraId="5D120619">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（7）安全文明施工费使用台账及月度检查记录；</w:t>
      </w:r>
    </w:p>
    <w:p w14:paraId="4D74F218">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（8）本期应支付的发票或收据；</w:t>
      </w:r>
    </w:p>
    <w:p w14:paraId="1E37BDAE">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（9）发包人和监理人要求补充的其他说明材料。</w:t>
      </w:r>
    </w:p>
    <w:p w14:paraId="6E0F2843">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上述资料不齐全或不符合要求的，监理人和发包人有权要求承包人在3日内补齐，补齐期间发包人支付进度款的期限相应顺延。</w:t>
      </w:r>
    </w:p>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14:paraId="72118BAF">
      <w:pPr>
        <w:spacing w:line="360" w:lineRule="auto"/>
        <w:ind w:firstLine="525" w:firstLineChars="250"/>
        <w:jc w:val="left"/>
        <w:rPr>
          <w:rFonts w:hAnsi="宋体" w:cs="宋体"/>
          <w:color w:val="auto"/>
          <w:sz w:val="21"/>
          <w:szCs w:val="21"/>
          <w:highlight w:val="none"/>
        </w:rPr>
      </w:pPr>
      <w:r>
        <w:rPr>
          <w:rFonts w:hint="eastAsia" w:hAnsi="宋体" w:cs="宋体"/>
          <w:color w:val="auto"/>
          <w:sz w:val="21"/>
          <w:szCs w:val="21"/>
          <w:highlight w:val="none"/>
        </w:rPr>
        <w:t>进度款支付方式：</w:t>
      </w:r>
      <w:r>
        <w:rPr>
          <w:rFonts w:hint="eastAsia" w:hAnsi="宋体" w:cs="宋体"/>
          <w:color w:val="auto"/>
          <w:sz w:val="21"/>
          <w:szCs w:val="21"/>
          <w:highlight w:val="none"/>
          <w:u w:val="single"/>
        </w:rPr>
        <w:t>银行转账</w:t>
      </w:r>
      <w:r>
        <w:rPr>
          <w:rFonts w:hint="eastAsia" w:hAnsi="宋体" w:cs="宋体"/>
          <w:color w:val="auto"/>
          <w:sz w:val="21"/>
          <w:szCs w:val="21"/>
          <w:highlight w:val="none"/>
        </w:rPr>
        <w:t>。</w:t>
      </w:r>
      <w:r>
        <w:rPr>
          <w:rFonts w:hint="eastAsia"/>
          <w:color w:val="auto"/>
          <w:sz w:val="21"/>
          <w:szCs w:val="21"/>
          <w:highlight w:val="none"/>
        </w:rPr>
        <w:t>进度款支付申请（核准）表见合同附件11。</w:t>
      </w:r>
    </w:p>
    <w:p w14:paraId="17F0E55A">
      <w:pPr>
        <w:spacing w:line="360" w:lineRule="auto"/>
        <w:ind w:firstLine="525" w:firstLineChars="250"/>
        <w:jc w:val="left"/>
        <w:rPr>
          <w:rFonts w:hint="eastAsia" w:hAnsi="宋体"/>
          <w:color w:val="auto"/>
          <w:sz w:val="21"/>
          <w:szCs w:val="21"/>
          <w:highlight w:val="none"/>
        </w:rPr>
      </w:pPr>
      <w:r>
        <w:rPr>
          <w:rFonts w:hint="eastAsia" w:hAnsi="宋体"/>
          <w:color w:val="auto"/>
          <w:sz w:val="21"/>
          <w:szCs w:val="21"/>
          <w:highlight w:val="none"/>
        </w:rPr>
        <w:t>（3）农民工工资支付</w:t>
      </w:r>
    </w:p>
    <w:p w14:paraId="2474312E">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FA29FF7">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11815471">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3）发包人依据工程进度，审核承包人申报的工程进度款，按照与承包人约定的人工费支付比例</w:t>
      </w:r>
      <w:r>
        <w:rPr>
          <w:rFonts w:hint="eastAsia" w:hAnsi="宋体" w:cs="宋体"/>
          <w:color w:val="auto"/>
          <w:kern w:val="0"/>
          <w:sz w:val="21"/>
          <w:szCs w:val="21"/>
          <w:highlight w:val="none"/>
          <w:u w:val="single"/>
          <w:lang w:val="en-US" w:eastAsia="zh-CN"/>
        </w:rPr>
        <w:t>25</w:t>
      </w:r>
      <w:r>
        <w:rPr>
          <w:rFonts w:hint="eastAsia" w:hAnsi="宋体" w:cs="宋体"/>
          <w:color w:val="auto"/>
          <w:kern w:val="0"/>
          <w:sz w:val="21"/>
          <w:szCs w:val="21"/>
          <w:highlight w:val="none"/>
          <w:u w:val="single"/>
        </w:rPr>
        <w:t>%</w:t>
      </w:r>
      <w:r>
        <w:rPr>
          <w:rFonts w:hint="eastAsia" w:hAnsi="宋体" w:cs="宋体"/>
          <w:color w:val="auto"/>
          <w:kern w:val="0"/>
          <w:sz w:val="21"/>
          <w:szCs w:val="21"/>
          <w:highlight w:val="none"/>
        </w:rPr>
        <w:t>，将人工费及时足额拨付至承包人的农民工工资专用账户，其余工程进度款项由发包人支付到承包人的单位基本户。</w:t>
      </w:r>
    </w:p>
    <w:p w14:paraId="17358112">
      <w:pPr>
        <w:spacing w:line="360" w:lineRule="auto"/>
        <w:ind w:firstLine="525" w:firstLineChars="250"/>
        <w:jc w:val="left"/>
        <w:rPr>
          <w:rFonts w:hint="eastAsia" w:hAnsi="宋体" w:eastAsia="宋体" w:cs="宋体"/>
          <w:color w:val="auto"/>
          <w:kern w:val="0"/>
          <w:sz w:val="21"/>
          <w:szCs w:val="21"/>
          <w:highlight w:val="none"/>
          <w:lang w:eastAsia="zh-CN"/>
        </w:rPr>
      </w:pPr>
      <w:r>
        <w:rPr>
          <w:rFonts w:hint="eastAsia" w:hAnsi="宋体" w:cs="宋体"/>
          <w:color w:val="auto"/>
          <w:kern w:val="0"/>
          <w:sz w:val="21"/>
          <w:szCs w:val="21"/>
          <w:highlight w:val="none"/>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12D8C6D1">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5）凡未向付款单位提供农民工工资专用账户的，或者请款单位在申请工程进度款时未将人工费单列的，付款单位有权拒绝支付工程进度款。</w:t>
      </w:r>
    </w:p>
    <w:p w14:paraId="5DFB73C0">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6）人工费使用要求：专款专用，除发放农民工工资外，不得用于其他用途。</w:t>
      </w:r>
    </w:p>
    <w:p w14:paraId="334CC688">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7）承包人将人工费支付情况定期报告发包人和监理单位，并提供相应的材料接受建设行政主管部门和劳动保障行政主管部门对此事项监管。</w:t>
      </w:r>
    </w:p>
    <w:p w14:paraId="74472F4B">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8）人工费支付专用账户：××××公司农民工工资支付专用账户。账号：</w:t>
      </w:r>
      <w:r>
        <w:rPr>
          <w:rFonts w:hAnsi="宋体" w:cs="宋体"/>
          <w:color w:val="auto"/>
          <w:kern w:val="0"/>
          <w:sz w:val="21"/>
          <w:szCs w:val="21"/>
          <w:highlight w:val="none"/>
          <w:u w:val="single"/>
        </w:rPr>
        <w:t></w:t>
      </w:r>
      <w:r>
        <w:rPr>
          <w:rFonts w:hAnsi="宋体" w:cs="宋体"/>
          <w:color w:val="auto"/>
          <w:kern w:val="0"/>
          <w:sz w:val="21"/>
          <w:szCs w:val="21"/>
          <w:highlight w:val="none"/>
        </w:rPr>
        <w:t>。</w:t>
      </w:r>
    </w:p>
    <w:p w14:paraId="56CE9AF1">
      <w:pPr>
        <w:spacing w:line="360" w:lineRule="auto"/>
        <w:ind w:firstLine="525" w:firstLineChars="250"/>
        <w:jc w:val="left"/>
        <w:rPr>
          <w:rFonts w:hAnsi="宋体"/>
          <w:color w:val="auto"/>
          <w:sz w:val="21"/>
          <w:szCs w:val="21"/>
          <w:highlight w:val="none"/>
        </w:rPr>
      </w:pPr>
      <w:r>
        <w:rPr>
          <w:color w:val="auto"/>
          <w:sz w:val="21"/>
          <w:szCs w:val="21"/>
          <w:highlight w:val="none"/>
        </w:rPr>
        <w:t>12.4.6</w:t>
      </w:r>
      <w:r>
        <w:rPr>
          <w:rFonts w:hint="eastAsia" w:hAnsi="宋体" w:cs="宋体"/>
          <w:color w:val="auto"/>
          <w:sz w:val="21"/>
          <w:szCs w:val="21"/>
          <w:highlight w:val="none"/>
        </w:rPr>
        <w:t>支付分解表的编制</w:t>
      </w:r>
    </w:p>
    <w:p w14:paraId="30FADDD5">
      <w:pPr>
        <w:spacing w:line="360" w:lineRule="auto"/>
        <w:ind w:firstLine="525" w:firstLineChars="25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w:t>
      </w:r>
      <w:r>
        <w:rPr>
          <w:rFonts w:hint="eastAsia" w:hAnsi="宋体" w:cs="宋体"/>
          <w:color w:val="auto"/>
          <w:sz w:val="21"/>
          <w:szCs w:val="21"/>
          <w:highlight w:val="none"/>
        </w:rPr>
        <w:t>总价合同支付分解表的编制与审批：</w:t>
      </w:r>
      <w:r>
        <w:rPr>
          <w:rFonts w:hint="eastAsia"/>
          <w:color w:val="auto"/>
          <w:sz w:val="21"/>
          <w:szCs w:val="21"/>
          <w:highlight w:val="none"/>
          <w:u w:val="single"/>
          <w:lang w:val="en-US" w:eastAsia="zh-CN"/>
        </w:rPr>
        <w:t>无</w:t>
      </w:r>
      <w:r>
        <w:rPr>
          <w:rFonts w:hint="eastAsia"/>
          <w:color w:val="auto"/>
          <w:sz w:val="21"/>
          <w:szCs w:val="21"/>
          <w:highlight w:val="none"/>
          <w:u w:val="single"/>
        </w:rPr>
        <w:t>。</w:t>
      </w:r>
    </w:p>
    <w:p w14:paraId="19033EC3">
      <w:pPr>
        <w:spacing w:line="360" w:lineRule="auto"/>
        <w:ind w:firstLine="525" w:firstLineChars="250"/>
        <w:jc w:val="left"/>
        <w:rPr>
          <w:color w:val="auto"/>
          <w:sz w:val="21"/>
          <w:szCs w:val="21"/>
          <w:highlight w:val="none"/>
          <w:u w:val="single"/>
        </w:rPr>
      </w:pPr>
      <w:r>
        <w:rPr>
          <w:rFonts w:hint="eastAsia"/>
          <w:color w:val="auto"/>
          <w:sz w:val="21"/>
          <w:szCs w:val="21"/>
          <w:highlight w:val="none"/>
        </w:rPr>
        <w:t>（2）</w:t>
      </w:r>
      <w:r>
        <w:rPr>
          <w:rFonts w:hint="eastAsia" w:hAnsi="宋体" w:cs="宋体"/>
          <w:color w:val="auto"/>
          <w:sz w:val="21"/>
          <w:szCs w:val="21"/>
          <w:highlight w:val="none"/>
        </w:rPr>
        <w:t>单价合同的总价项目支付分解表的编制与审批：总价项目不采用支付分解表的方式计算，而按《建设工程工程量清单计价规范（</w:t>
      </w:r>
      <w:r>
        <w:rPr>
          <w:rFonts w:hAnsi="宋体"/>
          <w:color w:val="auto"/>
          <w:sz w:val="21"/>
          <w:szCs w:val="21"/>
          <w:highlight w:val="none"/>
        </w:rPr>
        <w:t>GB50500-2013</w:t>
      </w:r>
      <w:r>
        <w:rPr>
          <w:rFonts w:hint="eastAsia" w:hAnsi="宋体" w:cs="宋体"/>
          <w:color w:val="auto"/>
          <w:sz w:val="21"/>
          <w:szCs w:val="21"/>
          <w:highlight w:val="none"/>
        </w:rPr>
        <w:t>）广西壮族自治区实施细则》的规定执行。</w:t>
      </w:r>
    </w:p>
    <w:bookmarkEnd w:id="805"/>
    <w:p w14:paraId="1E800C56">
      <w:pPr>
        <w:pStyle w:val="3"/>
        <w:rPr>
          <w:color w:val="auto"/>
          <w:highlight w:val="none"/>
        </w:rPr>
      </w:pPr>
      <w:bookmarkStart w:id="1081" w:name="_Toc78449842"/>
      <w:bookmarkStart w:id="1082" w:name="_Toc728899116"/>
      <w:bookmarkStart w:id="1083" w:name="_Toc351203645"/>
      <w:bookmarkStart w:id="1084" w:name="_Toc373227753"/>
      <w:bookmarkStart w:id="1085" w:name="_Toc2003466256"/>
      <w:bookmarkStart w:id="1086" w:name="_Toc373478400"/>
      <w:bookmarkStart w:id="1087" w:name="_Toc407135256"/>
      <w:bookmarkStart w:id="1088" w:name="_Toc389065318"/>
      <w:bookmarkStart w:id="1089" w:name="_Toc246"/>
      <w:bookmarkStart w:id="1090" w:name="_Toc296347218"/>
      <w:bookmarkStart w:id="1091" w:name="_Toc300935015"/>
      <w:bookmarkStart w:id="1092" w:name="_Toc296503219"/>
      <w:bookmarkStart w:id="1093" w:name="_Toc292559424"/>
      <w:bookmarkStart w:id="1094" w:name="_Toc312678053"/>
      <w:bookmarkStart w:id="1095" w:name="_Toc304295593"/>
      <w:bookmarkStart w:id="1096" w:name="_Toc303539172"/>
      <w:bookmarkStart w:id="1097" w:name="_Toc297123564"/>
      <w:bookmarkStart w:id="1098" w:name="_Toc296891047"/>
      <w:bookmarkStart w:id="1099" w:name="_Toc297048405"/>
      <w:bookmarkStart w:id="1100" w:name="_Toc296891259"/>
      <w:bookmarkStart w:id="1101" w:name="_Toc292559929"/>
      <w:bookmarkStart w:id="1102" w:name="_Toc297120519"/>
      <w:bookmarkStart w:id="1103" w:name="_Toc296346720"/>
      <w:bookmarkStart w:id="1104" w:name="_Toc296944558"/>
      <w:bookmarkStart w:id="1105" w:name="_Toc297216223"/>
      <w:r>
        <w:rPr>
          <w:color w:val="auto"/>
          <w:highlight w:val="none"/>
        </w:rPr>
        <w:t>13.</w:t>
      </w:r>
      <w:r>
        <w:rPr>
          <w:rFonts w:hint="eastAsia" w:cs="黑体"/>
          <w:color w:val="auto"/>
          <w:highlight w:val="none"/>
        </w:rPr>
        <w:t>验收和工程试车</w:t>
      </w:r>
      <w:bookmarkEnd w:id="1081"/>
      <w:bookmarkEnd w:id="1082"/>
      <w:bookmarkEnd w:id="1083"/>
      <w:bookmarkEnd w:id="1084"/>
      <w:bookmarkEnd w:id="1085"/>
      <w:bookmarkEnd w:id="1086"/>
      <w:bookmarkEnd w:id="1087"/>
      <w:bookmarkEnd w:id="1088"/>
      <w:bookmarkEnd w:id="1089"/>
    </w:p>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14:paraId="7671A11F">
      <w:pPr>
        <w:pStyle w:val="4"/>
        <w:rPr>
          <w:color w:val="auto"/>
          <w:highlight w:val="none"/>
        </w:rPr>
      </w:pPr>
      <w:bookmarkStart w:id="1106" w:name="_Toc407135257"/>
      <w:bookmarkStart w:id="1107" w:name="_Toc373227754"/>
      <w:bookmarkStart w:id="1108" w:name="_Toc389065319"/>
      <w:bookmarkStart w:id="1109" w:name="_Toc2326"/>
      <w:bookmarkStart w:id="1110" w:name="_Toc834489126"/>
      <w:bookmarkStart w:id="1111" w:name="_Toc78449843"/>
      <w:bookmarkStart w:id="1112" w:name="_Toc740353520"/>
      <w:bookmarkStart w:id="1113" w:name="_Toc373478401"/>
      <w:r>
        <w:rPr>
          <w:color w:val="auto"/>
          <w:highlight w:val="none"/>
        </w:rPr>
        <w:t>13.1</w:t>
      </w:r>
      <w:r>
        <w:rPr>
          <w:rFonts w:hint="eastAsia" w:cs="黑体"/>
          <w:color w:val="auto"/>
          <w:highlight w:val="none"/>
        </w:rPr>
        <w:t>分部分项工程验收</w:t>
      </w:r>
      <w:bookmarkEnd w:id="1106"/>
      <w:bookmarkEnd w:id="1107"/>
      <w:bookmarkEnd w:id="1108"/>
      <w:bookmarkEnd w:id="1109"/>
      <w:bookmarkEnd w:id="1110"/>
      <w:bookmarkEnd w:id="1111"/>
      <w:bookmarkEnd w:id="1112"/>
      <w:bookmarkEnd w:id="1113"/>
    </w:p>
    <w:p w14:paraId="65A6787D">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hAnsi="宋体" w:cs="宋体"/>
          <w:color w:val="auto"/>
          <w:sz w:val="21"/>
          <w:szCs w:val="21"/>
          <w:highlight w:val="none"/>
        </w:rPr>
        <w:t>监理人不能按时进行验收时，应提前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23FD2C9A">
      <w:pPr>
        <w:spacing w:line="360" w:lineRule="auto"/>
        <w:ind w:firstLine="420" w:firstLineChars="200"/>
        <w:jc w:val="left"/>
        <w:rPr>
          <w:b/>
          <w:bCs/>
          <w:color w:val="auto"/>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r>
        <w:rPr>
          <w:rFonts w:hint="eastAsia" w:hAnsi="宋体" w:cs="宋体"/>
          <w:color w:val="auto"/>
          <w:highlight w:val="none"/>
        </w:rPr>
        <w:t>。</w:t>
      </w:r>
    </w:p>
    <w:p w14:paraId="6F3E25D4">
      <w:pPr>
        <w:pStyle w:val="4"/>
        <w:rPr>
          <w:color w:val="auto"/>
          <w:highlight w:val="none"/>
        </w:rPr>
      </w:pPr>
      <w:bookmarkStart w:id="1114" w:name="_Toc1578431234"/>
      <w:bookmarkStart w:id="1115" w:name="_Toc16912"/>
      <w:bookmarkStart w:id="1116" w:name="_Toc373227755"/>
      <w:bookmarkStart w:id="1117" w:name="_Toc78449844"/>
      <w:bookmarkStart w:id="1118" w:name="_Toc389065320"/>
      <w:bookmarkStart w:id="1119" w:name="_Toc373478402"/>
      <w:bookmarkStart w:id="1120" w:name="_Toc407135258"/>
      <w:bookmarkStart w:id="1121" w:name="_Toc1062221039"/>
      <w:bookmarkStart w:id="1122" w:name="_Toc292559933"/>
      <w:bookmarkStart w:id="1123" w:name="_Toc297216224"/>
      <w:bookmarkStart w:id="1124" w:name="_Toc303539173"/>
      <w:bookmarkStart w:id="1125" w:name="_Toc297048409"/>
      <w:bookmarkStart w:id="1126" w:name="_Toc296891051"/>
      <w:bookmarkStart w:id="1127" w:name="_Toc297120523"/>
      <w:bookmarkStart w:id="1128" w:name="_Toc304295596"/>
      <w:bookmarkStart w:id="1129" w:name="_Toc300935016"/>
      <w:bookmarkStart w:id="1130" w:name="_Toc292559428"/>
      <w:bookmarkStart w:id="1131" w:name="_Toc312678056"/>
      <w:bookmarkStart w:id="1132" w:name="_Toc296944562"/>
      <w:bookmarkStart w:id="1133" w:name="_Toc296891263"/>
      <w:bookmarkStart w:id="1134" w:name="_Toc297123565"/>
      <w:bookmarkStart w:id="1135" w:name="_Toc296503223"/>
      <w:bookmarkStart w:id="1136" w:name="_Toc296346724"/>
      <w:bookmarkStart w:id="1137" w:name="_Toc296347222"/>
      <w:bookmarkStart w:id="1138" w:name="_Toc267251470"/>
      <w:bookmarkStart w:id="1139" w:name="_Toc267251475"/>
      <w:bookmarkStart w:id="1140" w:name="_Toc267251472"/>
      <w:bookmarkStart w:id="1141" w:name="_Toc267251474"/>
      <w:bookmarkStart w:id="1142" w:name="_Toc267251473"/>
      <w:bookmarkStart w:id="1143" w:name="_Toc267251476"/>
      <w:bookmarkStart w:id="1144" w:name="_Toc267251471"/>
      <w:r>
        <w:rPr>
          <w:color w:val="auto"/>
          <w:highlight w:val="none"/>
        </w:rPr>
        <w:t>13.2</w:t>
      </w:r>
      <w:r>
        <w:rPr>
          <w:rFonts w:hint="eastAsia" w:hAnsi="宋体" w:cs="黑体"/>
          <w:color w:val="auto"/>
          <w:highlight w:val="none"/>
        </w:rPr>
        <w:t>竣工验收</w:t>
      </w:r>
      <w:bookmarkEnd w:id="1114"/>
      <w:bookmarkEnd w:id="1115"/>
      <w:bookmarkEnd w:id="1116"/>
      <w:bookmarkEnd w:id="1117"/>
      <w:bookmarkEnd w:id="1118"/>
      <w:bookmarkEnd w:id="1119"/>
      <w:bookmarkEnd w:id="1120"/>
      <w:bookmarkEnd w:id="1121"/>
    </w:p>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4E8595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bookmarkStart w:id="1145" w:name="_Toc280868708"/>
      <w:bookmarkStart w:id="1146" w:name="_Toc280868709"/>
      <w:r>
        <w:rPr>
          <w:rFonts w:hint="eastAsia" w:ascii="Times New Roman" w:hAnsi="Times New Roman" w:eastAsia="宋体" w:cs="Times New Roman"/>
          <w:b w:val="0"/>
          <w:bCs w:val="0"/>
          <w:color w:val="auto"/>
          <w:kern w:val="0"/>
          <w:sz w:val="21"/>
          <w:szCs w:val="21"/>
          <w:highlight w:val="none"/>
          <w:u w:val="none"/>
          <w:lang w:val="en-US" w:eastAsia="zh-CN" w:bidi="hi-IN"/>
        </w:rPr>
        <w:t>13.2.1竣工验收条件</w:t>
      </w:r>
    </w:p>
    <w:p w14:paraId="76D2F0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工程具备以下条件的，承包人可以申请竣工验收：</w:t>
      </w:r>
    </w:p>
    <w:p w14:paraId="00C672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（1）已完成合同约定的全部施工内容，包括所有规格排污管道的敷设、全部检查井及化粪池的砌筑、路面及场地恢复、闭水试验合格、现场清理完毕；</w:t>
      </w:r>
      <w:r>
        <w:rPr>
          <w:rFonts w:hint="default" w:ascii="Times New Roman" w:hAnsi="Times New Roman" w:eastAsia="宋体" w:cs="Times New Roman"/>
          <w:b w:val="0"/>
          <w:bCs w:val="0"/>
          <w:color w:val="auto"/>
          <w:kern w:val="0"/>
          <w:sz w:val="21"/>
          <w:szCs w:val="21"/>
          <w:highlight w:val="none"/>
          <w:u w:val="single"/>
          <w:lang w:val="en-US" w:eastAsia="zh-CN" w:bidi="hi-IN"/>
        </w:rPr>
        <w:br w:type="textWrapping"/>
      </w:r>
      <w:r>
        <w:rPr>
          <w:rFonts w:hint="default" w:ascii="Times New Roman" w:hAnsi="Times New Roman" w:eastAsia="宋体" w:cs="Times New Roman"/>
          <w:b w:val="0"/>
          <w:bCs w:val="0"/>
          <w:color w:val="auto"/>
          <w:kern w:val="0"/>
          <w:sz w:val="21"/>
          <w:szCs w:val="21"/>
          <w:highlight w:val="none"/>
          <w:u w:val="single"/>
          <w:lang w:val="en-US" w:eastAsia="zh-CN" w:bidi="hi-IN"/>
        </w:rPr>
        <w:t>（2）有完整的技术档案和施工管理资料；</w:t>
      </w:r>
      <w:r>
        <w:rPr>
          <w:rFonts w:hint="default" w:ascii="Times New Roman" w:hAnsi="Times New Roman" w:eastAsia="宋体" w:cs="Times New Roman"/>
          <w:b w:val="0"/>
          <w:bCs w:val="0"/>
          <w:color w:val="auto"/>
          <w:kern w:val="0"/>
          <w:sz w:val="21"/>
          <w:szCs w:val="21"/>
          <w:highlight w:val="none"/>
          <w:u w:val="single"/>
          <w:lang w:val="en-US" w:eastAsia="zh-CN" w:bidi="hi-IN"/>
        </w:rPr>
        <w:br w:type="textWrapping"/>
      </w:r>
      <w:r>
        <w:rPr>
          <w:rFonts w:hint="default" w:ascii="Times New Roman" w:hAnsi="Times New Roman" w:eastAsia="宋体" w:cs="Times New Roman"/>
          <w:b w:val="0"/>
          <w:bCs w:val="0"/>
          <w:color w:val="auto"/>
          <w:kern w:val="0"/>
          <w:sz w:val="21"/>
          <w:szCs w:val="21"/>
          <w:highlight w:val="none"/>
          <w:u w:val="single"/>
          <w:lang w:val="en-US" w:eastAsia="zh-CN" w:bidi="hi-IN"/>
        </w:rPr>
        <w:t>（3）有工程使用的主要材料（管材、井盖、砖、水泥等）进场试验报告及见证取样检测报告；</w:t>
      </w:r>
      <w:r>
        <w:rPr>
          <w:rFonts w:hint="default" w:ascii="Times New Roman" w:hAnsi="Times New Roman" w:eastAsia="宋体" w:cs="Times New Roman"/>
          <w:b w:val="0"/>
          <w:bCs w:val="0"/>
          <w:color w:val="auto"/>
          <w:kern w:val="0"/>
          <w:sz w:val="21"/>
          <w:szCs w:val="21"/>
          <w:highlight w:val="none"/>
          <w:u w:val="single"/>
          <w:lang w:val="en-US" w:eastAsia="zh-CN" w:bidi="hi-IN"/>
        </w:rPr>
        <w:br w:type="textWrapping"/>
      </w:r>
      <w:r>
        <w:rPr>
          <w:rFonts w:hint="default" w:ascii="Times New Roman" w:hAnsi="Times New Roman" w:eastAsia="宋体" w:cs="Times New Roman"/>
          <w:b w:val="0"/>
          <w:bCs w:val="0"/>
          <w:color w:val="auto"/>
          <w:kern w:val="0"/>
          <w:sz w:val="21"/>
          <w:szCs w:val="21"/>
          <w:highlight w:val="none"/>
          <w:u w:val="single"/>
          <w:lang w:val="en-US" w:eastAsia="zh-CN" w:bidi="hi-IN"/>
        </w:rPr>
        <w:t>（4）监理单位已签署质量合格文件；</w:t>
      </w:r>
      <w:r>
        <w:rPr>
          <w:rFonts w:hint="default" w:ascii="Times New Roman" w:hAnsi="Times New Roman" w:eastAsia="宋体" w:cs="Times New Roman"/>
          <w:b w:val="0"/>
          <w:bCs w:val="0"/>
          <w:color w:val="auto"/>
          <w:kern w:val="0"/>
          <w:sz w:val="21"/>
          <w:szCs w:val="21"/>
          <w:highlight w:val="none"/>
          <w:u w:val="single"/>
          <w:lang w:val="en-US" w:eastAsia="zh-CN" w:bidi="hi-IN"/>
        </w:rPr>
        <w:br w:type="textWrapping"/>
      </w:r>
      <w:r>
        <w:rPr>
          <w:rFonts w:hint="default" w:ascii="Times New Roman" w:hAnsi="Times New Roman" w:eastAsia="宋体" w:cs="Times New Roman"/>
          <w:b w:val="0"/>
          <w:bCs w:val="0"/>
          <w:color w:val="auto"/>
          <w:kern w:val="0"/>
          <w:sz w:val="21"/>
          <w:szCs w:val="21"/>
          <w:highlight w:val="none"/>
          <w:u w:val="single"/>
          <w:lang w:val="en-US" w:eastAsia="zh-CN" w:bidi="hi-IN"/>
        </w:rPr>
        <w:t>（5）承包人已签署工程质量保修书。</w:t>
      </w:r>
      <w:r>
        <w:rPr>
          <w:rFonts w:hint="eastAsia" w:ascii="Times New Roman" w:hAnsi="Times New Roman" w:eastAsia="宋体" w:cs="Times New Roman"/>
          <w:b w:val="0"/>
          <w:bCs w:val="0"/>
          <w:color w:val="auto"/>
          <w:kern w:val="0"/>
          <w:sz w:val="21"/>
          <w:szCs w:val="21"/>
          <w:highlight w:val="none"/>
          <w:u w:val="single"/>
          <w:lang w:val="en-US" w:eastAsia="zh-CN" w:bidi="hi-IN"/>
        </w:rPr>
        <w:t>。</w:t>
      </w:r>
    </w:p>
    <w:p w14:paraId="228C903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13.2.2竣工验收程序</w:t>
      </w:r>
    </w:p>
    <w:p w14:paraId="100D064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1）承包人向监理人提交竣工验收申请报告，并附完整的竣工资料。（2）监理人应在收到竣工验收申请报告后14天内完成审查，认为具备验收条件的，报送发包人。（3）发包人应在收到监理人报送的竣工验收申请报告后28天内组织监理、承包人、设计等单位进行竣工验收。（4）竣工验收合格的，发包人在验收合格后14天内向承包人签发工程接收证书。（5）竣工验收不合格的，由承包人按验收意见整改后重新申请验收。</w:t>
      </w:r>
    </w:p>
    <w:p w14:paraId="18C3592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13.2.5移交、接收全部与部分工程</w:t>
      </w:r>
    </w:p>
    <w:p w14:paraId="3226B3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承包人应在收到工程接收证书后7日内完成工程移交，并在14日内完成施工现场清理、人员及机械设备退场，恢复场地原貌。</w:t>
      </w:r>
    </w:p>
    <w:p w14:paraId="1A4A2631">
      <w:pPr>
        <w:pStyle w:val="4"/>
        <w:spacing w:line="360" w:lineRule="auto"/>
        <w:rPr>
          <w:color w:val="auto"/>
          <w:highlight w:val="none"/>
        </w:rPr>
      </w:pPr>
      <w:bookmarkStart w:id="1147" w:name="_Toc78449845"/>
      <w:bookmarkStart w:id="1148" w:name="_Toc373478403"/>
      <w:bookmarkStart w:id="1149" w:name="_Toc2090321864"/>
      <w:bookmarkStart w:id="1150" w:name="_Toc389065321"/>
      <w:bookmarkStart w:id="1151" w:name="_Toc17541"/>
      <w:bookmarkStart w:id="1152" w:name="_Toc373227756"/>
      <w:bookmarkStart w:id="1153" w:name="_Toc1470255881"/>
      <w:bookmarkStart w:id="1154" w:name="_Toc407135259"/>
      <w:r>
        <w:rPr>
          <w:color w:val="auto"/>
          <w:highlight w:val="none"/>
        </w:rPr>
        <w:t>13.3</w:t>
      </w:r>
      <w:r>
        <w:rPr>
          <w:rFonts w:hint="eastAsia" w:hAnsi="宋体" w:cs="黑体"/>
          <w:color w:val="auto"/>
          <w:highlight w:val="none"/>
        </w:rPr>
        <w:t>工程试车</w:t>
      </w:r>
      <w:bookmarkEnd w:id="1147"/>
      <w:bookmarkEnd w:id="1148"/>
      <w:bookmarkEnd w:id="1149"/>
      <w:bookmarkEnd w:id="1150"/>
      <w:bookmarkEnd w:id="1151"/>
      <w:bookmarkEnd w:id="1152"/>
      <w:bookmarkEnd w:id="1153"/>
      <w:bookmarkEnd w:id="1154"/>
    </w:p>
    <w:bookmarkEnd w:id="1145"/>
    <w:p w14:paraId="09BA82BA">
      <w:pPr>
        <w:spacing w:line="360" w:lineRule="auto"/>
        <w:ind w:firstLine="420" w:firstLineChars="200"/>
        <w:jc w:val="left"/>
        <w:rPr>
          <w:color w:val="auto"/>
          <w:kern w:val="0"/>
          <w:sz w:val="21"/>
          <w:szCs w:val="21"/>
          <w:highlight w:val="none"/>
        </w:rPr>
      </w:pPr>
      <w:r>
        <w:rPr>
          <w:color w:val="auto"/>
          <w:kern w:val="0"/>
          <w:sz w:val="21"/>
          <w:szCs w:val="21"/>
          <w:highlight w:val="none"/>
        </w:rPr>
        <w:t>13.3.1</w:t>
      </w:r>
      <w:r>
        <w:rPr>
          <w:rFonts w:hint="eastAsia" w:hAnsi="宋体" w:cs="宋体"/>
          <w:color w:val="auto"/>
          <w:kern w:val="0"/>
          <w:sz w:val="21"/>
          <w:szCs w:val="21"/>
          <w:highlight w:val="none"/>
        </w:rPr>
        <w:t>试车程序</w:t>
      </w:r>
    </w:p>
    <w:p w14:paraId="4C34C4F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hAnsi="宋体" w:cs="宋体"/>
          <w:color w:val="auto"/>
          <w:kern w:val="0"/>
          <w:sz w:val="21"/>
          <w:szCs w:val="21"/>
          <w:highlight w:val="none"/>
        </w:rPr>
        <w:t>工程试车内容：</w:t>
      </w:r>
      <w:r>
        <w:rPr>
          <w:rFonts w:hint="eastAsia" w:ascii="Times New Roman" w:hAnsi="Times New Roman" w:cs="Times New Roman"/>
          <w:color w:val="auto"/>
          <w:kern w:val="2"/>
          <w:sz w:val="21"/>
          <w:szCs w:val="21"/>
          <w:highlight w:val="none"/>
          <w:u w:val="single"/>
          <w:lang w:val="en-US" w:eastAsia="zh-CN" w:bidi="ar-SA"/>
        </w:rPr>
        <w:t>无</w:t>
      </w:r>
      <w:r>
        <w:rPr>
          <w:rFonts w:hint="default" w:ascii="Times New Roman" w:hAnsi="Times New Roman" w:eastAsia="宋体" w:cs="Times New Roman"/>
          <w:color w:val="auto"/>
          <w:kern w:val="2"/>
          <w:sz w:val="21"/>
          <w:szCs w:val="21"/>
          <w:highlight w:val="none"/>
          <w:u w:val="single"/>
          <w:lang w:val="en-US" w:eastAsia="zh-CN" w:bidi="ar-SA"/>
        </w:rPr>
        <w:t>。</w:t>
      </w:r>
    </w:p>
    <w:p w14:paraId="62F68955">
      <w:pPr>
        <w:pStyle w:val="20"/>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（1）单机无负荷试车费用由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551C611D">
      <w:pPr>
        <w:pStyle w:val="20"/>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（2）无负荷联动试车费用由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770031C8">
      <w:pPr>
        <w:spacing w:line="360" w:lineRule="auto"/>
        <w:ind w:firstLine="420" w:firstLineChars="200"/>
        <w:jc w:val="left"/>
        <w:rPr>
          <w:color w:val="auto"/>
          <w:kern w:val="0"/>
          <w:sz w:val="21"/>
          <w:szCs w:val="21"/>
          <w:highlight w:val="none"/>
        </w:rPr>
      </w:pPr>
      <w:r>
        <w:rPr>
          <w:color w:val="auto"/>
          <w:kern w:val="0"/>
          <w:sz w:val="21"/>
          <w:szCs w:val="21"/>
          <w:highlight w:val="none"/>
        </w:rPr>
        <w:t>13.3.3</w:t>
      </w:r>
      <w:r>
        <w:rPr>
          <w:rFonts w:hint="eastAsia" w:hAnsi="宋体" w:cs="宋体"/>
          <w:color w:val="auto"/>
          <w:kern w:val="0"/>
          <w:sz w:val="21"/>
          <w:szCs w:val="21"/>
          <w:highlight w:val="none"/>
        </w:rPr>
        <w:t>投料试车</w:t>
      </w:r>
    </w:p>
    <w:p w14:paraId="646BA1EC">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关于投料试车相关事项的约定：</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26E36D56">
      <w:pPr>
        <w:pStyle w:val="4"/>
        <w:rPr>
          <w:color w:val="auto"/>
          <w:highlight w:val="none"/>
        </w:rPr>
      </w:pPr>
      <w:bookmarkStart w:id="1155" w:name="_Toc373478404"/>
      <w:bookmarkStart w:id="1156" w:name="_Toc389065322"/>
      <w:bookmarkStart w:id="1157" w:name="_Toc78449846"/>
      <w:bookmarkStart w:id="1158" w:name="_Toc550030550"/>
      <w:bookmarkStart w:id="1159" w:name="_Toc4266"/>
      <w:bookmarkStart w:id="1160" w:name="_Toc373227757"/>
      <w:bookmarkStart w:id="1161" w:name="_Toc10307455"/>
      <w:bookmarkStart w:id="1162" w:name="_Toc407135260"/>
      <w:r>
        <w:rPr>
          <w:color w:val="auto"/>
          <w:highlight w:val="none"/>
        </w:rPr>
        <w:t>13.6</w:t>
      </w:r>
      <w:r>
        <w:rPr>
          <w:rFonts w:hint="eastAsia" w:hAnsi="宋体" w:cs="黑体"/>
          <w:color w:val="auto"/>
          <w:highlight w:val="none"/>
        </w:rPr>
        <w:t>竣工退场</w:t>
      </w:r>
      <w:bookmarkEnd w:id="1155"/>
      <w:bookmarkEnd w:id="1156"/>
      <w:bookmarkEnd w:id="1157"/>
      <w:bookmarkEnd w:id="1158"/>
      <w:bookmarkEnd w:id="1159"/>
      <w:bookmarkEnd w:id="1160"/>
      <w:bookmarkEnd w:id="1161"/>
      <w:bookmarkEnd w:id="1162"/>
    </w:p>
    <w:p w14:paraId="4C10F7FC">
      <w:pPr>
        <w:spacing w:line="360" w:lineRule="auto"/>
        <w:ind w:firstLine="400" w:firstLineChars="200"/>
        <w:jc w:val="left"/>
        <w:outlineLvl w:val="0"/>
        <w:rPr>
          <w:color w:val="auto"/>
          <w:kern w:val="0"/>
          <w:highlight w:val="none"/>
        </w:rPr>
      </w:pPr>
      <w:bookmarkStart w:id="1163" w:name="_Toc24216"/>
      <w:r>
        <w:rPr>
          <w:color w:val="auto"/>
          <w:kern w:val="0"/>
          <w:highlight w:val="none"/>
        </w:rPr>
        <w:t>13.6.1</w:t>
      </w:r>
      <w:r>
        <w:rPr>
          <w:rFonts w:hint="eastAsia" w:hAnsi="宋体" w:cs="宋体"/>
          <w:color w:val="auto"/>
          <w:kern w:val="0"/>
          <w:highlight w:val="none"/>
        </w:rPr>
        <w:t>竣工退场</w:t>
      </w:r>
      <w:bookmarkEnd w:id="1163"/>
    </w:p>
    <w:p w14:paraId="37660DCE">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ascii="Segoe UI" w:hAnsi="Segoe UI" w:eastAsia="Segoe UI" w:cs="Segoe UI"/>
          <w:b w:val="0"/>
          <w:bCs w:val="0"/>
          <w:i w:val="0"/>
          <w:iCs w:val="0"/>
          <w:caps w:val="0"/>
          <w:color w:val="0F1115"/>
          <w:spacing w:val="0"/>
          <w:sz w:val="21"/>
          <w:szCs w:val="21"/>
          <w:highlight w:val="none"/>
          <w:u w:val="single"/>
        </w:rPr>
      </w:pPr>
      <w:r>
        <w:rPr>
          <w:rFonts w:hint="eastAsia" w:hAnsi="宋体" w:cs="宋体"/>
          <w:b w:val="0"/>
          <w:bCs w:val="0"/>
          <w:color w:val="auto"/>
          <w:kern w:val="0"/>
          <w:sz w:val="21"/>
          <w:szCs w:val="18"/>
          <w:highlight w:val="none"/>
        </w:rPr>
        <w:t>承包人完成竣工退场的期限：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颁发工程接收证书后14日内完成施工人员、施工机械设备及临时设施的全部撤离，并按以下标准完成施工现场的清理和恢复工作：（1）拆除全部临时建筑物、构筑物及围挡，清除场地内所有建筑垃圾、废弃材料和渣土；（2）按发包人要求回填基坑、管沟及临时设施基础，并平整场地；（3）修复因施工损坏的道路、绿化及公共设施，恢复至不低于施工前标准；（4）清掏沉淀池及排水沟，确保场地排水畅通。承包人撤离时不得破坏已完工程实体，不得遗留任何施工废弃物。清理工作完成后须经发包人代表及总监理工程师现场检查验收。</w:t>
      </w:r>
    </w:p>
    <w:p w14:paraId="36257466">
      <w:pPr>
        <w:pStyle w:val="20"/>
        <w:keepNext w:val="0"/>
        <w:keepLines w:val="0"/>
        <w:widowControl/>
        <w:suppressLineNumbers w:val="0"/>
        <w:shd w:val="clear" w:fill="FFFFFF"/>
        <w:spacing w:before="240" w:beforeAutospacing="0" w:after="0" w:afterAutospacing="0" w:line="360" w:lineRule="auto"/>
        <w:ind w:left="0" w:right="0" w:firstLine="420" w:firstLineChars="200"/>
        <w:rPr>
          <w:color w:val="auto"/>
          <w:kern w:val="0"/>
          <w:highlight w:val="none"/>
        </w:rPr>
      </w:pP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如</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因发包人书面要求保留部分临时设施的，该部分临时设施的清理义务在保留期限届满后由承包人按上述约定继续履行，保留期间的日常维护及安全管理责任由发包人承担。因发包人原因导致承包人无法按期退场的，退场期限相应顺延</w:t>
      </w:r>
      <w:r>
        <w:rPr>
          <w:rStyle w:val="27"/>
          <w:rFonts w:hint="default" w:ascii="Segoe UI" w:hAnsi="Segoe UI" w:eastAsia="Segoe UI" w:cs="Segoe UI"/>
          <w:b w:val="0"/>
          <w:bCs w:val="0"/>
          <w:i w:val="0"/>
          <w:iCs w:val="0"/>
          <w:caps w:val="0"/>
          <w:color w:val="0F1115"/>
          <w:spacing w:val="0"/>
          <w:sz w:val="21"/>
          <w:szCs w:val="21"/>
          <w:highlight w:val="none"/>
          <w:shd w:val="clear" w:fill="FFFFFF"/>
        </w:rPr>
        <w:t>。</w:t>
      </w:r>
    </w:p>
    <w:p w14:paraId="1BC6B13F">
      <w:pPr>
        <w:pStyle w:val="3"/>
        <w:rPr>
          <w:color w:val="auto"/>
          <w:highlight w:val="none"/>
        </w:rPr>
      </w:pPr>
      <w:bookmarkStart w:id="1164" w:name="_Toc1950258056"/>
      <w:bookmarkStart w:id="1165" w:name="_Toc5865"/>
      <w:bookmarkStart w:id="1166" w:name="_Toc373478405"/>
      <w:bookmarkStart w:id="1167" w:name="_Toc373227758"/>
      <w:bookmarkStart w:id="1168" w:name="_Toc78449847"/>
      <w:bookmarkStart w:id="1169" w:name="_Toc1385490858"/>
      <w:bookmarkStart w:id="1170" w:name="_Toc389065323"/>
      <w:bookmarkStart w:id="1171" w:name="_Toc407135261"/>
      <w:bookmarkStart w:id="1172" w:name="_Toc351203646"/>
      <w:r>
        <w:rPr>
          <w:color w:val="auto"/>
          <w:highlight w:val="none"/>
        </w:rPr>
        <w:t>14.</w:t>
      </w:r>
      <w:r>
        <w:rPr>
          <w:rFonts w:hint="eastAsia" w:hAnsi="宋体" w:cs="黑体"/>
          <w:color w:val="auto"/>
          <w:highlight w:val="none"/>
        </w:rPr>
        <w:t>竣工结算</w:t>
      </w:r>
      <w:bookmarkEnd w:id="1164"/>
      <w:bookmarkEnd w:id="1165"/>
      <w:bookmarkEnd w:id="1166"/>
      <w:bookmarkEnd w:id="1167"/>
      <w:bookmarkEnd w:id="1168"/>
      <w:bookmarkEnd w:id="1169"/>
      <w:bookmarkEnd w:id="1170"/>
      <w:bookmarkEnd w:id="1171"/>
      <w:bookmarkEnd w:id="1172"/>
    </w:p>
    <w:p w14:paraId="7789B09C">
      <w:pPr>
        <w:pStyle w:val="4"/>
        <w:rPr>
          <w:color w:val="auto"/>
          <w:highlight w:val="none"/>
        </w:rPr>
      </w:pPr>
      <w:bookmarkStart w:id="1173" w:name="_Toc1973954660"/>
      <w:bookmarkStart w:id="1174" w:name="_Toc407135262"/>
      <w:bookmarkStart w:id="1175" w:name="_Toc78449848"/>
      <w:bookmarkStart w:id="1176" w:name="_Toc7190"/>
      <w:bookmarkStart w:id="1177" w:name="_Toc373478406"/>
      <w:bookmarkStart w:id="1178" w:name="_Toc174652718"/>
      <w:bookmarkStart w:id="1179" w:name="_Toc389065324"/>
      <w:bookmarkStart w:id="1180" w:name="_Toc373227759"/>
      <w:r>
        <w:rPr>
          <w:color w:val="auto"/>
          <w:highlight w:val="none"/>
        </w:rPr>
        <w:t>14.1</w:t>
      </w:r>
      <w:r>
        <w:rPr>
          <w:rFonts w:hint="eastAsia" w:hAnsi="宋体" w:cs="黑体"/>
          <w:color w:val="auto"/>
          <w:highlight w:val="none"/>
        </w:rPr>
        <w:t>竣工付款申请</w:t>
      </w:r>
      <w:bookmarkEnd w:id="1173"/>
      <w:bookmarkEnd w:id="1174"/>
      <w:bookmarkEnd w:id="1175"/>
      <w:bookmarkEnd w:id="1176"/>
      <w:bookmarkEnd w:id="1177"/>
      <w:bookmarkEnd w:id="1178"/>
      <w:bookmarkEnd w:id="1179"/>
      <w:bookmarkEnd w:id="1180"/>
    </w:p>
    <w:p w14:paraId="2409E92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承包人提交竣工付款申请单的期限：</w:t>
      </w:r>
      <w:r>
        <w:rPr>
          <w:rFonts w:hint="eastAsia" w:hAnsi="宋体" w:cs="宋体"/>
          <w:color w:val="auto"/>
          <w:sz w:val="21"/>
          <w:szCs w:val="21"/>
          <w:highlight w:val="none"/>
          <w:u w:val="single"/>
        </w:rPr>
        <w:t>承包人应在工程竣工验收合格之日起28日内，向监理人提交竣工结算申请单及完整的竣工结算资料。因承包人原因未能在约定期限内提交竣工结算申请单的，发包人有权依据本合同专用合同条款第7.5.2条的约定主张逾期竣工违约金，但承包人完成竣工结算资料的提交义务不免除。竣工结算申请单须经项目经理签字并加盖承包人单位公章。</w:t>
      </w:r>
    </w:p>
    <w:p w14:paraId="5C26115D">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eastAsia" w:hAnsi="宋体" w:cs="宋体"/>
          <w:color w:val="auto"/>
          <w:sz w:val="21"/>
          <w:szCs w:val="18"/>
          <w:highlight w:val="none"/>
        </w:rPr>
      </w:pPr>
      <w:r>
        <w:rPr>
          <w:rFonts w:hint="eastAsia" w:hAnsi="宋体" w:cs="宋体"/>
          <w:color w:val="auto"/>
          <w:sz w:val="21"/>
          <w:szCs w:val="18"/>
          <w:highlight w:val="none"/>
        </w:rPr>
        <w:t>竣工付款申请单应包括的内容：</w:t>
      </w:r>
    </w:p>
    <w:p w14:paraId="06AD98D2">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申请单应包括以下内容，具体格式详见合同附件12《竣工结算款支付申请（核准）表》：（1）竣工结算合同价款总额（即调整后的合同价款总额，含合同内已完工程价款、经批准的变更及签证价款、价格调整价款、费用索赔价款等）；（2）累计已实际支付的工程价款（含预付款、进度款及安全文明施工费预付款等）；（3）应扣留的质量保证金（按竣工结算合同价款总额的3%计算）；（4）应扣回的其他款项（如预付款未扣完部分、发包人代垫款项、逾期竣工违约金等）；（5）竣工付款申请金额（即第（1）项减去第（2）至（4）项后的实际应支付金额）。</w:t>
      </w:r>
    </w:p>
    <w:p w14:paraId="54A72EA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none"/>
          <w:lang w:val="en-US" w:eastAsia="zh-CN" w:bidi="ar-SA"/>
        </w:rPr>
        <w:t>竣工结算申请单须附完整的竣工结算资料，包括但不限于：</w:t>
      </w:r>
      <w:r>
        <w:rPr>
          <w:rFonts w:hint="default" w:ascii="Times New Roman" w:hAnsi="宋体" w:eastAsia="宋体" w:cs="宋体"/>
          <w:color w:val="auto"/>
          <w:kern w:val="2"/>
          <w:sz w:val="21"/>
          <w:szCs w:val="21"/>
          <w:highlight w:val="none"/>
          <w:u w:val="single"/>
          <w:lang w:val="en-US" w:eastAsia="zh-CN" w:bidi="ar-SA"/>
        </w:rPr>
        <w:t>①竣工结算编制说明；②竣工结算汇总表及各单位工程竣工结算明细表；③已标价工程量清单及投标报价文件；④经批准的施工图设计文件及竣工图；⑤经发包人、监理人签字确认的全部工程变更指令、现场签证单及技术核定单；⑥材料设备价格调整的计价依据（含合同约定的材料价差调整计算表）；⑦工程索赔文件及发包人批准文件（如有）；⑧工期延误的相关证明文件（如有）；⑨经监理人签认的工程计量报表及进度款支付证书；⑩安全文明施工费使用台账；⑪合同约定的其他结算依据文件。</w:t>
      </w:r>
    </w:p>
    <w:p w14:paraId="58242FEE">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竣工结算资料应装订成册并编制目录和页码，一式肆份，电子版一份。承包人应对所提交竣工结算资料的完整性、真实性和准确性负责。</w:t>
      </w:r>
    </w:p>
    <w:p w14:paraId="5DDDDBDC">
      <w:pPr>
        <w:pStyle w:val="4"/>
        <w:rPr>
          <w:color w:val="auto"/>
          <w:highlight w:val="none"/>
        </w:rPr>
      </w:pPr>
      <w:bookmarkStart w:id="1181" w:name="_Toc373478407"/>
      <w:bookmarkStart w:id="1182" w:name="_Toc389065325"/>
      <w:bookmarkStart w:id="1183" w:name="_Toc489920513"/>
      <w:bookmarkStart w:id="1184" w:name="_Toc1245"/>
      <w:bookmarkStart w:id="1185" w:name="_Toc78449849"/>
      <w:bookmarkStart w:id="1186" w:name="_Toc667492935"/>
      <w:bookmarkStart w:id="1187" w:name="_Toc373227760"/>
      <w:bookmarkStart w:id="1188" w:name="_Toc407135263"/>
      <w:r>
        <w:rPr>
          <w:color w:val="auto"/>
          <w:highlight w:val="none"/>
        </w:rPr>
        <w:t>14.2</w:t>
      </w:r>
      <w:r>
        <w:rPr>
          <w:rFonts w:hint="eastAsia" w:hAnsi="宋体" w:cs="黑体"/>
          <w:color w:val="auto"/>
          <w:highlight w:val="none"/>
        </w:rPr>
        <w:t>竣工结算审核</w:t>
      </w:r>
      <w:bookmarkEnd w:id="1181"/>
      <w:bookmarkEnd w:id="1182"/>
      <w:bookmarkEnd w:id="1183"/>
      <w:bookmarkEnd w:id="1184"/>
      <w:bookmarkEnd w:id="1185"/>
      <w:bookmarkEnd w:id="1186"/>
      <w:bookmarkEnd w:id="1187"/>
      <w:bookmarkEnd w:id="1188"/>
    </w:p>
    <w:p w14:paraId="1E8AE67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BF2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2395EF5">
            <w:pPr>
              <w:keepNext w:val="0"/>
              <w:keepLines w:val="0"/>
              <w:suppressLineNumbers w:val="0"/>
              <w:spacing w:before="0" w:beforeAutospacing="0" w:after="0" w:afterAutospacing="0" w:line="360" w:lineRule="auto"/>
              <w:ind w:left="0" w:right="0"/>
              <w:rPr>
                <w:rFonts w:hint="default"/>
                <w:color w:val="auto"/>
                <w:sz w:val="21"/>
                <w:szCs w:val="21"/>
                <w:highlight w:val="none"/>
              </w:rPr>
            </w:pPr>
          </w:p>
        </w:tc>
        <w:tc>
          <w:tcPr>
            <w:tcW w:w="2466" w:type="dxa"/>
            <w:noWrap w:val="0"/>
            <w:vAlign w:val="center"/>
          </w:tcPr>
          <w:p w14:paraId="42124DD8">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hAnsi="宋体" w:cs="宋体"/>
                <w:color w:val="auto"/>
                <w:sz w:val="21"/>
                <w:szCs w:val="21"/>
                <w:highlight w:val="none"/>
              </w:rPr>
              <w:t>工程竣工结算报告金额</w:t>
            </w:r>
          </w:p>
        </w:tc>
        <w:tc>
          <w:tcPr>
            <w:tcW w:w="5967" w:type="dxa"/>
            <w:noWrap w:val="0"/>
            <w:vAlign w:val="center"/>
          </w:tcPr>
          <w:p w14:paraId="72EFEF08">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发包人审查时间</w:t>
            </w:r>
          </w:p>
        </w:tc>
      </w:tr>
      <w:tr w14:paraId="707A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252DFBA">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1</w:t>
            </w:r>
          </w:p>
        </w:tc>
        <w:tc>
          <w:tcPr>
            <w:tcW w:w="2466" w:type="dxa"/>
            <w:noWrap w:val="0"/>
            <w:vAlign w:val="center"/>
          </w:tcPr>
          <w:p w14:paraId="70BEE6B8">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万元以下</w:t>
            </w:r>
          </w:p>
        </w:tc>
        <w:tc>
          <w:tcPr>
            <w:tcW w:w="5967" w:type="dxa"/>
            <w:noWrap w:val="0"/>
            <w:vAlign w:val="center"/>
          </w:tcPr>
          <w:p w14:paraId="0651BCA2">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20</w:t>
            </w:r>
            <w:r>
              <w:rPr>
                <w:rFonts w:hint="eastAsia" w:hAnsi="宋体" w:cs="宋体"/>
                <w:color w:val="auto"/>
                <w:sz w:val="21"/>
                <w:szCs w:val="21"/>
                <w:highlight w:val="none"/>
              </w:rPr>
              <w:t>天</w:t>
            </w:r>
          </w:p>
        </w:tc>
      </w:tr>
      <w:tr w14:paraId="0846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90DF07B">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2</w:t>
            </w:r>
          </w:p>
        </w:tc>
        <w:tc>
          <w:tcPr>
            <w:tcW w:w="2466" w:type="dxa"/>
            <w:noWrap w:val="0"/>
            <w:vAlign w:val="center"/>
          </w:tcPr>
          <w:p w14:paraId="7EB4D24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w:t>
            </w:r>
            <w:r>
              <w:rPr>
                <w:rFonts w:hint="default"/>
                <w:color w:val="auto"/>
                <w:sz w:val="21"/>
                <w:szCs w:val="21"/>
                <w:highlight w:val="none"/>
              </w:rPr>
              <w:t>-2000</w:t>
            </w:r>
            <w:r>
              <w:rPr>
                <w:rFonts w:hint="eastAsia" w:hAnsi="宋体" w:cs="宋体"/>
                <w:color w:val="auto"/>
                <w:sz w:val="21"/>
                <w:szCs w:val="21"/>
                <w:highlight w:val="none"/>
              </w:rPr>
              <w:t>万元</w:t>
            </w:r>
          </w:p>
        </w:tc>
        <w:tc>
          <w:tcPr>
            <w:tcW w:w="5967" w:type="dxa"/>
            <w:noWrap w:val="0"/>
            <w:vAlign w:val="center"/>
          </w:tcPr>
          <w:p w14:paraId="7DCBD305">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30</w:t>
            </w:r>
            <w:r>
              <w:rPr>
                <w:rFonts w:hint="eastAsia" w:hAnsi="宋体" w:cs="宋体"/>
                <w:color w:val="auto"/>
                <w:sz w:val="21"/>
                <w:szCs w:val="21"/>
                <w:highlight w:val="none"/>
              </w:rPr>
              <w:t>天</w:t>
            </w:r>
          </w:p>
        </w:tc>
      </w:tr>
      <w:tr w14:paraId="5967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3DDD74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3</w:t>
            </w:r>
          </w:p>
        </w:tc>
        <w:tc>
          <w:tcPr>
            <w:tcW w:w="2466" w:type="dxa"/>
            <w:noWrap w:val="0"/>
            <w:vAlign w:val="center"/>
          </w:tcPr>
          <w:p w14:paraId="0FD6B20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2000</w:t>
            </w:r>
            <w:r>
              <w:rPr>
                <w:rFonts w:hint="eastAsia" w:hAnsi="宋体" w:cs="宋体"/>
                <w:color w:val="auto"/>
                <w:sz w:val="21"/>
                <w:szCs w:val="21"/>
                <w:highlight w:val="none"/>
              </w:rPr>
              <w:t>万元</w:t>
            </w:r>
            <w:r>
              <w:rPr>
                <w:rFonts w:hint="default"/>
                <w:color w:val="auto"/>
                <w:sz w:val="21"/>
                <w:szCs w:val="21"/>
                <w:highlight w:val="none"/>
              </w:rPr>
              <w:t>-5000</w:t>
            </w:r>
            <w:r>
              <w:rPr>
                <w:rFonts w:hint="eastAsia" w:hAnsi="宋体" w:cs="宋体"/>
                <w:color w:val="auto"/>
                <w:sz w:val="21"/>
                <w:szCs w:val="21"/>
                <w:highlight w:val="none"/>
              </w:rPr>
              <w:t>万元</w:t>
            </w:r>
          </w:p>
        </w:tc>
        <w:tc>
          <w:tcPr>
            <w:tcW w:w="5967" w:type="dxa"/>
            <w:noWrap w:val="0"/>
            <w:vAlign w:val="center"/>
          </w:tcPr>
          <w:p w14:paraId="527D519A">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45</w:t>
            </w:r>
            <w:r>
              <w:rPr>
                <w:rFonts w:hint="eastAsia" w:hAnsi="宋体" w:cs="宋体"/>
                <w:color w:val="auto"/>
                <w:sz w:val="21"/>
                <w:szCs w:val="21"/>
                <w:highlight w:val="none"/>
              </w:rPr>
              <w:t>天</w:t>
            </w:r>
          </w:p>
        </w:tc>
      </w:tr>
      <w:tr w14:paraId="0C3D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9ACB55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4</w:t>
            </w:r>
          </w:p>
        </w:tc>
        <w:tc>
          <w:tcPr>
            <w:tcW w:w="2466" w:type="dxa"/>
            <w:noWrap w:val="0"/>
            <w:vAlign w:val="center"/>
          </w:tcPr>
          <w:p w14:paraId="15298858">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5000</w:t>
            </w:r>
            <w:r>
              <w:rPr>
                <w:rFonts w:hint="eastAsia" w:hAnsi="宋体" w:cs="宋体"/>
                <w:color w:val="auto"/>
                <w:sz w:val="21"/>
                <w:szCs w:val="21"/>
                <w:highlight w:val="none"/>
              </w:rPr>
              <w:t>万元以上</w:t>
            </w:r>
          </w:p>
        </w:tc>
        <w:tc>
          <w:tcPr>
            <w:tcW w:w="5967" w:type="dxa"/>
            <w:noWrap w:val="0"/>
            <w:vAlign w:val="center"/>
          </w:tcPr>
          <w:p w14:paraId="05253CCB">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60</w:t>
            </w:r>
            <w:r>
              <w:rPr>
                <w:rFonts w:hint="eastAsia" w:hAnsi="宋体" w:cs="宋体"/>
                <w:color w:val="auto"/>
                <w:sz w:val="21"/>
                <w:szCs w:val="21"/>
                <w:highlight w:val="none"/>
              </w:rPr>
              <w:t>天</w:t>
            </w:r>
          </w:p>
        </w:tc>
      </w:tr>
      <w:tr w14:paraId="380C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0B8BA62">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5</w:t>
            </w:r>
          </w:p>
        </w:tc>
        <w:tc>
          <w:tcPr>
            <w:tcW w:w="2466" w:type="dxa"/>
            <w:noWrap w:val="0"/>
            <w:vAlign w:val="center"/>
          </w:tcPr>
          <w:p w14:paraId="7E5D1E42">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color w:val="auto"/>
                <w:sz w:val="21"/>
                <w:szCs w:val="21"/>
                <w:highlight w:val="none"/>
              </w:rPr>
              <w:t>5000万以上每增加</w:t>
            </w:r>
            <w:r>
              <w:rPr>
                <w:rFonts w:hint="default"/>
                <w:color w:val="auto"/>
                <w:sz w:val="21"/>
                <w:szCs w:val="21"/>
                <w:highlight w:val="none"/>
              </w:rPr>
              <w:t>0.5</w:t>
            </w:r>
            <w:r>
              <w:rPr>
                <w:rFonts w:hint="eastAsia"/>
                <w:color w:val="auto"/>
                <w:sz w:val="21"/>
                <w:szCs w:val="21"/>
                <w:highlight w:val="none"/>
              </w:rPr>
              <w:t>亿(不足0.5亿不增加)</w:t>
            </w:r>
          </w:p>
        </w:tc>
        <w:tc>
          <w:tcPr>
            <w:tcW w:w="5967" w:type="dxa"/>
            <w:noWrap w:val="0"/>
            <w:vAlign w:val="center"/>
          </w:tcPr>
          <w:p w14:paraId="602945A0">
            <w:pPr>
              <w:keepNext w:val="0"/>
              <w:keepLines w:val="0"/>
              <w:suppressLineNumbers w:val="0"/>
              <w:spacing w:before="0" w:beforeAutospacing="0" w:after="0" w:afterAutospacing="0" w:line="360" w:lineRule="auto"/>
              <w:ind w:left="0" w:right="0" w:firstLine="441" w:firstLineChars="210"/>
              <w:jc w:val="center"/>
              <w:rPr>
                <w:rFonts w:hint="eastAsia" w:hAnsi="宋体" w:cs="宋体"/>
                <w:color w:val="auto"/>
                <w:sz w:val="21"/>
                <w:szCs w:val="21"/>
                <w:highlight w:val="none"/>
              </w:rPr>
            </w:pPr>
            <w:r>
              <w:rPr>
                <w:rFonts w:hint="eastAsia" w:hAnsi="宋体" w:cs="宋体"/>
                <w:color w:val="auto"/>
                <w:sz w:val="21"/>
                <w:szCs w:val="21"/>
                <w:highlight w:val="none"/>
              </w:rPr>
              <w:t>增加10天</w:t>
            </w:r>
          </w:p>
        </w:tc>
      </w:tr>
    </w:tbl>
    <w:p w14:paraId="2A3D2449">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因承包人提供的结算资料不完整而需要补充或承包人不按时对账耽误时间时，审查时间应相应顺延。</w:t>
      </w:r>
    </w:p>
    <w:p w14:paraId="76B1624B">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sz w:val="21"/>
          <w:szCs w:val="21"/>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14312726">
      <w:pPr>
        <w:spacing w:line="400" w:lineRule="exact"/>
        <w:ind w:firstLine="411" w:firstLineChars="196"/>
        <w:rPr>
          <w:rFonts w:hint="eastAsia" w:ascii="Times New Roman" w:hAnsi="宋体" w:eastAsia="宋体" w:cs="宋体"/>
          <w:color w:val="auto"/>
          <w:sz w:val="21"/>
          <w:szCs w:val="21"/>
          <w:highlight w:val="none"/>
        </w:rPr>
      </w:pPr>
      <w:r>
        <w:rPr>
          <w:rFonts w:ascii="宋体" w:hAnsi="宋体" w:eastAsia="宋体" w:cs="宋体"/>
          <w:kern w:val="0"/>
          <w:sz w:val="21"/>
          <w:szCs w:val="21"/>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5AFD7C3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1、工程竣工验收报告经发包人认可后28天内，承包人向发包人递交竣工验收合格资料及完整的结算资料和报告，双方按照本工程合同约定的价格形式及价款调整办法进行工程竣工结算。</w:t>
      </w:r>
    </w:p>
    <w:p w14:paraId="43F4DC4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2、发包人收到承包人递交的竣工结算报告及结算资料之日起30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30天内提出异议，必要时合同当事人要当面核对，直至完成工程竣工结算。除非有特殊情形，否则从承包人递交竣工结算报告到完成竣工结算的时间应控制在“发包人审核竣工付款申请单的期限”要求的时间范围内。</w:t>
      </w:r>
    </w:p>
    <w:p w14:paraId="5B3F8E4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3、自竣工结算完毕之日起14天内，发包人按审定后的竣工结算价款，通知经办银行向承包人支付结算价款。</w:t>
      </w:r>
    </w:p>
    <w:p w14:paraId="68A064D7">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备注：对于国有投资项目结算审核约定，双方可结合各地政府或有关部门出台的管理规定进行局部调整</w:t>
      </w:r>
    </w:p>
    <w:p w14:paraId="7C761197">
      <w:pPr>
        <w:pStyle w:val="4"/>
        <w:rPr>
          <w:color w:val="auto"/>
          <w:highlight w:val="none"/>
        </w:rPr>
      </w:pPr>
      <w:bookmarkStart w:id="1189" w:name="_Toc6545"/>
      <w:bookmarkStart w:id="1190" w:name="_Toc78449850"/>
      <w:bookmarkStart w:id="1191" w:name="_Toc389065326"/>
      <w:bookmarkStart w:id="1192" w:name="_Toc373227761"/>
      <w:bookmarkStart w:id="1193" w:name="_Toc540165641"/>
      <w:bookmarkStart w:id="1194" w:name="_Toc1203653078"/>
      <w:bookmarkStart w:id="1195" w:name="_Toc373478408"/>
      <w:bookmarkStart w:id="1196" w:name="_Toc407135264"/>
      <w:r>
        <w:rPr>
          <w:color w:val="auto"/>
          <w:highlight w:val="none"/>
        </w:rPr>
        <w:t>14.4</w:t>
      </w:r>
      <w:r>
        <w:rPr>
          <w:rFonts w:hint="eastAsia" w:hAnsi="宋体" w:cs="黑体"/>
          <w:color w:val="auto"/>
          <w:highlight w:val="none"/>
        </w:rPr>
        <w:t>最终结清</w:t>
      </w:r>
      <w:bookmarkEnd w:id="1189"/>
      <w:bookmarkEnd w:id="1190"/>
      <w:bookmarkEnd w:id="1191"/>
      <w:bookmarkEnd w:id="1192"/>
      <w:bookmarkEnd w:id="1193"/>
      <w:bookmarkEnd w:id="1194"/>
      <w:bookmarkEnd w:id="1195"/>
      <w:bookmarkEnd w:id="1196"/>
    </w:p>
    <w:p w14:paraId="3DA7D0BA">
      <w:pPr>
        <w:spacing w:line="360" w:lineRule="auto"/>
        <w:ind w:firstLine="420" w:firstLineChars="200"/>
        <w:jc w:val="left"/>
        <w:rPr>
          <w:color w:val="auto"/>
          <w:kern w:val="0"/>
          <w:sz w:val="21"/>
          <w:szCs w:val="21"/>
          <w:highlight w:val="none"/>
        </w:rPr>
      </w:pPr>
      <w:r>
        <w:rPr>
          <w:color w:val="auto"/>
          <w:kern w:val="0"/>
          <w:sz w:val="21"/>
          <w:szCs w:val="21"/>
          <w:highlight w:val="none"/>
        </w:rPr>
        <w:t>14.4.1</w:t>
      </w:r>
      <w:r>
        <w:rPr>
          <w:rFonts w:hint="eastAsia" w:hAnsi="宋体" w:cs="宋体"/>
          <w:color w:val="auto"/>
          <w:kern w:val="0"/>
          <w:sz w:val="21"/>
          <w:szCs w:val="21"/>
          <w:highlight w:val="none"/>
        </w:rPr>
        <w:t>最终结清申请单</w:t>
      </w:r>
    </w:p>
    <w:p w14:paraId="094A14C1">
      <w:pPr>
        <w:spacing w:line="360" w:lineRule="auto"/>
        <w:ind w:firstLine="420" w:firstLineChars="200"/>
        <w:jc w:val="left"/>
        <w:rPr>
          <w:b w:val="0"/>
          <w:bCs w:val="0"/>
          <w:color w:val="auto"/>
          <w:kern w:val="0"/>
          <w:sz w:val="21"/>
          <w:szCs w:val="21"/>
          <w:highlight w:val="none"/>
          <w:u w:val="single"/>
        </w:rPr>
      </w:pPr>
      <w:r>
        <w:rPr>
          <w:rFonts w:hint="eastAsia" w:hAnsi="宋体" w:cs="宋体"/>
          <w:color w:val="auto"/>
          <w:kern w:val="0"/>
          <w:sz w:val="21"/>
          <w:szCs w:val="21"/>
          <w:highlight w:val="none"/>
        </w:rPr>
        <w:t>承包人提交最终结清申请单</w:t>
      </w:r>
      <w:r>
        <w:rPr>
          <w:rFonts w:hint="eastAsia" w:hAnsi="宋体" w:cs="宋体"/>
          <w:b w:val="0"/>
          <w:bCs w:val="0"/>
          <w:color w:val="auto"/>
          <w:kern w:val="0"/>
          <w:sz w:val="21"/>
          <w:szCs w:val="21"/>
          <w:highlight w:val="none"/>
        </w:rPr>
        <w:t>的份数：</w:t>
      </w:r>
      <w:r>
        <w:rPr>
          <w:rStyle w:val="27"/>
          <w:rFonts w:ascii="Segoe UI" w:hAnsi="Segoe UI" w:eastAsia="Segoe UI" w:cs="Segoe UI"/>
          <w:b w:val="0"/>
          <w:bCs w:val="0"/>
          <w:i w:val="0"/>
          <w:iCs w:val="0"/>
          <w:caps w:val="0"/>
          <w:color w:val="0F1115"/>
          <w:spacing w:val="0"/>
          <w:sz w:val="21"/>
          <w:szCs w:val="21"/>
          <w:highlight w:val="none"/>
          <w:u w:val="single"/>
          <w:shd w:val="clear" w:fill="FFFFFF"/>
        </w:rPr>
        <w:t>一式肆份（发包人、监理人、承包人、审计部门各一份），并附电子版一份。</w:t>
      </w:r>
    </w:p>
    <w:p w14:paraId="1A0534AB">
      <w:pPr>
        <w:spacing w:line="360" w:lineRule="auto"/>
        <w:ind w:firstLine="420" w:firstLineChars="200"/>
        <w:jc w:val="left"/>
        <w:rPr>
          <w:rFonts w:hint="eastAsia" w:eastAsia="宋体"/>
          <w:b w:val="0"/>
          <w:bCs w:val="0"/>
          <w:color w:val="auto"/>
          <w:sz w:val="21"/>
          <w:szCs w:val="21"/>
          <w:highlight w:val="none"/>
          <w:lang w:eastAsia="zh-CN"/>
        </w:rPr>
      </w:pPr>
      <w:r>
        <w:rPr>
          <w:rFonts w:hint="eastAsia" w:hAnsi="宋体" w:cs="宋体"/>
          <w:b w:val="0"/>
          <w:bCs w:val="0"/>
          <w:color w:val="auto"/>
          <w:kern w:val="0"/>
          <w:sz w:val="21"/>
          <w:szCs w:val="21"/>
          <w:highlight w:val="none"/>
        </w:rPr>
        <w:t>承包人提交最终结算申请单的期限：</w:t>
      </w:r>
      <w:r>
        <w:rPr>
          <w:rStyle w:val="27"/>
          <w:rFonts w:ascii="Segoe UI" w:hAnsi="Segoe UI" w:eastAsia="Segoe UI" w:cs="Segoe UI"/>
          <w:b w:val="0"/>
          <w:bCs w:val="0"/>
          <w:i w:val="0"/>
          <w:iCs w:val="0"/>
          <w:caps w:val="0"/>
          <w:color w:val="0F1115"/>
          <w:spacing w:val="0"/>
          <w:sz w:val="21"/>
          <w:szCs w:val="21"/>
          <w:highlight w:val="none"/>
          <w:u w:val="single"/>
          <w:shd w:val="clear" w:fill="FFFFFF"/>
        </w:rPr>
        <w:t>承包人应在缺陷责任期终止证书颁发后14日内，向监理人提交最终结清申请单。因承包人原因未能在约定期限内提交的，发包人有权顺延最终结清支付时间，但承包人提交最终结清申请单的义务不免除。</w:t>
      </w:r>
    </w:p>
    <w:p w14:paraId="20C47323">
      <w:pPr>
        <w:spacing w:line="360" w:lineRule="auto"/>
        <w:ind w:firstLine="420" w:firstLineChars="200"/>
        <w:jc w:val="left"/>
        <w:rPr>
          <w:color w:val="auto"/>
          <w:sz w:val="21"/>
          <w:szCs w:val="21"/>
          <w:highlight w:val="none"/>
        </w:rPr>
      </w:pPr>
      <w:r>
        <w:rPr>
          <w:rFonts w:hint="eastAsia"/>
          <w:color w:val="auto"/>
          <w:sz w:val="21"/>
          <w:szCs w:val="21"/>
          <w:highlight w:val="none"/>
        </w:rPr>
        <w:t>最终结算款支付申请（核准）表见合同附件13。</w:t>
      </w:r>
    </w:p>
    <w:p w14:paraId="7FF1879C">
      <w:pPr>
        <w:spacing w:line="360" w:lineRule="auto"/>
        <w:ind w:firstLine="420" w:firstLineChars="200"/>
        <w:jc w:val="left"/>
        <w:rPr>
          <w:color w:val="auto"/>
          <w:sz w:val="21"/>
          <w:szCs w:val="21"/>
          <w:highlight w:val="none"/>
        </w:rPr>
      </w:pPr>
      <w:r>
        <w:rPr>
          <w:color w:val="auto"/>
          <w:sz w:val="21"/>
          <w:szCs w:val="21"/>
          <w:highlight w:val="none"/>
        </w:rPr>
        <w:t>14.4.2</w:t>
      </w:r>
      <w:r>
        <w:rPr>
          <w:rFonts w:hint="eastAsia" w:hAnsi="宋体" w:cs="宋体"/>
          <w:color w:val="auto"/>
          <w:sz w:val="21"/>
          <w:szCs w:val="21"/>
          <w:highlight w:val="none"/>
        </w:rPr>
        <w:t>最终结清证书和支付</w:t>
      </w:r>
    </w:p>
    <w:bookmarkEnd w:id="1138"/>
    <w:bookmarkEnd w:id="1139"/>
    <w:bookmarkEnd w:id="1140"/>
    <w:bookmarkEnd w:id="1141"/>
    <w:bookmarkEnd w:id="1142"/>
    <w:bookmarkEnd w:id="1143"/>
    <w:bookmarkEnd w:id="1144"/>
    <w:bookmarkEnd w:id="1146"/>
    <w:p w14:paraId="278E6F8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bookmarkStart w:id="1197" w:name="_Toc389065327"/>
      <w:bookmarkStart w:id="1198" w:name="_Toc351203647"/>
      <w:bookmarkStart w:id="1199" w:name="_Toc373478409"/>
      <w:bookmarkStart w:id="1200" w:name="_Toc1294213766"/>
      <w:bookmarkStart w:id="1201" w:name="_Toc373227762"/>
      <w:bookmarkStart w:id="1202" w:name="_Toc905081407"/>
      <w:bookmarkStart w:id="1203" w:name="_Toc407135265"/>
      <w:bookmarkStart w:id="1204" w:name="_Toc78449851"/>
      <w:bookmarkStart w:id="1205" w:name="_Toc267251483"/>
      <w:bookmarkStart w:id="1206" w:name="_Toc267251482"/>
      <w:bookmarkStart w:id="1207" w:name="_Toc267251484"/>
      <w:bookmarkStart w:id="1208" w:name="_Toc267251485"/>
      <w:bookmarkStart w:id="1209" w:name="_Toc267251486"/>
      <w:bookmarkStart w:id="1210" w:name="_Toc267251489"/>
      <w:bookmarkStart w:id="1211" w:name="_Toc267251488"/>
      <w:bookmarkStart w:id="1212" w:name="_Toc267251490"/>
      <w:bookmarkStart w:id="1213" w:name="_Toc267251496"/>
      <w:bookmarkStart w:id="1214" w:name="_Toc267251497"/>
      <w:bookmarkStart w:id="1215" w:name="_Toc267251493"/>
      <w:bookmarkStart w:id="1216" w:name="_Toc267251495"/>
      <w:bookmarkStart w:id="1217" w:name="_Toc267251492"/>
      <w:bookmarkStart w:id="1218" w:name="_Toc267251498"/>
      <w:bookmarkStart w:id="1219" w:name="_Toc267251503"/>
      <w:bookmarkStart w:id="1220" w:name="_Toc267251494"/>
      <w:bookmarkStart w:id="1221" w:name="_Toc267251491"/>
      <w:bookmarkStart w:id="1222" w:name="_Toc267251501"/>
      <w:bookmarkStart w:id="1223" w:name="_Toc267251499"/>
      <w:bookmarkStart w:id="1224" w:name="_Toc267251502"/>
      <w:bookmarkStart w:id="1225" w:name="_Toc267251506"/>
      <w:bookmarkStart w:id="1226" w:name="_Toc267251504"/>
      <w:bookmarkStart w:id="1227" w:name="_Toc267251507"/>
      <w:bookmarkStart w:id="1228" w:name="_Toc267251508"/>
      <w:bookmarkStart w:id="1229" w:name="_Toc267251511"/>
      <w:bookmarkStart w:id="1230" w:name="_Toc267251514"/>
      <w:bookmarkStart w:id="1231" w:name="_Toc267251510"/>
      <w:bookmarkStart w:id="1232" w:name="_Toc267251513"/>
      <w:bookmarkStart w:id="1233" w:name="_Toc267251515"/>
      <w:bookmarkStart w:id="1234" w:name="_Toc267251509"/>
      <w:r>
        <w:rPr>
          <w:rFonts w:hint="default" w:ascii="Times New Roman" w:hAnsi="Times New Roman" w:eastAsia="宋体" w:cs="Times New Roman"/>
          <w:color w:val="auto"/>
          <w:kern w:val="2"/>
          <w:sz w:val="21"/>
          <w:szCs w:val="21"/>
          <w:highlight w:val="none"/>
          <w:lang w:val="en-US" w:eastAsia="zh-CN" w:bidi="ar-SA"/>
        </w:rPr>
        <w:t>（1）发包人完成最终结清申请单的审批并颁发最终结清证书的期限：</w:t>
      </w:r>
      <w:r>
        <w:rPr>
          <w:rFonts w:hint="default" w:ascii="Times New Roman" w:hAnsi="Times New Roman" w:eastAsia="宋体" w:cs="Times New Roman"/>
          <w:color w:val="auto"/>
          <w:kern w:val="2"/>
          <w:sz w:val="21"/>
          <w:szCs w:val="21"/>
          <w:highlight w:val="none"/>
          <w:u w:val="single"/>
          <w:lang w:val="en-US" w:eastAsia="zh-CN" w:bidi="ar-SA"/>
        </w:rPr>
        <w:t>发包人应在收到承包人提交的最终结清申请单且质量保证金返还条件已满足后14日内，完成审批并颁发最终结清证书。逾期未审批且未提出书面异议的，视为已认可最终结清申请单的内容并同意颁发最终结清证书。</w:t>
      </w:r>
    </w:p>
    <w:p w14:paraId="13FB040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（2）发包人完成支付的期限：</w:t>
      </w:r>
      <w:r>
        <w:rPr>
          <w:rFonts w:hint="eastAsia"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w:t>
      </w:r>
    </w:p>
    <w:p w14:paraId="4F6B9930">
      <w:pPr>
        <w:pStyle w:val="3"/>
        <w:rPr>
          <w:color w:val="auto"/>
          <w:highlight w:val="none"/>
        </w:rPr>
      </w:pPr>
      <w:bookmarkStart w:id="1235" w:name="_Toc1676"/>
      <w:r>
        <w:rPr>
          <w:color w:val="auto"/>
          <w:highlight w:val="none"/>
        </w:rPr>
        <w:t>15.</w:t>
      </w:r>
      <w:r>
        <w:rPr>
          <w:rFonts w:hint="eastAsia" w:cs="黑体"/>
          <w:color w:val="auto"/>
          <w:highlight w:val="none"/>
        </w:rPr>
        <w:t>缺陷责任期与保修</w:t>
      </w:r>
      <w:bookmarkEnd w:id="1197"/>
      <w:bookmarkEnd w:id="1198"/>
      <w:bookmarkEnd w:id="1199"/>
      <w:bookmarkEnd w:id="1200"/>
      <w:bookmarkEnd w:id="1201"/>
      <w:bookmarkEnd w:id="1202"/>
      <w:bookmarkEnd w:id="1203"/>
      <w:bookmarkEnd w:id="1204"/>
      <w:bookmarkEnd w:id="1235"/>
    </w:p>
    <w:p w14:paraId="796FF33C">
      <w:pPr>
        <w:pStyle w:val="4"/>
        <w:rPr>
          <w:color w:val="auto"/>
          <w:highlight w:val="none"/>
        </w:rPr>
      </w:pPr>
      <w:bookmarkStart w:id="1236" w:name="_Toc373227763"/>
      <w:bookmarkStart w:id="1237" w:name="_Toc389065328"/>
      <w:bookmarkStart w:id="1238" w:name="_Toc373478410"/>
      <w:bookmarkStart w:id="1239" w:name="_Toc1845278067"/>
      <w:bookmarkStart w:id="1240" w:name="_Toc1468458868"/>
      <w:bookmarkStart w:id="1241" w:name="_Toc407135266"/>
      <w:bookmarkStart w:id="1242" w:name="_Toc78449852"/>
      <w:bookmarkStart w:id="1243" w:name="_Toc13767"/>
      <w:r>
        <w:rPr>
          <w:color w:val="auto"/>
          <w:highlight w:val="none"/>
        </w:rPr>
        <w:t>15.2</w:t>
      </w:r>
      <w:r>
        <w:rPr>
          <w:rFonts w:hint="eastAsia" w:hAnsi="宋体" w:cs="黑体"/>
          <w:color w:val="auto"/>
          <w:highlight w:val="none"/>
        </w:rPr>
        <w:t>缺陷责任期</w:t>
      </w:r>
      <w:bookmarkEnd w:id="1205"/>
      <w:bookmarkEnd w:id="1236"/>
      <w:bookmarkEnd w:id="1237"/>
      <w:bookmarkEnd w:id="1238"/>
      <w:bookmarkEnd w:id="1239"/>
      <w:bookmarkEnd w:id="1240"/>
      <w:bookmarkEnd w:id="1241"/>
      <w:bookmarkEnd w:id="1242"/>
      <w:bookmarkEnd w:id="1243"/>
    </w:p>
    <w:p w14:paraId="38B6690B">
      <w:pPr>
        <w:pStyle w:val="4"/>
        <w:rPr>
          <w:rFonts w:hint="default" w:ascii="Times New Roman" w:hAnsi="Times New Roman" w:eastAsia="宋体" w:cs="Times New Roman"/>
          <w:b w:val="0"/>
          <w:bCs w:val="0"/>
          <w:color w:val="auto"/>
          <w:kern w:val="2"/>
          <w:sz w:val="21"/>
          <w:szCs w:val="21"/>
          <w:highlight w:val="none"/>
          <w:lang w:val="en-US" w:eastAsia="zh-CN" w:bidi="ar-SA"/>
        </w:rPr>
      </w:pPr>
      <w:bookmarkStart w:id="1244" w:name="_Toc1004692311"/>
      <w:bookmarkStart w:id="1245" w:name="_Toc389065329"/>
      <w:bookmarkStart w:id="1246" w:name="_Toc78449853"/>
      <w:bookmarkStart w:id="1247" w:name="_Toc666080472"/>
      <w:bookmarkStart w:id="1248" w:name="_Toc373478411"/>
      <w:bookmarkStart w:id="1249" w:name="_Toc407135267"/>
      <w:bookmarkStart w:id="1250" w:name="_Toc8004"/>
      <w:bookmarkStart w:id="1251" w:name="_Toc373227764"/>
      <w:r>
        <w:rPr>
          <w:rFonts w:hint="default" w:ascii="Times New Roman" w:hAnsi="Times New Roman" w:eastAsia="宋体" w:cs="Times New Roman"/>
          <w:b w:val="0"/>
          <w:bCs w:val="0"/>
          <w:color w:val="auto"/>
          <w:kern w:val="2"/>
          <w:sz w:val="21"/>
          <w:szCs w:val="21"/>
          <w:highlight w:val="none"/>
          <w:lang w:val="en-US" w:eastAsia="zh-CN" w:bidi="ar-SA"/>
        </w:rPr>
        <w:t>15.2缺陷责任期：24个月</w:t>
      </w:r>
    </w:p>
    <w:p w14:paraId="623E8CA3">
      <w:pPr>
        <w:pStyle w:val="4"/>
        <w:rPr>
          <w:color w:val="auto"/>
          <w:highlight w:val="none"/>
        </w:rPr>
      </w:pPr>
      <w:r>
        <w:rPr>
          <w:color w:val="auto"/>
          <w:highlight w:val="none"/>
        </w:rPr>
        <w:t>15.3</w:t>
      </w:r>
      <w:r>
        <w:rPr>
          <w:rFonts w:hint="eastAsia" w:hAnsi="宋体" w:cs="黑体"/>
          <w:color w:val="auto"/>
          <w:highlight w:val="none"/>
        </w:rPr>
        <w:t>质量保证金</w:t>
      </w:r>
      <w:bookmarkEnd w:id="1244"/>
      <w:bookmarkEnd w:id="1245"/>
      <w:bookmarkEnd w:id="1246"/>
      <w:bookmarkEnd w:id="1247"/>
      <w:bookmarkEnd w:id="1248"/>
      <w:bookmarkEnd w:id="1249"/>
      <w:bookmarkEnd w:id="1250"/>
      <w:bookmarkEnd w:id="1251"/>
    </w:p>
    <w:p w14:paraId="47AEC2DE">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关于是否扣留质量保证金的约定：</w:t>
      </w:r>
      <w:r>
        <w:rPr>
          <w:rFonts w:hint="eastAsia"/>
          <w:color w:val="auto"/>
          <w:sz w:val="21"/>
          <w:szCs w:val="21"/>
          <w:highlight w:val="none"/>
          <w:u w:val="single"/>
          <w:lang w:eastAsia="zh-CN"/>
        </w:rPr>
        <w:t>是</w:t>
      </w:r>
      <w:r>
        <w:rPr>
          <w:rFonts w:hint="eastAsia" w:hAnsi="宋体" w:cs="宋体"/>
          <w:color w:val="auto"/>
          <w:sz w:val="21"/>
          <w:szCs w:val="21"/>
          <w:highlight w:val="none"/>
        </w:rPr>
        <w:t>。</w:t>
      </w:r>
    </w:p>
    <w:p w14:paraId="2AD515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在工程项目竣工前，承包人按专用合同条款第3.7条提供履约担保的，发包人不得同时预留工程质量保证金。</w:t>
      </w:r>
    </w:p>
    <w:p w14:paraId="30758B58">
      <w:pPr>
        <w:spacing w:line="360" w:lineRule="auto"/>
        <w:ind w:firstLine="420" w:firstLineChars="200"/>
        <w:jc w:val="left"/>
        <w:outlineLvl w:val="0"/>
        <w:rPr>
          <w:color w:val="auto"/>
          <w:sz w:val="21"/>
          <w:szCs w:val="21"/>
          <w:highlight w:val="none"/>
        </w:rPr>
      </w:pPr>
      <w:bookmarkStart w:id="1252" w:name="_Toc12334"/>
      <w:r>
        <w:rPr>
          <w:color w:val="auto"/>
          <w:sz w:val="21"/>
          <w:szCs w:val="21"/>
          <w:highlight w:val="none"/>
        </w:rPr>
        <w:t>15.3.1</w:t>
      </w:r>
      <w:r>
        <w:rPr>
          <w:rFonts w:hint="eastAsia" w:hAnsi="宋体" w:cs="宋体"/>
          <w:color w:val="auto"/>
          <w:sz w:val="21"/>
          <w:szCs w:val="21"/>
          <w:highlight w:val="none"/>
        </w:rPr>
        <w:t>承包人提供质量保证金的方式</w:t>
      </w:r>
      <w:bookmarkEnd w:id="1252"/>
    </w:p>
    <w:p w14:paraId="1470D85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质量保证金采用以下第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16167D9A">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）质量保证金保函</w:t>
      </w:r>
      <w:r>
        <w:rPr>
          <w:rFonts w:hint="eastAsia" w:ascii="Times New Roman" w:hAnsi="宋体" w:eastAsia="宋体" w:cs="宋体"/>
          <w:color w:val="auto"/>
          <w:sz w:val="21"/>
          <w:szCs w:val="21"/>
          <w:highlight w:val="none"/>
        </w:rPr>
        <w:t>（银行保函、电子保函、保证保险保函、工程担保保函</w:t>
      </w:r>
      <w:r>
        <w:rPr>
          <w:rFonts w:hint="eastAsia" w:ascii="Times New Roman" w:hAnsi="宋体" w:eastAsia="宋体" w:cs="宋体"/>
          <w:color w:val="auto"/>
          <w:sz w:val="21"/>
          <w:szCs w:val="21"/>
          <w:highlight w:val="none"/>
          <w:lang w:eastAsia="zh-CN"/>
        </w:rPr>
        <w:t>，</w:t>
      </w:r>
      <w:r>
        <w:rPr>
          <w:rFonts w:hint="eastAsia" w:hAnsi="宋体" w:cs="宋体"/>
          <w:color w:val="auto"/>
          <w:kern w:val="0"/>
          <w:sz w:val="21"/>
          <w:szCs w:val="21"/>
          <w:highlight w:val="none"/>
        </w:rPr>
        <w:t>工程担保保证人应将出具的保函相关信息录入“广西建筑市场监管云”平台（http://gxjzsc.caihcloud.com），以实现保函查询及验真功能</w:t>
      </w:r>
      <w:r>
        <w:rPr>
          <w:rFonts w:hint="eastAsia" w:hAnsi="宋体" w:cs="宋体"/>
          <w:color w:val="auto"/>
          <w:kern w:val="0"/>
          <w:sz w:val="21"/>
          <w:szCs w:val="21"/>
          <w:highlight w:val="none"/>
          <w:lang w:eastAsia="zh-CN"/>
        </w:rPr>
        <w:t>。</w:t>
      </w:r>
      <w:r>
        <w:rPr>
          <w:rFonts w:hint="eastAsia" w:ascii="Times New Roman" w:hAnsi="宋体" w:eastAsia="宋体" w:cs="宋体"/>
          <w:color w:val="auto"/>
          <w:sz w:val="21"/>
          <w:szCs w:val="21"/>
          <w:highlight w:val="none"/>
        </w:rPr>
        <w:t>）</w:t>
      </w:r>
      <w:r>
        <w:rPr>
          <w:rFonts w:hint="eastAsia" w:hAnsi="宋体" w:cs="宋体"/>
          <w:color w:val="auto"/>
          <w:kern w:val="0"/>
          <w:sz w:val="21"/>
          <w:szCs w:val="21"/>
          <w:highlight w:val="none"/>
        </w:rPr>
        <w:t>，保证金额为：；</w:t>
      </w:r>
    </w:p>
    <w:p w14:paraId="5E56936C">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rFonts w:hint="eastAsia" w:hAnsi="宋体" w:cs="宋体"/>
          <w:color w:val="auto"/>
          <w:sz w:val="21"/>
          <w:szCs w:val="21"/>
          <w:highlight w:val="none"/>
        </w:rPr>
        <w:t>发包人按工程价款结算总额的</w:t>
      </w:r>
      <w:r>
        <w:rPr>
          <w:rFonts w:hint="eastAsia" w:hAnsi="宋体"/>
          <w:color w:val="auto"/>
          <w:sz w:val="21"/>
          <w:szCs w:val="21"/>
          <w:highlight w:val="none"/>
          <w:u w:val="single"/>
          <w:lang w:val="en-US" w:eastAsia="zh-CN"/>
        </w:rPr>
        <w:t>3</w:t>
      </w:r>
      <w:r>
        <w:rPr>
          <w:color w:val="auto"/>
          <w:sz w:val="21"/>
          <w:szCs w:val="21"/>
          <w:highlight w:val="none"/>
        </w:rPr>
        <w:t>%</w:t>
      </w:r>
      <w:r>
        <w:rPr>
          <w:rFonts w:hint="eastAsia" w:cs="宋体"/>
          <w:color w:val="auto"/>
          <w:sz w:val="21"/>
          <w:szCs w:val="21"/>
          <w:highlight w:val="none"/>
        </w:rPr>
        <w:t>（不得超过</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预留工程质量保证金，待缺陷责任期满后返还，是否付息及利息计算方式为：</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230DAA1C">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）其他方式</w:t>
      </w:r>
      <w:r>
        <w:rPr>
          <w:rFonts w:hint="eastAsia" w:cs="宋体"/>
          <w:color w:val="auto"/>
          <w:kern w:val="0"/>
          <w:sz w:val="21"/>
          <w:szCs w:val="21"/>
          <w:highlight w:val="none"/>
        </w:rPr>
        <w:t>：</w:t>
      </w:r>
      <w:r>
        <w:rPr>
          <w:rFonts w:hint="eastAsia" w:ascii="Times New Roman" w:hAnsi="宋体" w:eastAsia="宋体" w:cs="宋体"/>
          <w:color w:val="auto"/>
          <w:sz w:val="21"/>
          <w:szCs w:val="21"/>
          <w:highlight w:val="none"/>
        </w:rPr>
        <w:t>银行转账、电汇或网上支付等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sz w:val="21"/>
          <w:szCs w:val="21"/>
          <w:highlight w:val="none"/>
        </w:rPr>
        <w:t>。</w:t>
      </w:r>
    </w:p>
    <w:p w14:paraId="4BB49B03">
      <w:pPr>
        <w:spacing w:line="360" w:lineRule="auto"/>
        <w:ind w:firstLine="420" w:firstLineChars="200"/>
        <w:jc w:val="left"/>
        <w:rPr>
          <w:color w:val="auto"/>
          <w:sz w:val="21"/>
          <w:szCs w:val="21"/>
          <w:highlight w:val="none"/>
        </w:rPr>
      </w:pPr>
      <w:r>
        <w:rPr>
          <w:color w:val="auto"/>
          <w:sz w:val="21"/>
          <w:szCs w:val="21"/>
          <w:highlight w:val="none"/>
        </w:rPr>
        <w:t>15.3.2</w:t>
      </w:r>
      <w:r>
        <w:rPr>
          <w:rFonts w:hint="eastAsia" w:hAnsi="宋体" w:cs="宋体"/>
          <w:color w:val="auto"/>
          <w:sz w:val="21"/>
          <w:szCs w:val="21"/>
          <w:highlight w:val="none"/>
        </w:rPr>
        <w:t>质量保证金的扣留</w:t>
      </w:r>
    </w:p>
    <w:p w14:paraId="61346AAA">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质量保证金的扣留采取以下第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4FA80BCC">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）在</w:t>
      </w:r>
      <w:r>
        <w:rPr>
          <w:rFonts w:hAnsi="宋体" w:cs="宋体"/>
          <w:color w:val="auto"/>
          <w:kern w:val="0"/>
          <w:sz w:val="21"/>
          <w:szCs w:val="21"/>
          <w:highlight w:val="none"/>
        </w:rPr>
        <w:t>不缴纳履</w:t>
      </w:r>
      <w:r>
        <w:rPr>
          <w:rFonts w:hint="eastAsia" w:hAnsi="宋体" w:cs="宋体"/>
          <w:color w:val="auto"/>
          <w:kern w:val="0"/>
          <w:sz w:val="21"/>
          <w:szCs w:val="21"/>
          <w:highlight w:val="none"/>
        </w:rPr>
        <w:t>保</w:t>
      </w:r>
      <w:r>
        <w:rPr>
          <w:rFonts w:hAnsi="宋体" w:cs="宋体"/>
          <w:color w:val="auto"/>
          <w:kern w:val="0"/>
          <w:sz w:val="21"/>
          <w:szCs w:val="21"/>
          <w:highlight w:val="none"/>
        </w:rPr>
        <w:t>证金情况下</w:t>
      </w:r>
      <w:r>
        <w:rPr>
          <w:rFonts w:hint="eastAsia" w:hAnsi="宋体" w:cs="宋体"/>
          <w:color w:val="auto"/>
          <w:kern w:val="0"/>
          <w:sz w:val="21"/>
          <w:szCs w:val="21"/>
          <w:highlight w:val="none"/>
        </w:rPr>
        <w:t>，按支付工程进度款时逐次扣留，质量保证金的计算基数不包括预付款的支付、扣回以及价格调整的金额；</w:t>
      </w:r>
    </w:p>
    <w:p w14:paraId="6522F0CE">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）工程竣工结算时，一次性扣留质量保证金，</w:t>
      </w:r>
      <w:r>
        <w:rPr>
          <w:rFonts w:hAnsi="宋体" w:cs="宋体"/>
          <w:color w:val="auto"/>
          <w:kern w:val="0"/>
          <w:sz w:val="21"/>
          <w:szCs w:val="21"/>
          <w:highlight w:val="none"/>
        </w:rPr>
        <w:t>由承包人以银行保函</w:t>
      </w:r>
      <w:r>
        <w:rPr>
          <w:rFonts w:hint="eastAsia" w:hAnsi="宋体" w:cs="宋体"/>
          <w:color w:val="auto"/>
          <w:kern w:val="0"/>
          <w:sz w:val="21"/>
          <w:szCs w:val="21"/>
          <w:highlight w:val="none"/>
        </w:rPr>
        <w:t>、保证保险</w:t>
      </w:r>
      <w:r>
        <w:rPr>
          <w:rFonts w:hAnsi="宋体" w:cs="宋体"/>
          <w:color w:val="auto"/>
          <w:kern w:val="0"/>
          <w:sz w:val="21"/>
          <w:szCs w:val="21"/>
          <w:highlight w:val="none"/>
        </w:rPr>
        <w:t>替代预留</w:t>
      </w:r>
      <w:r>
        <w:rPr>
          <w:rFonts w:hint="eastAsia" w:hAnsi="宋体" w:cs="宋体"/>
          <w:color w:val="auto"/>
          <w:kern w:val="0"/>
          <w:sz w:val="21"/>
          <w:szCs w:val="21"/>
          <w:highlight w:val="none"/>
        </w:rPr>
        <w:t>质量</w:t>
      </w:r>
      <w:r>
        <w:rPr>
          <w:rFonts w:hAnsi="宋体" w:cs="宋体"/>
          <w:color w:val="auto"/>
          <w:kern w:val="0"/>
          <w:sz w:val="21"/>
          <w:szCs w:val="21"/>
          <w:highlight w:val="none"/>
        </w:rPr>
        <w:t>保证金</w:t>
      </w:r>
      <w:r>
        <w:rPr>
          <w:rFonts w:hint="eastAsia" w:hAnsi="宋体" w:cs="宋体"/>
          <w:color w:val="auto"/>
          <w:kern w:val="0"/>
          <w:sz w:val="21"/>
          <w:szCs w:val="21"/>
          <w:highlight w:val="none"/>
        </w:rPr>
        <w:t>，</w:t>
      </w:r>
      <w:r>
        <w:rPr>
          <w:rFonts w:hAnsi="宋体" w:cs="宋体"/>
          <w:color w:val="auto"/>
          <w:kern w:val="0"/>
          <w:sz w:val="21"/>
          <w:szCs w:val="21"/>
          <w:highlight w:val="none"/>
        </w:rPr>
        <w:t>保函金额不得高</w:t>
      </w:r>
      <w:r>
        <w:rPr>
          <w:rFonts w:hint="eastAsia" w:hAnsi="宋体" w:cs="宋体"/>
          <w:color w:val="auto"/>
          <w:kern w:val="0"/>
          <w:sz w:val="21"/>
          <w:szCs w:val="21"/>
          <w:highlight w:val="none"/>
        </w:rPr>
        <w:t>于</w:t>
      </w:r>
      <w:r>
        <w:rPr>
          <w:rFonts w:hAnsi="宋体" w:cs="宋体"/>
          <w:color w:val="auto"/>
          <w:kern w:val="0"/>
          <w:sz w:val="21"/>
          <w:szCs w:val="21"/>
          <w:highlight w:val="none"/>
        </w:rPr>
        <w:t>工程价款结算总额的</w:t>
      </w:r>
      <w:r>
        <w:rPr>
          <w:rFonts w:hint="eastAsia" w:hAnsi="宋体" w:cs="宋体"/>
          <w:color w:val="auto"/>
          <w:kern w:val="0"/>
          <w:sz w:val="21"/>
          <w:szCs w:val="21"/>
          <w:highlight w:val="none"/>
        </w:rPr>
        <w:t>3</w:t>
      </w:r>
      <w:r>
        <w:rPr>
          <w:rFonts w:hAnsi="宋体" w:cs="宋体"/>
          <w:color w:val="auto"/>
          <w:kern w:val="0"/>
          <w:sz w:val="21"/>
          <w:szCs w:val="21"/>
          <w:highlight w:val="none"/>
        </w:rPr>
        <w:t>%</w:t>
      </w:r>
      <w:r>
        <w:rPr>
          <w:rFonts w:hint="eastAsia" w:hAnsi="宋体" w:cs="宋体"/>
          <w:color w:val="auto"/>
          <w:kern w:val="0"/>
          <w:sz w:val="21"/>
          <w:szCs w:val="21"/>
          <w:highlight w:val="none"/>
        </w:rPr>
        <w:t>；</w:t>
      </w:r>
    </w:p>
    <w:p w14:paraId="4515DF0F">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）其他扣留方式</w:t>
      </w:r>
      <w:r>
        <w:rPr>
          <w:color w:val="auto"/>
          <w:kern w:val="0"/>
          <w:sz w:val="21"/>
          <w:szCs w:val="21"/>
          <w:highlight w:val="none"/>
        </w:rPr>
        <w:t>:</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kern w:val="0"/>
          <w:sz w:val="21"/>
          <w:szCs w:val="21"/>
          <w:highlight w:val="none"/>
        </w:rPr>
        <w:t>。</w:t>
      </w:r>
    </w:p>
    <w:p w14:paraId="70FD4950">
      <w:pPr>
        <w:spacing w:line="360" w:lineRule="auto"/>
        <w:ind w:firstLine="420" w:firstLineChars="200"/>
        <w:jc w:val="left"/>
        <w:rPr>
          <w:rFonts w:hint="eastAsia"/>
          <w:color w:val="auto"/>
          <w:sz w:val="21"/>
          <w:szCs w:val="21"/>
          <w:highlight w:val="none"/>
          <w:u w:val="single"/>
          <w:lang w:val="en-US" w:eastAsia="zh-CN"/>
        </w:rPr>
      </w:pPr>
      <w:r>
        <w:rPr>
          <w:rFonts w:hint="eastAsia" w:hAnsi="宋体" w:cs="宋体"/>
          <w:color w:val="auto"/>
          <w:sz w:val="21"/>
          <w:szCs w:val="21"/>
          <w:highlight w:val="none"/>
        </w:rPr>
        <w:t>关于质量保证金的补充约定：</w:t>
      </w:r>
      <w:r>
        <w:rPr>
          <w:rFonts w:hint="eastAsia"/>
          <w:color w:val="auto"/>
          <w:sz w:val="21"/>
          <w:szCs w:val="21"/>
          <w:highlight w:val="none"/>
          <w:u w:val="single"/>
          <w:lang w:val="en-US" w:eastAsia="zh-CN"/>
        </w:rPr>
        <w:t>质量保证金按竣工结算价款总额的3%在工程竣工结算时一次性扣留。缺陷责任期（24个月）满后，如无未处理的质量缺陷，发包人在收到承包人返还申请后14日内核实返还质量保证金，不计利息。承包人申请返还质量保证金时，应同时提交工程保修期内的保修服务完成情况说明及相关证明材料。如承包人以银行保函或保证保险替代预留质量保证金的，保函或保单金额应与预留金额一致，有效期不少于缺陷责任期，格式须经发包人认可。</w:t>
      </w:r>
    </w:p>
    <w:bookmarkEnd w:id="1206"/>
    <w:bookmarkEnd w:id="1207"/>
    <w:p w14:paraId="31D80D92">
      <w:pPr>
        <w:pStyle w:val="4"/>
        <w:rPr>
          <w:color w:val="auto"/>
          <w:highlight w:val="none"/>
        </w:rPr>
      </w:pPr>
      <w:bookmarkStart w:id="1253" w:name="_Toc1902722111"/>
      <w:bookmarkStart w:id="1254" w:name="_Toc389065330"/>
      <w:bookmarkStart w:id="1255" w:name="_Toc196306762"/>
      <w:bookmarkStart w:id="1256" w:name="_Toc15489"/>
      <w:bookmarkStart w:id="1257" w:name="_Toc373478412"/>
      <w:bookmarkStart w:id="1258" w:name="_Toc78449854"/>
      <w:bookmarkStart w:id="1259" w:name="_Toc407135268"/>
      <w:bookmarkStart w:id="1260" w:name="_Toc373227765"/>
      <w:r>
        <w:rPr>
          <w:color w:val="auto"/>
          <w:highlight w:val="none"/>
        </w:rPr>
        <w:t>15.4</w:t>
      </w:r>
      <w:r>
        <w:rPr>
          <w:rFonts w:hint="eastAsia" w:hAnsi="宋体" w:cs="黑体"/>
          <w:color w:val="auto"/>
          <w:highlight w:val="none"/>
        </w:rPr>
        <w:t>保修</w:t>
      </w:r>
      <w:bookmarkEnd w:id="1253"/>
      <w:bookmarkEnd w:id="1254"/>
      <w:bookmarkEnd w:id="1255"/>
      <w:bookmarkEnd w:id="1256"/>
      <w:bookmarkEnd w:id="1257"/>
      <w:bookmarkEnd w:id="1258"/>
      <w:bookmarkEnd w:id="1259"/>
      <w:bookmarkEnd w:id="1260"/>
    </w:p>
    <w:bookmarkEnd w:id="1208"/>
    <w:p w14:paraId="336360F6">
      <w:pPr>
        <w:spacing w:line="360" w:lineRule="auto"/>
        <w:ind w:firstLine="409" w:firstLineChars="195"/>
        <w:jc w:val="left"/>
        <w:outlineLvl w:val="0"/>
        <w:rPr>
          <w:color w:val="auto"/>
          <w:sz w:val="21"/>
          <w:szCs w:val="21"/>
          <w:highlight w:val="none"/>
        </w:rPr>
      </w:pPr>
      <w:bookmarkStart w:id="1261" w:name="_Toc9415"/>
      <w:r>
        <w:rPr>
          <w:color w:val="auto"/>
          <w:sz w:val="21"/>
          <w:szCs w:val="21"/>
          <w:highlight w:val="none"/>
        </w:rPr>
        <w:t>15.4.1</w:t>
      </w:r>
      <w:r>
        <w:rPr>
          <w:rFonts w:hint="eastAsia" w:hAnsi="宋体" w:cs="宋体"/>
          <w:color w:val="auto"/>
          <w:sz w:val="21"/>
          <w:szCs w:val="21"/>
          <w:highlight w:val="none"/>
        </w:rPr>
        <w:t>保修责任</w:t>
      </w:r>
      <w:bookmarkEnd w:id="1261"/>
    </w:p>
    <w:p w14:paraId="35F183F3">
      <w:pPr>
        <w:spacing w:line="360" w:lineRule="auto"/>
        <w:ind w:firstLine="409" w:firstLineChars="195"/>
        <w:jc w:val="left"/>
        <w:rPr>
          <w:rFonts w:hAnsi="宋体"/>
          <w:color w:val="auto"/>
          <w:kern w:val="0"/>
          <w:sz w:val="21"/>
          <w:szCs w:val="21"/>
          <w:highlight w:val="none"/>
        </w:rPr>
      </w:pPr>
      <w:r>
        <w:rPr>
          <w:rFonts w:hint="eastAsia" w:hAnsi="宋体" w:cs="宋体"/>
          <w:color w:val="auto"/>
          <w:sz w:val="21"/>
          <w:szCs w:val="21"/>
          <w:highlight w:val="none"/>
        </w:rPr>
        <w:t>工程保修期为：</w:t>
      </w:r>
      <w:r>
        <w:rPr>
          <w:rFonts w:hint="eastAsia"/>
          <w:color w:val="auto"/>
          <w:kern w:val="0"/>
          <w:sz w:val="21"/>
          <w:szCs w:val="21"/>
          <w:highlight w:val="none"/>
          <w:u w:val="single"/>
          <w:lang w:val="en-US" w:eastAsia="zh-CN"/>
        </w:rPr>
        <w:t>24个月</w:t>
      </w:r>
      <w:r>
        <w:rPr>
          <w:rFonts w:hint="eastAsia" w:hAnsi="宋体" w:cs="宋体"/>
          <w:color w:val="auto"/>
          <w:kern w:val="0"/>
          <w:sz w:val="21"/>
          <w:szCs w:val="21"/>
          <w:highlight w:val="none"/>
        </w:rPr>
        <w:t>。</w:t>
      </w:r>
    </w:p>
    <w:p w14:paraId="3CF40CB1">
      <w:pPr>
        <w:spacing w:line="360" w:lineRule="auto"/>
        <w:ind w:firstLine="409" w:firstLineChars="195"/>
        <w:jc w:val="left"/>
        <w:rPr>
          <w:color w:val="auto"/>
          <w:kern w:val="0"/>
          <w:sz w:val="21"/>
          <w:szCs w:val="21"/>
          <w:highlight w:val="none"/>
          <w:u w:val="single"/>
        </w:rPr>
      </w:pPr>
      <w:r>
        <w:rPr>
          <w:rFonts w:hint="eastAsia" w:ascii="宋体" w:hAnsi="宋体" w:cs="宋体"/>
          <w:color w:val="auto"/>
          <w:sz w:val="21"/>
          <w:szCs w:val="21"/>
          <w:highlight w:val="none"/>
        </w:rPr>
        <w:t>工程保修书具体内容见合同附件2。</w:t>
      </w:r>
    </w:p>
    <w:p w14:paraId="773A4802">
      <w:pPr>
        <w:spacing w:line="360" w:lineRule="auto"/>
        <w:ind w:firstLine="409" w:firstLineChars="195"/>
        <w:jc w:val="left"/>
        <w:rPr>
          <w:color w:val="auto"/>
          <w:sz w:val="21"/>
          <w:szCs w:val="21"/>
          <w:highlight w:val="none"/>
        </w:rPr>
      </w:pPr>
      <w:r>
        <w:rPr>
          <w:color w:val="auto"/>
          <w:sz w:val="21"/>
          <w:szCs w:val="21"/>
          <w:highlight w:val="none"/>
        </w:rPr>
        <w:t>15.4.3</w:t>
      </w:r>
      <w:r>
        <w:rPr>
          <w:rFonts w:hint="eastAsia" w:hAnsi="宋体" w:cs="宋体"/>
          <w:color w:val="auto"/>
          <w:sz w:val="21"/>
          <w:szCs w:val="21"/>
          <w:highlight w:val="none"/>
        </w:rPr>
        <w:t>修复通知</w:t>
      </w:r>
    </w:p>
    <w:p w14:paraId="0B9B5359">
      <w:pPr>
        <w:spacing w:line="360" w:lineRule="auto"/>
        <w:ind w:firstLine="409" w:firstLineChars="195"/>
        <w:jc w:val="left"/>
        <w:rPr>
          <w:color w:val="auto"/>
          <w:kern w:val="0"/>
          <w:sz w:val="21"/>
          <w:szCs w:val="21"/>
          <w:highlight w:val="none"/>
          <w:u w:val="single"/>
        </w:rPr>
      </w:pPr>
      <w:r>
        <w:rPr>
          <w:rFonts w:hint="eastAsia" w:hAnsi="宋体" w:cs="宋体"/>
          <w:color w:val="auto"/>
          <w:kern w:val="0"/>
          <w:sz w:val="21"/>
          <w:szCs w:val="21"/>
          <w:highlight w:val="none"/>
        </w:rPr>
        <w:t>承包人收到保修通知并到达工程现场的合理时间：</w:t>
      </w:r>
      <w:r>
        <w:rPr>
          <w:rFonts w:hint="eastAsia"/>
          <w:color w:val="auto"/>
          <w:kern w:val="0"/>
          <w:sz w:val="21"/>
          <w:szCs w:val="21"/>
          <w:highlight w:val="none"/>
          <w:u w:val="single"/>
          <w:lang w:val="en-US" w:eastAsia="zh-CN"/>
        </w:rPr>
        <w:t>24小时内</w:t>
      </w:r>
      <w:r>
        <w:rPr>
          <w:rFonts w:hint="eastAsia" w:hAnsi="宋体" w:cs="宋体"/>
          <w:color w:val="auto"/>
          <w:kern w:val="0"/>
          <w:sz w:val="21"/>
          <w:szCs w:val="21"/>
          <w:highlight w:val="none"/>
        </w:rPr>
        <w:t>。</w:t>
      </w:r>
    </w:p>
    <w:bookmarkEnd w:id="1209"/>
    <w:bookmarkEnd w:id="1210"/>
    <w:bookmarkEnd w:id="1211"/>
    <w:bookmarkEnd w:id="1212"/>
    <w:p w14:paraId="27F51F77">
      <w:pPr>
        <w:pStyle w:val="3"/>
        <w:rPr>
          <w:color w:val="auto"/>
          <w:highlight w:val="none"/>
        </w:rPr>
      </w:pPr>
      <w:bookmarkStart w:id="1262" w:name="_Toc351203648"/>
      <w:bookmarkStart w:id="1263" w:name="_Toc9445"/>
      <w:bookmarkStart w:id="1264" w:name="_Toc1360137061"/>
      <w:bookmarkStart w:id="1265" w:name="_Toc373227766"/>
      <w:bookmarkStart w:id="1266" w:name="_Toc389065331"/>
      <w:bookmarkStart w:id="1267" w:name="_Toc78449855"/>
      <w:bookmarkStart w:id="1268" w:name="_Toc373478413"/>
      <w:bookmarkStart w:id="1269" w:name="_Toc407135269"/>
      <w:bookmarkStart w:id="1270" w:name="_Toc1725581915"/>
      <w:bookmarkStart w:id="1271" w:name="_Toc280868717"/>
      <w:bookmarkStart w:id="1272" w:name="_Toc280868718"/>
      <w:r>
        <w:rPr>
          <w:color w:val="auto"/>
          <w:highlight w:val="none"/>
        </w:rPr>
        <w:t>16.</w:t>
      </w:r>
      <w:r>
        <w:rPr>
          <w:rFonts w:hint="eastAsia" w:hAnsi="宋体" w:cs="黑体"/>
          <w:color w:val="auto"/>
          <w:highlight w:val="none"/>
        </w:rPr>
        <w:t>违约</w:t>
      </w:r>
      <w:bookmarkEnd w:id="1262"/>
      <w:bookmarkEnd w:id="1263"/>
      <w:bookmarkEnd w:id="1264"/>
      <w:bookmarkEnd w:id="1265"/>
      <w:bookmarkEnd w:id="1266"/>
      <w:bookmarkEnd w:id="1267"/>
      <w:bookmarkEnd w:id="1268"/>
      <w:bookmarkEnd w:id="1269"/>
      <w:bookmarkEnd w:id="1270"/>
    </w:p>
    <w:p w14:paraId="0D5E3D84">
      <w:pPr>
        <w:pStyle w:val="4"/>
        <w:rPr>
          <w:color w:val="auto"/>
          <w:highlight w:val="none"/>
        </w:rPr>
      </w:pPr>
      <w:bookmarkStart w:id="1273" w:name="_Toc373227767"/>
      <w:bookmarkStart w:id="1274" w:name="_Toc1973395665"/>
      <w:bookmarkStart w:id="1275" w:name="_Toc407135270"/>
      <w:bookmarkStart w:id="1276" w:name="_Toc1535389315"/>
      <w:bookmarkStart w:id="1277" w:name="_Toc389065332"/>
      <w:bookmarkStart w:id="1278" w:name="_Toc6063"/>
      <w:bookmarkStart w:id="1279" w:name="_Toc373478414"/>
      <w:bookmarkStart w:id="1280" w:name="_Toc78449856"/>
      <w:r>
        <w:rPr>
          <w:color w:val="auto"/>
          <w:highlight w:val="none"/>
        </w:rPr>
        <w:t>16.1</w:t>
      </w:r>
      <w:r>
        <w:rPr>
          <w:rFonts w:hint="eastAsia" w:hAnsi="宋体" w:cs="黑体"/>
          <w:color w:val="auto"/>
          <w:highlight w:val="none"/>
        </w:rPr>
        <w:t>发包人违约</w:t>
      </w:r>
      <w:bookmarkEnd w:id="1273"/>
      <w:bookmarkEnd w:id="1274"/>
      <w:bookmarkEnd w:id="1275"/>
      <w:bookmarkEnd w:id="1276"/>
      <w:bookmarkEnd w:id="1277"/>
      <w:bookmarkEnd w:id="1278"/>
      <w:bookmarkEnd w:id="1279"/>
      <w:bookmarkEnd w:id="1280"/>
    </w:p>
    <w:p w14:paraId="01A435EF">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hAnsi="宋体" w:cs="宋体"/>
          <w:color w:val="auto"/>
          <w:sz w:val="21"/>
          <w:szCs w:val="21"/>
          <w:highlight w:val="none"/>
        </w:rPr>
        <w:t>发包人违约的情形</w:t>
      </w:r>
    </w:p>
    <w:p w14:paraId="35380CCD">
      <w:pPr>
        <w:spacing w:line="360" w:lineRule="auto"/>
        <w:ind w:firstLine="420" w:firstLineChars="200"/>
        <w:jc w:val="left"/>
        <w:rPr>
          <w:rFonts w:hint="eastAsia"/>
          <w:color w:val="auto"/>
          <w:kern w:val="0"/>
          <w:sz w:val="21"/>
          <w:szCs w:val="21"/>
          <w:highlight w:val="none"/>
          <w:u w:val="single"/>
        </w:rPr>
      </w:pPr>
      <w:r>
        <w:rPr>
          <w:rFonts w:hint="eastAsia" w:hAnsi="宋体" w:cs="宋体"/>
          <w:color w:val="auto"/>
          <w:kern w:val="0"/>
          <w:sz w:val="21"/>
          <w:szCs w:val="21"/>
          <w:highlight w:val="none"/>
        </w:rPr>
        <w:t>发包人违约的其他情形：</w:t>
      </w:r>
      <w:r>
        <w:rPr>
          <w:rFonts w:hint="eastAsia"/>
          <w:color w:val="auto"/>
          <w:kern w:val="0"/>
          <w:sz w:val="21"/>
          <w:szCs w:val="21"/>
          <w:highlight w:val="none"/>
          <w:u w:val="single"/>
        </w:rPr>
        <w:t>除通用合同条款第16.1.1项约定的发包人违约情形外，发包人存在以下情形之一的，亦构成违约：（1）发包人违反专用合同条款第2.4.2条约定，未能按时提供施工用水电接口、工程地质资料、测量基准点等施工条件的；（2）发包人违反专用合同条款第2.5条约定，未能提供资金来源证明且未在开工前按约定提供支付担保的；（3）发包人违反专用合同条款第10.3.1条约定，未按规定程序批准工程变更或拖延审批超过约定期限的；（4）发包人违反专用合同条款第13.2.2条约定，无正当理由拖延组织竣工验收或颁发工程接收证书的；（5）发包人违反专用合同条款第13.2.5条约定，无正当理由拒不接收全部或部分工程的。</w:t>
      </w:r>
    </w:p>
    <w:p w14:paraId="45B62F62">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违约责任承担</w:t>
      </w:r>
      <w:r>
        <w:rPr>
          <w:rFonts w:hint="default"/>
          <w:color w:val="auto"/>
          <w:kern w:val="0"/>
          <w:sz w:val="21"/>
          <w:szCs w:val="21"/>
          <w:highlight w:val="none"/>
          <w:u w:val="single"/>
        </w:rPr>
        <w:t>：发包人发生上述违约情形之一的，承包人有权书面通知发包人限期纠正。发包人逾期未纠正的，承包人有权按通用合同条款第16.1.2条的约定主张损害赔偿及工期顺延。因发包人违约导致承包人费用增加的，增加部分由发包人承担；导致工期延误的，工期相应顺延。</w:t>
      </w:r>
    </w:p>
    <w:p w14:paraId="1CB53CBE">
      <w:pPr>
        <w:spacing w:line="360" w:lineRule="auto"/>
        <w:ind w:firstLine="420" w:firstLineChars="200"/>
        <w:jc w:val="left"/>
        <w:outlineLvl w:val="0"/>
        <w:rPr>
          <w:color w:val="auto"/>
          <w:kern w:val="0"/>
          <w:sz w:val="21"/>
          <w:szCs w:val="21"/>
          <w:highlight w:val="none"/>
        </w:rPr>
      </w:pPr>
      <w:bookmarkStart w:id="1281" w:name="_Toc19478"/>
      <w:r>
        <w:rPr>
          <w:color w:val="auto"/>
          <w:kern w:val="0"/>
          <w:sz w:val="21"/>
          <w:szCs w:val="21"/>
          <w:highlight w:val="none"/>
        </w:rPr>
        <w:t>16.1.2</w:t>
      </w:r>
      <w:r>
        <w:rPr>
          <w:rFonts w:hint="eastAsia" w:hAnsi="宋体" w:cs="宋体"/>
          <w:color w:val="auto"/>
          <w:kern w:val="0"/>
          <w:sz w:val="21"/>
          <w:szCs w:val="21"/>
          <w:highlight w:val="none"/>
        </w:rPr>
        <w:t>发包人违约的责任</w:t>
      </w:r>
      <w:bookmarkEnd w:id="1281"/>
    </w:p>
    <w:p w14:paraId="256EDE14">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发包人违约责任的承担方式和计算方法：</w:t>
      </w:r>
    </w:p>
    <w:p w14:paraId="59F3753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（1）因发包人原因未能在计划开工日期前7天内下达开工通知的违约责任：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工期相应顺延。承包人因无法按时开工产生的实际损失，由双方根据实际情况协商确定。</w:t>
      </w:r>
    </w:p>
    <w:p w14:paraId="2546568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（2）因发包人原因未能按合同约定支付合同价款的违约责任：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因发包人原因且非因财政资金集中支付流程导致的延迟，未能按合同约定期限支付预付款、进度款或结算款的，从违约之日起，发包人每天按应付未付金额的万分之三向承包人支付违约金。因财政资金集中支付流程导致延迟的，发包人不承担违约责任。违约金累计金额不超过签约合同价的1%。</w:t>
      </w:r>
    </w:p>
    <w:p w14:paraId="1A9301E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（3）发包人违反第10.1款〔变更的范围〕第（2）项约定，自行实施被取消的工作或转由他人实施的违约责任：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发包人应与承包人协商补偿事宜，具体补偿金额由双方协商确定。</w:t>
      </w:r>
    </w:p>
    <w:p w14:paraId="125C1E7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（4）发包人提供的材料、工程设备的规格、数量或质量不符合合同约定，或因发包人原因导致交货日期延误或交货地点变更等情况的违约责任：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工期按延误天数相应顺延。发包人应负责更换不符合约定的材料设备。</w:t>
      </w:r>
    </w:p>
    <w:p w14:paraId="5C7B090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（5）因发包人违反合同约定造成暂停施工的违约责任：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工期相应顺延。暂停施工持续超过56天的，承包人可向发包人发出书面催告通知。发包人在收到催告通知后30日内仍未恢复施工的，承包人有权解除合同。</w:t>
      </w:r>
    </w:p>
    <w:p w14:paraId="5A189A5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（6）发包人无正当理由没有在约定期限内发出复工指示，导致承包人无法复工的违约责任：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工期相应顺延。停工持续超过84天的，承包人有权解除合同。</w:t>
      </w:r>
    </w:p>
    <w:p w14:paraId="0B3E06B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（7）其他：</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发包人违反本专用合同条款约定的其他义务的，由双方协商解决，协商不成的，按本合同第20条约定的方式处理。</w:t>
      </w:r>
    </w:p>
    <w:p w14:paraId="21CA476E">
      <w:pPr>
        <w:spacing w:line="360" w:lineRule="auto"/>
        <w:ind w:firstLine="420" w:firstLineChars="200"/>
        <w:jc w:val="left"/>
        <w:rPr>
          <w:color w:val="auto"/>
          <w:sz w:val="21"/>
          <w:szCs w:val="21"/>
          <w:highlight w:val="none"/>
        </w:rPr>
      </w:pPr>
      <w:r>
        <w:rPr>
          <w:color w:val="auto"/>
          <w:sz w:val="21"/>
          <w:szCs w:val="21"/>
          <w:highlight w:val="none"/>
        </w:rPr>
        <w:t>16.1.3</w:t>
      </w:r>
      <w:r>
        <w:rPr>
          <w:rFonts w:hint="eastAsia" w:hAnsi="宋体" w:cs="宋体"/>
          <w:color w:val="auto"/>
          <w:sz w:val="21"/>
          <w:szCs w:val="21"/>
          <w:highlight w:val="none"/>
        </w:rPr>
        <w:t>因发包人违约解除合同</w:t>
      </w:r>
    </w:p>
    <w:p w14:paraId="2C24CF7C">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承包人按</w:t>
      </w:r>
      <w:r>
        <w:rPr>
          <w:color w:val="auto"/>
          <w:kern w:val="0"/>
          <w:sz w:val="21"/>
          <w:szCs w:val="21"/>
          <w:highlight w:val="none"/>
        </w:rPr>
        <w:t>16.1.1</w:t>
      </w:r>
      <w:r>
        <w:rPr>
          <w:rFonts w:hint="eastAsia" w:hAnsi="宋体" w:cs="宋体"/>
          <w:color w:val="auto"/>
          <w:kern w:val="0"/>
          <w:sz w:val="21"/>
          <w:szCs w:val="21"/>
          <w:highlight w:val="none"/>
        </w:rPr>
        <w:t>项〔发包人违约的情形〕约定暂停施工满</w:t>
      </w:r>
      <w:r>
        <w:rPr>
          <w:rFonts w:hint="eastAsia"/>
          <w:color w:val="auto"/>
          <w:kern w:val="0"/>
          <w:sz w:val="21"/>
          <w:szCs w:val="21"/>
          <w:highlight w:val="none"/>
          <w:u w:val="single"/>
          <w:lang w:val="en-US" w:eastAsia="zh-CN"/>
        </w:rPr>
        <w:t>45</w:t>
      </w:r>
      <w:r>
        <w:rPr>
          <w:rFonts w:hint="eastAsia" w:hAnsi="宋体" w:cs="宋体"/>
          <w:color w:val="auto"/>
          <w:kern w:val="0"/>
          <w:sz w:val="21"/>
          <w:szCs w:val="21"/>
          <w:highlight w:val="none"/>
        </w:rPr>
        <w:t>天后发包人仍不纠正其违约行为并致使合同目的不能实现的，承包人有权解除合同。</w:t>
      </w:r>
    </w:p>
    <w:p w14:paraId="2E8EA8D4">
      <w:pPr>
        <w:pStyle w:val="4"/>
        <w:rPr>
          <w:color w:val="auto"/>
          <w:highlight w:val="none"/>
        </w:rPr>
      </w:pPr>
      <w:bookmarkStart w:id="1282" w:name="_Toc78449857"/>
      <w:bookmarkStart w:id="1283" w:name="_Toc247586342"/>
      <w:bookmarkStart w:id="1284" w:name="_Toc373227768"/>
      <w:bookmarkStart w:id="1285" w:name="_Toc389065333"/>
      <w:bookmarkStart w:id="1286" w:name="_Toc373478415"/>
      <w:bookmarkStart w:id="1287" w:name="_Toc61078193"/>
      <w:bookmarkStart w:id="1288" w:name="_Toc5634"/>
      <w:bookmarkStart w:id="1289" w:name="_Toc407135271"/>
      <w:r>
        <w:rPr>
          <w:color w:val="auto"/>
          <w:highlight w:val="none"/>
        </w:rPr>
        <w:t>16.2</w:t>
      </w:r>
      <w:r>
        <w:rPr>
          <w:rFonts w:hint="eastAsia" w:hAnsi="宋体" w:cs="黑体"/>
          <w:color w:val="auto"/>
          <w:highlight w:val="none"/>
        </w:rPr>
        <w:t>承包人违约</w:t>
      </w:r>
      <w:bookmarkEnd w:id="1282"/>
      <w:bookmarkEnd w:id="1283"/>
      <w:bookmarkEnd w:id="1284"/>
      <w:bookmarkEnd w:id="1285"/>
      <w:bookmarkEnd w:id="1286"/>
      <w:bookmarkEnd w:id="1287"/>
      <w:bookmarkEnd w:id="1288"/>
      <w:bookmarkEnd w:id="1289"/>
    </w:p>
    <w:p w14:paraId="1F8F4561">
      <w:pPr>
        <w:spacing w:line="360" w:lineRule="auto"/>
        <w:ind w:firstLine="400" w:firstLineChars="200"/>
        <w:jc w:val="left"/>
        <w:rPr>
          <w:color w:val="auto"/>
          <w:kern w:val="0"/>
          <w:highlight w:val="none"/>
        </w:rPr>
      </w:pPr>
      <w:r>
        <w:rPr>
          <w:color w:val="auto"/>
          <w:kern w:val="0"/>
          <w:highlight w:val="none"/>
        </w:rPr>
        <w:t>16.2.1</w:t>
      </w:r>
      <w:r>
        <w:rPr>
          <w:rFonts w:hint="eastAsia" w:hAnsi="宋体" w:cs="宋体"/>
          <w:color w:val="auto"/>
          <w:kern w:val="0"/>
          <w:highlight w:val="none"/>
        </w:rPr>
        <w:t>承包人违约的情形</w:t>
      </w:r>
    </w:p>
    <w:p w14:paraId="70A80EC8">
      <w:pPr>
        <w:pStyle w:val="20"/>
        <w:keepNext w:val="0"/>
        <w:keepLines w:val="0"/>
        <w:widowControl/>
        <w:suppressLineNumbers w:val="0"/>
        <w:shd w:val="clear" w:fill="FFFFFF"/>
        <w:spacing w:before="240" w:beforeAutospacing="0" w:after="240" w:afterAutospacing="0" w:line="360" w:lineRule="auto"/>
        <w:ind w:left="0" w:right="0" w:firstLine="420" w:firstLineChars="200"/>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b w:val="0"/>
          <w:bCs w:val="0"/>
          <w:color w:val="auto"/>
          <w:kern w:val="0"/>
          <w:sz w:val="21"/>
          <w:szCs w:val="21"/>
          <w:highlight w:val="none"/>
        </w:rPr>
        <w:t>承包人违约的其他情形：</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16.2.1项约定的承包人违约情形外，承包人存在以下情形之一的，亦构成违约：（1）承包人违反专用合同条款第3.2.1条约定，项目经理每月在施工现场的出勤天数少于当月日历天数80%的；（2）承包人违反专用合同条款第3.2.3条约定，未经发包人书面同意擅自更换项目经理的；（3）承包人违反专用合同条款第3.3.5条约定，未经发包人书面同意擅自更换项目技术负责人或专职安全生产管理人员的；（4）承包人违反专用合同条款第3.5.1条约定，将本工程进行分包或转包的；（5）</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承包人违反专用合同条款第6.1.4条约定</w:t>
      </w:r>
      <w:r>
        <w:rPr>
          <w:rStyle w:val="27"/>
          <w:rFonts w:hint="eastAsia" w:ascii="Segoe UI" w:hAnsi="Segoe UI" w:eastAsia="Segoe UI" w:cs="Segoe UI"/>
          <w:b w:val="0"/>
          <w:bCs w:val="0"/>
          <w:i w:val="0"/>
          <w:iCs w:val="0"/>
          <w:caps w:val="0"/>
          <w:color w:val="0F1115"/>
          <w:spacing w:val="0"/>
          <w:sz w:val="21"/>
          <w:szCs w:val="21"/>
          <w:highlight w:val="none"/>
          <w:u w:val="single"/>
          <w:shd w:val="clear" w:fill="FFFFFF"/>
          <w:lang w:eastAsia="zh-CN"/>
        </w:rPr>
        <w:t>，未按要求在施工危险区域设置安全警示标志标牌或未安排专人进行现场安全巡查的</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6）承包人违反专用合同条款第3.1条约定，未按时足额支付农民工工资或在施工现场发生农民工集体讨薪事件的；（7）承包人违反专用合同条款第6.1.5条约定，在村民夜间休息时段进行高噪音作业或未按要求落实扬尘防治措施，经监理人或发包人书面通知后仍不改正的；（8）承包人违反专用合同条款第6.1.6条约定，未将安全文明施工费专款专用的。</w:t>
      </w:r>
    </w:p>
    <w:p w14:paraId="60A29AD6">
      <w:pPr>
        <w:spacing w:line="360" w:lineRule="auto"/>
        <w:ind w:firstLine="420" w:firstLineChars="200"/>
        <w:jc w:val="left"/>
        <w:outlineLvl w:val="0"/>
        <w:rPr>
          <w:color w:val="auto"/>
          <w:kern w:val="0"/>
          <w:sz w:val="21"/>
          <w:szCs w:val="21"/>
          <w:highlight w:val="none"/>
        </w:rPr>
      </w:pPr>
      <w:bookmarkStart w:id="1290" w:name="_Toc6790"/>
      <w:r>
        <w:rPr>
          <w:color w:val="auto"/>
          <w:kern w:val="0"/>
          <w:sz w:val="21"/>
          <w:szCs w:val="21"/>
          <w:highlight w:val="none"/>
        </w:rPr>
        <w:t>16.2.2</w:t>
      </w:r>
      <w:r>
        <w:rPr>
          <w:rFonts w:hint="eastAsia" w:hAnsi="宋体" w:cs="宋体"/>
          <w:color w:val="auto"/>
          <w:kern w:val="0"/>
          <w:sz w:val="21"/>
          <w:szCs w:val="21"/>
          <w:highlight w:val="none"/>
        </w:rPr>
        <w:t>承包人违约的责任</w:t>
      </w:r>
      <w:bookmarkEnd w:id="1290"/>
    </w:p>
    <w:p w14:paraId="7217F6A1">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承包人违约责任的承担方式和计算方法：</w:t>
      </w:r>
    </w:p>
    <w:p w14:paraId="6CBC0AE9">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）条内容情形的，承包人无条件返工处理，修复至工程质量要求并承担相关费用，并在发包人规定的时间内完成返工，否则发包人有权扣罚该分项工程</w:t>
      </w:r>
      <w:r>
        <w:rPr>
          <w:color w:val="auto"/>
          <w:kern w:val="0"/>
          <w:sz w:val="21"/>
          <w:szCs w:val="21"/>
          <w:highlight w:val="none"/>
        </w:rPr>
        <w:t>10%</w:t>
      </w:r>
      <w:r>
        <w:rPr>
          <w:rFonts w:hint="eastAsia" w:hAnsi="宋体" w:cs="宋体"/>
          <w:color w:val="auto"/>
          <w:kern w:val="0"/>
          <w:sz w:val="21"/>
          <w:szCs w:val="21"/>
          <w:highlight w:val="none"/>
        </w:rPr>
        <w:t>的工程款作为处罚。</w:t>
      </w:r>
    </w:p>
    <w:p w14:paraId="2C27807C">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6</w:t>
      </w:r>
      <w:r>
        <w:rPr>
          <w:rFonts w:hint="eastAsia" w:hAnsi="宋体" w:cs="宋体"/>
          <w:color w:val="auto"/>
          <w:kern w:val="0"/>
          <w:sz w:val="21"/>
          <w:szCs w:val="21"/>
          <w:highlight w:val="none"/>
        </w:rPr>
        <w:t>）条情形的，或经监理人检验认为修复质量不合格而承包人拒绝再进行修补的，发包人将扣除承包人全部质量保证金。</w:t>
      </w:r>
    </w:p>
    <w:p w14:paraId="03515EC0">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）承包人有本专用合同条款</w:t>
      </w:r>
      <w:r>
        <w:rPr>
          <w:color w:val="auto"/>
          <w:kern w:val="0"/>
          <w:sz w:val="21"/>
          <w:szCs w:val="21"/>
          <w:highlight w:val="none"/>
        </w:rPr>
        <w:t>3.2</w:t>
      </w:r>
      <w:r>
        <w:rPr>
          <w:rFonts w:hint="eastAsia" w:hAnsi="宋体" w:cs="宋体"/>
          <w:color w:val="auto"/>
          <w:kern w:val="0"/>
          <w:sz w:val="21"/>
          <w:szCs w:val="21"/>
          <w:highlight w:val="none"/>
        </w:rPr>
        <w:t>、</w:t>
      </w:r>
      <w:r>
        <w:rPr>
          <w:color w:val="auto"/>
          <w:kern w:val="0"/>
          <w:sz w:val="21"/>
          <w:szCs w:val="21"/>
          <w:highlight w:val="none"/>
        </w:rPr>
        <w:t>3.3</w:t>
      </w:r>
      <w:r>
        <w:rPr>
          <w:rFonts w:hint="eastAsia" w:hAnsi="宋体" w:cs="宋体"/>
          <w:color w:val="auto"/>
          <w:kern w:val="0"/>
          <w:sz w:val="21"/>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24259B2B">
      <w:pPr>
        <w:spacing w:line="360" w:lineRule="auto"/>
        <w:ind w:firstLine="420" w:firstLineChars="200"/>
        <w:jc w:val="left"/>
        <w:rPr>
          <w:rFonts w:hAnsi="宋体"/>
          <w:color w:val="auto"/>
          <w:sz w:val="21"/>
          <w:szCs w:val="21"/>
          <w:highlight w:val="none"/>
        </w:rPr>
      </w:pPr>
      <w:r>
        <w:rPr>
          <w:color w:val="auto"/>
          <w:sz w:val="21"/>
          <w:szCs w:val="21"/>
          <w:highlight w:val="none"/>
        </w:rPr>
        <w:t>16.2.3</w:t>
      </w:r>
      <w:r>
        <w:rPr>
          <w:rFonts w:hint="eastAsia" w:hAnsi="宋体" w:cs="宋体"/>
          <w:color w:val="auto"/>
          <w:sz w:val="21"/>
          <w:szCs w:val="21"/>
          <w:highlight w:val="none"/>
        </w:rPr>
        <w:t>因承包人违约解除合同</w:t>
      </w:r>
    </w:p>
    <w:p w14:paraId="158EB8C5">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关于承包人违约解除合同的特别约定：</w:t>
      </w:r>
      <w:r>
        <w:rPr>
          <w:rFonts w:hint="eastAsia" w:hAnsi="宋体" w:cs="宋体"/>
          <w:color w:val="auto"/>
          <w:kern w:val="0"/>
          <w:sz w:val="21"/>
          <w:szCs w:val="21"/>
          <w:highlight w:val="none"/>
          <w:u w:val="single"/>
        </w:rPr>
        <w:t>承包人有违反以下情况之一的，发包人有权解除合同，并没收其全部履约保证金</w:t>
      </w:r>
      <w:r>
        <w:rPr>
          <w:rFonts w:hint="eastAsia" w:hAnsi="宋体" w:cs="宋体"/>
          <w:color w:val="auto"/>
          <w:kern w:val="0"/>
          <w:sz w:val="21"/>
          <w:szCs w:val="21"/>
          <w:highlight w:val="none"/>
        </w:rPr>
        <w:t>。</w:t>
      </w:r>
    </w:p>
    <w:p w14:paraId="6E41DF23">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(1)</w:t>
      </w:r>
      <w:r>
        <w:rPr>
          <w:rFonts w:hint="eastAsia" w:hAnsi="宋体" w:cs="宋体"/>
          <w:color w:val="auto"/>
          <w:kern w:val="0"/>
          <w:sz w:val="21"/>
          <w:szCs w:val="21"/>
          <w:highlight w:val="none"/>
        </w:rPr>
        <w:t>承包人无正当理由不按开工通知的要求及时进场组织施工和不按签订协议书时商定的进度计划有效地开展施工准备，造成工期延误的；</w:t>
      </w:r>
    </w:p>
    <w:p w14:paraId="176E6BD3">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(2)</w:t>
      </w:r>
      <w:r>
        <w:rPr>
          <w:rFonts w:hint="eastAsia" w:hAnsi="宋体" w:cs="宋体"/>
          <w:color w:val="auto"/>
          <w:kern w:val="0"/>
          <w:sz w:val="21"/>
          <w:szCs w:val="21"/>
          <w:highlight w:val="none"/>
        </w:rPr>
        <w:t>承包人违反本合同通用条款第</w:t>
      </w:r>
      <w:r>
        <w:rPr>
          <w:color w:val="auto"/>
          <w:kern w:val="0"/>
          <w:sz w:val="21"/>
          <w:szCs w:val="21"/>
          <w:highlight w:val="none"/>
        </w:rPr>
        <w:t>3.5</w:t>
      </w:r>
      <w:r>
        <w:rPr>
          <w:rFonts w:hint="eastAsia" w:hAnsi="宋体" w:cs="宋体"/>
          <w:color w:val="auto"/>
          <w:kern w:val="0"/>
          <w:sz w:val="21"/>
          <w:szCs w:val="21"/>
          <w:highlight w:val="none"/>
        </w:rPr>
        <w:t>条规定私自将合同或合同的任何部分或任何权利转让给其他人，或私自将工程或工程的一部分分包出去的；</w:t>
      </w:r>
    </w:p>
    <w:p w14:paraId="4F11E689">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(3)</w:t>
      </w:r>
      <w:r>
        <w:rPr>
          <w:rFonts w:hint="eastAsia" w:hAnsi="宋体" w:cs="宋体"/>
          <w:color w:val="auto"/>
          <w:kern w:val="0"/>
          <w:sz w:val="21"/>
          <w:szCs w:val="21"/>
          <w:highlight w:val="none"/>
        </w:rPr>
        <w:t>未经监理人批准，承包人私自将已按投标文件承诺进入工地的工程设备、施工设备、临时工程或材料撤离工地的；</w:t>
      </w:r>
    </w:p>
    <w:p w14:paraId="4E3B7AC3">
      <w:pPr>
        <w:spacing w:line="360" w:lineRule="auto"/>
        <w:ind w:firstLine="420" w:firstLineChars="200"/>
        <w:jc w:val="left"/>
        <w:rPr>
          <w:color w:val="auto"/>
          <w:kern w:val="0"/>
          <w:sz w:val="21"/>
          <w:szCs w:val="21"/>
          <w:highlight w:val="none"/>
        </w:rPr>
      </w:pPr>
      <w:r>
        <w:rPr>
          <w:color w:val="auto"/>
          <w:kern w:val="0"/>
          <w:sz w:val="21"/>
          <w:szCs w:val="21"/>
          <w:highlight w:val="none"/>
        </w:rPr>
        <w:t>(4)</w:t>
      </w:r>
      <w:r>
        <w:rPr>
          <w:rFonts w:hint="eastAsia" w:hAnsi="宋体" w:cs="宋体"/>
          <w:color w:val="auto"/>
          <w:kern w:val="0"/>
          <w:sz w:val="21"/>
          <w:szCs w:val="21"/>
          <w:highlight w:val="none"/>
        </w:rPr>
        <w:t>由于承包人原因拒绝按合同进度计划及时完成合同规定的工程，而又未采取有效措施赶上进度，造成工期严重延误的；</w:t>
      </w:r>
    </w:p>
    <w:p w14:paraId="4DD2E3FD">
      <w:pPr>
        <w:spacing w:line="360" w:lineRule="auto"/>
        <w:ind w:firstLine="420" w:firstLineChars="200"/>
        <w:rPr>
          <w:color w:val="auto"/>
          <w:kern w:val="0"/>
          <w:sz w:val="21"/>
          <w:szCs w:val="21"/>
          <w:highlight w:val="none"/>
        </w:rPr>
      </w:pPr>
      <w:r>
        <w:rPr>
          <w:color w:val="auto"/>
          <w:kern w:val="0"/>
          <w:sz w:val="21"/>
          <w:szCs w:val="21"/>
          <w:highlight w:val="none"/>
        </w:rPr>
        <w:t>(5)</w:t>
      </w:r>
      <w:r>
        <w:rPr>
          <w:rFonts w:hint="eastAsia" w:hAnsi="宋体" w:cs="宋体"/>
          <w:color w:val="auto"/>
          <w:kern w:val="0"/>
          <w:sz w:val="21"/>
          <w:szCs w:val="21"/>
          <w:highlight w:val="none"/>
        </w:rPr>
        <w:t>承包人否认合同有效或拒绝履行合同规定的承包人义务，或由于法律、财务等原因导致承包人无法继续履行或实质上已停止履行合同的义务的；</w:t>
      </w:r>
    </w:p>
    <w:p w14:paraId="700FB01D">
      <w:pPr>
        <w:spacing w:line="360" w:lineRule="auto"/>
        <w:ind w:firstLine="420" w:firstLineChars="200"/>
        <w:rPr>
          <w:color w:val="auto"/>
          <w:kern w:val="0"/>
          <w:sz w:val="21"/>
          <w:szCs w:val="21"/>
          <w:highlight w:val="none"/>
        </w:rPr>
      </w:pPr>
      <w:r>
        <w:rPr>
          <w:color w:val="auto"/>
          <w:kern w:val="0"/>
          <w:sz w:val="21"/>
          <w:szCs w:val="21"/>
          <w:highlight w:val="none"/>
        </w:rPr>
        <w:t>(6)</w:t>
      </w:r>
      <w:r>
        <w:rPr>
          <w:rFonts w:hint="eastAsia" w:hAnsi="宋体" w:cs="宋体"/>
          <w:color w:val="auto"/>
          <w:kern w:val="0"/>
          <w:sz w:val="21"/>
          <w:szCs w:val="21"/>
          <w:highlight w:val="none"/>
        </w:rPr>
        <w:t>合同签订</w:t>
      </w:r>
      <w:r>
        <w:rPr>
          <w:rFonts w:hint="eastAsia" w:ascii="仿宋_GB2312" w:hAnsi="宋体" w:cs="宋体"/>
          <w:color w:val="auto"/>
          <w:sz w:val="21"/>
          <w:szCs w:val="21"/>
          <w:highlight w:val="none"/>
        </w:rPr>
        <w:t>且具备法定开工条件后</w:t>
      </w:r>
      <w:r>
        <w:rPr>
          <w:rFonts w:hint="eastAsia" w:hAnsi="宋体" w:cs="宋体"/>
          <w:color w:val="auto"/>
          <w:kern w:val="0"/>
          <w:sz w:val="21"/>
          <w:szCs w:val="21"/>
          <w:highlight w:val="none"/>
        </w:rPr>
        <w:t>之日起十五日内，承包人无法按合同规定及投标文件的承诺进场经监理工程师认可的该</w:t>
      </w:r>
      <w:r>
        <w:rPr>
          <w:rFonts w:hAnsi="宋体" w:cs="宋体"/>
          <w:color w:val="auto"/>
          <w:kern w:val="0"/>
          <w:sz w:val="21"/>
          <w:szCs w:val="21"/>
          <w:highlight w:val="none"/>
        </w:rPr>
        <w:t>施工</w:t>
      </w:r>
      <w:r>
        <w:rPr>
          <w:rFonts w:hint="eastAsia" w:hAnsi="宋体" w:cs="宋体"/>
          <w:color w:val="auto"/>
          <w:kern w:val="0"/>
          <w:sz w:val="21"/>
          <w:szCs w:val="21"/>
          <w:highlight w:val="none"/>
        </w:rPr>
        <w:t>阶段</w:t>
      </w:r>
      <w:r>
        <w:rPr>
          <w:rFonts w:hAnsi="宋体" w:cs="宋体"/>
          <w:color w:val="auto"/>
          <w:kern w:val="0"/>
          <w:sz w:val="21"/>
          <w:szCs w:val="21"/>
          <w:highlight w:val="none"/>
        </w:rPr>
        <w:t>应有的</w:t>
      </w:r>
      <w:r>
        <w:rPr>
          <w:rFonts w:hint="eastAsia" w:hAnsi="宋体" w:cs="宋体"/>
          <w:color w:val="auto"/>
          <w:kern w:val="0"/>
          <w:sz w:val="21"/>
          <w:szCs w:val="21"/>
          <w:highlight w:val="none"/>
        </w:rPr>
        <w:t>全部人员和机械的。</w:t>
      </w:r>
    </w:p>
    <w:p w14:paraId="2F534463">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lang w:val="en-US" w:eastAsia="zh-CN"/>
        </w:rPr>
        <w:t>无</w:t>
      </w:r>
      <w:r>
        <w:rPr>
          <w:rFonts w:hint="eastAsia" w:hAnsi="宋体" w:cs="宋体"/>
          <w:color w:val="auto"/>
          <w:kern w:val="0"/>
          <w:sz w:val="21"/>
          <w:szCs w:val="21"/>
          <w:highlight w:val="none"/>
        </w:rPr>
        <w:t>。</w:t>
      </w:r>
    </w:p>
    <w:p w14:paraId="076020F4">
      <w:pPr>
        <w:pStyle w:val="3"/>
        <w:rPr>
          <w:rFonts w:hint="eastAsia" w:eastAsia="黑体"/>
          <w:color w:val="auto"/>
          <w:highlight w:val="none"/>
          <w:lang w:eastAsia="zh-CN"/>
        </w:rPr>
      </w:pPr>
      <w:bookmarkStart w:id="1291" w:name="_Toc373478416"/>
      <w:bookmarkStart w:id="1292" w:name="_Toc407135272"/>
      <w:bookmarkStart w:id="1293" w:name="_Toc373227769"/>
      <w:bookmarkStart w:id="1294" w:name="_Toc1753556740"/>
      <w:bookmarkStart w:id="1295" w:name="_Toc351203649"/>
      <w:bookmarkStart w:id="1296" w:name="_Toc78449858"/>
      <w:bookmarkStart w:id="1297" w:name="_Toc389065334"/>
      <w:bookmarkStart w:id="1298" w:name="_Toc24335"/>
      <w:bookmarkStart w:id="1299" w:name="_Toc1117922953"/>
      <w:r>
        <w:rPr>
          <w:color w:val="auto"/>
          <w:highlight w:val="none"/>
        </w:rPr>
        <w:t>17.</w:t>
      </w:r>
      <w:r>
        <w:rPr>
          <w:rFonts w:hint="eastAsia" w:hAnsi="宋体" w:cs="黑体"/>
          <w:color w:val="auto"/>
          <w:highlight w:val="none"/>
        </w:rPr>
        <w:t>不可抗力</w:t>
      </w:r>
      <w:bookmarkEnd w:id="1271"/>
      <w:bookmarkEnd w:id="1291"/>
      <w:bookmarkEnd w:id="1292"/>
      <w:bookmarkEnd w:id="1293"/>
      <w:bookmarkEnd w:id="1294"/>
      <w:bookmarkEnd w:id="1295"/>
      <w:bookmarkEnd w:id="1296"/>
      <w:bookmarkEnd w:id="1297"/>
      <w:bookmarkEnd w:id="1298"/>
      <w:bookmarkEnd w:id="1299"/>
    </w:p>
    <w:p w14:paraId="103EA06F">
      <w:pPr>
        <w:pStyle w:val="4"/>
        <w:rPr>
          <w:color w:val="auto"/>
          <w:highlight w:val="none"/>
        </w:rPr>
      </w:pPr>
      <w:bookmarkStart w:id="1300" w:name="_Toc389065335"/>
      <w:bookmarkStart w:id="1301" w:name="_Toc429574049"/>
      <w:bookmarkStart w:id="1302" w:name="_Toc666312941"/>
      <w:bookmarkStart w:id="1303" w:name="_Toc373227770"/>
      <w:bookmarkStart w:id="1304" w:name="_Toc407135273"/>
      <w:bookmarkStart w:id="1305" w:name="_Toc28777"/>
      <w:bookmarkStart w:id="1306" w:name="_Toc373478417"/>
      <w:bookmarkStart w:id="1307" w:name="_Toc78449859"/>
      <w:r>
        <w:rPr>
          <w:color w:val="auto"/>
          <w:highlight w:val="none"/>
        </w:rPr>
        <w:t>17.1</w:t>
      </w:r>
      <w:r>
        <w:rPr>
          <w:rFonts w:hint="eastAsia" w:cs="黑体"/>
          <w:color w:val="auto"/>
          <w:highlight w:val="none"/>
        </w:rPr>
        <w:t>不可抗力的确认</w:t>
      </w:r>
      <w:bookmarkEnd w:id="1300"/>
      <w:bookmarkEnd w:id="1301"/>
      <w:bookmarkEnd w:id="1302"/>
      <w:bookmarkEnd w:id="1303"/>
      <w:bookmarkEnd w:id="1304"/>
      <w:bookmarkEnd w:id="1305"/>
      <w:bookmarkEnd w:id="1306"/>
      <w:bookmarkEnd w:id="1307"/>
    </w:p>
    <w:p w14:paraId="413500B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除通用合同条款约定的不可抗力事件之外，视为不可抗力的其他情形：</w:t>
      </w:r>
    </w:p>
    <w:p w14:paraId="1FB09D02">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（1）6级及6级以上地震（以地震管理部门发布的数据为准）；</w:t>
      </w:r>
    </w:p>
    <w:p w14:paraId="471B03EE">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（2）8级及8级以上大风（以当地气象部门发布的预警信号或实测数据为准）；</w:t>
      </w:r>
    </w:p>
    <w:p w14:paraId="67B12FB7">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（3）暴雨红色预警信号生效期间（以当地气象部门发布的气象灾害预警信号为准）；</w:t>
      </w:r>
    </w:p>
    <w:p w14:paraId="79BCFF3F">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color w:val="auto"/>
          <w:kern w:val="0"/>
          <w:sz w:val="21"/>
          <w:szCs w:val="21"/>
          <w:highlight w:val="none"/>
          <w:u w:val="single"/>
        </w:rPr>
        <w:t>（4）高温红色预警信号生效期间（以当地气象部门发布的气象灾害预警信号为准），即24小时内最高气温将升至40℃以上；</w:t>
      </w:r>
    </w:p>
    <w:p w14:paraId="1EB2326D">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（5）25年以上未发生过的洪水（以水文管理部门发布的数据为准）；</w:t>
      </w:r>
    </w:p>
    <w:p w14:paraId="0A0E58BF">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（6）政府指令性停工（以县级及以上人民政府或其行政主管部门发布的正式文件为准）；</w:t>
      </w:r>
    </w:p>
    <w:p w14:paraId="6FCCC3CC">
      <w:pPr>
        <w:spacing w:line="360" w:lineRule="auto"/>
        <w:ind w:firstLine="420" w:firstLineChars="200"/>
        <w:jc w:val="left"/>
        <w:rPr>
          <w:rFonts w:hint="eastAsia"/>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（7）在</w:t>
      </w:r>
      <w:r>
        <w:rPr>
          <w:rFonts w:hint="eastAsia" w:ascii="Times New Roman" w:hAnsi="Times New Roman" w:eastAsia="宋体" w:cs="Times New Roman"/>
          <w:color w:val="auto"/>
          <w:kern w:val="0"/>
          <w:sz w:val="21"/>
          <w:szCs w:val="21"/>
          <w:highlight w:val="none"/>
          <w:u w:val="single"/>
          <w:lang w:val="en-US" w:eastAsia="zh-CN"/>
        </w:rPr>
        <w:t>施工现场如</w:t>
      </w:r>
      <w:r>
        <w:rPr>
          <w:rFonts w:hint="default" w:ascii="Times New Roman" w:hAnsi="Times New Roman" w:eastAsia="宋体" w:cs="Times New Roman"/>
          <w:color w:val="auto"/>
          <w:kern w:val="0"/>
          <w:sz w:val="21"/>
          <w:szCs w:val="21"/>
          <w:highlight w:val="none"/>
          <w:u w:val="single"/>
        </w:rPr>
        <w:t>有重大活动或突发公共卫生</w:t>
      </w:r>
      <w:r>
        <w:rPr>
          <w:rFonts w:hint="default" w:eastAsia="宋体"/>
          <w:color w:val="auto"/>
          <w:kern w:val="0"/>
          <w:sz w:val="21"/>
          <w:szCs w:val="21"/>
          <w:highlight w:val="none"/>
          <w:u w:val="single"/>
        </w:rPr>
        <w:t>事件，经发包人书面同意须暂停施工的</w:t>
      </w:r>
      <w:r>
        <w:rPr>
          <w:rFonts w:hint="eastAsia"/>
          <w:color w:val="auto"/>
          <w:kern w:val="0"/>
          <w:sz w:val="21"/>
          <w:szCs w:val="21"/>
          <w:highlight w:val="none"/>
          <w:u w:val="single"/>
        </w:rPr>
        <w:t>。</w:t>
      </w:r>
    </w:p>
    <w:p w14:paraId="3532987F">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上述情形发生后，承包人应立即通知发包人和监理人，并在该情形发生后7日内提交书面确认报告及证明材料。因上述不可抗力造成的工期延误，应按本合同通用合同条款第17.3款的约定处理。</w:t>
      </w:r>
    </w:p>
    <w:p w14:paraId="7D20D572">
      <w:pPr>
        <w:pStyle w:val="4"/>
        <w:rPr>
          <w:color w:val="auto"/>
          <w:highlight w:val="none"/>
        </w:rPr>
      </w:pPr>
      <w:bookmarkStart w:id="1308" w:name="_Toc24555"/>
      <w:bookmarkStart w:id="1309" w:name="_Toc389065336"/>
      <w:bookmarkStart w:id="1310" w:name="_Toc78449860"/>
      <w:bookmarkStart w:id="1311" w:name="_Toc373478418"/>
      <w:bookmarkStart w:id="1312" w:name="_Toc373227771"/>
      <w:bookmarkStart w:id="1313" w:name="_Toc407135274"/>
      <w:bookmarkStart w:id="1314" w:name="_Toc1951449751"/>
      <w:bookmarkStart w:id="1315" w:name="_Toc658729758"/>
      <w:r>
        <w:rPr>
          <w:color w:val="auto"/>
          <w:highlight w:val="none"/>
        </w:rPr>
        <w:t>17.4</w:t>
      </w:r>
      <w:r>
        <w:rPr>
          <w:rFonts w:hint="eastAsia" w:cs="黑体"/>
          <w:color w:val="auto"/>
          <w:highlight w:val="none"/>
        </w:rPr>
        <w:t>因不可抗力解除合同</w:t>
      </w:r>
      <w:bookmarkEnd w:id="1308"/>
      <w:bookmarkEnd w:id="1309"/>
      <w:bookmarkEnd w:id="1310"/>
      <w:bookmarkEnd w:id="1311"/>
      <w:bookmarkEnd w:id="1312"/>
      <w:bookmarkEnd w:id="1313"/>
      <w:bookmarkEnd w:id="1314"/>
      <w:bookmarkEnd w:id="1315"/>
    </w:p>
    <w:p w14:paraId="14CF40B8">
      <w:pPr>
        <w:spacing w:line="360" w:lineRule="auto"/>
        <w:ind w:firstLine="400" w:firstLineChars="200"/>
        <w:jc w:val="left"/>
        <w:rPr>
          <w:color w:val="auto"/>
          <w:highlight w:val="none"/>
        </w:rPr>
      </w:pPr>
      <w:r>
        <w:rPr>
          <w:rFonts w:hint="eastAsia" w:hAnsi="宋体" w:cs="宋体"/>
          <w:color w:val="auto"/>
          <w:highlight w:val="none"/>
        </w:rPr>
        <w:t>合同解除后，发包人应在商定或确定发包人应支付款项后</w:t>
      </w:r>
      <w:r>
        <w:rPr>
          <w:rFonts w:hint="eastAsia"/>
          <w:color w:val="auto"/>
          <w:highlight w:val="none"/>
          <w:u w:val="single"/>
          <w:lang w:val="en-US" w:eastAsia="zh-CN"/>
        </w:rPr>
        <w:t>28</w:t>
      </w:r>
      <w:r>
        <w:rPr>
          <w:rFonts w:hint="eastAsia" w:hAnsi="宋体" w:cs="宋体"/>
          <w:color w:val="auto"/>
          <w:highlight w:val="none"/>
        </w:rPr>
        <w:t>天内完成款项的支付。</w:t>
      </w:r>
    </w:p>
    <w:p w14:paraId="6339EA35">
      <w:pPr>
        <w:pStyle w:val="3"/>
        <w:rPr>
          <w:color w:val="auto"/>
          <w:highlight w:val="none"/>
        </w:rPr>
      </w:pPr>
      <w:bookmarkStart w:id="1316" w:name="_Toc78449861"/>
      <w:bookmarkStart w:id="1317" w:name="_Toc56822299"/>
      <w:bookmarkStart w:id="1318" w:name="_Toc612072600"/>
      <w:bookmarkStart w:id="1319" w:name="_Toc389065337"/>
      <w:bookmarkStart w:id="1320" w:name="_Toc407135275"/>
      <w:bookmarkStart w:id="1321" w:name="_Toc9573"/>
      <w:bookmarkStart w:id="1322" w:name="_Toc351203650"/>
      <w:bookmarkStart w:id="1323" w:name="_Toc373227772"/>
      <w:bookmarkStart w:id="1324" w:name="_Toc373478419"/>
      <w:r>
        <w:rPr>
          <w:color w:val="auto"/>
          <w:highlight w:val="none"/>
        </w:rPr>
        <w:t>18.</w:t>
      </w:r>
      <w:r>
        <w:rPr>
          <w:rFonts w:hint="eastAsia" w:hAnsi="宋体" w:cs="黑体"/>
          <w:color w:val="auto"/>
          <w:highlight w:val="none"/>
        </w:rPr>
        <w:t>保险</w:t>
      </w:r>
      <w:bookmarkEnd w:id="1316"/>
      <w:bookmarkEnd w:id="1317"/>
      <w:bookmarkEnd w:id="1318"/>
      <w:bookmarkEnd w:id="1319"/>
      <w:bookmarkEnd w:id="1320"/>
      <w:bookmarkEnd w:id="1321"/>
      <w:bookmarkEnd w:id="1322"/>
      <w:bookmarkEnd w:id="1323"/>
      <w:bookmarkEnd w:id="1324"/>
    </w:p>
    <w:bookmarkEnd w:id="1272"/>
    <w:p w14:paraId="4DFE4BEC">
      <w:pPr>
        <w:pStyle w:val="4"/>
        <w:rPr>
          <w:color w:val="auto"/>
          <w:highlight w:val="none"/>
        </w:rPr>
      </w:pPr>
      <w:bookmarkStart w:id="1325" w:name="_Toc373227773"/>
      <w:bookmarkStart w:id="1326" w:name="_Toc389065338"/>
      <w:bookmarkStart w:id="1327" w:name="_Toc1446953302"/>
      <w:bookmarkStart w:id="1328" w:name="_Toc2075285517"/>
      <w:bookmarkStart w:id="1329" w:name="_Toc407135276"/>
      <w:bookmarkStart w:id="1330" w:name="_Toc373478420"/>
      <w:bookmarkStart w:id="1331" w:name="_Toc23783"/>
      <w:bookmarkStart w:id="1332" w:name="_Toc78449862"/>
      <w:r>
        <w:rPr>
          <w:color w:val="auto"/>
          <w:highlight w:val="none"/>
        </w:rPr>
        <w:t>18.1</w:t>
      </w:r>
      <w:r>
        <w:rPr>
          <w:rFonts w:hint="eastAsia" w:hAnsi="宋体" w:cs="黑体"/>
          <w:color w:val="auto"/>
          <w:highlight w:val="none"/>
        </w:rPr>
        <w:t>工程保险</w:t>
      </w:r>
      <w:bookmarkEnd w:id="1325"/>
      <w:bookmarkEnd w:id="1326"/>
      <w:bookmarkEnd w:id="1327"/>
      <w:bookmarkEnd w:id="1328"/>
      <w:bookmarkEnd w:id="1329"/>
      <w:bookmarkEnd w:id="1330"/>
      <w:bookmarkEnd w:id="1331"/>
      <w:bookmarkEnd w:id="1332"/>
    </w:p>
    <w:p w14:paraId="66909AD1">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关于工程保险的特别约定：</w:t>
      </w:r>
      <w:r>
        <w:rPr>
          <w:rFonts w:hint="default" w:ascii="Times New Roman" w:hAnsi="Times New Roman" w:eastAsia="宋体" w:cs="Times New Roman"/>
          <w:color w:val="auto"/>
          <w:kern w:val="2"/>
          <w:sz w:val="21"/>
          <w:szCs w:val="21"/>
          <w:highlight w:val="none"/>
          <w:u w:val="single"/>
          <w:lang w:val="en-US" w:eastAsia="zh-CN" w:bidi="ar-SA"/>
        </w:rPr>
        <w:t>发包人不另行支付。建筑工程一切险及第三者责任险的保险期限自开工之日起至工程竣工验收合格之日止（不少于本合同约定的工期总日历天数）。因承包人原因导致工期延误的，承包人应自行办理保险期限延展手续并承担相应费用；因非承包人原因导致工期延误的，保险期限延展费用由发包人承担。</w:t>
      </w:r>
    </w:p>
    <w:p w14:paraId="2975FE0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承包人应在开工前将已生效的保险单副本提交给发包人和监理人备案。保险单中的被保险人应为发包人和承包人，保险赔偿金应专项用于修复或重建受损工程，第三者责任险的赔偿金应首先用于赔偿受损的第三方。承包人未按约定投保或未维持保险有效的，发包人有权代其投保并从应付工程款中直接扣除相应费用。</w:t>
      </w:r>
    </w:p>
    <w:p w14:paraId="26EBB030">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建筑工程一切险及第三者责任险的免赔额由承包人承担。承包人应加强对分包人的保险管理，确保分包工程对应的保险范围无保障断档。</w:t>
      </w:r>
    </w:p>
    <w:p w14:paraId="7810737E">
      <w:pPr>
        <w:pStyle w:val="4"/>
        <w:rPr>
          <w:color w:val="auto"/>
          <w:highlight w:val="none"/>
        </w:rPr>
      </w:pPr>
      <w:bookmarkStart w:id="1333" w:name="_Toc407135277"/>
      <w:bookmarkStart w:id="1334" w:name="_Toc389065339"/>
      <w:bookmarkStart w:id="1335" w:name="_Toc78449863"/>
      <w:bookmarkStart w:id="1336" w:name="_Toc373227774"/>
      <w:bookmarkStart w:id="1337" w:name="_Toc2001387503"/>
      <w:bookmarkStart w:id="1338" w:name="_Toc4803"/>
      <w:bookmarkStart w:id="1339" w:name="_Toc373478421"/>
      <w:bookmarkStart w:id="1340" w:name="_Toc454766369"/>
      <w:r>
        <w:rPr>
          <w:color w:val="auto"/>
          <w:highlight w:val="none"/>
        </w:rPr>
        <w:t>18.3</w:t>
      </w:r>
      <w:r>
        <w:rPr>
          <w:rFonts w:hint="eastAsia" w:hAnsi="宋体" w:cs="黑体"/>
          <w:color w:val="auto"/>
          <w:highlight w:val="none"/>
        </w:rPr>
        <w:t>其他保险</w:t>
      </w:r>
      <w:bookmarkEnd w:id="1333"/>
      <w:bookmarkEnd w:id="1334"/>
      <w:bookmarkEnd w:id="1335"/>
      <w:bookmarkEnd w:id="1336"/>
      <w:bookmarkEnd w:id="1337"/>
      <w:bookmarkEnd w:id="1338"/>
      <w:bookmarkEnd w:id="1339"/>
      <w:bookmarkEnd w:id="1340"/>
    </w:p>
    <w:p w14:paraId="52A946E6">
      <w:pPr>
        <w:spacing w:line="360" w:lineRule="auto"/>
        <w:ind w:firstLine="420" w:firstLineChars="200"/>
        <w:jc w:val="left"/>
        <w:rPr>
          <w:rFonts w:hint="eastAsia" w:hAnsi="宋体"/>
          <w:color w:val="auto"/>
          <w:sz w:val="21"/>
          <w:szCs w:val="21"/>
          <w:highlight w:val="none"/>
          <w:u w:val="single"/>
        </w:rPr>
      </w:pPr>
      <w:r>
        <w:rPr>
          <w:rFonts w:hint="eastAsia" w:hAnsi="宋体" w:cs="宋体"/>
          <w:color w:val="auto"/>
          <w:sz w:val="21"/>
          <w:szCs w:val="21"/>
          <w:highlight w:val="none"/>
        </w:rPr>
        <w:t>关于其他保险的约定：</w:t>
      </w:r>
      <w:r>
        <w:rPr>
          <w:rFonts w:hint="eastAsia" w:hAnsi="宋体"/>
          <w:color w:val="auto"/>
          <w:sz w:val="21"/>
          <w:szCs w:val="21"/>
          <w:highlight w:val="none"/>
          <w:u w:val="single"/>
        </w:rPr>
        <w:t>本工程除专用合同条款第18.1条约定的建筑工程一切险及第三者责任险外，承包人还应办理以下保险：</w:t>
      </w:r>
    </w:p>
    <w:p w14:paraId="4DD8BFCB">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（1）工伤保险：承包人应依法为其派驻到本工程施工现场的全部管理人员及作业人员办理工伤保险，保险费由承包人承担，保险期限覆盖本合同施工期间。</w:t>
      </w:r>
    </w:p>
    <w:p w14:paraId="7E9DA306">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2）安全生产责任保险：承包人应按照《中华人民共和国安全生产法》第五十一条的规定，投保安全生产责任保险，保险费由承包人承担。安全生产责任保险的保障范围应覆盖本工程施工期间因生产安全事故造成的人员伤亡、医疗费用及第三者责任赔偿等相关经济损失。</w:t>
      </w:r>
    </w:p>
    <w:p w14:paraId="3821B466">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3）鼓励承包人根据自身风险管理需要，为其派驻到本工程施工现场的施工作业人员办理建筑施工人员团体意外伤害保险，该保险属于承包人的自愿商业保险行为，不免除承包人为其施工人员办理工伤保险的法定义务。</w:t>
      </w:r>
    </w:p>
    <w:p w14:paraId="5A2AE7E6">
      <w:pPr>
        <w:spacing w:line="360" w:lineRule="auto"/>
        <w:ind w:firstLine="420" w:firstLineChars="200"/>
        <w:jc w:val="left"/>
        <w:rPr>
          <w:color w:val="auto"/>
          <w:kern w:val="0"/>
          <w:sz w:val="21"/>
          <w:szCs w:val="21"/>
          <w:highlight w:val="none"/>
        </w:rPr>
      </w:pPr>
      <w:r>
        <w:rPr>
          <w:rFonts w:hint="eastAsia" w:hAnsi="宋体"/>
          <w:color w:val="auto"/>
          <w:sz w:val="21"/>
          <w:szCs w:val="21"/>
          <w:highlight w:val="none"/>
          <w:u w:val="single"/>
        </w:rPr>
        <w:t>承包人应在开工前将上述保险的生效保单副本提交发包人和监理人备案。承包人未按约定投保或未维持保险有效的，发包人有权代其投保并从应付工程款中直接扣除相应费用。</w:t>
      </w:r>
    </w:p>
    <w:p w14:paraId="2064FF67">
      <w:pPr>
        <w:spacing w:line="360" w:lineRule="auto"/>
        <w:ind w:firstLine="420" w:firstLineChars="200"/>
        <w:jc w:val="left"/>
        <w:rPr>
          <w:color w:val="auto"/>
          <w:highlight w:val="none"/>
          <w:u w:val="single"/>
        </w:rPr>
      </w:pPr>
      <w:r>
        <w:rPr>
          <w:rFonts w:hint="eastAsia" w:hAnsi="宋体" w:cs="宋体"/>
          <w:color w:val="auto"/>
          <w:sz w:val="21"/>
          <w:szCs w:val="21"/>
          <w:highlight w:val="none"/>
        </w:rPr>
        <w:t>承包人是否应为其施工设备等办理财产保险：</w:t>
      </w:r>
      <w:r>
        <w:rPr>
          <w:rFonts w:hint="eastAsia"/>
          <w:color w:val="auto"/>
          <w:sz w:val="21"/>
          <w:szCs w:val="21"/>
          <w:highlight w:val="none"/>
          <w:u w:val="single"/>
        </w:rPr>
        <w:t>由承包人自行决定。本工程所需全部施工机械设备均由承包人自行配备（见专用合同条款第8.8.2条），施工设备的毁损灭失风险由承包人自行承担。承包人可根据自身风险管理需要，自行决定是否为其施工设备、周转材料等办理财产保险，费用由承包人自行承担。承包人未办理施工设备财产保险的，施工期间发生的施工设备毁损灭失及因施工设备事故造成的损失，由承包人自行承担。</w:t>
      </w:r>
      <w:r>
        <w:rPr>
          <w:rFonts w:hint="eastAsia" w:hAnsi="宋体" w:cs="宋体"/>
          <w:color w:val="auto"/>
          <w:highlight w:val="none"/>
        </w:rPr>
        <w:t>。</w:t>
      </w:r>
    </w:p>
    <w:p w14:paraId="17F2964C">
      <w:pPr>
        <w:pStyle w:val="4"/>
        <w:rPr>
          <w:color w:val="auto"/>
          <w:highlight w:val="none"/>
        </w:rPr>
      </w:pPr>
      <w:bookmarkStart w:id="1341" w:name="_Toc373478422"/>
      <w:bookmarkStart w:id="1342" w:name="_Toc407135278"/>
      <w:bookmarkStart w:id="1343" w:name="_Toc373227775"/>
      <w:bookmarkStart w:id="1344" w:name="_Toc2102614655"/>
      <w:bookmarkStart w:id="1345" w:name="_Toc1114527236"/>
      <w:bookmarkStart w:id="1346" w:name="_Toc78449864"/>
      <w:bookmarkStart w:id="1347" w:name="_Toc16249"/>
      <w:bookmarkStart w:id="1348" w:name="_Toc389065340"/>
      <w:r>
        <w:rPr>
          <w:color w:val="auto"/>
          <w:highlight w:val="none"/>
        </w:rPr>
        <w:t>18.7</w:t>
      </w:r>
      <w:r>
        <w:rPr>
          <w:rFonts w:hint="eastAsia" w:hAnsi="宋体" w:cs="黑体"/>
          <w:color w:val="auto"/>
          <w:highlight w:val="none"/>
        </w:rPr>
        <w:t>通知义务</w:t>
      </w:r>
      <w:bookmarkEnd w:id="1341"/>
      <w:bookmarkEnd w:id="1342"/>
      <w:bookmarkEnd w:id="1343"/>
      <w:bookmarkEnd w:id="1344"/>
      <w:bookmarkEnd w:id="1345"/>
      <w:bookmarkEnd w:id="1346"/>
      <w:bookmarkEnd w:id="1347"/>
      <w:bookmarkEnd w:id="1348"/>
    </w:p>
    <w:p w14:paraId="29DB88DD">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关于变更保险合同时的通知义务的约定：</w:t>
      </w:r>
      <w:r>
        <w:rPr>
          <w:rFonts w:hint="eastAsia"/>
          <w:color w:val="auto"/>
          <w:sz w:val="21"/>
          <w:szCs w:val="21"/>
          <w:highlight w:val="none"/>
          <w:u w:val="single"/>
        </w:rPr>
        <w:t>承包人变更或解除专用合同条款第18.1条及第18.3条约定的保险合同的，应在变更或解除前7日内书面通知发包人和监理人，并说明变更或解除的原因、拟调整的保险范围及替代保险方案（如有）。因承包人未按约定通知或未及时续保、变更导致保险断档或保障不足，由此产生的损失由承包人自行承担，发包人有权代其投保并从应付工程款中直接扣除相应费用。因非承包人原因导致保险合同变更或提前终止的，承包人应在接到保险人通知后3日内书面通知发包人和监理人，由此增加的合理保险费由发包人承担。</w:t>
      </w:r>
      <w:r>
        <w:rPr>
          <w:rFonts w:hint="eastAsia" w:hAnsi="宋体" w:cs="宋体"/>
          <w:color w:val="auto"/>
          <w:sz w:val="21"/>
          <w:szCs w:val="21"/>
          <w:highlight w:val="none"/>
        </w:rPr>
        <w:t>。</w:t>
      </w:r>
    </w:p>
    <w:bookmarkEnd w:id="1213"/>
    <w:bookmarkEnd w:id="1214"/>
    <w:bookmarkEnd w:id="1215"/>
    <w:bookmarkEnd w:id="1216"/>
    <w:bookmarkEnd w:id="1217"/>
    <w:bookmarkEnd w:id="1218"/>
    <w:bookmarkEnd w:id="1219"/>
    <w:bookmarkEnd w:id="1220"/>
    <w:bookmarkEnd w:id="1221"/>
    <w:bookmarkEnd w:id="1222"/>
    <w:bookmarkEnd w:id="1223"/>
    <w:bookmarkEnd w:id="1224"/>
    <w:p w14:paraId="7D65B3E3">
      <w:pPr>
        <w:pStyle w:val="3"/>
        <w:rPr>
          <w:color w:val="auto"/>
          <w:highlight w:val="none"/>
        </w:rPr>
      </w:pPr>
      <w:bookmarkStart w:id="1349" w:name="_Toc25641"/>
      <w:bookmarkStart w:id="1350" w:name="_Toc373478423"/>
      <w:bookmarkStart w:id="1351" w:name="_Toc407135279"/>
      <w:bookmarkStart w:id="1352" w:name="_Toc389065341"/>
      <w:bookmarkStart w:id="1353" w:name="_Toc1959910599"/>
      <w:bookmarkStart w:id="1354" w:name="_Toc351203651"/>
      <w:bookmarkStart w:id="1355" w:name="_Toc373227776"/>
      <w:bookmarkStart w:id="1356" w:name="_Toc78449865"/>
      <w:bookmarkStart w:id="1357" w:name="_Toc1430568476"/>
      <w:r>
        <w:rPr>
          <w:color w:val="auto"/>
          <w:highlight w:val="none"/>
        </w:rPr>
        <w:t>20.</w:t>
      </w:r>
      <w:r>
        <w:rPr>
          <w:rFonts w:hint="eastAsia" w:hAnsi="宋体" w:cs="黑体"/>
          <w:color w:val="auto"/>
          <w:highlight w:val="none"/>
        </w:rPr>
        <w:t>争议解决</w:t>
      </w:r>
      <w:bookmarkEnd w:id="1349"/>
      <w:bookmarkEnd w:id="1350"/>
      <w:bookmarkEnd w:id="1351"/>
      <w:bookmarkEnd w:id="1352"/>
      <w:bookmarkEnd w:id="1353"/>
      <w:bookmarkEnd w:id="1354"/>
      <w:bookmarkEnd w:id="1355"/>
      <w:bookmarkEnd w:id="1356"/>
      <w:bookmarkEnd w:id="1357"/>
    </w:p>
    <w:bookmarkEnd w:id="1225"/>
    <w:bookmarkEnd w:id="1226"/>
    <w:p w14:paraId="22975FD0">
      <w:pPr>
        <w:pStyle w:val="4"/>
        <w:rPr>
          <w:color w:val="auto"/>
          <w:highlight w:val="none"/>
        </w:rPr>
      </w:pPr>
      <w:bookmarkStart w:id="1358" w:name="_Toc407135280"/>
      <w:bookmarkStart w:id="1359" w:name="_Toc29840"/>
      <w:bookmarkStart w:id="1360" w:name="_Toc373227777"/>
      <w:bookmarkStart w:id="1361" w:name="_Toc389065342"/>
      <w:bookmarkStart w:id="1362" w:name="_Toc2138124043"/>
      <w:bookmarkStart w:id="1363" w:name="_Toc373478424"/>
      <w:bookmarkStart w:id="1364" w:name="_Toc78449866"/>
      <w:bookmarkStart w:id="1365" w:name="_Toc1645489822"/>
      <w:r>
        <w:rPr>
          <w:color w:val="auto"/>
          <w:highlight w:val="none"/>
        </w:rPr>
        <w:t>20.3</w:t>
      </w:r>
      <w:r>
        <w:rPr>
          <w:rFonts w:hint="eastAsia" w:hAnsi="宋体" w:cs="黑体"/>
          <w:color w:val="auto"/>
          <w:highlight w:val="none"/>
        </w:rPr>
        <w:t>争</w:t>
      </w:r>
      <w:bookmarkEnd w:id="1227"/>
      <w:r>
        <w:rPr>
          <w:rFonts w:hint="eastAsia" w:hAnsi="宋体" w:cs="黑体"/>
          <w:color w:val="auto"/>
          <w:highlight w:val="none"/>
        </w:rPr>
        <w:t>议评审</w:t>
      </w:r>
      <w:bookmarkEnd w:id="1358"/>
      <w:bookmarkEnd w:id="1359"/>
      <w:bookmarkEnd w:id="1360"/>
      <w:bookmarkEnd w:id="1361"/>
      <w:bookmarkEnd w:id="1362"/>
      <w:bookmarkEnd w:id="1363"/>
      <w:bookmarkEnd w:id="1364"/>
      <w:bookmarkEnd w:id="1365"/>
    </w:p>
    <w:p w14:paraId="386CBCEF">
      <w:pPr>
        <w:spacing w:line="360" w:lineRule="auto"/>
        <w:ind w:left="142" w:leftChars="71" w:firstLine="315" w:firstLineChars="150"/>
        <w:jc w:val="left"/>
        <w:rPr>
          <w:color w:val="auto"/>
          <w:sz w:val="21"/>
          <w:szCs w:val="21"/>
          <w:highlight w:val="none"/>
          <w:u w:val="single"/>
        </w:rPr>
      </w:pPr>
      <w:r>
        <w:rPr>
          <w:rFonts w:hint="eastAsia" w:hAnsi="宋体" w:cs="宋体"/>
          <w:color w:val="auto"/>
          <w:sz w:val="21"/>
          <w:szCs w:val="21"/>
          <w:highlight w:val="none"/>
        </w:rPr>
        <w:t>合同当事人是否同意将工程争议提交争议评审小组决定：</w:t>
      </w:r>
      <w:r>
        <w:rPr>
          <w:rFonts w:hint="eastAsia"/>
          <w:color w:val="auto"/>
          <w:sz w:val="21"/>
          <w:szCs w:val="21"/>
          <w:highlight w:val="none"/>
          <w:u w:val="single"/>
          <w:lang w:val="en-US" w:eastAsia="zh-CN"/>
        </w:rPr>
        <w:t>不适用</w:t>
      </w:r>
      <w:r>
        <w:rPr>
          <w:rFonts w:hint="eastAsia" w:hAnsi="宋体" w:cs="宋体"/>
          <w:color w:val="auto"/>
          <w:sz w:val="21"/>
          <w:szCs w:val="21"/>
          <w:highlight w:val="none"/>
        </w:rPr>
        <w:t>。</w:t>
      </w:r>
    </w:p>
    <w:p w14:paraId="7C1A1DC4">
      <w:pPr>
        <w:pStyle w:val="4"/>
        <w:rPr>
          <w:color w:val="auto"/>
          <w:highlight w:val="none"/>
        </w:rPr>
      </w:pPr>
      <w:bookmarkStart w:id="1366" w:name="_Toc373478425"/>
      <w:bookmarkStart w:id="1367" w:name="_Toc373227778"/>
      <w:bookmarkStart w:id="1368" w:name="_Toc389065343"/>
      <w:bookmarkStart w:id="1369" w:name="_Toc78449867"/>
      <w:bookmarkStart w:id="1370" w:name="_Toc1456517022"/>
      <w:bookmarkStart w:id="1371" w:name="_Toc26223"/>
      <w:bookmarkStart w:id="1372" w:name="_Toc407135281"/>
      <w:bookmarkStart w:id="1373" w:name="_Toc1156795721"/>
      <w:r>
        <w:rPr>
          <w:color w:val="auto"/>
          <w:highlight w:val="none"/>
        </w:rPr>
        <w:t>20.4</w:t>
      </w:r>
      <w:r>
        <w:rPr>
          <w:rFonts w:hint="eastAsia" w:hAnsi="宋体" w:cs="黑体"/>
          <w:color w:val="auto"/>
          <w:highlight w:val="none"/>
        </w:rPr>
        <w:t>仲裁或诉讼</w:t>
      </w:r>
      <w:bookmarkEnd w:id="1228"/>
      <w:bookmarkEnd w:id="1366"/>
      <w:bookmarkEnd w:id="1367"/>
      <w:bookmarkEnd w:id="1368"/>
      <w:bookmarkEnd w:id="1369"/>
      <w:bookmarkEnd w:id="1370"/>
      <w:bookmarkEnd w:id="1371"/>
      <w:bookmarkEnd w:id="1372"/>
      <w:bookmarkEnd w:id="1373"/>
    </w:p>
    <w:p w14:paraId="49E3B11B">
      <w:pPr>
        <w:spacing w:line="360" w:lineRule="auto"/>
        <w:ind w:firstLine="420" w:firstLineChars="200"/>
        <w:rPr>
          <w:color w:val="auto"/>
          <w:sz w:val="21"/>
          <w:szCs w:val="21"/>
          <w:highlight w:val="none"/>
        </w:rPr>
      </w:pPr>
      <w:r>
        <w:rPr>
          <w:rFonts w:hint="eastAsia" w:hAnsi="宋体" w:cs="宋体"/>
          <w:color w:val="auto"/>
          <w:sz w:val="21"/>
          <w:szCs w:val="21"/>
          <w:highlight w:val="none"/>
        </w:rPr>
        <w:t>因合同及合同有关事项发生的争议，按下列第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种方式解决：</w:t>
      </w:r>
    </w:p>
    <w:p w14:paraId="11684E2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）提请仲裁委员会按照该会仲裁规则进行仲裁，仲裁裁决是终局的，对合同双方均有约束力。</w:t>
      </w:r>
    </w:p>
    <w:p w14:paraId="53E0F09C">
      <w:pPr>
        <w:spacing w:line="360" w:lineRule="auto"/>
        <w:ind w:firstLine="420" w:firstLineChars="200"/>
        <w:jc w:val="left"/>
        <w:rPr>
          <w:color w:val="auto"/>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）向</w:t>
      </w:r>
      <w:r>
        <w:rPr>
          <w:rFonts w:hint="eastAsia" w:hAnsi="宋体" w:cs="宋体"/>
          <w:color w:val="auto"/>
          <w:sz w:val="21"/>
          <w:szCs w:val="21"/>
          <w:highlight w:val="none"/>
          <w:u w:val="single"/>
        </w:rPr>
        <w:t>工程所在地有管辖权的</w:t>
      </w:r>
      <w:r>
        <w:rPr>
          <w:rFonts w:hint="eastAsia" w:hAnsi="宋体" w:cs="宋体"/>
          <w:color w:val="auto"/>
          <w:sz w:val="21"/>
          <w:szCs w:val="21"/>
          <w:highlight w:val="none"/>
        </w:rPr>
        <w:t>人民法院</w:t>
      </w:r>
      <w:r>
        <w:rPr>
          <w:rFonts w:hint="default" w:hAnsi="宋体" w:cs="宋体"/>
          <w:color w:val="auto"/>
          <w:sz w:val="21"/>
          <w:szCs w:val="21"/>
          <w:highlight w:val="none"/>
        </w:rPr>
        <w:t>起诉</w:t>
      </w:r>
      <w:r>
        <w:rPr>
          <w:rFonts w:hint="eastAsia" w:hAnsi="宋体" w:cs="宋体"/>
          <w:color w:val="auto"/>
          <w:highlight w:val="none"/>
        </w:rPr>
        <w:t>。</w:t>
      </w:r>
      <w:bookmarkEnd w:id="1229"/>
      <w:bookmarkEnd w:id="1230"/>
      <w:bookmarkEnd w:id="1231"/>
      <w:bookmarkEnd w:id="1232"/>
      <w:bookmarkEnd w:id="1233"/>
      <w:bookmarkEnd w:id="1234"/>
    </w:p>
    <w:p w14:paraId="24C690BA">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21</w:t>
      </w:r>
      <w:r>
        <w:rPr>
          <w:rFonts w:hint="eastAsia" w:ascii="宋体" w:hAnsi="宋体" w:eastAsia="宋体" w:cs="宋体"/>
          <w:b/>
          <w:bCs/>
          <w:color w:val="auto"/>
          <w:kern w:val="0"/>
          <w:sz w:val="21"/>
          <w:szCs w:val="21"/>
          <w:highlight w:val="none"/>
          <w:lang w:val="en-US" w:eastAsia="zh-CN" w:bidi="ar"/>
        </w:rPr>
        <w:t>本合同通用合同条款与专用合同条款约定不一致的，以专用合同条款约定为准，按照专用合同条款的约定执行</w:t>
      </w:r>
      <w:r>
        <w:rPr>
          <w:rFonts w:hint="eastAsia" w:ascii="宋体" w:hAnsi="宋体" w:cs="宋体"/>
          <w:b/>
          <w:bCs/>
          <w:color w:val="auto"/>
          <w:kern w:val="0"/>
          <w:sz w:val="21"/>
          <w:szCs w:val="21"/>
          <w:highlight w:val="none"/>
          <w:lang w:val="en-US" w:eastAsia="zh-CN" w:bidi="ar"/>
        </w:rPr>
        <w:t>。</w:t>
      </w:r>
    </w:p>
    <w:p w14:paraId="1C20BF43">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72F1CF9A">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5EED8C39">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0276211E">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黑体" w:cs="Times New Roman"/>
          <w:b/>
          <w:bCs/>
          <w:color w:val="auto"/>
          <w:sz w:val="28"/>
          <w:szCs w:val="28"/>
          <w:highlight w:val="none"/>
        </w:rPr>
      </w:pPr>
      <w:r>
        <w:rPr>
          <w:rFonts w:hint="eastAsia" w:ascii="黑体" w:hAnsi="宋体" w:eastAsia="黑体" w:cs="黑体"/>
          <w:b/>
          <w:bCs/>
          <w:color w:val="auto"/>
          <w:kern w:val="0"/>
          <w:sz w:val="28"/>
          <w:szCs w:val="28"/>
          <w:highlight w:val="none"/>
          <w:lang w:val="en-US" w:eastAsia="zh-CN" w:bidi="ar"/>
        </w:rPr>
        <w:t>附件</w:t>
      </w:r>
    </w:p>
    <w:p w14:paraId="561A7E3F">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附件1：承包人承揽工程项目一览表</w:t>
      </w:r>
    </w:p>
    <w:p w14:paraId="389A0053">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附件2：工程质量保修书</w:t>
      </w:r>
    </w:p>
    <w:p w14:paraId="68821138">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附件3：预付款支付申请（核准）表</w:t>
      </w:r>
    </w:p>
    <w:p w14:paraId="26FAAB28">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附件4：进度款支付申请（核准）表</w:t>
      </w:r>
    </w:p>
    <w:p w14:paraId="0466D074">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附件5：竣工结算款支付申请（核准）表</w:t>
      </w:r>
    </w:p>
    <w:p w14:paraId="002F4E0E">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附件6：最终结算款支付申请（核准）表</w:t>
      </w:r>
    </w:p>
    <w:p w14:paraId="263B3311">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：总价合同进度款支付分解表</w:t>
      </w:r>
    </w:p>
    <w:p w14:paraId="3EAD141C">
      <w:pPr>
        <w:shd w:val="clear"/>
        <w:rPr>
          <w:rFonts w:hint="default" w:ascii="Times New Roman" w:hAnsi="Times New Roman" w:eastAsia="宋体" w:cs="Times New Roman"/>
          <w:color w:val="auto"/>
          <w:highlight w:val="none"/>
        </w:rPr>
        <w:sectPr>
          <w:pgSz w:w="11907" w:h="16840"/>
          <w:pgMar w:top="1440" w:right="1090" w:bottom="1440" w:left="1397" w:header="851" w:footer="851" w:gutter="0"/>
          <w:cols w:space="720" w:num="1"/>
          <w:formProt w:val="1"/>
          <w:docGrid w:type="lines" w:linePitch="312" w:charSpace="43007"/>
        </w:sectPr>
      </w:pPr>
    </w:p>
    <w:p w14:paraId="2D0B222F">
      <w:pPr>
        <w:keepNext w:val="0"/>
        <w:keepLines w:val="0"/>
        <w:widowControl w:val="0"/>
        <w:suppressLineNumbers w:val="0"/>
        <w:shd w:val="clear"/>
        <w:spacing w:before="120" w:beforeLines="50" w:beforeAutospacing="0" w:after="120" w:afterLines="50" w:afterAutospacing="0" w:line="440" w:lineRule="exact"/>
        <w:ind w:left="0" w:right="0"/>
        <w:jc w:val="left"/>
        <w:rPr>
          <w:rFonts w:hint="eastAsia" w:ascii="仿宋_GB2312"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附件1：</w:t>
      </w:r>
    </w:p>
    <w:p w14:paraId="47176F3C">
      <w:pPr>
        <w:keepNext w:val="0"/>
        <w:keepLines w:val="0"/>
        <w:widowControl w:val="0"/>
        <w:suppressLineNumbers w:val="0"/>
        <w:shd w:val="clear"/>
        <w:spacing w:before="120" w:beforeLines="50" w:beforeAutospacing="0" w:after="120" w:afterLines="50" w:afterAutospacing="0" w:line="440" w:lineRule="exact"/>
        <w:ind w:left="0" w:right="0"/>
        <w:jc w:val="center"/>
        <w:rPr>
          <w:rFonts w:hint="default" w:ascii="Times New Roman" w:hAnsi="Times New Roman" w:eastAsia="黑体" w:cs="Times New Roman"/>
          <w:color w:val="auto"/>
          <w:sz w:val="30"/>
          <w:szCs w:val="30"/>
          <w:highlight w:val="none"/>
        </w:rPr>
      </w:pPr>
      <w:r>
        <w:rPr>
          <w:rFonts w:hint="eastAsia" w:ascii="黑体" w:hAnsi="宋体" w:eastAsia="黑体" w:cs="黑体"/>
          <w:color w:val="auto"/>
          <w:kern w:val="0"/>
          <w:sz w:val="30"/>
          <w:szCs w:val="30"/>
          <w:highlight w:val="none"/>
          <w:lang w:val="en-US" w:eastAsia="zh-CN" w:bidi="ar"/>
        </w:rPr>
        <w:t>承包人承揽工程项目一览表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189C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0CCFC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单位工程名称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8E2E8E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建设规模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527281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建筑面积</w:t>
            </w:r>
            <w:r>
              <w:rPr>
                <w:rFonts w:hint="default" w:ascii="Times New Roman" w:hAnsi="Times New Roman" w:eastAsia="仿宋_GB2312" w:cs="Times New Roman"/>
                <w:color w:val="auto"/>
                <w:kern w:val="0"/>
                <w:sz w:val="28"/>
                <w:szCs w:val="28"/>
                <w:highlight w:val="none"/>
                <w:lang w:val="en-US" w:eastAsia="zh-CN" w:bidi="ar"/>
              </w:rPr>
              <w:t>(</w:t>
            </w:r>
            <w:r>
              <w:rPr>
                <w:rFonts w:hint="eastAsia" w:ascii="仿宋_GB2312" w:hAnsi="Times New Roman" w:eastAsia="仿宋_GB2312" w:cs="仿宋_GB2312"/>
                <w:color w:val="auto"/>
                <w:kern w:val="0"/>
                <w:sz w:val="28"/>
                <w:szCs w:val="28"/>
                <w:highlight w:val="none"/>
                <w:lang w:val="en-US" w:eastAsia="zh-CN" w:bidi="ar"/>
              </w:rPr>
              <w:t>平方米</w:t>
            </w:r>
            <w:r>
              <w:rPr>
                <w:rFonts w:hint="default" w:ascii="Times New Roman" w:hAnsi="Times New Roman" w:eastAsia="仿宋_GB2312" w:cs="Times New Roman"/>
                <w:color w:val="auto"/>
                <w:kern w:val="0"/>
                <w:sz w:val="28"/>
                <w:szCs w:val="28"/>
                <w:highlight w:val="none"/>
                <w:lang w:val="en-US" w:eastAsia="zh-CN" w:bidi="ar"/>
              </w:rPr>
              <w:t>)</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3A76C5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结构形式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F02F04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层数</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ED30FF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生产能力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BAC873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设备安装内容</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EBCBDD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合同价格（元）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01696A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开工日期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DB2B1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竣工日期</w:t>
            </w:r>
          </w:p>
        </w:tc>
      </w:tr>
      <w:tr w14:paraId="76F0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D6BE91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CEE704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0BA13D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066F24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CFCDD9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CC91C6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290D3F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4E49E3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9BBC98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2FD08E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B6B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5DFD68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7EC87E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5AC79A9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52EA6E4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E6E71E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0D088E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60327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00D986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F7415D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E8CE4D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01E7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A20FA0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BFF275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55E331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25FCF9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699AEE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180D4C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4A91A8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75E6831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46330A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F8C592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253E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3C8771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D7A493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DF76FB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B1BB1D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3FB7C6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BA5738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5945AF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066C4F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1AF259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BB3E83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67C0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A9A3D1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E84720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9997DD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153DD65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886140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1CB0EE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AA61F8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3B2252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5FD546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3093CD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279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B0C689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646979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F3A897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5E8A6A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972A1B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34771B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2BF804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918FBF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B94D7A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2A2BAF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0E7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92C0A3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3D5AA9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EAEF28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2C7274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0CFA49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9B8239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F434BC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C1BC7D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2DBDE6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D9E3F5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67E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C07289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68527B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D78332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EEC72B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13C9C9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5247B4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74DC63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ABEF5E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5645C0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5D7C4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76AF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C3BB5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6FD7B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67CFFB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A16899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19A882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1F87D5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6624DB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7FD0C1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51DC25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B41F65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EA1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9816C2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4B16A9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AD8C28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6DAA9F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FE8B97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531DEB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1A64AF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C6E327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9FE92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8E47B3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bl>
    <w:p w14:paraId="26DDB676">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0BBF305F">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132EAAD6">
      <w:pPr>
        <w:shd w:val="clear"/>
        <w:rPr>
          <w:rFonts w:hint="default" w:ascii="Times New Roman" w:hAnsi="Times New Roman" w:eastAsia="宋体" w:cs="Times New Roman"/>
          <w:color w:val="auto"/>
          <w:highlight w:val="none"/>
        </w:rPr>
        <w:sectPr>
          <w:pgSz w:w="16840" w:h="11907" w:orient="landscape"/>
          <w:pgMar w:top="1440" w:right="1440" w:bottom="1440" w:left="1797" w:header="851" w:footer="851" w:gutter="0"/>
          <w:cols w:space="720" w:num="1"/>
          <w:formProt w:val="1"/>
          <w:docGrid w:type="lines" w:linePitch="312" w:charSpace="43007"/>
        </w:sectPr>
      </w:pPr>
    </w:p>
    <w:p w14:paraId="21ED1618">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default" w:ascii="Times New Roman" w:hAnsi="Times New Roman" w:eastAsia="宋体" w:cs="Times New Roman"/>
          <w:color w:val="auto"/>
          <w:kern w:val="0"/>
          <w:sz w:val="30"/>
          <w:szCs w:val="30"/>
          <w:highlight w:val="none"/>
          <w:lang w:val="en-US" w:eastAsia="zh-CN" w:bidi="ar"/>
        </w:rPr>
        <w:t>2</w:t>
      </w:r>
      <w:r>
        <w:rPr>
          <w:rFonts w:hint="eastAsia" w:ascii="宋体" w:hAnsi="宋体" w:eastAsia="宋体" w:cs="宋体"/>
          <w:color w:val="auto"/>
          <w:kern w:val="0"/>
          <w:sz w:val="30"/>
          <w:szCs w:val="30"/>
          <w:highlight w:val="none"/>
          <w:lang w:val="en-US" w:eastAsia="zh-CN" w:bidi="ar"/>
        </w:rPr>
        <w:t>：</w:t>
      </w:r>
    </w:p>
    <w:p w14:paraId="49E7D3F9">
      <w:pPr>
        <w:keepNext w:val="0"/>
        <w:keepLines w:val="0"/>
        <w:widowControl w:val="0"/>
        <w:suppressLineNumbers w:val="0"/>
        <w:shd w:val="clear"/>
        <w:spacing w:before="120" w:beforeLines="50" w:beforeAutospacing="0" w:after="120" w:afterLines="50" w:afterAutospacing="0" w:line="440" w:lineRule="exact"/>
        <w:ind w:left="0" w:right="0"/>
        <w:jc w:val="center"/>
        <w:rPr>
          <w:rFonts w:hint="eastAsia" w:ascii="黑体" w:hAnsi="Times New Roman" w:eastAsia="黑体" w:cs="Times New Roman"/>
          <w:color w:val="auto"/>
          <w:sz w:val="32"/>
          <w:szCs w:val="32"/>
          <w:highlight w:val="none"/>
        </w:rPr>
      </w:pPr>
      <w:r>
        <w:rPr>
          <w:rFonts w:hint="eastAsia" w:ascii="黑体" w:hAnsi="宋体" w:eastAsia="黑体" w:cs="黑体"/>
          <w:color w:val="auto"/>
          <w:kern w:val="0"/>
          <w:sz w:val="32"/>
          <w:szCs w:val="32"/>
          <w:highlight w:val="none"/>
          <w:lang w:val="en-US" w:eastAsia="zh-CN" w:bidi="ar"/>
        </w:rPr>
        <w:t>工程质量保修书</w:t>
      </w:r>
    </w:p>
    <w:p w14:paraId="2D28F830">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发包人（全称）：</w:t>
      </w:r>
      <w:r>
        <w:rPr>
          <w:rFonts w:hint="eastAsia" w:ascii="宋体" w:hAnsi="宋体" w:cs="宋体"/>
          <w:color w:val="auto"/>
          <w:kern w:val="0"/>
          <w:sz w:val="21"/>
          <w:szCs w:val="21"/>
          <w:highlight w:val="none"/>
          <w:u w:val="single"/>
          <w:lang w:val="en-US" w:eastAsia="zh-CN" w:bidi="ar"/>
        </w:rPr>
        <w:t>崇左市江州区石景林街道办事处</w:t>
      </w:r>
    </w:p>
    <w:p w14:paraId="7314A592">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承包人（全称）：</w:t>
      </w:r>
    </w:p>
    <w:p w14:paraId="6D969F60">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21"/>
          <w:szCs w:val="21"/>
          <w:highlight w:val="none"/>
        </w:rPr>
      </w:pPr>
    </w:p>
    <w:p w14:paraId="3FC389B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发包人和承包人根据《中华人民共和国建筑法》和《建设工程质量管理条例》，经协商一致就</w:t>
      </w:r>
      <w:r>
        <w:rPr>
          <w:rFonts w:hint="eastAsia" w:cs="Times New Roman"/>
          <w:b/>
          <w:bCs/>
          <w:color w:val="auto"/>
          <w:kern w:val="0"/>
          <w:sz w:val="21"/>
          <w:szCs w:val="21"/>
          <w:highlight w:val="none"/>
          <w:u w:val="single"/>
          <w:lang w:val="en-US" w:eastAsia="zh-CN" w:bidi="ar"/>
        </w:rPr>
        <w:t>石景林街道卜利村旧村屯排污排水项目</w:t>
      </w:r>
      <w:r>
        <w:rPr>
          <w:rFonts w:hint="eastAsia" w:ascii="宋体" w:hAnsi="宋体" w:eastAsia="宋体" w:cs="宋体"/>
          <w:color w:val="auto"/>
          <w:kern w:val="0"/>
          <w:sz w:val="21"/>
          <w:szCs w:val="21"/>
          <w:highlight w:val="none"/>
          <w:lang w:val="en-US" w:eastAsia="zh-CN" w:bidi="ar"/>
        </w:rPr>
        <w:t>（工程全称）签订工程质量保修书。</w:t>
      </w:r>
    </w:p>
    <w:p w14:paraId="3F90F01B">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一、工程质量保修范围和内容</w:t>
      </w:r>
    </w:p>
    <w:p w14:paraId="30429D1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承包人在质量保修期内，按照有关法律规定和合同约定，承担工程质量保修责任。</w:t>
      </w:r>
    </w:p>
    <w:p w14:paraId="5CBFE0E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u w:val="single"/>
          <w:lang w:val="en-US"/>
        </w:rPr>
      </w:pPr>
      <w:r>
        <w:rPr>
          <w:rFonts w:hint="eastAsia" w:ascii="宋体" w:hAnsi="宋体" w:eastAsia="宋体" w:cs="宋体"/>
          <w:color w:val="auto"/>
          <w:kern w:val="0"/>
          <w:sz w:val="21"/>
          <w:szCs w:val="21"/>
          <w:highlight w:val="none"/>
          <w:lang w:val="en-US" w:eastAsia="zh-CN" w:bidi="ar"/>
        </w:rPr>
        <w:t>质量保修范围包括</w:t>
      </w:r>
      <w:r>
        <w:rPr>
          <w:rFonts w:hint="eastAsia" w:cs="Times New Roman"/>
          <w:b/>
          <w:bCs/>
          <w:color w:val="auto"/>
          <w:kern w:val="0"/>
          <w:sz w:val="21"/>
          <w:szCs w:val="21"/>
          <w:highlight w:val="none"/>
          <w:u w:val="single"/>
          <w:lang w:val="en-US" w:eastAsia="zh-CN" w:bidi="ar"/>
        </w:rPr>
        <w:t>敷设的DN400、DN300、DN200双壁波纹管约2226米，Φ160PVC-U排水管200米；新建的Φ700砖砌圆形污水检查井47座；新建有效容积25.5立方米砖砌化粪池1座；以及配套的路面破除与恢复、土方工程、垫层及基础等</w:t>
      </w:r>
      <w:r>
        <w:rPr>
          <w:rFonts w:hint="eastAsia" w:cs="Times New Roman"/>
          <w:b w:val="0"/>
          <w:bCs w:val="0"/>
          <w:color w:val="auto"/>
          <w:kern w:val="0"/>
          <w:sz w:val="21"/>
          <w:szCs w:val="21"/>
          <w:highlight w:val="none"/>
          <w:u w:val="single"/>
          <w:lang w:val="en-US" w:eastAsia="zh-CN" w:bidi="ar"/>
        </w:rPr>
        <w:t>。</w:t>
      </w:r>
    </w:p>
    <w:p w14:paraId="3F91CA03">
      <w:pPr>
        <w:keepNext w:val="0"/>
        <w:keepLines w:val="0"/>
        <w:widowControl w:val="0"/>
        <w:numPr>
          <w:ilvl w:val="0"/>
          <w:numId w:val="10"/>
        </w:numPr>
        <w:suppressLineNumbers w:val="0"/>
        <w:shd w:val="clear"/>
        <w:spacing w:before="0" w:beforeAutospacing="0" w:after="0" w:afterAutospacing="0" w:line="360" w:lineRule="auto"/>
        <w:ind w:left="0" w:right="0" w:firstLine="420"/>
        <w:jc w:val="both"/>
        <w:rPr>
          <w:rFonts w:hint="eastAsia" w:ascii="黑体" w:hAnsi="宋体" w:eastAsia="黑体" w:cs="黑体"/>
          <w:color w:val="auto"/>
          <w:kern w:val="0"/>
          <w:sz w:val="21"/>
          <w:szCs w:val="21"/>
          <w:highlight w:val="none"/>
          <w:lang w:val="en-US" w:eastAsia="zh-CN" w:bidi="ar"/>
        </w:rPr>
      </w:pPr>
      <w:r>
        <w:rPr>
          <w:rFonts w:hint="eastAsia" w:ascii="黑体" w:hAnsi="宋体" w:eastAsia="黑体" w:cs="黑体"/>
          <w:color w:val="auto"/>
          <w:kern w:val="0"/>
          <w:sz w:val="21"/>
          <w:szCs w:val="21"/>
          <w:highlight w:val="none"/>
          <w:lang w:val="en-US" w:eastAsia="zh-CN" w:bidi="ar"/>
        </w:rPr>
        <w:t>工程质量保修范围和期限</w:t>
      </w:r>
    </w:p>
    <w:p w14:paraId="1461B497">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双方根据《建设工程质量管理条例》及有关规定，约定本工程的质量保修期如下：</w:t>
      </w:r>
    </w:p>
    <w:p w14:paraId="1BF88552">
      <w:pPr>
        <w:keepNext w:val="0"/>
        <w:keepLines w:val="0"/>
        <w:widowControl w:val="0"/>
        <w:numPr>
          <w:ilvl w:val="0"/>
          <w:numId w:val="11"/>
        </w:numPr>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地基基础工程和主体结构工程，为设计文件规定的该工程的合理使用年限；</w:t>
      </w:r>
    </w:p>
    <w:p w14:paraId="1F98203A">
      <w:pPr>
        <w:keepNext w:val="0"/>
        <w:keepLines w:val="0"/>
        <w:widowControl w:val="0"/>
        <w:numPr>
          <w:ilvl w:val="0"/>
          <w:numId w:val="11"/>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屋面防水工程、有防水要求的卫生间、房间和外墙面的防渗漏，为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年；</w:t>
      </w:r>
    </w:p>
    <w:p w14:paraId="34589E78">
      <w:pPr>
        <w:keepNext w:val="0"/>
        <w:keepLines w:val="0"/>
        <w:widowControl w:val="0"/>
        <w:numPr>
          <w:ilvl w:val="0"/>
          <w:numId w:val="11"/>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装修工程为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年；</w:t>
      </w:r>
    </w:p>
    <w:p w14:paraId="1DE79854">
      <w:pPr>
        <w:keepNext w:val="0"/>
        <w:keepLines w:val="0"/>
        <w:widowControl w:val="0"/>
        <w:numPr>
          <w:ilvl w:val="0"/>
          <w:numId w:val="11"/>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电气管线、给排水管道、设备安装工程为2年；</w:t>
      </w:r>
    </w:p>
    <w:p w14:paraId="2C5BC290">
      <w:pPr>
        <w:keepNext w:val="0"/>
        <w:keepLines w:val="0"/>
        <w:widowControl w:val="0"/>
        <w:numPr>
          <w:ilvl w:val="0"/>
          <w:numId w:val="11"/>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供热与供冷系统，为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个采暖期、供冷期；</w:t>
      </w:r>
    </w:p>
    <w:p w14:paraId="50B79004">
      <w:pPr>
        <w:keepNext w:val="0"/>
        <w:keepLines w:val="0"/>
        <w:widowControl w:val="0"/>
        <w:numPr>
          <w:ilvl w:val="0"/>
          <w:numId w:val="11"/>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其他项目保修期限约定如下</w:t>
      </w:r>
      <w:r>
        <w:rPr>
          <w:rFonts w:hint="eastAsia" w:cs="Times New Roman"/>
          <w:b/>
          <w:bCs/>
          <w:color w:val="auto"/>
          <w:kern w:val="0"/>
          <w:sz w:val="21"/>
          <w:szCs w:val="21"/>
          <w:highlight w:val="none"/>
          <w:u w:val="single"/>
          <w:lang w:val="en-US" w:eastAsia="zh-CN" w:bidi="ar"/>
        </w:rPr>
        <w:t>：化粪池主体结构工程为设计文件规定的合理使用年限；检查井及管道接口防渗漏工程为2年。</w:t>
      </w:r>
    </w:p>
    <w:p w14:paraId="40F37E99">
      <w:pPr>
        <w:keepNext w:val="0"/>
        <w:keepLines w:val="0"/>
        <w:widowControl w:val="0"/>
        <w:numPr>
          <w:ilvl w:val="0"/>
          <w:numId w:val="0"/>
        </w:numPr>
        <w:suppressLineNumbers w:val="0"/>
        <w:shd w:val="clear"/>
        <w:spacing w:before="0" w:beforeAutospacing="0" w:after="0" w:afterAutospacing="0" w:line="360" w:lineRule="auto"/>
        <w:ind w:leftChars="200" w:right="0" w:rightChars="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质量保修期自工程竣工验收合格之日起计算。</w:t>
      </w:r>
    </w:p>
    <w:p w14:paraId="50111705">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三、缺陷责任期</w:t>
      </w:r>
    </w:p>
    <w:p w14:paraId="14ADCBB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工程缺陷责任期为</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lang w:val="en-US" w:eastAsia="zh-CN" w:bidi="ar"/>
        </w:rPr>
        <w:t>个月（最长不超过</w:t>
      </w:r>
      <w:r>
        <w:rPr>
          <w:rFonts w:hint="default" w:ascii="Times New Roman" w:hAnsi="宋体" w:eastAsia="宋体" w:cs="Times New Roman"/>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个月），缺陷责任期自工程竣工验收合格之日起计算。单位工程先于全部工程进行验收，单位工程缺陷责任期自单位工程验收合格之日起算。</w:t>
      </w:r>
    </w:p>
    <w:p w14:paraId="06311611">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缺陷责任期满之日起</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天后，由双方书面确认，发包人按照施工合同约定支付剩余工程款。</w:t>
      </w:r>
    </w:p>
    <w:p w14:paraId="5F4A9D56">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四、质量保修责任</w:t>
      </w:r>
    </w:p>
    <w:p w14:paraId="11BACFBE">
      <w:pPr>
        <w:keepNext w:val="0"/>
        <w:keepLines w:val="0"/>
        <w:widowControl w:val="0"/>
        <w:suppressLineNumbers w:val="0"/>
        <w:shd w:val="clear"/>
        <w:spacing w:before="0" w:beforeAutospacing="0" w:after="0" w:afterAutospacing="0" w:line="360" w:lineRule="auto"/>
        <w:ind w:left="100" w:leftChars="50" w:right="0" w:firstLine="428" w:firstLineChars="204"/>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．属于保修范围、内容的项目，承包人应当在接到保修通知之日起</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lang w:val="en-US" w:eastAsia="zh-CN" w:bidi="ar"/>
        </w:rPr>
        <w:t>天内派人保修。承包人不在约定期限内派人保修的，发包人可以委托第三方修理，发生的费用发包人向第三方支付后，发包人优先从未付的工程款中扣除，不足部分发包人有权向承包人追偿。</w:t>
      </w:r>
    </w:p>
    <w:p w14:paraId="01A0D53B">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．发生紧急事故需抢修的，承包人在接到事故通知后，应当立即到达事故现场抢修。</w:t>
      </w:r>
    </w:p>
    <w:p w14:paraId="2BB31E79">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F07B769">
      <w:pPr>
        <w:keepNext w:val="0"/>
        <w:keepLines w:val="0"/>
        <w:widowControl w:val="0"/>
        <w:suppressLineNumbers w:val="0"/>
        <w:shd w:val="clear"/>
        <w:spacing w:before="0" w:beforeAutospacing="0" w:after="0" w:afterAutospacing="0" w:line="360" w:lineRule="auto"/>
        <w:ind w:left="0" w:right="0" w:firstLine="420"/>
        <w:jc w:val="both"/>
        <w:rPr>
          <w:rFonts w:hint="default"/>
          <w:color w:val="auto"/>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．质量保修完成后，由发包人组织验收。</w:t>
      </w:r>
    </w:p>
    <w:p w14:paraId="08C00AE4">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五、保修费用</w:t>
      </w:r>
    </w:p>
    <w:p w14:paraId="6A4BD773">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保修费用由造成质量缺陷的责任方承担。</w:t>
      </w:r>
    </w:p>
    <w:p w14:paraId="590EAE7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六、双方约定的其他工程质量保修事项：</w:t>
      </w:r>
      <w:r>
        <w:rPr>
          <w:rFonts w:hint="eastAsia"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047502D">
      <w:pPr>
        <w:keepNext w:val="0"/>
        <w:keepLines w:val="0"/>
        <w:widowControl w:val="0"/>
        <w:suppressLineNumbers w:val="0"/>
        <w:shd w:val="clear"/>
        <w:spacing w:before="0" w:beforeAutospacing="0" w:after="0" w:afterAutospacing="0" w:line="360" w:lineRule="auto"/>
        <w:ind w:left="0" w:right="0" w:firstLine="399" w:firstLineChars="19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工程质量保修书由发包人、承包人在工程竣工验收前共同签署，作为施工合同附件，其有效期限至保修期满。</w:t>
      </w:r>
    </w:p>
    <w:tbl>
      <w:tblPr>
        <w:tblStyle w:val="25"/>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6E543FF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054198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发包人：（公章）</w:t>
            </w:r>
          </w:p>
        </w:tc>
        <w:tc>
          <w:tcPr>
            <w:tcW w:w="4261" w:type="dxa"/>
            <w:tcBorders>
              <w:top w:val="nil"/>
              <w:left w:val="nil"/>
              <w:bottom w:val="nil"/>
              <w:right w:val="nil"/>
            </w:tcBorders>
            <w:shd w:val="clear" w:color="auto" w:fill="auto"/>
            <w:vAlign w:val="top"/>
          </w:tcPr>
          <w:p w14:paraId="6A176621">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承包人：（公章）</w:t>
            </w:r>
          </w:p>
        </w:tc>
      </w:tr>
      <w:tr w14:paraId="24E2F49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1DF2F93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c>
          <w:tcPr>
            <w:tcW w:w="4261" w:type="dxa"/>
            <w:tcBorders>
              <w:top w:val="nil"/>
              <w:left w:val="nil"/>
              <w:bottom w:val="nil"/>
              <w:right w:val="nil"/>
            </w:tcBorders>
            <w:shd w:val="clear" w:color="auto" w:fill="auto"/>
            <w:vAlign w:val="top"/>
          </w:tcPr>
          <w:p w14:paraId="03262118">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r>
      <w:tr w14:paraId="2CE95ED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B423738">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7B6276D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4072C5E1">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D0C4744">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2659581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5ED24D7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8FB3127">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c>
          <w:tcPr>
            <w:tcW w:w="4261" w:type="dxa"/>
            <w:tcBorders>
              <w:top w:val="nil"/>
              <w:left w:val="nil"/>
              <w:bottom w:val="nil"/>
              <w:right w:val="nil"/>
            </w:tcBorders>
            <w:shd w:val="clear" w:color="auto" w:fill="auto"/>
            <w:vAlign w:val="top"/>
          </w:tcPr>
          <w:p w14:paraId="4C9A432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r>
      <w:tr w14:paraId="2350EC0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35D8475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c>
          <w:tcPr>
            <w:tcW w:w="4261" w:type="dxa"/>
            <w:tcBorders>
              <w:top w:val="nil"/>
              <w:left w:val="nil"/>
              <w:bottom w:val="nil"/>
              <w:right w:val="nil"/>
            </w:tcBorders>
            <w:shd w:val="clear" w:color="auto" w:fill="auto"/>
            <w:vAlign w:val="top"/>
          </w:tcPr>
          <w:p w14:paraId="2104B86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r>
      <w:tr w14:paraId="14F32877">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5C4C50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c>
          <w:tcPr>
            <w:tcW w:w="4261" w:type="dxa"/>
            <w:tcBorders>
              <w:top w:val="nil"/>
              <w:left w:val="nil"/>
              <w:bottom w:val="nil"/>
              <w:right w:val="nil"/>
            </w:tcBorders>
            <w:shd w:val="clear" w:color="auto" w:fill="auto"/>
            <w:vAlign w:val="top"/>
          </w:tcPr>
          <w:p w14:paraId="0535E2C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r>
      <w:tr w14:paraId="66020C2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AE6293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c>
          <w:tcPr>
            <w:tcW w:w="4261" w:type="dxa"/>
            <w:tcBorders>
              <w:top w:val="nil"/>
              <w:left w:val="nil"/>
              <w:bottom w:val="nil"/>
              <w:right w:val="nil"/>
            </w:tcBorders>
            <w:shd w:val="clear" w:color="auto" w:fill="auto"/>
            <w:vAlign w:val="top"/>
          </w:tcPr>
          <w:p w14:paraId="73241E8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r>
      <w:tr w14:paraId="72106DA1">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2A07DB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c>
          <w:tcPr>
            <w:tcW w:w="4261" w:type="dxa"/>
            <w:tcBorders>
              <w:top w:val="nil"/>
              <w:left w:val="nil"/>
              <w:bottom w:val="nil"/>
              <w:right w:val="nil"/>
            </w:tcBorders>
            <w:shd w:val="clear" w:color="auto" w:fill="auto"/>
            <w:vAlign w:val="top"/>
          </w:tcPr>
          <w:p w14:paraId="4151219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r>
    </w:tbl>
    <w:p w14:paraId="2825E8AD">
      <w:pPr>
        <w:shd w:val="clear"/>
        <w:rPr>
          <w:rFonts w:hint="eastAsia" w:ascii="宋体" w:hAnsi="宋体" w:eastAsia="宋体" w:cs="Times New Roman"/>
          <w:color w:val="auto"/>
          <w:kern w:val="0"/>
          <w:sz w:val="21"/>
          <w:szCs w:val="21"/>
          <w:highlight w:val="none"/>
          <w:u w:val="single"/>
          <w:lang w:val="en-US" w:eastAsia="zh-CN" w:bidi="ar"/>
        </w:rPr>
      </w:pPr>
    </w:p>
    <w:p w14:paraId="45D23B2C">
      <w:pPr>
        <w:shd w:val="clear"/>
        <w:rPr>
          <w:rFonts w:hint="eastAsia" w:ascii="宋体" w:hAnsi="宋体" w:eastAsia="宋体" w:cs="Times New Roman"/>
          <w:color w:val="auto"/>
          <w:kern w:val="0"/>
          <w:sz w:val="21"/>
          <w:szCs w:val="21"/>
          <w:highlight w:val="none"/>
          <w:u w:val="single"/>
          <w:lang w:val="en-US" w:eastAsia="zh-CN" w:bidi="ar"/>
        </w:rPr>
      </w:pPr>
    </w:p>
    <w:p w14:paraId="3C3ACEB8">
      <w:pPr>
        <w:shd w:val="clear"/>
        <w:rPr>
          <w:rFonts w:hint="eastAsia" w:ascii="宋体" w:hAnsi="宋体" w:eastAsia="宋体" w:cs="Times New Roman"/>
          <w:color w:val="auto"/>
          <w:kern w:val="0"/>
          <w:sz w:val="21"/>
          <w:szCs w:val="21"/>
          <w:highlight w:val="none"/>
          <w:u w:val="single"/>
          <w:lang w:val="en-US" w:eastAsia="zh-CN" w:bidi="ar"/>
        </w:rPr>
      </w:pPr>
    </w:p>
    <w:p w14:paraId="5401685F">
      <w:pPr>
        <w:shd w:val="clear"/>
        <w:rPr>
          <w:rFonts w:hint="eastAsia" w:ascii="宋体" w:hAnsi="宋体" w:eastAsia="宋体" w:cs="Times New Roman"/>
          <w:color w:val="auto"/>
          <w:kern w:val="0"/>
          <w:sz w:val="21"/>
          <w:szCs w:val="21"/>
          <w:highlight w:val="none"/>
          <w:u w:val="single"/>
          <w:lang w:val="en-US" w:eastAsia="zh-CN" w:bidi="ar"/>
        </w:rPr>
      </w:pPr>
    </w:p>
    <w:p w14:paraId="5DBBB603">
      <w:pPr>
        <w:shd w:val="clear"/>
        <w:rPr>
          <w:rFonts w:hint="eastAsia" w:ascii="宋体" w:hAnsi="宋体" w:eastAsia="宋体" w:cs="Times New Roman"/>
          <w:color w:val="auto"/>
          <w:kern w:val="0"/>
          <w:sz w:val="21"/>
          <w:szCs w:val="21"/>
          <w:highlight w:val="none"/>
          <w:u w:val="single"/>
          <w:lang w:val="en-US" w:eastAsia="zh-CN" w:bidi="ar"/>
        </w:rPr>
      </w:pPr>
    </w:p>
    <w:p w14:paraId="3F18F060">
      <w:pPr>
        <w:shd w:val="clear"/>
        <w:rPr>
          <w:rFonts w:hint="eastAsia" w:ascii="宋体" w:hAnsi="宋体" w:eastAsia="宋体" w:cs="Times New Roman"/>
          <w:color w:val="auto"/>
          <w:kern w:val="0"/>
          <w:sz w:val="21"/>
          <w:szCs w:val="21"/>
          <w:highlight w:val="none"/>
          <w:u w:val="single"/>
          <w:lang w:val="en-US" w:eastAsia="zh-CN" w:bidi="ar"/>
        </w:rPr>
      </w:pPr>
    </w:p>
    <w:p w14:paraId="0BDD738F">
      <w:pPr>
        <w:shd w:val="clear"/>
        <w:rPr>
          <w:rFonts w:hint="eastAsia" w:ascii="宋体" w:hAnsi="宋体" w:eastAsia="宋体" w:cs="Times New Roman"/>
          <w:color w:val="auto"/>
          <w:kern w:val="0"/>
          <w:sz w:val="21"/>
          <w:szCs w:val="21"/>
          <w:highlight w:val="none"/>
          <w:u w:val="single"/>
          <w:lang w:val="en-US" w:eastAsia="zh-CN" w:bidi="ar"/>
        </w:rPr>
      </w:pPr>
    </w:p>
    <w:p w14:paraId="5B412E7D">
      <w:pPr>
        <w:shd w:val="clear"/>
        <w:rPr>
          <w:rFonts w:hint="eastAsia" w:ascii="宋体" w:hAnsi="宋体" w:eastAsia="宋体" w:cs="Times New Roman"/>
          <w:color w:val="auto"/>
          <w:kern w:val="0"/>
          <w:sz w:val="21"/>
          <w:szCs w:val="21"/>
          <w:highlight w:val="none"/>
          <w:u w:val="single"/>
          <w:lang w:val="en-US" w:eastAsia="zh-CN" w:bidi="ar"/>
        </w:rPr>
      </w:pPr>
    </w:p>
    <w:p w14:paraId="00762F16">
      <w:pPr>
        <w:shd w:val="clear"/>
        <w:rPr>
          <w:rFonts w:hint="eastAsia" w:ascii="宋体" w:hAnsi="宋体" w:eastAsia="宋体" w:cs="Times New Roman"/>
          <w:color w:val="auto"/>
          <w:kern w:val="0"/>
          <w:sz w:val="21"/>
          <w:szCs w:val="21"/>
          <w:highlight w:val="none"/>
          <w:u w:val="single"/>
          <w:lang w:val="en-US" w:eastAsia="zh-CN" w:bidi="ar"/>
        </w:rPr>
      </w:pPr>
    </w:p>
    <w:p w14:paraId="1520086D">
      <w:pPr>
        <w:shd w:val="clear"/>
        <w:rPr>
          <w:rFonts w:hint="eastAsia" w:ascii="宋体" w:hAnsi="宋体" w:eastAsia="宋体" w:cs="Times New Roman"/>
          <w:color w:val="auto"/>
          <w:kern w:val="0"/>
          <w:sz w:val="21"/>
          <w:szCs w:val="21"/>
          <w:highlight w:val="none"/>
          <w:u w:val="single"/>
          <w:lang w:val="en-US" w:eastAsia="zh-CN" w:bidi="ar"/>
        </w:rPr>
      </w:pPr>
    </w:p>
    <w:p w14:paraId="610E8F2B">
      <w:pPr>
        <w:shd w:val="clear"/>
        <w:rPr>
          <w:rFonts w:hint="eastAsia" w:ascii="宋体" w:hAnsi="宋体" w:eastAsia="宋体" w:cs="Times New Roman"/>
          <w:color w:val="auto"/>
          <w:kern w:val="0"/>
          <w:sz w:val="21"/>
          <w:szCs w:val="21"/>
          <w:highlight w:val="none"/>
          <w:u w:val="single"/>
          <w:lang w:val="en-US" w:eastAsia="zh-CN" w:bidi="ar"/>
        </w:rPr>
      </w:pPr>
    </w:p>
    <w:p w14:paraId="17F6D874">
      <w:pPr>
        <w:shd w:val="clear"/>
        <w:rPr>
          <w:rFonts w:hint="eastAsia" w:ascii="宋体" w:hAnsi="宋体" w:eastAsia="宋体" w:cs="Times New Roman"/>
          <w:color w:val="auto"/>
          <w:kern w:val="0"/>
          <w:sz w:val="21"/>
          <w:szCs w:val="21"/>
          <w:highlight w:val="none"/>
          <w:u w:val="single"/>
          <w:lang w:val="en-US" w:eastAsia="zh-CN" w:bidi="ar"/>
        </w:rPr>
      </w:pPr>
    </w:p>
    <w:p w14:paraId="67C1F8E5">
      <w:pPr>
        <w:shd w:val="clear"/>
        <w:rPr>
          <w:rFonts w:hint="eastAsia" w:ascii="宋体" w:hAnsi="宋体" w:eastAsia="宋体" w:cs="Times New Roman"/>
          <w:color w:val="auto"/>
          <w:kern w:val="0"/>
          <w:sz w:val="21"/>
          <w:szCs w:val="21"/>
          <w:highlight w:val="none"/>
          <w:u w:val="single"/>
          <w:lang w:val="en-US" w:eastAsia="zh-CN" w:bidi="ar"/>
        </w:rPr>
      </w:pPr>
    </w:p>
    <w:p w14:paraId="0389C84C">
      <w:pPr>
        <w:shd w:val="clear"/>
        <w:rPr>
          <w:rFonts w:hint="eastAsia" w:ascii="宋体" w:hAnsi="宋体" w:eastAsia="宋体" w:cs="Times New Roman"/>
          <w:color w:val="auto"/>
          <w:kern w:val="0"/>
          <w:sz w:val="21"/>
          <w:szCs w:val="21"/>
          <w:highlight w:val="none"/>
          <w:u w:val="single"/>
          <w:lang w:val="en-US" w:eastAsia="zh-CN" w:bidi="ar"/>
        </w:rPr>
      </w:pPr>
    </w:p>
    <w:p w14:paraId="0641F876">
      <w:pPr>
        <w:shd w:val="clear"/>
        <w:rPr>
          <w:rFonts w:hint="eastAsia" w:ascii="宋体" w:hAnsi="宋体" w:eastAsia="宋体" w:cs="Times New Roman"/>
          <w:color w:val="auto"/>
          <w:kern w:val="0"/>
          <w:sz w:val="21"/>
          <w:szCs w:val="21"/>
          <w:highlight w:val="none"/>
          <w:u w:val="single"/>
          <w:lang w:val="en-US" w:eastAsia="zh-CN" w:bidi="ar"/>
        </w:rPr>
      </w:pPr>
    </w:p>
    <w:p w14:paraId="7FED741C">
      <w:pPr>
        <w:shd w:val="clear"/>
        <w:rPr>
          <w:rFonts w:hint="eastAsia" w:ascii="宋体" w:hAnsi="宋体" w:eastAsia="宋体" w:cs="Times New Roman"/>
          <w:color w:val="auto"/>
          <w:kern w:val="0"/>
          <w:sz w:val="21"/>
          <w:szCs w:val="21"/>
          <w:highlight w:val="none"/>
          <w:u w:val="single"/>
          <w:lang w:val="en-US" w:eastAsia="zh-CN" w:bidi="ar"/>
        </w:rPr>
      </w:pPr>
    </w:p>
    <w:p w14:paraId="21E457C5">
      <w:pPr>
        <w:shd w:val="clear"/>
        <w:rPr>
          <w:rFonts w:hint="eastAsia" w:ascii="宋体" w:hAnsi="宋体" w:eastAsia="宋体" w:cs="Times New Roman"/>
          <w:color w:val="auto"/>
          <w:kern w:val="0"/>
          <w:sz w:val="21"/>
          <w:szCs w:val="21"/>
          <w:highlight w:val="none"/>
          <w:u w:val="single"/>
          <w:lang w:val="en-US" w:eastAsia="zh-CN" w:bidi="ar"/>
        </w:rPr>
      </w:pPr>
    </w:p>
    <w:p w14:paraId="5E745530">
      <w:pPr>
        <w:shd w:val="clear"/>
        <w:rPr>
          <w:rFonts w:hint="eastAsia" w:ascii="宋体" w:hAnsi="宋体" w:eastAsia="宋体" w:cs="Times New Roman"/>
          <w:color w:val="auto"/>
          <w:kern w:val="0"/>
          <w:sz w:val="21"/>
          <w:szCs w:val="21"/>
          <w:highlight w:val="none"/>
          <w:u w:val="single"/>
          <w:lang w:val="en-US" w:eastAsia="zh-CN" w:bidi="ar"/>
        </w:rPr>
      </w:pPr>
    </w:p>
    <w:p w14:paraId="0437B805">
      <w:pPr>
        <w:shd w:val="clear"/>
        <w:rPr>
          <w:rFonts w:hint="eastAsia" w:ascii="宋体" w:hAnsi="宋体" w:eastAsia="宋体" w:cs="Times New Roman"/>
          <w:color w:val="auto"/>
          <w:kern w:val="0"/>
          <w:sz w:val="21"/>
          <w:szCs w:val="21"/>
          <w:highlight w:val="none"/>
          <w:u w:val="single"/>
          <w:lang w:val="en-US" w:eastAsia="zh-CN" w:bidi="ar"/>
        </w:rPr>
      </w:pPr>
    </w:p>
    <w:p w14:paraId="0CE8A86B">
      <w:pPr>
        <w:shd w:val="clear"/>
        <w:rPr>
          <w:rFonts w:hint="eastAsia" w:ascii="宋体" w:hAnsi="宋体" w:eastAsia="宋体" w:cs="Times New Roman"/>
          <w:color w:val="auto"/>
          <w:kern w:val="0"/>
          <w:sz w:val="21"/>
          <w:szCs w:val="21"/>
          <w:highlight w:val="none"/>
          <w:u w:val="single"/>
          <w:lang w:val="en-US" w:eastAsia="zh-CN" w:bidi="ar"/>
        </w:rPr>
      </w:pPr>
    </w:p>
    <w:p w14:paraId="52A52547">
      <w:pPr>
        <w:shd w:val="clear"/>
        <w:rPr>
          <w:rFonts w:hint="eastAsia" w:ascii="宋体" w:hAnsi="宋体" w:eastAsia="宋体" w:cs="Times New Roman"/>
          <w:color w:val="auto"/>
          <w:kern w:val="0"/>
          <w:sz w:val="21"/>
          <w:szCs w:val="21"/>
          <w:highlight w:val="none"/>
          <w:u w:val="single"/>
          <w:lang w:val="en-US" w:eastAsia="zh-CN" w:bidi="ar"/>
        </w:rPr>
      </w:pPr>
    </w:p>
    <w:p w14:paraId="0FE90A6F">
      <w:pPr>
        <w:shd w:val="clear"/>
        <w:rPr>
          <w:rFonts w:hint="eastAsia" w:ascii="宋体" w:hAnsi="宋体" w:eastAsia="宋体" w:cs="Times New Roman"/>
          <w:color w:val="auto"/>
          <w:kern w:val="0"/>
          <w:sz w:val="21"/>
          <w:szCs w:val="21"/>
          <w:highlight w:val="none"/>
          <w:u w:val="single"/>
          <w:lang w:val="en-US" w:eastAsia="zh-CN" w:bidi="ar"/>
        </w:rPr>
      </w:pPr>
    </w:p>
    <w:p w14:paraId="1AF8779C">
      <w:pPr>
        <w:shd w:val="clear"/>
        <w:rPr>
          <w:rFonts w:hint="eastAsia" w:ascii="宋体" w:hAnsi="宋体" w:eastAsia="宋体" w:cs="Times New Roman"/>
          <w:color w:val="auto"/>
          <w:kern w:val="0"/>
          <w:sz w:val="21"/>
          <w:szCs w:val="21"/>
          <w:highlight w:val="none"/>
          <w:u w:val="single"/>
          <w:lang w:val="en-US" w:eastAsia="zh-CN" w:bidi="ar"/>
        </w:rPr>
      </w:pPr>
    </w:p>
    <w:p w14:paraId="7A29EE11">
      <w:pPr>
        <w:shd w:val="clear"/>
        <w:rPr>
          <w:rFonts w:hint="eastAsia" w:ascii="宋体" w:hAnsi="宋体" w:eastAsia="宋体" w:cs="Times New Roman"/>
          <w:color w:val="auto"/>
          <w:kern w:val="0"/>
          <w:sz w:val="21"/>
          <w:szCs w:val="21"/>
          <w:highlight w:val="none"/>
          <w:u w:val="single"/>
          <w:lang w:val="en-US" w:eastAsia="zh-CN" w:bidi="ar"/>
        </w:rPr>
      </w:pPr>
    </w:p>
    <w:p w14:paraId="79F5D4FC">
      <w:pPr>
        <w:shd w:val="clear"/>
        <w:rPr>
          <w:rFonts w:hint="eastAsia" w:ascii="宋体" w:hAnsi="宋体" w:eastAsia="宋体" w:cs="Times New Roman"/>
          <w:color w:val="auto"/>
          <w:kern w:val="0"/>
          <w:sz w:val="21"/>
          <w:szCs w:val="21"/>
          <w:highlight w:val="none"/>
          <w:u w:val="single"/>
          <w:lang w:val="en-US" w:eastAsia="zh-CN" w:bidi="ar"/>
        </w:rPr>
      </w:pPr>
    </w:p>
    <w:p w14:paraId="3B7EF025">
      <w:pPr>
        <w:shd w:val="clear"/>
        <w:rPr>
          <w:rFonts w:hint="eastAsia" w:ascii="宋体" w:hAnsi="宋体" w:eastAsia="宋体" w:cs="Times New Roman"/>
          <w:color w:val="auto"/>
          <w:kern w:val="0"/>
          <w:sz w:val="21"/>
          <w:szCs w:val="21"/>
          <w:highlight w:val="none"/>
          <w:u w:val="single"/>
          <w:lang w:val="en-US" w:eastAsia="zh-CN" w:bidi="ar"/>
        </w:rPr>
      </w:pPr>
    </w:p>
    <w:p w14:paraId="1DF7DB93">
      <w:pPr>
        <w:shd w:val="clear"/>
        <w:rPr>
          <w:rFonts w:hint="eastAsia" w:ascii="宋体" w:hAnsi="宋体" w:eastAsia="宋体" w:cs="Times New Roman"/>
          <w:color w:val="auto"/>
          <w:kern w:val="0"/>
          <w:sz w:val="21"/>
          <w:szCs w:val="21"/>
          <w:highlight w:val="none"/>
          <w:u w:val="single"/>
          <w:lang w:val="en-US" w:eastAsia="zh-CN" w:bidi="ar"/>
        </w:rPr>
      </w:pPr>
    </w:p>
    <w:p w14:paraId="10995CD6">
      <w:pPr>
        <w:shd w:val="clear"/>
        <w:rPr>
          <w:rFonts w:hint="eastAsia" w:ascii="宋体" w:hAnsi="宋体" w:eastAsia="宋体" w:cs="Times New Roman"/>
          <w:color w:val="auto"/>
          <w:kern w:val="0"/>
          <w:sz w:val="21"/>
          <w:szCs w:val="21"/>
          <w:highlight w:val="none"/>
          <w:u w:val="single"/>
          <w:lang w:val="en-US" w:eastAsia="zh-CN" w:bidi="ar"/>
        </w:rPr>
      </w:pPr>
    </w:p>
    <w:p w14:paraId="23E8EE63">
      <w:pPr>
        <w:shd w:val="clear"/>
        <w:rPr>
          <w:rFonts w:hint="eastAsia" w:ascii="宋体" w:hAnsi="宋体" w:eastAsia="宋体" w:cs="Times New Roman"/>
          <w:color w:val="auto"/>
          <w:kern w:val="0"/>
          <w:sz w:val="21"/>
          <w:szCs w:val="21"/>
          <w:highlight w:val="none"/>
          <w:u w:val="single"/>
          <w:lang w:val="en-US" w:eastAsia="zh-CN" w:bidi="ar"/>
        </w:rPr>
      </w:pPr>
    </w:p>
    <w:p w14:paraId="7173457E">
      <w:pPr>
        <w:shd w:val="clear"/>
        <w:rPr>
          <w:rFonts w:hint="eastAsia" w:ascii="宋体" w:hAnsi="宋体" w:eastAsia="宋体" w:cs="Times New Roman"/>
          <w:color w:val="auto"/>
          <w:kern w:val="0"/>
          <w:sz w:val="21"/>
          <w:szCs w:val="21"/>
          <w:highlight w:val="none"/>
          <w:u w:val="single"/>
          <w:lang w:val="en-US" w:eastAsia="zh-CN" w:bidi="ar"/>
        </w:rPr>
      </w:pPr>
    </w:p>
    <w:p w14:paraId="713212AC">
      <w:pPr>
        <w:shd w:val="clear"/>
        <w:rPr>
          <w:rFonts w:hint="eastAsia" w:ascii="宋体" w:hAnsi="宋体" w:eastAsia="宋体" w:cs="Times New Roman"/>
          <w:color w:val="auto"/>
          <w:kern w:val="0"/>
          <w:sz w:val="21"/>
          <w:szCs w:val="21"/>
          <w:highlight w:val="none"/>
          <w:u w:val="single"/>
          <w:lang w:val="en-US" w:eastAsia="zh-CN" w:bidi="ar"/>
        </w:rPr>
      </w:pPr>
    </w:p>
    <w:p w14:paraId="4B38D40A">
      <w:pPr>
        <w:shd w:val="clear"/>
        <w:rPr>
          <w:rFonts w:hint="eastAsia" w:ascii="宋体" w:hAnsi="宋体" w:eastAsia="宋体" w:cs="Times New Roman"/>
          <w:color w:val="auto"/>
          <w:kern w:val="0"/>
          <w:sz w:val="21"/>
          <w:szCs w:val="21"/>
          <w:highlight w:val="none"/>
          <w:u w:val="single"/>
          <w:lang w:val="en-US" w:eastAsia="zh-CN" w:bidi="ar"/>
        </w:rPr>
      </w:pPr>
    </w:p>
    <w:p w14:paraId="493FB872">
      <w:pPr>
        <w:shd w:val="clear"/>
        <w:rPr>
          <w:rFonts w:hint="eastAsia" w:ascii="宋体" w:hAnsi="宋体" w:eastAsia="宋体" w:cs="Times New Roman"/>
          <w:color w:val="auto"/>
          <w:kern w:val="0"/>
          <w:sz w:val="21"/>
          <w:szCs w:val="21"/>
          <w:highlight w:val="none"/>
          <w:u w:val="single"/>
          <w:lang w:val="en-US" w:eastAsia="zh-CN" w:bidi="ar"/>
        </w:rPr>
      </w:pPr>
    </w:p>
    <w:p w14:paraId="0EDB8A56">
      <w:pPr>
        <w:pStyle w:val="10"/>
        <w:shd w:val="clear"/>
        <w:rPr>
          <w:rFonts w:hint="eastAsia"/>
          <w:color w:val="auto"/>
          <w:highlight w:val="none"/>
          <w:lang w:val="en-US" w:eastAsia="zh-CN"/>
        </w:rPr>
      </w:pPr>
    </w:p>
    <w:p w14:paraId="34F46F85">
      <w:pPr>
        <w:rPr>
          <w:rFonts w:hint="eastAsia"/>
          <w:color w:val="auto"/>
          <w:highlight w:val="none"/>
          <w:lang w:val="en-US" w:eastAsia="zh-CN"/>
        </w:rPr>
      </w:pPr>
    </w:p>
    <w:p w14:paraId="7CC4A398">
      <w:pPr>
        <w:rPr>
          <w:rFonts w:hint="eastAsia"/>
          <w:color w:val="auto"/>
          <w:highlight w:val="none"/>
          <w:lang w:val="en-US" w:eastAsia="zh-CN"/>
        </w:rPr>
      </w:pPr>
    </w:p>
    <w:p w14:paraId="6100A671">
      <w:pPr>
        <w:rPr>
          <w:rFonts w:hint="eastAsia"/>
          <w:color w:val="auto"/>
          <w:highlight w:val="none"/>
          <w:lang w:val="en-US" w:eastAsia="zh-CN"/>
        </w:rPr>
      </w:pPr>
    </w:p>
    <w:p w14:paraId="40E113AB">
      <w:pPr>
        <w:rPr>
          <w:rFonts w:hint="eastAsia"/>
          <w:color w:val="auto"/>
          <w:highlight w:val="none"/>
          <w:lang w:val="en-US" w:eastAsia="zh-CN"/>
        </w:rPr>
      </w:pPr>
    </w:p>
    <w:p w14:paraId="3B964718">
      <w:pPr>
        <w:rPr>
          <w:rFonts w:hint="eastAsia"/>
          <w:color w:val="auto"/>
          <w:highlight w:val="none"/>
          <w:lang w:val="en-US" w:eastAsia="zh-CN"/>
        </w:rPr>
      </w:pPr>
    </w:p>
    <w:p w14:paraId="5C429B99">
      <w:pPr>
        <w:rPr>
          <w:rFonts w:hint="eastAsia"/>
          <w:color w:val="auto"/>
          <w:highlight w:val="none"/>
          <w:lang w:val="en-US" w:eastAsia="zh-CN"/>
        </w:rPr>
      </w:pPr>
    </w:p>
    <w:p w14:paraId="5934F3AE">
      <w:pPr>
        <w:rPr>
          <w:rFonts w:hint="eastAsia"/>
          <w:color w:val="auto"/>
          <w:highlight w:val="none"/>
          <w:lang w:val="en-US" w:eastAsia="zh-CN"/>
        </w:rPr>
      </w:pPr>
    </w:p>
    <w:p w14:paraId="73F622B9">
      <w:pPr>
        <w:shd w:val="clear"/>
        <w:rPr>
          <w:rFonts w:hint="eastAsia" w:ascii="宋体" w:hAnsi="宋体" w:eastAsia="宋体" w:cs="Times New Roman"/>
          <w:color w:val="auto"/>
          <w:kern w:val="0"/>
          <w:sz w:val="21"/>
          <w:szCs w:val="21"/>
          <w:highlight w:val="none"/>
          <w:u w:val="single"/>
          <w:lang w:val="en-US" w:eastAsia="zh-CN" w:bidi="ar"/>
        </w:rPr>
      </w:pPr>
    </w:p>
    <w:p w14:paraId="56F7ADC6">
      <w:pPr>
        <w:pStyle w:val="10"/>
        <w:shd w:val="clear"/>
        <w:rPr>
          <w:rFonts w:hint="eastAsia"/>
          <w:color w:val="auto"/>
          <w:highlight w:val="none"/>
        </w:rPr>
      </w:pPr>
    </w:p>
    <w:p w14:paraId="3DF5B339">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附件</w:t>
      </w:r>
      <w:r>
        <w:rPr>
          <w:rFonts w:hint="eastAsia" w:ascii="宋体" w:hAnsi="宋体" w:cs="宋体"/>
          <w:b/>
          <w:bCs w:val="0"/>
          <w:color w:val="auto"/>
          <w:kern w:val="0"/>
          <w:sz w:val="36"/>
          <w:szCs w:val="36"/>
          <w:highlight w:val="none"/>
          <w:lang w:val="en-US" w:eastAsia="zh-CN" w:bidi="ar"/>
        </w:rPr>
        <w:t>3</w:t>
      </w:r>
      <w:r>
        <w:rPr>
          <w:rFonts w:hint="eastAsia" w:ascii="宋体" w:hAnsi="宋体" w:eastAsia="宋体" w:cs="宋体"/>
          <w:b/>
          <w:bCs w:val="0"/>
          <w:color w:val="auto"/>
          <w:kern w:val="0"/>
          <w:sz w:val="36"/>
          <w:szCs w:val="36"/>
          <w:highlight w:val="none"/>
          <w:lang w:val="en-US" w:eastAsia="zh-CN" w:bidi="ar"/>
        </w:rPr>
        <w:t>：预付款支付申请（核准）表</w:t>
      </w:r>
    </w:p>
    <w:p w14:paraId="34FD8609">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79"/>
        <w:gridCol w:w="4606"/>
      </w:tblGrid>
      <w:tr w14:paraId="4F38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F59B690">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452C50E6">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我方根据施工合同的约定，现申请支付工程预付款额为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p>
          <w:p w14:paraId="3BE2E65D">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元，请予核准。</w:t>
            </w:r>
          </w:p>
          <w:tbl>
            <w:tblPr>
              <w:tblStyle w:val="24"/>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5"/>
              <w:gridCol w:w="3340"/>
              <w:gridCol w:w="1764"/>
              <w:gridCol w:w="2240"/>
              <w:gridCol w:w="1080"/>
            </w:tblGrid>
            <w:tr w14:paraId="5A6A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B0380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228A50C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14:paraId="4702D2A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1390685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BC4494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5E0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F99768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FEDA05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已签约合同价款金额</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7446F5B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B7F26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69DF677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CA4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1C7C84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47D5A7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其中：安全文明施工费</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12B88B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42EC3BB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17AF25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A78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23D46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3DA6B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FB26FB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35908B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FE2313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D92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8BC442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368284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014D90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312A692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7E8EAAD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E83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3C5DBA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B51392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合计应支付的预付款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7064FC4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007D1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601E37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200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420696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F76C2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2BEE18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3EA4764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5D3E0F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07C93C1D">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p>
          <w:p w14:paraId="7DF2D49A">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10A3254">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1DD4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194A182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F94B530">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□与合同约定不相符，修改意见见附件。</w:t>
            </w:r>
          </w:p>
          <w:p w14:paraId="743B8BAD">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□与合同约定相符，具体金额由造价工程师复核。</w:t>
            </w:r>
          </w:p>
          <w:p w14:paraId="3C702F3C">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5C0D9B7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0B8BB37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408E32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435FD144">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你方提出的支付申请经复核，应支付预付款金额为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5E3A1D8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w:t>
            </w:r>
          </w:p>
          <w:p w14:paraId="39D7DE7F">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p>
          <w:p w14:paraId="59308035">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4078215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2D13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F6B091E">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86EB8C6">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CDC1CE4">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14490F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23FE629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3EDF1EE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51FA69BF">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3580BC6F">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仿宋_GB2312"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2CD1C1F1">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highlight w:val="none"/>
        </w:rPr>
      </w:pPr>
    </w:p>
    <w:p w14:paraId="1A97A81B">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2500AE76">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4C375845">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Times New Roman"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w:t>
      </w:r>
      <w:r>
        <w:rPr>
          <w:rFonts w:hint="eastAsia" w:eastAsia="仿宋_GB2312" w:cs="Times New Roman"/>
          <w:color w:val="auto"/>
          <w:kern w:val="0"/>
          <w:sz w:val="30"/>
          <w:szCs w:val="30"/>
          <w:highlight w:val="none"/>
          <w:lang w:val="en-US" w:eastAsia="zh-CN" w:bidi="ar"/>
        </w:rPr>
        <w:t>4</w:t>
      </w:r>
      <w:r>
        <w:rPr>
          <w:rFonts w:hint="eastAsia" w:ascii="仿宋_GB2312" w:hAnsi="Times New Roman" w:eastAsia="仿宋_GB2312" w:cs="仿宋_GB2312"/>
          <w:color w:val="auto"/>
          <w:kern w:val="0"/>
          <w:sz w:val="30"/>
          <w:szCs w:val="30"/>
          <w:highlight w:val="none"/>
          <w:lang w:val="en-US" w:eastAsia="zh-CN" w:bidi="ar"/>
        </w:rPr>
        <w:t>：</w:t>
      </w:r>
    </w:p>
    <w:p w14:paraId="42554B57">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进度款支付申请（核准）表</w:t>
      </w:r>
    </w:p>
    <w:p w14:paraId="6B73A41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20"/>
        <w:gridCol w:w="4552"/>
      </w:tblGrid>
      <w:tr w14:paraId="7453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55492B1">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2BDFBCDE">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我方于至期间已完成了工作，根据施工合同的约定，现申请支付本期的合同款额为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3258"/>
              <w:gridCol w:w="1328"/>
              <w:gridCol w:w="1424"/>
              <w:gridCol w:w="1250"/>
              <w:gridCol w:w="917"/>
            </w:tblGrid>
            <w:tr w14:paraId="52A7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2E6C08F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29663AB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31664F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实际金额（元）</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210DD4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51715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2B6E9FD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627D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3D6D77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E431A9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994DBA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D660AA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F50CD7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6AF8D0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495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9FF053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22668F9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172F388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25EC0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6FC0D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B26E8A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821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442D50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0D0A83B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269B3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15D463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37CE15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90900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08A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2251E5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1BF364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12C20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6FBC724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96C35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AC4EB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CC4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FDC08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699CFE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BB1A51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0DFC37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793C9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D36260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006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CF6063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1822C8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95773C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98888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FFE682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274D64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46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816C9D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6E201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1D7406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2DA133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6471A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36B0AF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A21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E75E3A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B4FEA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本周期实际应抵扣的预付款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4F4885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715E19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6D29FD5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F4CC1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252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BD6501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69DD95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8863E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FE017C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C1D23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282213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CD0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EFB556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411CDB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本周期应支付的合同价款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BB465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3F4744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4C78D1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E0D017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E3E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A1DAFB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D32E2D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BF6FA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7C4E13C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988A66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1D99E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14DB6731">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附：上述</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详见附件清单。</w:t>
            </w:r>
          </w:p>
          <w:p w14:paraId="516AAF60">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0BFC1A56">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3776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42C1E74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22F3ADAF">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2CAE4AA8">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591A5081">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D8C8311">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1E715CD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147E54E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3F0BB8B">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你方提出的支付申请经复核，本周期已完成工程价款为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77D66B03">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元，本期间应支付金额为（大写）</w:t>
            </w:r>
          </w:p>
          <w:p w14:paraId="6517518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元，（小写）元。</w:t>
            </w:r>
          </w:p>
          <w:p w14:paraId="43CF9D79">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3F07D82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3959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0CD233C">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4F78E718">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461046E3">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9E4E13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1A789FE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6DCA3EF1">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4B2592AE">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4A7AE8E6">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29E267F8">
      <w:pPr>
        <w:keepNext w:val="0"/>
        <w:keepLines w:val="0"/>
        <w:widowControl w:val="0"/>
        <w:suppressLineNumbers w:val="0"/>
        <w:shd w:val="clear"/>
        <w:spacing w:before="0" w:beforeAutospacing="0" w:after="0" w:afterAutospacing="0"/>
        <w:ind w:left="0" w:right="0"/>
        <w:jc w:val="left"/>
        <w:rPr>
          <w:rFonts w:hint="default" w:ascii="Times New Roman" w:hAnsi="Times New Roman" w:eastAsia="宋体" w:cs="Times New Roman"/>
          <w:color w:val="auto"/>
          <w:sz w:val="30"/>
          <w:szCs w:val="30"/>
          <w:highlight w:val="none"/>
          <w:lang w:val="en-US"/>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5</w:t>
      </w:r>
    </w:p>
    <w:p w14:paraId="548422D0">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竣工结算款支付申请（核准）表</w:t>
      </w:r>
    </w:p>
    <w:p w14:paraId="2A7D3405">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3"/>
        <w:gridCol w:w="4529"/>
      </w:tblGrid>
      <w:tr w14:paraId="4740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8806BDD">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0680735E">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我方于至期间已完成了合同约定的工作，根据施工合同的约定，现申请支付竣工结算的工程款额为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3349"/>
              <w:gridCol w:w="1604"/>
              <w:gridCol w:w="1604"/>
              <w:gridCol w:w="1622"/>
            </w:tblGrid>
            <w:tr w14:paraId="4EC2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32B5CAF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79E7E26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E153AC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FB5E83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4D8ECA3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4280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19EF07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377C3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竣工结算合同价款总额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1DA82A0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5E8BF2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1D60A2C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9D8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998ABC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CE5AE9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1DE9F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0548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2D1769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9CB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15FD6B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4DB50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09DD85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BB74B1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4CE5ED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099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99619D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4A82B4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应支付的竣工结算款金额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019F09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12B4A2C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45AC6D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A94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7884F5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4CC0D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CE0066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F78A71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1CB257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9CE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686DB1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02FC2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F36721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BF4AB9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7D105C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E59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B29324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384FC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CD4D7F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1C31A7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51B3071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4B0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DB9E34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D0FA87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A45C31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343531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8F745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3E9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794D25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25BF6D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C3DED4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286A5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7B5BE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2436A453">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p>
          <w:p w14:paraId="39D84F20">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47956692">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7644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6918B92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4D0F2AA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42333ACD">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5F6122A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3484299">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662927E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BAFA60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2971A6C1">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2B4B9FDD">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5DBC44C2">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你方提出的竣工结算支付申请经复核，竣工结算款总额为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元，（小写）元，扣除前期支付以及质量保证金后应支付金额为（大写）元，（小写）元。</w:t>
            </w:r>
          </w:p>
          <w:p w14:paraId="4161869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086F402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FC350D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DBB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17BC2B6">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B8DB46C">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73E3CB83">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3CE2384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33E27696">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09E04EE0">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0E334B4F">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72056AE8">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宋体" w:eastAsia="宋体" w:cs="宋体"/>
          <w:color w:val="auto"/>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352DE696">
      <w:pPr>
        <w:keepNext w:val="0"/>
        <w:keepLines w:val="0"/>
        <w:widowControl w:val="0"/>
        <w:suppressLineNumbers w:val="0"/>
        <w:shd w:val="clear"/>
        <w:spacing w:before="0" w:beforeAutospacing="0" w:after="0" w:afterAutospacing="0"/>
        <w:ind w:left="0" w:right="0"/>
        <w:jc w:val="left"/>
        <w:rPr>
          <w:rFonts w:hint="eastAsia" w:ascii="Times New Roman" w:hAnsi="Times New Roman" w:eastAsia="宋体" w:cs="Times New Roman"/>
          <w:b/>
          <w:bCs w:val="0"/>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6</w:t>
      </w:r>
      <w:r>
        <w:rPr>
          <w:rFonts w:hint="eastAsia" w:ascii="宋体" w:hAnsi="宋体" w:eastAsia="宋体" w:cs="宋体"/>
          <w:color w:val="auto"/>
          <w:kern w:val="0"/>
          <w:sz w:val="30"/>
          <w:szCs w:val="30"/>
          <w:highlight w:val="none"/>
          <w:lang w:val="en-US" w:eastAsia="zh-CN" w:bidi="ar"/>
        </w:rPr>
        <w:t>：</w:t>
      </w:r>
    </w:p>
    <w:p w14:paraId="6B0FABFD">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最终结算款支付申请（核准）表</w:t>
      </w:r>
    </w:p>
    <w:p w14:paraId="4D8691E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4"/>
        <w:gridCol w:w="4528"/>
      </w:tblGrid>
      <w:tr w14:paraId="3DDA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23F9C75">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36EDFECC">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我方于至期间已完成了缺陷修复工作，根据施工合同的约定，现申请支付最终结清合同款额为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3"/>
              <w:gridCol w:w="3351"/>
              <w:gridCol w:w="1603"/>
              <w:gridCol w:w="1603"/>
              <w:gridCol w:w="1621"/>
            </w:tblGrid>
            <w:tr w14:paraId="40BC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58EAF19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B243F7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B6CEC6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CC3833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AC0996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6B02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CF13DD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BF718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4AFD6F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19B9E08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72BE0F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A21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91F560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5BC874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F00B68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20DB6B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87EC7D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8D6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54DDCD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67CFF9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1B4CE53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FE8BF2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8F99E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2C1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DDF9A0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85AF41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最终应支付的合同价款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F5523B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12E843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94D5C2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091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6A00F3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FF7D7F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62BD3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20990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C277D4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39D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C1EBF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F67277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1E22877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28E65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19AFF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9BB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8F509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10AECB7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F9577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B3166B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C82094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4B8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B19520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10FED42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36239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705136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459ADA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7A795BEC">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5336CF39">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21A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269287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66818BE">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111A639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69B810CD">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7481A83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768CB4C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1A4038D">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17F7A321">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5A835A2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75E43CA7">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你方提出的支付申请经复核，最终应支付金额为（大写）元，（小写）元。</w:t>
            </w:r>
          </w:p>
          <w:p w14:paraId="4D460D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5FC9A4C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516FED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4463A032">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065E8F4D">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483F3052">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7EE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4C14C08E">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68DBD262">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5CA8C73A">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1E75BC9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2565C46C">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0DF9261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705FDC9B">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在选择栏中的“□”内作标识“√”。如监理人已退场，监理工程师栏可空缺。</w:t>
      </w:r>
    </w:p>
    <w:p w14:paraId="045EF309">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5811480B">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highlight w:val="none"/>
          <w:u w:val="single"/>
        </w:rPr>
      </w:pPr>
    </w:p>
    <w:p w14:paraId="7511202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D41E321">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708373B0">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4293DE33">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7D5DFF8C">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36111DEB">
      <w:pPr>
        <w:keepNext w:val="0"/>
        <w:keepLines w:val="0"/>
        <w:widowControl w:val="0"/>
        <w:suppressLineNumbers w:val="0"/>
        <w:shd w:val="clear"/>
        <w:spacing w:before="0" w:beforeAutospacing="0" w:after="0" w:afterAutospacing="0" w:line="360" w:lineRule="auto"/>
        <w:ind w:left="0" w:right="0"/>
        <w:jc w:val="left"/>
        <w:rPr>
          <w:rFonts w:hint="eastAsia" w:ascii="Times New Roman" w:hAnsi="宋体" w:eastAsia="宋体" w:cs="宋体"/>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7</w:t>
      </w:r>
      <w:r>
        <w:rPr>
          <w:rFonts w:hint="eastAsia" w:ascii="宋体" w:hAnsi="宋体" w:eastAsia="宋体" w:cs="宋体"/>
          <w:color w:val="auto"/>
          <w:kern w:val="0"/>
          <w:sz w:val="30"/>
          <w:szCs w:val="30"/>
          <w:highlight w:val="none"/>
          <w:lang w:val="en-US" w:eastAsia="zh-CN" w:bidi="ar"/>
        </w:rPr>
        <w:t>：</w:t>
      </w:r>
    </w:p>
    <w:p w14:paraId="185AB0DE">
      <w:pPr>
        <w:keepNext w:val="0"/>
        <w:keepLines w:val="0"/>
        <w:widowControl w:val="0"/>
        <w:suppressLineNumbers w:val="0"/>
        <w:shd w:val="clear"/>
        <w:spacing w:before="0" w:beforeAutospacing="0" w:after="0" w:afterAutospacing="0" w:line="360" w:lineRule="auto"/>
        <w:ind w:left="0" w:right="0" w:firstLine="720" w:firstLineChars="200"/>
        <w:jc w:val="center"/>
        <w:rPr>
          <w:rFonts w:hint="eastAsia" w:ascii="宋体" w:hAnsi="宋体" w:eastAsia="宋体" w:cs="宋体"/>
          <w:color w:val="auto"/>
          <w:kern w:val="0"/>
          <w:sz w:val="36"/>
          <w:szCs w:val="36"/>
          <w:highlight w:val="none"/>
        </w:rPr>
      </w:pPr>
      <w:r>
        <w:rPr>
          <w:rFonts w:hint="eastAsia" w:ascii="宋体" w:hAnsi="宋体" w:eastAsia="宋体" w:cs="宋体"/>
          <w:color w:val="auto"/>
          <w:kern w:val="0"/>
          <w:sz w:val="36"/>
          <w:szCs w:val="36"/>
          <w:highlight w:val="none"/>
          <w:lang w:val="en-US" w:eastAsia="zh-CN" w:bidi="ar"/>
        </w:rPr>
        <w:t>总价合同进度款支付分解表</w:t>
      </w:r>
    </w:p>
    <w:p w14:paraId="23B5861A">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0"/>
          <w:highlight w:val="none"/>
        </w:rPr>
      </w:pPr>
      <w:r>
        <w:rPr>
          <w:rFonts w:hint="eastAsia" w:ascii="宋体" w:hAnsi="宋体" w:eastAsia="宋体" w:cs="宋体"/>
          <w:color w:val="auto"/>
          <w:kern w:val="0"/>
          <w:sz w:val="24"/>
          <w:szCs w:val="24"/>
          <w:highlight w:val="none"/>
          <w:lang w:val="en-US" w:eastAsia="zh-CN" w:bidi="ar"/>
        </w:rPr>
        <w:t>工程名称：</w:t>
      </w:r>
    </w:p>
    <w:tbl>
      <w:tblPr>
        <w:tblStyle w:val="24"/>
        <w:tblW w:w="8746"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9"/>
        <w:gridCol w:w="3119"/>
        <w:gridCol w:w="2943"/>
        <w:gridCol w:w="1155"/>
      </w:tblGrid>
      <w:tr w14:paraId="1507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6E1B41D5">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进度款期次</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7B105EAA">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形象进度</w:t>
            </w: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4EAD880F">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进度款付款金额（元）</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C1D421F">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6031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3CE650FD">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第一期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57FC6149">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75B33D7B">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167C80A">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790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6D506142">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第二期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4C400D03">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57C5497B">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9A1DE9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7AB3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01B1660A">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第三期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49704224">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2631FFB2">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30DE7E9F">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265F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464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864F6D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发包人代表签字：</w:t>
            </w:r>
          </w:p>
          <w:p w14:paraId="496EA85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74F3119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发包人（盖公章）</w:t>
            </w:r>
          </w:p>
          <w:p w14:paraId="42387251">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09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8C9862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承包人代表签字：</w:t>
            </w:r>
          </w:p>
          <w:p w14:paraId="6643420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6A85D7C2">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承包人（盖公章）</w:t>
            </w:r>
          </w:p>
          <w:p w14:paraId="10B7111F">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0994ECFC">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Times New Roman"/>
          <w:color w:val="auto"/>
          <w:sz w:val="21"/>
          <w:szCs w:val="21"/>
          <w:highlight w:val="none"/>
          <w:u w:val="single"/>
        </w:rPr>
      </w:pPr>
    </w:p>
    <w:p w14:paraId="3A9E2FF4">
      <w:pPr>
        <w:keepNext w:val="0"/>
        <w:keepLines w:val="0"/>
        <w:widowControl w:val="0"/>
        <w:suppressLineNumbers w:val="0"/>
        <w:shd w:val="clear"/>
        <w:spacing w:before="0" w:beforeAutospacing="0" w:after="0" w:afterAutospacing="0"/>
        <w:ind w:left="0" w:right="0"/>
        <w:jc w:val="both"/>
        <w:rPr>
          <w:rFonts w:hint="default" w:ascii="Times New Roman" w:hAnsi="Times New Roman" w:eastAsia="宋体" w:cs="Times New Roman"/>
          <w:color w:val="auto"/>
          <w:highlight w:val="none"/>
        </w:rPr>
      </w:pPr>
    </w:p>
    <w:p w14:paraId="284E6A8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p>
    <w:p w14:paraId="26B3E714">
      <w:pPr>
        <w:keepNext w:val="0"/>
        <w:keepLines w:val="0"/>
        <w:widowControl w:val="0"/>
        <w:suppressLineNumbers w:val="0"/>
        <w:shd w:val="clear"/>
        <w:spacing w:before="0" w:beforeAutospacing="0" w:after="0" w:afterAutospacing="0" w:line="360" w:lineRule="auto"/>
        <w:ind w:left="0" w:right="0"/>
        <w:jc w:val="left"/>
        <w:rPr>
          <w:rFonts w:ascii="宋体" w:hAnsi="宋体"/>
          <w:color w:val="auto"/>
          <w:highlight w:val="none"/>
        </w:rPr>
      </w:pPr>
    </w:p>
    <w:p w14:paraId="7EF72830">
      <w:pPr>
        <w:pStyle w:val="34"/>
        <w:shd w:val="clear"/>
        <w:spacing w:line="360" w:lineRule="auto"/>
        <w:jc w:val="center"/>
        <w:outlineLvl w:val="0"/>
        <w:rPr>
          <w:rFonts w:hint="eastAsia" w:eastAsia="宋体"/>
          <w:color w:val="auto"/>
          <w:szCs w:val="21"/>
          <w:highlight w:val="none"/>
          <w:lang w:eastAsia="zh-CN"/>
        </w:rPr>
      </w:pPr>
      <w:bookmarkStart w:id="1374" w:name="_Toc14935"/>
      <w:r>
        <w:rPr>
          <w:rFonts w:ascii="宋体" w:hAnsi="宋体"/>
          <w:b/>
          <w:color w:val="auto"/>
          <w:sz w:val="32"/>
          <w:szCs w:val="32"/>
          <w:highlight w:val="none"/>
        </w:rPr>
        <w:t>第六章</w:t>
      </w:r>
      <w:bookmarkEnd w:id="1374"/>
      <w:r>
        <w:rPr>
          <w:rFonts w:hint="eastAsia" w:ascii="宋体" w:hAnsi="宋体"/>
          <w:b/>
          <w:color w:val="auto"/>
          <w:sz w:val="32"/>
          <w:szCs w:val="32"/>
          <w:highlight w:val="none"/>
          <w:lang w:eastAsia="zh-CN"/>
        </w:rPr>
        <w:t>评分办法和标准</w:t>
      </w:r>
    </w:p>
    <w:p w14:paraId="74E7979F">
      <w:pPr>
        <w:pStyle w:val="5"/>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i w:val="0"/>
          <w:iCs w:val="0"/>
          <w:caps w:val="0"/>
          <w:color w:val="0F1115"/>
          <w:spacing w:val="0"/>
          <w:sz w:val="21"/>
          <w:szCs w:val="21"/>
          <w:shd w:val="clear" w:fill="FFFFFF"/>
        </w:rPr>
        <w:t>一、评审原则</w:t>
      </w:r>
    </w:p>
    <w:p w14:paraId="3BD2ED5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7"/>
          <w:rFonts w:hint="default" w:ascii="Segoe UI" w:hAnsi="Segoe UI" w:eastAsia="Segoe UI" w:cs="Segoe UI"/>
          <w:b/>
          <w:bCs/>
          <w:i w:val="0"/>
          <w:iCs w:val="0"/>
          <w:caps w:val="0"/>
          <w:color w:val="0F1115"/>
          <w:spacing w:val="0"/>
          <w:sz w:val="21"/>
          <w:szCs w:val="21"/>
          <w:shd w:val="clear" w:fill="FFFFFF"/>
        </w:rPr>
        <w:t>公平、公正、科学、择优原则</w:t>
      </w:r>
      <w:r>
        <w:rPr>
          <w:rFonts w:hint="default" w:ascii="Segoe UI" w:hAnsi="Segoe UI" w:eastAsia="Segoe UI" w:cs="Segoe UI"/>
          <w:i w:val="0"/>
          <w:iCs w:val="0"/>
          <w:caps w:val="0"/>
          <w:color w:val="0F1115"/>
          <w:spacing w:val="0"/>
          <w:sz w:val="21"/>
          <w:szCs w:val="21"/>
          <w:shd w:val="clear" w:fill="FFFFFF"/>
        </w:rPr>
        <w:t>：磋商小组将依法独立评审，仅依据响应文件、磋商情况及本评分办法，对供应商进行综合比较，不受任何外部因素干扰。</w:t>
      </w:r>
    </w:p>
    <w:p w14:paraId="5BFC903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7"/>
          <w:rFonts w:hint="default" w:ascii="Segoe UI" w:hAnsi="Segoe UI" w:eastAsia="Segoe UI" w:cs="Segoe UI"/>
          <w:b/>
          <w:bCs/>
          <w:i w:val="0"/>
          <w:iCs w:val="0"/>
          <w:caps w:val="0"/>
          <w:color w:val="0F1115"/>
          <w:spacing w:val="0"/>
          <w:sz w:val="21"/>
          <w:szCs w:val="21"/>
          <w:shd w:val="clear" w:fill="FFFFFF"/>
        </w:rPr>
        <w:t>保密原则</w:t>
      </w:r>
      <w:r>
        <w:rPr>
          <w:rFonts w:hint="default" w:ascii="Segoe UI" w:hAnsi="Segoe UI" w:eastAsia="Segoe UI" w:cs="Segoe UI"/>
          <w:i w:val="0"/>
          <w:iCs w:val="0"/>
          <w:caps w:val="0"/>
          <w:color w:val="0F1115"/>
          <w:spacing w:val="0"/>
          <w:sz w:val="21"/>
          <w:szCs w:val="21"/>
          <w:shd w:val="clear" w:fill="FFFFFF"/>
        </w:rPr>
        <w:t>：评审活动在严格保密的情况下进行。磋商小组成员及相关工作人员不得透露评审情况、文件比较、成交候选人推荐等与评审有关的任何信息。</w:t>
      </w:r>
    </w:p>
    <w:p w14:paraId="0DC306A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7"/>
          <w:rFonts w:hint="default" w:ascii="Segoe UI" w:hAnsi="Segoe UI" w:eastAsia="Segoe UI" w:cs="Segoe UI"/>
          <w:b/>
          <w:bCs/>
          <w:i w:val="0"/>
          <w:iCs w:val="0"/>
          <w:caps w:val="0"/>
          <w:color w:val="0F1115"/>
          <w:spacing w:val="0"/>
          <w:sz w:val="21"/>
          <w:szCs w:val="21"/>
          <w:shd w:val="clear" w:fill="FFFFFF"/>
        </w:rPr>
        <w:t>量化比较原则</w:t>
      </w:r>
      <w:r>
        <w:rPr>
          <w:rFonts w:hint="default" w:ascii="Segoe UI" w:hAnsi="Segoe UI" w:eastAsia="Segoe UI" w:cs="Segoe UI"/>
          <w:i w:val="0"/>
          <w:iCs w:val="0"/>
          <w:caps w:val="0"/>
          <w:color w:val="0F1115"/>
          <w:spacing w:val="0"/>
          <w:sz w:val="21"/>
          <w:szCs w:val="21"/>
          <w:shd w:val="clear" w:fill="FFFFFF"/>
        </w:rPr>
        <w:t>：评审采用综合评分法，对供应商的技术、商务、报价等进行量化打分，以总分高低排序推荐成交候选人。</w:t>
      </w:r>
    </w:p>
    <w:p w14:paraId="23C3D49D">
      <w:pPr>
        <w:pStyle w:val="5"/>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7"/>
          <w:rFonts w:hint="default" w:ascii="Segoe UI" w:hAnsi="Segoe UI" w:eastAsia="Segoe UI" w:cs="Segoe UI"/>
          <w:b/>
          <w:i w:val="0"/>
          <w:iCs w:val="0"/>
          <w:caps w:val="0"/>
          <w:color w:val="0F1115"/>
          <w:spacing w:val="0"/>
          <w:sz w:val="21"/>
          <w:szCs w:val="21"/>
          <w:shd w:val="clear" w:fill="FFFFFF"/>
        </w:rPr>
        <w:t>二、评审组织与程序</w:t>
      </w:r>
    </w:p>
    <w:p w14:paraId="251C71C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7"/>
          <w:rFonts w:hint="default" w:ascii="Segoe UI" w:hAnsi="Segoe UI" w:eastAsia="Segoe UI" w:cs="Segoe UI"/>
          <w:b/>
          <w:bCs/>
          <w:i w:val="0"/>
          <w:iCs w:val="0"/>
          <w:caps w:val="0"/>
          <w:color w:val="0F1115"/>
          <w:spacing w:val="0"/>
          <w:sz w:val="21"/>
          <w:szCs w:val="21"/>
          <w:shd w:val="clear" w:fill="FFFFFF"/>
        </w:rPr>
        <w:t>磋商小组组成</w:t>
      </w:r>
      <w:r>
        <w:rPr>
          <w:rFonts w:hint="default" w:ascii="Segoe UI" w:hAnsi="Segoe UI" w:eastAsia="Segoe UI" w:cs="Segoe UI"/>
          <w:i w:val="0"/>
          <w:iCs w:val="0"/>
          <w:caps w:val="0"/>
          <w:color w:val="0F1115"/>
          <w:spacing w:val="0"/>
          <w:sz w:val="21"/>
          <w:szCs w:val="21"/>
          <w:shd w:val="clear" w:fill="FFFFFF"/>
        </w:rPr>
        <w:t>：由采购人代表和从政府采购专家库中随机抽取的评审专家组成，成员总数为3人。</w:t>
      </w:r>
    </w:p>
    <w:p w14:paraId="08FA8AB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7"/>
          <w:rFonts w:hint="default" w:ascii="Segoe UI" w:hAnsi="Segoe UI" w:eastAsia="Segoe UI" w:cs="Segoe UI"/>
          <w:b/>
          <w:bCs/>
          <w:i w:val="0"/>
          <w:iCs w:val="0"/>
          <w:caps w:val="0"/>
          <w:color w:val="0F1115"/>
          <w:spacing w:val="0"/>
          <w:sz w:val="21"/>
          <w:szCs w:val="21"/>
          <w:shd w:val="clear" w:fill="FFFFFF"/>
        </w:rPr>
        <w:t>评审程序</w:t>
      </w:r>
      <w:r>
        <w:rPr>
          <w:rFonts w:hint="default" w:ascii="Segoe UI" w:hAnsi="Segoe UI" w:eastAsia="Segoe UI" w:cs="Segoe UI"/>
          <w:i w:val="0"/>
          <w:iCs w:val="0"/>
          <w:caps w:val="0"/>
          <w:color w:val="0F1115"/>
          <w:spacing w:val="0"/>
          <w:sz w:val="21"/>
          <w:szCs w:val="21"/>
          <w:shd w:val="clear" w:fill="FFFFFF"/>
        </w:rPr>
        <w:t>：整个评审过程分为</w:t>
      </w:r>
      <w:r>
        <w:rPr>
          <w:rStyle w:val="27"/>
          <w:rFonts w:hint="default" w:ascii="Segoe UI" w:hAnsi="Segoe UI" w:eastAsia="Segoe UI" w:cs="Segoe UI"/>
          <w:b/>
          <w:bCs/>
          <w:i w:val="0"/>
          <w:iCs w:val="0"/>
          <w:caps w:val="0"/>
          <w:color w:val="0F1115"/>
          <w:spacing w:val="0"/>
          <w:sz w:val="21"/>
          <w:szCs w:val="21"/>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shd w:val="clear" w:fill="FFFFFF"/>
        </w:rPr>
        <w:t>五个阶段。</w:t>
      </w:r>
    </w:p>
    <w:p w14:paraId="2E9F74B5">
      <w:pPr>
        <w:pStyle w:val="5"/>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7"/>
          <w:rFonts w:hint="default" w:ascii="Segoe UI" w:hAnsi="Segoe UI" w:eastAsia="Segoe UI" w:cs="Segoe UI"/>
          <w:b/>
          <w:i w:val="0"/>
          <w:iCs w:val="0"/>
          <w:caps w:val="0"/>
          <w:color w:val="0F1115"/>
          <w:spacing w:val="0"/>
          <w:sz w:val="21"/>
          <w:szCs w:val="21"/>
          <w:shd w:val="clear" w:fill="FFFFFF"/>
        </w:rPr>
        <w:t>三、详细评审步骤</w:t>
      </w:r>
    </w:p>
    <w:p w14:paraId="0F7F00C5">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bCs/>
          <w:i w:val="0"/>
          <w:iCs w:val="0"/>
          <w:caps w:val="0"/>
          <w:color w:val="0F1115"/>
          <w:spacing w:val="0"/>
          <w:sz w:val="21"/>
          <w:szCs w:val="21"/>
          <w:shd w:val="clear" w:fill="FFFFFF"/>
        </w:rPr>
        <w:t>第一阶段：资格性审查</w:t>
      </w:r>
    </w:p>
    <w:p w14:paraId="0F851FE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1.</w:t>
      </w:r>
      <w:r>
        <w:rPr>
          <w:rStyle w:val="27"/>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：磋商小组依据竞争性磋商公告及供应商须知中的要求，对供应商的响应文件资格部分进行审查。</w:t>
      </w:r>
    </w:p>
    <w:p w14:paraId="188AEDF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2.</w:t>
      </w:r>
      <w:r>
        <w:rPr>
          <w:rStyle w:val="27"/>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：通过资格审查的供应商进入下一阶段。未通过的，其响应文件按无效处理，不再进入后续评审。</w:t>
      </w:r>
    </w:p>
    <w:p w14:paraId="6C46CD59">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bCs/>
          <w:i w:val="0"/>
          <w:iCs w:val="0"/>
          <w:caps w:val="0"/>
          <w:color w:val="0F1115"/>
          <w:spacing w:val="0"/>
          <w:sz w:val="21"/>
          <w:szCs w:val="21"/>
          <w:shd w:val="clear" w:fill="FFFFFF"/>
        </w:rPr>
        <w:t>第二阶段：符合性审查</w:t>
      </w:r>
    </w:p>
    <w:p w14:paraId="6A4B839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1.</w:t>
      </w:r>
      <w:r>
        <w:rPr>
          <w:rStyle w:val="27"/>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：磋商小组审查通过资格审查的响应文件是否对竞争性磋商文件的实质性要求作出响应。</w:t>
      </w:r>
    </w:p>
    <w:p w14:paraId="3DC6B12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2.</w:t>
      </w:r>
      <w:r>
        <w:rPr>
          <w:rStyle w:val="27"/>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：通过符合性审查的供应商进入下一阶段（磋商）。未通过的，其响应文件按无效处理。</w:t>
      </w:r>
    </w:p>
    <w:p w14:paraId="0F9F7A3B">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bCs/>
          <w:i w:val="0"/>
          <w:iCs w:val="0"/>
          <w:caps w:val="0"/>
          <w:color w:val="0F1115"/>
          <w:spacing w:val="0"/>
          <w:sz w:val="21"/>
          <w:szCs w:val="21"/>
          <w:shd w:val="clear" w:fill="FFFFFF"/>
        </w:rPr>
        <w:t>第三阶段：磋商环节</w:t>
      </w:r>
    </w:p>
    <w:p w14:paraId="770018E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1.</w:t>
      </w:r>
      <w:r>
        <w:rPr>
          <w:rStyle w:val="27"/>
          <w:rFonts w:hint="default" w:ascii="Segoe UI" w:hAnsi="Segoe UI" w:eastAsia="Segoe UI" w:cs="Segoe UI"/>
          <w:b/>
          <w:bCs/>
          <w:i w:val="0"/>
          <w:iCs w:val="0"/>
          <w:caps w:val="0"/>
          <w:color w:val="0F1115"/>
          <w:spacing w:val="0"/>
          <w:sz w:val="21"/>
          <w:szCs w:val="21"/>
          <w:shd w:val="clear" w:fill="FFFFFF"/>
        </w:rPr>
        <w:t>磋商目的</w:t>
      </w:r>
      <w:r>
        <w:rPr>
          <w:rFonts w:hint="default" w:ascii="Segoe UI" w:hAnsi="Segoe UI" w:eastAsia="Segoe UI" w:cs="Segoe UI"/>
          <w:i w:val="0"/>
          <w:iCs w:val="0"/>
          <w:caps w:val="0"/>
          <w:color w:val="0F1115"/>
          <w:spacing w:val="0"/>
          <w:sz w:val="21"/>
          <w:szCs w:val="21"/>
          <w:shd w:val="clear" w:fill="FFFFFF"/>
        </w:rPr>
        <w:t>：磋商小组与通过前两阶段审查的单一供应商分别进行在线磋商，就技术方案、施工组织、服务承诺等细节进行沟通，并可根据磋商文件的实质性变动，要求供应商重新提交响应文件。</w:t>
      </w:r>
    </w:p>
    <w:p w14:paraId="6CFA99F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2.</w:t>
      </w:r>
      <w:r>
        <w:rPr>
          <w:rStyle w:val="27"/>
          <w:rFonts w:hint="default" w:ascii="Segoe UI" w:hAnsi="Segoe UI" w:eastAsia="Segoe UI" w:cs="Segoe UI"/>
          <w:b/>
          <w:bCs/>
          <w:i w:val="0"/>
          <w:iCs w:val="0"/>
          <w:caps w:val="0"/>
          <w:color w:val="0F1115"/>
          <w:spacing w:val="0"/>
          <w:sz w:val="21"/>
          <w:szCs w:val="21"/>
          <w:shd w:val="clear" w:fill="FFFFFF"/>
        </w:rPr>
        <w:t>磋商内容</w:t>
      </w:r>
      <w:r>
        <w:rPr>
          <w:rFonts w:hint="default" w:ascii="Segoe UI" w:hAnsi="Segoe UI" w:eastAsia="Segoe UI" w:cs="Segoe UI"/>
          <w:i w:val="0"/>
          <w:iCs w:val="0"/>
          <w:caps w:val="0"/>
          <w:color w:val="0F1115"/>
          <w:spacing w:val="0"/>
          <w:sz w:val="21"/>
          <w:szCs w:val="21"/>
          <w:shd w:val="clear" w:fill="FFFFFF"/>
        </w:rPr>
        <w:t>：</w:t>
      </w:r>
    </w:p>
    <w:p w14:paraId="63395D36">
      <w:pPr>
        <w:pStyle w:val="2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磋商小组将审阅供应商的《施工组织设计》等技术文件，可就其中的施工方法、重难点分析、进度计划等进行提问。</w:t>
      </w:r>
    </w:p>
    <w:p w14:paraId="46501F8D">
      <w:pPr>
        <w:pStyle w:val="2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供应商应在线对相关问题进行澄清、说明或补充。</w:t>
      </w:r>
    </w:p>
    <w:p w14:paraId="1255A8BC">
      <w:pPr>
        <w:pStyle w:val="2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磋商小组可根据磋商情况，对技术需求、服务要求等进行实质性变动（不变动磋商文件的其他内容），并以书面形式通知所有参与磋商的供应商。</w:t>
      </w:r>
    </w:p>
    <w:p w14:paraId="058A2485">
      <w:pPr>
        <w:pStyle w:val="2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供应商应根据变动要求，在规定时间内重新提交修正后的技术响应文件。</w:t>
      </w:r>
    </w:p>
    <w:p w14:paraId="415B4505">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shd w:val="clear" w:fill="FFFFFF"/>
        </w:rPr>
      </w:pPr>
      <w:r>
        <w:rPr>
          <w:rStyle w:val="27"/>
          <w:rFonts w:hint="eastAsia" w:ascii="Segoe UI" w:hAnsi="Segoe UI" w:eastAsia="宋体" w:cs="Segoe UI"/>
          <w:b/>
          <w:bCs/>
          <w:i w:val="0"/>
          <w:iCs w:val="0"/>
          <w:caps w:val="0"/>
          <w:color w:val="0F1115"/>
          <w:spacing w:val="0"/>
          <w:sz w:val="21"/>
          <w:szCs w:val="21"/>
          <w:shd w:val="clear" w:fill="FFFFFF"/>
          <w:lang w:val="en-US" w:eastAsia="zh-CN"/>
        </w:rPr>
        <w:t>3.</w:t>
      </w:r>
      <w:r>
        <w:rPr>
          <w:rStyle w:val="27"/>
          <w:rFonts w:hint="default" w:ascii="Segoe UI" w:hAnsi="Segoe UI" w:eastAsia="Segoe UI" w:cs="Segoe UI"/>
          <w:b/>
          <w:bCs/>
          <w:i w:val="0"/>
          <w:iCs w:val="0"/>
          <w:caps w:val="0"/>
          <w:color w:val="0F1115"/>
          <w:spacing w:val="0"/>
          <w:sz w:val="21"/>
          <w:szCs w:val="21"/>
          <w:shd w:val="clear" w:fill="FFFFFF"/>
        </w:rPr>
        <w:t>记录与确认</w:t>
      </w:r>
      <w:r>
        <w:rPr>
          <w:rFonts w:hint="default" w:ascii="Segoe UI" w:hAnsi="Segoe UI" w:eastAsia="Segoe UI" w:cs="Segoe UI"/>
          <w:i w:val="0"/>
          <w:iCs w:val="0"/>
          <w:caps w:val="0"/>
          <w:color w:val="0F1115"/>
          <w:spacing w:val="0"/>
          <w:sz w:val="21"/>
          <w:szCs w:val="21"/>
          <w:shd w:val="clear" w:fill="FFFFFF"/>
        </w:rPr>
        <w:t>：磋商过程及内容由</w:t>
      </w:r>
      <w:r>
        <w:rPr>
          <w:rFonts w:hint="eastAsia" w:ascii="Segoe UI" w:hAnsi="Segoe UI" w:eastAsia="宋体" w:cs="Segoe UI"/>
          <w:i w:val="0"/>
          <w:iCs w:val="0"/>
          <w:caps w:val="0"/>
          <w:color w:val="0F1115"/>
          <w:spacing w:val="0"/>
          <w:sz w:val="21"/>
          <w:szCs w:val="21"/>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shd w:val="clear" w:fill="FFFFFF"/>
        </w:rPr>
        <w:t>并经供应商在线确认。</w:t>
      </w:r>
    </w:p>
    <w:p w14:paraId="4B891800">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bCs/>
          <w:i w:val="0"/>
          <w:iCs w:val="0"/>
          <w:caps w:val="0"/>
          <w:color w:val="0F1115"/>
          <w:spacing w:val="0"/>
          <w:sz w:val="21"/>
          <w:szCs w:val="21"/>
          <w:shd w:val="clear" w:fill="FFFFFF"/>
        </w:rPr>
        <w:t>第四阶段：</w:t>
      </w:r>
      <w:r>
        <w:rPr>
          <w:rStyle w:val="27"/>
          <w:rFonts w:hint="eastAsia" w:ascii="Segoe UI" w:hAnsi="Segoe UI" w:eastAsia="宋体" w:cs="Segoe UI"/>
          <w:b/>
          <w:bCs/>
          <w:i w:val="0"/>
          <w:iCs w:val="0"/>
          <w:caps w:val="0"/>
          <w:color w:val="0F1115"/>
          <w:spacing w:val="0"/>
          <w:sz w:val="21"/>
          <w:szCs w:val="21"/>
          <w:shd w:val="clear" w:fill="FFFFFF"/>
          <w:lang w:val="en-US" w:eastAsia="zh-CN"/>
        </w:rPr>
        <w:t>下一轮</w:t>
      </w:r>
      <w:r>
        <w:rPr>
          <w:rStyle w:val="27"/>
          <w:rFonts w:hint="default" w:ascii="Segoe UI" w:hAnsi="Segoe UI" w:eastAsia="Segoe UI" w:cs="Segoe UI"/>
          <w:b/>
          <w:bCs/>
          <w:i w:val="0"/>
          <w:iCs w:val="0"/>
          <w:caps w:val="0"/>
          <w:color w:val="0F1115"/>
          <w:spacing w:val="0"/>
          <w:sz w:val="21"/>
          <w:szCs w:val="21"/>
          <w:shd w:val="clear" w:fill="FFFFFF"/>
        </w:rPr>
        <w:t>报价</w:t>
      </w:r>
    </w:p>
    <w:p w14:paraId="40BEB2D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1.</w:t>
      </w:r>
      <w:r>
        <w:rPr>
          <w:rStyle w:val="27"/>
          <w:rFonts w:hint="default" w:ascii="Segoe UI" w:hAnsi="Segoe UI" w:eastAsia="Segoe UI" w:cs="Segoe UI"/>
          <w:b/>
          <w:bCs/>
          <w:i w:val="0"/>
          <w:iCs w:val="0"/>
          <w:caps w:val="0"/>
          <w:color w:val="0F1115"/>
          <w:spacing w:val="0"/>
          <w:sz w:val="21"/>
          <w:szCs w:val="21"/>
          <w:shd w:val="clear" w:fill="FFFFFF"/>
        </w:rPr>
        <w:t>报价要求</w:t>
      </w:r>
      <w:r>
        <w:rPr>
          <w:rFonts w:hint="default" w:ascii="Segoe UI" w:hAnsi="Segoe UI" w:eastAsia="Segoe UI" w:cs="Segoe UI"/>
          <w:i w:val="0"/>
          <w:iCs w:val="0"/>
          <w:caps w:val="0"/>
          <w:color w:val="0F1115"/>
          <w:spacing w:val="0"/>
          <w:sz w:val="21"/>
          <w:szCs w:val="21"/>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shd w:val="clear" w:fill="FFFFFF"/>
          <w:lang w:val="en-US" w:eastAsia="zh-CN"/>
        </w:rPr>
        <w:t>二次/</w:t>
      </w:r>
      <w:r>
        <w:rPr>
          <w:rStyle w:val="27"/>
          <w:rFonts w:hint="default" w:ascii="Segoe UI" w:hAnsi="Segoe UI" w:eastAsia="Segoe UI" w:cs="Segoe UI"/>
          <w:b/>
          <w:bCs/>
          <w:i w:val="0"/>
          <w:iCs w:val="0"/>
          <w:caps w:val="0"/>
          <w:color w:val="0F1115"/>
          <w:spacing w:val="0"/>
          <w:sz w:val="21"/>
          <w:szCs w:val="21"/>
          <w:shd w:val="clear" w:fill="FFFFFF"/>
        </w:rPr>
        <w:t>最终报价</w:t>
      </w:r>
      <w:r>
        <w:rPr>
          <w:rFonts w:hint="default" w:ascii="Segoe UI" w:hAnsi="Segoe UI" w:eastAsia="Segoe UI" w:cs="Segoe UI"/>
          <w:i w:val="0"/>
          <w:iCs w:val="0"/>
          <w:caps w:val="0"/>
          <w:color w:val="0F1115"/>
          <w:spacing w:val="0"/>
          <w:sz w:val="21"/>
          <w:szCs w:val="21"/>
          <w:shd w:val="clear" w:fill="FFFFFF"/>
        </w:rPr>
        <w:t>。</w:t>
      </w:r>
    </w:p>
    <w:p w14:paraId="6660D73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7"/>
          <w:rFonts w:hint="eastAsia" w:ascii="Segoe UI" w:hAnsi="Segoe UI" w:eastAsia="宋体" w:cs="Segoe UI"/>
          <w:b/>
          <w:bCs/>
          <w:i w:val="0"/>
          <w:iCs w:val="0"/>
          <w:caps w:val="0"/>
          <w:color w:val="0F1115"/>
          <w:spacing w:val="0"/>
          <w:sz w:val="21"/>
          <w:szCs w:val="21"/>
          <w:shd w:val="clear" w:fill="FFFFFF"/>
          <w:lang w:val="en-US" w:eastAsia="zh-CN"/>
        </w:rPr>
        <w:t>2.</w:t>
      </w:r>
      <w:r>
        <w:rPr>
          <w:rStyle w:val="27"/>
          <w:rFonts w:hint="default" w:ascii="Segoe UI" w:hAnsi="Segoe UI" w:eastAsia="Segoe UI" w:cs="Segoe UI"/>
          <w:b/>
          <w:bCs/>
          <w:i w:val="0"/>
          <w:iCs w:val="0"/>
          <w:caps w:val="0"/>
          <w:color w:val="0F1115"/>
          <w:spacing w:val="0"/>
          <w:sz w:val="21"/>
          <w:szCs w:val="21"/>
          <w:shd w:val="clear" w:fill="FFFFFF"/>
        </w:rPr>
        <w:t>报价规则</w:t>
      </w:r>
      <w:r>
        <w:rPr>
          <w:rFonts w:hint="default" w:ascii="Segoe UI" w:hAnsi="Segoe UI" w:eastAsia="Segoe UI" w:cs="Segoe UI"/>
          <w:i w:val="0"/>
          <w:iCs w:val="0"/>
          <w:caps w:val="0"/>
          <w:color w:val="0F1115"/>
          <w:spacing w:val="0"/>
          <w:sz w:val="21"/>
          <w:szCs w:val="21"/>
          <w:shd w:val="clear" w:fill="FFFFFF"/>
        </w:rPr>
        <w:t>：</w:t>
      </w:r>
    </w:p>
    <w:p w14:paraId="144EFAA6">
      <w:pPr>
        <w:pStyle w:val="20"/>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最终报价是响应文件的有效组成部分。</w:t>
      </w:r>
    </w:p>
    <w:p w14:paraId="25F8542C">
      <w:pPr>
        <w:pStyle w:val="20"/>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最终报价不得高于本项目的采购预算（最高限价）。</w:t>
      </w:r>
    </w:p>
    <w:p w14:paraId="55F32D10">
      <w:pPr>
        <w:pStyle w:val="20"/>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若磋商过程中磋商文件未作实质性变动，最终报价不得高于供应商的首次报价。</w:t>
      </w:r>
    </w:p>
    <w:p w14:paraId="78983FB6">
      <w:pPr>
        <w:pStyle w:val="20"/>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最终报价需提交已标价的工程量清单。</w:t>
      </w:r>
    </w:p>
    <w:p w14:paraId="72C77089">
      <w:pPr>
        <w:pStyle w:val="20"/>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逾时未提交最终报价的，视为退出磋商。</w:t>
      </w:r>
    </w:p>
    <w:p w14:paraId="5B16825B">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shd w:val="clear" w:fill="FFFFFF"/>
        </w:rPr>
      </w:pPr>
      <w:r>
        <w:rPr>
          <w:rStyle w:val="27"/>
          <w:rFonts w:hint="eastAsia" w:ascii="Segoe UI" w:hAnsi="Segoe UI" w:eastAsia="宋体" w:cs="Segoe UI"/>
          <w:b/>
          <w:bCs/>
          <w:i w:val="0"/>
          <w:iCs w:val="0"/>
          <w:caps w:val="0"/>
          <w:color w:val="0F1115"/>
          <w:spacing w:val="0"/>
          <w:sz w:val="21"/>
          <w:szCs w:val="21"/>
          <w:shd w:val="clear" w:fill="FFFFFF"/>
          <w:lang w:val="en-US" w:eastAsia="zh-CN"/>
        </w:rPr>
        <w:t>3.</w:t>
      </w:r>
      <w:r>
        <w:rPr>
          <w:rStyle w:val="27"/>
          <w:rFonts w:hint="default" w:ascii="Segoe UI" w:hAnsi="Segoe UI" w:eastAsia="Segoe UI" w:cs="Segoe UI"/>
          <w:b/>
          <w:bCs/>
          <w:i w:val="0"/>
          <w:iCs w:val="0"/>
          <w:caps w:val="0"/>
          <w:color w:val="0F1115"/>
          <w:spacing w:val="0"/>
          <w:sz w:val="21"/>
          <w:szCs w:val="21"/>
          <w:shd w:val="clear" w:fill="FFFFFF"/>
        </w:rPr>
        <w:t>报价有效性</w:t>
      </w:r>
      <w:r>
        <w:rPr>
          <w:rFonts w:hint="default" w:ascii="Segoe UI" w:hAnsi="Segoe UI" w:eastAsia="Segoe UI" w:cs="Segoe UI"/>
          <w:i w:val="0"/>
          <w:iCs w:val="0"/>
          <w:caps w:val="0"/>
          <w:color w:val="0F1115"/>
          <w:spacing w:val="0"/>
          <w:sz w:val="21"/>
          <w:szCs w:val="21"/>
          <w:shd w:val="clear" w:fill="FFFFFF"/>
        </w:rPr>
        <w:t>：提交最终报价的供应商不得少于3家（政府购买服务项目或有特殊规定者除外），否则本次采购活动终止。</w:t>
      </w:r>
    </w:p>
    <w:p w14:paraId="7D182BE3">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2"/>
          <w:szCs w:val="22"/>
          <w:shd w:val="clear" w:fill="FFFFFF"/>
        </w:rPr>
      </w:pPr>
      <w:r>
        <w:rPr>
          <w:rFonts w:hint="eastAsia" w:ascii="Segoe UI" w:hAnsi="Segoe UI" w:eastAsia="宋体" w:cs="Segoe UI"/>
          <w:b/>
          <w:bCs/>
          <w:i w:val="0"/>
          <w:iCs w:val="0"/>
          <w:caps w:val="0"/>
          <w:color w:val="0F1115"/>
          <w:spacing w:val="0"/>
          <w:sz w:val="21"/>
          <w:szCs w:val="21"/>
          <w:shd w:val="clear" w:fill="FFFFFF"/>
          <w:lang w:val="en-US" w:eastAsia="zh-CN"/>
        </w:rPr>
        <w:t>4.异常低价</w:t>
      </w:r>
      <w:r>
        <w:rPr>
          <w:rFonts w:hint="default" w:ascii="Segoe UI" w:hAnsi="Segoe UI" w:eastAsia="宋体" w:cs="Segoe UI"/>
          <w:b/>
          <w:bCs/>
          <w:i w:val="0"/>
          <w:iCs w:val="0"/>
          <w:caps w:val="0"/>
          <w:color w:val="0F1115"/>
          <w:spacing w:val="0"/>
          <w:sz w:val="21"/>
          <w:szCs w:val="21"/>
          <w:shd w:val="clear" w:fill="FFFFFF"/>
          <w:lang w:val="en-US" w:eastAsia="zh-CN"/>
        </w:rPr>
        <w:t>启动情形：</w:t>
      </w:r>
      <w:r>
        <w:rPr>
          <w:rFonts w:hint="default" w:ascii="Segoe UI" w:hAnsi="Segoe UI" w:eastAsia="Segoe UI" w:cs="Segoe UI"/>
          <w:i w:val="0"/>
          <w:iCs w:val="0"/>
          <w:caps w:val="0"/>
          <w:color w:val="0F1115"/>
          <w:spacing w:val="0"/>
          <w:sz w:val="22"/>
          <w:szCs w:val="22"/>
          <w:shd w:val="clear" w:fill="FFFFFF"/>
        </w:rPr>
        <w:t>依据《关于推动解决政府采购异常低价问题的通知》（财库〔2026〕2号）规定，评审委员会在符合性审查后，若供应商的响应报价出现以下情形之一，评审委员会应当启动异常低价审查程序：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（1）响应报价低于全部通过符合性审查供应商响应报价平均值</w:t>
      </w:r>
      <w:r>
        <w:rPr>
          <w:rFonts w:hint="eastAsia" w:ascii="Segoe UI" w:hAnsi="Segoe UI" w:eastAsia="宋体" w:cs="Segoe UI"/>
          <w:i w:val="0"/>
          <w:iCs w:val="0"/>
          <w:caps w:val="0"/>
          <w:color w:val="0F1115"/>
          <w:spacing w:val="0"/>
          <w:sz w:val="22"/>
          <w:szCs w:val="22"/>
          <w:shd w:val="clear" w:fill="FFFFFF"/>
          <w:lang w:val="en-US" w:eastAsia="zh-CN"/>
        </w:rPr>
        <w:t>65</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（2）响应报价低于通过符合性审查的次低报价供应商响应报价</w:t>
      </w:r>
      <w:r>
        <w:rPr>
          <w:rFonts w:hint="eastAsia" w:ascii="Segoe UI" w:hAnsi="Segoe UI" w:eastAsia="宋体" w:cs="Segoe UI"/>
          <w:i w:val="0"/>
          <w:iCs w:val="0"/>
          <w:caps w:val="0"/>
          <w:color w:val="0F1115"/>
          <w:spacing w:val="0"/>
          <w:sz w:val="22"/>
          <w:szCs w:val="22"/>
          <w:shd w:val="clear" w:fill="FFFFFF"/>
          <w:lang w:val="en-US" w:eastAsia="zh-CN"/>
        </w:rPr>
        <w:t>65</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（3）响应报价低于采购项目最高限价</w:t>
      </w:r>
      <w:r>
        <w:rPr>
          <w:rFonts w:hint="eastAsia" w:ascii="Segoe UI" w:hAnsi="Segoe UI" w:eastAsia="宋体" w:cs="Segoe UI"/>
          <w:i w:val="0"/>
          <w:iCs w:val="0"/>
          <w:caps w:val="0"/>
          <w:color w:val="0F1115"/>
          <w:spacing w:val="0"/>
          <w:sz w:val="22"/>
          <w:szCs w:val="22"/>
          <w:shd w:val="clear" w:fill="FFFFFF"/>
          <w:lang w:val="en-US" w:eastAsia="zh-CN"/>
        </w:rPr>
        <w:t>6</w:t>
      </w:r>
      <w:r>
        <w:rPr>
          <w:rFonts w:hint="default" w:ascii="Segoe UI" w:hAnsi="Segoe UI" w:eastAsia="Segoe UI" w:cs="Segoe UI"/>
          <w:i w:val="0"/>
          <w:iCs w:val="0"/>
          <w:caps w:val="0"/>
          <w:color w:val="0F1115"/>
          <w:spacing w:val="0"/>
          <w:sz w:val="22"/>
          <w:szCs w:val="22"/>
          <w:shd w:val="clear" w:fill="FFFFFF"/>
        </w:rPr>
        <w:t>5%；</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（4）评审委员会基于专业判断，认为供应商报价过低，有可能影响产品质量或者不能诚信履约的其他情形。</w:t>
      </w:r>
    </w:p>
    <w:p w14:paraId="429265E9">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5.</w:t>
      </w:r>
      <w:r>
        <w:rPr>
          <w:rStyle w:val="27"/>
          <w:rFonts w:ascii="Segoe UI" w:hAnsi="Segoe UI" w:eastAsia="Segoe UI" w:cs="Segoe UI"/>
          <w:b/>
          <w:bCs/>
          <w:i w:val="0"/>
          <w:iCs w:val="0"/>
          <w:caps w:val="0"/>
          <w:color w:val="0F1115"/>
          <w:spacing w:val="0"/>
          <w:sz w:val="22"/>
          <w:szCs w:val="22"/>
          <w:shd w:val="clear" w:fill="FFFFFF"/>
        </w:rPr>
        <w:t>审查程序</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（5）异常低价审查的启动原因、审查意见和审查结果应当在评审报告中详细记录，并随供应商提供的相关说明及证明材料一并归档。</w:t>
      </w:r>
    </w:p>
    <w:p w14:paraId="17CEEA48">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bCs/>
          <w:i w:val="0"/>
          <w:iCs w:val="0"/>
          <w:caps w:val="0"/>
          <w:color w:val="0F1115"/>
          <w:spacing w:val="0"/>
          <w:sz w:val="21"/>
          <w:szCs w:val="21"/>
          <w:shd w:val="clear" w:fill="FFFFFF"/>
        </w:rPr>
        <w:t>第五阶段：综合评分与推荐</w:t>
      </w:r>
    </w:p>
    <w:p w14:paraId="15137914">
      <w:pPr>
        <w:pStyle w:val="20"/>
        <w:keepNext w:val="0"/>
        <w:keepLines w:val="0"/>
        <w:widowControl/>
        <w:suppressLineNumbers w:val="0"/>
        <w:spacing w:before="0" w:beforeAutospacing="0" w:after="0" w:afterAutospacing="0" w:line="360" w:lineRule="auto"/>
        <w:ind w:left="0" w:right="0" w:firstLine="420" w:firstLineChars="200"/>
        <w:rPr>
          <w:sz w:val="21"/>
          <w:szCs w:val="21"/>
        </w:rPr>
      </w:pPr>
      <w:r>
        <w:rPr>
          <w:rStyle w:val="27"/>
          <w:rFonts w:hint="default" w:ascii="Segoe UI" w:hAnsi="Segoe UI" w:eastAsia="Segoe UI" w:cs="Segoe UI"/>
          <w:b/>
          <w:bCs/>
          <w:i w:val="0"/>
          <w:iCs w:val="0"/>
          <w:caps w:val="0"/>
          <w:color w:val="0F1115"/>
          <w:spacing w:val="0"/>
          <w:sz w:val="21"/>
          <w:szCs w:val="21"/>
          <w:shd w:val="clear" w:fill="FFFFFF"/>
        </w:rPr>
        <w:t>评分依据</w:t>
      </w:r>
      <w:r>
        <w:rPr>
          <w:rFonts w:hint="default" w:ascii="Segoe UI" w:hAnsi="Segoe UI" w:eastAsia="Segoe UI" w:cs="Segoe UI"/>
          <w:i w:val="0"/>
          <w:iCs w:val="0"/>
          <w:caps w:val="0"/>
          <w:color w:val="0F1115"/>
          <w:spacing w:val="0"/>
          <w:sz w:val="21"/>
          <w:szCs w:val="21"/>
          <w:shd w:val="clear" w:fill="FFFFFF"/>
        </w:rPr>
        <w:t>：磋商小组根据供应商提交的最终版响应文件（含技术文件和最终报价</w:t>
      </w:r>
      <w:r>
        <w:rPr>
          <w:rFonts w:hint="eastAsia" w:ascii="Segoe UI" w:hAnsi="Segoe UI" w:eastAsia="宋体" w:cs="Segoe UI"/>
          <w:i w:val="0"/>
          <w:iCs w:val="0"/>
          <w:caps w:val="0"/>
          <w:color w:val="0F1115"/>
          <w:spacing w:val="0"/>
          <w:sz w:val="21"/>
          <w:szCs w:val="21"/>
          <w:shd w:val="clear" w:fill="FFFFFF"/>
          <w:lang w:eastAsia="zh-CN"/>
        </w:rPr>
        <w:t>、</w:t>
      </w:r>
      <w:r>
        <w:rPr>
          <w:rFonts w:hint="eastAsia" w:ascii="Segoe UI" w:hAnsi="Segoe UI" w:eastAsia="宋体" w:cs="Segoe UI"/>
          <w:i w:val="0"/>
          <w:iCs w:val="0"/>
          <w:caps w:val="0"/>
          <w:color w:val="0F1115"/>
          <w:spacing w:val="0"/>
          <w:sz w:val="21"/>
          <w:szCs w:val="21"/>
          <w:shd w:val="clear" w:fill="FFFFFF"/>
          <w:lang w:val="en-US" w:eastAsia="zh-CN"/>
        </w:rPr>
        <w:t>业绩分</w:t>
      </w:r>
      <w:r>
        <w:rPr>
          <w:rFonts w:hint="default" w:ascii="Segoe UI" w:hAnsi="Segoe UI" w:eastAsia="Segoe UI" w:cs="Segoe UI"/>
          <w:i w:val="0"/>
          <w:iCs w:val="0"/>
          <w:caps w:val="0"/>
          <w:color w:val="0F1115"/>
          <w:spacing w:val="0"/>
          <w:sz w:val="21"/>
          <w:szCs w:val="21"/>
          <w:shd w:val="clear" w:fill="FFFFFF"/>
        </w:rPr>
        <w:t>）进行独立打分。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2850"/>
        <w:gridCol w:w="4839"/>
      </w:tblGrid>
      <w:tr w14:paraId="3CC8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3804F7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分值构成</w:t>
            </w:r>
          </w:p>
        </w:tc>
        <w:tc>
          <w:tcPr>
            <w:tcW w:w="0" w:type="auto"/>
            <w:vAlign w:val="center"/>
          </w:tcPr>
          <w:p w14:paraId="52EE7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分值构成（总分100分）</w:t>
            </w:r>
          </w:p>
        </w:tc>
        <w:tc>
          <w:tcPr>
            <w:tcW w:w="0" w:type="auto"/>
            <w:vAlign w:val="top"/>
          </w:tcPr>
          <w:p w14:paraId="590A4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b w:val="0"/>
                <w:bCs w:val="0"/>
                <w:sz w:val="21"/>
                <w:szCs w:val="21"/>
                <w:lang w:val="en-US" w:eastAsia="zh-CN"/>
              </w:rPr>
            </w:pPr>
            <w:r>
              <w:rPr>
                <w:rFonts w:hint="eastAsia"/>
                <w:b w:val="0"/>
                <w:bCs w:val="0"/>
                <w:sz w:val="21"/>
                <w:szCs w:val="21"/>
                <w:lang w:eastAsia="zh-CN"/>
              </w:rPr>
              <w:t>施工组织设计</w:t>
            </w:r>
            <w:r>
              <w:rPr>
                <w:rFonts w:hint="eastAsia"/>
                <w:b w:val="0"/>
                <w:bCs w:val="0"/>
                <w:sz w:val="21"/>
                <w:szCs w:val="21"/>
              </w:rPr>
              <w:t>：</w:t>
            </w:r>
            <w:r>
              <w:rPr>
                <w:rFonts w:hint="eastAsia"/>
                <w:b w:val="0"/>
                <w:bCs w:val="0"/>
                <w:sz w:val="21"/>
                <w:szCs w:val="21"/>
                <w:lang w:val="en-US" w:eastAsia="zh-CN"/>
              </w:rPr>
              <w:t>67</w:t>
            </w:r>
            <w:r>
              <w:rPr>
                <w:rFonts w:hint="eastAsia"/>
                <w:b w:val="0"/>
                <w:bCs w:val="0"/>
                <w:sz w:val="21"/>
                <w:szCs w:val="21"/>
              </w:rPr>
              <w:t>分；</w:t>
            </w:r>
            <w:r>
              <w:rPr>
                <w:rFonts w:hint="eastAsia"/>
                <w:b w:val="0"/>
                <w:bCs w:val="0"/>
                <w:sz w:val="21"/>
                <w:szCs w:val="21"/>
                <w:lang w:eastAsia="zh-CN"/>
              </w:rPr>
              <w:t>报价得分</w:t>
            </w:r>
            <w:r>
              <w:rPr>
                <w:rFonts w:hint="eastAsia"/>
                <w:b w:val="0"/>
                <w:bCs w:val="0"/>
                <w:sz w:val="21"/>
                <w:szCs w:val="21"/>
              </w:rPr>
              <w:t>：</w:t>
            </w:r>
            <w:r>
              <w:rPr>
                <w:rFonts w:hint="eastAsia"/>
                <w:b w:val="0"/>
                <w:bCs w:val="0"/>
                <w:sz w:val="21"/>
                <w:szCs w:val="21"/>
                <w:lang w:val="en-US" w:eastAsia="zh-CN"/>
              </w:rPr>
              <w:t>3</w:t>
            </w:r>
            <w:r>
              <w:rPr>
                <w:rFonts w:hint="eastAsia"/>
                <w:b w:val="0"/>
                <w:bCs w:val="0"/>
                <w:sz w:val="21"/>
                <w:szCs w:val="21"/>
              </w:rPr>
              <w:t>0分</w:t>
            </w:r>
            <w:r>
              <w:rPr>
                <w:rFonts w:hint="eastAsia"/>
                <w:b w:val="0"/>
                <w:bCs w:val="0"/>
                <w:sz w:val="21"/>
                <w:szCs w:val="21"/>
                <w:lang w:eastAsia="zh-CN"/>
              </w:rPr>
              <w:t>；</w:t>
            </w:r>
            <w:r>
              <w:rPr>
                <w:rFonts w:hint="eastAsia"/>
                <w:b w:val="0"/>
                <w:bCs w:val="0"/>
                <w:sz w:val="21"/>
                <w:szCs w:val="21"/>
                <w:lang w:val="en-US" w:eastAsia="zh-CN"/>
              </w:rPr>
              <w:t>业绩分3分</w:t>
            </w:r>
          </w:p>
        </w:tc>
      </w:tr>
      <w:tr w14:paraId="0346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522" w:type="dxa"/>
            <w:gridSpan w:val="3"/>
            <w:vAlign w:val="center"/>
          </w:tcPr>
          <w:p w14:paraId="57E49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lang w:eastAsia="zh-CN"/>
              </w:rPr>
            </w:pPr>
            <w:r>
              <w:rPr>
                <w:rFonts w:hint="eastAsia"/>
                <w:b w:val="0"/>
                <w:bCs w:val="0"/>
                <w:sz w:val="21"/>
                <w:szCs w:val="21"/>
                <w:lang w:val="en-US" w:eastAsia="zh-CN"/>
              </w:rPr>
              <w:t>1、</w:t>
            </w:r>
            <w:r>
              <w:rPr>
                <w:rFonts w:hint="eastAsia"/>
                <w:b w:val="0"/>
                <w:bCs w:val="0"/>
                <w:sz w:val="21"/>
                <w:szCs w:val="21"/>
                <w:lang w:eastAsia="zh-CN"/>
              </w:rPr>
              <w:t>施工组织设计（满分</w:t>
            </w:r>
            <w:r>
              <w:rPr>
                <w:rFonts w:hint="eastAsia"/>
                <w:b w:val="0"/>
                <w:bCs w:val="0"/>
                <w:sz w:val="21"/>
                <w:szCs w:val="21"/>
                <w:lang w:val="en-US" w:eastAsia="zh-CN"/>
              </w:rPr>
              <w:t>67分</w:t>
            </w:r>
            <w:r>
              <w:rPr>
                <w:rFonts w:hint="eastAsia"/>
                <w:b w:val="0"/>
                <w:bCs w:val="0"/>
                <w:sz w:val="21"/>
                <w:szCs w:val="21"/>
                <w:lang w:eastAsia="zh-CN"/>
              </w:rPr>
              <w:t>）</w:t>
            </w:r>
          </w:p>
        </w:tc>
      </w:tr>
      <w:tr w14:paraId="7803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0CAE2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lang w:eastAsia="zh-CN"/>
              </w:rPr>
            </w:pPr>
            <w:r>
              <w:rPr>
                <w:rFonts w:hint="eastAsia"/>
                <w:b w:val="0"/>
                <w:bCs w:val="0"/>
                <w:sz w:val="21"/>
                <w:szCs w:val="21"/>
                <w:lang w:eastAsia="zh-CN"/>
              </w:rPr>
              <w:t>评分项</w:t>
            </w:r>
          </w:p>
        </w:tc>
        <w:tc>
          <w:tcPr>
            <w:tcW w:w="0" w:type="auto"/>
            <w:gridSpan w:val="2"/>
            <w:vAlign w:val="center"/>
          </w:tcPr>
          <w:p w14:paraId="714F9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lang w:eastAsia="zh-CN"/>
              </w:rPr>
            </w:pPr>
            <w:r>
              <w:rPr>
                <w:rFonts w:hint="eastAsia"/>
                <w:b w:val="0"/>
                <w:bCs w:val="0"/>
                <w:sz w:val="21"/>
                <w:szCs w:val="21"/>
                <w:lang w:eastAsia="zh-CN"/>
              </w:rPr>
              <w:t>评分内容和标准</w:t>
            </w:r>
          </w:p>
        </w:tc>
      </w:tr>
      <w:tr w14:paraId="1770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076EC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lang w:eastAsia="zh-CN"/>
              </w:rPr>
            </w:pPr>
            <w:r>
              <w:rPr>
                <w:rFonts w:hint="eastAsia"/>
                <w:b w:val="0"/>
                <w:bCs w:val="0"/>
                <w:sz w:val="21"/>
                <w:szCs w:val="21"/>
              </w:rPr>
              <w:t>主要施工方法（</w:t>
            </w:r>
            <w:r>
              <w:rPr>
                <w:rFonts w:hint="eastAsia"/>
                <w:b w:val="0"/>
                <w:bCs w:val="0"/>
                <w:sz w:val="21"/>
                <w:szCs w:val="21"/>
                <w:lang w:eastAsia="zh-CN"/>
              </w:rPr>
              <w:t>满分</w:t>
            </w:r>
            <w:r>
              <w:rPr>
                <w:rFonts w:hint="eastAsia"/>
                <w:b w:val="0"/>
                <w:bCs w:val="0"/>
                <w:sz w:val="21"/>
                <w:szCs w:val="21"/>
                <w:lang w:val="en-US" w:eastAsia="zh-CN"/>
              </w:rPr>
              <w:t>8</w:t>
            </w:r>
            <w:r>
              <w:rPr>
                <w:rFonts w:hint="eastAsia"/>
                <w:b w:val="0"/>
                <w:bCs w:val="0"/>
                <w:sz w:val="21"/>
                <w:szCs w:val="21"/>
              </w:rPr>
              <w:t>分）</w:t>
            </w:r>
          </w:p>
        </w:tc>
        <w:tc>
          <w:tcPr>
            <w:tcW w:w="0" w:type="auto"/>
            <w:gridSpan w:val="2"/>
            <w:vAlign w:val="center"/>
          </w:tcPr>
          <w:p w14:paraId="3301C9D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：沟槽开挖（含支护、降排水）、HDPE双壁波纹管铺设、PVC-U管粘接、砖砌检查井及化粪池砌筑、管道基础及管顶回填、路面恢复、管道闭水试验等7项核心工序。</w:t>
            </w:r>
          </w:p>
          <w:p w14:paraId="63D6F9A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覆盖全部7项工序。每项工序均写明具体施工工艺（施工顺序、操作方法、技术参数），明确列出关键质量控制要点及具体数值（如环刚度、回填压实度、闭水试验允许渗水量、管道坡度等）。方案针对性强，与项目实际匹配，可操作性强，能直接指导施工</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ascii="宋体" w:hAnsi="宋体" w:eastAsia="宋体" w:cs="宋体"/>
                <w:b/>
                <w:bCs/>
                <w:i w:val="0"/>
                <w:iCs w:val="0"/>
                <w:caps w:val="0"/>
                <w:color w:val="0F1115"/>
                <w:spacing w:val="0"/>
                <w:sz w:val="21"/>
                <w:szCs w:val="21"/>
                <w:shd w:val="clear" w:fill="FFFFFF"/>
                <w:lang w:eastAsia="zh-CN"/>
              </w:rPr>
              <w:t>8分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（2）覆盖至少5项工序。每项被覆盖的工序有施工工艺描述，但存在少量不足：或缺少1-2项具体参数，或个别工艺描述不够深入（如仅写“分层回填”未写厚度和压实度）。方案基本可行，能有效指导施工。</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覆盖至少3项工序。有基本施工方法描述，但较为笼统：或部分工序仅有工序名称而无具体工艺，或缺少关键质量控制要点（如仅写“保证管道坡度”无具体数值），或方案与现场实际匹配度不高。方案仅能基本指导施工，存在一定缺陷。</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（4）覆盖不足2项工序，或所覆盖的工序中大部分仅有名称而无实质性工艺描述，或施工方法明显不合理、与项目实际严重脱节。方案空洞，无法有效指导施工。</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：完全未提供主要施工方法。</w:t>
            </w:r>
          </w:p>
        </w:tc>
      </w:tr>
      <w:tr w14:paraId="328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60415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拟投入的主要物资计划（</w:t>
            </w:r>
            <w:r>
              <w:rPr>
                <w:rFonts w:hint="eastAsia"/>
                <w:b w:val="0"/>
                <w:bCs w:val="0"/>
                <w:sz w:val="21"/>
                <w:szCs w:val="21"/>
                <w:lang w:eastAsia="zh-CN"/>
              </w:rPr>
              <w:t>满分</w:t>
            </w:r>
            <w:r>
              <w:rPr>
                <w:rFonts w:hint="eastAsia"/>
                <w:b w:val="0"/>
                <w:bCs w:val="0"/>
                <w:sz w:val="21"/>
                <w:szCs w:val="21"/>
                <w:lang w:val="en-US" w:eastAsia="zh-CN"/>
              </w:rPr>
              <w:t>8</w:t>
            </w:r>
            <w:r>
              <w:rPr>
                <w:rFonts w:hint="eastAsia"/>
                <w:b w:val="0"/>
                <w:bCs w:val="0"/>
                <w:sz w:val="21"/>
                <w:szCs w:val="21"/>
              </w:rPr>
              <w:t>分）</w:t>
            </w:r>
          </w:p>
        </w:tc>
        <w:tc>
          <w:tcPr>
            <w:tcW w:w="7689" w:type="dxa"/>
            <w:gridSpan w:val="2"/>
            <w:vAlign w:val="center"/>
          </w:tcPr>
          <w:p w14:paraId="3306502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：HDPE双壁波纹管、PVC-U管、机制中粗砂、水泥/砖/砂/石屑、球墨铸铁井盖、混凝土、模板/脚手架等7类物资。</w:t>
            </w:r>
          </w:p>
          <w:p w14:paraId="7896320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覆盖全部7类物资。每类物资列明品种、规格、数量、首批进场时间。核心材料（管材、井盖）写明进场验收标准（验收内容、方法、责任人）。每类物资写明具体保管措施（如管材防雨防晒、水泥防潮、砂石覆盖等）。方案详实可行</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ascii="宋体" w:hAnsi="宋体" w:eastAsia="宋体" w:cs="宋体"/>
                <w:b/>
                <w:bCs/>
                <w:i w:val="0"/>
                <w:iCs w:val="0"/>
                <w:caps w:val="0"/>
                <w:color w:val="0F1115"/>
                <w:spacing w:val="0"/>
                <w:sz w:val="21"/>
                <w:szCs w:val="21"/>
                <w:shd w:val="clear" w:fill="FFFFFF"/>
                <w:lang w:eastAsia="zh-CN"/>
              </w:rPr>
              <w:t>8分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覆盖全部7类物资。每类物资有进场验收要求，但存在少量不足：或个别物资缺少采购总量或首批进场时间，或保管措施较齐全但个别品类缺少具体保管要求（如仅写“妥善保管”），或验收标准不够具体（如仅写“合格证”）。整体能满足施工需要。</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覆盖至少4类物资。有基本进场时间安排，但存在明显不足：或缺少专项验收标准（如未说明管材如何验收），或保管措施过于笼统（如仅写“注意防潮”），或缺少3种及以上物资的规格型号。方案基本可用但存在明显遗漏。</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（4）覆盖不足3类物资，或缺少核心材料（管材、井盖、机制砂中的任意2项），或完全未明确进场验收要求，或未提供首批进场时间。物资计划空洞，无法保障施工供应。</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：完全未提供物资计划。</w:t>
            </w:r>
          </w:p>
        </w:tc>
      </w:tr>
      <w:tr w14:paraId="3D79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2A8E7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拟投入的主要施工机械、设备计划（</w:t>
            </w:r>
            <w:r>
              <w:rPr>
                <w:rFonts w:hint="eastAsia"/>
                <w:b w:val="0"/>
                <w:bCs w:val="0"/>
                <w:sz w:val="21"/>
                <w:szCs w:val="21"/>
                <w:lang w:eastAsia="zh-CN"/>
              </w:rPr>
              <w:t>满分</w:t>
            </w:r>
            <w:r>
              <w:rPr>
                <w:rFonts w:hint="eastAsia"/>
                <w:b w:val="0"/>
                <w:bCs w:val="0"/>
                <w:sz w:val="21"/>
                <w:szCs w:val="21"/>
                <w:lang w:val="en-US" w:eastAsia="zh-CN"/>
              </w:rPr>
              <w:t>8</w:t>
            </w:r>
            <w:r>
              <w:rPr>
                <w:rFonts w:hint="eastAsia"/>
                <w:b w:val="0"/>
                <w:bCs w:val="0"/>
                <w:sz w:val="21"/>
                <w:szCs w:val="21"/>
              </w:rPr>
              <w:t>分）</w:t>
            </w:r>
          </w:p>
        </w:tc>
        <w:tc>
          <w:tcPr>
            <w:tcW w:w="7801" w:type="dxa"/>
            <w:gridSpan w:val="2"/>
            <w:vAlign w:val="center"/>
          </w:tcPr>
          <w:p w14:paraId="05A8EBD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：挖掘机、自卸汽车、吊车、振动夯、发电机/潜水泵、砂浆搅拌机、测量仪器、闭水试验设备、切缝机/破碎机等9类设备。</w:t>
            </w:r>
          </w:p>
          <w:p w14:paraId="28CF9A7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（1）覆盖至少8类设备。每类设备列明型号、数量、进退场时间、对应工序。关键设备（挖掘机、吊车、夯实机）有检定承诺。设备配置与施工需求匹配合理，方案详实可行</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ascii="宋体" w:hAnsi="宋体" w:eastAsia="宋体" w:cs="宋体"/>
                <w:b/>
                <w:bCs/>
                <w:i w:val="0"/>
                <w:iCs w:val="0"/>
                <w:caps w:val="0"/>
                <w:color w:val="0F1115"/>
                <w:spacing w:val="0"/>
                <w:sz w:val="21"/>
                <w:szCs w:val="21"/>
                <w:shd w:val="clear" w:fill="FFFFFF"/>
                <w:lang w:eastAsia="zh-CN"/>
              </w:rPr>
              <w:t>8分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（2）覆盖至少6类设备。每类设备有数量、型号及进退场时间，但存在少量不足：或个别设备未注明型号，或关键设备仅有检定计划未提供承诺，或个别设备进退场时间不明确。整体能满足施工需要。</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（3）覆盖至少4类设备。有基本设备配置，但存在明显不足：或缺少关键设备检定说明，或核心设备数量明显不足且未说明调配方案，或超过3项设备未写明进退场时间。设备计划基本可用但存在明显缺陷。</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（4）覆盖不足3类设备，或缺少下列关键设备中的任意一项：挖掘机、吊车、夯实机，或完全未提供进退场时间和检定说明。设备计划空洞，无法满足施工需要。</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：完全未提供机械设备计划</w:t>
            </w:r>
            <w:r>
              <w:rPr>
                <w:rFonts w:hint="eastAsia" w:ascii="宋体" w:hAnsi="宋体" w:eastAsia="宋体" w:cs="宋体"/>
                <w:i w:val="0"/>
                <w:iCs w:val="0"/>
                <w:caps w:val="0"/>
                <w:color w:val="0F1115"/>
                <w:spacing w:val="0"/>
                <w:sz w:val="21"/>
                <w:szCs w:val="21"/>
                <w:shd w:val="clear" w:fill="FFFFFF"/>
                <w:lang w:eastAsia="zh-CN"/>
              </w:rPr>
              <w:t>。</w:t>
            </w:r>
          </w:p>
        </w:tc>
      </w:tr>
      <w:tr w14:paraId="32C8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10A78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lang w:val="en-US" w:eastAsia="zh-CN"/>
              </w:rPr>
              <w:t>确保工程质量的技术组织措施（满分8分）</w:t>
            </w:r>
          </w:p>
        </w:tc>
        <w:tc>
          <w:tcPr>
            <w:tcW w:w="7801" w:type="dxa"/>
            <w:gridSpan w:val="2"/>
            <w:vAlign w:val="center"/>
          </w:tcPr>
          <w:p w14:paraId="52A66A5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：质量管理体系及质检员；沟槽基底控制、管道坡度控制、管道接口防渗漏、检查井砌筑质量、回填密实度控制、闭水试验程序、质量通病防治等。</w:t>
            </w:r>
          </w:p>
          <w:p w14:paraId="623D879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质量保证体系健全，组织机构、职责分工、三检制流程清晰，质检员配备到位。覆盖全部质量控制点，每项写明内控标准、检测方法、责任人。质量通病防治方案不少于3项，每项包含原因、预防措施、处理方法。方案详实可行</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ascii="宋体" w:hAnsi="宋体" w:eastAsia="宋体" w:cs="宋体"/>
                <w:b/>
                <w:bCs/>
                <w:i w:val="0"/>
                <w:iCs w:val="0"/>
                <w:caps w:val="0"/>
                <w:color w:val="0F1115"/>
                <w:spacing w:val="0"/>
                <w:sz w:val="21"/>
                <w:szCs w:val="21"/>
                <w:shd w:val="clear" w:fill="FFFFFF"/>
                <w:lang w:eastAsia="zh-CN"/>
              </w:rPr>
              <w:t>8分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质量保证体系较健全，有三检制描述，质检员有配备。覆盖至少6项质量控制点，每项有具体措施。通病防治方案不少于2项。存在少量不足：或个别控制点未明确检测方法或责任人，或通病防治方案缺少产生原因。整体能有效预防质量通病。</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质量保证体系基本建立，有质检员和三检制概念。覆盖至少4项质量控制点，但措施较为笼统（如仅写“保证管道坡度”无具体数值）。通病防治方案1项且内容简单。质量控制存在明显漏洞，但尚能基本满足要求。</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（4）质量保证体系不健全或无明确描述，覆盖不足3项质量控制点，或所覆盖的点仅有标题而无实质内容，无通病防治方案。方案空洞，无法保证工程质量。</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：完全未提供质量技术组织措施。</w:t>
            </w:r>
          </w:p>
        </w:tc>
      </w:tr>
      <w:tr w14:paraId="747B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6F3A0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确保安全生产的技术组织措施（</w:t>
            </w:r>
            <w:r>
              <w:rPr>
                <w:rFonts w:hint="eastAsia"/>
                <w:b w:val="0"/>
                <w:bCs w:val="0"/>
                <w:sz w:val="21"/>
                <w:szCs w:val="21"/>
                <w:lang w:eastAsia="zh-CN"/>
              </w:rPr>
              <w:t>满分</w:t>
            </w:r>
            <w:r>
              <w:rPr>
                <w:rFonts w:hint="eastAsia"/>
                <w:b w:val="0"/>
                <w:bCs w:val="0"/>
                <w:sz w:val="21"/>
                <w:szCs w:val="21"/>
                <w:lang w:val="en-US" w:eastAsia="zh-CN"/>
              </w:rPr>
              <w:t>8</w:t>
            </w:r>
            <w:r>
              <w:rPr>
                <w:rFonts w:hint="eastAsia"/>
                <w:b w:val="0"/>
                <w:bCs w:val="0"/>
                <w:sz w:val="21"/>
                <w:szCs w:val="21"/>
              </w:rPr>
              <w:t>分）</w:t>
            </w:r>
          </w:p>
        </w:tc>
        <w:tc>
          <w:tcPr>
            <w:tcW w:w="7801" w:type="dxa"/>
            <w:gridSpan w:val="2"/>
            <w:vAlign w:val="center"/>
          </w:tcPr>
          <w:p w14:paraId="58AF671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：安全管理体系及安全员；沟槽边坡防护、临时用电安全、管道吊装安全、机械作业安全、交通疏导、雨季排水防坍塌、应急预案等。</w:t>
            </w:r>
          </w:p>
          <w:p w14:paraId="51C450B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安全保证体系健全，安全责任制明确，专职安全员配备到位。覆盖至少7项安全措施，每项写明执行标准、检查频次、责任人。应急预案完整（响应流程、救援物资清单、外部联络方式、演练计划）。方案详实可行</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ascii="宋体" w:hAnsi="宋体" w:eastAsia="宋体" w:cs="宋体"/>
                <w:b/>
                <w:bCs/>
                <w:i w:val="0"/>
                <w:iCs w:val="0"/>
                <w:caps w:val="0"/>
                <w:color w:val="0F1115"/>
                <w:spacing w:val="0"/>
                <w:sz w:val="21"/>
                <w:szCs w:val="21"/>
                <w:shd w:val="clear" w:fill="FFFFFF"/>
                <w:lang w:eastAsia="zh-CN"/>
              </w:rPr>
              <w:t>8分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安全保证体系较健全，有安全责任制，有专职安全员。覆盖至少5项安全措施，每项有基本执行要求。应急预案覆盖至少2类风险。存在少量不足：或个别措施未明确责任人，或演练计划不够具体（未写明频次），或预案缺少救援物资清单。</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（3）安全保证体系基本建立，有安全员。覆盖至少3项安全措施，但措施较为笼统（如仅写“做好边坡防护”无具体做法）。应急预案简单（仅列出联系人）。安全防护存在薄弱环节。</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（4）安全保证体系不健全或无明确描述，覆盖不足3项安全措施，或所覆盖的措施仅有标题而无具体执行要求，或无应急预案。方案空洞，无法保障施工安全。</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：完全未提供安全生产技术组织措施。</w:t>
            </w:r>
          </w:p>
        </w:tc>
      </w:tr>
      <w:tr w14:paraId="4C77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7BC28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劳动力安排计划（</w:t>
            </w:r>
            <w:r>
              <w:rPr>
                <w:rFonts w:hint="eastAsia"/>
                <w:b w:val="0"/>
                <w:bCs w:val="0"/>
                <w:sz w:val="21"/>
                <w:szCs w:val="21"/>
                <w:lang w:eastAsia="zh-CN"/>
              </w:rPr>
              <w:t>满分</w:t>
            </w:r>
            <w:r>
              <w:rPr>
                <w:rFonts w:hint="eastAsia"/>
                <w:b w:val="0"/>
                <w:bCs w:val="0"/>
                <w:sz w:val="21"/>
                <w:szCs w:val="21"/>
                <w:lang w:val="en-US" w:eastAsia="zh-CN"/>
              </w:rPr>
              <w:t>6</w:t>
            </w:r>
            <w:r>
              <w:rPr>
                <w:rFonts w:hint="eastAsia"/>
                <w:b w:val="0"/>
                <w:bCs w:val="0"/>
                <w:sz w:val="21"/>
                <w:szCs w:val="21"/>
              </w:rPr>
              <w:t>分）</w:t>
            </w:r>
          </w:p>
        </w:tc>
        <w:tc>
          <w:tcPr>
            <w:tcW w:w="7801" w:type="dxa"/>
            <w:gridSpan w:val="2"/>
            <w:vAlign w:val="center"/>
          </w:tcPr>
          <w:p w14:paraId="44A87DB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：管道工、砌筑工、混凝土工、机械操作手、普工、测量工、特殊工种持证、按施工阶段配置、农忙/雨季稳定措施等。</w:t>
            </w:r>
          </w:p>
          <w:p w14:paraId="3BD279A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lang w:eastAsia="zh-CN"/>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（1）：提供按施工阶段划分的劳动力计划表，覆盖至少7类工种，写明各阶段人数。特殊工种持证情况明确（列明姓名或证书编号）</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t>劳动力与进度匹配合理，农忙/雨季稳定措施具体可行（如储备人数、错峰安排）</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t>方案详实</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（2）覆盖至少5类工种，各阶段人数基本合理。特殊工种有持证承诺（未逐项列出）。农忙/雨季有原则性保障措施。存在少量不足：或个别工种人数明显不合理，或保障措施不够具体。</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（3）覆盖至少4类工种，但存在明显不足：或未按施工阶段区分人数（仅总人数），或未明确特殊工种持证要求（仅写“持证上岗”），或缺少2类以上核心工种。劳动力安排存在一定随意性。</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2</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（4）覆盖不足3类工种，或缺少核心工种（管道工、砌筑工、机械操作手中的任意两项），或无任何持证说明，或人数严重不足（总人数少于15人）。计划空洞，无法满足施工需求。</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：完全未提供劳动力安排计划。</w:t>
            </w:r>
          </w:p>
        </w:tc>
      </w:tr>
      <w:tr w14:paraId="388D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5F339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确保工期的技术组织措施（</w:t>
            </w:r>
            <w:r>
              <w:rPr>
                <w:rFonts w:hint="eastAsia"/>
                <w:b w:val="0"/>
                <w:bCs w:val="0"/>
                <w:sz w:val="21"/>
                <w:szCs w:val="21"/>
                <w:lang w:eastAsia="zh-CN"/>
              </w:rPr>
              <w:t>满分</w:t>
            </w:r>
            <w:r>
              <w:rPr>
                <w:rFonts w:hint="eastAsia"/>
                <w:b w:val="0"/>
                <w:bCs w:val="0"/>
                <w:sz w:val="21"/>
                <w:szCs w:val="21"/>
                <w:lang w:val="en-US" w:eastAsia="zh-CN"/>
              </w:rPr>
              <w:t>6</w:t>
            </w:r>
            <w:r>
              <w:rPr>
                <w:rFonts w:hint="eastAsia"/>
                <w:b w:val="0"/>
                <w:bCs w:val="0"/>
                <w:sz w:val="21"/>
                <w:szCs w:val="21"/>
              </w:rPr>
              <w:t>分）</w:t>
            </w:r>
          </w:p>
        </w:tc>
        <w:tc>
          <w:tcPr>
            <w:tcW w:w="7801" w:type="dxa"/>
            <w:gridSpan w:val="2"/>
            <w:vAlign w:val="center"/>
          </w:tcPr>
          <w:p w14:paraId="3E52D12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：施工总进度计划、关键线路、工期风险预案（雨天、材料延迟、机械故障、村民阻工）、滞后纠偏措施、不同滞后天数应对方式。</w:t>
            </w:r>
          </w:p>
          <w:p w14:paraId="7E2CBB4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lang w:eastAsia="zh-CN"/>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提供进度计划（横道图/网络图），关键线路清晰，工序衔接时间明确。针对至少3项工期风险制定应对预案（含触发条件、措施、责任人）。纠偏措施具体（明确增加班组人数、平行作业安排）。不同滞后天数有分层处置方案。方案全面有力。</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（2）有进度计划，能识别关键线路（至少指出主工序）。针对至少2项风险有应对预案。有纠偏措施（如增加班组）。存在少量不足：或预案缺少责任人，或纠偏措施不够具体，或未分层处置。整体能保障工期。</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（3）有基本进度计划，但关键线路不清或工序衔接不明。风险预案不足2项且内容笼统（如仅写“雨天停工”无后续安排）。纠偏措施简单（如仅写“采取措施赶工”）。工期保障能力较弱。</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2</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（4）进度计划过于简单（仅有开竣工日期），或完全缺少风险预案，或方案空洞，无法保障工期目标。</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：完全未提供工期技术组织措施。</w:t>
            </w:r>
          </w:p>
        </w:tc>
      </w:tr>
      <w:tr w14:paraId="16A0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25CF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确保文明施工的技术组织措施（</w:t>
            </w:r>
            <w:r>
              <w:rPr>
                <w:rFonts w:hint="eastAsia"/>
                <w:b w:val="0"/>
                <w:bCs w:val="0"/>
                <w:sz w:val="21"/>
                <w:szCs w:val="21"/>
                <w:lang w:eastAsia="zh-CN"/>
              </w:rPr>
              <w:t>满分</w:t>
            </w:r>
            <w:r>
              <w:rPr>
                <w:rFonts w:hint="eastAsia"/>
                <w:b w:val="0"/>
                <w:bCs w:val="0"/>
                <w:sz w:val="21"/>
                <w:szCs w:val="21"/>
                <w:lang w:val="en-US" w:eastAsia="zh-CN"/>
              </w:rPr>
              <w:t>6</w:t>
            </w:r>
            <w:r>
              <w:rPr>
                <w:rFonts w:hint="eastAsia"/>
                <w:b w:val="0"/>
                <w:bCs w:val="0"/>
                <w:sz w:val="21"/>
                <w:szCs w:val="21"/>
              </w:rPr>
              <w:t>分）</w:t>
            </w:r>
          </w:p>
        </w:tc>
        <w:tc>
          <w:tcPr>
            <w:tcW w:w="7801" w:type="dxa"/>
            <w:gridSpan w:val="2"/>
            <w:vAlign w:val="center"/>
          </w:tcPr>
          <w:p w14:paraId="1ADC4B8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：围挡及警示标识、扬尘控制、噪音控制、弃土处置、农作物保护、材料堆放整齐、竣工场地清理等。</w:t>
            </w:r>
          </w:p>
          <w:p w14:paraId="147CE87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覆盖至少6项措施。每项措施写明执行标准、检查频次、责任人。扬尘控制写明确（洒水频次、覆盖方式）；噪音控制写明确（禁止时段）；农作物保护写明确（具体方法如隔离带、青苗清点）；弃土处置写明确（去向、运输路线）；竣工清场写明确（清运标准、恢复要求）。方案详实可行。</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6</w:t>
            </w:r>
            <w:r>
              <w:rPr>
                <w:rFonts w:hint="eastAsia" w:ascii="宋体" w:hAnsi="宋体" w:eastAsia="宋体" w:cs="宋体"/>
                <w:b/>
                <w:bCs/>
                <w:i w:val="0"/>
                <w:iCs w:val="0"/>
                <w:caps w:val="0"/>
                <w:color w:val="0F1115"/>
                <w:spacing w:val="0"/>
                <w:sz w:val="21"/>
                <w:szCs w:val="21"/>
                <w:shd w:val="clear" w:fill="FFFFFF"/>
                <w:lang w:eastAsia="zh-CN"/>
              </w:rPr>
              <w:t>分</w:t>
            </w:r>
            <w:r>
              <w:rPr>
                <w:rFonts w:hint="eastAsia" w:cs="宋体"/>
                <w:b/>
                <w:bCs/>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覆盖至少4项措施，措施具体可行。存在少量不足：或扬尘控制未明确洒水频次，或噪音控制未明确禁止时段，或农作物防护仅有原则性说明（如“注意保护”），或个别措施缺少责任人。整体能有效控制施工对周边环境的影响。</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（3）覆盖至少3项措施，但措施较为笼统（如仅写“做好扬尘控制”），或缺少农作物保护等专项要求，或超过3项措施无执行标准。文明施工措施存在明显遗漏。</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2</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（4）覆盖不足2项措施，或所覆盖的措施均为通用模板内容（如“遵守文明施工规定”）而无针对本项目的具体安排，或完全未提及农作物保护。方案空洞。</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：完全未提供文明施工技术组织措施。</w:t>
            </w:r>
          </w:p>
        </w:tc>
      </w:tr>
      <w:tr w14:paraId="0CCA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78830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rPr>
              <w:t>工程施工的重点和难点及保证措施（</w:t>
            </w:r>
            <w:r>
              <w:rPr>
                <w:rFonts w:hint="eastAsia"/>
                <w:b w:val="0"/>
                <w:bCs w:val="0"/>
                <w:sz w:val="21"/>
                <w:szCs w:val="21"/>
                <w:lang w:eastAsia="zh-CN"/>
              </w:rPr>
              <w:t>满分</w:t>
            </w:r>
            <w:r>
              <w:rPr>
                <w:rFonts w:hint="eastAsia"/>
                <w:b w:val="0"/>
                <w:bCs w:val="0"/>
                <w:sz w:val="21"/>
                <w:szCs w:val="21"/>
                <w:lang w:val="en-US" w:eastAsia="zh-CN"/>
              </w:rPr>
              <w:t>5</w:t>
            </w:r>
            <w:r>
              <w:rPr>
                <w:rFonts w:hint="eastAsia"/>
                <w:b w:val="0"/>
                <w:bCs w:val="0"/>
                <w:sz w:val="21"/>
                <w:szCs w:val="21"/>
              </w:rPr>
              <w:t>分）</w:t>
            </w:r>
          </w:p>
        </w:tc>
        <w:tc>
          <w:tcPr>
            <w:tcW w:w="7801" w:type="dxa"/>
            <w:gridSpan w:val="2"/>
            <w:vAlign w:val="center"/>
          </w:tcPr>
          <w:p w14:paraId="57FD433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：地下水位过高的降排水、管道与检查井连接处防渗漏、沟槽回填密实度控制、检查井周边沉陷防治、乡村施工交通与村民协调、雨季施工排水等。</w:t>
            </w:r>
          </w:p>
          <w:p w14:paraId="7A7ECCC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w:t>
            </w:r>
            <w:r>
              <w:rPr>
                <w:rFonts w:hint="eastAsia" w:ascii="宋体" w:hAnsi="宋体" w:eastAsia="宋体" w:cs="宋体"/>
                <w:b/>
                <w:bCs/>
                <w:i w:val="0"/>
                <w:iCs w:val="0"/>
                <w:caps w:val="0"/>
                <w:color w:val="0F1115"/>
                <w:spacing w:val="0"/>
                <w:sz w:val="21"/>
                <w:szCs w:val="21"/>
                <w:shd w:val="clear" w:fill="FFFFFF"/>
              </w:rPr>
              <w:t>优秀（5分）</w:t>
            </w:r>
            <w:r>
              <w:rPr>
                <w:rFonts w:hint="eastAsia" w:ascii="宋体" w:hAnsi="宋体" w:eastAsia="宋体" w:cs="宋体"/>
                <w:i w:val="0"/>
                <w:iCs w:val="0"/>
                <w:caps w:val="0"/>
                <w:color w:val="0F1115"/>
                <w:spacing w:val="0"/>
                <w:sz w:val="21"/>
                <w:szCs w:val="21"/>
                <w:shd w:val="clear" w:fill="FFFFFF"/>
              </w:rPr>
              <w:t>：准确识别至少5项重点难点。针对每项难点提出具体保证措施，写明措施参数（如降排水方式及设备、防渗漏构造、回填分层厚度及压实度、井周C15混凝土回填范围等），写明操作方法，明确责任人。措施适配乡村施工条件，方案详实可行。</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5</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准确识别至少4项重点难点。每项有较合理的保证措施。存在少量不足：或个别措施缺乏具体参数（如仅写“加强回填”未明确压实度），或措施未完全适配乡村条件，或个别措施未明确责任人。整体针对性强、可操作。</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（3）准确识别至少3项重点难点。保证措施基本可行，但缺乏针对性细节：如对降排水仅写“设置排水沟”未说明布置方式和设备，或部分难点与措施不匹配，或超过2项措施无具体操作方法。</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3</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（4）识别不足3项，或识别的难点与项目实际不符（如写“高空作业”“深基坑支护”等），或保证措施简单笼统（如“加强管理”“精心施工”）不可行。方案空洞。</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：完全未提供重点难点及保证措施。</w:t>
            </w:r>
          </w:p>
        </w:tc>
      </w:tr>
      <w:tr w14:paraId="5D5B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3C420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lang w:eastAsia="zh-CN"/>
              </w:rPr>
              <w:t>施工总平面布置图</w:t>
            </w:r>
            <w:r>
              <w:rPr>
                <w:rFonts w:hint="eastAsia"/>
                <w:b w:val="0"/>
                <w:bCs w:val="0"/>
                <w:sz w:val="21"/>
                <w:szCs w:val="21"/>
              </w:rPr>
              <w:t>（</w:t>
            </w:r>
            <w:r>
              <w:rPr>
                <w:rFonts w:hint="eastAsia"/>
                <w:b w:val="0"/>
                <w:bCs w:val="0"/>
                <w:sz w:val="21"/>
                <w:szCs w:val="21"/>
                <w:lang w:eastAsia="zh-CN"/>
              </w:rPr>
              <w:t>满分</w:t>
            </w:r>
            <w:r>
              <w:rPr>
                <w:rFonts w:hint="eastAsia"/>
                <w:b w:val="0"/>
                <w:bCs w:val="0"/>
                <w:sz w:val="21"/>
                <w:szCs w:val="21"/>
                <w:lang w:val="en-US" w:eastAsia="zh-CN"/>
              </w:rPr>
              <w:t>4</w:t>
            </w:r>
            <w:r>
              <w:rPr>
                <w:rFonts w:hint="eastAsia"/>
                <w:b w:val="0"/>
                <w:bCs w:val="0"/>
                <w:sz w:val="21"/>
                <w:szCs w:val="21"/>
              </w:rPr>
              <w:t>分）</w:t>
            </w:r>
          </w:p>
        </w:tc>
        <w:tc>
          <w:tcPr>
            <w:tcW w:w="7801" w:type="dxa"/>
            <w:gridSpan w:val="2"/>
            <w:vAlign w:val="center"/>
          </w:tcPr>
          <w:p w14:paraId="4C683A1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i w:val="0"/>
                <w:iCs w:val="0"/>
                <w:caps w:val="0"/>
                <w:color w:val="0F1115"/>
                <w:spacing w:val="0"/>
                <w:sz w:val="21"/>
                <w:szCs w:val="21"/>
              </w:rPr>
            </w:pPr>
            <w:r>
              <w:rPr>
                <w:rFonts w:hint="eastAsia" w:ascii="宋体" w:hAnsi="宋体" w:eastAsia="宋体" w:cs="宋体"/>
                <w:b/>
                <w:bCs/>
                <w:i w:val="0"/>
                <w:iCs w:val="0"/>
                <w:caps w:val="0"/>
                <w:color w:val="0F1115"/>
                <w:spacing w:val="0"/>
                <w:sz w:val="21"/>
                <w:szCs w:val="21"/>
                <w:shd w:val="clear" w:fill="FFFFFF"/>
              </w:rPr>
              <w:t>评审内容</w:t>
            </w:r>
            <w:r>
              <w:rPr>
                <w:rFonts w:hint="eastAsia" w:ascii="宋体" w:hAnsi="宋体" w:eastAsia="宋体" w:cs="宋体"/>
                <w:i w:val="0"/>
                <w:iCs w:val="0"/>
                <w:caps w:val="0"/>
                <w:color w:val="0F1115"/>
                <w:spacing w:val="0"/>
                <w:sz w:val="21"/>
                <w:szCs w:val="21"/>
                <w:shd w:val="clear" w:fill="FFFFFF"/>
              </w:rPr>
              <w:t>：临时便道及衔接点、管材堆放区、砂石料堆放区、机械停放区、临时设施区、弃土堆放区、用水用电接口及线路、图例比例尺及适配性。</w:t>
            </w:r>
          </w:p>
          <w:p w14:paraId="71E0630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2" w:firstLineChars="200"/>
              <w:textAlignment w:val="auto"/>
              <w:rPr>
                <w:rFonts w:hint="eastAsia" w:ascii="宋体" w:hAnsi="宋体" w:eastAsia="宋体" w:cs="宋体"/>
                <w:b w:val="0"/>
                <w:bCs w:val="0"/>
                <w:sz w:val="21"/>
                <w:szCs w:val="21"/>
              </w:rPr>
            </w:pPr>
            <w:r>
              <w:rPr>
                <w:rFonts w:hint="eastAsia" w:ascii="宋体" w:hAnsi="宋体" w:eastAsia="宋体" w:cs="宋体"/>
                <w:b/>
                <w:bCs/>
                <w:i w:val="0"/>
                <w:iCs w:val="0"/>
                <w:caps w:val="0"/>
                <w:color w:val="0F1115"/>
                <w:spacing w:val="0"/>
                <w:sz w:val="21"/>
                <w:szCs w:val="21"/>
                <w:shd w:val="clear" w:fill="FFFFFF"/>
              </w:rPr>
              <w:t>评分标准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（1）标注至少6个功能区，有图例、比例尺，功能分区合理、无交叉冲突，标明尺寸或面积，说明与乡村场地及线性施工的适配关系（如便道衔接点、存放区距离、避免占用农田等）。方案详实。</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4</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（2）标注至少4个功能区，分区较合理。存在少量不足：或缺少图例、比例尺，或个别位置不够合理（如材料存放区距施工点较远），或未标注用电用水线路，或未充分说明适配关系。</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3</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（3）标注至少3个功能区，但分区较粗糙（如管材与砂石混放），存在少量交叉问题（如机械停放与材料堆放重叠），或未标注尺寸面积，或图纸过于粗糙。基本可用但存在明显不足。</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2</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（4）标注不足2个功能区，或布局混乱（如弃土场设在上风向、办公区紧邻高噪音设备），或与线性施工实际严重不符（如按集中式场区布置），或图纸无法识别。</w:t>
            </w:r>
            <w:r>
              <w:rPr>
                <w:rFonts w:hint="eastAsia" w:ascii="宋体" w:hAnsi="宋体" w:eastAsia="宋体" w:cs="宋体"/>
                <w:i w:val="0"/>
                <w:iCs w:val="0"/>
                <w:caps w:val="0"/>
                <w:color w:val="0F1115"/>
                <w:spacing w:val="0"/>
                <w:sz w:val="21"/>
                <w:szCs w:val="21"/>
                <w:shd w:val="clear" w:fill="FFFFFF"/>
                <w:lang w:val="en-US" w:eastAsia="zh-CN"/>
              </w:rPr>
              <w:t>得</w:t>
            </w:r>
            <w:r>
              <w:rPr>
                <w:rFonts w:hint="eastAsia" w:cs="宋体"/>
                <w:b/>
                <w:bCs/>
                <w:i w:val="0"/>
                <w:iCs w:val="0"/>
                <w:caps w:val="0"/>
                <w:color w:val="0F1115"/>
                <w:spacing w:val="0"/>
                <w:sz w:val="21"/>
                <w:szCs w:val="21"/>
                <w:shd w:val="clear" w:fill="FFFFFF"/>
                <w:lang w:val="en-US" w:eastAsia="zh-CN"/>
              </w:rPr>
              <w:t>1</w:t>
            </w:r>
            <w:r>
              <w:rPr>
                <w:rFonts w:hint="eastAsia" w:ascii="宋体" w:hAnsi="宋体" w:eastAsia="宋体" w:cs="宋体"/>
                <w:b/>
                <w:bCs/>
                <w:i w:val="0"/>
                <w:iCs w:val="0"/>
                <w:caps w:val="0"/>
                <w:color w:val="0F1115"/>
                <w:spacing w:val="0"/>
                <w:sz w:val="21"/>
                <w:szCs w:val="21"/>
                <w:shd w:val="clear" w:fill="FFFFFF"/>
                <w:lang w:eastAsia="zh-CN"/>
              </w:rPr>
              <w:t>分</w:t>
            </w:r>
            <w:r>
              <w:rPr>
                <w:rFonts w:hint="eastAsia" w:ascii="宋体" w:hAnsi="宋体" w:eastAsia="宋体" w:cs="宋体"/>
                <w:i w:val="0"/>
                <w:iCs w:val="0"/>
                <w:caps w:val="0"/>
                <w:color w:val="0F1115"/>
                <w:spacing w:val="0"/>
                <w:sz w:val="21"/>
                <w:szCs w:val="21"/>
                <w:shd w:val="clear" w:fill="FFFFFF"/>
              </w:rPr>
              <w:t>。</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（5）</w:t>
            </w:r>
            <w:r>
              <w:rPr>
                <w:rFonts w:hint="eastAsia" w:ascii="宋体" w:hAnsi="宋体" w:eastAsia="宋体" w:cs="宋体"/>
                <w:b/>
                <w:bCs/>
                <w:i w:val="0"/>
                <w:iCs w:val="0"/>
                <w:caps w:val="0"/>
                <w:color w:val="0F1115"/>
                <w:spacing w:val="0"/>
                <w:sz w:val="21"/>
                <w:szCs w:val="21"/>
                <w:shd w:val="clear" w:fill="FFFFFF"/>
              </w:rPr>
              <w:t>未提供（0分）</w:t>
            </w:r>
            <w:r>
              <w:rPr>
                <w:rFonts w:hint="eastAsia" w:ascii="宋体" w:hAnsi="宋体" w:eastAsia="宋体" w:cs="宋体"/>
                <w:i w:val="0"/>
                <w:iCs w:val="0"/>
                <w:caps w:val="0"/>
                <w:color w:val="0F1115"/>
                <w:spacing w:val="0"/>
                <w:sz w:val="21"/>
                <w:szCs w:val="21"/>
                <w:shd w:val="clear" w:fill="FFFFFF"/>
              </w:rPr>
              <w:t>：完全未提供施工总平面布置图。</w:t>
            </w:r>
          </w:p>
        </w:tc>
      </w:tr>
      <w:tr w14:paraId="71B5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210A1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rPr>
            </w:pPr>
            <w:r>
              <w:rPr>
                <w:rFonts w:hint="eastAsia"/>
                <w:b w:val="0"/>
                <w:bCs w:val="0"/>
                <w:sz w:val="21"/>
                <w:szCs w:val="21"/>
                <w:lang w:val="en-US" w:eastAsia="zh-CN"/>
              </w:rPr>
              <w:t>2、报价文件</w:t>
            </w:r>
            <w:r>
              <w:rPr>
                <w:rFonts w:hint="eastAsia"/>
                <w:b w:val="0"/>
                <w:bCs w:val="0"/>
                <w:sz w:val="21"/>
                <w:szCs w:val="21"/>
              </w:rPr>
              <w:t>（满分</w:t>
            </w:r>
            <w:r>
              <w:rPr>
                <w:rFonts w:hint="eastAsia"/>
                <w:b w:val="0"/>
                <w:bCs w:val="0"/>
                <w:sz w:val="21"/>
                <w:szCs w:val="21"/>
                <w:lang w:val="en-US" w:eastAsia="zh-CN"/>
              </w:rPr>
              <w:t>3</w:t>
            </w:r>
            <w:r>
              <w:rPr>
                <w:rFonts w:hint="eastAsia"/>
                <w:b w:val="0"/>
                <w:bCs w:val="0"/>
                <w:sz w:val="21"/>
                <w:szCs w:val="21"/>
              </w:rPr>
              <w:t>0分）</w:t>
            </w:r>
          </w:p>
        </w:tc>
        <w:tc>
          <w:tcPr>
            <w:tcW w:w="0" w:type="auto"/>
            <w:gridSpan w:val="2"/>
            <w:vAlign w:val="top"/>
          </w:tcPr>
          <w:p w14:paraId="237F9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综合评分法中的价格分统一采用低价优先法计算，即满足磋商文件要求且</w:t>
            </w:r>
          </w:p>
          <w:p w14:paraId="4B9D1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最后报价最低的供应商的价格为磋商基准价，其价格分为满分30分。其他供应商的价格分统一按照下列公式计算：</w:t>
            </w:r>
          </w:p>
          <w:p w14:paraId="0CEA0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磋商报价得分=（磋商基准价/最后磋商报价）×30分（计算结果保留小数点后两位，第三位四舍五入）</w:t>
            </w:r>
          </w:p>
        </w:tc>
      </w:tr>
      <w:tr w14:paraId="3468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3D798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 w:val="0"/>
                <w:bCs w:val="0"/>
                <w:sz w:val="21"/>
                <w:szCs w:val="21"/>
                <w:lang w:val="en-US" w:eastAsia="zh-CN"/>
              </w:rPr>
            </w:pPr>
            <w:r>
              <w:rPr>
                <w:rFonts w:hint="eastAsia"/>
                <w:b w:val="0"/>
                <w:bCs w:val="0"/>
                <w:sz w:val="21"/>
                <w:szCs w:val="21"/>
                <w:lang w:val="en-US" w:eastAsia="zh-CN"/>
              </w:rPr>
              <w:t>3、业绩分（满分3分）</w:t>
            </w:r>
          </w:p>
        </w:tc>
        <w:tc>
          <w:tcPr>
            <w:tcW w:w="0" w:type="auto"/>
            <w:gridSpan w:val="2"/>
            <w:vAlign w:val="top"/>
          </w:tcPr>
          <w:p w14:paraId="5612A3A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b w:val="0"/>
                <w:bCs w:val="0"/>
                <w:kern w:val="0"/>
                <w:sz w:val="21"/>
                <w:szCs w:val="21"/>
                <w:lang w:val="en-US" w:eastAsia="zh-CN" w:bidi="hi-IN"/>
              </w:rPr>
            </w:pPr>
            <w:r>
              <w:rPr>
                <w:rFonts w:hint="default" w:ascii="Times New Roman" w:hAnsi="Times New Roman" w:eastAsia="宋体" w:cs="Times New Roman"/>
                <w:b w:val="0"/>
                <w:bCs w:val="0"/>
                <w:kern w:val="0"/>
                <w:sz w:val="21"/>
                <w:szCs w:val="21"/>
                <w:lang w:val="en-US" w:eastAsia="zh-CN" w:bidi="hi-IN"/>
              </w:rPr>
              <w:t>（1）在投标截止时间前3年内（以合同签订时间</w:t>
            </w:r>
            <w:r>
              <w:rPr>
                <w:rFonts w:hint="eastAsia" w:ascii="Times New Roman" w:hAnsi="Times New Roman" w:cs="Times New Roman"/>
                <w:b w:val="0"/>
                <w:bCs w:val="0"/>
                <w:kern w:val="0"/>
                <w:sz w:val="21"/>
                <w:szCs w:val="21"/>
                <w:lang w:val="en-US" w:eastAsia="zh-CN" w:bidi="hi-IN"/>
              </w:rPr>
              <w:t>或中标通知书落款日期或验收证明的日期</w:t>
            </w:r>
            <w:r>
              <w:rPr>
                <w:rFonts w:hint="default" w:ascii="Times New Roman" w:hAnsi="Times New Roman" w:eastAsia="宋体" w:cs="Times New Roman"/>
                <w:b w:val="0"/>
                <w:bCs w:val="0"/>
                <w:kern w:val="0"/>
                <w:sz w:val="21"/>
                <w:szCs w:val="21"/>
                <w:lang w:val="en-US" w:eastAsia="zh-CN" w:bidi="hi-IN"/>
              </w:rPr>
              <w:t>为准，供应商承接过类似项目的，每个业绩得1分，满分3分。同一项目不重复计分。</w:t>
            </w:r>
          </w:p>
          <w:p w14:paraId="68AF36E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lang w:val="en-US" w:eastAsia="zh-CN" w:bidi="hi-IN"/>
              </w:rPr>
            </w:pPr>
            <w:r>
              <w:rPr>
                <w:rFonts w:hint="default" w:ascii="Times New Roman" w:hAnsi="Times New Roman" w:eastAsia="宋体" w:cs="Times New Roman"/>
                <w:b w:val="0"/>
                <w:bCs w:val="0"/>
                <w:kern w:val="0"/>
                <w:sz w:val="21"/>
                <w:szCs w:val="21"/>
                <w:lang w:val="en-US" w:eastAsia="zh-CN" w:bidi="hi-IN"/>
              </w:rPr>
              <w:t>（2） 类似项目是指排水管网工程、污水治理工程、给排水管道工程、市政管网工程、农村排污处理工程等。</w:t>
            </w:r>
          </w:p>
          <w:p w14:paraId="678DCE8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lang w:val="en-US" w:eastAsia="zh-CN" w:bidi="hi-IN"/>
              </w:rPr>
            </w:pPr>
            <w:r>
              <w:rPr>
                <w:rFonts w:hint="default" w:ascii="Times New Roman" w:hAnsi="Times New Roman" w:eastAsia="宋体" w:cs="Times New Roman"/>
                <w:b w:val="0"/>
                <w:bCs w:val="0"/>
                <w:kern w:val="0"/>
                <w:sz w:val="21"/>
                <w:szCs w:val="21"/>
                <w:lang w:val="en-US" w:eastAsia="zh-CN" w:bidi="hi-IN"/>
              </w:rPr>
              <w:t>（3）证明材料要求： 供应商须提供以下材料</w:t>
            </w:r>
            <w:r>
              <w:rPr>
                <w:rFonts w:hint="eastAsia" w:ascii="Times New Roman" w:hAnsi="Times New Roman" w:cs="Times New Roman"/>
                <w:b w:val="0"/>
                <w:bCs w:val="0"/>
                <w:kern w:val="0"/>
                <w:sz w:val="21"/>
                <w:szCs w:val="21"/>
                <w:lang w:val="en-US" w:eastAsia="zh-CN" w:bidi="hi-IN"/>
              </w:rPr>
              <w:t>之一</w:t>
            </w:r>
            <w:r>
              <w:rPr>
                <w:rFonts w:hint="default" w:ascii="Times New Roman" w:hAnsi="Times New Roman" w:eastAsia="宋体" w:cs="Times New Roman"/>
                <w:b w:val="0"/>
                <w:bCs w:val="0"/>
                <w:kern w:val="0"/>
                <w:sz w:val="21"/>
                <w:szCs w:val="21"/>
                <w:lang w:val="en-US" w:eastAsia="zh-CN" w:bidi="hi-IN"/>
              </w:rPr>
              <w:t>，否则不予计分：中标通知书复印件；施工合同复印件（须包含项目名称、工程内容、合同金额、双方盖章页，工程内容中应体现工程内容）；竣工验收证明文件或业主出具的完工证明复印件。上述材料模糊不清或关键信息缺失的，不予计分。</w:t>
            </w:r>
          </w:p>
          <w:p w14:paraId="79CB949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lang w:val="en-US" w:eastAsia="zh-CN" w:bidi="hi-IN"/>
              </w:rPr>
            </w:pPr>
            <w:r>
              <w:rPr>
                <w:rFonts w:hint="default" w:ascii="Times New Roman" w:hAnsi="Times New Roman" w:eastAsia="宋体" w:cs="Times New Roman"/>
                <w:b w:val="0"/>
                <w:bCs w:val="0"/>
                <w:kern w:val="0"/>
                <w:sz w:val="21"/>
                <w:szCs w:val="21"/>
                <w:lang w:val="en-US" w:eastAsia="zh-CN" w:bidi="hi-IN"/>
              </w:rPr>
              <w:t>（4）业绩归属： 供应商提供的业绩应为自身独立承揽并完成的项目。若为联合体业绩，须同时提供联合体协议（须明确供应商在联合体中的分工）及能证明供应商承担道路工程施工内容的证明材料。分包业绩或转包业绩不予计分。</w:t>
            </w:r>
          </w:p>
        </w:tc>
      </w:tr>
    </w:tbl>
    <w:p w14:paraId="3AB208EF">
      <w:pPr>
        <w:pStyle w:val="5"/>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i w:val="0"/>
          <w:iCs w:val="0"/>
          <w:caps w:val="0"/>
          <w:color w:val="0F1115"/>
          <w:spacing w:val="0"/>
          <w:sz w:val="21"/>
          <w:szCs w:val="21"/>
          <w:shd w:val="clear" w:fill="FFFFFF"/>
        </w:rPr>
        <w:t>四、成交候选人的确定</w:t>
      </w:r>
    </w:p>
    <w:p w14:paraId="5436EF88">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7"/>
          <w:rFonts w:hint="default" w:ascii="Segoe UI" w:hAnsi="Segoe UI" w:eastAsia="Segoe UI" w:cs="Segoe UI"/>
          <w:b/>
          <w:bCs/>
          <w:i w:val="0"/>
          <w:iCs w:val="0"/>
          <w:caps w:val="0"/>
          <w:color w:val="0F1115"/>
          <w:spacing w:val="0"/>
          <w:sz w:val="21"/>
          <w:szCs w:val="21"/>
          <w:shd w:val="clear" w:fill="FFFFFF"/>
        </w:rPr>
        <w:t>汇总与排序</w:t>
      </w:r>
      <w:r>
        <w:rPr>
          <w:rFonts w:hint="default" w:ascii="Segoe UI" w:hAnsi="Segoe UI" w:eastAsia="Segoe UI" w:cs="Segoe UI"/>
          <w:i w:val="0"/>
          <w:iCs w:val="0"/>
          <w:caps w:val="0"/>
          <w:color w:val="0F1115"/>
          <w:spacing w:val="0"/>
          <w:sz w:val="21"/>
          <w:szCs w:val="21"/>
          <w:shd w:val="clear" w:fill="FFFFFF"/>
        </w:rPr>
        <w:t>：磋商小组将各供应商的</w:t>
      </w:r>
      <w:r>
        <w:rPr>
          <w:rStyle w:val="27"/>
          <w:rFonts w:hint="default" w:ascii="Segoe UI" w:hAnsi="Segoe UI" w:eastAsia="Segoe UI" w:cs="Segoe UI"/>
          <w:b/>
          <w:bCs/>
          <w:i w:val="0"/>
          <w:iCs w:val="0"/>
          <w:caps w:val="0"/>
          <w:color w:val="0F1115"/>
          <w:spacing w:val="0"/>
          <w:sz w:val="21"/>
          <w:szCs w:val="21"/>
          <w:shd w:val="clear" w:fill="FFFFFF"/>
        </w:rPr>
        <w:t>技术得分</w:t>
      </w:r>
      <w:r>
        <w:rPr>
          <w:rFonts w:hint="eastAsia" w:ascii="Segoe UI" w:hAnsi="Segoe UI" w:eastAsia="宋体" w:cs="Segoe UI"/>
          <w:i w:val="0"/>
          <w:iCs w:val="0"/>
          <w:caps w:val="0"/>
          <w:color w:val="0F1115"/>
          <w:spacing w:val="0"/>
          <w:sz w:val="21"/>
          <w:szCs w:val="21"/>
          <w:shd w:val="clear" w:fill="FFFFFF"/>
          <w:lang w:eastAsia="zh-CN"/>
        </w:rPr>
        <w:t>、</w:t>
      </w:r>
      <w:r>
        <w:rPr>
          <w:rStyle w:val="27"/>
          <w:rFonts w:hint="default" w:ascii="Segoe UI" w:hAnsi="Segoe UI" w:eastAsia="Segoe UI" w:cs="Segoe UI"/>
          <w:b/>
          <w:bCs/>
          <w:i w:val="0"/>
          <w:iCs w:val="0"/>
          <w:caps w:val="0"/>
          <w:color w:val="0F1115"/>
          <w:spacing w:val="0"/>
          <w:sz w:val="21"/>
          <w:szCs w:val="21"/>
          <w:shd w:val="clear" w:fill="FFFFFF"/>
        </w:rPr>
        <w:t>价格得分</w:t>
      </w:r>
      <w:r>
        <w:rPr>
          <w:rStyle w:val="27"/>
          <w:rFonts w:hint="eastAsia" w:ascii="Segoe UI" w:hAnsi="Segoe UI" w:eastAsia="宋体" w:cs="Segoe UI"/>
          <w:b/>
          <w:bCs/>
          <w:i w:val="0"/>
          <w:iCs w:val="0"/>
          <w:caps w:val="0"/>
          <w:color w:val="0F1115"/>
          <w:spacing w:val="0"/>
          <w:sz w:val="21"/>
          <w:szCs w:val="21"/>
          <w:shd w:val="clear" w:fill="FFFFFF"/>
          <w:lang w:val="en-US" w:eastAsia="zh-CN"/>
        </w:rPr>
        <w:t>和业绩分</w:t>
      </w:r>
      <w:r>
        <w:rPr>
          <w:rFonts w:hint="default" w:ascii="Segoe UI" w:hAnsi="Segoe UI" w:eastAsia="Segoe UI" w:cs="Segoe UI"/>
          <w:i w:val="0"/>
          <w:iCs w:val="0"/>
          <w:caps w:val="0"/>
          <w:color w:val="0F1115"/>
          <w:spacing w:val="0"/>
          <w:sz w:val="21"/>
          <w:szCs w:val="21"/>
          <w:shd w:val="clear" w:fill="FFFFFF"/>
        </w:rPr>
        <w:t>相加，得出</w:t>
      </w:r>
      <w:r>
        <w:rPr>
          <w:rStyle w:val="27"/>
          <w:rFonts w:hint="default" w:ascii="Segoe UI" w:hAnsi="Segoe UI" w:eastAsia="Segoe UI" w:cs="Segoe UI"/>
          <w:b/>
          <w:bCs/>
          <w:i w:val="0"/>
          <w:iCs w:val="0"/>
          <w:caps w:val="0"/>
          <w:color w:val="0F1115"/>
          <w:spacing w:val="0"/>
          <w:sz w:val="21"/>
          <w:szCs w:val="21"/>
          <w:shd w:val="clear" w:fill="FFFFFF"/>
        </w:rPr>
        <w:t>综合总得分</w:t>
      </w:r>
      <w:r>
        <w:rPr>
          <w:rFonts w:hint="default" w:ascii="Segoe UI" w:hAnsi="Segoe UI" w:eastAsia="Segoe UI" w:cs="Segoe UI"/>
          <w:i w:val="0"/>
          <w:iCs w:val="0"/>
          <w:caps w:val="0"/>
          <w:color w:val="0F1115"/>
          <w:spacing w:val="0"/>
          <w:sz w:val="21"/>
          <w:szCs w:val="21"/>
          <w:shd w:val="clear" w:fill="FFFFFF"/>
        </w:rPr>
        <w:t>。按综合总得分由高到低顺序推荐成交候选人。</w:t>
      </w:r>
    </w:p>
    <w:p w14:paraId="0E6C3A5A">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7"/>
          <w:rFonts w:hint="default" w:ascii="Segoe UI" w:hAnsi="Segoe UI" w:eastAsia="Segoe UI" w:cs="Segoe UI"/>
          <w:b/>
          <w:bCs/>
          <w:i w:val="0"/>
          <w:iCs w:val="0"/>
          <w:caps w:val="0"/>
          <w:color w:val="0F1115"/>
          <w:spacing w:val="0"/>
          <w:sz w:val="21"/>
          <w:szCs w:val="21"/>
          <w:shd w:val="clear" w:fill="FFFFFF"/>
        </w:rPr>
        <w:t>排序规则</w:t>
      </w:r>
      <w:r>
        <w:rPr>
          <w:rFonts w:hint="default" w:ascii="Segoe UI" w:hAnsi="Segoe UI" w:eastAsia="Segoe UI" w:cs="Segoe UI"/>
          <w:i w:val="0"/>
          <w:iCs w:val="0"/>
          <w:caps w:val="0"/>
          <w:color w:val="0F1115"/>
          <w:spacing w:val="0"/>
          <w:sz w:val="21"/>
          <w:szCs w:val="21"/>
          <w:shd w:val="clear" w:fill="FFFFFF"/>
        </w:rPr>
        <w:t>：</w:t>
      </w:r>
    </w:p>
    <w:p w14:paraId="356B0027">
      <w:pPr>
        <w:pStyle w:val="20"/>
        <w:keepNext w:val="0"/>
        <w:keepLines w:val="0"/>
        <w:widowControl/>
        <w:numPr>
          <w:ilvl w:val="0"/>
          <w:numId w:val="14"/>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首先，按综合总得分由高到低排序。</w:t>
      </w:r>
    </w:p>
    <w:p w14:paraId="35B16E51">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shd w:val="clear" w:fill="FFFFFF"/>
        </w:rPr>
      </w:pPr>
    </w:p>
    <w:p w14:paraId="50C925CB">
      <w:pPr>
        <w:pStyle w:val="20"/>
        <w:keepNext w:val="0"/>
        <w:keepLines w:val="0"/>
        <w:widowControl/>
        <w:numPr>
          <w:ilvl w:val="0"/>
          <w:numId w:val="14"/>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若综合总得分相同，以最终报价低者优先。</w:t>
      </w:r>
    </w:p>
    <w:p w14:paraId="11CFAEEF">
      <w:pPr>
        <w:pStyle w:val="20"/>
        <w:keepNext w:val="0"/>
        <w:keepLines w:val="0"/>
        <w:widowControl/>
        <w:numPr>
          <w:ilvl w:val="0"/>
          <w:numId w:val="14"/>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若综合总得分与最终报价均相同，以技术指标（施工组织设计）得分高者优先。</w:t>
      </w:r>
    </w:p>
    <w:p w14:paraId="0A639CE1">
      <w:pPr>
        <w:pStyle w:val="20"/>
        <w:keepNext w:val="0"/>
        <w:keepLines w:val="0"/>
        <w:widowControl/>
        <w:numPr>
          <w:ilvl w:val="0"/>
          <w:numId w:val="14"/>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若上述三项均相同，由磋商小组现场采用随机抽取（抽签或摇号）方式确定排序，具体程序如下：</w:t>
      </w:r>
    </w:p>
    <w:p w14:paraId="60B1EC24">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（1）仅当综合总得分、最终报价、技术指标得分三项均完全相同时，方可启动随机抽取程序；</w:t>
      </w:r>
    </w:p>
    <w:p w14:paraId="7AE7BFC1">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（2）随机取由磋商小组组长执行，抽取过程须全程录音录像，并记入评审报告；</w:t>
      </w:r>
    </w:p>
    <w:p w14:paraId="4A499E5B">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（3）供应商代表可在线见证抽取过程；</w:t>
      </w:r>
    </w:p>
    <w:p w14:paraId="36F63AE9">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shd w:val="clear" w:fill="FFFFFF"/>
        </w:rPr>
      </w:pPr>
      <w:r>
        <w:rPr>
          <w:rFonts w:hint="default" w:ascii="Segoe UI" w:hAnsi="Segoe UI" w:eastAsia="Segoe UI" w:cs="Segoe UI"/>
          <w:i w:val="0"/>
          <w:iCs w:val="0"/>
          <w:caps w:val="0"/>
          <w:color w:val="0F1115"/>
          <w:spacing w:val="0"/>
          <w:sz w:val="21"/>
          <w:szCs w:val="21"/>
          <w:shd w:val="clear" w:fill="FFFFFF"/>
        </w:rPr>
        <w:t>（4）抽取结果一经确定，即为磋商小组最终排序，采购人依据该排序确定成交供应商。</w:t>
      </w:r>
    </w:p>
    <w:p w14:paraId="2599906E">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7"/>
          <w:rFonts w:hint="default" w:ascii="Segoe UI" w:hAnsi="Segoe UI" w:eastAsia="Segoe UI" w:cs="Segoe UI"/>
          <w:b/>
          <w:bCs/>
          <w:i w:val="0"/>
          <w:iCs w:val="0"/>
          <w:caps w:val="0"/>
          <w:color w:val="0F1115"/>
          <w:spacing w:val="0"/>
          <w:sz w:val="21"/>
          <w:szCs w:val="21"/>
          <w:shd w:val="clear" w:fill="FFFFFF"/>
        </w:rPr>
        <w:t>成交供应商确定</w:t>
      </w:r>
      <w:r>
        <w:rPr>
          <w:rFonts w:hint="default" w:ascii="Segoe UI" w:hAnsi="Segoe UI" w:eastAsia="Segoe UI" w:cs="Segoe UI"/>
          <w:i w:val="0"/>
          <w:iCs w:val="0"/>
          <w:caps w:val="0"/>
          <w:color w:val="0F1115"/>
          <w:spacing w:val="0"/>
          <w:sz w:val="21"/>
          <w:szCs w:val="21"/>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3C84D34B">
      <w:pPr>
        <w:pStyle w:val="5"/>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7"/>
          <w:rFonts w:hint="default" w:ascii="Segoe UI" w:hAnsi="Segoe UI" w:eastAsia="Segoe UI" w:cs="Segoe UI"/>
          <w:b/>
          <w:i w:val="0"/>
          <w:iCs w:val="0"/>
          <w:caps w:val="0"/>
          <w:color w:val="0F1115"/>
          <w:spacing w:val="0"/>
          <w:sz w:val="21"/>
          <w:szCs w:val="21"/>
          <w:shd w:val="clear" w:fill="FFFFFF"/>
        </w:rPr>
        <w:t>五、评审报告</w:t>
      </w:r>
    </w:p>
    <w:p w14:paraId="56BC42DD">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（一）磋商小组完成评审后，应当起草电子评审报告，并由全体成员在线签字确认。</w:t>
      </w:r>
    </w:p>
    <w:p w14:paraId="4B3BF21B">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（二）评审报告应当包括：</w:t>
      </w:r>
    </w:p>
    <w:p w14:paraId="5DC23193">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项目基本情况；</w:t>
      </w:r>
    </w:p>
    <w:p w14:paraId="214636A1">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供应商名单和磋商小组成员名单；</w:t>
      </w:r>
    </w:p>
    <w:p w14:paraId="313FA664">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评审方法和标准；</w:t>
      </w:r>
    </w:p>
    <w:p w14:paraId="4810FF2D">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资格性、符合性审查情况；</w:t>
      </w:r>
    </w:p>
    <w:p w14:paraId="3A14097A">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磋商情况及供应商提交的最终响应文件情况；</w:t>
      </w:r>
    </w:p>
    <w:p w14:paraId="0F74D511">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最终报价情况；</w:t>
      </w:r>
    </w:p>
    <w:p w14:paraId="452BFA82">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综合得分及排序情况；</w:t>
      </w:r>
    </w:p>
    <w:p w14:paraId="37789B62">
      <w:pPr>
        <w:pStyle w:val="20"/>
        <w:keepNext w:val="0"/>
        <w:keepLines w:val="0"/>
        <w:widowControl/>
        <w:numPr>
          <w:ilvl w:val="0"/>
          <w:numId w:val="15"/>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推荐的成交候选人名单。</w:t>
      </w:r>
    </w:p>
    <w:p w14:paraId="68FDEAA8">
      <w:pPr>
        <w:pStyle w:val="20"/>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2F816C2D">
      <w:pPr>
        <w:pStyle w:val="3"/>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375" w:name="_Toc80886940"/>
      <w:bookmarkStart w:id="1376" w:name="_Toc80205936"/>
      <w:r>
        <w:rPr>
          <w:rFonts w:hint="eastAsia" w:ascii="宋体" w:hAnsi="宋体" w:eastAsia="宋体" w:cs="宋体"/>
          <w:b/>
          <w:bCs/>
          <w:color w:val="auto"/>
          <w:sz w:val="21"/>
          <w:szCs w:val="21"/>
          <w:highlight w:val="none"/>
          <w:lang w:val="en-US" w:eastAsia="zh-CN" w:bidi="hi-IN"/>
        </w:rPr>
        <w:t>六、评审过程的保密与录像</w:t>
      </w:r>
      <w:bookmarkEnd w:id="1375"/>
      <w:bookmarkEnd w:id="1376"/>
    </w:p>
    <w:p w14:paraId="4CAE24C9">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1F00B2BB">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3930D064">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397183DE">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29E1916F">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4E3656C2">
      <w:pPr>
        <w:pStyle w:val="35"/>
        <w:shd w:val="clear"/>
        <w:rPr>
          <w:rFonts w:hint="eastAsia" w:ascii="宋体" w:hAnsi="宋体" w:cs="宋体"/>
          <w:bCs/>
          <w:color w:val="auto"/>
          <w:sz w:val="21"/>
          <w:szCs w:val="21"/>
          <w:highlight w:val="none"/>
        </w:rPr>
      </w:pPr>
    </w:p>
    <w:p w14:paraId="280884B7">
      <w:pPr>
        <w:pStyle w:val="34"/>
        <w:shd w:val="clear"/>
        <w:rPr>
          <w:rFonts w:hint="eastAsia"/>
          <w:color w:val="auto"/>
          <w:highlight w:val="none"/>
        </w:rPr>
      </w:pPr>
    </w:p>
    <w:p w14:paraId="449814AE">
      <w:pPr>
        <w:pStyle w:val="35"/>
        <w:rPr>
          <w:rFonts w:hint="eastAsia"/>
          <w:color w:val="auto"/>
          <w:highlight w:val="none"/>
        </w:rPr>
      </w:pPr>
    </w:p>
    <w:p w14:paraId="7DAD9003">
      <w:pPr>
        <w:pStyle w:val="34"/>
        <w:rPr>
          <w:rFonts w:hint="eastAsia"/>
          <w:color w:val="auto"/>
          <w:highlight w:val="none"/>
        </w:rPr>
      </w:pPr>
    </w:p>
    <w:p w14:paraId="77641ABD">
      <w:pPr>
        <w:pStyle w:val="35"/>
        <w:shd w:val="clear"/>
        <w:rPr>
          <w:rFonts w:hint="eastAsia"/>
          <w:color w:val="auto"/>
          <w:highlight w:val="none"/>
        </w:rPr>
      </w:pPr>
    </w:p>
    <w:p w14:paraId="4A7776B1">
      <w:pPr>
        <w:pStyle w:val="34"/>
        <w:rPr>
          <w:rFonts w:hint="eastAsia"/>
          <w:color w:val="auto"/>
          <w:highlight w:val="none"/>
        </w:rPr>
      </w:pPr>
    </w:p>
    <w:p w14:paraId="43E3EF83">
      <w:pPr>
        <w:pStyle w:val="35"/>
        <w:rPr>
          <w:rFonts w:hint="eastAsia"/>
          <w:color w:val="auto"/>
          <w:highlight w:val="none"/>
        </w:rPr>
      </w:pPr>
    </w:p>
    <w:p w14:paraId="55CD6D1F">
      <w:pPr>
        <w:pStyle w:val="34"/>
        <w:rPr>
          <w:rFonts w:hint="eastAsia"/>
          <w:color w:val="auto"/>
          <w:highlight w:val="none"/>
        </w:rPr>
      </w:pPr>
    </w:p>
    <w:p w14:paraId="6A258D8F">
      <w:pPr>
        <w:pStyle w:val="35"/>
        <w:rPr>
          <w:rFonts w:hint="eastAsia"/>
          <w:color w:val="auto"/>
          <w:highlight w:val="none"/>
        </w:rPr>
      </w:pPr>
    </w:p>
    <w:p w14:paraId="5E299BDB">
      <w:pPr>
        <w:pStyle w:val="34"/>
        <w:rPr>
          <w:rFonts w:hint="eastAsia"/>
          <w:color w:val="auto"/>
          <w:highlight w:val="none"/>
        </w:rPr>
      </w:pPr>
    </w:p>
    <w:p w14:paraId="3A631C65">
      <w:pPr>
        <w:pStyle w:val="35"/>
        <w:rPr>
          <w:rFonts w:hint="eastAsia"/>
        </w:rPr>
      </w:pPr>
    </w:p>
    <w:p w14:paraId="1073B21A">
      <w:pPr>
        <w:pStyle w:val="35"/>
        <w:rPr>
          <w:rFonts w:hint="eastAsia"/>
          <w:color w:val="auto"/>
          <w:highlight w:val="none"/>
        </w:rPr>
      </w:pPr>
    </w:p>
    <w:p w14:paraId="57A31139">
      <w:pPr>
        <w:pStyle w:val="34"/>
        <w:rPr>
          <w:rFonts w:hint="eastAsia"/>
          <w:color w:val="auto"/>
          <w:highlight w:val="none"/>
        </w:rPr>
      </w:pPr>
    </w:p>
    <w:p w14:paraId="2CDD5BD9">
      <w:pPr>
        <w:pStyle w:val="35"/>
        <w:rPr>
          <w:rFonts w:hint="eastAsia"/>
          <w:color w:val="auto"/>
          <w:highlight w:val="none"/>
        </w:rPr>
      </w:pPr>
    </w:p>
    <w:p w14:paraId="607B8203">
      <w:pPr>
        <w:pStyle w:val="34"/>
        <w:rPr>
          <w:rFonts w:hint="eastAsia"/>
          <w:color w:val="auto"/>
          <w:highlight w:val="none"/>
        </w:rPr>
      </w:pPr>
    </w:p>
    <w:p w14:paraId="2E029A0A">
      <w:pPr>
        <w:pStyle w:val="35"/>
        <w:rPr>
          <w:rFonts w:hint="eastAsia"/>
          <w:color w:val="auto"/>
          <w:highlight w:val="none"/>
        </w:rPr>
      </w:pPr>
    </w:p>
    <w:p w14:paraId="20291060">
      <w:pPr>
        <w:pStyle w:val="34"/>
        <w:rPr>
          <w:rFonts w:hint="eastAsia"/>
          <w:color w:val="auto"/>
          <w:highlight w:val="none"/>
        </w:rPr>
      </w:pPr>
    </w:p>
    <w:p w14:paraId="29490841">
      <w:pPr>
        <w:pStyle w:val="35"/>
        <w:rPr>
          <w:rFonts w:hint="eastAsia"/>
          <w:color w:val="auto"/>
          <w:highlight w:val="none"/>
        </w:rPr>
      </w:pPr>
    </w:p>
    <w:p w14:paraId="1E10F83D">
      <w:pPr>
        <w:pStyle w:val="34"/>
        <w:rPr>
          <w:rFonts w:hint="eastAsia"/>
          <w:color w:val="auto"/>
          <w:highlight w:val="none"/>
        </w:rPr>
      </w:pPr>
    </w:p>
    <w:p w14:paraId="34E3B83F">
      <w:pPr>
        <w:pStyle w:val="35"/>
        <w:rPr>
          <w:rFonts w:hint="eastAsia"/>
          <w:color w:val="auto"/>
          <w:highlight w:val="none"/>
        </w:rPr>
      </w:pPr>
    </w:p>
    <w:p w14:paraId="2D6A54A0">
      <w:pPr>
        <w:pStyle w:val="34"/>
        <w:rPr>
          <w:rFonts w:hint="eastAsia"/>
          <w:color w:val="auto"/>
          <w:highlight w:val="none"/>
        </w:rPr>
      </w:pPr>
    </w:p>
    <w:p w14:paraId="31C44E17">
      <w:pPr>
        <w:pStyle w:val="35"/>
        <w:rPr>
          <w:rFonts w:hint="eastAsia"/>
          <w:color w:val="auto"/>
          <w:highlight w:val="none"/>
        </w:rPr>
      </w:pPr>
    </w:p>
    <w:p w14:paraId="2687B8C5">
      <w:pPr>
        <w:pStyle w:val="34"/>
        <w:rPr>
          <w:rFonts w:hint="eastAsia"/>
          <w:color w:val="auto"/>
          <w:highlight w:val="none"/>
        </w:rPr>
      </w:pPr>
    </w:p>
    <w:p w14:paraId="31679E05">
      <w:pPr>
        <w:pStyle w:val="35"/>
        <w:rPr>
          <w:rFonts w:hint="eastAsia"/>
          <w:color w:val="auto"/>
          <w:highlight w:val="none"/>
        </w:rPr>
      </w:pPr>
    </w:p>
    <w:p w14:paraId="1BC6BE33">
      <w:pPr>
        <w:pStyle w:val="34"/>
        <w:rPr>
          <w:rFonts w:hint="eastAsia"/>
        </w:rPr>
      </w:pPr>
    </w:p>
    <w:p w14:paraId="5279A560">
      <w:pPr>
        <w:pStyle w:val="34"/>
        <w:rPr>
          <w:rFonts w:hint="eastAsia"/>
          <w:color w:val="auto"/>
          <w:highlight w:val="none"/>
        </w:rPr>
      </w:pPr>
    </w:p>
    <w:p w14:paraId="44F334A8">
      <w:pPr>
        <w:pStyle w:val="35"/>
        <w:rPr>
          <w:rFonts w:hint="eastAsia"/>
          <w:color w:val="auto"/>
          <w:highlight w:val="none"/>
        </w:rPr>
      </w:pPr>
    </w:p>
    <w:p w14:paraId="6728806C">
      <w:pPr>
        <w:pStyle w:val="34"/>
        <w:rPr>
          <w:rFonts w:hint="eastAsia"/>
          <w:color w:val="auto"/>
          <w:highlight w:val="none"/>
        </w:rPr>
      </w:pPr>
    </w:p>
    <w:p w14:paraId="62E84A58">
      <w:pPr>
        <w:pStyle w:val="35"/>
        <w:rPr>
          <w:rFonts w:hint="eastAsia"/>
          <w:color w:val="auto"/>
          <w:highlight w:val="none"/>
        </w:rPr>
      </w:pPr>
    </w:p>
    <w:p w14:paraId="6FED6F10">
      <w:pPr>
        <w:pStyle w:val="34"/>
        <w:rPr>
          <w:rFonts w:hint="eastAsia"/>
          <w:color w:val="auto"/>
          <w:highlight w:val="none"/>
        </w:rPr>
      </w:pPr>
    </w:p>
    <w:p w14:paraId="33CEDB99">
      <w:pPr>
        <w:rPr>
          <w:rFonts w:hint="eastAsia" w:ascii="宋体" w:hAnsi="宋体"/>
          <w:b/>
          <w:bCs/>
          <w:color w:val="auto"/>
          <w:sz w:val="21"/>
          <w:szCs w:val="21"/>
          <w:highlight w:val="none"/>
        </w:rPr>
      </w:pPr>
    </w:p>
    <w:p w14:paraId="2AC4647C">
      <w:pPr>
        <w:pStyle w:val="34"/>
        <w:shd w:val="clear"/>
        <w:spacing w:line="360" w:lineRule="auto"/>
        <w:jc w:val="center"/>
        <w:outlineLvl w:val="0"/>
        <w:rPr>
          <w:rFonts w:hint="eastAsia" w:ascii="宋体" w:hAnsi="宋体"/>
          <w:b/>
          <w:color w:val="auto"/>
          <w:sz w:val="32"/>
          <w:szCs w:val="32"/>
          <w:highlight w:val="none"/>
        </w:rPr>
      </w:pPr>
      <w:bookmarkStart w:id="1377" w:name="_Toc5706"/>
      <w:r>
        <w:rPr>
          <w:rFonts w:hint="eastAsia" w:ascii="宋体" w:hAnsi="宋体"/>
          <w:b/>
          <w:color w:val="auto"/>
          <w:sz w:val="32"/>
          <w:szCs w:val="32"/>
          <w:highlight w:val="none"/>
        </w:rPr>
        <w:t>第七章施工图纸及工程量清单</w:t>
      </w:r>
      <w:bookmarkEnd w:id="1377"/>
    </w:p>
    <w:p w14:paraId="68A64EE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rPr>
      </w:pPr>
      <w:r>
        <w:rPr>
          <w:rFonts w:hint="eastAsia" w:ascii="宋体" w:hAnsi="宋体" w:eastAsia="宋体" w:cs="宋体"/>
          <w:b w:val="0"/>
          <w:bCs w:val="0"/>
          <w:i w:val="0"/>
          <w:iCs w:val="0"/>
          <w:caps w:val="0"/>
          <w:color w:val="0F1115"/>
          <w:spacing w:val="0"/>
          <w:sz w:val="21"/>
          <w:szCs w:val="21"/>
          <w:shd w:val="clear" w:fill="FFFFFF"/>
        </w:rPr>
        <w:t>一、施工图纸：本项目的施工图纸以电子文件形式提供，供应商登录广西政府采购云平台（</w:t>
      </w:r>
      <w:r>
        <w:rPr>
          <w:rFonts w:hint="eastAsia" w:ascii="宋体" w:hAnsi="宋体" w:eastAsia="宋体" w:cs="宋体"/>
          <w:b w:val="0"/>
          <w:bCs w:val="0"/>
          <w:i w:val="0"/>
          <w:iCs w:val="0"/>
          <w:caps w:val="0"/>
          <w:color w:val="3964FE"/>
          <w:spacing w:val="0"/>
          <w:sz w:val="21"/>
          <w:szCs w:val="21"/>
          <w:u w:val="none"/>
          <w:bdr w:val="single" w:color="auto" w:sz="18" w:space="0"/>
          <w:shd w:val="clear" w:fill="FFFFFF"/>
        </w:rPr>
        <w:fldChar w:fldCharType="begin"/>
      </w:r>
      <w:r>
        <w:rPr>
          <w:rFonts w:hint="eastAsia" w:ascii="宋体" w:hAnsi="宋体" w:eastAsia="宋体" w:cs="宋体"/>
          <w:b w:val="0"/>
          <w:bCs w:val="0"/>
          <w:i w:val="0"/>
          <w:iCs w:val="0"/>
          <w:caps w:val="0"/>
          <w:color w:val="3964FE"/>
          <w:spacing w:val="0"/>
          <w:sz w:val="21"/>
          <w:szCs w:val="21"/>
          <w:u w:val="none"/>
          <w:bdr w:val="single" w:color="auto" w:sz="18" w:space="0"/>
          <w:shd w:val="clear" w:fill="FFFFFF"/>
        </w:rPr>
        <w:instrText xml:space="preserve"> HYPERLINK "https://www.gcy.zfcg.gxzf.gov.cn/" \t "https://chat.deepseek.com/a/chat/s/_blank" </w:instrText>
      </w:r>
      <w:r>
        <w:rPr>
          <w:rFonts w:hint="eastAsia" w:ascii="宋体" w:hAnsi="宋体" w:eastAsia="宋体" w:cs="宋体"/>
          <w:b w:val="0"/>
          <w:bCs w:val="0"/>
          <w:i w:val="0"/>
          <w:iCs w:val="0"/>
          <w:caps w:val="0"/>
          <w:color w:val="3964FE"/>
          <w:spacing w:val="0"/>
          <w:sz w:val="21"/>
          <w:szCs w:val="21"/>
          <w:u w:val="none"/>
          <w:bdr w:val="single" w:color="auto" w:sz="18" w:space="0"/>
          <w:shd w:val="clear" w:fill="FFFFFF"/>
        </w:rPr>
        <w:fldChar w:fldCharType="separate"/>
      </w:r>
      <w:r>
        <w:rPr>
          <w:rStyle w:val="30"/>
          <w:rFonts w:hint="eastAsia" w:ascii="宋体" w:hAnsi="宋体" w:eastAsia="宋体" w:cs="宋体"/>
          <w:b w:val="0"/>
          <w:bCs w:val="0"/>
          <w:i w:val="0"/>
          <w:iCs w:val="0"/>
          <w:caps w:val="0"/>
          <w:color w:val="3964FE"/>
          <w:spacing w:val="0"/>
          <w:sz w:val="21"/>
          <w:szCs w:val="21"/>
          <w:u w:val="none"/>
          <w:shd w:val="clear" w:fill="FFFFFF"/>
        </w:rPr>
        <w:t>https://www.gcy.zfcg.gxzf.gov.cn/</w:t>
      </w:r>
      <w:r>
        <w:rPr>
          <w:rFonts w:hint="eastAsia" w:ascii="宋体" w:hAnsi="宋体" w:eastAsia="宋体" w:cs="宋体"/>
          <w:b w:val="0"/>
          <w:bCs w:val="0"/>
          <w:i w:val="0"/>
          <w:iCs w:val="0"/>
          <w:caps w:val="0"/>
          <w:color w:val="3964FE"/>
          <w:spacing w:val="0"/>
          <w:sz w:val="21"/>
          <w:szCs w:val="21"/>
          <w:u w:val="none"/>
          <w:bdr w:val="single" w:color="auto" w:sz="18" w:space="0"/>
          <w:shd w:val="clear" w:fill="FFFFFF"/>
        </w:rPr>
        <w:fldChar w:fldCharType="end"/>
      </w:r>
      <w:r>
        <w:rPr>
          <w:rFonts w:hint="eastAsia" w:ascii="宋体" w:hAnsi="宋体" w:eastAsia="宋体" w:cs="宋体"/>
          <w:b w:val="0"/>
          <w:bCs w:val="0"/>
          <w:i w:val="0"/>
          <w:iCs w:val="0"/>
          <w:caps w:val="0"/>
          <w:color w:val="0F1115"/>
          <w:spacing w:val="0"/>
          <w:sz w:val="21"/>
          <w:szCs w:val="21"/>
          <w:shd w:val="clear" w:fill="FFFFFF"/>
        </w:rPr>
        <w:t>）在线申请获取采购文件时，可同步下载PDF格式的施工图纸文件。</w:t>
      </w:r>
    </w:p>
    <w:p w14:paraId="0899234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rPr>
      </w:pPr>
      <w:r>
        <w:rPr>
          <w:rFonts w:hint="eastAsia" w:ascii="宋体" w:hAnsi="宋体" w:eastAsia="宋体" w:cs="宋体"/>
          <w:b w:val="0"/>
          <w:bCs w:val="0"/>
          <w:i w:val="0"/>
          <w:iCs w:val="0"/>
          <w:caps w:val="0"/>
          <w:color w:val="0F1115"/>
          <w:spacing w:val="0"/>
          <w:sz w:val="21"/>
          <w:szCs w:val="21"/>
          <w:shd w:val="clear" w:fill="FFFFFF"/>
        </w:rPr>
        <w:t>二、工程量清单：</w:t>
      </w:r>
    </w:p>
    <w:p w14:paraId="047E8D88">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rPr>
      </w:pPr>
      <w:r>
        <w:rPr>
          <w:rFonts w:hint="eastAsia" w:ascii="宋体" w:hAnsi="宋体" w:eastAsia="宋体" w:cs="宋体"/>
          <w:b w:val="0"/>
          <w:bCs w:val="0"/>
          <w:i w:val="0"/>
          <w:iCs w:val="0"/>
          <w:caps w:val="0"/>
          <w:color w:val="0F1115"/>
          <w:spacing w:val="0"/>
          <w:sz w:val="21"/>
          <w:szCs w:val="21"/>
          <w:shd w:val="clear" w:fill="FFFFFF"/>
        </w:rPr>
        <w:t>采购人提供的工程量清单文件，供应商可登录上述平台下载。该清单仅用于查阅工程数量、项目特征</w:t>
      </w:r>
      <w:r>
        <w:rPr>
          <w:rFonts w:hint="eastAsia" w:ascii="宋体" w:hAnsi="宋体" w:eastAsia="宋体" w:cs="宋体"/>
          <w:b w:val="0"/>
          <w:bCs w:val="0"/>
          <w:i w:val="0"/>
          <w:iCs w:val="0"/>
          <w:caps w:val="0"/>
          <w:color w:val="0F1115"/>
          <w:spacing w:val="0"/>
          <w:sz w:val="21"/>
          <w:szCs w:val="21"/>
          <w:shd w:val="clear" w:fill="FFFFFF"/>
          <w:lang w:val="en-US" w:eastAsia="zh-CN"/>
        </w:rPr>
        <w:t>等</w:t>
      </w:r>
      <w:r>
        <w:rPr>
          <w:rFonts w:hint="eastAsia" w:ascii="宋体" w:hAnsi="宋体" w:eastAsia="宋体" w:cs="宋体"/>
          <w:b w:val="0"/>
          <w:bCs w:val="0"/>
          <w:i w:val="0"/>
          <w:iCs w:val="0"/>
          <w:caps w:val="0"/>
          <w:color w:val="0F1115"/>
          <w:spacing w:val="0"/>
          <w:sz w:val="21"/>
          <w:szCs w:val="21"/>
          <w:shd w:val="clear" w:fill="FFFFFF"/>
        </w:rPr>
        <w:t>信息。</w:t>
      </w:r>
    </w:p>
    <w:p w14:paraId="0793211C">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rPr>
      </w:pPr>
      <w:r>
        <w:rPr>
          <w:rFonts w:hint="eastAsia" w:ascii="宋体" w:hAnsi="宋体" w:eastAsia="宋体" w:cs="宋体"/>
          <w:b w:val="0"/>
          <w:bCs w:val="0"/>
          <w:i w:val="0"/>
          <w:iCs w:val="0"/>
          <w:caps w:val="0"/>
          <w:color w:val="0F1115"/>
          <w:spacing w:val="0"/>
          <w:sz w:val="21"/>
          <w:szCs w:val="21"/>
          <w:shd w:val="clear" w:fill="FFFFFF"/>
        </w:rPr>
        <w:t>报价要求：供应商应自行将工程量清单内容录入造价软件（如广联达、博奥、同望等），按照国家及广西现行计价依据、定额以及企业自身情况，进行综合单价组价（套用定额、调整材料价格、计取管理费、利润、风险费等），生成已标价工程量清单。</w:t>
      </w:r>
    </w:p>
    <w:p w14:paraId="71396773">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rPr>
      </w:pPr>
      <w:r>
        <w:rPr>
          <w:rFonts w:hint="eastAsia" w:ascii="宋体" w:hAnsi="宋体" w:eastAsia="宋体" w:cs="宋体"/>
          <w:b w:val="0"/>
          <w:bCs w:val="0"/>
          <w:i w:val="0"/>
          <w:iCs w:val="0"/>
          <w:caps w:val="0"/>
          <w:color w:val="0F1115"/>
          <w:spacing w:val="0"/>
          <w:sz w:val="21"/>
          <w:szCs w:val="21"/>
          <w:shd w:val="clear" w:fill="FFFFFF"/>
        </w:rPr>
        <w:t>提交格式：供应商应将已标价工程量清单导出为Excel或PDF格式，作为响应文件“商务报价文件”部分的附件上传至广西政府采购云平台。同时，供应商应保留完整的计价软件版原始文件，在中标后根据采购人要求提供。</w:t>
      </w:r>
    </w:p>
    <w:p w14:paraId="030ED292">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rPr>
      </w:pPr>
      <w:r>
        <w:rPr>
          <w:rFonts w:hint="eastAsia" w:ascii="宋体" w:hAnsi="宋体" w:eastAsia="宋体" w:cs="宋体"/>
          <w:b w:val="0"/>
          <w:bCs w:val="0"/>
          <w:i w:val="0"/>
          <w:iCs w:val="0"/>
          <w:caps w:val="0"/>
          <w:color w:val="0F1115"/>
          <w:spacing w:val="0"/>
          <w:sz w:val="21"/>
          <w:szCs w:val="21"/>
          <w:shd w:val="clear" w:fill="FFFFFF"/>
        </w:rPr>
        <w:t>不可竞争费用：安全文明施工费、暂列金额、专业工程暂估价、材料暂估价等不可竞争费用，必须按PDF清单中给定的金额原样填报，不得修改。供应商擅自调整不可竞争费用的，响应文件按无效处理。</w:t>
      </w:r>
    </w:p>
    <w:p w14:paraId="3639A6AA">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rPr>
      </w:pPr>
      <w:r>
        <w:rPr>
          <w:rFonts w:hint="eastAsia" w:ascii="宋体" w:hAnsi="宋体" w:eastAsia="宋体" w:cs="宋体"/>
          <w:b w:val="0"/>
          <w:bCs w:val="0"/>
          <w:i w:val="0"/>
          <w:iCs w:val="0"/>
          <w:caps w:val="0"/>
          <w:color w:val="0F1115"/>
          <w:spacing w:val="0"/>
          <w:sz w:val="21"/>
          <w:szCs w:val="21"/>
          <w:shd w:val="clear" w:fill="FFFFFF"/>
        </w:rPr>
        <w:t>报价说明：供应商应在已标价工程量清单中附上报价编制说明，包括采用的计价软件名称及版本、采用的定额版本、主要材料价格来源（如参考《崇左市建设工程造价信息》第几期）、管理费和利润率取费标准等。</w:t>
      </w:r>
    </w:p>
    <w:p w14:paraId="634FD60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rPr>
      </w:pPr>
      <w:r>
        <w:rPr>
          <w:rFonts w:hint="eastAsia" w:ascii="宋体" w:hAnsi="宋体" w:eastAsia="宋体" w:cs="宋体"/>
          <w:b w:val="0"/>
          <w:bCs w:val="0"/>
          <w:i w:val="0"/>
          <w:iCs w:val="0"/>
          <w:caps w:val="0"/>
          <w:color w:val="0F1115"/>
          <w:spacing w:val="0"/>
          <w:sz w:val="21"/>
          <w:szCs w:val="21"/>
          <w:shd w:val="clear" w:fill="FFFFFF"/>
        </w:rPr>
        <w:t>三、若供应商无法使用造价软件或对清单格式有疑问，应在响应文件提交截止时间前通过澄清方式向采购代理机构提出。</w:t>
      </w:r>
    </w:p>
    <w:p w14:paraId="1C260F06">
      <w:pPr>
        <w:keepNext w:val="0"/>
        <w:keepLines w:val="0"/>
        <w:pageBreakBefore w:val="0"/>
        <w:shd w:val="clear"/>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b w:val="0"/>
          <w:bCs w:val="0"/>
          <w:color w:val="auto"/>
          <w:highlight w:val="none"/>
        </w:rPr>
      </w:pPr>
    </w:p>
    <w:sectPr>
      <w:pgSz w:w="11906" w:h="16838"/>
      <w:pgMar w:top="1134" w:right="1134" w:bottom="1134" w:left="1417" w:header="851" w:footer="851" w:gutter="0"/>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F51E74-DC1E-4E5F-9CC1-26FB94E630B1}"/>
  </w:font>
  <w:font w:name="Courier New">
    <w:panose1 w:val="02070309020205020404"/>
    <w:charset w:val="01"/>
    <w:family w:val="modern"/>
    <w:pitch w:val="default"/>
    <w:sig w:usb0="E0002EFF" w:usb1="C0007843" w:usb2="00000009" w:usb3="00000000" w:csb0="400001FF" w:csb1="FFFF0000"/>
    <w:embedRegular r:id="rId2" w:fontKey="{AA896FC1-5082-441C-9F91-F5ED328C1F7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794BCAC-DD1D-41F2-A9B9-9173BE8E71A2}"/>
  </w:font>
  <w:font w:name="Mangal">
    <w:altName w:val="DejaVu Math TeX Gyre"/>
    <w:panose1 w:val="02040503050203030202"/>
    <w:charset w:val="00"/>
    <w:family w:val="roman"/>
    <w:pitch w:val="default"/>
    <w:sig w:usb0="00000000" w:usb1="00000000" w:usb2="00000000" w:usb3="00000000" w:csb0="00000001" w:csb1="00000000"/>
  </w:font>
  <w:font w:name="ksdb">
    <w:altName w:val="Sitka Text"/>
    <w:panose1 w:val="02000500000000000000"/>
    <w:charset w:val="00"/>
    <w:family w:val="auto"/>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4" w:fontKey="{9F0E3D46-9BEA-42A5-91B0-13DCD38DA7F3}"/>
  </w:font>
  <w:font w:name="仿宋_GB2312">
    <w:panose1 w:val="02010609030101010101"/>
    <w:charset w:val="86"/>
    <w:family w:val="modern"/>
    <w:pitch w:val="default"/>
    <w:sig w:usb0="00000001" w:usb1="080E0000" w:usb2="00000000" w:usb3="00000000" w:csb0="00040000" w:csb1="00000000"/>
    <w:embedRegular r:id="rId5" w:fontKey="{D9CEA50C-801E-4A36-9E4C-5EE5831FB0FE}"/>
  </w:font>
  <w:font w:name="Segoe UI">
    <w:panose1 w:val="020B0502040204020203"/>
    <w:charset w:val="00"/>
    <w:family w:val="auto"/>
    <w:pitch w:val="default"/>
    <w:sig w:usb0="E4002EFF" w:usb1="C000E47F" w:usb2="00000009" w:usb3="00000000" w:csb0="200001FF" w:csb1="00000000"/>
    <w:embedRegular r:id="rId6" w:fontKey="{FD1AF71B-1B89-45EE-8A07-2741C88C2E8B}"/>
  </w:font>
  <w:font w:name="方正隶书简体">
    <w:altName w:val="宋体"/>
    <w:panose1 w:val="00000000000000000000"/>
    <w:charset w:val="86"/>
    <w:family w:val="roman"/>
    <w:pitch w:val="default"/>
    <w:sig w:usb0="00000000" w:usb1="00000000" w:usb2="00000000" w:usb3="00000000" w:csb0="00040001" w:csb1="00000000"/>
    <w:embedRegular r:id="rId7" w:fontKey="{2DC261FA-F2E1-4271-AC31-B51E2975F8AC}"/>
  </w:font>
  <w:font w:name="楷体_GB2312">
    <w:panose1 w:val="02010609030101010101"/>
    <w:charset w:val="86"/>
    <w:family w:val="modern"/>
    <w:pitch w:val="default"/>
    <w:sig w:usb0="00000001" w:usb1="080E0000" w:usb2="00000000" w:usb3="00000000" w:csb0="00040000" w:csb1="00000000"/>
    <w:embedRegular r:id="rId8" w:fontKey="{0E50215E-DC65-4BD2-95CD-4CFE40297A94}"/>
  </w:font>
  <w:font w:name="DejaVu Math TeX Gyre">
    <w:panose1 w:val="02000503000000000000"/>
    <w:charset w:val="00"/>
    <w:family w:val="auto"/>
    <w:pitch w:val="default"/>
    <w:sig w:usb0="A10000EF" w:usb1="4201F9EE" w:usb2="02000000" w:usb3="00000000" w:csb0="60000193" w:csb1="0DD40000"/>
  </w:font>
  <w:font w:name="Sitka Text">
    <w:panose1 w:val="02000505000000020004"/>
    <w:charset w:val="00"/>
    <w:family w:val="auto"/>
    <w:pitch w:val="default"/>
    <w:sig w:usb0="A00002EF" w:usb1="4000204B" w:usb2="00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FABBA">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602AE">
    <w:pPr>
      <w:pStyle w:val="15"/>
      <w:framePr w:wrap="around" w:vAnchor="text" w:hAnchor="margin" w:xAlign="center" w:y="1"/>
      <w:rPr>
        <w:rStyle w:val="28"/>
      </w:rPr>
    </w:pPr>
    <w:r>
      <w:rPr>
        <w:rStyle w:val="28"/>
      </w:rPr>
      <w:fldChar w:fldCharType="begin"/>
    </w:r>
    <w:r>
      <w:rPr>
        <w:rStyle w:val="28"/>
      </w:rPr>
      <w:instrText xml:space="preserve">PAGE  </w:instrText>
    </w:r>
    <w:r>
      <w:rPr>
        <w:rStyle w:val="28"/>
      </w:rPr>
      <w:fldChar w:fldCharType="separate"/>
    </w:r>
    <w:r>
      <w:rPr>
        <w:rStyle w:val="28"/>
        <w:rFonts w:hint="eastAsia"/>
      </w:rPr>
      <w:t>６</w:t>
    </w:r>
    <w:r>
      <w:rPr>
        <w:rStyle w:val="28"/>
      </w:rPr>
      <w:fldChar w:fldCharType="end"/>
    </w:r>
  </w:p>
  <w:p w14:paraId="6C61E533">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25DC5">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9C95E">
    <w:pPr>
      <w:pStyle w:val="4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6BBD8C">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A6BBD8C">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3D8A">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7C21DE">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C7C21DE">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F7D33">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DAE5">
    <w:pPr>
      <w:pStyle w:val="16"/>
      <w:pBdr>
        <w:bottom w:val="none" w:color="auto" w:sz="0" w:space="0"/>
      </w:pBdr>
    </w:pPr>
  </w:p>
  <w:p w14:paraId="459635D4">
    <w:pPr>
      <w:pStyle w:val="16"/>
      <w:pBdr>
        <w:bottom w:val="none" w:color="auto" w:sz="0" w:space="0"/>
      </w:pBdr>
    </w:pPr>
  </w:p>
  <w:p w14:paraId="7060DBD5">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A4074">
    <w:pPr>
      <w:pStyle w:val="43"/>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EC726">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6A7BA"/>
    <w:multiLevelType w:val="singleLevel"/>
    <w:tmpl w:val="8AD6A7BA"/>
    <w:lvl w:ilvl="0" w:tentative="0">
      <w:start w:val="1"/>
      <w:numFmt w:val="decimal"/>
      <w:suff w:val="nothing"/>
      <w:lvlText w:val="%1．"/>
      <w:lvlJc w:val="left"/>
      <w:pPr>
        <w:ind w:left="0" w:firstLine="400"/>
      </w:pPr>
      <w:rPr>
        <w:rFonts w:hint="default"/>
      </w:rPr>
    </w:lvl>
  </w:abstractNum>
  <w:abstractNum w:abstractNumId="1">
    <w:nsid w:val="8E88B3B9"/>
    <w:multiLevelType w:val="singleLevel"/>
    <w:tmpl w:val="8E88B3B9"/>
    <w:lvl w:ilvl="0" w:tentative="0">
      <w:start w:val="8"/>
      <w:numFmt w:val="decimal"/>
      <w:suff w:val="nothing"/>
      <w:lvlText w:val="%1、"/>
      <w:lvlJc w:val="left"/>
    </w:lvl>
  </w:abstractNum>
  <w:abstractNum w:abstractNumId="2">
    <w:nsid w:val="943A8A77"/>
    <w:multiLevelType w:val="singleLevel"/>
    <w:tmpl w:val="943A8A77"/>
    <w:lvl w:ilvl="0" w:tentative="0">
      <w:start w:val="1"/>
      <w:numFmt w:val="decimal"/>
      <w:suff w:val="nothing"/>
      <w:lvlText w:val="%1．"/>
      <w:lvlJc w:val="left"/>
      <w:pPr>
        <w:ind w:left="0" w:firstLine="400"/>
      </w:pPr>
      <w:rPr>
        <w:rFonts w:hint="default"/>
      </w:rPr>
    </w:lvl>
  </w:abstractNum>
  <w:abstractNum w:abstractNumId="3">
    <w:nsid w:val="9F4A3266"/>
    <w:multiLevelType w:val="singleLevel"/>
    <w:tmpl w:val="9F4A3266"/>
    <w:lvl w:ilvl="0" w:tentative="0">
      <w:start w:val="1"/>
      <w:numFmt w:val="decimal"/>
      <w:lvlText w:val="(%1)"/>
      <w:lvlJc w:val="left"/>
      <w:pPr>
        <w:ind w:left="425" w:hanging="425"/>
      </w:pPr>
      <w:rPr>
        <w:rFonts w:hint="default"/>
      </w:rPr>
    </w:lvl>
  </w:abstractNum>
  <w:abstractNum w:abstractNumId="4">
    <w:nsid w:val="AA34FD10"/>
    <w:multiLevelType w:val="singleLevel"/>
    <w:tmpl w:val="AA34FD10"/>
    <w:lvl w:ilvl="0" w:tentative="0">
      <w:start w:val="1"/>
      <w:numFmt w:val="chineseCounting"/>
      <w:suff w:val="space"/>
      <w:lvlText w:val="第%1章"/>
      <w:lvlJc w:val="left"/>
      <w:rPr>
        <w:rFonts w:hint="eastAsia"/>
      </w:rPr>
    </w:lvl>
  </w:abstractNum>
  <w:abstractNum w:abstractNumId="5">
    <w:nsid w:val="B988CF2A"/>
    <w:multiLevelType w:val="singleLevel"/>
    <w:tmpl w:val="B988CF2A"/>
    <w:lvl w:ilvl="0" w:tentative="0">
      <w:start w:val="1"/>
      <w:numFmt w:val="decimal"/>
      <w:suff w:val="nothing"/>
      <w:lvlText w:val="%1．"/>
      <w:lvlJc w:val="left"/>
      <w:pPr>
        <w:ind w:left="0" w:firstLine="400"/>
      </w:pPr>
      <w:rPr>
        <w:rFonts w:hint="default"/>
      </w:rPr>
    </w:lvl>
  </w:abstractNum>
  <w:abstractNum w:abstractNumId="6">
    <w:nsid w:val="C4F5B75E"/>
    <w:multiLevelType w:val="singleLevel"/>
    <w:tmpl w:val="C4F5B75E"/>
    <w:lvl w:ilvl="0" w:tentative="0">
      <w:start w:val="1"/>
      <w:numFmt w:val="decimal"/>
      <w:suff w:val="nothing"/>
      <w:lvlText w:val="%1．"/>
      <w:lvlJc w:val="left"/>
      <w:pPr>
        <w:ind w:left="0" w:firstLine="400"/>
      </w:pPr>
      <w:rPr>
        <w:rFonts w:hint="default"/>
      </w:rPr>
    </w:lvl>
  </w:abstractNum>
  <w:abstractNum w:abstractNumId="7">
    <w:nsid w:val="0697C3B4"/>
    <w:multiLevelType w:val="singleLevel"/>
    <w:tmpl w:val="0697C3B4"/>
    <w:lvl w:ilvl="0" w:tentative="0">
      <w:start w:val="1"/>
      <w:numFmt w:val="decimal"/>
      <w:suff w:val="nothing"/>
      <w:lvlText w:val="%1．"/>
      <w:lvlJc w:val="left"/>
      <w:pPr>
        <w:ind w:left="0" w:firstLine="400"/>
      </w:pPr>
      <w:rPr>
        <w:rFonts w:hint="default"/>
      </w:rPr>
    </w:lvl>
  </w:abstractNum>
  <w:abstractNum w:abstractNumId="8">
    <w:nsid w:val="277AB9C0"/>
    <w:multiLevelType w:val="singleLevel"/>
    <w:tmpl w:val="277AB9C0"/>
    <w:lvl w:ilvl="0" w:tentative="0">
      <w:start w:val="2"/>
      <w:numFmt w:val="chineseCounting"/>
      <w:suff w:val="nothing"/>
      <w:lvlText w:val="%1、"/>
      <w:lvlJc w:val="left"/>
      <w:rPr>
        <w:rFonts w:hint="eastAsia"/>
      </w:rPr>
    </w:lvl>
  </w:abstractNum>
  <w:abstractNum w:abstractNumId="9">
    <w:nsid w:val="2D8A4FB5"/>
    <w:multiLevelType w:val="multilevel"/>
    <w:tmpl w:val="2D8A4FB5"/>
    <w:lvl w:ilvl="0" w:tentative="0">
      <w:start w:val="2"/>
      <w:numFmt w:val="decimalEnclosedCircle"/>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0">
    <w:nsid w:val="36D5AC9B"/>
    <w:multiLevelType w:val="singleLevel"/>
    <w:tmpl w:val="36D5AC9B"/>
    <w:lvl w:ilvl="0" w:tentative="0">
      <w:start w:val="1"/>
      <w:numFmt w:val="decimal"/>
      <w:lvlText w:val="(%1)"/>
      <w:lvlJc w:val="left"/>
      <w:pPr>
        <w:ind w:left="425" w:hanging="425"/>
      </w:pPr>
      <w:rPr>
        <w:rFonts w:hint="default"/>
      </w:rPr>
    </w:lvl>
  </w:abstractNum>
  <w:abstractNum w:abstractNumId="11">
    <w:nsid w:val="38278932"/>
    <w:multiLevelType w:val="singleLevel"/>
    <w:tmpl w:val="38278932"/>
    <w:lvl w:ilvl="0" w:tentative="0">
      <w:start w:val="1"/>
      <w:numFmt w:val="decimal"/>
      <w:lvlText w:val="(%1)"/>
      <w:lvlJc w:val="left"/>
      <w:pPr>
        <w:ind w:left="425" w:hanging="425"/>
      </w:pPr>
      <w:rPr>
        <w:rFonts w:hint="default"/>
      </w:rPr>
    </w:lvl>
  </w:abstractNum>
  <w:abstractNum w:abstractNumId="12">
    <w:nsid w:val="528F789D"/>
    <w:multiLevelType w:val="singleLevel"/>
    <w:tmpl w:val="528F789D"/>
    <w:lvl w:ilvl="0" w:tentative="0">
      <w:start w:val="1"/>
      <w:numFmt w:val="decimal"/>
      <w:suff w:val="space"/>
      <w:lvlText w:val="%1."/>
      <w:lvlJc w:val="left"/>
    </w:lvl>
  </w:abstractNum>
  <w:abstractNum w:abstractNumId="13">
    <w:nsid w:val="52C97528"/>
    <w:multiLevelType w:val="singleLevel"/>
    <w:tmpl w:val="52C97528"/>
    <w:lvl w:ilvl="0" w:tentative="0">
      <w:start w:val="1"/>
      <w:numFmt w:val="decimal"/>
      <w:suff w:val="nothing"/>
      <w:lvlText w:val="%1．"/>
      <w:lvlJc w:val="left"/>
      <w:pPr>
        <w:ind w:left="0" w:firstLine="400"/>
      </w:pPr>
      <w:rPr>
        <w:rFonts w:hint="default"/>
      </w:rPr>
    </w:lvl>
  </w:abstractNum>
  <w:abstractNum w:abstractNumId="14">
    <w:nsid w:val="5498E193"/>
    <w:multiLevelType w:val="singleLevel"/>
    <w:tmpl w:val="5498E193"/>
    <w:lvl w:ilvl="0" w:tentative="0">
      <w:start w:val="11"/>
      <w:numFmt w:val="decimal"/>
      <w:suff w:val="space"/>
      <w:lvlText w:val="%1."/>
      <w:lvlJc w:val="left"/>
    </w:lvl>
  </w:abstractNum>
  <w:abstractNum w:abstractNumId="15">
    <w:nsid w:val="697E4BDF"/>
    <w:multiLevelType w:val="singleLevel"/>
    <w:tmpl w:val="697E4BDF"/>
    <w:lvl w:ilvl="0" w:tentative="0">
      <w:start w:val="5"/>
      <w:numFmt w:val="decimal"/>
      <w:suff w:val="nothing"/>
      <w:lvlText w:val="%1、"/>
      <w:lvlJc w:val="left"/>
    </w:lvl>
  </w:abstractNum>
  <w:num w:numId="1">
    <w:abstractNumId w:val="4"/>
  </w:num>
  <w:num w:numId="2">
    <w:abstractNumId w:val="13"/>
  </w:num>
  <w:num w:numId="3">
    <w:abstractNumId w:val="5"/>
  </w:num>
  <w:num w:numId="4">
    <w:abstractNumId w:val="0"/>
  </w:num>
  <w:num w:numId="5">
    <w:abstractNumId w:val="15"/>
  </w:num>
  <w:num w:numId="6">
    <w:abstractNumId w:val="7"/>
  </w:num>
  <w:num w:numId="7">
    <w:abstractNumId w:val="1"/>
  </w:num>
  <w:num w:numId="8">
    <w:abstractNumId w:val="14"/>
  </w:num>
  <w:num w:numId="9">
    <w:abstractNumId w:val="9"/>
  </w:num>
  <w:num w:numId="10">
    <w:abstractNumId w:val="8"/>
  </w:num>
  <w:num w:numId="11">
    <w:abstractNumId w:val="12"/>
  </w:num>
  <w:num w:numId="12">
    <w:abstractNumId w:val="11"/>
  </w:num>
  <w:num w:numId="13">
    <w:abstractNumId w:val="3"/>
  </w:num>
  <w:num w:numId="14">
    <w:abstractNumId w:val="2"/>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forms" w:formatting="1" w:enforcement="1" w:cryptProviderType="rsaFull" w:cryptAlgorithmClass="hash" w:cryptAlgorithmType="typeAny" w:cryptAlgorithmSid="4" w:cryptSpinCount="0" w:hash="+/T+rA+dV/GV2vDpZ8WTRjwLC6I=" w:salt="I88jfVSsFOL5O1Pp0Rt43w=="/>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076391"/>
    <w:rsid w:val="002027AF"/>
    <w:rsid w:val="00BC57CD"/>
    <w:rsid w:val="01750F64"/>
    <w:rsid w:val="017B464B"/>
    <w:rsid w:val="01B34312"/>
    <w:rsid w:val="01D86637"/>
    <w:rsid w:val="02E01C47"/>
    <w:rsid w:val="030C4C45"/>
    <w:rsid w:val="03A73866"/>
    <w:rsid w:val="03EC15E0"/>
    <w:rsid w:val="046C100E"/>
    <w:rsid w:val="05232D6F"/>
    <w:rsid w:val="053E0EA6"/>
    <w:rsid w:val="055F58C5"/>
    <w:rsid w:val="06243F22"/>
    <w:rsid w:val="06500FA6"/>
    <w:rsid w:val="06731F0E"/>
    <w:rsid w:val="06C9165F"/>
    <w:rsid w:val="06CB57BF"/>
    <w:rsid w:val="071F55C0"/>
    <w:rsid w:val="078D191A"/>
    <w:rsid w:val="090745A8"/>
    <w:rsid w:val="09176EE3"/>
    <w:rsid w:val="091E79DC"/>
    <w:rsid w:val="09383B80"/>
    <w:rsid w:val="09593447"/>
    <w:rsid w:val="09595CA6"/>
    <w:rsid w:val="09D744AE"/>
    <w:rsid w:val="09F62494"/>
    <w:rsid w:val="0A0F3206"/>
    <w:rsid w:val="0A80489F"/>
    <w:rsid w:val="0AAE0EC7"/>
    <w:rsid w:val="0AD457D5"/>
    <w:rsid w:val="0B005F5D"/>
    <w:rsid w:val="0BB02781"/>
    <w:rsid w:val="0BB50C28"/>
    <w:rsid w:val="0BFB2792"/>
    <w:rsid w:val="0C3A0683"/>
    <w:rsid w:val="0C536B2D"/>
    <w:rsid w:val="0CC92D62"/>
    <w:rsid w:val="0D6D3FE9"/>
    <w:rsid w:val="0D851C9F"/>
    <w:rsid w:val="0D867784"/>
    <w:rsid w:val="0DE421C4"/>
    <w:rsid w:val="0E3D4936"/>
    <w:rsid w:val="0E6049DB"/>
    <w:rsid w:val="0E8A0CB9"/>
    <w:rsid w:val="0F01138E"/>
    <w:rsid w:val="0F011424"/>
    <w:rsid w:val="0F293C18"/>
    <w:rsid w:val="0FF27563"/>
    <w:rsid w:val="101A7939"/>
    <w:rsid w:val="1050630F"/>
    <w:rsid w:val="109F51B3"/>
    <w:rsid w:val="10BA3678"/>
    <w:rsid w:val="10D25C88"/>
    <w:rsid w:val="11440B1A"/>
    <w:rsid w:val="11545714"/>
    <w:rsid w:val="117429AC"/>
    <w:rsid w:val="11C11B68"/>
    <w:rsid w:val="12081C36"/>
    <w:rsid w:val="12123139"/>
    <w:rsid w:val="12165F7C"/>
    <w:rsid w:val="128424D9"/>
    <w:rsid w:val="128D4776"/>
    <w:rsid w:val="12B9274D"/>
    <w:rsid w:val="12F35C08"/>
    <w:rsid w:val="131D034D"/>
    <w:rsid w:val="1324110B"/>
    <w:rsid w:val="13500F2D"/>
    <w:rsid w:val="14142CE9"/>
    <w:rsid w:val="14A40C86"/>
    <w:rsid w:val="14FA380C"/>
    <w:rsid w:val="157F49CF"/>
    <w:rsid w:val="15E40F64"/>
    <w:rsid w:val="16024CD6"/>
    <w:rsid w:val="162271F9"/>
    <w:rsid w:val="162440F1"/>
    <w:rsid w:val="16592588"/>
    <w:rsid w:val="167223F0"/>
    <w:rsid w:val="16B965DF"/>
    <w:rsid w:val="16E8540C"/>
    <w:rsid w:val="17100C34"/>
    <w:rsid w:val="173A448D"/>
    <w:rsid w:val="17716417"/>
    <w:rsid w:val="182030CC"/>
    <w:rsid w:val="19373E49"/>
    <w:rsid w:val="19A1391A"/>
    <w:rsid w:val="19B56C9A"/>
    <w:rsid w:val="1A2455D2"/>
    <w:rsid w:val="1A4051E0"/>
    <w:rsid w:val="1A9C7618"/>
    <w:rsid w:val="1ADA0506"/>
    <w:rsid w:val="1B8914A7"/>
    <w:rsid w:val="1B9B51B5"/>
    <w:rsid w:val="1C7E55CF"/>
    <w:rsid w:val="1CF00444"/>
    <w:rsid w:val="1D020B93"/>
    <w:rsid w:val="1D915020"/>
    <w:rsid w:val="1D9864DE"/>
    <w:rsid w:val="1E5B4F24"/>
    <w:rsid w:val="1E641C9C"/>
    <w:rsid w:val="1FE77392"/>
    <w:rsid w:val="20833BCE"/>
    <w:rsid w:val="20CF3CE7"/>
    <w:rsid w:val="20DD2CF7"/>
    <w:rsid w:val="21EB5A51"/>
    <w:rsid w:val="22385AFF"/>
    <w:rsid w:val="223B0A51"/>
    <w:rsid w:val="225D7B60"/>
    <w:rsid w:val="22FA02FF"/>
    <w:rsid w:val="238021F7"/>
    <w:rsid w:val="23C3584E"/>
    <w:rsid w:val="241D05F4"/>
    <w:rsid w:val="24284DA4"/>
    <w:rsid w:val="243005EF"/>
    <w:rsid w:val="24DB3944"/>
    <w:rsid w:val="24FA112D"/>
    <w:rsid w:val="25170E91"/>
    <w:rsid w:val="253D2794"/>
    <w:rsid w:val="257E3626"/>
    <w:rsid w:val="261A1516"/>
    <w:rsid w:val="2628728A"/>
    <w:rsid w:val="26612BE0"/>
    <w:rsid w:val="284D6D68"/>
    <w:rsid w:val="294D2BB7"/>
    <w:rsid w:val="29593C3B"/>
    <w:rsid w:val="29DD1C30"/>
    <w:rsid w:val="2A272532"/>
    <w:rsid w:val="2A28618B"/>
    <w:rsid w:val="2A37190A"/>
    <w:rsid w:val="2AA77BC3"/>
    <w:rsid w:val="2ABC734E"/>
    <w:rsid w:val="2B88422F"/>
    <w:rsid w:val="2B952D9C"/>
    <w:rsid w:val="2CCC0D34"/>
    <w:rsid w:val="2D1934DC"/>
    <w:rsid w:val="2D67115C"/>
    <w:rsid w:val="2D683E6D"/>
    <w:rsid w:val="2DA955AB"/>
    <w:rsid w:val="2DD4186B"/>
    <w:rsid w:val="2F1D6D82"/>
    <w:rsid w:val="2F494D9F"/>
    <w:rsid w:val="2FF73BA9"/>
    <w:rsid w:val="30760C51"/>
    <w:rsid w:val="30D0400A"/>
    <w:rsid w:val="311F0661"/>
    <w:rsid w:val="32500B82"/>
    <w:rsid w:val="32D71062"/>
    <w:rsid w:val="3342616B"/>
    <w:rsid w:val="33B67FF6"/>
    <w:rsid w:val="3550491B"/>
    <w:rsid w:val="355D19BD"/>
    <w:rsid w:val="35B83119"/>
    <w:rsid w:val="36203C38"/>
    <w:rsid w:val="363634B7"/>
    <w:rsid w:val="36B22128"/>
    <w:rsid w:val="36EC0DEF"/>
    <w:rsid w:val="378676A1"/>
    <w:rsid w:val="37E8011B"/>
    <w:rsid w:val="38282C21"/>
    <w:rsid w:val="38BE13A1"/>
    <w:rsid w:val="39467D8B"/>
    <w:rsid w:val="39494261"/>
    <w:rsid w:val="395169EF"/>
    <w:rsid w:val="39BF6F5A"/>
    <w:rsid w:val="3A033549"/>
    <w:rsid w:val="3A477BE0"/>
    <w:rsid w:val="3A701685"/>
    <w:rsid w:val="3A9657FF"/>
    <w:rsid w:val="3BD85463"/>
    <w:rsid w:val="3C5502A8"/>
    <w:rsid w:val="3CAE03B6"/>
    <w:rsid w:val="3CC01CC3"/>
    <w:rsid w:val="3CC86CCC"/>
    <w:rsid w:val="3CD043D5"/>
    <w:rsid w:val="3D91058D"/>
    <w:rsid w:val="3E304B29"/>
    <w:rsid w:val="3E36702A"/>
    <w:rsid w:val="3E860F63"/>
    <w:rsid w:val="3EA862F6"/>
    <w:rsid w:val="3EB114AF"/>
    <w:rsid w:val="3EEA1A03"/>
    <w:rsid w:val="3EF43DA9"/>
    <w:rsid w:val="3F530122"/>
    <w:rsid w:val="3F9D6704"/>
    <w:rsid w:val="3FDD4AC1"/>
    <w:rsid w:val="3FDF1755"/>
    <w:rsid w:val="3FEF5E51"/>
    <w:rsid w:val="4064002A"/>
    <w:rsid w:val="413C678F"/>
    <w:rsid w:val="41517290"/>
    <w:rsid w:val="41952473"/>
    <w:rsid w:val="41B67CD7"/>
    <w:rsid w:val="420C5218"/>
    <w:rsid w:val="422057AC"/>
    <w:rsid w:val="429D4387"/>
    <w:rsid w:val="42EF6D61"/>
    <w:rsid w:val="42FB3958"/>
    <w:rsid w:val="432F233E"/>
    <w:rsid w:val="43496A57"/>
    <w:rsid w:val="437B5863"/>
    <w:rsid w:val="43C53DFE"/>
    <w:rsid w:val="43D7463E"/>
    <w:rsid w:val="4408426B"/>
    <w:rsid w:val="442E2B2D"/>
    <w:rsid w:val="449F74D0"/>
    <w:rsid w:val="44FA0B37"/>
    <w:rsid w:val="459E6943"/>
    <w:rsid w:val="45CC5F5C"/>
    <w:rsid w:val="46291052"/>
    <w:rsid w:val="46571466"/>
    <w:rsid w:val="468530D4"/>
    <w:rsid w:val="46964169"/>
    <w:rsid w:val="46A165C4"/>
    <w:rsid w:val="46A40FA9"/>
    <w:rsid w:val="46BD1F00"/>
    <w:rsid w:val="46E37CCC"/>
    <w:rsid w:val="471368FC"/>
    <w:rsid w:val="4719745D"/>
    <w:rsid w:val="47202054"/>
    <w:rsid w:val="47212364"/>
    <w:rsid w:val="47A21449"/>
    <w:rsid w:val="483A6747"/>
    <w:rsid w:val="487E1A6D"/>
    <w:rsid w:val="489C2ECF"/>
    <w:rsid w:val="497C4C55"/>
    <w:rsid w:val="49AB775A"/>
    <w:rsid w:val="49B542D6"/>
    <w:rsid w:val="49D27F33"/>
    <w:rsid w:val="4A1009F7"/>
    <w:rsid w:val="4A3F3133"/>
    <w:rsid w:val="4AA2290B"/>
    <w:rsid w:val="4AB5333A"/>
    <w:rsid w:val="4ABF5578"/>
    <w:rsid w:val="4B417D35"/>
    <w:rsid w:val="4B447E66"/>
    <w:rsid w:val="4B6127C6"/>
    <w:rsid w:val="4B650E36"/>
    <w:rsid w:val="4B80578B"/>
    <w:rsid w:val="4BE930B3"/>
    <w:rsid w:val="4BF47E47"/>
    <w:rsid w:val="4BFE2ECA"/>
    <w:rsid w:val="4C0A4957"/>
    <w:rsid w:val="4C1A360D"/>
    <w:rsid w:val="4CF65AB9"/>
    <w:rsid w:val="4CF827F2"/>
    <w:rsid w:val="4D3B2BA3"/>
    <w:rsid w:val="4DE5001D"/>
    <w:rsid w:val="4F070E72"/>
    <w:rsid w:val="4F165675"/>
    <w:rsid w:val="4F422A08"/>
    <w:rsid w:val="4F52428A"/>
    <w:rsid w:val="4F5469EE"/>
    <w:rsid w:val="4F5F78A0"/>
    <w:rsid w:val="4FB5642B"/>
    <w:rsid w:val="4FD96636"/>
    <w:rsid w:val="4FD97F17"/>
    <w:rsid w:val="50062428"/>
    <w:rsid w:val="506E408B"/>
    <w:rsid w:val="508F3C1A"/>
    <w:rsid w:val="50B548F3"/>
    <w:rsid w:val="50BE2A56"/>
    <w:rsid w:val="50EA2026"/>
    <w:rsid w:val="50FE4613"/>
    <w:rsid w:val="514A4455"/>
    <w:rsid w:val="5155508B"/>
    <w:rsid w:val="517D2C22"/>
    <w:rsid w:val="51885E41"/>
    <w:rsid w:val="51BA49DD"/>
    <w:rsid w:val="51C21AE4"/>
    <w:rsid w:val="52413433"/>
    <w:rsid w:val="52544EF3"/>
    <w:rsid w:val="52CC5B4A"/>
    <w:rsid w:val="52FC4970"/>
    <w:rsid w:val="538E0D55"/>
    <w:rsid w:val="539F5BD0"/>
    <w:rsid w:val="53E76A21"/>
    <w:rsid w:val="54342B51"/>
    <w:rsid w:val="54396EBA"/>
    <w:rsid w:val="54493109"/>
    <w:rsid w:val="54A7497D"/>
    <w:rsid w:val="54F246F3"/>
    <w:rsid w:val="552D4E0B"/>
    <w:rsid w:val="55604FD5"/>
    <w:rsid w:val="559E0172"/>
    <w:rsid w:val="55C7591B"/>
    <w:rsid w:val="55E7730D"/>
    <w:rsid w:val="5618081B"/>
    <w:rsid w:val="564F1288"/>
    <w:rsid w:val="56C5399A"/>
    <w:rsid w:val="571D70FC"/>
    <w:rsid w:val="57511389"/>
    <w:rsid w:val="57B819BF"/>
    <w:rsid w:val="57CF589D"/>
    <w:rsid w:val="585A65D3"/>
    <w:rsid w:val="586E19AF"/>
    <w:rsid w:val="58E41580"/>
    <w:rsid w:val="591C5F7E"/>
    <w:rsid w:val="59225DE1"/>
    <w:rsid w:val="592B7501"/>
    <w:rsid w:val="59B60656"/>
    <w:rsid w:val="5A232B92"/>
    <w:rsid w:val="5A3F1DEC"/>
    <w:rsid w:val="5A4D2FA3"/>
    <w:rsid w:val="5AFE55D9"/>
    <w:rsid w:val="5B334B73"/>
    <w:rsid w:val="5B823F90"/>
    <w:rsid w:val="5C4031EC"/>
    <w:rsid w:val="5C55629B"/>
    <w:rsid w:val="5CA31DF4"/>
    <w:rsid w:val="5CE63DA4"/>
    <w:rsid w:val="5CFC3B7E"/>
    <w:rsid w:val="5D137776"/>
    <w:rsid w:val="5D480DFC"/>
    <w:rsid w:val="5D6372EB"/>
    <w:rsid w:val="5DDA108E"/>
    <w:rsid w:val="5E795A3E"/>
    <w:rsid w:val="5EBA0F8E"/>
    <w:rsid w:val="5EC734CA"/>
    <w:rsid w:val="5EE476C6"/>
    <w:rsid w:val="5F011BCF"/>
    <w:rsid w:val="5F5B0B0A"/>
    <w:rsid w:val="5FC046E2"/>
    <w:rsid w:val="5FC71D2A"/>
    <w:rsid w:val="602E0357"/>
    <w:rsid w:val="60D77618"/>
    <w:rsid w:val="61280E76"/>
    <w:rsid w:val="620A1069"/>
    <w:rsid w:val="622C7BD9"/>
    <w:rsid w:val="629B6165"/>
    <w:rsid w:val="62AD632D"/>
    <w:rsid w:val="63772175"/>
    <w:rsid w:val="63B82D47"/>
    <w:rsid w:val="64012DCD"/>
    <w:rsid w:val="641C6983"/>
    <w:rsid w:val="644B4AAF"/>
    <w:rsid w:val="64555026"/>
    <w:rsid w:val="64A930CD"/>
    <w:rsid w:val="652229C3"/>
    <w:rsid w:val="65887133"/>
    <w:rsid w:val="65B35CAB"/>
    <w:rsid w:val="65BF7472"/>
    <w:rsid w:val="65C538FA"/>
    <w:rsid w:val="65CD5006"/>
    <w:rsid w:val="66197962"/>
    <w:rsid w:val="661A0273"/>
    <w:rsid w:val="662352EF"/>
    <w:rsid w:val="663544CE"/>
    <w:rsid w:val="673063C4"/>
    <w:rsid w:val="68920B0B"/>
    <w:rsid w:val="68B97345"/>
    <w:rsid w:val="68BC0BE4"/>
    <w:rsid w:val="691557A5"/>
    <w:rsid w:val="691D3B46"/>
    <w:rsid w:val="693469CC"/>
    <w:rsid w:val="69C82B4D"/>
    <w:rsid w:val="69D84234"/>
    <w:rsid w:val="69EB0AAC"/>
    <w:rsid w:val="6A2776DE"/>
    <w:rsid w:val="6A2829D5"/>
    <w:rsid w:val="6AF528AA"/>
    <w:rsid w:val="6AFB5BA3"/>
    <w:rsid w:val="6AFB6ED0"/>
    <w:rsid w:val="6C027255"/>
    <w:rsid w:val="6C070D0B"/>
    <w:rsid w:val="6C180827"/>
    <w:rsid w:val="6D5C18F8"/>
    <w:rsid w:val="6D8B497C"/>
    <w:rsid w:val="6DC13221"/>
    <w:rsid w:val="6DE06E27"/>
    <w:rsid w:val="6E273A79"/>
    <w:rsid w:val="6E6762F6"/>
    <w:rsid w:val="6EBD2F41"/>
    <w:rsid w:val="6F0A4B1A"/>
    <w:rsid w:val="6FB21682"/>
    <w:rsid w:val="6FC25579"/>
    <w:rsid w:val="6FF07F5B"/>
    <w:rsid w:val="6FFF2A18"/>
    <w:rsid w:val="701C22BD"/>
    <w:rsid w:val="708C17E3"/>
    <w:rsid w:val="70C14BA3"/>
    <w:rsid w:val="70E84778"/>
    <w:rsid w:val="70FA18C3"/>
    <w:rsid w:val="71420D0E"/>
    <w:rsid w:val="7169619C"/>
    <w:rsid w:val="71744516"/>
    <w:rsid w:val="717515A1"/>
    <w:rsid w:val="71781C4C"/>
    <w:rsid w:val="727644F9"/>
    <w:rsid w:val="72AA0252"/>
    <w:rsid w:val="72C46C87"/>
    <w:rsid w:val="72F943F2"/>
    <w:rsid w:val="731352DC"/>
    <w:rsid w:val="739E64DC"/>
    <w:rsid w:val="73C03FFE"/>
    <w:rsid w:val="73FC2B38"/>
    <w:rsid w:val="73FE7A11"/>
    <w:rsid w:val="741D4694"/>
    <w:rsid w:val="74377176"/>
    <w:rsid w:val="745F621A"/>
    <w:rsid w:val="74736BDD"/>
    <w:rsid w:val="74CB70BF"/>
    <w:rsid w:val="75660855"/>
    <w:rsid w:val="7599649C"/>
    <w:rsid w:val="75AA7D7A"/>
    <w:rsid w:val="76843DDC"/>
    <w:rsid w:val="768B4D49"/>
    <w:rsid w:val="768C3D6E"/>
    <w:rsid w:val="76CD6AFD"/>
    <w:rsid w:val="7727635A"/>
    <w:rsid w:val="77DF12DF"/>
    <w:rsid w:val="77E17995"/>
    <w:rsid w:val="78070D9C"/>
    <w:rsid w:val="7855384B"/>
    <w:rsid w:val="7943435E"/>
    <w:rsid w:val="795443BD"/>
    <w:rsid w:val="797E22F7"/>
    <w:rsid w:val="79CF730C"/>
    <w:rsid w:val="79FB07DC"/>
    <w:rsid w:val="7A160FF1"/>
    <w:rsid w:val="7A4D7EA7"/>
    <w:rsid w:val="7AB85890"/>
    <w:rsid w:val="7ADC3C75"/>
    <w:rsid w:val="7AE91634"/>
    <w:rsid w:val="7B6F1D5A"/>
    <w:rsid w:val="7BA619AB"/>
    <w:rsid w:val="7CA51C63"/>
    <w:rsid w:val="7CCB2423"/>
    <w:rsid w:val="7CD253C3"/>
    <w:rsid w:val="7D9F041B"/>
    <w:rsid w:val="7DAA52D3"/>
    <w:rsid w:val="7DE42296"/>
    <w:rsid w:val="7E573F37"/>
    <w:rsid w:val="7E9C48E7"/>
    <w:rsid w:val="7EF51AA5"/>
    <w:rsid w:val="7F0F20D3"/>
    <w:rsid w:val="7F5D730F"/>
    <w:rsid w:val="7F863749"/>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hi-IN"/>
    </w:rPr>
  </w:style>
  <w:style w:type="paragraph" w:styleId="2">
    <w:name w:val="heading 1"/>
    <w:basedOn w:val="1"/>
    <w:next w:val="1"/>
    <w:qFormat/>
    <w:uiPriority w:val="99"/>
    <w:pPr>
      <w:keepNext/>
      <w:keepLines/>
      <w:spacing w:line="400" w:lineRule="exact"/>
      <w:outlineLvl w:val="0"/>
    </w:pPr>
    <w:rPr>
      <w:b/>
      <w:kern w:val="0"/>
      <w:sz w:val="44"/>
    </w:rPr>
  </w:style>
  <w:style w:type="paragraph" w:styleId="3">
    <w:name w:val="heading 2"/>
    <w:basedOn w:val="1"/>
    <w:next w:val="1"/>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4">
    <w:name w:val="heading 3"/>
    <w:basedOn w:val="1"/>
    <w:next w:val="1"/>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a heading"/>
    <w:basedOn w:val="1"/>
    <w:next w:val="1"/>
    <w:qFormat/>
    <w:uiPriority w:val="0"/>
    <w:rPr>
      <w:rFonts w:ascii="Arial" w:hAnsi="Arial" w:eastAsia="宋体" w:cs="Times New Roman"/>
      <w:sz w:val="24"/>
    </w:rPr>
  </w:style>
  <w:style w:type="paragraph" w:styleId="8">
    <w:name w:val="annotation text"/>
    <w:basedOn w:val="1"/>
    <w:qFormat/>
    <w:uiPriority w:val="0"/>
    <w:pPr>
      <w:jc w:val="left"/>
    </w:pPr>
  </w:style>
  <w:style w:type="paragraph" w:styleId="9">
    <w:name w:val="index 6"/>
    <w:basedOn w:val="1"/>
    <w:next w:val="1"/>
    <w:qFormat/>
    <w:uiPriority w:val="0"/>
    <w:pPr>
      <w:ind w:left="1000" w:leftChars="1000"/>
    </w:pPr>
  </w:style>
  <w:style w:type="paragraph" w:styleId="10">
    <w:name w:val="Body Text"/>
    <w:basedOn w:val="1"/>
    <w:next w:val="1"/>
    <w:semiHidden/>
    <w:qFormat/>
    <w:uiPriority w:val="0"/>
    <w:pPr>
      <w:spacing w:after="120"/>
    </w:pPr>
  </w:style>
  <w:style w:type="paragraph" w:styleId="11">
    <w:name w:val="Body Text Indent"/>
    <w:basedOn w:val="1"/>
    <w:next w:val="12"/>
    <w:qFormat/>
    <w:uiPriority w:val="0"/>
    <w:pPr>
      <w:spacing w:line="200" w:lineRule="exact"/>
      <w:ind w:firstLine="301"/>
    </w:pPr>
    <w:rPr>
      <w:rFonts w:ascii="宋体" w:hAnsi="Courier New"/>
      <w:spacing w:val="-4"/>
      <w:sz w:val="18"/>
    </w:rPr>
  </w:style>
  <w:style w:type="paragraph" w:customStyle="1" w:styleId="12">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Plain Text"/>
    <w:basedOn w:val="1"/>
    <w:qFormat/>
    <w:uiPriority w:val="99"/>
    <w:rPr>
      <w:rFonts w:ascii="宋体" w:hAnsi="宋体"/>
    </w:rPr>
  </w:style>
  <w:style w:type="paragraph" w:styleId="14">
    <w:name w:val="Date"/>
    <w:basedOn w:val="1"/>
    <w:next w:val="1"/>
    <w:qFormat/>
    <w:uiPriority w:val="0"/>
    <w:rPr>
      <w:rFonts w:ascii="宋体"/>
      <w:color w:val="000000"/>
      <w:kern w:val="0"/>
      <w:sz w:val="30"/>
    </w:rPr>
  </w:style>
  <w:style w:type="paragraph" w:styleId="15">
    <w:name w:val="footer"/>
    <w:basedOn w:val="1"/>
    <w:next w:val="1"/>
    <w:qFormat/>
    <w:uiPriority w:val="99"/>
    <w:pPr>
      <w:tabs>
        <w:tab w:val="center" w:pos="4153"/>
        <w:tab w:val="right" w:pos="8306"/>
      </w:tabs>
      <w:snapToGrid w:val="0"/>
      <w:jc w:val="left"/>
    </w:pPr>
    <w:rPr>
      <w:rFonts w:cs="Mangal"/>
      <w:sz w:val="18"/>
      <w:szCs w:val="16"/>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39"/>
  </w:style>
  <w:style w:type="paragraph" w:styleId="18">
    <w:name w:val="toc 2"/>
    <w:basedOn w:val="1"/>
    <w:next w:val="1"/>
    <w:qFormat/>
    <w:uiPriority w:val="0"/>
    <w:pPr>
      <w:tabs>
        <w:tab w:val="right" w:leader="dot" w:pos="9060"/>
      </w:tabs>
      <w:ind w:left="210"/>
      <w:jc w:val="left"/>
    </w:pPr>
    <w:rPr>
      <w:rFonts w:ascii="宋体" w:hAnsi="宋体"/>
      <w:smallCaps/>
      <w:kern w:val="0"/>
      <w:sz w:val="24"/>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index 1"/>
    <w:basedOn w:val="1"/>
    <w:next w:val="1"/>
    <w:qFormat/>
    <w:uiPriority w:val="99"/>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Body Text First Indent 2"/>
    <w:basedOn w:val="1"/>
    <w:unhideWhenUsed/>
    <w:qFormat/>
    <w:uiPriority w:val="99"/>
    <w:pPr>
      <w:ind w:firstLine="420" w:firstLineChars="200"/>
    </w:pPr>
  </w:style>
  <w:style w:type="table" w:styleId="25">
    <w:name w:val="Table Grid"/>
    <w:basedOn w:val="24"/>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page number"/>
    <w:basedOn w:val="26"/>
    <w:qFormat/>
    <w:uiPriority w:val="99"/>
    <w:rPr>
      <w:rFonts w:cs="Times New Roman"/>
    </w:rPr>
  </w:style>
  <w:style w:type="character" w:styleId="29">
    <w:name w:val="FollowedHyperlink"/>
    <w:basedOn w:val="26"/>
    <w:qFormat/>
    <w:uiPriority w:val="0"/>
    <w:rPr>
      <w:color w:val="800080"/>
      <w:u w:val="none"/>
    </w:rPr>
  </w:style>
  <w:style w:type="character" w:styleId="30">
    <w:name w:val="Hyperlink"/>
    <w:basedOn w:val="26"/>
    <w:qFormat/>
    <w:uiPriority w:val="0"/>
    <w:rPr>
      <w:color w:val="0000FF"/>
      <w:u w:val="single"/>
    </w:rPr>
  </w:style>
  <w:style w:type="paragraph" w:customStyle="1" w:styleId="31">
    <w:name w:val="表格文字"/>
    <w:basedOn w:val="11"/>
    <w:qFormat/>
    <w:uiPriority w:val="0"/>
    <w:pPr>
      <w:jc w:val="left"/>
    </w:pPr>
    <w:rPr>
      <w:bCs/>
      <w:spacing w:val="10"/>
      <w:sz w:val="24"/>
    </w:rPr>
  </w:style>
  <w:style w:type="paragraph" w:customStyle="1" w:styleId="32">
    <w:name w:val="BodyText1I2"/>
    <w:basedOn w:val="33"/>
    <w:qFormat/>
    <w:uiPriority w:val="0"/>
    <w:pPr>
      <w:ind w:firstLine="200" w:firstLineChars="200"/>
    </w:pPr>
  </w:style>
  <w:style w:type="paragraph" w:customStyle="1" w:styleId="33">
    <w:name w:val="BodyTextIndent"/>
    <w:basedOn w:val="1"/>
    <w:qFormat/>
    <w:uiPriority w:val="0"/>
    <w:pPr>
      <w:spacing w:after="120"/>
      <w:ind w:left="420" w:leftChars="200"/>
    </w:pPr>
  </w:style>
  <w:style w:type="paragraph" w:customStyle="1" w:styleId="34">
    <w:name w:val="正文1"/>
    <w:next w:val="3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文本1"/>
    <w:basedOn w:val="34"/>
    <w:next w:val="34"/>
    <w:qFormat/>
    <w:uiPriority w:val="0"/>
    <w:rPr>
      <w:rFonts w:ascii="金山简黑体" w:hAnsi="金山简黑体" w:eastAsia="金山简黑体"/>
      <w:b/>
      <w:spacing w:val="-8"/>
      <w:sz w:val="44"/>
      <w:szCs w:val="20"/>
    </w:rPr>
  </w:style>
  <w:style w:type="paragraph" w:customStyle="1" w:styleId="36">
    <w:name w:val="目录 11"/>
    <w:basedOn w:val="34"/>
    <w:next w:val="34"/>
    <w:qFormat/>
    <w:uiPriority w:val="39"/>
    <w:pPr>
      <w:tabs>
        <w:tab w:val="right" w:leader="dot" w:pos="9628"/>
      </w:tabs>
    </w:pPr>
    <w:rPr>
      <w:rFonts w:ascii="宋体" w:hAnsi="宋体"/>
      <w:b/>
      <w:color w:val="000000"/>
      <w:sz w:val="32"/>
      <w:szCs w:val="32"/>
    </w:rPr>
  </w:style>
  <w:style w:type="paragraph" w:customStyle="1" w:styleId="37">
    <w:name w:val="正文缩进1"/>
    <w:basedOn w:val="34"/>
    <w:qFormat/>
    <w:uiPriority w:val="0"/>
    <w:pPr>
      <w:spacing w:line="200" w:lineRule="exact"/>
      <w:ind w:firstLine="301"/>
    </w:pPr>
    <w:rPr>
      <w:rFonts w:ascii="宋体" w:hAnsi="宋体"/>
      <w:spacing w:val="-4"/>
      <w:sz w:val="18"/>
      <w:szCs w:val="20"/>
    </w:rPr>
  </w:style>
  <w:style w:type="paragraph" w:customStyle="1" w:styleId="3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9">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标题 31"/>
    <w:basedOn w:val="34"/>
    <w:next w:val="34"/>
    <w:qFormat/>
    <w:uiPriority w:val="0"/>
    <w:pPr>
      <w:keepNext/>
      <w:keepLines/>
      <w:spacing w:before="260" w:after="260" w:line="415" w:lineRule="auto"/>
      <w:outlineLvl w:val="2"/>
    </w:pPr>
    <w:rPr>
      <w:b/>
      <w:bCs/>
      <w:sz w:val="32"/>
      <w:szCs w:val="32"/>
    </w:rPr>
  </w:style>
  <w:style w:type="paragraph" w:customStyle="1" w:styleId="41">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Table Paragraph"/>
    <w:basedOn w:val="34"/>
    <w:qFormat/>
    <w:uiPriority w:val="1"/>
    <w:rPr>
      <w:rFonts w:ascii="宋体" w:hAnsi="宋体" w:eastAsia="宋体" w:cs="宋体"/>
      <w:lang w:val="zh-CN" w:eastAsia="zh-CN" w:bidi="zh-CN"/>
    </w:rPr>
  </w:style>
  <w:style w:type="paragraph" w:customStyle="1" w:styleId="43">
    <w:name w:val="页眉1"/>
    <w:basedOn w:val="34"/>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4">
    <w:name w:val="页脚1"/>
    <w:basedOn w:val="34"/>
    <w:qFormat/>
    <w:uiPriority w:val="99"/>
    <w:pPr>
      <w:tabs>
        <w:tab w:val="center" w:pos="4153"/>
        <w:tab w:val="right" w:pos="8306"/>
      </w:tabs>
      <w:snapToGrid w:val="0"/>
      <w:jc w:val="left"/>
    </w:pPr>
    <w:rPr>
      <w:rFonts w:ascii="宋体" w:hAnsi="宋体"/>
      <w:sz w:val="18"/>
      <w:szCs w:val="20"/>
    </w:rPr>
  </w:style>
  <w:style w:type="paragraph" w:customStyle="1" w:styleId="45">
    <w:name w:val="段落2"/>
    <w:basedOn w:val="1"/>
    <w:qFormat/>
    <w:uiPriority w:val="0"/>
    <w:pPr>
      <w:spacing w:line="360" w:lineRule="auto"/>
      <w:ind w:firstLine="480" w:firstLineChars="200"/>
    </w:pPr>
    <w:rPr>
      <w:rFonts w:ascii="Calibri" w:hAnsi="Calibri" w:eastAsia="宋体" w:cs="Courier New"/>
      <w:sz w:val="24"/>
      <w:szCs w:val="21"/>
    </w:rPr>
  </w:style>
  <w:style w:type="paragraph" w:customStyle="1" w:styleId="46">
    <w:name w:val="正文2"/>
    <w:basedOn w:val="1"/>
    <w:qFormat/>
    <w:uiPriority w:val="0"/>
    <w:pPr>
      <w:adjustRightInd w:val="0"/>
      <w:spacing w:before="156" w:line="360" w:lineRule="auto"/>
      <w:ind w:firstLine="510" w:firstLineChars="200"/>
    </w:pPr>
    <w:rPr>
      <w:kern w:val="0"/>
      <w:sz w:val="24"/>
      <w:szCs w:val="20"/>
    </w:rPr>
  </w:style>
  <w:style w:type="paragraph" w:customStyle="1" w:styleId="47">
    <w:name w:val="目录 21"/>
    <w:basedOn w:val="34"/>
    <w:next w:val="34"/>
    <w:qFormat/>
    <w:uiPriority w:val="0"/>
    <w:pPr>
      <w:ind w:left="420"/>
    </w:pPr>
  </w:style>
  <w:style w:type="paragraph" w:customStyle="1" w:styleId="48">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2974</Words>
  <Characters>3452</Characters>
  <Lines>1</Lines>
  <Paragraphs>1</Paragraphs>
  <TotalTime>162</TotalTime>
  <ScaleCrop>false</ScaleCrop>
  <LinksUpToDate>false</LinksUpToDate>
  <CharactersWithSpaces>3498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WPS_1602497377</cp:lastModifiedBy>
  <dcterms:modified xsi:type="dcterms:W3CDTF">2026-06-17T03:08:22Z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A8C19471E8F34B8DB822DB69E8A074C2_13</vt:lpwstr>
  </property>
  <property fmtid="{D5CDD505-2E9C-101B-9397-08002B2CF9AE}" pid="4" name="commondata">
    <vt:lpwstr>eyJoZGlkIjoiMDMxMGZjOWUzMGUxMmI4NzRjODAzZDBkNzM1YzcyY2UifQ==</vt:lpwstr>
  </property>
  <property fmtid="{D5CDD505-2E9C-101B-9397-08002B2CF9AE}" pid="5" name="KSOTemplateDocerSaveRecord">
    <vt:lpwstr>eyJoZGlkIjoiOTBmMjdiOTExOTZiZGQxYWM0Y2ZlNWFjZmEyZTRjYTUiLCJ1c2VySWQiOiIxMTMwNTMyMTQ1In0=</vt:lpwstr>
  </property>
</Properties>
</file>