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F67D0">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bookmarkStart w:id="1378" w:name="_GoBack"/>
      <w:bookmarkEnd w:id="1378"/>
      <w:r>
        <w:rPr>
          <w:rFonts w:hint="eastAsia" w:ascii="方正小标宋简体" w:hAnsi="方正小标宋简体" w:eastAsia="方正小标宋简体" w:cs="方正小标宋简体"/>
          <w:b/>
          <w:color w:val="auto"/>
          <w:sz w:val="44"/>
          <w:szCs w:val="44"/>
          <w:highlight w:val="none"/>
          <w:lang w:eastAsia="zh-CN"/>
        </w:rPr>
        <w:drawing>
          <wp:inline distT="0" distB="0" distL="114300" distR="114300">
            <wp:extent cx="5635625" cy="1050290"/>
            <wp:effectExtent l="0" t="0" r="0" b="0"/>
            <wp:docPr id="5" name="图片 1" descr="900b284d9d752616ddbde50079f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00b284d9d752616ddbde50079fced2"/>
                    <pic:cNvPicPr>
                      <a:picLocks noChangeAspect="1"/>
                    </pic:cNvPicPr>
                  </pic:nvPicPr>
                  <pic:blipFill>
                    <a:blip r:embed="rId13"/>
                    <a:stretch>
                      <a:fillRect/>
                    </a:stretch>
                  </pic:blipFill>
                  <pic:spPr>
                    <a:xfrm>
                      <a:off x="0" y="0"/>
                      <a:ext cx="5635625" cy="1050290"/>
                    </a:xfrm>
                    <a:prstGeom prst="rect">
                      <a:avLst/>
                    </a:prstGeom>
                    <a:noFill/>
                    <a:ln>
                      <a:noFill/>
                    </a:ln>
                  </pic:spPr>
                </pic:pic>
              </a:graphicData>
            </a:graphic>
          </wp:inline>
        </w:drawing>
      </w:r>
    </w:p>
    <w:p w14:paraId="0BCDBD4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F21685A">
      <w:pPr>
        <w:pStyle w:val="31"/>
        <w:shd w:val="clear"/>
        <w:rPr>
          <w:rFonts w:hint="eastAsia" w:ascii="宋体" w:hAnsi="宋体" w:eastAsia="宋体" w:cs="宋体"/>
          <w:color w:val="auto"/>
          <w:kern w:val="0"/>
          <w:sz w:val="56"/>
          <w:szCs w:val="24"/>
          <w:highlight w:val="none"/>
        </w:rPr>
      </w:pPr>
    </w:p>
    <w:p w14:paraId="3440C553">
      <w:pPr>
        <w:pStyle w:val="31"/>
        <w:shd w:val="clear"/>
        <w:rPr>
          <w:rFonts w:hint="eastAsia" w:ascii="宋体" w:hAnsi="宋体" w:eastAsia="宋体" w:cs="宋体"/>
          <w:color w:val="auto"/>
          <w:kern w:val="0"/>
          <w:sz w:val="56"/>
          <w:szCs w:val="24"/>
          <w:highlight w:val="none"/>
        </w:rPr>
      </w:pPr>
    </w:p>
    <w:p w14:paraId="05C90A5A">
      <w:pPr>
        <w:pStyle w:val="31"/>
        <w:shd w:val="clear"/>
        <w:rPr>
          <w:rFonts w:hint="eastAsia" w:ascii="宋体" w:hAnsi="宋体" w:eastAsia="宋体" w:cs="宋体"/>
          <w:color w:val="auto"/>
          <w:kern w:val="0"/>
          <w:sz w:val="56"/>
          <w:szCs w:val="24"/>
          <w:highlight w:val="none"/>
        </w:rPr>
      </w:pPr>
    </w:p>
    <w:p w14:paraId="7E7F8AA8">
      <w:pPr>
        <w:pStyle w:val="31"/>
        <w:shd w:val="clear"/>
        <w:rPr>
          <w:rFonts w:hint="eastAsia" w:ascii="宋体" w:hAnsi="宋体" w:eastAsia="宋体" w:cs="宋体"/>
          <w:color w:val="auto"/>
          <w:kern w:val="0"/>
          <w:sz w:val="56"/>
          <w:szCs w:val="24"/>
          <w:highlight w:val="none"/>
        </w:rPr>
      </w:pPr>
    </w:p>
    <w:p w14:paraId="5EAE805E">
      <w:pPr>
        <w:pStyle w:val="31"/>
        <w:shd w:val="clear"/>
        <w:rPr>
          <w:rFonts w:hint="eastAsia" w:ascii="宋体" w:hAnsi="宋体" w:eastAsia="宋体" w:cs="宋体"/>
          <w:color w:val="auto"/>
          <w:kern w:val="0"/>
          <w:sz w:val="56"/>
          <w:szCs w:val="24"/>
          <w:highlight w:val="none"/>
        </w:rPr>
      </w:pPr>
    </w:p>
    <w:p w14:paraId="2F21963D">
      <w:pPr>
        <w:pStyle w:val="31"/>
        <w:shd w:val="clear"/>
        <w:rPr>
          <w:rFonts w:hint="eastAsia" w:ascii="宋体" w:hAnsi="宋体" w:eastAsia="宋体" w:cs="宋体"/>
          <w:color w:val="auto"/>
          <w:kern w:val="0"/>
          <w:sz w:val="56"/>
          <w:szCs w:val="24"/>
          <w:highlight w:val="none"/>
        </w:rPr>
      </w:pPr>
    </w:p>
    <w:p w14:paraId="7F9578FF">
      <w:pPr>
        <w:pStyle w:val="31"/>
        <w:shd w:val="clear"/>
        <w:rPr>
          <w:rFonts w:hint="eastAsia" w:ascii="宋体" w:hAnsi="宋体" w:eastAsia="宋体" w:cs="宋体"/>
          <w:color w:val="auto"/>
          <w:kern w:val="0"/>
          <w:sz w:val="56"/>
          <w:szCs w:val="24"/>
          <w:highlight w:val="none"/>
        </w:rPr>
      </w:pPr>
    </w:p>
    <w:p w14:paraId="39D05799">
      <w:pPr>
        <w:pStyle w:val="31"/>
        <w:shd w:val="clear"/>
        <w:rPr>
          <w:rFonts w:hint="eastAsia" w:ascii="宋体" w:hAnsi="宋体" w:eastAsia="宋体" w:cs="宋体"/>
          <w:color w:val="auto"/>
          <w:kern w:val="0"/>
          <w:sz w:val="56"/>
          <w:szCs w:val="24"/>
          <w:highlight w:val="none"/>
        </w:rPr>
      </w:pPr>
    </w:p>
    <w:p w14:paraId="63840A21">
      <w:pPr>
        <w:pStyle w:val="31"/>
        <w:shd w:val="clear"/>
        <w:rPr>
          <w:rFonts w:hint="eastAsia" w:ascii="宋体" w:hAnsi="宋体" w:eastAsia="宋体" w:cs="宋体"/>
          <w:color w:val="auto"/>
          <w:kern w:val="0"/>
          <w:sz w:val="56"/>
          <w:szCs w:val="24"/>
          <w:highlight w:val="none"/>
        </w:rPr>
      </w:pPr>
    </w:p>
    <w:p w14:paraId="20072E5F">
      <w:pPr>
        <w:pStyle w:val="31"/>
        <w:shd w:val="clear"/>
        <w:rPr>
          <w:rFonts w:hint="eastAsia" w:ascii="宋体" w:hAnsi="宋体" w:eastAsia="宋体" w:cs="宋体"/>
          <w:color w:val="auto"/>
          <w:kern w:val="0"/>
          <w:sz w:val="56"/>
          <w:szCs w:val="24"/>
          <w:highlight w:val="none"/>
        </w:rPr>
      </w:pPr>
    </w:p>
    <w:p w14:paraId="155D42FF">
      <w:pPr>
        <w:pStyle w:val="31"/>
        <w:shd w:val="clear"/>
        <w:rPr>
          <w:rFonts w:hint="eastAsia" w:ascii="宋体" w:hAnsi="宋体" w:eastAsia="宋体" w:cs="宋体"/>
          <w:color w:val="auto"/>
          <w:kern w:val="0"/>
          <w:sz w:val="56"/>
          <w:szCs w:val="24"/>
          <w:highlight w:val="none"/>
        </w:rPr>
      </w:pPr>
    </w:p>
    <w:p w14:paraId="11D93A2F">
      <w:pPr>
        <w:pStyle w:val="31"/>
        <w:shd w:val="clear"/>
        <w:rPr>
          <w:rFonts w:hint="eastAsia" w:ascii="宋体" w:hAnsi="宋体" w:eastAsia="宋体" w:cs="宋体"/>
          <w:color w:val="auto"/>
          <w:kern w:val="0"/>
          <w:sz w:val="56"/>
          <w:szCs w:val="24"/>
          <w:highlight w:val="none"/>
        </w:rPr>
      </w:pPr>
    </w:p>
    <w:p w14:paraId="4EF85A2D">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59FA126">
      <w:pPr>
        <w:pStyle w:val="31"/>
        <w:shd w:val="clear"/>
        <w:rPr>
          <w:rFonts w:hint="eastAsia" w:ascii="宋体" w:hAnsi="宋体" w:eastAsia="宋体" w:cs="宋体"/>
          <w:color w:val="auto"/>
          <w:kern w:val="0"/>
          <w:sz w:val="56"/>
          <w:szCs w:val="24"/>
          <w:highlight w:val="none"/>
        </w:rPr>
      </w:pPr>
    </w:p>
    <w:p w14:paraId="7089D3A6">
      <w:pPr>
        <w:pStyle w:val="31"/>
        <w:shd w:val="clear"/>
        <w:rPr>
          <w:rFonts w:hint="eastAsia" w:ascii="宋体" w:hAnsi="宋体" w:eastAsia="宋体" w:cs="宋体"/>
          <w:color w:val="auto"/>
          <w:kern w:val="0"/>
          <w:sz w:val="56"/>
          <w:szCs w:val="24"/>
          <w:highlight w:val="none"/>
        </w:rPr>
      </w:pPr>
    </w:p>
    <w:p w14:paraId="156B1502">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天等县龙茗镇益山村八角低产林改造县级示范项目</w:t>
      </w:r>
    </w:p>
    <w:p w14:paraId="6240ECBF">
      <w:pPr>
        <w:pStyle w:val="31"/>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CZZC2026-C2-250096-GXCS</w:t>
      </w:r>
    </w:p>
    <w:p w14:paraId="19DCD503">
      <w:pPr>
        <w:pStyle w:val="31"/>
        <w:shd w:val="clear"/>
        <w:rPr>
          <w:rFonts w:hint="eastAsia" w:ascii="宋体" w:hAnsi="宋体" w:eastAsia="宋体" w:cs="宋体"/>
          <w:color w:val="auto"/>
          <w:highlight w:val="none"/>
        </w:rPr>
      </w:pPr>
    </w:p>
    <w:p w14:paraId="66B32579">
      <w:pPr>
        <w:pStyle w:val="31"/>
        <w:shd w:val="clear"/>
        <w:rPr>
          <w:rFonts w:hint="eastAsia" w:ascii="宋体" w:hAnsi="宋体" w:eastAsia="宋体" w:cs="宋体"/>
          <w:color w:val="auto"/>
          <w:highlight w:val="none"/>
        </w:rPr>
      </w:pPr>
    </w:p>
    <w:p w14:paraId="2F7CC738">
      <w:pPr>
        <w:pStyle w:val="31"/>
        <w:shd w:val="clear"/>
        <w:rPr>
          <w:rFonts w:hint="eastAsia" w:ascii="宋体" w:hAnsi="宋体" w:eastAsia="宋体" w:cs="宋体"/>
          <w:color w:val="auto"/>
          <w:highlight w:val="none"/>
        </w:rPr>
      </w:pPr>
    </w:p>
    <w:p w14:paraId="19CA78E1">
      <w:pPr>
        <w:pStyle w:val="31"/>
        <w:shd w:val="clear"/>
        <w:rPr>
          <w:rFonts w:hint="eastAsia" w:ascii="宋体" w:hAnsi="宋体" w:eastAsia="宋体" w:cs="宋体"/>
          <w:color w:val="auto"/>
          <w:highlight w:val="none"/>
        </w:rPr>
      </w:pPr>
    </w:p>
    <w:p w14:paraId="1B1ABC11">
      <w:pPr>
        <w:pStyle w:val="31"/>
        <w:shd w:val="clear"/>
        <w:rPr>
          <w:rFonts w:hint="eastAsia" w:ascii="宋体" w:hAnsi="宋体" w:eastAsia="宋体" w:cs="宋体"/>
          <w:color w:val="auto"/>
          <w:highlight w:val="none"/>
        </w:rPr>
      </w:pPr>
    </w:p>
    <w:p w14:paraId="4AF2E566">
      <w:pPr>
        <w:pStyle w:val="31"/>
        <w:shd w:val="clear"/>
        <w:rPr>
          <w:rFonts w:hint="eastAsia" w:ascii="宋体" w:hAnsi="宋体" w:eastAsia="宋体" w:cs="宋体"/>
          <w:color w:val="auto"/>
          <w:highlight w:val="none"/>
        </w:rPr>
      </w:pPr>
    </w:p>
    <w:p w14:paraId="5A40AC56">
      <w:pPr>
        <w:pStyle w:val="31"/>
        <w:shd w:val="clear"/>
        <w:rPr>
          <w:rFonts w:hint="eastAsia" w:ascii="宋体" w:hAnsi="宋体" w:eastAsia="宋体" w:cs="宋体"/>
          <w:color w:val="auto"/>
          <w:highlight w:val="none"/>
        </w:rPr>
      </w:pPr>
    </w:p>
    <w:p w14:paraId="1EEE7FB8">
      <w:pPr>
        <w:pStyle w:val="31"/>
        <w:shd w:val="clear"/>
        <w:rPr>
          <w:rFonts w:hint="eastAsia" w:ascii="宋体" w:hAnsi="宋体" w:eastAsia="宋体" w:cs="宋体"/>
          <w:color w:val="auto"/>
          <w:highlight w:val="none"/>
        </w:rPr>
      </w:pPr>
    </w:p>
    <w:p w14:paraId="22837BEF">
      <w:pPr>
        <w:pStyle w:val="31"/>
        <w:shd w:val="clear"/>
        <w:rPr>
          <w:rFonts w:hint="eastAsia" w:ascii="宋体" w:hAnsi="宋体" w:eastAsia="宋体" w:cs="宋体"/>
          <w:color w:val="auto"/>
          <w:highlight w:val="none"/>
        </w:rPr>
      </w:pPr>
    </w:p>
    <w:p w14:paraId="0CEFA26F">
      <w:pPr>
        <w:pStyle w:val="31"/>
        <w:shd w:val="clear"/>
        <w:rPr>
          <w:rFonts w:hint="eastAsia" w:ascii="宋体" w:hAnsi="宋体" w:eastAsia="宋体" w:cs="宋体"/>
          <w:color w:val="auto"/>
          <w:highlight w:val="none"/>
        </w:rPr>
      </w:pPr>
    </w:p>
    <w:p w14:paraId="4DF65FCA">
      <w:pPr>
        <w:pStyle w:val="31"/>
        <w:shd w:val="clear"/>
        <w:rPr>
          <w:rFonts w:hint="eastAsia" w:ascii="宋体" w:hAnsi="宋体" w:eastAsia="宋体" w:cs="宋体"/>
          <w:color w:val="auto"/>
          <w:highlight w:val="none"/>
        </w:rPr>
      </w:pPr>
    </w:p>
    <w:p w14:paraId="45DDFD86">
      <w:pPr>
        <w:pStyle w:val="31"/>
        <w:shd w:val="clear"/>
        <w:rPr>
          <w:rFonts w:hint="eastAsia" w:ascii="宋体" w:hAnsi="宋体" w:eastAsia="宋体" w:cs="宋体"/>
          <w:color w:val="auto"/>
          <w:highlight w:val="none"/>
        </w:rPr>
      </w:pPr>
    </w:p>
    <w:p w14:paraId="124AA72C">
      <w:pPr>
        <w:pStyle w:val="31"/>
        <w:shd w:val="clear"/>
        <w:rPr>
          <w:rFonts w:hint="eastAsia" w:ascii="宋体" w:hAnsi="宋体" w:eastAsia="宋体" w:cs="宋体"/>
          <w:color w:val="auto"/>
          <w:highlight w:val="none"/>
        </w:rPr>
      </w:pPr>
    </w:p>
    <w:p w14:paraId="29075631">
      <w:pPr>
        <w:pStyle w:val="31"/>
        <w:shd w:val="clear"/>
        <w:rPr>
          <w:rFonts w:hint="eastAsia" w:ascii="宋体" w:hAnsi="宋体" w:eastAsia="宋体" w:cs="宋体"/>
          <w:color w:val="auto"/>
          <w:highlight w:val="none"/>
        </w:rPr>
      </w:pPr>
    </w:p>
    <w:p w14:paraId="256F2A28">
      <w:pPr>
        <w:pStyle w:val="31"/>
        <w:shd w:val="clear"/>
        <w:rPr>
          <w:rFonts w:hint="eastAsia" w:ascii="宋体" w:hAnsi="宋体" w:eastAsia="宋体" w:cs="宋体"/>
          <w:color w:val="auto"/>
          <w:highlight w:val="none"/>
        </w:rPr>
      </w:pPr>
    </w:p>
    <w:p w14:paraId="77F1039B">
      <w:pPr>
        <w:pStyle w:val="31"/>
        <w:shd w:val="clear"/>
        <w:rPr>
          <w:rFonts w:hint="eastAsia" w:ascii="宋体" w:hAnsi="宋体" w:eastAsia="宋体" w:cs="宋体"/>
          <w:color w:val="auto"/>
          <w:highlight w:val="none"/>
        </w:rPr>
      </w:pPr>
    </w:p>
    <w:p w14:paraId="7E1394C3">
      <w:pPr>
        <w:pStyle w:val="31"/>
        <w:shd w:val="clear"/>
        <w:rPr>
          <w:rFonts w:hint="eastAsia" w:ascii="宋体" w:hAnsi="宋体" w:eastAsia="宋体" w:cs="宋体"/>
          <w:color w:val="auto"/>
          <w:highlight w:val="none"/>
        </w:rPr>
      </w:pPr>
    </w:p>
    <w:p w14:paraId="2A8D8356">
      <w:pPr>
        <w:pStyle w:val="31"/>
        <w:shd w:val="clear"/>
        <w:rPr>
          <w:rFonts w:hint="eastAsia" w:ascii="宋体" w:hAnsi="宋体" w:eastAsia="宋体" w:cs="宋体"/>
          <w:color w:val="auto"/>
          <w:highlight w:val="none"/>
        </w:rPr>
      </w:pPr>
    </w:p>
    <w:p w14:paraId="5950464A">
      <w:pPr>
        <w:pStyle w:val="31"/>
        <w:shd w:val="clear"/>
        <w:rPr>
          <w:rFonts w:hint="eastAsia" w:ascii="宋体" w:hAnsi="宋体" w:eastAsia="宋体" w:cs="宋体"/>
          <w:color w:val="auto"/>
          <w:highlight w:val="none"/>
        </w:rPr>
      </w:pPr>
    </w:p>
    <w:p w14:paraId="56419EEC">
      <w:pPr>
        <w:pStyle w:val="31"/>
        <w:shd w:val="clear"/>
        <w:rPr>
          <w:rFonts w:hint="eastAsia" w:ascii="宋体" w:hAnsi="宋体" w:eastAsia="宋体" w:cs="宋体"/>
          <w:color w:val="auto"/>
          <w:kern w:val="0"/>
          <w:sz w:val="36"/>
          <w:szCs w:val="24"/>
          <w:highlight w:val="none"/>
        </w:rPr>
      </w:pPr>
    </w:p>
    <w:p w14:paraId="632DACE9">
      <w:pPr>
        <w:pStyle w:val="31"/>
        <w:shd w:val="clear"/>
        <w:rPr>
          <w:rFonts w:hint="eastAsia" w:ascii="宋体" w:hAnsi="宋体" w:eastAsia="宋体" w:cs="宋体"/>
          <w:color w:val="auto"/>
          <w:kern w:val="0"/>
          <w:sz w:val="36"/>
          <w:szCs w:val="24"/>
          <w:highlight w:val="none"/>
        </w:rPr>
      </w:pPr>
    </w:p>
    <w:p w14:paraId="3162F240">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天等县林业局</w:t>
      </w:r>
    </w:p>
    <w:p w14:paraId="106A37EA">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广西崇善项目咨询有限公司</w:t>
      </w:r>
    </w:p>
    <w:p w14:paraId="6E956AC0">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w:t>
      </w:r>
      <w:r>
        <w:rPr>
          <w:rFonts w:hint="eastAsia" w:ascii="宋体" w:hAnsi="宋体" w:cs="宋体"/>
          <w:b/>
          <w:color w:val="auto"/>
          <w:kern w:val="0"/>
          <w:sz w:val="30"/>
          <w:szCs w:val="30"/>
          <w:highlight w:val="none"/>
          <w:lang w:val="en-US" w:eastAsia="zh-CN"/>
        </w:rPr>
        <w:t>6</w:t>
      </w:r>
      <w:r>
        <w:rPr>
          <w:rFonts w:hint="eastAsia" w:ascii="宋体" w:hAnsi="宋体" w:cs="宋体"/>
          <w:b/>
          <w:color w:val="auto"/>
          <w:kern w:val="0"/>
          <w:sz w:val="30"/>
          <w:szCs w:val="30"/>
          <w:highlight w:val="none"/>
          <w:lang w:eastAsia="zh-CN"/>
        </w:rPr>
        <w:t>月</w:t>
      </w:r>
    </w:p>
    <w:p w14:paraId="028943C9">
      <w:pPr>
        <w:pStyle w:val="34"/>
        <w:shd w:val="clear"/>
        <w:spacing w:line="360" w:lineRule="auto"/>
        <w:jc w:val="center"/>
        <w:rPr>
          <w:rFonts w:ascii="宋体" w:hAnsi="宋体"/>
          <w:color w:val="auto"/>
          <w:highlight w:val="none"/>
        </w:rPr>
      </w:pPr>
    </w:p>
    <w:p w14:paraId="5524FDDE">
      <w:pPr>
        <w:pStyle w:val="34"/>
        <w:shd w:val="clear"/>
        <w:spacing w:line="360" w:lineRule="auto"/>
        <w:jc w:val="center"/>
        <w:rPr>
          <w:rFonts w:ascii="宋体" w:hAnsi="宋体"/>
          <w:b/>
          <w:color w:val="auto"/>
          <w:sz w:val="48"/>
          <w:szCs w:val="48"/>
          <w:highlight w:val="none"/>
        </w:rPr>
      </w:pPr>
    </w:p>
    <w:p w14:paraId="13CF973F">
      <w:pPr>
        <w:pStyle w:val="34"/>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目录</w:t>
      </w:r>
    </w:p>
    <w:p w14:paraId="39282E0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79592C17">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795F62D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w:t>
      </w:r>
      <w:r>
        <w:rPr>
          <w:rFonts w:hint="eastAsia" w:ascii="宋体" w:hAnsi="宋体"/>
          <w:color w:val="auto"/>
          <w:sz w:val="28"/>
          <w:szCs w:val="28"/>
          <w:highlight w:val="none"/>
          <w:lang w:val="en-US" w:eastAsia="zh-CN"/>
        </w:rPr>
        <w:t xml:space="preserve"> </w:t>
      </w:r>
      <w:r>
        <w:rPr>
          <w:rFonts w:ascii="宋体" w:hAnsi="宋体"/>
          <w:color w:val="auto"/>
          <w:sz w:val="28"/>
          <w:szCs w:val="28"/>
          <w:highlight w:val="none"/>
        </w:rPr>
        <w:t>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73DFEEEC">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w:t>
      </w:r>
      <w:r>
        <w:rPr>
          <w:rFonts w:hint="eastAsia"/>
          <w:color w:val="auto"/>
          <w:sz w:val="28"/>
          <w:szCs w:val="28"/>
          <w:highlight w:val="none"/>
          <w:lang w:val="en-US" w:eastAsia="zh-CN"/>
        </w:rPr>
        <w:t xml:space="preserve"> </w:t>
      </w:r>
      <w:r>
        <w:rPr>
          <w:color w:val="auto"/>
          <w:sz w:val="28"/>
          <w:szCs w:val="28"/>
          <w:highlight w:val="none"/>
        </w:rPr>
        <w:t>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11A8D669">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第五章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56</w:t>
      </w:r>
      <w:r>
        <w:rPr>
          <w:color w:val="auto"/>
          <w:sz w:val="28"/>
          <w:szCs w:val="28"/>
          <w:highlight w:val="none"/>
        </w:rPr>
        <w:fldChar w:fldCharType="end"/>
      </w:r>
      <w:r>
        <w:rPr>
          <w:color w:val="auto"/>
          <w:sz w:val="28"/>
          <w:szCs w:val="28"/>
          <w:highlight w:val="none"/>
        </w:rPr>
        <w:fldChar w:fldCharType="end"/>
      </w:r>
    </w:p>
    <w:p w14:paraId="6E5B862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第六章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111</w:t>
      </w:r>
      <w:r>
        <w:rPr>
          <w:color w:val="auto"/>
          <w:sz w:val="28"/>
          <w:szCs w:val="28"/>
          <w:highlight w:val="none"/>
        </w:rPr>
        <w:fldChar w:fldCharType="end"/>
      </w:r>
      <w:r>
        <w:rPr>
          <w:color w:val="auto"/>
          <w:sz w:val="28"/>
          <w:szCs w:val="28"/>
          <w:highlight w:val="none"/>
        </w:rPr>
        <w:fldChar w:fldCharType="end"/>
      </w:r>
    </w:p>
    <w:p w14:paraId="00DCB2A2">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123</w:t>
      </w:r>
      <w:r>
        <w:rPr>
          <w:color w:val="auto"/>
          <w:sz w:val="28"/>
          <w:szCs w:val="28"/>
          <w:highlight w:val="none"/>
        </w:rPr>
        <w:fldChar w:fldCharType="end"/>
      </w:r>
      <w:r>
        <w:rPr>
          <w:color w:val="auto"/>
          <w:sz w:val="28"/>
          <w:szCs w:val="28"/>
          <w:highlight w:val="none"/>
        </w:rPr>
        <w:fldChar w:fldCharType="end"/>
      </w:r>
    </w:p>
    <w:p w14:paraId="7BF06B5C">
      <w:pPr>
        <w:pStyle w:val="36"/>
        <w:shd w:val="clear"/>
        <w:spacing w:line="360" w:lineRule="auto"/>
        <w:rPr>
          <w:color w:val="auto"/>
          <w:highlight w:val="none"/>
        </w:rPr>
      </w:pPr>
      <w:r>
        <w:rPr>
          <w:color w:val="auto"/>
          <w:sz w:val="28"/>
          <w:szCs w:val="28"/>
          <w:highlight w:val="none"/>
        </w:rPr>
        <w:fldChar w:fldCharType="end"/>
      </w:r>
    </w:p>
    <w:p w14:paraId="138A3A96">
      <w:pPr>
        <w:pStyle w:val="34"/>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45D0A3CE">
      <w:pPr>
        <w:pStyle w:val="35"/>
        <w:shd w:val="clear"/>
        <w:rPr>
          <w:color w:val="auto"/>
          <w:highlight w:val="none"/>
        </w:rPr>
      </w:pPr>
    </w:p>
    <w:p w14:paraId="631ABBF9">
      <w:pPr>
        <w:pStyle w:val="34"/>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竞争性磋商公告</w:t>
      </w:r>
      <w:bookmarkEnd w:id="1"/>
    </w:p>
    <w:p w14:paraId="4884C714">
      <w:pPr>
        <w:pStyle w:val="3"/>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广西崇善项目咨询有限公司</w:t>
      </w:r>
    </w:p>
    <w:p w14:paraId="730426C6">
      <w:pPr>
        <w:pStyle w:val="3"/>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天等县龙茗镇益山村八角低产林改造县级示范项目（项目编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CZZC2026-C2-250096-GXCS）</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0ADA9844">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388FC8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天等县龙茗镇益山村八角低产林改造县级示范项目</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2026年7月3日14时30分（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18BF893">
      <w:pPr>
        <w:shd w:val="clear"/>
        <w:spacing w:line="360" w:lineRule="auto"/>
        <w:rPr>
          <w:b/>
          <w:bCs/>
          <w:color w:val="auto"/>
          <w:sz w:val="21"/>
          <w:szCs w:val="21"/>
          <w:highlight w:val="none"/>
        </w:rPr>
      </w:pPr>
      <w:bookmarkStart w:id="4" w:name="_Toc35393629"/>
      <w:bookmarkStart w:id="5" w:name="_Toc28359089"/>
      <w:bookmarkStart w:id="6" w:name="_Toc28359012"/>
      <w:bookmarkStart w:id="7" w:name="_Toc35393798"/>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09547DBC">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CZZC2026-C2-250096-GXCS</w:t>
      </w:r>
    </w:p>
    <w:p w14:paraId="374FE79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天等县龙茗镇益山村八角低产林改造县级示范项目</w:t>
      </w:r>
      <w:r>
        <w:rPr>
          <w:rFonts w:hint="eastAsia"/>
          <w:color w:val="auto"/>
          <w:sz w:val="21"/>
          <w:szCs w:val="21"/>
          <w:highlight w:val="none"/>
        </w:rPr>
        <w:t>。</w:t>
      </w:r>
    </w:p>
    <w:p w14:paraId="7AE47DD9">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F057AA9">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w:t>
      </w:r>
      <w:r>
        <w:rPr>
          <w:rFonts w:hint="eastAsia" w:ascii="Times New Roman" w:hAnsi="Times New Roman" w:cs="Times New Roman"/>
          <w:bCs w:val="0"/>
          <w:color w:val="auto"/>
          <w:spacing w:val="0"/>
          <w:sz w:val="21"/>
          <w:szCs w:val="21"/>
          <w:highlight w:val="none"/>
          <w:lang w:val="en-US" w:eastAsia="zh-CN" w:bidi="hi-IN"/>
        </w:rPr>
        <w:t>人民币壹佰贰拾柒万玖仟贰佰零壹元贰角捌分（¥1279201.28）</w:t>
      </w:r>
      <w:r>
        <w:rPr>
          <w:rFonts w:hint="eastAsia" w:ascii="Times New Roman" w:hAnsi="Times New Roman" w:eastAsia="宋体" w:cs="Times New Roman"/>
          <w:bCs w:val="0"/>
          <w:color w:val="auto"/>
          <w:spacing w:val="0"/>
          <w:sz w:val="21"/>
          <w:szCs w:val="21"/>
          <w:highlight w:val="none"/>
          <w:lang w:val="en-US" w:eastAsia="zh-CN" w:bidi="hi-IN"/>
        </w:rPr>
        <w:t>。</w:t>
      </w:r>
    </w:p>
    <w:p w14:paraId="69B2D7D1">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w:t>
      </w:r>
      <w:r>
        <w:rPr>
          <w:rFonts w:hint="eastAsia" w:ascii="Times New Roman" w:hAnsi="Times New Roman" w:cs="Times New Roman"/>
          <w:bCs w:val="0"/>
          <w:color w:val="auto"/>
          <w:spacing w:val="0"/>
          <w:sz w:val="21"/>
          <w:szCs w:val="21"/>
          <w:highlight w:val="none"/>
          <w:lang w:val="en-US" w:eastAsia="zh-CN" w:bidi="hi-IN"/>
        </w:rPr>
        <w:t>人民币壹佰贰拾柒万玖仟贰佰零壹元贰角捌分（¥1279201.28）。</w:t>
      </w:r>
    </w:p>
    <w:p w14:paraId="7455E040">
      <w:pPr>
        <w:pStyle w:val="31"/>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color w:val="auto"/>
          <w:sz w:val="21"/>
          <w:szCs w:val="21"/>
          <w:highlight w:val="none"/>
          <w:lang w:val="en-US" w:eastAsia="zh-CN"/>
        </w:rPr>
      </w:pPr>
      <w:r>
        <w:rPr>
          <w:rFonts w:hint="eastAsia" w:ascii="Times New Roman" w:hAnsi="Times New Roman" w:cs="Times New Roman"/>
          <w:bCs w:val="0"/>
          <w:color w:val="auto"/>
          <w:spacing w:val="0"/>
          <w:sz w:val="21"/>
          <w:szCs w:val="21"/>
          <w:highlight w:val="none"/>
          <w:lang w:val="en-US" w:eastAsia="zh-CN" w:bidi="hi-IN"/>
        </w:rPr>
        <w:t>6.采购需求：</w:t>
      </w:r>
      <w:r>
        <w:rPr>
          <w:rFonts w:hint="eastAsia"/>
          <w:color w:val="auto"/>
          <w:sz w:val="21"/>
          <w:szCs w:val="21"/>
          <w:highlight w:val="none"/>
          <w:lang w:eastAsia="zh-CN"/>
        </w:rPr>
        <w:t>天等县龙茗镇益山村八角低产林改造县级示范项目的建设内容包含：（1）八角低产林改造165亩、包含人工砍伐树木6600棵、除草及砍灌木林44000平方，砍树挖根91523棵，无人机飞播农药，施工期内施肥两次等。（2）新建配套生产道路两条，总长0.707km，新建两座涵管，工程具体建设内容以施工图纸及工程量清单为准</w:t>
      </w:r>
      <w:r>
        <w:rPr>
          <w:rFonts w:hint="eastAsia"/>
          <w:color w:val="auto"/>
          <w:sz w:val="21"/>
          <w:szCs w:val="21"/>
          <w:highlight w:val="none"/>
          <w:lang w:val="en-US" w:eastAsia="zh-CN"/>
        </w:rPr>
        <w:t>。</w:t>
      </w:r>
    </w:p>
    <w:p w14:paraId="016FE5B1">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150日历天</w:t>
      </w:r>
      <w:r>
        <w:rPr>
          <w:rFonts w:hint="eastAsia"/>
          <w:color w:val="auto"/>
          <w:sz w:val="21"/>
          <w:szCs w:val="21"/>
          <w:highlight w:val="none"/>
        </w:rPr>
        <w:t>。</w:t>
      </w:r>
    </w:p>
    <w:p w14:paraId="60E42E02">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442E3E5A">
      <w:pPr>
        <w:shd w:val="clear"/>
        <w:spacing w:line="360" w:lineRule="auto"/>
        <w:rPr>
          <w:b/>
          <w:bCs/>
          <w:color w:val="auto"/>
          <w:sz w:val="21"/>
          <w:szCs w:val="21"/>
          <w:highlight w:val="none"/>
        </w:rPr>
      </w:pPr>
      <w:bookmarkStart w:id="8" w:name="_Toc35393630"/>
      <w:bookmarkStart w:id="9" w:name="_Toc28359013"/>
      <w:bookmarkStart w:id="10" w:name="_Toc28359090"/>
      <w:bookmarkStart w:id="11" w:name="_Toc35393799"/>
      <w:r>
        <w:rPr>
          <w:rFonts w:hint="eastAsia"/>
          <w:b/>
          <w:bCs/>
          <w:color w:val="auto"/>
          <w:sz w:val="21"/>
          <w:szCs w:val="21"/>
          <w:highlight w:val="none"/>
        </w:rPr>
        <w:t>二、申请人的资格要求：</w:t>
      </w:r>
      <w:bookmarkEnd w:id="8"/>
      <w:bookmarkEnd w:id="9"/>
      <w:bookmarkEnd w:id="10"/>
      <w:bookmarkEnd w:id="11"/>
    </w:p>
    <w:p w14:paraId="7BD08570">
      <w:pPr>
        <w:shd w:val="clear"/>
        <w:spacing w:line="360" w:lineRule="auto"/>
        <w:ind w:firstLine="420" w:firstLineChars="200"/>
        <w:rPr>
          <w:rFonts w:hint="eastAsia"/>
          <w:color w:val="auto"/>
          <w:sz w:val="21"/>
          <w:szCs w:val="21"/>
          <w:highlight w:val="none"/>
        </w:rPr>
      </w:pPr>
      <w:bookmarkStart w:id="12" w:name="_Toc28359091"/>
      <w:bookmarkStart w:id="13" w:name="_Toc28359014"/>
      <w:r>
        <w:rPr>
          <w:rFonts w:hint="eastAsia"/>
          <w:color w:val="auto"/>
          <w:sz w:val="21"/>
          <w:szCs w:val="21"/>
          <w:highlight w:val="none"/>
        </w:rPr>
        <w:t>1.满足《中华人民共和国政府采购法》第二十二条规定；</w:t>
      </w:r>
    </w:p>
    <w:p w14:paraId="29FB9F6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本项目专门面向小微企业采购，预留份额100%</w:t>
      </w:r>
      <w:r>
        <w:rPr>
          <w:rFonts w:hint="eastAsia"/>
          <w:color w:val="auto"/>
          <w:sz w:val="21"/>
          <w:szCs w:val="21"/>
          <w:highlight w:val="none"/>
        </w:rPr>
        <w:t>。</w:t>
      </w:r>
    </w:p>
    <w:p w14:paraId="16E81B82">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800"/>
      <w:bookmarkStart w:id="15" w:name="_Toc35393631"/>
      <w:r>
        <w:rPr>
          <w:rFonts w:hint="eastAsia" w:cs="Times New Roman"/>
          <w:color w:val="auto"/>
          <w:sz w:val="21"/>
          <w:szCs w:val="21"/>
          <w:highlight w:val="none"/>
          <w:lang w:eastAsia="zh-CN"/>
        </w:rPr>
        <w:t>具备水利水电工程施工总承包三级及以上资质或公路工程施工总承包三级及以上资质，并在人员、设备、资金等方面具有相应施工能力；拟派驻项目经理须具备水利水电工程专业二级及以上或公路工程专业二级及以上注册建造师执业资格，持有有效的安全生产考核合格证书（B类），不接受有在建、已中标未开工或已列为其他项目中标（成交）候选人第一名的项目经理作为本项目的项目经理</w:t>
      </w:r>
      <w:r>
        <w:rPr>
          <w:rFonts w:hint="eastAsia" w:ascii="Times New Roman" w:hAnsi="Times New Roman" w:eastAsia="宋体" w:cs="Times New Roman"/>
          <w:color w:val="auto"/>
          <w:sz w:val="21"/>
          <w:szCs w:val="21"/>
          <w:highlight w:val="none"/>
        </w:rPr>
        <w:t>。</w:t>
      </w:r>
    </w:p>
    <w:p w14:paraId="160D07C5">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0404E438">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2026年6月22日起至2026年6月29日。</w:t>
      </w:r>
    </w:p>
    <w:p w14:paraId="2551662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1D1EE749">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7215054B">
      <w:pPr>
        <w:shd w:val="clear"/>
        <w:spacing w:line="360" w:lineRule="auto"/>
        <w:rPr>
          <w:rFonts w:hint="eastAsia"/>
          <w:b/>
          <w:bCs/>
          <w:color w:val="auto"/>
          <w:sz w:val="21"/>
          <w:szCs w:val="21"/>
          <w:highlight w:val="none"/>
        </w:rPr>
      </w:pPr>
      <w:bookmarkStart w:id="16" w:name="_Toc28359092"/>
      <w:bookmarkStart w:id="17" w:name="_Toc35393801"/>
      <w:bookmarkStart w:id="18" w:name="_Toc28359015"/>
      <w:bookmarkStart w:id="19" w:name="_Toc35393632"/>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B48DA5F">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2026年7月3日14时30分</w:t>
      </w:r>
      <w:r>
        <w:rPr>
          <w:rFonts w:hint="eastAsia"/>
          <w:color w:val="auto"/>
          <w:sz w:val="21"/>
          <w:szCs w:val="21"/>
          <w:highlight w:val="none"/>
        </w:rPr>
        <w:t>（北京时间）</w:t>
      </w:r>
    </w:p>
    <w:p w14:paraId="2C07D456">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7F09BFF5">
      <w:pPr>
        <w:numPr>
          <w:ilvl w:val="0"/>
          <w:numId w:val="0"/>
        </w:numPr>
        <w:shd w:val="clear"/>
        <w:spacing w:line="360" w:lineRule="auto"/>
        <w:rPr>
          <w:rFonts w:hint="eastAsia"/>
          <w:color w:val="auto"/>
          <w:sz w:val="21"/>
          <w:szCs w:val="21"/>
          <w:highlight w:val="none"/>
        </w:rPr>
      </w:pPr>
      <w:bookmarkStart w:id="20" w:name="_Toc28359093"/>
      <w:bookmarkStart w:id="21" w:name="_Toc35393802"/>
      <w:bookmarkStart w:id="22" w:name="_Toc28359016"/>
      <w:bookmarkStart w:id="23" w:name="_Toc35393633"/>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2026年7月3日14时30分</w:t>
      </w:r>
      <w:r>
        <w:rPr>
          <w:rFonts w:hint="eastAsia"/>
          <w:color w:val="auto"/>
          <w:sz w:val="21"/>
          <w:szCs w:val="21"/>
          <w:highlight w:val="none"/>
        </w:rPr>
        <w:t>（北京时间）</w:t>
      </w:r>
    </w:p>
    <w:p w14:paraId="38F51E03">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广西崇善项目咨询有限公司</w:t>
      </w:r>
      <w:r>
        <w:rPr>
          <w:rFonts w:hint="eastAsia" w:ascii="Times New Roman" w:hAnsi="Times New Roman" w:eastAsia="宋体" w:cs="Times New Roman"/>
          <w:color w:val="auto"/>
          <w:sz w:val="21"/>
          <w:szCs w:val="21"/>
          <w:highlight w:val="none"/>
        </w:rPr>
        <w:t>【</w:t>
      </w:r>
      <w:r>
        <w:rPr>
          <w:rFonts w:hint="eastAsia" w:ascii="宋体" w:hAnsi="宋体" w:cs="宋体"/>
          <w:color w:val="auto"/>
          <w:sz w:val="21"/>
          <w:szCs w:val="21"/>
          <w:highlight w:val="none"/>
          <w:lang w:eastAsia="zh-CN"/>
        </w:rPr>
        <w:t>崇左市江州区城南区新城路西段南侧（阳光名邸）第C4栋103号</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副会场在百色市右江区新兴路体育广场“恒升酒店”19楼</w:t>
      </w:r>
      <w:r>
        <w:rPr>
          <w:rFonts w:hint="eastAsia" w:ascii="宋体" w:hAnsi="宋体" w:cs="宋体"/>
          <w:color w:val="auto"/>
          <w:sz w:val="21"/>
          <w:szCs w:val="21"/>
          <w:highlight w:val="none"/>
          <w:lang w:eastAsia="zh-CN"/>
        </w:rPr>
        <w:t>。</w:t>
      </w:r>
    </w:p>
    <w:p w14:paraId="7AC640F2">
      <w:pPr>
        <w:shd w:val="clear"/>
        <w:spacing w:line="360" w:lineRule="auto"/>
        <w:rPr>
          <w:color w:val="auto"/>
          <w:sz w:val="21"/>
          <w:szCs w:val="21"/>
          <w:highlight w:val="none"/>
        </w:rPr>
      </w:pPr>
      <w:bookmarkStart w:id="24" w:name="_Toc28359094"/>
      <w:bookmarkStart w:id="25" w:name="_Toc35393803"/>
      <w:bookmarkStart w:id="26" w:name="_Toc35393634"/>
      <w:bookmarkStart w:id="27" w:name="_Toc28359017"/>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18140CCB">
      <w:pPr>
        <w:shd w:val="clear"/>
        <w:spacing w:line="360" w:lineRule="auto"/>
        <w:rPr>
          <w:rFonts w:hint="eastAsia"/>
          <w:b/>
          <w:bCs/>
          <w:color w:val="auto"/>
          <w:sz w:val="21"/>
          <w:szCs w:val="21"/>
          <w:highlight w:val="none"/>
        </w:rPr>
      </w:pPr>
      <w:bookmarkStart w:id="28" w:name="_Toc35393804"/>
      <w:bookmarkStart w:id="29" w:name="_Toc35393635"/>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36AD261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28359095"/>
      <w:bookmarkStart w:id="31" w:name="_Toc28359018"/>
      <w:bookmarkStart w:id="32" w:name="_Toc35393805"/>
      <w:bookmarkStart w:id="33" w:name="_Toc35393636"/>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7C3AB269">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ascii="宋体" w:hAnsi="宋体" w:cs="宋体"/>
          <w:color w:val="auto"/>
          <w:sz w:val="21"/>
          <w:szCs w:val="21"/>
          <w:highlight w:val="none"/>
        </w:rPr>
        <w:t>(www.creditchina.gov.cn)</w:t>
      </w:r>
      <w:r>
        <w:rPr>
          <w:rFonts w:hint="eastAsia" w:ascii="宋体" w:hAnsi="宋体" w:cs="宋体"/>
          <w:color w:val="auto"/>
          <w:sz w:val="21"/>
          <w:szCs w:val="21"/>
          <w:highlight w:val="none"/>
        </w:rPr>
        <w:t>、中国政府采购网</w:t>
      </w:r>
      <w:r>
        <w:rPr>
          <w:rFonts w:ascii="宋体" w:hAnsi="宋体" w:cs="宋体"/>
          <w:color w:val="auto"/>
          <w:sz w:val="21"/>
          <w:szCs w:val="21"/>
          <w:highlight w:val="none"/>
        </w:rPr>
        <w:t>(www.ccgp.gov.cn)</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1030FECD">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2AD15EB6">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p>
    <w:p w14:paraId="4FA06B62">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51674C8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19CD62E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74106AC1">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w:t>
      </w:r>
      <w:r>
        <w:rPr>
          <w:rFonts w:hint="eastAsia" w:ascii="宋体" w:hAnsi="宋体" w:cs="宋体"/>
          <w:color w:val="auto"/>
          <w:kern w:val="0"/>
          <w:sz w:val="21"/>
          <w:szCs w:val="21"/>
          <w:highlight w:val="none"/>
          <w:lang w:val="en-US" w:eastAsia="zh-CN"/>
        </w:rPr>
        <w:t>其</w:t>
      </w:r>
      <w:r>
        <w:rPr>
          <w:rFonts w:hint="eastAsia" w:ascii="宋体" w:hAnsi="宋体" w:eastAsia="宋体" w:cs="宋体"/>
          <w:color w:val="auto"/>
          <w:kern w:val="0"/>
          <w:sz w:val="21"/>
          <w:szCs w:val="21"/>
          <w:highlight w:val="none"/>
          <w:lang w:val="en-US" w:eastAsia="zh-CN"/>
        </w:rPr>
        <w:t>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5BA23830">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0" w:leftChars="0" w:firstLine="46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天等县</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电话：</w:t>
      </w:r>
      <w:r>
        <w:rPr>
          <w:rFonts w:hint="eastAsia" w:ascii="宋体" w:hAnsi="宋体" w:cs="宋体"/>
          <w:color w:val="auto"/>
          <w:sz w:val="21"/>
          <w:szCs w:val="21"/>
          <w:highlight w:val="none"/>
          <w:lang w:eastAsia="zh-CN"/>
        </w:rPr>
        <w:t>0771-3530890 </w:t>
      </w:r>
    </w:p>
    <w:p w14:paraId="0B1DA59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68E07A53">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8812_WPSOffice_Level1"/>
      <w:bookmarkStart w:id="35" w:name="_Toc2920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06F0754D">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天等县林业局</w:t>
      </w:r>
    </w:p>
    <w:p w14:paraId="5091439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地址：</w:t>
      </w:r>
      <w:r>
        <w:rPr>
          <w:rFonts w:hint="eastAsia" w:ascii="宋体" w:hAnsi="宋体" w:cs="宋体"/>
          <w:i w:val="0"/>
          <w:iCs w:val="0"/>
          <w:caps w:val="0"/>
          <w:color w:val="000000"/>
          <w:spacing w:val="0"/>
          <w:sz w:val="21"/>
          <w:szCs w:val="21"/>
          <w:highlight w:val="none"/>
          <w:lang w:eastAsia="zh-CN"/>
        </w:rPr>
        <w:t>天等县人民政府城南办公区</w:t>
      </w:r>
    </w:p>
    <w:p w14:paraId="728AF91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农其新</w:t>
      </w:r>
    </w:p>
    <w:p w14:paraId="0E098A56">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项目联系方式：</w:t>
      </w:r>
      <w:r>
        <w:rPr>
          <w:rFonts w:hint="eastAsia" w:ascii="宋体" w:hAnsi="宋体" w:cs="宋体"/>
          <w:i w:val="0"/>
          <w:iCs w:val="0"/>
          <w:caps w:val="0"/>
          <w:color w:val="000000"/>
          <w:spacing w:val="0"/>
          <w:sz w:val="21"/>
          <w:szCs w:val="21"/>
          <w:highlight w:val="none"/>
          <w:lang w:eastAsia="zh-CN"/>
        </w:rPr>
        <w:t>0771-3525290</w:t>
      </w:r>
    </w:p>
    <w:p w14:paraId="1382EE43">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2.采购代理机构信息</w:t>
      </w:r>
    </w:p>
    <w:p w14:paraId="5AE5143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bookmarkStart w:id="36" w:name="_Toc28359087"/>
      <w:bookmarkStart w:id="37" w:name="_Toc28359010"/>
      <w:r>
        <w:rPr>
          <w:rFonts w:hint="eastAsia" w:ascii="宋体" w:hAnsi="宋体" w:cs="宋体"/>
          <w:color w:val="auto"/>
          <w:sz w:val="21"/>
          <w:szCs w:val="21"/>
          <w:highlight w:val="none"/>
          <w:lang w:eastAsia="zh-CN"/>
        </w:rPr>
        <w:t>广西崇善项目咨询有限公司</w:t>
      </w:r>
    </w:p>
    <w:p w14:paraId="4DF29A14">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崇左市江州区城南区新城路西段南侧（阳光名邸）第C4栋103号房</w:t>
      </w:r>
    </w:p>
    <w:p w14:paraId="08DD3F4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5BFFD8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r>
        <w:rPr>
          <w:rFonts w:hint="eastAsia" w:ascii="宋体" w:hAnsi="宋体" w:eastAsia="宋体" w:cs="宋体"/>
          <w:color w:val="auto"/>
          <w:sz w:val="21"/>
          <w:szCs w:val="21"/>
          <w:highlight w:val="none"/>
          <w:lang w:eastAsia="zh-CN"/>
        </w:rPr>
        <w:t>　　　　　</w:t>
      </w:r>
    </w:p>
    <w:p w14:paraId="0CF9DD7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113981C1">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9DC9F0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p>
    <w:p w14:paraId="6F031ECE">
      <w:pPr>
        <w:pStyle w:val="31"/>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32E036F6">
      <w:pPr>
        <w:shd w:val="clear"/>
        <w:spacing w:line="360" w:lineRule="auto"/>
        <w:rPr>
          <w:rFonts w:ascii="宋体" w:hAnsi="宋体" w:cs="宋体"/>
          <w:color w:val="auto"/>
          <w:sz w:val="21"/>
          <w:szCs w:val="21"/>
          <w:highlight w:val="none"/>
        </w:rPr>
      </w:pPr>
      <w:r>
        <w:rPr>
          <w:rFonts w:hint="eastAsia"/>
          <w:color w:val="auto"/>
          <w:sz w:val="21"/>
          <w:szCs w:val="21"/>
          <w:highlight w:val="none"/>
        </w:rPr>
        <w:t>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天等县林业局</w:t>
      </w:r>
    </w:p>
    <w:p w14:paraId="3DAFC7EF">
      <w:pPr>
        <w:shd w:val="clear"/>
        <w:spacing w:line="360" w:lineRule="auto"/>
        <w:ind w:firstLine="4200" w:firstLineChars="20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广西崇善项目咨询有限公司</w:t>
      </w:r>
    </w:p>
    <w:p w14:paraId="3C18D4FB">
      <w:pPr>
        <w:shd w:val="clear"/>
        <w:spacing w:line="360" w:lineRule="auto"/>
        <w:ind w:firstLine="4200" w:firstLineChars="20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日期：2026年6月22日</w:t>
      </w:r>
    </w:p>
    <w:p w14:paraId="29884ABB">
      <w:pPr>
        <w:pStyle w:val="35"/>
        <w:shd w:val="clear"/>
        <w:rPr>
          <w:color w:val="auto"/>
          <w:highlight w:val="none"/>
        </w:rPr>
      </w:pPr>
    </w:p>
    <w:p w14:paraId="1F6F47B5">
      <w:pPr>
        <w:pStyle w:val="34"/>
        <w:shd w:val="clear"/>
        <w:rPr>
          <w:color w:val="auto"/>
          <w:highlight w:val="none"/>
        </w:rPr>
      </w:pPr>
    </w:p>
    <w:p w14:paraId="5DB09B42">
      <w:pPr>
        <w:pStyle w:val="35"/>
        <w:rPr>
          <w:color w:val="auto"/>
          <w:highlight w:val="none"/>
        </w:rPr>
      </w:pPr>
    </w:p>
    <w:p w14:paraId="7E712607">
      <w:pPr>
        <w:pStyle w:val="34"/>
        <w:rPr>
          <w:color w:val="auto"/>
          <w:highlight w:val="none"/>
        </w:rPr>
      </w:pPr>
    </w:p>
    <w:p w14:paraId="16ECB211">
      <w:pPr>
        <w:pStyle w:val="35"/>
        <w:rPr>
          <w:color w:val="auto"/>
          <w:highlight w:val="none"/>
        </w:rPr>
      </w:pPr>
    </w:p>
    <w:p w14:paraId="7AEC1D78">
      <w:pPr>
        <w:pStyle w:val="34"/>
        <w:rPr>
          <w:color w:val="auto"/>
          <w:highlight w:val="none"/>
        </w:rPr>
      </w:pPr>
    </w:p>
    <w:p w14:paraId="47F4CCCF">
      <w:pPr>
        <w:pStyle w:val="35"/>
        <w:rPr>
          <w:highlight w:val="none"/>
        </w:rPr>
      </w:pPr>
    </w:p>
    <w:p w14:paraId="1D22596E">
      <w:pPr>
        <w:pStyle w:val="34"/>
        <w:rPr>
          <w:highlight w:val="none"/>
        </w:rPr>
      </w:pPr>
    </w:p>
    <w:p w14:paraId="06D12C7B">
      <w:pPr>
        <w:pStyle w:val="35"/>
        <w:rPr>
          <w:highlight w:val="none"/>
        </w:rPr>
      </w:pPr>
    </w:p>
    <w:p w14:paraId="4089DA79">
      <w:pPr>
        <w:pStyle w:val="34"/>
        <w:rPr>
          <w:highlight w:val="none"/>
        </w:rPr>
      </w:pPr>
    </w:p>
    <w:p w14:paraId="20EA8DFA">
      <w:pPr>
        <w:pStyle w:val="35"/>
        <w:rPr>
          <w:highlight w:val="none"/>
        </w:rPr>
      </w:pPr>
    </w:p>
    <w:p w14:paraId="12816958">
      <w:pPr>
        <w:pStyle w:val="35"/>
        <w:rPr>
          <w:highlight w:val="none"/>
        </w:rPr>
      </w:pPr>
    </w:p>
    <w:p w14:paraId="0FE4319B">
      <w:pPr>
        <w:pStyle w:val="34"/>
        <w:rPr>
          <w:highlight w:val="none"/>
        </w:rPr>
      </w:pPr>
    </w:p>
    <w:p w14:paraId="6A0DD32E">
      <w:pPr>
        <w:pStyle w:val="34"/>
        <w:rPr>
          <w:color w:val="auto"/>
          <w:highlight w:val="none"/>
        </w:rPr>
      </w:pPr>
    </w:p>
    <w:p w14:paraId="3D410879">
      <w:pPr>
        <w:pStyle w:val="34"/>
        <w:rPr>
          <w:highlight w:val="none"/>
        </w:rPr>
      </w:pPr>
    </w:p>
    <w:p w14:paraId="1D33C113">
      <w:pPr>
        <w:pStyle w:val="34"/>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第二章供应商须知</w:t>
      </w:r>
      <w:bookmarkEnd w:id="39"/>
    </w:p>
    <w:p w14:paraId="3082594D">
      <w:pPr>
        <w:pStyle w:val="34"/>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447B48">
      <w:pPr>
        <w:pStyle w:val="34"/>
        <w:shd w:val="clear"/>
        <w:rPr>
          <w:color w:val="auto"/>
          <w:highlight w:val="none"/>
        </w:rPr>
      </w:pPr>
    </w:p>
    <w:tbl>
      <w:tblPr>
        <w:tblStyle w:val="24"/>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506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6D6057C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C75C95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52CABE2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AF3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0" w:hRule="exact"/>
          <w:jc w:val="center"/>
        </w:trPr>
        <w:tc>
          <w:tcPr>
            <w:tcW w:w="644" w:type="dxa"/>
            <w:vAlign w:val="center"/>
          </w:tcPr>
          <w:p w14:paraId="439098B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1B9CB56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项目</w:t>
            </w:r>
            <w:r>
              <w:rPr>
                <w:rFonts w:hint="eastAsia" w:ascii="宋体" w:hAnsi="宋体" w:cs="宋体"/>
                <w:b/>
                <w:bCs/>
                <w:color w:val="auto"/>
                <w:kern w:val="0"/>
                <w:sz w:val="21"/>
                <w:szCs w:val="21"/>
                <w:highlight w:val="none"/>
              </w:rPr>
              <w:t>名称及编号</w:t>
            </w:r>
          </w:p>
        </w:tc>
        <w:tc>
          <w:tcPr>
            <w:tcW w:w="6320" w:type="dxa"/>
            <w:gridSpan w:val="2"/>
            <w:vAlign w:val="center"/>
          </w:tcPr>
          <w:p w14:paraId="76E446E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项目名称：</w:t>
            </w:r>
            <w:r>
              <w:rPr>
                <w:rFonts w:hint="eastAsia" w:ascii="宋体" w:hAnsi="宋体" w:cs="宋体"/>
                <w:color w:val="auto"/>
                <w:sz w:val="21"/>
                <w:szCs w:val="21"/>
                <w:highlight w:val="none"/>
                <w:lang w:eastAsia="zh-CN"/>
              </w:rPr>
              <w:t>天等县龙茗镇益山村八角低产林改造县级示范项目；</w:t>
            </w:r>
          </w:p>
          <w:p w14:paraId="65B3A8D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color w:val="auto"/>
                <w:sz w:val="21"/>
                <w:szCs w:val="21"/>
                <w:highlight w:val="none"/>
                <w:lang w:val="en-US" w:eastAsia="zh-CN"/>
              </w:rPr>
              <w:t>项目编号：</w:t>
            </w:r>
            <w:r>
              <w:rPr>
                <w:rFonts w:hint="eastAsia" w:ascii="宋体" w:hAnsi="宋体" w:cs="宋体"/>
                <w:color w:val="auto"/>
                <w:sz w:val="21"/>
                <w:szCs w:val="21"/>
                <w:highlight w:val="none"/>
                <w:lang w:eastAsia="zh-CN"/>
              </w:rPr>
              <w:t>CZZC2026-C2-250096-GXCS</w:t>
            </w:r>
          </w:p>
        </w:tc>
      </w:tr>
      <w:tr w14:paraId="0B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D9DCF9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4F0FDF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0DC22B2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eastAsia="zh-CN"/>
              </w:rPr>
              <w:t>天等县龙茗镇益山村</w:t>
            </w:r>
          </w:p>
        </w:tc>
      </w:tr>
      <w:tr w14:paraId="4DA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44" w:type="dxa"/>
            <w:vAlign w:val="center"/>
          </w:tcPr>
          <w:p w14:paraId="24FA26A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2B8CCD1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76A261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cs="Times New Roman"/>
                <w:bCs w:val="0"/>
                <w:color w:val="auto"/>
                <w:spacing w:val="0"/>
                <w:sz w:val="21"/>
                <w:szCs w:val="21"/>
                <w:highlight w:val="none"/>
                <w:lang w:val="en-US" w:eastAsia="zh-CN" w:bidi="hi-IN"/>
              </w:rPr>
              <w:t>人民币壹佰贰拾柒万玖仟贰佰零壹元贰角捌分（¥1279201.28）</w:t>
            </w:r>
          </w:p>
        </w:tc>
      </w:tr>
      <w:tr w14:paraId="114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exact"/>
          <w:jc w:val="center"/>
        </w:trPr>
        <w:tc>
          <w:tcPr>
            <w:tcW w:w="644" w:type="dxa"/>
            <w:vAlign w:val="center"/>
          </w:tcPr>
          <w:p w14:paraId="585C994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2E5F01F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leftChars="0" w:right="0" w:rightChars="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22B8934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leftChars="0" w:right="0" w:rightChars="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包工包料</w:t>
            </w:r>
            <w:r>
              <w:rPr>
                <w:rFonts w:hint="eastAsia" w:ascii="宋体" w:hAnsi="宋体" w:cs="宋体"/>
                <w:bCs/>
                <w:color w:val="auto"/>
                <w:sz w:val="21"/>
                <w:szCs w:val="21"/>
                <w:highlight w:val="none"/>
                <w:lang w:eastAsia="zh-CN"/>
              </w:rPr>
              <w:t>（</w:t>
            </w:r>
            <w:r>
              <w:rPr>
                <w:rFonts w:hint="default" w:ascii="Segoe UI" w:hAnsi="Segoe UI" w:eastAsia="Segoe UI" w:cs="Segoe UI"/>
                <w:i w:val="0"/>
                <w:iCs w:val="0"/>
                <w:caps w:val="0"/>
                <w:color w:val="0F1115"/>
                <w:spacing w:val="0"/>
                <w:sz w:val="22"/>
                <w:szCs w:val="22"/>
                <w:highlight w:val="none"/>
                <w:shd w:val="clear" w:fill="FFFFFF"/>
              </w:rPr>
              <w:t>含工程所需全部材料、设备、劳务、机械、肥料、农药、无人机作业等</w:t>
            </w:r>
            <w:r>
              <w:rPr>
                <w:rFonts w:hint="eastAsia" w:ascii="宋体" w:hAnsi="宋体" w:cs="宋体"/>
                <w:bCs/>
                <w:color w:val="auto"/>
                <w:sz w:val="21"/>
                <w:szCs w:val="21"/>
                <w:highlight w:val="none"/>
                <w:lang w:eastAsia="zh-CN"/>
              </w:rPr>
              <w:t>）</w:t>
            </w:r>
          </w:p>
        </w:tc>
      </w:tr>
      <w:tr w14:paraId="4D1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4BB781A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18F8D4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03CD0C8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eastAsia="zh-CN"/>
              </w:rPr>
              <w:t>达到国家施工验收规范合格标准</w:t>
            </w:r>
          </w:p>
        </w:tc>
      </w:tr>
      <w:tr w14:paraId="5F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5" w:hRule="exact"/>
          <w:jc w:val="center"/>
        </w:trPr>
        <w:tc>
          <w:tcPr>
            <w:tcW w:w="644" w:type="dxa"/>
            <w:vAlign w:val="center"/>
          </w:tcPr>
          <w:p w14:paraId="295C687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55A2A7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3DB65B3">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color w:val="auto"/>
                <w:sz w:val="21"/>
                <w:szCs w:val="21"/>
                <w:highlight w:val="none"/>
                <w:lang w:eastAsia="zh-CN"/>
              </w:rPr>
              <w:t>天等县龙茗镇益山村八角低产林改造县级示范项目的建设内容包含：（1）八角低产林改造165亩、包含人工砍伐树木6600棵、除草及砍灌木林44000平方，砍树挖根91523棵，无人机飞播农药，施工期内施肥两次等。（2）新建配套生产道路两条，总长0.707km，新建两座涵管，工程具体建设内容以施工图纸及工程量清单为准</w:t>
            </w:r>
            <w:r>
              <w:rPr>
                <w:rFonts w:hint="eastAsia"/>
                <w:color w:val="auto"/>
                <w:sz w:val="21"/>
                <w:szCs w:val="21"/>
                <w:highlight w:val="none"/>
                <w:lang w:val="en-US" w:eastAsia="zh-CN"/>
              </w:rPr>
              <w:t>。</w:t>
            </w:r>
          </w:p>
        </w:tc>
      </w:tr>
      <w:tr w14:paraId="1C2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250061D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1C74208B">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70FC51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150日历天</w:t>
            </w:r>
          </w:p>
        </w:tc>
      </w:tr>
      <w:tr w14:paraId="35E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exact"/>
          <w:jc w:val="center"/>
        </w:trPr>
        <w:tc>
          <w:tcPr>
            <w:tcW w:w="644" w:type="dxa"/>
            <w:vAlign w:val="center"/>
          </w:tcPr>
          <w:p w14:paraId="62700B0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37C0705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3CB298B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天政函〔2025〕127号天等县人民政府关于同意2026年提前批中央和自治区财政衔接推进乡村振兴补助资金项目计划的批复</w:t>
            </w:r>
          </w:p>
        </w:tc>
      </w:tr>
      <w:tr w14:paraId="4976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5BCCD0F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70FA119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供应商</w:t>
            </w:r>
            <w:r>
              <w:rPr>
                <w:rFonts w:hint="eastAsia" w:ascii="宋体" w:hAnsi="宋体" w:cs="宋体"/>
                <w:b/>
                <w:bCs/>
                <w:color w:val="auto"/>
                <w:kern w:val="0"/>
                <w:sz w:val="21"/>
                <w:szCs w:val="21"/>
                <w:highlight w:val="none"/>
              </w:rPr>
              <w:t>资质</w:t>
            </w:r>
          </w:p>
          <w:p w14:paraId="5B0F144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7AC7A0B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644F6EA8">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本项目专门面向小微企业采购，预留份额100%</w:t>
            </w:r>
            <w:r>
              <w:rPr>
                <w:rFonts w:hint="eastAsia"/>
                <w:color w:val="auto"/>
                <w:sz w:val="21"/>
                <w:szCs w:val="21"/>
                <w:highlight w:val="none"/>
              </w:rPr>
              <w:t>。</w:t>
            </w:r>
          </w:p>
          <w:p w14:paraId="13CAFF6B">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cs="Times New Roman"/>
                <w:color w:val="auto"/>
                <w:sz w:val="21"/>
                <w:szCs w:val="21"/>
                <w:highlight w:val="none"/>
                <w:lang w:eastAsia="zh-CN"/>
              </w:rPr>
              <w:t>具备水利水电工程施工总承包三级及以上资质或公路工程施工总承包三级及以上资质，并在人员、设备、资金等方面具有相应施工能力；拟派驻项目经理须具备水利水电工程专业二级及以上或公路工程专业二级及以上注册建造师执业资格，持有有效的安全生产考核合格证书（B类），不接受有在建、已中标未开工或已列为其他项目中标（成交）候选人第一名的项目经理作为本项目的项目经理。</w:t>
            </w:r>
          </w:p>
        </w:tc>
      </w:tr>
      <w:tr w14:paraId="592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594FC3E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09B8860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54C397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4E79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712247B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2998E6D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7A61F6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eastAsia="宋体" w:cs="宋体"/>
                <w:bCs/>
                <w:color w:val="auto"/>
                <w:sz w:val="21"/>
                <w:szCs w:val="21"/>
                <w:highlight w:val="none"/>
                <w:lang w:val="en-US" w:eastAsia="zh-CN"/>
              </w:rPr>
            </w:pPr>
            <w:r>
              <w:rPr>
                <w:rFonts w:hint="default" w:ascii="Segoe UI" w:hAnsi="Segoe UI" w:eastAsia="Segoe UI" w:cs="Segoe UI"/>
                <w:i w:val="0"/>
                <w:iCs w:val="0"/>
                <w:caps w:val="0"/>
                <w:color w:val="0F1115"/>
                <w:spacing w:val="0"/>
                <w:sz w:val="21"/>
                <w:szCs w:val="21"/>
                <w:highlight w:val="none"/>
                <w:shd w:val="clear" w:fill="FFFFFF"/>
              </w:rPr>
              <w:t>工程量清单报价，其中安全生产责任险暂估价、材料暂估价、暂列金额为不可竞争费用，供应商必须按采购人提供的金额填报，不得修改或调整，否则响应文件按无效处理</w:t>
            </w:r>
            <w:r>
              <w:rPr>
                <w:rFonts w:hint="eastAsia" w:ascii="宋体" w:hAnsi="宋体" w:cs="宋体"/>
                <w:bCs/>
                <w:color w:val="auto"/>
                <w:sz w:val="21"/>
                <w:szCs w:val="21"/>
                <w:highlight w:val="none"/>
                <w:lang w:val="en-US" w:eastAsia="zh-CN"/>
              </w:rPr>
              <w:t>。</w:t>
            </w:r>
          </w:p>
        </w:tc>
      </w:tr>
      <w:tr w14:paraId="2B8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2FBFF95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6B2F3F2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7BDCF0C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191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7502865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287645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4D6A8CC">
            <w:pPr>
              <w:pStyle w:val="31"/>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60B1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82F583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32455E0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2938293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自行对工程现场及周围环境进行踏勘</w:t>
            </w:r>
          </w:p>
        </w:tc>
      </w:tr>
      <w:tr w14:paraId="725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3767DA3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2FAA3A3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4409CA1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要求及本竞争性磋商文件要求制作、加密并递交。</w:t>
            </w:r>
          </w:p>
          <w:p w14:paraId="3A02B93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项目采购-电子招投标操作指南中上传的电子响应文件格式，以DVD光盘或者U盘等形式提供。数量为1份。</w:t>
            </w:r>
          </w:p>
          <w:p w14:paraId="43FF6C1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5B16E0F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▲未传输递交电子响应文件的，竞标无效。</w:t>
            </w:r>
          </w:p>
          <w:p w14:paraId="71CA36B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▲未按规定</w:t>
            </w:r>
            <w:r>
              <w:rPr>
                <w:rFonts w:hint="eastAsia" w:ascii="宋体" w:hAnsi="宋体" w:cs="宋体"/>
                <w:color w:val="auto"/>
                <w:kern w:val="0"/>
                <w:sz w:val="21"/>
                <w:szCs w:val="21"/>
                <w:highlight w:val="none"/>
                <w:lang w:val="en-US" w:eastAsia="zh-CN" w:bidi="ar"/>
              </w:rPr>
              <w:t>及时</w:t>
            </w:r>
            <w:r>
              <w:rPr>
                <w:rFonts w:hint="eastAsia" w:ascii="宋体" w:hAnsi="宋体" w:eastAsia="宋体" w:cs="宋体"/>
                <w:color w:val="auto"/>
                <w:kern w:val="0"/>
                <w:sz w:val="21"/>
                <w:szCs w:val="21"/>
                <w:highlight w:val="none"/>
                <w:lang w:val="en-US" w:eastAsia="zh-CN" w:bidi="ar"/>
              </w:rPr>
              <w:t>提供相应的备份响应文件，造成项目开评标活动无法进行下去的，竞标无效。</w:t>
            </w:r>
          </w:p>
        </w:tc>
      </w:tr>
      <w:tr w14:paraId="44D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4E587FA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19C18C0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292FD1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560104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60CBDA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2026年7月3日14时30分</w:t>
            </w:r>
            <w:r>
              <w:rPr>
                <w:rFonts w:hint="eastAsia" w:ascii="宋体" w:hAnsi="宋体" w:cs="宋体"/>
                <w:color w:val="auto"/>
                <w:sz w:val="21"/>
                <w:szCs w:val="21"/>
                <w:highlight w:val="none"/>
              </w:rPr>
              <w:t>前</w:t>
            </w:r>
          </w:p>
        </w:tc>
      </w:tr>
      <w:tr w14:paraId="4CD5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0C3D72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3D43ED6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4F2E296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15EDBFF2">
            <w:pPr>
              <w:keepNext w:val="0"/>
              <w:keepLines w:val="0"/>
              <w:pageBreakBefore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w:t>
            </w:r>
            <w:r>
              <w:rPr>
                <w:rFonts w:hint="eastAsia" w:ascii="宋体" w:hAnsi="宋体" w:eastAsia="宋体" w:cs="宋体"/>
                <w:bCs/>
                <w:color w:val="auto"/>
                <w:spacing w:val="10"/>
                <w:sz w:val="21"/>
                <w:szCs w:val="21"/>
                <w:highlight w:val="none"/>
                <w:lang w:val="en-US" w:eastAsia="zh-CN" w:bidi="hi-IN"/>
              </w:rPr>
              <w:t>主会场在广西崇善项目咨询有限公司【崇左市江州区城南区新城路西段南侧（阳光名邸）第C4栋103号】通过广西政府采购云平台实行在线解密开启，副会场在</w:t>
            </w:r>
            <w:r>
              <w:rPr>
                <w:rFonts w:hint="eastAsia" w:ascii="宋体" w:hAnsi="宋体" w:cs="宋体"/>
                <w:bCs/>
                <w:color w:val="auto"/>
                <w:spacing w:val="10"/>
                <w:sz w:val="21"/>
                <w:szCs w:val="21"/>
                <w:highlight w:val="none"/>
                <w:lang w:val="en-US" w:eastAsia="zh-CN" w:bidi="hi-IN"/>
              </w:rPr>
              <w:t>百色市右江区新兴路体育广场“恒升酒店”19楼</w:t>
            </w:r>
            <w:r>
              <w:rPr>
                <w:rFonts w:hint="eastAsia" w:ascii="宋体" w:hAnsi="宋体" w:eastAsia="宋体" w:cs="宋体"/>
                <w:bCs/>
                <w:color w:val="auto"/>
                <w:spacing w:val="10"/>
                <w:sz w:val="21"/>
                <w:szCs w:val="21"/>
                <w:highlight w:val="none"/>
                <w:lang w:val="en-US" w:eastAsia="zh-CN" w:bidi="hi-IN"/>
              </w:rPr>
              <w:t>。</w:t>
            </w:r>
          </w:p>
          <w:p w14:paraId="3B8BB1F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2026年7月3日14时30分</w:t>
            </w:r>
            <w:r>
              <w:rPr>
                <w:rFonts w:hint="eastAsia"/>
                <w:color w:val="auto"/>
                <w:sz w:val="21"/>
                <w:szCs w:val="21"/>
                <w:highlight w:val="none"/>
                <w:lang w:eastAsia="zh-CN"/>
              </w:rPr>
              <w:t>后</w:t>
            </w:r>
          </w:p>
          <w:p w14:paraId="4E09DAE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电子响应文件解密时间：首次响应文件提交截止时间后30分钟内，供应商必须在此时间段内登录广西政府采购云平台，用“项目采购-开标评标”功能完成电子响应文件的解密。</w:t>
            </w:r>
            <w:r>
              <w:rPr>
                <w:rFonts w:hint="eastAsia" w:eastAsia="宋体" w:cs="Times New Roman"/>
                <w:color w:val="auto"/>
                <w:sz w:val="21"/>
                <w:szCs w:val="21"/>
                <w:highlight w:val="none"/>
                <w:lang w:val="en-US" w:eastAsia="zh-CN"/>
              </w:rPr>
              <w:t>若竞标供应商在规定时间内未按时解密的，视为响应文件撤回。</w:t>
            </w:r>
          </w:p>
          <w:p w14:paraId="1A7685B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61E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0AEDE6F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0B19B67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04B4827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654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66BC3A6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B3B985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320F5CC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w:t>
            </w:r>
            <w:r>
              <w:rPr>
                <w:rFonts w:hint="eastAsia" w:ascii="宋体" w:hAnsi="宋体" w:cs="宋体"/>
                <w:b/>
                <w:color w:val="auto"/>
                <w:kern w:val="0"/>
                <w:sz w:val="21"/>
                <w:szCs w:val="21"/>
                <w:highlight w:val="none"/>
                <w:lang w:val="en-US" w:eastAsia="zh-CN"/>
              </w:rPr>
              <w:t>证</w:t>
            </w:r>
            <w:r>
              <w:rPr>
                <w:rFonts w:hint="eastAsia" w:ascii="宋体" w:hAnsi="宋体" w:cs="宋体"/>
                <w:b/>
                <w:color w:val="auto"/>
                <w:kern w:val="0"/>
                <w:sz w:val="21"/>
                <w:szCs w:val="21"/>
                <w:highlight w:val="none"/>
              </w:rPr>
              <w:t>金</w:t>
            </w:r>
          </w:p>
        </w:tc>
        <w:tc>
          <w:tcPr>
            <w:tcW w:w="6309" w:type="dxa"/>
            <w:vAlign w:val="center"/>
          </w:tcPr>
          <w:p w14:paraId="4EABE9D0">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51D9A6A5">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工资保证金按工程建设项目施工合同额(或年度合同额)的比例存储，工资保证金存储比例为1%</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农民工工资保证金按工程建设项目施工合同额(或年度合同额)的比例存储，工资保证金存储比例为1%，本项目执行农民工工资保证金管理制度，按照桂人社规〔2025〕8号《广西壮族自治区工程建设领域农民工工资保证金规定实施办法》的通知要求执行。</w:t>
            </w:r>
          </w:p>
        </w:tc>
      </w:tr>
      <w:tr w14:paraId="6BA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51" w:hRule="atLeast"/>
          <w:jc w:val="center"/>
        </w:trPr>
        <w:tc>
          <w:tcPr>
            <w:tcW w:w="644" w:type="dxa"/>
            <w:vAlign w:val="center"/>
          </w:tcPr>
          <w:p w14:paraId="061AF0F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37C465B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68123FA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7BF7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12257C6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4A19417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26CF286E">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7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8" w:hRule="atLeast"/>
          <w:jc w:val="center"/>
        </w:trPr>
        <w:tc>
          <w:tcPr>
            <w:tcW w:w="644" w:type="dxa"/>
            <w:vAlign w:val="center"/>
          </w:tcPr>
          <w:p w14:paraId="5913133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4C4CF7D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0A52E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default" w:ascii="宋体" w:hAnsi="宋体" w:eastAsia="宋体" w:cs="宋体"/>
                <w:b w:val="0"/>
                <w:bCs w:val="0"/>
                <w:color w:val="000000"/>
                <w:kern w:val="0"/>
                <w:sz w:val="21"/>
                <w:szCs w:val="21"/>
                <w:highlight w:val="none"/>
                <w:lang w:val="en-US" w:eastAsia="zh-CN" w:bidi="ar"/>
              </w:rPr>
            </w:pPr>
            <w:r>
              <w:rPr>
                <w:rFonts w:hint="default" w:ascii="宋体" w:hAnsi="宋体" w:eastAsia="宋体" w:cs="宋体"/>
                <w:b w:val="0"/>
                <w:bCs w:val="0"/>
                <w:color w:val="000000"/>
                <w:kern w:val="0"/>
                <w:sz w:val="21"/>
                <w:szCs w:val="21"/>
                <w:highlight w:val="none"/>
                <w:lang w:val="en-US" w:eastAsia="zh-CN" w:bidi="ar"/>
              </w:rPr>
              <w:t>本项目采购代理服务费</w:t>
            </w:r>
            <w:r>
              <w:rPr>
                <w:rFonts w:hint="eastAsia" w:ascii="宋体" w:hAnsi="宋体" w:eastAsia="宋体" w:cs="宋体"/>
                <w:b w:val="0"/>
                <w:bCs w:val="0"/>
                <w:color w:val="000000"/>
                <w:kern w:val="0"/>
                <w:sz w:val="21"/>
                <w:szCs w:val="21"/>
                <w:highlight w:val="none"/>
                <w:lang w:val="en-US" w:eastAsia="zh-CN" w:bidi="ar"/>
              </w:rPr>
              <w:t>根据《关于进一步放开建设项目专业服务价格的通知》（发改价格〔2015〕299号）</w:t>
            </w:r>
            <w:r>
              <w:rPr>
                <w:rFonts w:hint="default" w:ascii="宋体" w:hAnsi="宋体" w:eastAsia="宋体" w:cs="宋体"/>
                <w:b w:val="0"/>
                <w:bCs w:val="0"/>
                <w:color w:val="000000"/>
                <w:kern w:val="0"/>
                <w:sz w:val="21"/>
                <w:szCs w:val="21"/>
                <w:highlight w:val="none"/>
                <w:lang w:val="en-US" w:eastAsia="zh-CN" w:bidi="ar"/>
              </w:rPr>
              <w:t>规定实行市场调节价，由委托人与代理机构</w:t>
            </w:r>
            <w:r>
              <w:rPr>
                <w:rFonts w:hint="eastAsia" w:ascii="宋体" w:hAnsi="宋体" w:eastAsia="宋体" w:cs="宋体"/>
                <w:b w:val="0"/>
                <w:bCs w:val="0"/>
                <w:color w:val="000000"/>
                <w:kern w:val="0"/>
                <w:sz w:val="21"/>
                <w:szCs w:val="21"/>
                <w:highlight w:val="none"/>
                <w:lang w:val="en-US" w:eastAsia="zh-CN" w:bidi="ar"/>
              </w:rPr>
              <w:t>双方</w:t>
            </w:r>
            <w:r>
              <w:rPr>
                <w:rFonts w:hint="default" w:ascii="宋体" w:hAnsi="宋体" w:eastAsia="宋体" w:cs="宋体"/>
                <w:b w:val="0"/>
                <w:bCs w:val="0"/>
                <w:color w:val="000000"/>
                <w:kern w:val="0"/>
                <w:sz w:val="21"/>
                <w:szCs w:val="21"/>
                <w:highlight w:val="none"/>
                <w:lang w:val="en-US" w:eastAsia="zh-CN" w:bidi="ar"/>
              </w:rPr>
              <w:t>协商确定，参照行业通行差额定率累进计费方式设定基准分档费率；按差额定率分档累进计算实际金额全额计取。</w:t>
            </w:r>
          </w:p>
          <w:p w14:paraId="03F283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default"/>
                <w:b w:val="0"/>
                <w:bCs w:val="0"/>
                <w:color w:val="000000"/>
                <w:sz w:val="21"/>
                <w:szCs w:val="21"/>
                <w:highlight w:val="none"/>
              </w:rPr>
            </w:pPr>
            <w:r>
              <w:rPr>
                <w:rFonts w:hint="eastAsia"/>
                <w:b w:val="0"/>
                <w:bCs w:val="0"/>
                <w:color w:val="000000"/>
                <w:sz w:val="21"/>
                <w:szCs w:val="21"/>
                <w:highlight w:val="none"/>
                <w:lang w:val="en-US" w:eastAsia="zh-CN"/>
              </w:rPr>
              <w:t>附：</w:t>
            </w:r>
            <w:r>
              <w:rPr>
                <w:rFonts w:hint="default"/>
                <w:b w:val="0"/>
                <w:bCs w:val="0"/>
                <w:color w:val="000000"/>
                <w:sz w:val="21"/>
                <w:szCs w:val="21"/>
                <w:highlight w:val="none"/>
              </w:rPr>
              <w:t>代理服务费收费计算标准</w:t>
            </w:r>
            <w:r>
              <w:rPr>
                <w:rFonts w:hint="default" w:ascii="宋体" w:hAnsi="宋体" w:eastAsia="宋体" w:cs="宋体"/>
                <w:b w:val="0"/>
                <w:bCs w:val="0"/>
                <w:color w:val="000000"/>
                <w:kern w:val="0"/>
                <w:sz w:val="21"/>
                <w:szCs w:val="21"/>
                <w:highlight w:val="none"/>
                <w:lang w:val="en-US" w:eastAsia="zh-CN" w:bidi="ar"/>
              </w:rPr>
              <w:t>表格</w:t>
            </w:r>
          </w:p>
          <w:tbl>
            <w:tblPr>
              <w:tblStyle w:val="24"/>
              <w:tblW w:w="48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54"/>
              <w:gridCol w:w="1379"/>
              <w:gridCol w:w="1424"/>
              <w:gridCol w:w="1523"/>
            </w:tblGrid>
            <w:tr w14:paraId="79C9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7" w:hRule="atLeast"/>
                <w:tblHeader/>
                <w:jc w:val="center"/>
              </w:trPr>
              <w:tc>
                <w:tcPr>
                  <w:tcW w:w="1754" w:type="dxa"/>
                  <w:shd w:val="clear" w:color="auto" w:fill="auto"/>
                  <w:tcMar>
                    <w:top w:w="120" w:type="dxa"/>
                    <w:left w:w="120" w:type="dxa"/>
                    <w:bottom w:w="120" w:type="dxa"/>
                    <w:right w:w="120" w:type="dxa"/>
                  </w:tcMar>
                  <w:vAlign w:val="center"/>
                </w:tcPr>
                <w:p w14:paraId="334CA85A">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区间</w:t>
                  </w:r>
                  <w:r>
                    <w:rPr>
                      <w:rFonts w:hint="eastAsia" w:ascii="宋体" w:hAnsi="宋体" w:eastAsia="宋体" w:cs="宋体"/>
                      <w:b w:val="0"/>
                      <w:bCs w:val="0"/>
                      <w:kern w:val="0"/>
                      <w:sz w:val="21"/>
                      <w:szCs w:val="21"/>
                      <w:highlight w:val="none"/>
                      <w:lang w:val="en-US" w:eastAsia="zh-CN" w:bidi="ar"/>
                    </w:rPr>
                    <w:t>金额</w:t>
                  </w:r>
                </w:p>
              </w:tc>
              <w:tc>
                <w:tcPr>
                  <w:tcW w:w="1379" w:type="dxa"/>
                  <w:shd w:val="clear" w:color="auto" w:fill="auto"/>
                  <w:tcMar>
                    <w:top w:w="120" w:type="dxa"/>
                    <w:left w:w="120" w:type="dxa"/>
                    <w:bottom w:w="120" w:type="dxa"/>
                    <w:right w:w="120" w:type="dxa"/>
                  </w:tcMar>
                  <w:vAlign w:val="center"/>
                </w:tcPr>
                <w:p w14:paraId="4E32165C">
                  <w:pPr>
                    <w:keepNext w:val="0"/>
                    <w:keepLines w:val="0"/>
                    <w:widowControl/>
                    <w:suppressLineNumbers w:val="0"/>
                    <w:spacing w:before="0" w:beforeAutospacing="0" w:after="0" w:afterAutospacing="0"/>
                    <w:ind w:left="0" w:right="0"/>
                    <w:jc w:val="center"/>
                    <w:rPr>
                      <w:rFonts w:hint="default"/>
                      <w:b w:val="0"/>
                      <w:bCs w:val="0"/>
                      <w:sz w:val="21"/>
                      <w:szCs w:val="21"/>
                      <w:highlight w:val="none"/>
                      <w:lang w:val="en-US"/>
                    </w:rPr>
                  </w:pPr>
                  <w:r>
                    <w:rPr>
                      <w:rFonts w:hint="default" w:ascii="宋体" w:hAnsi="宋体" w:eastAsia="宋体" w:cs="宋体"/>
                      <w:b w:val="0"/>
                      <w:bCs w:val="0"/>
                      <w:kern w:val="0"/>
                      <w:sz w:val="21"/>
                      <w:szCs w:val="21"/>
                      <w:highlight w:val="none"/>
                      <w:lang w:val="en-US" w:eastAsia="zh-CN" w:bidi="ar"/>
                    </w:rPr>
                    <w:t>工程</w:t>
                  </w:r>
                  <w:r>
                    <w:rPr>
                      <w:rFonts w:hint="eastAsia" w:ascii="宋体" w:hAnsi="宋体" w:eastAsia="宋体" w:cs="宋体"/>
                      <w:b w:val="0"/>
                      <w:bCs w:val="0"/>
                      <w:kern w:val="0"/>
                      <w:sz w:val="21"/>
                      <w:szCs w:val="21"/>
                      <w:highlight w:val="none"/>
                      <w:lang w:val="en-US" w:eastAsia="zh-CN" w:bidi="ar"/>
                    </w:rPr>
                    <w:t>类基准费率</w:t>
                  </w:r>
                </w:p>
              </w:tc>
              <w:tc>
                <w:tcPr>
                  <w:tcW w:w="1424" w:type="dxa"/>
                  <w:shd w:val="clear" w:color="auto" w:fill="auto"/>
                  <w:tcMar>
                    <w:top w:w="120" w:type="dxa"/>
                    <w:left w:w="120" w:type="dxa"/>
                    <w:bottom w:w="120" w:type="dxa"/>
                    <w:right w:w="120" w:type="dxa"/>
                  </w:tcMar>
                  <w:vAlign w:val="center"/>
                </w:tcPr>
                <w:p w14:paraId="7D73800F">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highlight w:val="none"/>
                      <w:lang w:val="en-US" w:eastAsia="zh-CN" w:bidi="ar"/>
                    </w:rPr>
                  </w:pPr>
                  <w:r>
                    <w:rPr>
                      <w:rFonts w:hint="default" w:ascii="宋体" w:hAnsi="宋体" w:eastAsia="宋体" w:cs="宋体"/>
                      <w:b w:val="0"/>
                      <w:bCs w:val="0"/>
                      <w:kern w:val="0"/>
                      <w:sz w:val="21"/>
                      <w:szCs w:val="21"/>
                      <w:highlight w:val="none"/>
                      <w:lang w:val="en-US" w:eastAsia="zh-CN" w:bidi="ar"/>
                    </w:rPr>
                    <w:t>货物</w:t>
                  </w:r>
                  <w:r>
                    <w:rPr>
                      <w:rFonts w:hint="eastAsia" w:ascii="宋体" w:hAnsi="宋体" w:eastAsia="宋体" w:cs="宋体"/>
                      <w:b w:val="0"/>
                      <w:bCs w:val="0"/>
                      <w:kern w:val="0"/>
                      <w:sz w:val="21"/>
                      <w:szCs w:val="21"/>
                      <w:highlight w:val="none"/>
                      <w:lang w:val="en-US" w:eastAsia="zh-CN" w:bidi="ar"/>
                    </w:rPr>
                    <w:t>类基准费率</w:t>
                  </w:r>
                </w:p>
              </w:tc>
              <w:tc>
                <w:tcPr>
                  <w:tcW w:w="1523" w:type="dxa"/>
                  <w:shd w:val="clear" w:color="auto" w:fill="auto"/>
                  <w:tcMar>
                    <w:top w:w="120" w:type="dxa"/>
                    <w:left w:w="120" w:type="dxa"/>
                    <w:bottom w:w="120" w:type="dxa"/>
                    <w:right w:w="120" w:type="dxa"/>
                  </w:tcMar>
                  <w:vAlign w:val="center"/>
                </w:tcPr>
                <w:p w14:paraId="28F3D65F">
                  <w:pPr>
                    <w:keepNext w:val="0"/>
                    <w:keepLines w:val="0"/>
                    <w:widowControl/>
                    <w:suppressLineNumbers w:val="0"/>
                    <w:spacing w:before="0" w:beforeAutospacing="0" w:after="0" w:afterAutospacing="0"/>
                    <w:ind w:left="0" w:right="0"/>
                    <w:jc w:val="center"/>
                    <w:rPr>
                      <w:rFonts w:hint="default" w:ascii="宋体" w:hAnsi="宋体" w:eastAsia="宋体" w:cs="宋体"/>
                      <w:b w:val="0"/>
                      <w:bCs w:val="0"/>
                      <w:kern w:val="0"/>
                      <w:sz w:val="21"/>
                      <w:szCs w:val="21"/>
                      <w:highlight w:val="none"/>
                      <w:lang w:val="en-US" w:eastAsia="zh-CN" w:bidi="ar"/>
                    </w:rPr>
                  </w:pPr>
                  <w:r>
                    <w:rPr>
                      <w:rFonts w:hint="default" w:ascii="宋体" w:hAnsi="宋体" w:eastAsia="宋体" w:cs="宋体"/>
                      <w:b w:val="0"/>
                      <w:bCs w:val="0"/>
                      <w:kern w:val="0"/>
                      <w:sz w:val="21"/>
                      <w:szCs w:val="21"/>
                      <w:highlight w:val="none"/>
                      <w:lang w:val="en-US" w:eastAsia="zh-CN" w:bidi="ar"/>
                    </w:rPr>
                    <w:t>服务</w:t>
                  </w:r>
                  <w:r>
                    <w:rPr>
                      <w:rFonts w:hint="eastAsia" w:ascii="宋体" w:hAnsi="宋体" w:eastAsia="宋体" w:cs="宋体"/>
                      <w:b w:val="0"/>
                      <w:bCs w:val="0"/>
                      <w:kern w:val="0"/>
                      <w:sz w:val="21"/>
                      <w:szCs w:val="21"/>
                      <w:highlight w:val="none"/>
                      <w:lang w:val="en-US" w:eastAsia="zh-CN" w:bidi="ar"/>
                    </w:rPr>
                    <w:t>类基准费率</w:t>
                  </w:r>
                </w:p>
              </w:tc>
            </w:tr>
            <w:tr w14:paraId="783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0884E6A">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 万元以下</w:t>
                  </w:r>
                </w:p>
              </w:tc>
              <w:tc>
                <w:tcPr>
                  <w:tcW w:w="1379" w:type="dxa"/>
                  <w:shd w:val="clear" w:color="auto" w:fill="auto"/>
                  <w:tcMar>
                    <w:top w:w="120" w:type="dxa"/>
                    <w:left w:w="120" w:type="dxa"/>
                    <w:bottom w:w="120" w:type="dxa"/>
                    <w:right w:w="120" w:type="dxa"/>
                  </w:tcMar>
                  <w:vAlign w:val="center"/>
                </w:tcPr>
                <w:p w14:paraId="65F87DCB">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1.00%</w:t>
                  </w:r>
                </w:p>
              </w:tc>
              <w:tc>
                <w:tcPr>
                  <w:tcW w:w="1424" w:type="dxa"/>
                  <w:shd w:val="clear" w:color="auto" w:fill="auto"/>
                  <w:tcMar>
                    <w:top w:w="120" w:type="dxa"/>
                    <w:left w:w="120" w:type="dxa"/>
                    <w:bottom w:w="120" w:type="dxa"/>
                    <w:right w:w="120" w:type="dxa"/>
                  </w:tcMar>
                  <w:vAlign w:val="center"/>
                </w:tcPr>
                <w:p w14:paraId="6E766BDF">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1.50%</w:t>
                  </w:r>
                </w:p>
              </w:tc>
              <w:tc>
                <w:tcPr>
                  <w:tcW w:w="1523" w:type="dxa"/>
                  <w:shd w:val="clear" w:color="auto" w:fill="auto"/>
                  <w:tcMar>
                    <w:top w:w="120" w:type="dxa"/>
                    <w:left w:w="120" w:type="dxa"/>
                    <w:bottom w:w="120" w:type="dxa"/>
                    <w:right w:w="120" w:type="dxa"/>
                  </w:tcMar>
                  <w:vAlign w:val="center"/>
                </w:tcPr>
                <w:p w14:paraId="69211CA7">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1.50%</w:t>
                  </w:r>
                </w:p>
              </w:tc>
            </w:tr>
            <w:tr w14:paraId="1FD8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44EBE375">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100～500 万元</w:t>
                  </w:r>
                </w:p>
              </w:tc>
              <w:tc>
                <w:tcPr>
                  <w:tcW w:w="1379" w:type="dxa"/>
                  <w:shd w:val="clear" w:color="auto" w:fill="auto"/>
                  <w:tcMar>
                    <w:top w:w="120" w:type="dxa"/>
                    <w:left w:w="120" w:type="dxa"/>
                    <w:bottom w:w="120" w:type="dxa"/>
                    <w:right w:w="120" w:type="dxa"/>
                  </w:tcMar>
                  <w:vAlign w:val="center"/>
                </w:tcPr>
                <w:p w14:paraId="59F985A2">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0.70%</w:t>
                  </w:r>
                </w:p>
              </w:tc>
              <w:tc>
                <w:tcPr>
                  <w:tcW w:w="1424" w:type="dxa"/>
                  <w:shd w:val="clear" w:color="auto" w:fill="auto"/>
                  <w:tcMar>
                    <w:top w:w="120" w:type="dxa"/>
                    <w:left w:w="120" w:type="dxa"/>
                    <w:bottom w:w="120" w:type="dxa"/>
                    <w:right w:w="120" w:type="dxa"/>
                  </w:tcMar>
                  <w:vAlign w:val="center"/>
                </w:tcPr>
                <w:p w14:paraId="5F66FA8C">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1.10%</w:t>
                  </w:r>
                </w:p>
              </w:tc>
              <w:tc>
                <w:tcPr>
                  <w:tcW w:w="1523" w:type="dxa"/>
                  <w:shd w:val="clear" w:color="auto" w:fill="auto"/>
                  <w:tcMar>
                    <w:top w:w="120" w:type="dxa"/>
                    <w:left w:w="120" w:type="dxa"/>
                    <w:bottom w:w="120" w:type="dxa"/>
                    <w:right w:w="120" w:type="dxa"/>
                  </w:tcMar>
                  <w:vAlign w:val="center"/>
                </w:tcPr>
                <w:p w14:paraId="169499C5">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0.80%</w:t>
                  </w:r>
                </w:p>
              </w:tc>
            </w:tr>
            <w:tr w14:paraId="0586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67E24F21">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500～1000 万元</w:t>
                  </w:r>
                </w:p>
              </w:tc>
              <w:tc>
                <w:tcPr>
                  <w:tcW w:w="1379" w:type="dxa"/>
                  <w:shd w:val="clear" w:color="auto" w:fill="auto"/>
                  <w:tcMar>
                    <w:top w:w="120" w:type="dxa"/>
                    <w:left w:w="120" w:type="dxa"/>
                    <w:bottom w:w="120" w:type="dxa"/>
                    <w:right w:w="120" w:type="dxa"/>
                  </w:tcMar>
                  <w:vAlign w:val="center"/>
                </w:tcPr>
                <w:p w14:paraId="53E25916">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0.55%</w:t>
                  </w:r>
                </w:p>
              </w:tc>
              <w:tc>
                <w:tcPr>
                  <w:tcW w:w="1424" w:type="dxa"/>
                  <w:shd w:val="clear" w:color="auto" w:fill="auto"/>
                  <w:tcMar>
                    <w:top w:w="120" w:type="dxa"/>
                    <w:left w:w="120" w:type="dxa"/>
                    <w:bottom w:w="120" w:type="dxa"/>
                    <w:right w:w="120" w:type="dxa"/>
                  </w:tcMar>
                  <w:vAlign w:val="center"/>
                </w:tcPr>
                <w:p w14:paraId="0BC6D99E">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0.80%</w:t>
                  </w:r>
                </w:p>
              </w:tc>
              <w:tc>
                <w:tcPr>
                  <w:tcW w:w="1523" w:type="dxa"/>
                  <w:shd w:val="clear" w:color="auto" w:fill="auto"/>
                  <w:tcMar>
                    <w:top w:w="120" w:type="dxa"/>
                    <w:left w:w="120" w:type="dxa"/>
                    <w:bottom w:w="120" w:type="dxa"/>
                    <w:right w:w="120" w:type="dxa"/>
                  </w:tcMar>
                  <w:vAlign w:val="center"/>
                </w:tcPr>
                <w:p w14:paraId="334DC17A">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0.45%</w:t>
                  </w:r>
                </w:p>
              </w:tc>
            </w:tr>
            <w:tr w14:paraId="7E87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754" w:type="dxa"/>
                  <w:shd w:val="clear" w:color="auto" w:fill="auto"/>
                  <w:tcMar>
                    <w:top w:w="120" w:type="dxa"/>
                    <w:left w:w="120" w:type="dxa"/>
                    <w:bottom w:w="120" w:type="dxa"/>
                    <w:right w:w="120" w:type="dxa"/>
                  </w:tcMar>
                  <w:vAlign w:val="center"/>
                </w:tcPr>
                <w:p w14:paraId="54BE0B61">
                  <w:pPr>
                    <w:keepNext w:val="0"/>
                    <w:keepLines w:val="0"/>
                    <w:widowControl/>
                    <w:suppressLineNumbers w:val="0"/>
                    <w:spacing w:before="0" w:beforeAutospacing="0" w:after="0" w:afterAutospacing="0" w:line="360" w:lineRule="auto"/>
                    <w:ind w:left="0" w:leftChars="0" w:right="0" w:rightChars="0"/>
                    <w:jc w:val="center"/>
                    <w:rPr>
                      <w:rFonts w:hint="default"/>
                      <w:b w:val="0"/>
                      <w:bCs w:val="0"/>
                      <w:sz w:val="21"/>
                      <w:szCs w:val="21"/>
                      <w:highlight w:val="none"/>
                    </w:rPr>
                  </w:pPr>
                  <w:r>
                    <w:rPr>
                      <w:rFonts w:hint="default" w:ascii="宋体" w:hAnsi="宋体" w:eastAsia="宋体" w:cs="宋体"/>
                      <w:b w:val="0"/>
                      <w:bCs w:val="0"/>
                      <w:i w:val="0"/>
                      <w:color w:val="auto"/>
                      <w:kern w:val="0"/>
                      <w:sz w:val="21"/>
                      <w:szCs w:val="21"/>
                      <w:highlight w:val="none"/>
                      <w:lang w:val="en-US" w:eastAsia="zh-CN" w:bidi="ar"/>
                    </w:rPr>
                    <w:t>1000～5000万元</w:t>
                  </w:r>
                </w:p>
              </w:tc>
              <w:tc>
                <w:tcPr>
                  <w:tcW w:w="1379" w:type="dxa"/>
                  <w:shd w:val="clear" w:color="auto" w:fill="auto"/>
                  <w:tcMar>
                    <w:top w:w="120" w:type="dxa"/>
                    <w:left w:w="120" w:type="dxa"/>
                    <w:bottom w:w="120" w:type="dxa"/>
                    <w:right w:w="120" w:type="dxa"/>
                  </w:tcMar>
                  <w:vAlign w:val="center"/>
                </w:tcPr>
                <w:p w14:paraId="02E198A6">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0.35%</w:t>
                  </w:r>
                </w:p>
              </w:tc>
              <w:tc>
                <w:tcPr>
                  <w:tcW w:w="1424" w:type="dxa"/>
                  <w:shd w:val="clear" w:color="auto" w:fill="auto"/>
                  <w:tcMar>
                    <w:top w:w="120" w:type="dxa"/>
                    <w:left w:w="120" w:type="dxa"/>
                    <w:bottom w:w="120" w:type="dxa"/>
                    <w:right w:w="120" w:type="dxa"/>
                  </w:tcMar>
                  <w:vAlign w:val="center"/>
                </w:tcPr>
                <w:p w14:paraId="0181C0A8">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0.50%</w:t>
                  </w:r>
                </w:p>
              </w:tc>
              <w:tc>
                <w:tcPr>
                  <w:tcW w:w="1523" w:type="dxa"/>
                  <w:shd w:val="clear" w:color="auto" w:fill="auto"/>
                  <w:tcMar>
                    <w:top w:w="120" w:type="dxa"/>
                    <w:left w:w="120" w:type="dxa"/>
                    <w:bottom w:w="120" w:type="dxa"/>
                    <w:right w:w="120" w:type="dxa"/>
                  </w:tcMar>
                  <w:vAlign w:val="center"/>
                </w:tcPr>
                <w:p w14:paraId="0693A19C">
                  <w:pPr>
                    <w:keepNext w:val="0"/>
                    <w:keepLines w:val="0"/>
                    <w:widowControl/>
                    <w:suppressLineNumbers w:val="0"/>
                    <w:spacing w:before="0" w:beforeAutospacing="0" w:after="0" w:afterAutospacing="0"/>
                    <w:ind w:left="0" w:right="0"/>
                    <w:jc w:val="center"/>
                    <w:rPr>
                      <w:rFonts w:hint="default"/>
                      <w:b w:val="0"/>
                      <w:bCs w:val="0"/>
                      <w:sz w:val="21"/>
                      <w:szCs w:val="21"/>
                      <w:highlight w:val="none"/>
                    </w:rPr>
                  </w:pPr>
                  <w:r>
                    <w:rPr>
                      <w:rFonts w:hint="default" w:ascii="宋体" w:hAnsi="宋体" w:eastAsia="宋体" w:cs="宋体"/>
                      <w:b w:val="0"/>
                      <w:bCs w:val="0"/>
                      <w:kern w:val="0"/>
                      <w:sz w:val="21"/>
                      <w:szCs w:val="21"/>
                      <w:highlight w:val="none"/>
                      <w:lang w:val="en-US" w:eastAsia="zh-CN" w:bidi="ar"/>
                    </w:rPr>
                    <w:t>0.25%</w:t>
                  </w:r>
                </w:p>
              </w:tc>
            </w:tr>
          </w:tbl>
          <w:p w14:paraId="6112346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说明：</w:t>
            </w:r>
            <w:r>
              <w:rPr>
                <w:rFonts w:hint="default" w:ascii="Segoe UI" w:hAnsi="Segoe UI" w:eastAsia="Segoe UI" w:cs="Segoe UI"/>
                <w:b w:val="0"/>
                <w:bCs w:val="0"/>
                <w:i w:val="0"/>
                <w:iCs w:val="0"/>
                <w:caps w:val="0"/>
                <w:color w:val="0F1115"/>
                <w:spacing w:val="0"/>
                <w:sz w:val="21"/>
                <w:szCs w:val="21"/>
                <w:highlight w:val="none"/>
                <w:shd w:val="clear" w:fill="FFFFFF"/>
              </w:rPr>
              <w:t>本项目采购代理服务费由成交供应商在领取成交通知书前一次性向采购代理机构支付。</w:t>
            </w:r>
          </w:p>
        </w:tc>
      </w:tr>
      <w:tr w14:paraId="405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0B4658F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2EEE57E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5CC3C02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均指采用CA证书签章。）</w:t>
            </w:r>
          </w:p>
          <w:p w14:paraId="05A61B81">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F72695A">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AB6CED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66A15E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09D80E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tc>
      </w:tr>
      <w:tr w14:paraId="275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56DFA1C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1025A1C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24666ADB">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196DBB62">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w:t>
            </w:r>
            <w:r>
              <w:rPr>
                <w:rFonts w:hint="eastAsia" w:ascii="宋体" w:hAnsi="宋体" w:cs="宋体"/>
                <w:color w:val="auto"/>
                <w:sz w:val="21"/>
                <w:szCs w:val="21"/>
                <w:highlight w:val="none"/>
                <w:lang w:eastAsia="zh-CN"/>
              </w:rPr>
              <w:t>https://www.gcy.zfcg.gxzf.gov.cn</w:t>
            </w:r>
            <w:r>
              <w:rPr>
                <w:rFonts w:hint="eastAsia" w:ascii="宋体" w:hAnsi="宋体" w:cs="宋体"/>
                <w:color w:val="auto"/>
                <w:sz w:val="21"/>
                <w:szCs w:val="21"/>
                <w:highlight w:val="none"/>
              </w:rPr>
              <w:t>/）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8393036">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4AF4F360">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CACB82A">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44FA2494">
            <w:pPr>
              <w:pStyle w:val="34"/>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）供应商需要在具备有摄像头及语音功能且互联网网络状况良好的电脑登录广西政府采购云平台远程开标大厅参与本次磋商，否则后果自负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3C7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39B6B42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211" w:firstLineChars="100"/>
              <w:jc w:val="both"/>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669195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eastAsia"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电子响应文件的制作、加密与签章规范</w:t>
            </w:r>
          </w:p>
        </w:tc>
        <w:tc>
          <w:tcPr>
            <w:tcW w:w="6309" w:type="dxa"/>
            <w:vAlign w:val="center"/>
          </w:tcPr>
          <w:p w14:paraId="014B09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25.1制作前提：供应商必须先登录广西政府采购云平台（</w:t>
            </w:r>
            <w:r>
              <w:rPr>
                <w:rFonts w:hint="default" w:ascii="宋体" w:hAnsi="宋体" w:eastAsia="宋体" w:cs="宋体"/>
                <w:color w:val="0057FF"/>
                <w:kern w:val="0"/>
                <w:sz w:val="21"/>
                <w:szCs w:val="21"/>
                <w:highlight w:val="none"/>
                <w:lang w:val="en-US" w:eastAsia="zh-CN" w:bidi="ar"/>
              </w:rPr>
              <w:fldChar w:fldCharType="begin"/>
            </w:r>
            <w:r>
              <w:rPr>
                <w:rFonts w:hint="default" w:ascii="宋体" w:hAnsi="宋体" w:eastAsia="宋体" w:cs="宋体"/>
                <w:color w:val="0057FF"/>
                <w:kern w:val="0"/>
                <w:sz w:val="21"/>
                <w:szCs w:val="21"/>
                <w:highlight w:val="none"/>
                <w:lang w:val="en-US" w:eastAsia="zh-CN" w:bidi="ar"/>
              </w:rPr>
              <w:instrText xml:space="preserve"> HYPERLINK "https://www.gcy.zfcg.gxzf.gov.cn/" \t "_blank" </w:instrText>
            </w:r>
            <w:r>
              <w:rPr>
                <w:rFonts w:hint="default" w:ascii="宋体" w:hAnsi="宋体" w:eastAsia="宋体" w:cs="宋体"/>
                <w:color w:val="0057FF"/>
                <w:kern w:val="0"/>
                <w:sz w:val="21"/>
                <w:szCs w:val="21"/>
                <w:highlight w:val="none"/>
                <w:lang w:val="en-US" w:eastAsia="zh-CN" w:bidi="ar"/>
              </w:rPr>
              <w:fldChar w:fldCharType="separate"/>
            </w:r>
            <w:r>
              <w:rPr>
                <w:rStyle w:val="30"/>
                <w:rFonts w:hint="eastAsia" w:ascii="宋体" w:hAnsi="宋体" w:cs="宋体"/>
                <w:color w:val="0057FF"/>
                <w:sz w:val="21"/>
                <w:szCs w:val="21"/>
                <w:highlight w:val="none"/>
                <w:lang w:eastAsia="zh-CN"/>
              </w:rPr>
              <w:t>https://www.gcy.zfcg.gxzf.gov.cn</w:t>
            </w:r>
            <w:r>
              <w:rPr>
                <w:rStyle w:val="30"/>
                <w:rFonts w:hint="default" w:ascii="宋体" w:hAnsi="宋体" w:eastAsia="宋体" w:cs="宋体"/>
                <w:color w:val="0057FF"/>
                <w:sz w:val="21"/>
                <w:szCs w:val="21"/>
                <w:highlight w:val="none"/>
              </w:rPr>
              <w:t>/</w:t>
            </w:r>
            <w:r>
              <w:rPr>
                <w:rFonts w:hint="default" w:ascii="宋体" w:hAnsi="宋体" w:eastAsia="宋体" w:cs="宋体"/>
                <w:color w:val="0057FF"/>
                <w:kern w:val="0"/>
                <w:sz w:val="21"/>
                <w:szCs w:val="21"/>
                <w:highlight w:val="none"/>
                <w:lang w:val="en-US" w:eastAsia="zh-CN" w:bidi="ar"/>
              </w:rPr>
              <w:fldChar w:fldCharType="end"/>
            </w:r>
            <w:r>
              <w:rPr>
                <w:rFonts w:hint="default" w:ascii="宋体" w:hAnsi="宋体" w:eastAsia="宋体" w:cs="宋体"/>
                <w:color w:val="000000"/>
                <w:kern w:val="0"/>
                <w:sz w:val="21"/>
                <w:szCs w:val="21"/>
                <w:highlight w:val="none"/>
                <w:lang w:val="en-US" w:eastAsia="zh-CN" w:bidi="ar"/>
              </w:rPr>
              <w:t>）完成“申请获取采购文件”操作，否则将无法在线编制电子响应文件，由此产生的不利后果由供应商自行承担。</w:t>
            </w:r>
          </w:p>
          <w:p w14:paraId="3028F1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25.2编制要求：（1）供应商应下载“广西政府采购云平台电子投标客户端”，按照本磋商文件规定的响应文件格式、顺序及平台要求，编制电子响应文件。（2）电子响应文件需通过客户端“标书关联”功能进行关联定位，确保磋商小组评审时可直接点击评分项定位至对应内容；未关联定位或关联内容与评审项不符的，由供应商自行承担不利后果。（3）电子响应文件内容应完整、清晰，不得涂改；若需修改错漏，须由法定代表人（负责人、自然人）或授权委托代理人通过客户端采用个人CA认证证书签章；未办理个人CA认证证书的，需在响应文件对应签字位置手写签字后扫描（或拍照）转换为PDF格式上传。因文件字迹潦草、编排混乱导致误读、漏读的，后果由供应商自行承担。</w:t>
            </w:r>
          </w:p>
          <w:p w14:paraId="27D28F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25.3加密要求：供应商编制完成电子响应文件后，必须按平台要求进行加密，生成后缀名为“jmbs”的加密电子响应文件；未按规定编制并加密的响应文件，广西政府采购云平台将予以拒收。</w:t>
            </w:r>
          </w:p>
          <w:p w14:paraId="2CAC8F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25.4签章规范：（1）本项目电子响应文件要求“加盖公章”的，均指供应商通过指定电子化政府采购平台办理的数字证书（CA认证证书）对应的电子印章，需按要求在文件指定位置完成CA签章。（2）本项目电子响应文件要求“签字”的，均指供应商法定代表人（负责人、自然人）或授权委托代理人通过指定电子化政府采购平台办理的个人CA认证证书对应的电子签字章，或手写签字后扫描（拍照）上传的PDF文件；未办理个人CA认证证书的，必须采用手写签字形式上传，否则响应文件按无效处理。（3）供应商为自然人的，磋商文件要求“盖公章”处，由自然人摁手指指印后扫描（拍照）上传PDF文件；要求“签字”处，按本款第（2）项手写签字要求执行。</w:t>
            </w:r>
          </w:p>
          <w:p w14:paraId="0D8A3B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highlight w:val="none"/>
              </w:rPr>
            </w:pPr>
            <w:r>
              <w:rPr>
                <w:rFonts w:hint="default" w:ascii="宋体" w:hAnsi="宋体" w:eastAsia="宋体" w:cs="宋体"/>
                <w:color w:val="000000"/>
                <w:kern w:val="0"/>
                <w:sz w:val="21"/>
                <w:szCs w:val="21"/>
                <w:highlight w:val="none"/>
                <w:lang w:val="en-US" w:eastAsia="zh-CN" w:bidi="ar"/>
              </w:rPr>
              <w:t>25.5备份文件要求：（1）供应商可根据自身情况，提供以U盘或光盘等介质存储的电子备份响应文件，备份文件格式需与平台上传的电子响应文件一致。（2）电子备份响应文件需在响应文件提交截止时间前，按要求密封（标注项目名称、单位名称并加盖公章）并送达开标地址，逾期送达或未按要求密封的将被拒收。（3）响应文件启用顺序：电子响应文件优先于电子备份响应文件；顺位在先的响应文件已按时解密的，下一顺位响应文件自动失效；仅当电子响应文件解密失败时，可启用备份文件上传，备份文件无法上传的后果由供应商自行承担。</w:t>
            </w:r>
          </w:p>
          <w:p w14:paraId="22D690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eastAsia" w:ascii="宋体" w:hAnsi="宋体"/>
                <w:color w:val="auto"/>
                <w:sz w:val="21"/>
                <w:szCs w:val="21"/>
                <w:highlight w:val="none"/>
              </w:rPr>
            </w:pPr>
            <w:r>
              <w:rPr>
                <w:rFonts w:hint="default" w:ascii="宋体" w:hAnsi="宋体" w:eastAsia="宋体" w:cs="宋体"/>
                <w:color w:val="000000"/>
                <w:kern w:val="0"/>
                <w:sz w:val="21"/>
                <w:szCs w:val="21"/>
                <w:highlight w:val="none"/>
                <w:lang w:val="en-US" w:eastAsia="zh-CN" w:bidi="ar"/>
              </w:rPr>
              <w:t>25.6其他要求：供应商应确保电子响应文件内容与纸质备份文件（若提供）一致，若存在不一致，以加密的电子响应文件为准；电子响应文件的编制、加密、签章操作，可参考平台“服务中心-项目采购-操作流程-电子招投标-政府采购项目电子交易管理操作指南-供应商”，或拨打政采云客服热线95763咨询技术支持。</w:t>
            </w:r>
          </w:p>
        </w:tc>
      </w:tr>
      <w:tr w14:paraId="5DF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7ADAA22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834B25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3E0EF2E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01158029">
      <w:pPr>
        <w:pStyle w:val="34"/>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p>
    <w:p w14:paraId="5F4E4706">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供应商须知</w:t>
      </w:r>
    </w:p>
    <w:p w14:paraId="251C8A54">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2582325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1.适用范围</w:t>
      </w:r>
    </w:p>
    <w:p w14:paraId="6BC0E0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lang w:eastAsia="zh-CN"/>
        </w:rPr>
        <w:t>本文件仅适用于本文件中所叙述的工程类采购项目，依据《政府采购竞争性磋商采购方式管理暂行办法》（财库〔2014〕214号）及相关法律法规制定</w:t>
      </w:r>
      <w:r>
        <w:rPr>
          <w:rFonts w:ascii="宋体" w:hAnsi="宋体"/>
          <w:color w:val="auto"/>
          <w:szCs w:val="21"/>
          <w:highlight w:val="none"/>
        </w:rPr>
        <w:t>。</w:t>
      </w:r>
    </w:p>
    <w:p w14:paraId="419D237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2.定义</w:t>
      </w:r>
    </w:p>
    <w:p w14:paraId="2F8304E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天等县林业局</w:t>
      </w:r>
    </w:p>
    <w:p w14:paraId="14EE0EF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广西崇善项目咨询有限公司</w:t>
      </w:r>
    </w:p>
    <w:p w14:paraId="45BF776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w:t>
      </w:r>
      <w:r>
        <w:rPr>
          <w:rFonts w:hint="eastAsia" w:ascii="宋体" w:hAnsi="宋体"/>
          <w:color w:val="auto"/>
          <w:szCs w:val="21"/>
          <w:highlight w:val="none"/>
          <w:lang w:eastAsia="zh-CN"/>
        </w:rPr>
        <w:t>供应商</w:t>
      </w:r>
      <w:r>
        <w:rPr>
          <w:rFonts w:ascii="宋体" w:hAnsi="宋体"/>
          <w:color w:val="auto"/>
          <w:szCs w:val="21"/>
          <w:highlight w:val="none"/>
        </w:rPr>
        <w:t>”是指响应本文件要求，参加磋商的法人或者</w:t>
      </w:r>
      <w:r>
        <w:rPr>
          <w:rFonts w:hint="eastAsia" w:ascii="宋体" w:hAnsi="宋体"/>
          <w:color w:val="auto"/>
          <w:szCs w:val="21"/>
          <w:highlight w:val="none"/>
          <w:lang w:eastAsia="zh-CN"/>
        </w:rPr>
        <w:t>其他</w:t>
      </w:r>
      <w:r>
        <w:rPr>
          <w:rFonts w:ascii="宋体" w:hAnsi="宋体"/>
          <w:color w:val="auto"/>
          <w:szCs w:val="21"/>
          <w:highlight w:val="none"/>
        </w:rPr>
        <w:t>组织。如果该供应商在本次磋商中成交，即成为“成交供应商”。</w:t>
      </w:r>
    </w:p>
    <w:p w14:paraId="20F5CA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3FA8363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546D08B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w:t>
      </w:r>
      <w:r>
        <w:rPr>
          <w:rFonts w:hint="eastAsia" w:ascii="宋体" w:hAnsi="宋体"/>
          <w:color w:val="auto"/>
          <w:szCs w:val="21"/>
          <w:highlight w:val="none"/>
          <w:lang w:eastAsia="zh-CN"/>
        </w:rPr>
        <w:t>供应商</w:t>
      </w:r>
      <w:r>
        <w:rPr>
          <w:rFonts w:ascii="宋体" w:hAnsi="宋体"/>
          <w:color w:val="auto"/>
          <w:szCs w:val="21"/>
          <w:highlight w:val="none"/>
        </w:rPr>
        <w:t>根据本文件要求，编制包含报价、技术和服务等所有内容的文件。</w:t>
      </w:r>
    </w:p>
    <w:p w14:paraId="766BDCD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3F478D5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供应商</w:t>
      </w:r>
      <w:r>
        <w:rPr>
          <w:rFonts w:ascii="宋体" w:hAnsi="宋体"/>
          <w:color w:val="auto"/>
          <w:szCs w:val="21"/>
          <w:highlight w:val="none"/>
        </w:rPr>
        <w:t>的基本条件：</w:t>
      </w:r>
    </w:p>
    <w:p w14:paraId="7BBE904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726FC28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4.磋商费用</w:t>
      </w:r>
    </w:p>
    <w:p w14:paraId="557505D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w:t>
      </w:r>
      <w:r>
        <w:rPr>
          <w:rFonts w:hint="eastAsia" w:ascii="宋体" w:hAnsi="宋体"/>
          <w:color w:val="auto"/>
          <w:szCs w:val="21"/>
          <w:highlight w:val="none"/>
          <w:lang w:eastAsia="zh-CN"/>
        </w:rPr>
        <w:t>供应商</w:t>
      </w:r>
      <w:r>
        <w:rPr>
          <w:rFonts w:ascii="宋体" w:hAnsi="宋体"/>
          <w:color w:val="auto"/>
          <w:szCs w:val="21"/>
          <w:highlight w:val="none"/>
        </w:rPr>
        <w:t>应自行承担所有与编写和提交竞争性磋商响应文件有关的费用，不论磋商结果如何，采购人和</w:t>
      </w:r>
      <w:r>
        <w:rPr>
          <w:rFonts w:hint="eastAsia" w:ascii="宋体" w:hAnsi="宋体"/>
          <w:color w:val="auto"/>
          <w:szCs w:val="21"/>
          <w:highlight w:val="none"/>
          <w:lang w:eastAsia="zh-CN"/>
        </w:rPr>
        <w:t>广西崇善项目咨询有限公司</w:t>
      </w:r>
      <w:r>
        <w:rPr>
          <w:rFonts w:ascii="宋体" w:hAnsi="宋体"/>
          <w:color w:val="auto"/>
          <w:szCs w:val="21"/>
          <w:highlight w:val="none"/>
        </w:rPr>
        <w:t>在任何情况下无义务和责任承担此类费用。</w:t>
      </w:r>
    </w:p>
    <w:p w14:paraId="4B1A8FA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5.磋商无效的情形</w:t>
      </w:r>
    </w:p>
    <w:p w14:paraId="60A48E9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w:t>
      </w:r>
      <w:r>
        <w:rPr>
          <w:rFonts w:hint="eastAsia" w:ascii="宋体" w:hAnsi="宋体"/>
          <w:color w:val="auto"/>
          <w:szCs w:val="21"/>
          <w:highlight w:val="none"/>
          <w:lang w:eastAsia="zh-CN"/>
        </w:rPr>
        <w:t>供应商</w:t>
      </w:r>
      <w:r>
        <w:rPr>
          <w:rFonts w:ascii="宋体" w:hAnsi="宋体"/>
          <w:color w:val="auto"/>
          <w:szCs w:val="21"/>
          <w:highlight w:val="none"/>
        </w:rPr>
        <w:t>相互串通竞标，响应文件将被视为无效：</w:t>
      </w:r>
    </w:p>
    <w:p w14:paraId="30D61315">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w:t>
      </w:r>
      <w:r>
        <w:rPr>
          <w:rFonts w:hint="eastAsia"/>
          <w:color w:val="auto"/>
          <w:sz w:val="21"/>
          <w:szCs w:val="21"/>
          <w:highlight w:val="none"/>
          <w:lang w:eastAsia="zh-CN"/>
        </w:rPr>
        <w:t>不同供应商的响应文件由同一单位或者个人编制；或不同供应商报名的IP地址一致，且不能提供合理说明的</w:t>
      </w:r>
      <w:r>
        <w:rPr>
          <w:color w:val="auto"/>
          <w:sz w:val="21"/>
          <w:szCs w:val="21"/>
          <w:highlight w:val="none"/>
        </w:rPr>
        <w:t>；</w:t>
      </w:r>
    </w:p>
    <w:p w14:paraId="5B06D575">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w:t>
      </w:r>
      <w:r>
        <w:rPr>
          <w:rFonts w:hint="eastAsia"/>
          <w:color w:val="auto"/>
          <w:sz w:val="21"/>
          <w:szCs w:val="21"/>
          <w:highlight w:val="none"/>
          <w:lang w:eastAsia="zh-CN"/>
        </w:rPr>
        <w:t>供应商</w:t>
      </w:r>
      <w:r>
        <w:rPr>
          <w:color w:val="auto"/>
          <w:sz w:val="21"/>
          <w:szCs w:val="21"/>
          <w:highlight w:val="none"/>
        </w:rPr>
        <w:t>委托同一单位或者个人办理磋商事宜；</w:t>
      </w:r>
    </w:p>
    <w:p w14:paraId="3C992827">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w:t>
      </w:r>
      <w:r>
        <w:rPr>
          <w:rFonts w:hint="eastAsia"/>
          <w:color w:val="auto"/>
          <w:sz w:val="21"/>
          <w:szCs w:val="21"/>
          <w:highlight w:val="none"/>
          <w:lang w:eastAsia="zh-CN"/>
        </w:rPr>
        <w:t>供应商</w:t>
      </w:r>
      <w:r>
        <w:rPr>
          <w:color w:val="auto"/>
          <w:sz w:val="21"/>
          <w:szCs w:val="21"/>
          <w:highlight w:val="none"/>
        </w:rPr>
        <w:t>的响应文件载明的项目管理员为同一个人；</w:t>
      </w:r>
    </w:p>
    <w:p w14:paraId="6D7CF0EE">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w:t>
      </w:r>
      <w:r>
        <w:rPr>
          <w:rFonts w:hint="eastAsia"/>
          <w:color w:val="auto"/>
          <w:sz w:val="21"/>
          <w:szCs w:val="21"/>
          <w:highlight w:val="none"/>
          <w:lang w:eastAsia="zh-CN"/>
        </w:rPr>
        <w:t>供应商</w:t>
      </w:r>
      <w:r>
        <w:rPr>
          <w:color w:val="auto"/>
          <w:sz w:val="21"/>
          <w:szCs w:val="21"/>
          <w:highlight w:val="none"/>
        </w:rPr>
        <w:t>的响应文件异常一致或磋商报价呈规律性差异；</w:t>
      </w:r>
    </w:p>
    <w:p w14:paraId="68A349F4">
      <w:pPr>
        <w:pStyle w:val="37"/>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w:t>
      </w:r>
      <w:r>
        <w:rPr>
          <w:rFonts w:hint="eastAsia"/>
          <w:color w:val="auto"/>
          <w:sz w:val="21"/>
          <w:szCs w:val="21"/>
          <w:highlight w:val="none"/>
          <w:lang w:eastAsia="zh-CN"/>
        </w:rPr>
        <w:t>供应商</w:t>
      </w:r>
      <w:r>
        <w:rPr>
          <w:color w:val="auto"/>
          <w:sz w:val="21"/>
          <w:szCs w:val="21"/>
          <w:highlight w:val="none"/>
        </w:rPr>
        <w:t>的响应文件相互混装。</w:t>
      </w:r>
    </w:p>
    <w:p w14:paraId="1375761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7B28404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w:t>
      </w:r>
      <w:r>
        <w:rPr>
          <w:rFonts w:hint="eastAsia" w:ascii="宋体" w:hAnsi="宋体"/>
          <w:color w:val="auto"/>
          <w:szCs w:val="21"/>
          <w:highlight w:val="none"/>
          <w:lang w:eastAsia="zh-CN"/>
        </w:rPr>
        <w:t>供应商</w:t>
      </w:r>
      <w:r>
        <w:rPr>
          <w:rFonts w:ascii="宋体" w:hAnsi="宋体"/>
          <w:color w:val="auto"/>
          <w:szCs w:val="21"/>
          <w:highlight w:val="none"/>
        </w:rPr>
        <w:t>不得参加同一合同项下采购活动，否则响应文件将被视为无效。单位负责人为同一人或者存在直接控股、管理关系的不同的</w:t>
      </w:r>
      <w:r>
        <w:rPr>
          <w:rFonts w:hint="eastAsia" w:ascii="宋体" w:hAnsi="宋体"/>
          <w:color w:val="auto"/>
          <w:szCs w:val="21"/>
          <w:highlight w:val="none"/>
          <w:lang w:eastAsia="zh-CN"/>
        </w:rPr>
        <w:t>供应商</w:t>
      </w:r>
      <w:r>
        <w:rPr>
          <w:rFonts w:ascii="宋体" w:hAnsi="宋体"/>
          <w:color w:val="auto"/>
          <w:szCs w:val="21"/>
          <w:highlight w:val="none"/>
        </w:rPr>
        <w:t>，不得参加同一合同项下的采购活动；</w:t>
      </w:r>
    </w:p>
    <w:p w14:paraId="55575DE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供应商</w:t>
      </w:r>
      <w:r>
        <w:rPr>
          <w:rFonts w:ascii="宋体" w:hAnsi="宋体"/>
          <w:color w:val="auto"/>
          <w:szCs w:val="21"/>
          <w:highlight w:val="none"/>
        </w:rPr>
        <w:t>磋商所使用的资格、信誉、荣誉、业绩与企业认证必须为本法人所拥有。</w:t>
      </w:r>
      <w:r>
        <w:rPr>
          <w:rFonts w:hint="eastAsia" w:ascii="宋体" w:hAnsi="宋体"/>
          <w:color w:val="auto"/>
          <w:szCs w:val="21"/>
          <w:highlight w:val="none"/>
          <w:lang w:eastAsia="zh-CN"/>
        </w:rPr>
        <w:t>供应商</w:t>
      </w:r>
      <w:r>
        <w:rPr>
          <w:rFonts w:ascii="宋体" w:hAnsi="宋体"/>
          <w:color w:val="auto"/>
          <w:szCs w:val="21"/>
          <w:highlight w:val="none"/>
        </w:rPr>
        <w:t>投入所使用的采购项目实施人员必须为本法人员工（或必须为本法人或控股公司正式员工）。</w:t>
      </w:r>
    </w:p>
    <w:p w14:paraId="346210E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供应商</w:t>
      </w:r>
      <w:r>
        <w:rPr>
          <w:rFonts w:ascii="宋体" w:hAnsi="宋体"/>
          <w:color w:val="auto"/>
          <w:szCs w:val="21"/>
          <w:highlight w:val="none"/>
        </w:rPr>
        <w:t>应仔细阅读磋商文件的所有内容，按照磋商文件的要求提交响应文件，并对所提供的全部资料的真实性承担法律责任。</w:t>
      </w:r>
    </w:p>
    <w:p w14:paraId="659B92C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供应商</w:t>
      </w:r>
      <w:r>
        <w:rPr>
          <w:rFonts w:ascii="宋体" w:hAnsi="宋体"/>
          <w:color w:val="auto"/>
          <w:szCs w:val="21"/>
          <w:highlight w:val="none"/>
        </w:rPr>
        <w:t>在采购活动中提供任何虚假材料，其磋商无效，并报监管部门查处；成交后发现的，</w:t>
      </w:r>
      <w:r>
        <w:rPr>
          <w:rFonts w:hint="eastAsia" w:ascii="宋体" w:hAnsi="宋体"/>
          <w:color w:val="auto"/>
          <w:szCs w:val="21"/>
          <w:highlight w:val="none"/>
          <w:lang w:eastAsia="zh-CN"/>
        </w:rPr>
        <w:t>供应商</w:t>
      </w:r>
      <w:r>
        <w:rPr>
          <w:rFonts w:ascii="宋体" w:hAnsi="宋体"/>
          <w:color w:val="auto"/>
          <w:szCs w:val="21"/>
          <w:highlight w:val="none"/>
        </w:rPr>
        <w:t>须依照《中华人民共和国消费者权益保护法》第49条之规定双倍赔偿采购人，且民事赔偿并不免除违法</w:t>
      </w:r>
      <w:r>
        <w:rPr>
          <w:rFonts w:hint="eastAsia" w:ascii="宋体" w:hAnsi="宋体"/>
          <w:color w:val="auto"/>
          <w:szCs w:val="21"/>
          <w:highlight w:val="none"/>
          <w:lang w:eastAsia="zh-CN"/>
        </w:rPr>
        <w:t>供应商</w:t>
      </w:r>
      <w:r>
        <w:rPr>
          <w:rFonts w:ascii="宋体" w:hAnsi="宋体"/>
          <w:color w:val="auto"/>
          <w:szCs w:val="21"/>
          <w:highlight w:val="none"/>
        </w:rPr>
        <w:t>的行政与刑事责任。</w:t>
      </w:r>
    </w:p>
    <w:p w14:paraId="05B923C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本项目不允许转包。主体结构、关键性工作不得分包；非主体、非关键性工作如需分包，须经发包人书面同意，且分包人应具备相应资质，不得再次分包。如成交供应商出现违法转包或未经同意违法分包情形，采购单位有权取消其成交资格并追究相应责任</w:t>
      </w:r>
      <w:r>
        <w:rPr>
          <w:rFonts w:ascii="宋体" w:hAnsi="宋体"/>
          <w:color w:val="auto"/>
          <w:szCs w:val="21"/>
          <w:highlight w:val="none"/>
        </w:rPr>
        <w:t>。</w:t>
      </w:r>
    </w:p>
    <w:p w14:paraId="1C3FD53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1CADF58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0D21F50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5D4156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6579487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6.4磋商文件的澄清或者修改都应该通过本项目采购代理机构以法定形式发布，采购人非通过本机构，不得擅自澄清、答复、修改或补充磋商文件。</w:t>
      </w:r>
    </w:p>
    <w:p w14:paraId="4D19060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6.5采购代理机构可以视采购具体情况，延长响应文件提交截止时间和磋商时间，并在本项目竞争性磋商公告发布的同一媒体上发布变更公告。</w:t>
      </w:r>
    </w:p>
    <w:p w14:paraId="62C402F8">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2AC46AE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7.竞争性磋商响应文件编制基本要求</w:t>
      </w:r>
    </w:p>
    <w:p w14:paraId="7F1DF9C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hint="eastAsia" w:ascii="宋体" w:hAnsi="宋体"/>
          <w:color w:val="auto"/>
          <w:szCs w:val="21"/>
          <w:highlight w:val="none"/>
          <w:lang w:eastAsia="zh-CN"/>
        </w:rPr>
        <w:t>供应商</w:t>
      </w:r>
      <w:r>
        <w:rPr>
          <w:rFonts w:ascii="宋体" w:hAnsi="宋体"/>
          <w:color w:val="auto"/>
          <w:szCs w:val="21"/>
          <w:highlight w:val="none"/>
        </w:rPr>
        <w:t>提交的竞争性磋商响应文件以及</w:t>
      </w:r>
      <w:r>
        <w:rPr>
          <w:rFonts w:hint="eastAsia" w:ascii="宋体" w:hAnsi="宋体"/>
          <w:color w:val="auto"/>
          <w:szCs w:val="21"/>
          <w:highlight w:val="none"/>
          <w:lang w:eastAsia="zh-CN"/>
        </w:rPr>
        <w:t>供应商</w:t>
      </w:r>
      <w:r>
        <w:rPr>
          <w:rFonts w:ascii="宋体" w:hAnsi="宋体"/>
          <w:color w:val="auto"/>
          <w:szCs w:val="21"/>
          <w:highlight w:val="none"/>
        </w:rPr>
        <w:t>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w:t>
      </w:r>
      <w:r>
        <w:rPr>
          <w:rFonts w:hint="eastAsia" w:ascii="宋体" w:hAnsi="宋体"/>
          <w:color w:val="auto"/>
          <w:szCs w:val="21"/>
          <w:highlight w:val="none"/>
          <w:lang w:eastAsia="zh-CN"/>
        </w:rPr>
        <w:t>供应商</w:t>
      </w:r>
      <w:r>
        <w:rPr>
          <w:rFonts w:ascii="宋体" w:hAnsi="宋体"/>
          <w:color w:val="auto"/>
          <w:szCs w:val="21"/>
          <w:highlight w:val="none"/>
        </w:rPr>
        <w:t>提交的支持文件和印刷的文献可以使用别的语言，但其相应内容必须附有中文翻译文本，在解释竞争性磋商响应文件时以翻译文本为主。</w:t>
      </w:r>
    </w:p>
    <w:p w14:paraId="6F014BA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hint="eastAsia" w:ascii="宋体" w:hAnsi="宋体"/>
          <w:color w:val="auto"/>
          <w:szCs w:val="21"/>
          <w:highlight w:val="none"/>
          <w:lang w:eastAsia="zh-CN"/>
        </w:rPr>
        <w:t>供应商</w:t>
      </w:r>
      <w:r>
        <w:rPr>
          <w:rFonts w:ascii="宋体" w:hAnsi="宋体"/>
          <w:color w:val="auto"/>
          <w:szCs w:val="21"/>
          <w:highlight w:val="none"/>
        </w:rPr>
        <w:t>应认真阅读、并充分理解本文件的全部内容（包括所有的补充、修改内容），承诺并履行本文件中各项条款规定及要求。</w:t>
      </w:r>
    </w:p>
    <w:p w14:paraId="07C1F63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竞争性磋商响应文件必须按本文件全部内容，包括所有的补充通知及附件进行编制。</w:t>
      </w:r>
    </w:p>
    <w:p w14:paraId="6E3BB65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7.5如因</w:t>
      </w:r>
      <w:r>
        <w:rPr>
          <w:rFonts w:hint="eastAsia" w:ascii="宋体" w:hAnsi="宋体"/>
          <w:color w:val="auto"/>
          <w:szCs w:val="21"/>
          <w:highlight w:val="none"/>
          <w:lang w:eastAsia="zh-CN"/>
        </w:rPr>
        <w:t>供应商</w:t>
      </w:r>
      <w:r>
        <w:rPr>
          <w:rFonts w:ascii="宋体" w:hAnsi="宋体"/>
          <w:color w:val="auto"/>
          <w:szCs w:val="21"/>
          <w:highlight w:val="none"/>
        </w:rPr>
        <w:t>只填写和提供了本文件要求的部分内容和附件，而给评审造成困难，其可能导致的结果和责任由</w:t>
      </w:r>
      <w:r>
        <w:rPr>
          <w:rFonts w:hint="eastAsia" w:ascii="宋体" w:hAnsi="宋体"/>
          <w:color w:val="auto"/>
          <w:szCs w:val="21"/>
          <w:highlight w:val="none"/>
          <w:lang w:eastAsia="zh-CN"/>
        </w:rPr>
        <w:t>供应商</w:t>
      </w:r>
      <w:r>
        <w:rPr>
          <w:rFonts w:ascii="宋体" w:hAnsi="宋体"/>
          <w:color w:val="auto"/>
          <w:szCs w:val="21"/>
          <w:highlight w:val="none"/>
        </w:rPr>
        <w:t>自行承担。</w:t>
      </w:r>
    </w:p>
    <w:p w14:paraId="12EE67A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7BCC728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1252916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4138EFD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C3342D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拟派项目经理的身份证复印件、注册建造师证和安全生产考核合格证书（B类）复印件以及无在建工程、无中标后未开工项目、且未担任其他项目中标（成交）候选人第一名的承诺函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w:t>
      </w:r>
      <w:r>
        <w:rPr>
          <w:rFonts w:hint="eastAsia" w:ascii="宋体" w:hAnsi="宋体"/>
          <w:b/>
          <w:bCs/>
          <w:color w:val="auto"/>
          <w:szCs w:val="21"/>
          <w:highlight w:val="none"/>
          <w:lang w:val="en-US" w:eastAsia="zh-CN"/>
        </w:rPr>
        <w:t>格式自拟，</w:t>
      </w:r>
      <w:r>
        <w:rPr>
          <w:rFonts w:hint="eastAsia" w:ascii="宋体" w:hAnsi="宋体"/>
          <w:b/>
          <w:bCs/>
          <w:color w:val="auto"/>
          <w:szCs w:val="21"/>
          <w:highlight w:val="none"/>
          <w:lang w:eastAsia="zh-CN"/>
        </w:rPr>
        <w:t>否则响应文件按无效响应处理</w:t>
      </w:r>
      <w:r>
        <w:rPr>
          <w:rFonts w:ascii="宋体" w:hAnsi="宋体"/>
          <w:b/>
          <w:bCs/>
          <w:color w:val="auto"/>
          <w:szCs w:val="21"/>
          <w:highlight w:val="none"/>
        </w:rPr>
        <w:t>）</w:t>
      </w:r>
    </w:p>
    <w:p w14:paraId="2E9449B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49D648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2A4EE09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CF53DA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67583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4DCA111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3C93AEF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3218B3A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5C75751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37D19DB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0AFA6CC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833C7B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7FFC7CE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6C67D2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7F85608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5B398AC7">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0DCB637F">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2ED712C3">
      <w:pPr>
        <w:pStyle w:val="38"/>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596B657B">
      <w:pPr>
        <w:pStyle w:val="38"/>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1D3BA0C9">
      <w:pPr>
        <w:pStyle w:val="35"/>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到签字的位置手写签字后扫描或者拍照做成PDF的格式上传，无个人CA证书签章或手写签字的，响应文件按无效处理。</w:t>
      </w:r>
    </w:p>
    <w:p w14:paraId="41271F0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8.计量单位</w:t>
      </w:r>
    </w:p>
    <w:p w14:paraId="377F85C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8.1除技术要求中另有规定外，本文件所要求使用的计量单位均应采用国家法定计量单位。</w:t>
      </w:r>
    </w:p>
    <w:p w14:paraId="7E741702">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43857C2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345138F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1B6B7B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9.2.1本合同采用</w:t>
      </w:r>
      <w:r>
        <w:rPr>
          <w:rFonts w:hint="default" w:ascii="宋体" w:hAnsi="宋体"/>
          <w:color w:val="auto"/>
          <w:szCs w:val="21"/>
          <w:highlight w:val="none"/>
        </w:rPr>
        <w:t>单价合同形式，工程量按实际完成并经发包人、监理人共同确认的合格工程量进行结算。供应商在响应文件中提交的已标价工程量清单中的综合单价为合同结算依据；供应商填报的工程量清单总价为磋商报价，仅作为评审阶段的报价得分依据</w:t>
      </w:r>
      <w:r>
        <w:rPr>
          <w:rFonts w:ascii="宋体" w:hAnsi="宋体"/>
          <w:color w:val="auto"/>
          <w:szCs w:val="21"/>
          <w:highlight w:val="none"/>
        </w:rPr>
        <w:t>。</w:t>
      </w:r>
    </w:p>
    <w:p w14:paraId="2327FDB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9.2.2供应商所填报的各项基价中的各种材料单价在合同实施期间不因市场价格变化因素而变动，除工程变更、项目特征不符、工程量清单缺项、工程量偏差、约定的材料设备价格风险和政策性调整以外，供应商在报综合单价时应考虑各种风险因素和自己的承受能力。</w:t>
      </w:r>
    </w:p>
    <w:p w14:paraId="3E477E46">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9.2.3因设计变更引起工程项目、工程量变化的，变更合同价款按下列方法进行：</w:t>
      </w:r>
    </w:p>
    <w:p w14:paraId="5EFA3AD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eastAsia="zh-CN"/>
        </w:rPr>
        <w:t>磋商</w:t>
      </w:r>
      <w:r>
        <w:rPr>
          <w:rFonts w:ascii="宋体" w:hAnsi="宋体"/>
          <w:color w:val="auto"/>
          <w:szCs w:val="21"/>
          <w:highlight w:val="none"/>
        </w:rPr>
        <w:t>时的成交价格进行结算；</w:t>
      </w:r>
    </w:p>
    <w:p w14:paraId="07449E8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FC89A3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4293451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4A8146A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（1）有工程数量的应报单价和合价。</w:t>
      </w:r>
    </w:p>
    <w:p w14:paraId="67C44FAF">
      <w:pPr>
        <w:pStyle w:val="34"/>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予以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6009A2E0">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eastAsia="zh-CN"/>
        </w:rPr>
        <w:t>磋商报价</w:t>
      </w:r>
      <w:r>
        <w:rPr>
          <w:rFonts w:ascii="宋体" w:hAnsi="宋体"/>
          <w:b/>
          <w:color w:val="auto"/>
          <w:szCs w:val="21"/>
          <w:highlight w:val="none"/>
        </w:rPr>
        <w:t>的依据。凡工程量清单已指明的工程费用，供应商应计入相关项目的单价中。</w:t>
      </w:r>
    </w:p>
    <w:p w14:paraId="72B8338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w:t>
      </w:r>
      <w:r>
        <w:rPr>
          <w:rFonts w:hint="eastAsia" w:ascii="宋体" w:hAnsi="宋体"/>
          <w:color w:val="auto"/>
          <w:szCs w:val="21"/>
          <w:highlight w:val="none"/>
          <w:lang w:eastAsia="zh-CN"/>
        </w:rPr>
        <w:t>磋商报价</w:t>
      </w:r>
      <w:r>
        <w:rPr>
          <w:rFonts w:ascii="宋体" w:hAnsi="宋体"/>
          <w:color w:val="auto"/>
          <w:szCs w:val="21"/>
          <w:highlight w:val="none"/>
        </w:rPr>
        <w:t>中自行考虑。</w:t>
      </w:r>
    </w:p>
    <w:p w14:paraId="0140876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施工用的水、电供应由承包人通过现场勘察后自行确定。施工用水、电由承包人负责施工场地内的管、线路的铺、架设，并承担施工期间用电、用水的使用、维护和安全责任等。</w:t>
      </w:r>
    </w:p>
    <w:p w14:paraId="779820C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w:t>
      </w:r>
      <w:r>
        <w:rPr>
          <w:rFonts w:hint="eastAsia" w:ascii="宋体" w:hAnsi="宋体"/>
          <w:color w:val="auto"/>
          <w:szCs w:val="21"/>
          <w:highlight w:val="none"/>
          <w:lang w:eastAsia="zh-CN"/>
        </w:rPr>
        <w:t>农作物</w:t>
      </w:r>
      <w:r>
        <w:rPr>
          <w:rFonts w:ascii="宋体" w:hAnsi="宋体"/>
          <w:color w:val="auto"/>
          <w:szCs w:val="21"/>
          <w:highlight w:val="none"/>
        </w:rPr>
        <w:t>恢复费、取土费、复垦费、运输道路修建费、临时占地费、青苗补偿费、维护费等，由供应商根据市场价格及本身所能承受的风险自行考虑。但土料场的土料必须试验合格并经设计、发包人同意后方可用于本工程。</w:t>
      </w:r>
    </w:p>
    <w:p w14:paraId="020FCC3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9.2.9</w:t>
      </w:r>
      <w:r>
        <w:rPr>
          <w:rFonts w:ascii="宋体" w:hAnsi="宋体"/>
          <w:color w:val="auto"/>
          <w:szCs w:val="21"/>
          <w:highlight w:val="none"/>
        </w:rPr>
        <w:t>供应商在报价中所报的单价和合价，以及</w:t>
      </w:r>
      <w:r>
        <w:rPr>
          <w:rFonts w:hint="eastAsia" w:ascii="宋体" w:hAnsi="宋体"/>
          <w:color w:val="auto"/>
          <w:szCs w:val="21"/>
          <w:highlight w:val="none"/>
          <w:lang w:eastAsia="zh-CN"/>
        </w:rPr>
        <w:t>磋商报价</w:t>
      </w:r>
      <w:r>
        <w:rPr>
          <w:rFonts w:ascii="宋体" w:hAnsi="宋体"/>
          <w:color w:val="auto"/>
          <w:szCs w:val="21"/>
          <w:highlight w:val="none"/>
        </w:rPr>
        <w:t>汇总表中的价格均包括完成该工程项目的成本、利润、增值税、开办费、技术措施费、设备吊装.运输.装卸费、大型机械进出场费、风险费、政策性文件规定费用等所有费用。</w:t>
      </w:r>
    </w:p>
    <w:p w14:paraId="6403965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9.2.10</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6BC1496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9.2.11</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6085BBE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9.2.12</w:t>
      </w:r>
      <w:r>
        <w:rPr>
          <w:rFonts w:hint="eastAsia" w:ascii="宋体" w:hAnsi="宋体"/>
          <w:b/>
          <w:color w:val="auto"/>
          <w:szCs w:val="21"/>
          <w:highlight w:val="none"/>
          <w:lang w:eastAsia="zh-CN"/>
        </w:rPr>
        <w:t>本项目采用多次报价方式，未书面退出磋商的供应商必须在规定时间内登录广西政府采购云平台在线提交最后报价，其最后报价不得超出采购预算。供应商的最终报价如有变动，则必须以工程量清单报价表（已标价工程量清单）的格式编制提交，供应商须提前做好相关准备并按时上传最终商务报价文件，否则磋商无效</w:t>
      </w:r>
      <w:r>
        <w:rPr>
          <w:rFonts w:hint="eastAsia" w:ascii="宋体" w:hAnsi="宋体" w:eastAsia="宋体" w:cs="Times New Roman"/>
          <w:b/>
          <w:color w:val="auto"/>
          <w:szCs w:val="21"/>
          <w:highlight w:val="none"/>
        </w:rPr>
        <w:t>。</w:t>
      </w:r>
    </w:p>
    <w:p w14:paraId="34AEBE6D">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53E949D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35118D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9.3.1本</w:t>
      </w:r>
      <w:r>
        <w:rPr>
          <w:rFonts w:ascii="宋体" w:hAnsi="宋体"/>
          <w:color w:val="auto"/>
          <w:szCs w:val="21"/>
          <w:highlight w:val="none"/>
        </w:rPr>
        <w:t>工程的计算依据：</w:t>
      </w:r>
      <w:r>
        <w:rPr>
          <w:rFonts w:ascii="宋体" w:hAnsi="宋体"/>
          <w:b/>
          <w:color w:val="auto"/>
          <w:szCs w:val="21"/>
          <w:highlight w:val="none"/>
        </w:rPr>
        <w:t>详见工程量清单</w:t>
      </w:r>
    </w:p>
    <w:p w14:paraId="0EA2556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9.4磋商有效期：</w:t>
      </w:r>
    </w:p>
    <w:p w14:paraId="102E66B5">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15C0B193">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9.4.2</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34FAD313">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1B76281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3134A1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10.1.1供应商制作电子响应文件前，应登陆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7DC0ABE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0B597E2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1AA143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成PDF的格式上传。因响应文件字迹潦草、表达不清、内容不完整、编排混乱导致响应文件被误读、漏读，或者在按竞争性磋商文件规定的部位查找不到相关内容的，其不利后果由供应商自行承担。</w:t>
      </w:r>
    </w:p>
    <w:p w14:paraId="3875219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4B3E162C">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208A259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4AF4A83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10.2.2本竞争性磋商文件中要求供应商对其电子响应文件的相关内容加盖公章的，均指采用CA证书签章。</w:t>
      </w:r>
    </w:p>
    <w:p w14:paraId="3475888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2B3C4D4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s="宋体"/>
          <w:b/>
          <w:color w:val="auto"/>
          <w:kern w:val="0"/>
          <w:szCs w:val="21"/>
          <w:highlight w:val="none"/>
        </w:rPr>
        <w:t>首次响应文件的提交、撤回、修改、响应文件的解密</w:t>
      </w:r>
    </w:p>
    <w:p w14:paraId="2805A7DA">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69170AA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3166BFC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9A7B27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23BF05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26B8743F">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9593A8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w:t>
      </w:r>
      <w:r>
        <w:rPr>
          <w:rFonts w:hint="eastAsia" w:ascii="宋体" w:hAnsi="宋体"/>
          <w:color w:val="auto"/>
          <w:szCs w:val="21"/>
          <w:highlight w:val="none"/>
          <w:lang w:val="en-US" w:eastAsia="zh-CN"/>
        </w:rPr>
        <w:t>30</w:t>
      </w:r>
      <w:r>
        <w:rPr>
          <w:rFonts w:hint="eastAsia" w:ascii="宋体" w:hAnsi="宋体"/>
          <w:color w:val="auto"/>
          <w:szCs w:val="21"/>
          <w:highlight w:val="none"/>
        </w:rPr>
        <w:t>分钟内供应商还未进行解密的，视为供应商自动放弃磋商资格，其响应文件按撤回处理。供应商因预留联系方式无效、不准确或未预留联系方式导致无法接收通知的，相应后果由供应商自行承担。因电子交易平台系统故障等非供应商原因导致无法解密的，按本章第19.2条‘电子交易活动的中止’处理。</w:t>
      </w:r>
    </w:p>
    <w:p w14:paraId="53B07AF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6EDCE47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12.迟交的竞争性磋商响应文件</w:t>
      </w:r>
    </w:p>
    <w:p w14:paraId="3345997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广西崇善项目咨询有限公司</w:t>
      </w:r>
      <w:r>
        <w:rPr>
          <w:rFonts w:ascii="宋体" w:hAnsi="宋体"/>
          <w:color w:val="auto"/>
          <w:szCs w:val="21"/>
          <w:highlight w:val="none"/>
        </w:rPr>
        <w:t>将拒绝或原封退回在其规定的递交竞争性磋商响应文件截止时间之后收到的任何竞争性磋商响应文件。</w:t>
      </w:r>
    </w:p>
    <w:p w14:paraId="6B8F1349">
      <w:pPr>
        <w:pStyle w:val="34"/>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07E925CA">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2AD9997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13.1磋商小组组成：</w:t>
      </w:r>
    </w:p>
    <w:p w14:paraId="2C0D1EB9">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采购代理机构在评审开始前，应当核实磋商小组成员身份，告知回避要求，宣布评审工作纪律和程序，并组织各成员签署《评审人员廉洁承诺书》。采购人代表不得担任磋商小组组长，具体磋商、评审工作由依法组建的磋商小组负责，本项目的磋商小组依法由采购人代表及采购招投标专家库中随机抽取的评审专家组成，成员总数为3人。</w:t>
      </w:r>
    </w:p>
    <w:p w14:paraId="7C3118C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根据《政府采购竞争性磋商采购方式管理暂行办法》（财库〔2014〕214号）第十四条规定，磋商小组中评审专家人数不得少于成员总数的三分之二；采购人代表不得担任磋商小组组长</w:t>
      </w:r>
    </w:p>
    <w:p w14:paraId="3F51D615">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13.2磋商时间、地点、人员：</w:t>
      </w:r>
    </w:p>
    <w:p w14:paraId="7E6BF0F3">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13.2.1磋商时间：首次响应文件提交截止时间后。</w:t>
      </w:r>
    </w:p>
    <w:p w14:paraId="5E60051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13.2.2磋商地点：</w:t>
      </w:r>
      <w:r>
        <w:rPr>
          <w:rFonts w:hint="eastAsia" w:ascii="宋体" w:hAnsi="宋体" w:cs="宋体"/>
          <w:bCs/>
          <w:color w:val="auto"/>
          <w:sz w:val="21"/>
          <w:szCs w:val="21"/>
          <w:highlight w:val="none"/>
        </w:rPr>
        <w:t>供应商代表在响应文件提交当天实时登陆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70AE5E38">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13.2.3磋商参加人员：供应商法定代表人(负责人、自然人)或相应的委托代理人参加磋商。请供</w:t>
      </w:r>
    </w:p>
    <w:p w14:paraId="47A31580">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等候在线磋商。</w:t>
      </w:r>
    </w:p>
    <w:p w14:paraId="5972ACF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5B01DB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901230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14.1磋商小组必须坚持公平、公正、科学和择优的原则。</w:t>
      </w:r>
    </w:p>
    <w:p w14:paraId="4DD7C64E">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2811DBF7">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14.3磋商小组应按磋商文件进行评审，不得擅自更改评审办法。</w:t>
      </w:r>
    </w:p>
    <w:p w14:paraId="4DE6BFAA">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14.4在评审过程中，磋商小组任何人不得对某个供应商发表任何倾向性意见，不得向其他磋商小组成员明示或者暗示自己的评审意见。</w:t>
      </w:r>
    </w:p>
    <w:p w14:paraId="1E887B2F">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4F62F969">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4472E240">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0ABB83F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15.2磋商小组应当审查供应商的响应文件并作出评价；要求供应商解释或者澄清其响应文件；编写评审报告；告知采购人、采购代理机构在评审过程中发现的供应商的违法违规行为。</w:t>
      </w:r>
    </w:p>
    <w:p w14:paraId="59AA6EB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B6D942">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462624C">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67136C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6DFDF9E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4683673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1A275C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30E948BF">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43691283">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293EDE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签章的可在响应文件中涉及到签字的位置手写签字后扫描或者拍照做成PDF的格式上传）并附身份证明。</w:t>
      </w:r>
    </w:p>
    <w:p w14:paraId="7590BD0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16FF83D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4AEB24D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300B4F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11D81CC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37F5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600FE48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供应商必须按照磋商文件的变动情况和磋商小组的要求重新提交响应文件，并由其法定代表人(负责人、自然人)或相应的授权委托代表个人CA证书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章的可在响应文件中涉及到签字的位置手写签字后扫描或者拍照做成PDF的格式上传）或者加盖供应商公章（CA证书签章）。逾时不交的，视同放弃磋商。</w:t>
      </w:r>
    </w:p>
    <w:p w14:paraId="4B3C0A3F">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4FD01B4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1290797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15.7.2最后报价是供应商响应文件的有效组成部分。</w:t>
      </w:r>
    </w:p>
    <w:p w14:paraId="7825902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w:t>
      </w:r>
      <w:r>
        <w:rPr>
          <w:rFonts w:hint="eastAsia" w:ascii="宋体" w:hAnsi="宋体" w:cs="宋体"/>
          <w:color w:val="auto"/>
          <w:sz w:val="21"/>
          <w:szCs w:val="21"/>
          <w:highlight w:val="none"/>
          <w:lang w:val="en-US" w:eastAsia="zh-CN"/>
        </w:rPr>
        <w:t>7.3</w:t>
      </w:r>
      <w:r>
        <w:rPr>
          <w:rFonts w:hint="eastAsia" w:ascii="宋体" w:hAnsi="宋体" w:cs="宋体"/>
          <w:color w:val="auto"/>
          <w:sz w:val="21"/>
          <w:szCs w:val="21"/>
          <w:highlight w:val="none"/>
        </w:rPr>
        <w:t>已提交响应文件的供应商，在提交最后报价之前，可以根据磋商情况书面退出磋商。</w:t>
      </w:r>
    </w:p>
    <w:p w14:paraId="5FC49F88">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15.7.4</w:t>
      </w: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r>
        <w:rPr>
          <w:rFonts w:hint="eastAsia" w:ascii="宋体" w:hAnsi="宋体" w:cs="宋体"/>
          <w:color w:val="auto"/>
          <w:sz w:val="21"/>
          <w:szCs w:val="21"/>
          <w:highlight w:val="none"/>
          <w:lang w:eastAsia="zh-CN"/>
        </w:rPr>
        <w:t>磋商过程中磋商文件未作实质性变动的，最后报价不得超出采购预算</w:t>
      </w:r>
      <w:r>
        <w:rPr>
          <w:rFonts w:hint="eastAsia" w:ascii="宋体" w:hAnsi="宋体" w:cs="宋体"/>
          <w:color w:val="auto"/>
          <w:sz w:val="21"/>
          <w:szCs w:val="21"/>
          <w:highlight w:val="none"/>
        </w:rPr>
        <w:t>。</w:t>
      </w:r>
    </w:p>
    <w:p w14:paraId="0F15F431">
      <w:pPr>
        <w:shd w:val="clear"/>
        <w:spacing w:line="380" w:lineRule="exact"/>
        <w:ind w:firstLine="420" w:firstLineChars="200"/>
        <w:rPr>
          <w:rFonts w:hint="eastAsia" w:ascii="宋体" w:hAnsi="宋体" w:cs="宋体"/>
          <w:color w:val="auto"/>
          <w:sz w:val="21"/>
          <w:szCs w:val="21"/>
          <w:highlight w:val="none"/>
        </w:rPr>
      </w:pPr>
      <w:r>
        <w:rPr>
          <w:rFonts w:hint="default" w:ascii="宋体" w:hAnsi="宋体" w:cs="宋体"/>
          <w:color w:val="auto"/>
          <w:sz w:val="21"/>
          <w:szCs w:val="21"/>
          <w:highlight w:val="none"/>
        </w:rPr>
        <w:t>15.8 异常低价审查</w:t>
      </w:r>
    </w:p>
    <w:p w14:paraId="758F1981">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15.8.1 在符合性审查后，若出现以下情形之一的，磋商小组应当启动异常低价审查程序：</w:t>
      </w:r>
    </w:p>
    <w:p w14:paraId="4FC2BE2F">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（1）供应商的响应报价低于全部通过符合性审查供应商响应报价平均值的65%；</w:t>
      </w:r>
    </w:p>
    <w:p w14:paraId="2307C8E3">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（2）供应商的响应报价低于通过符合性审查的次低报价供应商响应报价的65%；</w:t>
      </w:r>
    </w:p>
    <w:p w14:paraId="51F3AF10">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（3）供应商的响应报价低于采购项目最高限价的65%；</w:t>
      </w:r>
    </w:p>
    <w:p w14:paraId="63DBFF22">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（4）磋商小组基于专业判断，认为供应商报价过低，有可能影响产品质量或者不能诚信履约的其他情形。</w:t>
      </w:r>
    </w:p>
    <w:p w14:paraId="577DFA8F">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15.8.2 启动异常低价审查后，磋商小组应当要求相关供应商在评审现场合理时间内（一般不少于30分钟）对报价作出解释，并提供书面说明及必要的证明材料（包括但不限于项目具体成本测算、原材料成本、人工成本、管理费、利润等）。</w:t>
      </w:r>
    </w:p>
    <w:p w14:paraId="55FBAC78">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15.8.3 供应商不能提供书面说明、证明材料，或者提供的说明、证明材料不能证明其报价合理性的，磋商小组应当将其作为无效响应处理。</w:t>
      </w:r>
    </w:p>
    <w:p w14:paraId="1DAAC8E6">
      <w:pPr>
        <w:shd w:val="clear"/>
        <w:spacing w:line="380" w:lineRule="exact"/>
        <w:ind w:firstLine="420" w:firstLineChars="200"/>
        <w:rPr>
          <w:rFonts w:hint="default" w:ascii="宋体" w:hAnsi="宋体" w:cs="宋体"/>
          <w:color w:val="auto"/>
          <w:sz w:val="21"/>
          <w:szCs w:val="21"/>
          <w:highlight w:val="none"/>
        </w:rPr>
      </w:pPr>
      <w:r>
        <w:rPr>
          <w:rFonts w:hint="default" w:ascii="宋体" w:hAnsi="宋体" w:cs="宋体"/>
          <w:color w:val="auto"/>
          <w:sz w:val="21"/>
          <w:szCs w:val="21"/>
          <w:highlight w:val="none"/>
        </w:rPr>
        <w:t>15.8.4 异常低价审查的启动原因、审查意见和审查结果应当在评审报告中详细记录，并随供应商提供的相关说明及证明材料一并归档。</w:t>
      </w:r>
    </w:p>
    <w:p w14:paraId="4E0DF3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2D57F4A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15.9.1磋商小组按竞争性磋商文件中规定的评审办法，对资格性审查和符合性审查合格的响应文件进行商务和技术评估，综合比较与评价。</w:t>
      </w:r>
    </w:p>
    <w:p w14:paraId="49CA67F9">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7065CF5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7C638A1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15.10在评审过程中出现法律法规和磋商文件均没有明确规定的情形时，由磋商小组现场协商解决，协商不一致的，由全体磋商小组投票表决，以得票率二分之一以上专家的意见为准。</w:t>
      </w:r>
    </w:p>
    <w:p w14:paraId="2E1E9835">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6615B58">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42571D4D">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5C2CD3A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3881E4E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1C6F6225">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714E7C7">
      <w:pPr>
        <w:widowControl/>
        <w:shd w:val="clear" w:color="auto"/>
        <w:spacing w:line="380" w:lineRule="exact"/>
        <w:jc w:val="left"/>
        <w:rPr>
          <w:rFonts w:hint="eastAsia" w:ascii="宋体" w:hAnsi="宋体" w:cs="宋体"/>
          <w:b/>
          <w:color w:val="auto"/>
          <w:sz w:val="21"/>
          <w:szCs w:val="21"/>
          <w:highlight w:val="none"/>
          <w:lang w:eastAsia="zh-CN"/>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5.1、5.2条为认定为串通投标、按无效投标处理的情形。除此之外，出现第17条所述情况之一的，其响应文件按无效处理。</w:t>
      </w:r>
      <w:r>
        <w:rPr>
          <w:rFonts w:hint="eastAsia" w:ascii="宋体" w:hAnsi="宋体" w:cs="宋体"/>
          <w:b/>
          <w:color w:val="auto"/>
          <w:sz w:val="21"/>
          <w:szCs w:val="21"/>
          <w:highlight w:val="none"/>
          <w:lang w:eastAsia="zh-CN"/>
        </w:rPr>
        <w:t>）</w:t>
      </w:r>
    </w:p>
    <w:p w14:paraId="1C823D1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7ED101A0">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（2）不具备磋商文件规定的资格要求的；</w:t>
      </w:r>
    </w:p>
    <w:p w14:paraId="2D433B4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）响应文件未按磋商文件的内容和要求编制，或提供虚假材料的；</w:t>
      </w:r>
    </w:p>
    <w:p w14:paraId="48F07C10">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）响应文件有效期、服务期限、服务承诺不能满足磋商文件要求的；</w:t>
      </w:r>
    </w:p>
    <w:p w14:paraId="2C85C2A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）供应商未就“项目需求”中的所有服务内容作完整唯一报价的；</w:t>
      </w:r>
    </w:p>
    <w:p w14:paraId="6AEC2DCE">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）未在磋商小组规定的时间内重新提交响应文件的；</w:t>
      </w:r>
    </w:p>
    <w:p w14:paraId="56F4BCD0">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）未满足磋商文件实质性要求的；或者响应文件有采购人不能接受的附加条件的；</w:t>
      </w:r>
    </w:p>
    <w:p w14:paraId="2E7E155E">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）不符合法律、法规和磋商文件规定的其他实质性要求和条件的。</w:t>
      </w:r>
    </w:p>
    <w:p w14:paraId="2AB38227">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2C3371B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07DF740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C933C68">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4855453">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3A8AAC6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6DEF86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(1)电子交易平台发生故障而无法登录访问的：</w:t>
      </w:r>
    </w:p>
    <w:p w14:paraId="26A263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(2)电子交易平台应用或数据库出现错误，不能进行正常操作的：</w:t>
      </w:r>
    </w:p>
    <w:p w14:paraId="770B32F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(3)电子交易平台发现严重安全漏洞，有潜在泄密危险的；</w:t>
      </w:r>
    </w:p>
    <w:p w14:paraId="19C9F69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(4)病毒发作导致不能进行正常操作的；</w:t>
      </w:r>
    </w:p>
    <w:p w14:paraId="479F56D2">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(5)其他无法保证电子交易的公平、公正和安全的情况。</w:t>
      </w:r>
    </w:p>
    <w:p w14:paraId="5E75369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109B6C1">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DF03DC3">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4CE3878A">
      <w:pPr>
        <w:shd w:val="clear"/>
        <w:snapToGrid w:val="0"/>
        <w:spacing w:line="380" w:lineRule="exact"/>
        <w:outlineLvl w:val="4"/>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21.信用查询</w:t>
      </w:r>
    </w:p>
    <w:p w14:paraId="7DBAB3C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9734B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⑴查询渠道：“信用中国”网站(www.creditchina.gov.cn)、中国政府采购网(www.ccgp.gov.cn)等；</w:t>
      </w:r>
    </w:p>
    <w:p w14:paraId="2AAA752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372BF2E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66B6DA64">
      <w:pPr>
        <w:shd w:val="clear"/>
        <w:snapToGrid w:val="0"/>
        <w:spacing w:line="380" w:lineRule="exact"/>
        <w:ind w:firstLine="411" w:firstLineChars="196"/>
        <w:outlineLvl w:val="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5EB93C7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4762E94">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C04545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0E412CC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0BF9E55F">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10B58CAF">
      <w:pPr>
        <w:pStyle w:val="34"/>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1D047A4B">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.详见“</w:t>
      </w:r>
      <w:r>
        <w:rPr>
          <w:rFonts w:hint="eastAsia" w:ascii="宋体" w:hAnsi="宋体"/>
          <w:color w:val="auto"/>
          <w:szCs w:val="21"/>
          <w:highlight w:val="none"/>
          <w:lang w:eastAsia="zh-CN"/>
        </w:rPr>
        <w:t>供应商</w:t>
      </w:r>
      <w:r>
        <w:rPr>
          <w:rFonts w:ascii="宋体" w:hAnsi="宋体"/>
          <w:color w:val="auto"/>
          <w:szCs w:val="21"/>
          <w:highlight w:val="none"/>
        </w:rPr>
        <w:t>须知前附表”。</w:t>
      </w:r>
    </w:p>
    <w:p w14:paraId="46D93479">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1C67434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.详见“</w:t>
      </w:r>
      <w:r>
        <w:rPr>
          <w:rFonts w:hint="eastAsia" w:ascii="宋体" w:hAnsi="宋体"/>
          <w:color w:val="auto"/>
          <w:szCs w:val="21"/>
          <w:highlight w:val="none"/>
          <w:lang w:eastAsia="zh-CN"/>
        </w:rPr>
        <w:t>供应商</w:t>
      </w:r>
      <w:r>
        <w:rPr>
          <w:rFonts w:ascii="宋体" w:hAnsi="宋体"/>
          <w:color w:val="auto"/>
          <w:szCs w:val="21"/>
          <w:highlight w:val="none"/>
        </w:rPr>
        <w:t>须知前附表”。</w:t>
      </w:r>
    </w:p>
    <w:p w14:paraId="1AC57A60">
      <w:pPr>
        <w:pStyle w:val="35"/>
        <w:rPr>
          <w:color w:val="auto"/>
          <w:highlight w:val="none"/>
        </w:rPr>
      </w:pPr>
    </w:p>
    <w:p w14:paraId="439FADCD">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1EE1D59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70A5A67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lang w:eastAsia="zh-CN"/>
        </w:rPr>
        <w:t>供应商</w:t>
      </w:r>
      <w:r>
        <w:rPr>
          <w:rFonts w:ascii="宋体" w:hAnsi="宋体" w:cs="宋体"/>
          <w:color w:val="auto"/>
          <w:highlight w:val="none"/>
        </w:rPr>
        <w:t>认为采购文件、采购过程、成交结果使自己的权益受到损害的，可以在知道或者应知其权益受到损害之日起7个工作日内，以书面形式向采购人、采购代理机构提出质疑。</w:t>
      </w:r>
      <w:r>
        <w:rPr>
          <w:rFonts w:hint="eastAsia" w:ascii="宋体" w:hAnsi="宋体" w:cs="宋体"/>
          <w:color w:val="auto"/>
          <w:highlight w:val="none"/>
          <w:lang w:eastAsia="zh-CN"/>
        </w:rPr>
        <w:t>供应商</w:t>
      </w:r>
      <w:r>
        <w:rPr>
          <w:rFonts w:ascii="宋体" w:hAnsi="宋体" w:cs="宋体"/>
          <w:color w:val="auto"/>
          <w:highlight w:val="none"/>
        </w:rPr>
        <w:t>应在法定质疑期内一次性提出针对同一采购程序环节的质疑。</w:t>
      </w:r>
    </w:p>
    <w:p w14:paraId="1AB28E6D">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w:t>
      </w:r>
      <w:r>
        <w:rPr>
          <w:rFonts w:hint="eastAsia" w:ascii="宋体" w:hAnsi="宋体" w:cs="宋体"/>
          <w:color w:val="auto"/>
          <w:highlight w:val="none"/>
          <w:lang w:eastAsia="zh-CN"/>
        </w:rPr>
        <w:t>供应商</w:t>
      </w:r>
      <w:r>
        <w:rPr>
          <w:rFonts w:ascii="宋体" w:hAnsi="宋体" w:cs="宋体"/>
          <w:color w:val="auto"/>
          <w:highlight w:val="none"/>
        </w:rPr>
        <w:t>（以下简称质疑</w:t>
      </w:r>
      <w:r>
        <w:rPr>
          <w:rFonts w:hint="eastAsia" w:ascii="宋体" w:hAnsi="宋体" w:cs="宋体"/>
          <w:color w:val="auto"/>
          <w:highlight w:val="none"/>
          <w:lang w:eastAsia="zh-CN"/>
        </w:rPr>
        <w:t>供应商</w:t>
      </w:r>
      <w:r>
        <w:rPr>
          <w:rFonts w:ascii="宋体" w:hAnsi="宋体" w:cs="宋体"/>
          <w:color w:val="auto"/>
          <w:highlight w:val="none"/>
        </w:rPr>
        <w:t>）应当是参与所质疑项目采购活动的</w:t>
      </w:r>
      <w:r>
        <w:rPr>
          <w:rFonts w:hint="eastAsia" w:ascii="宋体" w:hAnsi="宋体" w:cs="宋体"/>
          <w:color w:val="auto"/>
          <w:highlight w:val="none"/>
          <w:lang w:eastAsia="zh-CN"/>
        </w:rPr>
        <w:t>供应商</w:t>
      </w:r>
      <w:r>
        <w:rPr>
          <w:rFonts w:ascii="宋体" w:hAnsi="宋体" w:cs="宋体"/>
          <w:color w:val="auto"/>
          <w:highlight w:val="none"/>
        </w:rPr>
        <w:t>。潜在</w:t>
      </w:r>
      <w:r>
        <w:rPr>
          <w:rFonts w:hint="eastAsia" w:ascii="宋体" w:hAnsi="宋体" w:cs="宋体"/>
          <w:color w:val="auto"/>
          <w:highlight w:val="none"/>
          <w:lang w:eastAsia="zh-CN"/>
        </w:rPr>
        <w:t>供应商</w:t>
      </w:r>
      <w:r>
        <w:rPr>
          <w:rFonts w:ascii="宋体" w:hAnsi="宋体" w:cs="宋体"/>
          <w:color w:val="auto"/>
          <w:highlight w:val="none"/>
        </w:rPr>
        <w:t>已依法获取其可质疑的采购文件的，可以对该文件提出质疑。对采购文件提出质疑的，应当在获取采购文件或者采购文件公告期限届满之日起7个工作日内提出。</w:t>
      </w:r>
    </w:p>
    <w:p w14:paraId="058D7B38">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w:t>
      </w:r>
      <w:r>
        <w:rPr>
          <w:rFonts w:hint="eastAsia" w:ascii="宋体" w:hAnsi="宋体" w:cs="宋体"/>
          <w:color w:val="auto"/>
          <w:highlight w:val="none"/>
          <w:lang w:eastAsia="zh-CN"/>
        </w:rPr>
        <w:t>供应商</w:t>
      </w:r>
      <w:r>
        <w:rPr>
          <w:rFonts w:ascii="宋体" w:hAnsi="宋体" w:cs="宋体"/>
          <w:color w:val="auto"/>
          <w:highlight w:val="none"/>
        </w:rPr>
        <w:t>提出质疑应当提交质疑函和必要的证明材料。质疑函应当包括下列内容：</w:t>
      </w:r>
    </w:p>
    <w:p w14:paraId="31812F36">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lang w:eastAsia="zh-CN"/>
        </w:rPr>
        <w:t>供应商</w:t>
      </w:r>
      <w:r>
        <w:rPr>
          <w:rFonts w:ascii="宋体" w:hAnsi="宋体" w:cs="宋体"/>
          <w:color w:val="auto"/>
          <w:highlight w:val="none"/>
        </w:rPr>
        <w:t>的姓名或者名称、地址、邮编、联系人及联系电话；</w:t>
      </w:r>
    </w:p>
    <w:p w14:paraId="5D92D69A">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62F772D7">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24C3A9C4">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6C61C089">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730DA53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011D41C6">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w:t>
      </w:r>
      <w:r>
        <w:rPr>
          <w:rFonts w:hint="eastAsia" w:ascii="宋体" w:hAnsi="宋体" w:cs="宋体"/>
          <w:color w:val="auto"/>
          <w:highlight w:val="none"/>
          <w:lang w:eastAsia="zh-CN"/>
        </w:rPr>
        <w:t>供应商</w:t>
      </w:r>
      <w:r>
        <w:rPr>
          <w:rFonts w:ascii="宋体" w:hAnsi="宋体" w:cs="宋体"/>
          <w:color w:val="auto"/>
          <w:highlight w:val="none"/>
        </w:rPr>
        <w:t>为自然人的，应当由本人签字；质疑</w:t>
      </w:r>
      <w:r>
        <w:rPr>
          <w:rFonts w:hint="eastAsia" w:ascii="宋体" w:hAnsi="宋体" w:cs="宋体"/>
          <w:color w:val="auto"/>
          <w:highlight w:val="none"/>
          <w:lang w:eastAsia="zh-CN"/>
        </w:rPr>
        <w:t>供应商</w:t>
      </w:r>
      <w:r>
        <w:rPr>
          <w:rFonts w:ascii="宋体" w:hAnsi="宋体" w:cs="宋体"/>
          <w:color w:val="auto"/>
          <w:highlight w:val="none"/>
        </w:rPr>
        <w:t>为法人或者其他组织的，应当由法定代表人或者主要负责人签字和盖章，并加盖公章。</w:t>
      </w:r>
    </w:p>
    <w:p w14:paraId="75BB165B">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w:t>
      </w:r>
      <w:r>
        <w:rPr>
          <w:rFonts w:hint="eastAsia" w:ascii="宋体" w:hAnsi="宋体" w:cs="宋体"/>
          <w:color w:val="auto"/>
          <w:highlight w:val="none"/>
          <w:lang w:eastAsia="zh-CN"/>
        </w:rPr>
        <w:t>供应商</w:t>
      </w:r>
      <w:r>
        <w:rPr>
          <w:rFonts w:ascii="宋体" w:hAnsi="宋体" w:cs="宋体"/>
          <w:color w:val="auto"/>
          <w:highlight w:val="none"/>
        </w:rPr>
        <w:t>可以委托代理人进行质疑。其授权委托书应当载明代理人的姓名或者名称、代理事项、具体权限、期限和相关事项。</w:t>
      </w:r>
      <w:r>
        <w:rPr>
          <w:rFonts w:hint="eastAsia" w:ascii="宋体" w:hAnsi="宋体" w:cs="宋体"/>
          <w:color w:val="auto"/>
          <w:highlight w:val="none"/>
          <w:lang w:eastAsia="zh-CN"/>
        </w:rPr>
        <w:t>供应商</w:t>
      </w:r>
      <w:r>
        <w:rPr>
          <w:rFonts w:ascii="宋体" w:hAnsi="宋体" w:cs="宋体"/>
          <w:color w:val="auto"/>
          <w:highlight w:val="none"/>
        </w:rPr>
        <w:t>为自然人的，应当由本人签字；</w:t>
      </w:r>
      <w:r>
        <w:rPr>
          <w:rFonts w:hint="eastAsia" w:ascii="宋体" w:hAnsi="宋体" w:cs="宋体"/>
          <w:color w:val="auto"/>
          <w:highlight w:val="none"/>
          <w:lang w:eastAsia="zh-CN"/>
        </w:rPr>
        <w:t>供应商</w:t>
      </w:r>
      <w:r>
        <w:rPr>
          <w:rFonts w:ascii="宋体" w:hAnsi="宋体" w:cs="宋体"/>
          <w:color w:val="auto"/>
          <w:highlight w:val="none"/>
        </w:rPr>
        <w:t>为法人或者其他组织的，应当由法定代表人、主要负责人签字和盖章，并加盖公章。代理人提出质疑，应当提交</w:t>
      </w:r>
      <w:r>
        <w:rPr>
          <w:rFonts w:hint="eastAsia" w:ascii="宋体" w:hAnsi="宋体" w:cs="宋体"/>
          <w:color w:val="auto"/>
          <w:highlight w:val="none"/>
          <w:lang w:eastAsia="zh-CN"/>
        </w:rPr>
        <w:t>供应商</w:t>
      </w:r>
      <w:r>
        <w:rPr>
          <w:rFonts w:ascii="宋体" w:hAnsi="宋体" w:cs="宋体"/>
          <w:color w:val="auto"/>
          <w:highlight w:val="none"/>
        </w:rPr>
        <w:t>签署的授权委托书。</w:t>
      </w:r>
    </w:p>
    <w:p w14:paraId="1449BA61">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2EB98D43">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w:t>
      </w:r>
      <w:r>
        <w:rPr>
          <w:rFonts w:hint="eastAsia" w:ascii="宋体" w:hAnsi="宋体" w:cs="宋体"/>
          <w:color w:val="auto"/>
          <w:highlight w:val="none"/>
          <w:lang w:eastAsia="zh-CN"/>
        </w:rPr>
        <w:t>供应商</w:t>
      </w:r>
      <w:r>
        <w:rPr>
          <w:rFonts w:ascii="宋体" w:hAnsi="宋体" w:cs="宋体"/>
          <w:color w:val="auto"/>
          <w:highlight w:val="none"/>
        </w:rPr>
        <w:t>的质疑函后7个工作日内作出答复，并以书面形式通知质疑</w:t>
      </w:r>
      <w:r>
        <w:rPr>
          <w:rFonts w:hint="eastAsia" w:ascii="宋体" w:hAnsi="宋体" w:cs="宋体"/>
          <w:color w:val="auto"/>
          <w:highlight w:val="none"/>
          <w:lang w:eastAsia="zh-CN"/>
        </w:rPr>
        <w:t>供应商</w:t>
      </w:r>
      <w:r>
        <w:rPr>
          <w:rFonts w:ascii="宋体" w:hAnsi="宋体" w:cs="宋体"/>
          <w:color w:val="auto"/>
          <w:highlight w:val="none"/>
        </w:rPr>
        <w:t>和其他有关</w:t>
      </w:r>
      <w:r>
        <w:rPr>
          <w:rFonts w:hint="eastAsia" w:ascii="宋体" w:hAnsi="宋体" w:cs="宋体"/>
          <w:color w:val="auto"/>
          <w:highlight w:val="none"/>
          <w:lang w:eastAsia="zh-CN"/>
        </w:rPr>
        <w:t>供应商</w:t>
      </w:r>
      <w:r>
        <w:rPr>
          <w:rFonts w:ascii="宋体" w:hAnsi="宋体" w:cs="宋体"/>
          <w:color w:val="auto"/>
          <w:highlight w:val="none"/>
        </w:rPr>
        <w:t>。但答复的内容不得涉及商业秘密。</w:t>
      </w:r>
    </w:p>
    <w:p w14:paraId="0816160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9B2A49A">
      <w:pPr>
        <w:pStyle w:val="34"/>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w:t>
      </w:r>
      <w:r>
        <w:rPr>
          <w:rFonts w:hint="eastAsia" w:ascii="宋体" w:hAnsi="宋体" w:cs="宋体"/>
          <w:color w:val="auto"/>
          <w:highlight w:val="none"/>
          <w:lang w:eastAsia="zh-CN"/>
        </w:rPr>
        <w:t>供应商</w:t>
      </w:r>
      <w:r>
        <w:rPr>
          <w:rFonts w:ascii="宋体" w:hAnsi="宋体" w:cs="宋体"/>
          <w:color w:val="auto"/>
          <w:highlight w:val="none"/>
        </w:rPr>
        <w:t>对采购人、采购代理机构的答复不满意，或者采购人、采购代理机构未在规定时间内作出答复的，可以在答复期满后15个工作日内向同级监管部门提起投诉。</w:t>
      </w:r>
    </w:p>
    <w:p w14:paraId="6F602A15">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77BA1EB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657B43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.2发出成交通知书后，成交供应商有提供虚假材料或虚假承诺或未按相关规定与采购人签订合同等事宜的的，成交无效；给采购人造成的损失的，成交供应商还应当予以赔偿。</w:t>
      </w:r>
    </w:p>
    <w:p w14:paraId="12A60D91">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.3发出成交通知书后，采购人无正当理由拒签合同的并给成交供应商造成损失的，应当赔偿损失。</w:t>
      </w:r>
    </w:p>
    <w:p w14:paraId="2637564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.4成交供应商因不可抗力或者自身原因不能履行采购合同的，采购人可以与排位在成交供应商之后第一位的成交候选供应商签订采购合同（或重新招标），以此类推。</w:t>
      </w:r>
    </w:p>
    <w:p w14:paraId="6F569E29">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26.5采购合同是采购项目验收</w:t>
      </w:r>
      <w:r>
        <w:rPr>
          <w:rFonts w:ascii="宋体" w:hAnsi="宋体"/>
          <w:color w:val="auto"/>
          <w:szCs w:val="21"/>
          <w:highlight w:val="none"/>
        </w:rPr>
        <w:t>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446E4FB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26</w:t>
      </w:r>
      <w:r>
        <w:rPr>
          <w:rFonts w:ascii="宋体" w:hAnsi="宋体"/>
          <w:color w:val="auto"/>
          <w:szCs w:val="21"/>
          <w:highlight w:val="none"/>
        </w:rPr>
        <w:t>.6采购人或成交供应商在合同履行过程中存在违反采购合同行为的，权益受损当事人应当将有关违约的情况以及拟采取的措施，及时书面报告采购代理机构。</w:t>
      </w:r>
    </w:p>
    <w:p w14:paraId="09478DC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sectPr>
          <w:pgSz w:w="11906" w:h="16838"/>
          <w:pgMar w:top="1134" w:right="1134" w:bottom="1134" w:left="1417" w:header="851" w:footer="851" w:gutter="0"/>
          <w:cols w:space="720" w:num="1"/>
          <w:formProt w:val="1"/>
          <w:docGrid w:linePitch="312" w:charSpace="43007"/>
        </w:sectPr>
      </w:pPr>
      <w:r>
        <w:rPr>
          <w:rFonts w:hint="eastAsia" w:ascii="宋体" w:hAnsi="宋体"/>
          <w:color w:val="auto"/>
          <w:szCs w:val="21"/>
          <w:highlight w:val="none"/>
        </w:rPr>
        <w:t>26</w:t>
      </w:r>
      <w:r>
        <w:rPr>
          <w:rFonts w:ascii="宋体" w:hAnsi="宋体"/>
          <w:color w:val="auto"/>
          <w:szCs w:val="21"/>
          <w:highlight w:val="none"/>
        </w:rPr>
        <w:t>.7成交供应商拒绝签订采购合同的，并给采购人造成其损失的，还应当赔偿损失，并作为不良行为记录在案。同时，已缴纳的成交服务费不予退还。</w:t>
      </w:r>
    </w:p>
    <w:p w14:paraId="3489B09D">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798E7519">
      <w:pPr>
        <w:pStyle w:val="46"/>
        <w:shd w:val="clear"/>
        <w:ind w:firstLine="480"/>
        <w:rPr>
          <w:rFonts w:hint="eastAsia"/>
          <w:color w:val="auto"/>
          <w:highlight w:val="none"/>
        </w:rPr>
      </w:pPr>
    </w:p>
    <w:p w14:paraId="219BD53D">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7FD619D6">
      <w:pPr>
        <w:shd w:val="clear"/>
        <w:spacing w:line="360" w:lineRule="auto"/>
        <w:ind w:firstLine="400" w:firstLineChars="200"/>
        <w:rPr>
          <w:rFonts w:hint="eastAsia" w:ascii="宋体" w:hAnsi="宋体" w:cs="宋体"/>
          <w:color w:val="auto"/>
          <w:szCs w:val="21"/>
          <w:highlight w:val="none"/>
        </w:rPr>
      </w:pPr>
    </w:p>
    <w:p w14:paraId="2185E679">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9B2E07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5A67BD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5068DFC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9"/>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6DF528EB">
      <w:pPr>
        <w:pStyle w:val="46"/>
        <w:shd w:val="clear"/>
        <w:ind w:firstLine="420"/>
        <w:rPr>
          <w:rFonts w:hint="eastAsia" w:ascii="宋体" w:hAnsi="宋体" w:cs="宋体"/>
          <w:color w:val="auto"/>
          <w:sz w:val="21"/>
          <w:szCs w:val="21"/>
          <w:highlight w:val="none"/>
        </w:rPr>
      </w:pPr>
    </w:p>
    <w:p w14:paraId="11DABBE6">
      <w:pPr>
        <w:shd w:val="clear"/>
        <w:spacing w:line="360" w:lineRule="auto"/>
        <w:rPr>
          <w:rFonts w:hint="eastAsia" w:ascii="宋体" w:hAnsi="宋体" w:cs="宋体"/>
          <w:color w:val="auto"/>
          <w:szCs w:val="21"/>
          <w:highlight w:val="none"/>
        </w:rPr>
      </w:pPr>
    </w:p>
    <w:p w14:paraId="74145404">
      <w:pPr>
        <w:pStyle w:val="46"/>
        <w:shd w:val="clear"/>
        <w:ind w:firstLine="420"/>
        <w:rPr>
          <w:rFonts w:hint="eastAsia" w:ascii="宋体" w:hAnsi="宋体" w:cs="宋体"/>
          <w:color w:val="auto"/>
          <w:sz w:val="21"/>
          <w:szCs w:val="21"/>
          <w:highlight w:val="none"/>
        </w:rPr>
      </w:pPr>
    </w:p>
    <w:p w14:paraId="50D3C105">
      <w:pPr>
        <w:shd w:val="clear"/>
        <w:spacing w:line="360" w:lineRule="auto"/>
        <w:rPr>
          <w:rFonts w:hint="eastAsia" w:ascii="宋体" w:hAnsi="宋体" w:cs="宋体"/>
          <w:color w:val="auto"/>
          <w:szCs w:val="21"/>
          <w:highlight w:val="none"/>
        </w:rPr>
      </w:pPr>
    </w:p>
    <w:p w14:paraId="14FA506D">
      <w:pPr>
        <w:shd w:val="clear"/>
        <w:spacing w:line="360" w:lineRule="auto"/>
        <w:rPr>
          <w:rFonts w:hint="eastAsia" w:ascii="宋体" w:hAnsi="宋体" w:cs="宋体"/>
          <w:color w:val="auto"/>
          <w:szCs w:val="21"/>
          <w:highlight w:val="none"/>
        </w:rPr>
      </w:pPr>
    </w:p>
    <w:p w14:paraId="225E8886">
      <w:pPr>
        <w:pStyle w:val="46"/>
        <w:shd w:val="clear"/>
        <w:ind w:firstLine="420"/>
        <w:rPr>
          <w:rFonts w:hint="eastAsia" w:ascii="宋体" w:hAnsi="宋体" w:cs="宋体"/>
          <w:color w:val="auto"/>
          <w:sz w:val="21"/>
          <w:szCs w:val="21"/>
          <w:highlight w:val="none"/>
        </w:rPr>
      </w:pPr>
    </w:p>
    <w:p w14:paraId="1262ED4F">
      <w:pPr>
        <w:shd w:val="clear"/>
        <w:spacing w:line="360" w:lineRule="auto"/>
        <w:rPr>
          <w:rFonts w:hint="eastAsia" w:ascii="宋体" w:hAnsi="宋体" w:cs="宋体"/>
          <w:color w:val="auto"/>
          <w:szCs w:val="21"/>
          <w:highlight w:val="none"/>
        </w:rPr>
      </w:pPr>
    </w:p>
    <w:p w14:paraId="4DF6B379">
      <w:pPr>
        <w:shd w:val="clear"/>
        <w:spacing w:line="360" w:lineRule="auto"/>
        <w:rPr>
          <w:rFonts w:hint="eastAsia" w:ascii="宋体" w:hAnsi="宋体" w:cs="宋体"/>
          <w:color w:val="auto"/>
          <w:szCs w:val="21"/>
          <w:highlight w:val="none"/>
        </w:rPr>
      </w:pPr>
    </w:p>
    <w:p w14:paraId="3F7D97E3">
      <w:pPr>
        <w:pStyle w:val="46"/>
        <w:shd w:val="clear"/>
        <w:ind w:firstLine="420"/>
        <w:rPr>
          <w:rFonts w:hint="eastAsia" w:ascii="宋体" w:hAnsi="宋体" w:cs="宋体"/>
          <w:color w:val="auto"/>
          <w:sz w:val="21"/>
          <w:szCs w:val="21"/>
          <w:highlight w:val="none"/>
        </w:rPr>
      </w:pPr>
    </w:p>
    <w:p w14:paraId="163D8E72">
      <w:pPr>
        <w:shd w:val="clear"/>
        <w:spacing w:line="360" w:lineRule="auto"/>
        <w:rPr>
          <w:rFonts w:hint="eastAsia" w:ascii="宋体" w:hAnsi="宋体" w:cs="宋体"/>
          <w:color w:val="auto"/>
          <w:szCs w:val="21"/>
          <w:highlight w:val="none"/>
        </w:rPr>
      </w:pPr>
    </w:p>
    <w:p w14:paraId="0A14BE97">
      <w:pPr>
        <w:pStyle w:val="46"/>
        <w:shd w:val="clear"/>
        <w:ind w:firstLine="420"/>
        <w:rPr>
          <w:rFonts w:hint="eastAsia" w:ascii="宋体" w:hAnsi="宋体" w:cs="宋体"/>
          <w:color w:val="auto"/>
          <w:sz w:val="21"/>
          <w:szCs w:val="21"/>
          <w:highlight w:val="none"/>
        </w:rPr>
      </w:pPr>
    </w:p>
    <w:p w14:paraId="6E18C712">
      <w:pPr>
        <w:shd w:val="clear"/>
        <w:rPr>
          <w:rFonts w:hint="eastAsia" w:ascii="黑体" w:hAnsi="黑体" w:eastAsia="黑体" w:cs="黑体"/>
          <w:color w:val="auto"/>
          <w:szCs w:val="32"/>
          <w:highlight w:val="none"/>
        </w:rPr>
      </w:pPr>
    </w:p>
    <w:p w14:paraId="7F88E43A">
      <w:pPr>
        <w:pStyle w:val="46"/>
        <w:shd w:val="clear"/>
        <w:ind w:firstLine="480"/>
        <w:rPr>
          <w:rFonts w:hint="eastAsia" w:ascii="黑体" w:hAnsi="黑体" w:eastAsia="黑体" w:cs="黑体"/>
          <w:color w:val="auto"/>
          <w:szCs w:val="32"/>
          <w:highlight w:val="none"/>
        </w:rPr>
      </w:pPr>
    </w:p>
    <w:p w14:paraId="07DE60FC">
      <w:pPr>
        <w:shd w:val="clear"/>
        <w:rPr>
          <w:rFonts w:hint="eastAsia" w:ascii="黑体" w:hAnsi="黑体" w:eastAsia="黑体" w:cs="黑体"/>
          <w:color w:val="auto"/>
          <w:szCs w:val="32"/>
          <w:highlight w:val="none"/>
        </w:rPr>
      </w:pPr>
    </w:p>
    <w:p w14:paraId="33574196">
      <w:pPr>
        <w:pStyle w:val="4"/>
        <w:shd w:val="clear"/>
        <w:rPr>
          <w:rFonts w:hint="eastAsia" w:ascii="黑体" w:hAnsi="黑体" w:cs="黑体"/>
          <w:color w:val="auto"/>
          <w:highlight w:val="none"/>
        </w:rPr>
      </w:pPr>
    </w:p>
    <w:p w14:paraId="52859D1C">
      <w:pPr>
        <w:shd w:val="clear"/>
        <w:rPr>
          <w:rFonts w:hint="eastAsia"/>
          <w:color w:val="auto"/>
          <w:highlight w:val="none"/>
        </w:rPr>
      </w:pPr>
    </w:p>
    <w:p w14:paraId="732EA5CC">
      <w:pPr>
        <w:pStyle w:val="4"/>
        <w:shd w:val="clear"/>
        <w:rPr>
          <w:rFonts w:hint="eastAsia"/>
          <w:color w:val="auto"/>
          <w:highlight w:val="none"/>
        </w:rPr>
      </w:pPr>
    </w:p>
    <w:p w14:paraId="306609DA">
      <w:pPr>
        <w:shd w:val="clear"/>
        <w:rPr>
          <w:rFonts w:hint="eastAsia"/>
          <w:color w:val="auto"/>
          <w:highlight w:val="none"/>
        </w:rPr>
      </w:pPr>
    </w:p>
    <w:p w14:paraId="67BD3524">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5521E283">
      <w:pPr>
        <w:pStyle w:val="46"/>
        <w:shd w:val="clear"/>
        <w:ind w:firstLine="480"/>
        <w:rPr>
          <w:color w:val="auto"/>
          <w:highlight w:val="none"/>
        </w:rPr>
      </w:pPr>
    </w:p>
    <w:p w14:paraId="7F3D1880">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0C51C167">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3519735B">
      <w:pPr>
        <w:widowControl/>
        <w:shd w:val="clear"/>
        <w:ind w:firstLine="400" w:firstLineChars="200"/>
        <w:rPr>
          <w:rFonts w:hint="eastAsia"/>
          <w:color w:val="auto"/>
          <w:highlight w:val="none"/>
        </w:rPr>
      </w:pPr>
    </w:p>
    <w:p w14:paraId="12D9C8FA">
      <w:pPr>
        <w:pStyle w:val="46"/>
        <w:shd w:val="clear"/>
        <w:ind w:firstLine="480"/>
        <w:rPr>
          <w:rFonts w:hint="eastAsia"/>
          <w:color w:val="auto"/>
          <w:highlight w:val="none"/>
        </w:rPr>
      </w:pPr>
    </w:p>
    <w:p w14:paraId="160A0285">
      <w:pPr>
        <w:shd w:val="clear"/>
        <w:rPr>
          <w:rFonts w:hint="eastAsia"/>
          <w:color w:val="auto"/>
          <w:highlight w:val="none"/>
        </w:rPr>
      </w:pPr>
    </w:p>
    <w:p w14:paraId="73457574">
      <w:pPr>
        <w:shd w:val="clear"/>
        <w:rPr>
          <w:rFonts w:hint="eastAsia"/>
          <w:color w:val="auto"/>
          <w:highlight w:val="none"/>
        </w:rPr>
      </w:pPr>
    </w:p>
    <w:p w14:paraId="474ADC41">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B0C5AF4">
      <w:pPr>
        <w:pStyle w:val="46"/>
        <w:shd w:val="clear"/>
        <w:ind w:firstLine="480"/>
        <w:rPr>
          <w:color w:val="auto"/>
          <w:highlight w:val="none"/>
        </w:rPr>
      </w:pPr>
    </w:p>
    <w:p w14:paraId="465EAC83">
      <w:pPr>
        <w:pStyle w:val="46"/>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4"/>
        <w:tblW w:w="8314" w:type="dxa"/>
        <w:tblInd w:w="96" w:type="dxa"/>
        <w:tblLayout w:type="fixed"/>
        <w:tblCellMar>
          <w:top w:w="0" w:type="dxa"/>
          <w:left w:w="108" w:type="dxa"/>
          <w:bottom w:w="0" w:type="dxa"/>
          <w:right w:w="108" w:type="dxa"/>
        </w:tblCellMar>
      </w:tblPr>
      <w:tblGrid>
        <w:gridCol w:w="2674"/>
        <w:gridCol w:w="3515"/>
        <w:gridCol w:w="2125"/>
      </w:tblGrid>
      <w:tr w14:paraId="31C99510">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ABD4AD8">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A5D28C">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A735D7">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C1E0F21">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5974C0">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9A61EF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EA18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B1E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1944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0771-78204360771-7820439</w:t>
            </w:r>
          </w:p>
        </w:tc>
      </w:tr>
      <w:tr w14:paraId="118521F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461A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753B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0D24D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56C62F8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A6CDB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15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71BA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2814CA9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AA9C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0AFD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E90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34A5D71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DA3B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9B4B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04049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0771-79286500771-7920613</w:t>
            </w:r>
          </w:p>
        </w:tc>
      </w:tr>
      <w:tr w14:paraId="77956E9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6B1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7CDE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3670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3E35823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874C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D1AB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94AD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07A0F86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EF0D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67708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82A3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02422B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C9289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C16F3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B7A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D9B41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1A1C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FCAA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CD49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2B093F6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C198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5B998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9A3F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30257C7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B7DFB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D64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7FF5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7D6EEDBE">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5E98D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3A933C2">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44DF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A9FC9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7B80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02E2EDF0">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A5FF2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7D65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5871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71D94E39">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6366C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4E5C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26D4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0771-75165110771-7531157</w:t>
            </w:r>
          </w:p>
        </w:tc>
      </w:tr>
      <w:tr w14:paraId="1042797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5CED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EC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5B31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66E2BBF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FCB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DFC24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84C1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1AA9FD9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06F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EA86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B10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5F4A07B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8511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20DA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6171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0771-75361780771-7536177</w:t>
            </w:r>
          </w:p>
        </w:tc>
      </w:tr>
      <w:tr w14:paraId="71F7950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E7E27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D0F2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C6F0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4277F6C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29B0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B3F4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D15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235EBD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97A8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2AB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A437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0DDD156E">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7A4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EC0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BC5A1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A164FD6">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565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E058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34C95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BD1E28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9232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A17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27E7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1E308967">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9D66E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0FF62">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75D8A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2B8F499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6BDA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636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45FE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47D40691">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418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FDD9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37EF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73FA849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E8E6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2D54E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2B57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15C01BCC">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90349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天等县</w:t>
            </w:r>
          </w:p>
        </w:tc>
      </w:tr>
      <w:tr w14:paraId="034BED85">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A50E5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D812DB">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1A79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517BB8FE">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A839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D49DC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96D7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50792EE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D0748">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3CB12">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961C5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1DA9258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5714">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D1651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E2B4D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170324CB">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DF9B9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397E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bidi="ar"/>
              </w:rPr>
              <w:t>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FE0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6B862FF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2194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73C525">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AA9E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3665C2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2DB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65DDF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0800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5E1DBCD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2B35DF">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8202D">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5A618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6FAF4D58">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04E7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261F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84D9E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91B889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1ACF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7220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069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494CD5FC">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A6C7A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6E766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7169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3A4C32D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2824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CB43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C5B24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08B3C952">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890C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F4A66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8DC91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182E1A7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373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7EF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51C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41FA9A5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B57F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7F40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6673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9BE471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7DAD2">
            <w:pPr>
              <w:keepNext w:val="0"/>
              <w:keepLines w:val="0"/>
              <w:widowControl/>
              <w:suppressLineNumbers w:val="0"/>
              <w:shd w:val="clear"/>
              <w:spacing w:before="0" w:beforeAutospacing="0" w:after="0" w:afterAutospacing="0"/>
              <w:ind w:left="0" w:right="0"/>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EABA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D4DC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7DB67C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F548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481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A2541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4AAC63D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E6682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5A3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3367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6968BE2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CC5B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A6DAE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0BADC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13F0564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3DEA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53FD1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C49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6CC0C3C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452FF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7A38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B6642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061B865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66125B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val="en-US" w:eastAsia="zh-CN"/>
              </w:rPr>
              <w:t>凭祥市</w:t>
            </w:r>
          </w:p>
        </w:tc>
      </w:tr>
      <w:tr w14:paraId="24F55A7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7D47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6EA41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03AA5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29EFDCC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06A4E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036D2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3761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7ED2942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8C55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4AC2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DD7D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0771-85250680771-8536852</w:t>
            </w:r>
          </w:p>
        </w:tc>
      </w:tr>
      <w:tr w14:paraId="0D39785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47F6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298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CB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1CF1881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1E44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EFFC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AC80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317CE62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A4DC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D9FE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A8F7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37C65D4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081B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AC8A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E7510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31966FD9">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CB9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AB8A3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9DF4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1CB3C7D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2EC6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DE49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7867E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612EA682">
      <w:pPr>
        <w:pStyle w:val="35"/>
        <w:shd w:val="clear"/>
        <w:rPr>
          <w:color w:val="auto"/>
          <w:highlight w:val="none"/>
        </w:rPr>
      </w:pPr>
    </w:p>
    <w:p w14:paraId="3C3CEA88">
      <w:pPr>
        <w:pStyle w:val="34"/>
        <w:shd w:val="clear"/>
        <w:rPr>
          <w:color w:val="auto"/>
          <w:highlight w:val="none"/>
        </w:rPr>
      </w:pPr>
    </w:p>
    <w:p w14:paraId="340F451E">
      <w:pPr>
        <w:pStyle w:val="35"/>
        <w:shd w:val="clear"/>
        <w:rPr>
          <w:color w:val="auto"/>
          <w:highlight w:val="none"/>
        </w:rPr>
        <w:sectPr>
          <w:pgSz w:w="11906" w:h="16838"/>
          <w:pgMar w:top="1134" w:right="1134" w:bottom="1134" w:left="1417" w:header="851" w:footer="851" w:gutter="0"/>
          <w:cols w:space="720" w:num="1"/>
          <w:formProt w:val="1"/>
          <w:docGrid w:linePitch="312" w:charSpace="43007"/>
        </w:sectPr>
      </w:pPr>
    </w:p>
    <w:p w14:paraId="1A9D3E5E">
      <w:pPr>
        <w:pStyle w:val="34"/>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第三章技术规范</w:t>
      </w:r>
      <w:bookmarkEnd w:id="40"/>
    </w:p>
    <w:p w14:paraId="795603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color w:val="000000"/>
          <w:sz w:val="21"/>
          <w:szCs w:val="21"/>
          <w:highlight w:val="none"/>
        </w:rPr>
        <w:t>一、工程概况</w:t>
      </w:r>
    </w:p>
    <w:p w14:paraId="06115E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eastAsia="zh-CN"/>
        </w:rPr>
        <w:t>天等县龙茗镇益山村八角低产林改造县级示范项目的建设内容包含：（1）八角低产林改造165亩、包含人工砍伐树木6600棵、除草及砍灌木林44000平方，砍树挖根91523棵，无人机飞播农药，施工期内施肥两次等。（2）新建配套生产道路两条，总长0.707km，新建两座涵管，工程具体建设内容以施工图纸及工程量清单为准</w:t>
      </w:r>
      <w:r>
        <w:rPr>
          <w:rFonts w:hint="eastAsia"/>
          <w:color w:val="auto"/>
          <w:sz w:val="21"/>
          <w:szCs w:val="21"/>
          <w:highlight w:val="none"/>
          <w:lang w:val="en-US" w:eastAsia="zh-CN"/>
        </w:rPr>
        <w:t>。</w:t>
      </w:r>
    </w:p>
    <w:p w14:paraId="3AFF20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二、主要技术标准及规范（包括但不限于以下）：</w:t>
      </w:r>
    </w:p>
    <w:p w14:paraId="23264A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《农田建设项目概预算定额及其编制规程》（DB45/T 2954-2024）</w:t>
      </w:r>
    </w:p>
    <w:p w14:paraId="4AA929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《公路路基施工技术规范》（JTG/T 3610-2019）</w:t>
      </w:r>
    </w:p>
    <w:p w14:paraId="0850D6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《公路路面基层施工技术细则》（JTG/T F20-2015）</w:t>
      </w:r>
    </w:p>
    <w:p w14:paraId="2502A7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《公路工程质量检验评定标准 第一册 土建工程》（JTG F80/1-2017）</w:t>
      </w:r>
    </w:p>
    <w:p w14:paraId="3F4B76C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《公路桥涵施工技术规范》（JTG/T 3650-2020）</w:t>
      </w:r>
    </w:p>
    <w:p w14:paraId="0A0D2CB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《砌体结构工程施工质量验收规范》（GB 50203-2011）</w:t>
      </w:r>
    </w:p>
    <w:p w14:paraId="1C1B3B5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《混凝土结构工程施工质量验收规范》（GB 50204-2015）</w:t>
      </w:r>
    </w:p>
    <w:p w14:paraId="1EF6E27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rFonts w:hint="eastAsia"/>
          <w:color w:val="auto"/>
          <w:sz w:val="21"/>
          <w:szCs w:val="21"/>
          <w:highlight w:val="none"/>
          <w:lang w:val="en-US" w:eastAsia="zh-CN"/>
        </w:rPr>
      </w:pPr>
      <w:r>
        <w:rPr>
          <w:rFonts w:hint="eastAsia"/>
          <w:color w:val="auto"/>
          <w:sz w:val="21"/>
          <w:szCs w:val="21"/>
          <w:highlight w:val="none"/>
          <w:lang w:val="en-US" w:eastAsia="zh-CN"/>
        </w:rPr>
        <w:t>广西壮族自治区及崇左市现行相关工程建设技术规程、强制性条文。</w:t>
      </w:r>
    </w:p>
    <w:p w14:paraId="7F02A39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rFonts w:hint="eastAsia"/>
          <w:color w:val="000000"/>
          <w:sz w:val="21"/>
          <w:szCs w:val="21"/>
          <w:highlight w:val="none"/>
          <w:lang w:val="en-US" w:eastAsia="zh-CN"/>
        </w:rPr>
        <w:t>三</w:t>
      </w:r>
      <w:r>
        <w:rPr>
          <w:color w:val="000000"/>
          <w:sz w:val="21"/>
          <w:szCs w:val="21"/>
          <w:highlight w:val="none"/>
        </w:rPr>
        <w:t>、技术及施工要求</w:t>
      </w:r>
    </w:p>
    <w:p w14:paraId="68C6C43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承包人须遵照施工图纸、工程量清单、国家及地方现行规范标准施工，工程质量验收</w:t>
      </w:r>
      <w:r>
        <w:rPr>
          <w:rFonts w:hint="eastAsia" w:ascii="Segoe UI" w:hAnsi="Segoe UI" w:eastAsia="宋体" w:cs="Segoe UI"/>
          <w:i w:val="0"/>
          <w:iCs w:val="0"/>
          <w:caps w:val="0"/>
          <w:color w:val="0F1115"/>
          <w:spacing w:val="0"/>
          <w:sz w:val="22"/>
          <w:szCs w:val="22"/>
          <w:highlight w:val="none"/>
          <w:shd w:val="clear" w:fill="FFFFFF"/>
          <w:lang w:eastAsia="zh-CN"/>
        </w:rPr>
        <w:t>达到国家施工验收规范合格标准</w:t>
      </w:r>
      <w:r>
        <w:rPr>
          <w:color w:val="000000"/>
          <w:sz w:val="21"/>
          <w:szCs w:val="21"/>
          <w:highlight w:val="none"/>
        </w:rPr>
        <w:t>。</w:t>
      </w:r>
    </w:p>
    <w:p w14:paraId="21FD24A5">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林业抚育、飞播、施肥等作业按设计要求实施，确保施工效果；道路、涵管、混凝土、浆砌石等土建工程严格把控材料、工艺与尺寸，满足使用及规范要求。</w:t>
      </w:r>
    </w:p>
    <w:p w14:paraId="2671EC2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color w:val="000000"/>
          <w:sz w:val="21"/>
          <w:szCs w:val="21"/>
          <w:highlight w:val="none"/>
        </w:rPr>
        <w:t>规范现场作业，做好生态保护、安全文明施工，按期完成全部工程内容并通过验收。</w:t>
      </w:r>
    </w:p>
    <w:p w14:paraId="29BDE8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2" w:firstLineChars="200"/>
        <w:jc w:val="left"/>
        <w:rPr>
          <w:color w:val="000000"/>
          <w:sz w:val="21"/>
          <w:szCs w:val="21"/>
          <w:highlight w:val="none"/>
        </w:rPr>
      </w:pPr>
      <w:r>
        <w:rPr>
          <w:rFonts w:hint="eastAsia"/>
          <w:color w:val="000000"/>
          <w:sz w:val="21"/>
          <w:szCs w:val="21"/>
          <w:highlight w:val="none"/>
          <w:lang w:val="en-US" w:eastAsia="zh-CN"/>
        </w:rPr>
        <w:t>四</w:t>
      </w:r>
      <w:r>
        <w:rPr>
          <w:color w:val="000000"/>
          <w:sz w:val="21"/>
          <w:szCs w:val="21"/>
          <w:highlight w:val="none"/>
        </w:rPr>
        <w:t>、其他要求</w:t>
      </w:r>
    </w:p>
    <w:p w14:paraId="3F6BB81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20" w:firstLineChars="200"/>
        <w:jc w:val="left"/>
        <w:rPr>
          <w:color w:val="000000"/>
          <w:sz w:val="21"/>
          <w:szCs w:val="21"/>
          <w:highlight w:val="none"/>
        </w:rPr>
      </w:pPr>
      <w:r>
        <w:rPr>
          <w:rFonts w:ascii="宋体" w:hAnsi="宋体" w:eastAsia="宋体" w:cs="宋体"/>
          <w:color w:val="000000"/>
          <w:kern w:val="0"/>
          <w:sz w:val="21"/>
          <w:szCs w:val="21"/>
          <w:highlight w:val="none"/>
          <w:lang w:val="en-US" w:eastAsia="zh-CN" w:bidi="ar"/>
        </w:rPr>
        <w:t>进场材料质量合格，各项工序符合行业技术标准，服从招标人及现场管理单位监督管理。</w:t>
      </w:r>
    </w:p>
    <w:p w14:paraId="5EC2AE17">
      <w:pPr>
        <w:pStyle w:val="13"/>
        <w:shd w:val="clear"/>
        <w:spacing w:line="360" w:lineRule="auto"/>
        <w:jc w:val="center"/>
        <w:rPr>
          <w:b/>
          <w:color w:val="auto"/>
          <w:sz w:val="32"/>
          <w:szCs w:val="32"/>
          <w:highlight w:val="none"/>
        </w:rPr>
      </w:pPr>
    </w:p>
    <w:p w14:paraId="4252D91B">
      <w:pPr>
        <w:pStyle w:val="13"/>
        <w:shd w:val="clear"/>
        <w:spacing w:line="360" w:lineRule="auto"/>
        <w:jc w:val="center"/>
        <w:rPr>
          <w:b/>
          <w:color w:val="auto"/>
          <w:sz w:val="32"/>
          <w:szCs w:val="32"/>
          <w:highlight w:val="none"/>
        </w:rPr>
      </w:pPr>
    </w:p>
    <w:p w14:paraId="0497ECBC">
      <w:pPr>
        <w:pStyle w:val="13"/>
        <w:shd w:val="clear"/>
        <w:spacing w:line="360" w:lineRule="auto"/>
        <w:jc w:val="center"/>
        <w:rPr>
          <w:b/>
          <w:color w:val="auto"/>
          <w:sz w:val="32"/>
          <w:szCs w:val="32"/>
          <w:highlight w:val="none"/>
        </w:rPr>
      </w:pPr>
    </w:p>
    <w:p w14:paraId="45EEDFDD">
      <w:pPr>
        <w:pStyle w:val="13"/>
        <w:shd w:val="clear"/>
        <w:spacing w:line="360" w:lineRule="auto"/>
        <w:jc w:val="center"/>
        <w:rPr>
          <w:b/>
          <w:color w:val="auto"/>
          <w:sz w:val="32"/>
          <w:szCs w:val="32"/>
          <w:highlight w:val="none"/>
        </w:rPr>
      </w:pPr>
    </w:p>
    <w:p w14:paraId="23AE8B8B">
      <w:pPr>
        <w:pStyle w:val="13"/>
        <w:shd w:val="clear"/>
        <w:spacing w:line="360" w:lineRule="auto"/>
        <w:jc w:val="center"/>
        <w:rPr>
          <w:b/>
          <w:color w:val="auto"/>
          <w:sz w:val="32"/>
          <w:szCs w:val="32"/>
          <w:highlight w:val="none"/>
        </w:rPr>
      </w:pPr>
    </w:p>
    <w:p w14:paraId="1D919481">
      <w:pPr>
        <w:pStyle w:val="13"/>
        <w:shd w:val="clear"/>
        <w:spacing w:line="360" w:lineRule="auto"/>
        <w:jc w:val="center"/>
        <w:rPr>
          <w:b/>
          <w:color w:val="auto"/>
          <w:sz w:val="32"/>
          <w:szCs w:val="32"/>
          <w:highlight w:val="none"/>
        </w:rPr>
      </w:pPr>
    </w:p>
    <w:p w14:paraId="060B36E0">
      <w:pPr>
        <w:pStyle w:val="13"/>
        <w:shd w:val="clear"/>
        <w:spacing w:line="360" w:lineRule="auto"/>
        <w:jc w:val="center"/>
        <w:rPr>
          <w:b/>
          <w:color w:val="auto"/>
          <w:sz w:val="32"/>
          <w:szCs w:val="32"/>
          <w:highlight w:val="none"/>
        </w:rPr>
      </w:pPr>
    </w:p>
    <w:p w14:paraId="593F6DDA">
      <w:pPr>
        <w:pStyle w:val="13"/>
        <w:shd w:val="clear"/>
        <w:spacing w:line="360" w:lineRule="auto"/>
        <w:jc w:val="center"/>
        <w:rPr>
          <w:b/>
          <w:color w:val="auto"/>
          <w:sz w:val="32"/>
          <w:szCs w:val="32"/>
          <w:highlight w:val="none"/>
        </w:rPr>
      </w:pPr>
    </w:p>
    <w:p w14:paraId="5975A98C">
      <w:pPr>
        <w:pStyle w:val="13"/>
        <w:shd w:val="clear"/>
        <w:spacing w:line="360" w:lineRule="auto"/>
        <w:jc w:val="center"/>
        <w:rPr>
          <w:b/>
          <w:color w:val="auto"/>
          <w:sz w:val="32"/>
          <w:szCs w:val="32"/>
          <w:highlight w:val="none"/>
        </w:rPr>
      </w:pPr>
    </w:p>
    <w:p w14:paraId="1635EC50">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第四章响应文件格式</w:t>
      </w:r>
      <w:bookmarkEnd w:id="41"/>
    </w:p>
    <w:p w14:paraId="52DAB71F">
      <w:pPr>
        <w:pStyle w:val="13"/>
        <w:shd w:val="clear"/>
        <w:spacing w:line="360" w:lineRule="auto"/>
        <w:jc w:val="center"/>
        <w:rPr>
          <w:b/>
          <w:color w:val="auto"/>
          <w:sz w:val="32"/>
          <w:szCs w:val="32"/>
          <w:highlight w:val="none"/>
        </w:rPr>
      </w:pPr>
    </w:p>
    <w:p w14:paraId="14DA3B35">
      <w:pPr>
        <w:pStyle w:val="13"/>
        <w:shd w:val="clear"/>
        <w:spacing w:line="360" w:lineRule="auto"/>
        <w:jc w:val="center"/>
        <w:rPr>
          <w:b/>
          <w:color w:val="auto"/>
          <w:sz w:val="32"/>
          <w:szCs w:val="32"/>
          <w:highlight w:val="none"/>
        </w:rPr>
      </w:pPr>
    </w:p>
    <w:p w14:paraId="045592D3">
      <w:pPr>
        <w:pStyle w:val="34"/>
        <w:shd w:val="clear"/>
        <w:rPr>
          <w:b/>
          <w:color w:val="auto"/>
          <w:sz w:val="32"/>
          <w:szCs w:val="32"/>
          <w:highlight w:val="none"/>
        </w:rPr>
      </w:pPr>
    </w:p>
    <w:p w14:paraId="5CBB9F63">
      <w:pPr>
        <w:pStyle w:val="35"/>
        <w:shd w:val="clear"/>
        <w:rPr>
          <w:color w:val="auto"/>
          <w:highlight w:val="none"/>
        </w:rPr>
      </w:pPr>
    </w:p>
    <w:p w14:paraId="098A99C5">
      <w:pPr>
        <w:pStyle w:val="34"/>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4200F5CD">
      <w:pPr>
        <w:pStyle w:val="34"/>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45E61B">
      <w:pPr>
        <w:pStyle w:val="34"/>
        <w:shd w:val="clear"/>
        <w:spacing w:line="360" w:lineRule="auto"/>
        <w:ind w:left="413"/>
        <w:jc w:val="left"/>
        <w:rPr>
          <w:rFonts w:ascii="宋体" w:hAnsi="宋体"/>
          <w:color w:val="auto"/>
          <w:szCs w:val="21"/>
          <w:highlight w:val="none"/>
        </w:rPr>
      </w:pPr>
    </w:p>
    <w:p w14:paraId="32499D7B">
      <w:pPr>
        <w:pStyle w:val="13"/>
        <w:shd w:val="clear"/>
        <w:spacing w:line="360" w:lineRule="auto"/>
        <w:jc w:val="center"/>
        <w:rPr>
          <w:rFonts w:ascii="方正隶书简体" w:hAnsi="方正隶书简体" w:eastAsia="方正隶书简体"/>
          <w:b/>
          <w:color w:val="auto"/>
          <w:sz w:val="30"/>
          <w:szCs w:val="30"/>
          <w:highlight w:val="none"/>
        </w:rPr>
      </w:pPr>
    </w:p>
    <w:p w14:paraId="48DBC13E">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750C9726">
      <w:pPr>
        <w:pStyle w:val="13"/>
        <w:shd w:val="clear"/>
        <w:spacing w:line="360" w:lineRule="auto"/>
        <w:rPr>
          <w:rFonts w:ascii="Times New Roman" w:hAnsi="Times New Roman" w:eastAsia="方正隶书简体"/>
          <w:b/>
          <w:color w:val="auto"/>
          <w:sz w:val="30"/>
          <w:szCs w:val="30"/>
          <w:highlight w:val="none"/>
        </w:rPr>
      </w:pPr>
    </w:p>
    <w:p w14:paraId="7F19788E">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2D5B8EA4">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62C788E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364C2509">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92DD00C">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C447D44">
      <w:pPr>
        <w:pStyle w:val="13"/>
        <w:shd w:val="clear"/>
        <w:spacing w:line="360" w:lineRule="auto"/>
        <w:rPr>
          <w:color w:val="auto"/>
          <w:szCs w:val="21"/>
          <w:highlight w:val="none"/>
        </w:rPr>
      </w:pPr>
    </w:p>
    <w:p w14:paraId="1FA2FFC5">
      <w:pPr>
        <w:pStyle w:val="13"/>
        <w:shd w:val="clear"/>
        <w:spacing w:line="360" w:lineRule="auto"/>
        <w:rPr>
          <w:color w:val="auto"/>
          <w:szCs w:val="21"/>
          <w:highlight w:val="none"/>
        </w:rPr>
      </w:pPr>
    </w:p>
    <w:p w14:paraId="1802A1EC">
      <w:pPr>
        <w:pStyle w:val="13"/>
        <w:shd w:val="clear"/>
        <w:spacing w:line="360" w:lineRule="auto"/>
        <w:rPr>
          <w:color w:val="auto"/>
          <w:szCs w:val="21"/>
          <w:highlight w:val="none"/>
        </w:rPr>
      </w:pPr>
    </w:p>
    <w:p w14:paraId="7929422D">
      <w:pPr>
        <w:pStyle w:val="13"/>
        <w:shd w:val="clear"/>
        <w:spacing w:line="360" w:lineRule="auto"/>
        <w:rPr>
          <w:color w:val="auto"/>
          <w:szCs w:val="21"/>
          <w:highlight w:val="none"/>
        </w:rPr>
      </w:pPr>
    </w:p>
    <w:p w14:paraId="57B46879">
      <w:pPr>
        <w:pStyle w:val="13"/>
        <w:shd w:val="clear"/>
        <w:spacing w:line="360" w:lineRule="auto"/>
        <w:rPr>
          <w:color w:val="auto"/>
          <w:szCs w:val="21"/>
          <w:highlight w:val="none"/>
        </w:rPr>
      </w:pPr>
    </w:p>
    <w:p w14:paraId="567B9EF8">
      <w:pPr>
        <w:pStyle w:val="13"/>
        <w:shd w:val="clear"/>
        <w:spacing w:line="360" w:lineRule="auto"/>
        <w:rPr>
          <w:color w:val="auto"/>
          <w:szCs w:val="21"/>
          <w:highlight w:val="none"/>
        </w:rPr>
      </w:pPr>
    </w:p>
    <w:p w14:paraId="720ABB15">
      <w:pPr>
        <w:pStyle w:val="13"/>
        <w:shd w:val="clear"/>
        <w:spacing w:line="360" w:lineRule="auto"/>
        <w:rPr>
          <w:color w:val="auto"/>
          <w:szCs w:val="21"/>
          <w:highlight w:val="none"/>
        </w:rPr>
      </w:pPr>
    </w:p>
    <w:p w14:paraId="0EDC9133">
      <w:pPr>
        <w:pStyle w:val="34"/>
        <w:shd w:val="clear"/>
        <w:spacing w:line="360" w:lineRule="auto"/>
        <w:ind w:left="481"/>
        <w:jc w:val="center"/>
        <w:rPr>
          <w:rFonts w:ascii="宋体" w:hAnsi="宋体"/>
          <w:b/>
          <w:color w:val="auto"/>
          <w:sz w:val="48"/>
          <w:szCs w:val="48"/>
          <w:highlight w:val="none"/>
        </w:rPr>
      </w:pPr>
    </w:p>
    <w:p w14:paraId="5FBB8AA4">
      <w:pPr>
        <w:pStyle w:val="34"/>
        <w:shd w:val="clear"/>
        <w:spacing w:line="360" w:lineRule="auto"/>
        <w:rPr>
          <w:rFonts w:ascii="宋体" w:hAnsi="宋体"/>
          <w:b/>
          <w:color w:val="auto"/>
          <w:sz w:val="48"/>
          <w:szCs w:val="48"/>
          <w:highlight w:val="none"/>
        </w:rPr>
      </w:pPr>
    </w:p>
    <w:p w14:paraId="342EF596">
      <w:pPr>
        <w:pStyle w:val="3"/>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1CF63B5">
      <w:pPr>
        <w:pStyle w:val="4"/>
        <w:shd w:val="clear"/>
        <w:spacing w:line="360" w:lineRule="auto"/>
        <w:jc w:val="center"/>
        <w:rPr>
          <w:rFonts w:ascii="宋体" w:hAnsi="宋体" w:eastAsia="宋体" w:cs="宋体"/>
          <w:color w:val="auto"/>
          <w:kern w:val="0"/>
          <w:highlight w:val="none"/>
        </w:rPr>
      </w:pPr>
      <w:bookmarkStart w:id="42" w:name="_Toc243630952"/>
      <w:bookmarkStart w:id="43" w:name="_Toc247301829"/>
      <w:bookmarkStart w:id="44" w:name="_Toc28199"/>
      <w:bookmarkStart w:id="45" w:name="_Toc247292436"/>
      <w:bookmarkStart w:id="46" w:name="_Toc255977433"/>
      <w:bookmarkStart w:id="47" w:name="_Toc243584342"/>
      <w:bookmarkStart w:id="48" w:name="_Toc193089296"/>
      <w:bookmarkStart w:id="49" w:name="_Toc29414"/>
      <w:bookmarkStart w:id="50" w:name="_Toc24704"/>
      <w:bookmarkStart w:id="51" w:name="_Toc18079"/>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4"/>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1903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4E5E5B3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5589FC2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C4B640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4545BC3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F4E0FC5">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5C12948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7705944C">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p>
          <w:p w14:paraId="0614765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40BFF56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24E76CF4">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E813902">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4E2AAA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F702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53B844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35BCA9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3D6665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54"/>
          </w:p>
          <w:p w14:paraId="47CF2977">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3807A948">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69B239B7">
      <w:pPr>
        <w:pStyle w:val="34"/>
        <w:shd w:val="clear"/>
        <w:spacing w:line="360" w:lineRule="auto"/>
        <w:jc w:val="center"/>
        <w:rPr>
          <w:rFonts w:ascii="宋体" w:hAnsi="宋体"/>
          <w:b/>
          <w:color w:val="auto"/>
          <w:sz w:val="28"/>
          <w:szCs w:val="28"/>
          <w:highlight w:val="none"/>
        </w:rPr>
      </w:pPr>
    </w:p>
    <w:p w14:paraId="5EC0CAB1">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07FEF219">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86734E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170788F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98D606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eastAsia="zh-CN"/>
        </w:rPr>
        <w:t>拟派项目经理的身份证复印件、注册建造师证和安全生产考核合格证书（B类）复印件以及无在建工程、无中标后未开工项目、且未担任其他项目中标（成交）候选人第一名的承诺函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70DDC97">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DBDEED">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57106092">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11DAC77">
      <w:pPr>
        <w:pStyle w:val="34"/>
        <w:shd w:val="clear"/>
        <w:spacing w:line="360" w:lineRule="auto"/>
        <w:rPr>
          <w:rFonts w:ascii="宋体" w:hAnsi="宋体"/>
          <w:b/>
          <w:color w:val="auto"/>
          <w:sz w:val="28"/>
          <w:szCs w:val="28"/>
          <w:highlight w:val="none"/>
        </w:rPr>
      </w:pPr>
    </w:p>
    <w:p w14:paraId="0E8EB442">
      <w:pPr>
        <w:pStyle w:val="34"/>
        <w:shd w:val="clear"/>
        <w:spacing w:line="360" w:lineRule="auto"/>
        <w:rPr>
          <w:rFonts w:ascii="宋体" w:hAnsi="宋体"/>
          <w:b/>
          <w:color w:val="auto"/>
          <w:sz w:val="28"/>
          <w:szCs w:val="28"/>
          <w:highlight w:val="none"/>
        </w:rPr>
      </w:pPr>
    </w:p>
    <w:p w14:paraId="5F579A94">
      <w:pPr>
        <w:pStyle w:val="35"/>
        <w:shd w:val="clear"/>
        <w:rPr>
          <w:rFonts w:ascii="宋体" w:hAnsi="宋体"/>
          <w:b/>
          <w:color w:val="auto"/>
          <w:sz w:val="28"/>
          <w:szCs w:val="28"/>
          <w:highlight w:val="none"/>
        </w:rPr>
      </w:pPr>
    </w:p>
    <w:p w14:paraId="40736719">
      <w:pPr>
        <w:pStyle w:val="34"/>
        <w:shd w:val="clear"/>
        <w:rPr>
          <w:rFonts w:ascii="宋体" w:hAnsi="宋体"/>
          <w:b/>
          <w:color w:val="auto"/>
          <w:sz w:val="28"/>
          <w:szCs w:val="28"/>
          <w:highlight w:val="none"/>
        </w:rPr>
      </w:pPr>
    </w:p>
    <w:p w14:paraId="138136E4">
      <w:pPr>
        <w:pStyle w:val="35"/>
        <w:shd w:val="clear"/>
        <w:rPr>
          <w:rFonts w:ascii="宋体" w:hAnsi="宋体"/>
          <w:b/>
          <w:color w:val="auto"/>
          <w:sz w:val="28"/>
          <w:szCs w:val="28"/>
          <w:highlight w:val="none"/>
        </w:rPr>
      </w:pPr>
    </w:p>
    <w:p w14:paraId="283768A0">
      <w:pPr>
        <w:pStyle w:val="34"/>
        <w:shd w:val="clear"/>
        <w:rPr>
          <w:rFonts w:ascii="宋体" w:hAnsi="宋体"/>
          <w:b/>
          <w:color w:val="auto"/>
          <w:sz w:val="28"/>
          <w:szCs w:val="28"/>
          <w:highlight w:val="none"/>
        </w:rPr>
      </w:pPr>
    </w:p>
    <w:p w14:paraId="2791FE83">
      <w:pPr>
        <w:pStyle w:val="35"/>
        <w:shd w:val="clear"/>
        <w:rPr>
          <w:rFonts w:ascii="宋体" w:hAnsi="宋体"/>
          <w:b/>
          <w:color w:val="auto"/>
          <w:sz w:val="28"/>
          <w:szCs w:val="28"/>
          <w:highlight w:val="none"/>
        </w:rPr>
      </w:pPr>
    </w:p>
    <w:p w14:paraId="7BFA0414">
      <w:pPr>
        <w:pStyle w:val="34"/>
        <w:shd w:val="clear"/>
        <w:rPr>
          <w:rFonts w:ascii="宋体" w:hAnsi="宋体"/>
          <w:b/>
          <w:color w:val="auto"/>
          <w:sz w:val="28"/>
          <w:szCs w:val="28"/>
          <w:highlight w:val="none"/>
        </w:rPr>
      </w:pPr>
    </w:p>
    <w:p w14:paraId="664338B0">
      <w:pPr>
        <w:pStyle w:val="35"/>
        <w:shd w:val="clear"/>
        <w:rPr>
          <w:rFonts w:ascii="宋体" w:hAnsi="宋体"/>
          <w:b/>
          <w:color w:val="auto"/>
          <w:sz w:val="28"/>
          <w:szCs w:val="28"/>
          <w:highlight w:val="none"/>
        </w:rPr>
      </w:pPr>
    </w:p>
    <w:p w14:paraId="4BDFE597">
      <w:pPr>
        <w:pStyle w:val="34"/>
        <w:shd w:val="clear"/>
        <w:rPr>
          <w:rFonts w:ascii="宋体" w:hAnsi="宋体"/>
          <w:b/>
          <w:color w:val="auto"/>
          <w:sz w:val="28"/>
          <w:szCs w:val="28"/>
          <w:highlight w:val="none"/>
        </w:rPr>
      </w:pPr>
    </w:p>
    <w:p w14:paraId="1F6E49BF">
      <w:pPr>
        <w:pStyle w:val="35"/>
        <w:shd w:val="clear"/>
        <w:rPr>
          <w:rFonts w:ascii="宋体" w:hAnsi="宋体"/>
          <w:b/>
          <w:color w:val="auto"/>
          <w:sz w:val="28"/>
          <w:szCs w:val="28"/>
          <w:highlight w:val="none"/>
        </w:rPr>
      </w:pPr>
    </w:p>
    <w:p w14:paraId="7B549F68">
      <w:pPr>
        <w:pStyle w:val="34"/>
        <w:shd w:val="clear"/>
        <w:rPr>
          <w:rFonts w:ascii="宋体" w:hAnsi="宋体"/>
          <w:b/>
          <w:color w:val="auto"/>
          <w:sz w:val="28"/>
          <w:szCs w:val="28"/>
          <w:highlight w:val="none"/>
        </w:rPr>
      </w:pPr>
    </w:p>
    <w:p w14:paraId="3B4B0B99">
      <w:pPr>
        <w:pStyle w:val="35"/>
        <w:shd w:val="clear"/>
        <w:rPr>
          <w:rFonts w:ascii="宋体" w:hAnsi="宋体"/>
          <w:b/>
          <w:color w:val="auto"/>
          <w:sz w:val="28"/>
          <w:szCs w:val="28"/>
          <w:highlight w:val="none"/>
        </w:rPr>
      </w:pPr>
    </w:p>
    <w:p w14:paraId="6123C7C2">
      <w:pPr>
        <w:pStyle w:val="34"/>
        <w:shd w:val="clear"/>
        <w:rPr>
          <w:rFonts w:ascii="宋体" w:hAnsi="宋体"/>
          <w:b/>
          <w:color w:val="auto"/>
          <w:sz w:val="28"/>
          <w:szCs w:val="28"/>
          <w:highlight w:val="none"/>
        </w:rPr>
      </w:pPr>
    </w:p>
    <w:p w14:paraId="775D5DA6">
      <w:pPr>
        <w:pStyle w:val="35"/>
        <w:shd w:val="clear"/>
        <w:rPr>
          <w:rFonts w:ascii="宋体" w:hAnsi="宋体"/>
          <w:b/>
          <w:color w:val="auto"/>
          <w:sz w:val="28"/>
          <w:szCs w:val="28"/>
          <w:highlight w:val="none"/>
        </w:rPr>
      </w:pPr>
    </w:p>
    <w:p w14:paraId="3EF8D9C9">
      <w:pPr>
        <w:pStyle w:val="34"/>
        <w:shd w:val="clear"/>
        <w:rPr>
          <w:rFonts w:ascii="宋体" w:hAnsi="宋体"/>
          <w:b/>
          <w:color w:val="auto"/>
          <w:sz w:val="28"/>
          <w:szCs w:val="28"/>
          <w:highlight w:val="none"/>
        </w:rPr>
      </w:pPr>
    </w:p>
    <w:p w14:paraId="6ED0517F">
      <w:pPr>
        <w:pStyle w:val="35"/>
        <w:shd w:val="clear"/>
        <w:rPr>
          <w:rFonts w:ascii="宋体" w:hAnsi="宋体"/>
          <w:b/>
          <w:color w:val="auto"/>
          <w:sz w:val="28"/>
          <w:szCs w:val="28"/>
          <w:highlight w:val="none"/>
        </w:rPr>
      </w:pPr>
    </w:p>
    <w:p w14:paraId="7E66F73A">
      <w:pPr>
        <w:pStyle w:val="34"/>
        <w:shd w:val="clear"/>
        <w:rPr>
          <w:rFonts w:ascii="宋体" w:hAnsi="宋体"/>
          <w:b/>
          <w:color w:val="auto"/>
          <w:sz w:val="28"/>
          <w:szCs w:val="28"/>
          <w:highlight w:val="none"/>
        </w:rPr>
      </w:pPr>
    </w:p>
    <w:p w14:paraId="5D1B0F6C">
      <w:pPr>
        <w:pStyle w:val="35"/>
        <w:shd w:val="clear"/>
        <w:rPr>
          <w:rFonts w:ascii="宋体" w:hAnsi="宋体"/>
          <w:b/>
          <w:color w:val="auto"/>
          <w:sz w:val="28"/>
          <w:szCs w:val="28"/>
          <w:highlight w:val="none"/>
        </w:rPr>
      </w:pPr>
    </w:p>
    <w:p w14:paraId="75852A72">
      <w:pPr>
        <w:pStyle w:val="34"/>
        <w:shd w:val="clear"/>
        <w:rPr>
          <w:rFonts w:ascii="宋体" w:hAnsi="宋体"/>
          <w:b/>
          <w:color w:val="auto"/>
          <w:sz w:val="28"/>
          <w:szCs w:val="28"/>
          <w:highlight w:val="none"/>
        </w:rPr>
      </w:pPr>
    </w:p>
    <w:p w14:paraId="35F9B82A">
      <w:pPr>
        <w:pStyle w:val="35"/>
        <w:shd w:val="clear"/>
        <w:rPr>
          <w:color w:val="auto"/>
          <w:highlight w:val="none"/>
        </w:rPr>
      </w:pPr>
    </w:p>
    <w:p w14:paraId="200193E6">
      <w:pPr>
        <w:pStyle w:val="35"/>
        <w:shd w:val="clear"/>
        <w:rPr>
          <w:rFonts w:ascii="宋体" w:hAnsi="宋体"/>
          <w:b/>
          <w:color w:val="auto"/>
          <w:sz w:val="28"/>
          <w:szCs w:val="28"/>
          <w:highlight w:val="none"/>
        </w:rPr>
      </w:pPr>
    </w:p>
    <w:p w14:paraId="134C1A35">
      <w:pPr>
        <w:pStyle w:val="34"/>
        <w:shd w:val="clear"/>
        <w:rPr>
          <w:rFonts w:ascii="宋体" w:hAnsi="宋体"/>
          <w:b/>
          <w:color w:val="auto"/>
          <w:sz w:val="28"/>
          <w:szCs w:val="28"/>
          <w:highlight w:val="none"/>
        </w:rPr>
      </w:pPr>
    </w:p>
    <w:p w14:paraId="0328C6EB">
      <w:pPr>
        <w:pStyle w:val="35"/>
        <w:shd w:val="clear"/>
        <w:rPr>
          <w:color w:val="auto"/>
          <w:highlight w:val="none"/>
        </w:rPr>
      </w:pPr>
    </w:p>
    <w:p w14:paraId="353EE80C">
      <w:pPr>
        <w:pStyle w:val="34"/>
        <w:shd w:val="clear"/>
        <w:rPr>
          <w:color w:val="auto"/>
          <w:highlight w:val="none"/>
        </w:rPr>
      </w:pPr>
    </w:p>
    <w:p w14:paraId="0DF8FFD3">
      <w:pPr>
        <w:pStyle w:val="35"/>
        <w:shd w:val="clear"/>
        <w:rPr>
          <w:color w:val="auto"/>
          <w:highlight w:val="none"/>
        </w:rPr>
      </w:pPr>
    </w:p>
    <w:p w14:paraId="663BA687">
      <w:pPr>
        <w:pStyle w:val="34"/>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763815BC">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0294172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（项目名称）（项目编号：）</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w:t>
      </w:r>
    </w:p>
    <w:p w14:paraId="72E2C32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04E7B86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2.我方具有符合采购文件资格要求的财务状况报告。</w:t>
      </w:r>
    </w:p>
    <w:p w14:paraId="52EB4E7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p>
    <w:p w14:paraId="273A4A4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4.我方具有符合采购文件资格要求履行合同所必需的设备和专业技术能力。</w:t>
      </w:r>
    </w:p>
    <w:p w14:paraId="43EE52EE">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5.我方参加政府采购活动前3年内在经营活动中没有重大违法记录。</w:t>
      </w:r>
    </w:p>
    <w:p w14:paraId="68468AE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75FFCDB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4D5604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00A4FB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供应商名称（盖章）：</w:t>
      </w:r>
    </w:p>
    <w:p w14:paraId="6AF8F47D">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11BAB8A5">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944E8D0">
      <w:pPr>
        <w:pStyle w:val="20"/>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7F3F011C">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07EEC648">
      <w:pPr>
        <w:pStyle w:val="10"/>
        <w:shd w:val="clear"/>
        <w:rPr>
          <w:rFonts w:hint="eastAsia"/>
          <w:color w:val="auto"/>
          <w:highlight w:val="none"/>
        </w:rPr>
      </w:pPr>
    </w:p>
    <w:p w14:paraId="036A51FF">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11154EB">
      <w:pPr>
        <w:pStyle w:val="34"/>
        <w:shd w:val="clear"/>
        <w:spacing w:line="360" w:lineRule="auto"/>
        <w:rPr>
          <w:rFonts w:ascii="宋体" w:hAnsi="宋体"/>
          <w:b/>
          <w:color w:val="auto"/>
          <w:sz w:val="28"/>
          <w:szCs w:val="28"/>
          <w:highlight w:val="none"/>
        </w:rPr>
      </w:pPr>
    </w:p>
    <w:p w14:paraId="02309AC3">
      <w:pPr>
        <w:pStyle w:val="35"/>
        <w:shd w:val="clear"/>
        <w:rPr>
          <w:rFonts w:ascii="宋体" w:hAnsi="宋体"/>
          <w:b/>
          <w:color w:val="auto"/>
          <w:sz w:val="28"/>
          <w:szCs w:val="28"/>
          <w:highlight w:val="none"/>
        </w:rPr>
      </w:pPr>
    </w:p>
    <w:p w14:paraId="1C6EBDDF">
      <w:pPr>
        <w:pStyle w:val="34"/>
        <w:shd w:val="clear"/>
        <w:rPr>
          <w:rFonts w:ascii="宋体" w:hAnsi="宋体"/>
          <w:b/>
          <w:color w:val="auto"/>
          <w:sz w:val="28"/>
          <w:szCs w:val="28"/>
          <w:highlight w:val="none"/>
        </w:rPr>
      </w:pPr>
    </w:p>
    <w:p w14:paraId="4F6013C7">
      <w:pPr>
        <w:pStyle w:val="35"/>
        <w:shd w:val="clear"/>
        <w:rPr>
          <w:rFonts w:ascii="宋体" w:hAnsi="宋体"/>
          <w:b/>
          <w:color w:val="auto"/>
          <w:sz w:val="28"/>
          <w:szCs w:val="28"/>
          <w:highlight w:val="none"/>
        </w:rPr>
      </w:pPr>
    </w:p>
    <w:p w14:paraId="30275D69">
      <w:pPr>
        <w:pStyle w:val="34"/>
        <w:shd w:val="clear"/>
        <w:rPr>
          <w:rFonts w:ascii="宋体" w:hAnsi="宋体"/>
          <w:b/>
          <w:color w:val="auto"/>
          <w:sz w:val="28"/>
          <w:szCs w:val="28"/>
          <w:highlight w:val="none"/>
        </w:rPr>
      </w:pPr>
    </w:p>
    <w:p w14:paraId="1C79F335">
      <w:pPr>
        <w:pStyle w:val="35"/>
        <w:shd w:val="clear"/>
        <w:rPr>
          <w:color w:val="auto"/>
          <w:highlight w:val="none"/>
        </w:rPr>
      </w:pPr>
    </w:p>
    <w:p w14:paraId="7946C475">
      <w:pPr>
        <w:pStyle w:val="34"/>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250A32EE">
      <w:pPr>
        <w:pStyle w:val="35"/>
        <w:shd w:val="clear"/>
        <w:rPr>
          <w:color w:val="auto"/>
          <w:highlight w:val="none"/>
        </w:rPr>
      </w:pPr>
    </w:p>
    <w:p w14:paraId="6FDA23BA">
      <w:pPr>
        <w:pStyle w:val="34"/>
        <w:numPr>
          <w:ilvl w:val="0"/>
          <w:numId w:val="0"/>
        </w:numPr>
        <w:shd w:val="clear"/>
        <w:spacing w:line="360" w:lineRule="auto"/>
        <w:jc w:val="left"/>
        <w:rPr>
          <w:rFonts w:hint="eastAsia" w:ascii="宋体" w:hAnsi="宋体"/>
          <w:b/>
          <w:color w:val="auto"/>
          <w:sz w:val="24"/>
          <w:highlight w:val="none"/>
          <w:lang w:eastAsia="zh-CN"/>
        </w:rPr>
      </w:pPr>
      <w:r>
        <w:rPr>
          <w:rFonts w:hint="eastAsia" w:ascii="宋体" w:hAnsi="宋体"/>
          <w:b/>
          <w:color w:val="auto"/>
          <w:sz w:val="24"/>
          <w:highlight w:val="none"/>
          <w:lang w:val="en-US" w:eastAsia="zh-CN"/>
        </w:rPr>
        <w:t>3、</w:t>
      </w:r>
      <w:r>
        <w:rPr>
          <w:rFonts w:hint="eastAsia" w:ascii="宋体" w:hAnsi="宋体"/>
          <w:b/>
          <w:color w:val="auto"/>
          <w:sz w:val="24"/>
          <w:highlight w:val="none"/>
          <w:lang w:eastAsia="zh-CN"/>
        </w:rPr>
        <w:t>拟派项目经理的身份证复印件、注册建造师证和安全生产考核合格证书（B类）复印件以及无在建工程、无中标后未开工项目、且未担任其他项目中标（成交）候选人第一名的承诺函</w:t>
      </w:r>
    </w:p>
    <w:p w14:paraId="722B6402">
      <w:pPr>
        <w:pStyle w:val="35"/>
        <w:rPr>
          <w:rFonts w:hint="eastAsia" w:ascii="宋体" w:hAnsi="宋体"/>
          <w:b/>
          <w:color w:val="auto"/>
          <w:sz w:val="24"/>
          <w:highlight w:val="none"/>
          <w:lang w:eastAsia="zh-CN"/>
        </w:rPr>
      </w:pPr>
    </w:p>
    <w:p w14:paraId="2A236773">
      <w:pPr>
        <w:pStyle w:val="34"/>
        <w:rPr>
          <w:rFonts w:hint="eastAsia"/>
          <w:highlight w:val="none"/>
          <w:lang w:eastAsia="zh-CN"/>
        </w:rPr>
      </w:pPr>
    </w:p>
    <w:p w14:paraId="3908AC1F">
      <w:pPr>
        <w:pStyle w:val="35"/>
        <w:jc w:val="center"/>
        <w:rPr>
          <w:rFonts w:ascii="宋体" w:hAnsi="宋体" w:eastAsia="宋体" w:cs="宋体"/>
          <w:sz w:val="24"/>
          <w:szCs w:val="24"/>
          <w:highlight w:val="none"/>
        </w:rPr>
      </w:pPr>
      <w:r>
        <w:rPr>
          <w:rFonts w:ascii="宋体" w:hAnsi="宋体" w:eastAsia="宋体" w:cs="宋体"/>
          <w:sz w:val="24"/>
          <w:szCs w:val="24"/>
          <w:highlight w:val="none"/>
        </w:rPr>
        <w:t>项目经理无在建、</w:t>
      </w:r>
      <w:r>
        <w:rPr>
          <w:rFonts w:hint="eastAsia" w:ascii="宋体" w:hAnsi="宋体" w:eastAsia="宋体" w:cs="宋体"/>
          <w:sz w:val="24"/>
          <w:szCs w:val="24"/>
          <w:highlight w:val="none"/>
          <w:lang w:eastAsia="zh-CN"/>
        </w:rPr>
        <w:t>无中标后未开工项目</w:t>
      </w:r>
      <w:r>
        <w:rPr>
          <w:rFonts w:ascii="宋体" w:hAnsi="宋体" w:eastAsia="宋体" w:cs="宋体"/>
          <w:sz w:val="24"/>
          <w:szCs w:val="24"/>
          <w:highlight w:val="none"/>
        </w:rPr>
        <w:t>、无其他项目第一成交候选人承诺函</w:t>
      </w:r>
    </w:p>
    <w:p w14:paraId="3FF9A6B7">
      <w:pPr>
        <w:pStyle w:val="34"/>
        <w:rPr>
          <w:rFonts w:ascii="宋体" w:hAnsi="宋体" w:eastAsia="宋体" w:cs="宋体"/>
          <w:sz w:val="24"/>
          <w:szCs w:val="24"/>
          <w:highlight w:val="none"/>
        </w:rPr>
      </w:pPr>
    </w:p>
    <w:p w14:paraId="5B14B5B8">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致：</w:t>
      </w:r>
      <w:r>
        <w:rPr>
          <w:rFonts w:hint="eastAsia" w:ascii="宋体" w:hAnsi="宋体" w:eastAsia="宋体" w:cs="宋体"/>
          <w:b w:val="0"/>
          <w:bCs/>
          <w:sz w:val="22"/>
          <w:szCs w:val="22"/>
          <w:highlight w:val="none"/>
          <w:lang w:eastAsia="zh-CN"/>
        </w:rPr>
        <w:t>天等县林业局</w:t>
      </w:r>
      <w:r>
        <w:rPr>
          <w:rFonts w:hint="eastAsia" w:ascii="宋体" w:hAnsi="宋体" w:eastAsia="宋体" w:cs="宋体"/>
          <w:b w:val="0"/>
          <w:bCs/>
          <w:sz w:val="22"/>
          <w:szCs w:val="22"/>
          <w:highlight w:val="none"/>
        </w:rPr>
        <w:t>、广西崇善项目咨询有限公司</w:t>
      </w:r>
    </w:p>
    <w:p w14:paraId="2CCBCD27">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lang w:val="en-US" w:eastAsia="zh-CN"/>
        </w:rPr>
        <w:t>本人</w:t>
      </w:r>
      <w:r>
        <w:rPr>
          <w:rFonts w:hint="eastAsia" w:ascii="宋体" w:hAnsi="宋体" w:eastAsia="宋体" w:cs="宋体"/>
          <w:b w:val="0"/>
          <w:bCs/>
          <w:sz w:val="22"/>
          <w:szCs w:val="22"/>
          <w:highlight w:val="none"/>
        </w:rPr>
        <w:t>________，身份证号码：________________</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u w:val="single"/>
          <w:lang w:val="en-US" w:eastAsia="zh-CN"/>
        </w:rPr>
        <w:t>二级注册建造师注册专业和证书编号：        ，</w:t>
      </w:r>
      <w:r>
        <w:rPr>
          <w:rFonts w:hint="eastAsia" w:ascii="宋体" w:hAnsi="宋体" w:eastAsia="宋体" w:cs="宋体"/>
          <w:b w:val="0"/>
          <w:bCs/>
          <w:sz w:val="22"/>
          <w:szCs w:val="22"/>
          <w:highlight w:val="none"/>
          <w:u w:val="single"/>
        </w:rPr>
        <w:t>安全生产考核合格证书（B 类）编号</w:t>
      </w:r>
      <w:r>
        <w:rPr>
          <w:rFonts w:hint="eastAsia" w:ascii="宋体" w:hAnsi="宋体" w:eastAsia="宋体" w:cs="宋体"/>
          <w:b w:val="0"/>
          <w:bCs/>
          <w:sz w:val="22"/>
          <w:szCs w:val="22"/>
          <w:highlight w:val="none"/>
          <w:u w:val="single"/>
          <w:lang w:eastAsia="zh-CN"/>
        </w:rPr>
        <w:t>：</w:t>
      </w:r>
      <w:r>
        <w:rPr>
          <w:rFonts w:hint="eastAsia" w:ascii="宋体" w:hAnsi="宋体" w:eastAsia="宋体" w:cs="宋体"/>
          <w:b w:val="0"/>
          <w:bCs/>
          <w:sz w:val="22"/>
          <w:szCs w:val="22"/>
          <w:highlight w:val="none"/>
          <w:u w:val="single"/>
          <w:lang w:val="en-US" w:eastAsia="zh-CN"/>
        </w:rPr>
        <w:t xml:space="preserve">              </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rPr>
        <w:t>系________________（供应商全称）拟派驻</w:t>
      </w:r>
      <w:r>
        <w:rPr>
          <w:rFonts w:hint="eastAsia" w:ascii="宋体" w:hAnsi="宋体" w:eastAsia="宋体" w:cs="宋体"/>
          <w:b w:val="0"/>
          <w:bCs/>
          <w:sz w:val="22"/>
          <w:szCs w:val="22"/>
          <w:highlight w:val="none"/>
          <w:u w:val="single"/>
          <w:lang w:val="en-US" w:eastAsia="zh-CN"/>
        </w:rPr>
        <w:t xml:space="preserve">      （项目名称和标项名称）   </w:t>
      </w:r>
      <w:r>
        <w:rPr>
          <w:rFonts w:hint="eastAsia" w:ascii="宋体" w:hAnsi="宋体" w:eastAsia="宋体" w:cs="宋体"/>
          <w:b w:val="0"/>
          <w:bCs/>
          <w:sz w:val="22"/>
          <w:szCs w:val="22"/>
          <w:highlight w:val="none"/>
          <w:lang w:val="en-US" w:eastAsia="zh-CN"/>
        </w:rPr>
        <w:t>的</w:t>
      </w:r>
      <w:r>
        <w:rPr>
          <w:rFonts w:hint="eastAsia" w:ascii="宋体" w:hAnsi="宋体" w:eastAsia="宋体" w:cs="宋体"/>
          <w:b w:val="0"/>
          <w:bCs/>
          <w:sz w:val="22"/>
          <w:szCs w:val="22"/>
          <w:highlight w:val="none"/>
        </w:rPr>
        <w:t>项目经理，现郑重作出如下承诺</w:t>
      </w:r>
      <w:r>
        <w:rPr>
          <w:rFonts w:hint="eastAsia" w:ascii="宋体" w:hAnsi="宋体" w:eastAsia="宋体" w:cs="宋体"/>
          <w:b w:val="0"/>
          <w:bCs/>
          <w:sz w:val="22"/>
          <w:szCs w:val="22"/>
          <w:highlight w:val="none"/>
          <w:lang w:eastAsia="zh-CN"/>
        </w:rPr>
        <w:t>，</w:t>
      </w:r>
      <w:r>
        <w:rPr>
          <w:rFonts w:hint="eastAsia" w:ascii="宋体" w:hAnsi="宋体" w:eastAsia="宋体" w:cs="宋体"/>
          <w:b w:val="0"/>
          <w:bCs/>
          <w:sz w:val="22"/>
          <w:szCs w:val="22"/>
          <w:highlight w:val="none"/>
        </w:rPr>
        <w:t>截至本承诺出具之日</w:t>
      </w:r>
      <w:r>
        <w:rPr>
          <w:rFonts w:hint="eastAsia" w:ascii="宋体" w:hAnsi="宋体" w:eastAsia="宋体" w:cs="宋体"/>
          <w:b w:val="0"/>
          <w:bCs/>
          <w:sz w:val="22"/>
          <w:szCs w:val="22"/>
          <w:highlight w:val="none"/>
          <w:lang w:val="en-US" w:eastAsia="zh-CN"/>
        </w:rPr>
        <w:t>前无以下情形</w:t>
      </w:r>
      <w:r>
        <w:rPr>
          <w:rFonts w:hint="eastAsia" w:ascii="宋体" w:hAnsi="宋体" w:eastAsia="宋体" w:cs="宋体"/>
          <w:b w:val="0"/>
          <w:bCs/>
          <w:sz w:val="22"/>
          <w:szCs w:val="22"/>
          <w:highlight w:val="none"/>
        </w:rPr>
        <w:t>：</w:t>
      </w:r>
    </w:p>
    <w:p w14:paraId="141D03BD">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(1)</w:t>
      </w:r>
      <w:r>
        <w:rPr>
          <w:rFonts w:hint="eastAsia" w:ascii="宋体" w:hAnsi="宋体" w:eastAsia="宋体" w:cs="宋体"/>
          <w:b w:val="0"/>
          <w:bCs/>
          <w:sz w:val="22"/>
          <w:szCs w:val="22"/>
          <w:highlight w:val="none"/>
        </w:rPr>
        <w:t>本人无任何正在实施的在建工程项目；</w:t>
      </w:r>
    </w:p>
    <w:p w14:paraId="015728FB">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(2)</w:t>
      </w:r>
      <w:r>
        <w:rPr>
          <w:rFonts w:hint="eastAsia" w:ascii="宋体" w:hAnsi="宋体" w:eastAsia="宋体" w:cs="宋体"/>
          <w:b w:val="0"/>
          <w:bCs/>
          <w:sz w:val="22"/>
          <w:szCs w:val="22"/>
          <w:highlight w:val="none"/>
        </w:rPr>
        <w:t>本人无已中标、但尚未进场开工的工程项目；</w:t>
      </w:r>
    </w:p>
    <w:p w14:paraId="130ED400">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2" w:leftChars="199" w:hanging="24" w:hangingChars="12"/>
        <w:textAlignment w:val="auto"/>
        <w:rPr>
          <w:rFonts w:hint="eastAsia" w:ascii="宋体" w:hAnsi="宋体" w:eastAsia="宋体" w:cs="宋体"/>
          <w:b w:val="0"/>
          <w:bCs/>
          <w:sz w:val="22"/>
          <w:szCs w:val="22"/>
          <w:highlight w:val="none"/>
        </w:rPr>
      </w:pPr>
      <w:r>
        <w:rPr>
          <w:rFonts w:hint="default" w:ascii="宋体" w:hAnsi="宋体" w:eastAsia="宋体" w:cs="宋体"/>
          <w:b w:val="0"/>
          <w:bCs/>
          <w:spacing w:val="-8"/>
          <w:kern w:val="2"/>
          <w:sz w:val="22"/>
          <w:szCs w:val="22"/>
          <w:highlight w:val="none"/>
          <w:lang w:val="en-US" w:eastAsia="zh-CN" w:bidi="ar-SA"/>
        </w:rPr>
        <w:t>(3)</w:t>
      </w:r>
      <w:r>
        <w:rPr>
          <w:rFonts w:hint="eastAsia" w:ascii="宋体" w:hAnsi="宋体" w:eastAsia="宋体" w:cs="宋体"/>
          <w:b w:val="0"/>
          <w:bCs/>
          <w:sz w:val="22"/>
          <w:szCs w:val="22"/>
          <w:highlight w:val="none"/>
        </w:rPr>
        <w:t>本人未在任何招投标、政府采购项目中被列为第一中标（成交）候选人；</w:t>
      </w:r>
    </w:p>
    <w:p w14:paraId="4030B198">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本承诺全部内容真实可查，自愿接受采购人、财政监管部门核查。若存在隐瞒、虚假情形，我司自愿将本</w:t>
      </w:r>
      <w:r>
        <w:rPr>
          <w:rFonts w:hint="eastAsia" w:ascii="宋体" w:hAnsi="宋体" w:eastAsia="宋体" w:cs="宋体"/>
          <w:b w:val="0"/>
          <w:bCs/>
          <w:sz w:val="22"/>
          <w:szCs w:val="22"/>
          <w:highlight w:val="none"/>
          <w:lang w:val="en-US" w:eastAsia="zh-CN"/>
        </w:rPr>
        <w:t>项目的</w:t>
      </w:r>
      <w:r>
        <w:rPr>
          <w:rFonts w:hint="eastAsia" w:ascii="宋体" w:hAnsi="宋体" w:eastAsia="宋体" w:cs="宋体"/>
          <w:b w:val="0"/>
          <w:bCs/>
          <w:sz w:val="22"/>
          <w:szCs w:val="22"/>
          <w:highlight w:val="none"/>
        </w:rPr>
        <w:t>响应文件按无效响应处理；如已成交，自动取消成交资格，承担全部违约责任，接受政府采购失信处罚并赔偿采购人全部经济损失。</w:t>
      </w:r>
    </w:p>
    <w:p w14:paraId="06A5D410">
      <w:pPr>
        <w:pStyle w:val="35"/>
        <w:keepNext w:val="0"/>
        <w:keepLines w:val="0"/>
        <w:pageBreakBefore w:val="0"/>
        <w:widowControl w:val="0"/>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b w:val="0"/>
          <w:bCs/>
          <w:sz w:val="22"/>
          <w:szCs w:val="22"/>
          <w:highlight w:val="none"/>
        </w:rPr>
      </w:pPr>
    </w:p>
    <w:p w14:paraId="40451502">
      <w:pPr>
        <w:pStyle w:val="34"/>
        <w:rPr>
          <w:rFonts w:hint="eastAsia"/>
          <w:sz w:val="22"/>
          <w:szCs w:val="28"/>
          <w:highlight w:val="none"/>
        </w:rPr>
      </w:pPr>
    </w:p>
    <w:p w14:paraId="7F3EDFF7">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供应商（签字</w:t>
      </w:r>
      <w:r>
        <w:rPr>
          <w:rFonts w:hint="eastAsia" w:ascii="宋体" w:hAnsi="宋体" w:eastAsia="宋体" w:cs="宋体"/>
          <w:b w:val="0"/>
          <w:bCs/>
          <w:sz w:val="22"/>
          <w:szCs w:val="22"/>
          <w:highlight w:val="none"/>
          <w:lang w:val="en-US" w:eastAsia="zh-CN"/>
        </w:rPr>
        <w:t>或盖章</w:t>
      </w:r>
      <w:r>
        <w:rPr>
          <w:rFonts w:hint="eastAsia" w:ascii="宋体" w:hAnsi="宋体" w:eastAsia="宋体" w:cs="宋体"/>
          <w:b w:val="0"/>
          <w:bCs/>
          <w:sz w:val="22"/>
          <w:szCs w:val="22"/>
          <w:highlight w:val="none"/>
        </w:rPr>
        <w:t>）：</w:t>
      </w:r>
    </w:p>
    <w:p w14:paraId="4153C067">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项目经理（签字</w:t>
      </w:r>
      <w:r>
        <w:rPr>
          <w:rFonts w:hint="eastAsia" w:ascii="宋体" w:hAnsi="宋体" w:eastAsia="宋体" w:cs="宋体"/>
          <w:b w:val="0"/>
          <w:bCs/>
          <w:sz w:val="22"/>
          <w:szCs w:val="22"/>
          <w:highlight w:val="none"/>
          <w:lang w:val="en-US" w:eastAsia="zh-CN"/>
        </w:rPr>
        <w:t>或盖章</w:t>
      </w:r>
      <w:r>
        <w:rPr>
          <w:rFonts w:hint="eastAsia" w:ascii="宋体" w:hAnsi="宋体" w:eastAsia="宋体" w:cs="宋体"/>
          <w:b w:val="0"/>
          <w:bCs/>
          <w:sz w:val="22"/>
          <w:szCs w:val="22"/>
          <w:highlight w:val="none"/>
        </w:rPr>
        <w:t>）：</w:t>
      </w:r>
    </w:p>
    <w:p w14:paraId="6029A86A">
      <w:pPr>
        <w:pStyle w:val="35"/>
        <w:keepNext w:val="0"/>
        <w:keepLines w:val="0"/>
        <w:pageBreakBefore w:val="0"/>
        <w:widowControl w:val="0"/>
        <w:kinsoku/>
        <w:wordWrap/>
        <w:overflowPunct/>
        <w:topLinePunct w:val="0"/>
        <w:autoSpaceDE/>
        <w:autoSpaceDN/>
        <w:bidi w:val="0"/>
        <w:adjustRightInd/>
        <w:snapToGrid/>
        <w:spacing w:line="360" w:lineRule="auto"/>
        <w:ind w:firstLine="4080" w:firstLineChars="2000"/>
        <w:textAlignment w:val="auto"/>
        <w:rPr>
          <w:rFonts w:hint="eastAsia" w:ascii="宋体" w:hAnsi="宋体" w:eastAsia="宋体" w:cs="宋体"/>
          <w:b w:val="0"/>
          <w:bCs/>
          <w:sz w:val="22"/>
          <w:szCs w:val="22"/>
          <w:highlight w:val="none"/>
        </w:rPr>
      </w:pPr>
      <w:r>
        <w:rPr>
          <w:rFonts w:hint="eastAsia" w:ascii="宋体" w:hAnsi="宋体" w:eastAsia="宋体" w:cs="宋体"/>
          <w:b w:val="0"/>
          <w:bCs/>
          <w:sz w:val="22"/>
          <w:szCs w:val="22"/>
          <w:highlight w:val="none"/>
        </w:rPr>
        <w:t>日期：______年____月____日</w:t>
      </w:r>
    </w:p>
    <w:p w14:paraId="26CA92B3">
      <w:pPr>
        <w:pStyle w:val="34"/>
        <w:shd w:val="clear"/>
        <w:rPr>
          <w:rFonts w:hint="eastAsia" w:ascii="宋体" w:hAnsi="宋体"/>
          <w:b/>
          <w:color w:val="auto"/>
          <w:sz w:val="24"/>
          <w:highlight w:val="none"/>
          <w:lang w:eastAsia="zh-CN"/>
        </w:rPr>
      </w:pPr>
    </w:p>
    <w:p w14:paraId="0E969098">
      <w:pPr>
        <w:pStyle w:val="35"/>
        <w:rPr>
          <w:rFonts w:hint="eastAsia" w:ascii="宋体" w:hAnsi="宋体"/>
          <w:b/>
          <w:color w:val="auto"/>
          <w:sz w:val="24"/>
          <w:highlight w:val="none"/>
          <w:lang w:eastAsia="zh-CN"/>
        </w:rPr>
      </w:pPr>
    </w:p>
    <w:p w14:paraId="237CDD57">
      <w:pPr>
        <w:pStyle w:val="34"/>
        <w:rPr>
          <w:rFonts w:hint="eastAsia" w:ascii="宋体" w:hAnsi="宋体"/>
          <w:b/>
          <w:color w:val="auto"/>
          <w:sz w:val="24"/>
          <w:highlight w:val="none"/>
          <w:lang w:eastAsia="zh-CN"/>
        </w:rPr>
      </w:pPr>
    </w:p>
    <w:p w14:paraId="534679EE">
      <w:pPr>
        <w:pStyle w:val="35"/>
        <w:rPr>
          <w:rFonts w:hint="eastAsia" w:ascii="宋体" w:hAnsi="宋体"/>
          <w:b/>
          <w:color w:val="auto"/>
          <w:sz w:val="24"/>
          <w:highlight w:val="none"/>
          <w:lang w:eastAsia="zh-CN"/>
        </w:rPr>
      </w:pPr>
    </w:p>
    <w:p w14:paraId="4ECD2835">
      <w:pPr>
        <w:pStyle w:val="34"/>
        <w:rPr>
          <w:rFonts w:hint="eastAsia" w:ascii="宋体" w:hAnsi="宋体"/>
          <w:b/>
          <w:color w:val="auto"/>
          <w:sz w:val="24"/>
          <w:highlight w:val="none"/>
          <w:lang w:eastAsia="zh-CN"/>
        </w:rPr>
      </w:pPr>
    </w:p>
    <w:p w14:paraId="3A9676C7">
      <w:pPr>
        <w:pStyle w:val="35"/>
        <w:rPr>
          <w:rFonts w:hint="eastAsia" w:ascii="宋体" w:hAnsi="宋体"/>
          <w:b/>
          <w:color w:val="auto"/>
          <w:sz w:val="24"/>
          <w:highlight w:val="none"/>
          <w:lang w:eastAsia="zh-CN"/>
        </w:rPr>
      </w:pPr>
    </w:p>
    <w:p w14:paraId="01DBD7DA">
      <w:pPr>
        <w:pStyle w:val="34"/>
        <w:rPr>
          <w:rFonts w:hint="eastAsia" w:ascii="宋体" w:hAnsi="宋体"/>
          <w:b/>
          <w:color w:val="auto"/>
          <w:sz w:val="24"/>
          <w:highlight w:val="none"/>
          <w:lang w:eastAsia="zh-CN"/>
        </w:rPr>
      </w:pPr>
    </w:p>
    <w:p w14:paraId="166C5257">
      <w:pPr>
        <w:pStyle w:val="35"/>
        <w:rPr>
          <w:rFonts w:hint="eastAsia" w:ascii="宋体" w:hAnsi="宋体"/>
          <w:b/>
          <w:color w:val="auto"/>
          <w:sz w:val="24"/>
          <w:highlight w:val="none"/>
          <w:lang w:eastAsia="zh-CN"/>
        </w:rPr>
      </w:pPr>
    </w:p>
    <w:p w14:paraId="34525EE3">
      <w:pPr>
        <w:pStyle w:val="34"/>
        <w:rPr>
          <w:rFonts w:hint="eastAsia" w:ascii="宋体" w:hAnsi="宋体"/>
          <w:b/>
          <w:color w:val="auto"/>
          <w:sz w:val="24"/>
          <w:highlight w:val="none"/>
          <w:lang w:eastAsia="zh-CN"/>
        </w:rPr>
      </w:pPr>
    </w:p>
    <w:p w14:paraId="56452C6F">
      <w:pPr>
        <w:pStyle w:val="35"/>
        <w:rPr>
          <w:rFonts w:hint="eastAsia"/>
          <w:highlight w:val="none"/>
          <w:lang w:eastAsia="zh-CN"/>
        </w:rPr>
      </w:pPr>
    </w:p>
    <w:p w14:paraId="5BCB425E">
      <w:pPr>
        <w:pStyle w:val="35"/>
        <w:shd w:val="clear"/>
        <w:rPr>
          <w:rFonts w:hint="eastAsia" w:ascii="宋体" w:hAnsi="宋体"/>
          <w:b/>
          <w:color w:val="auto"/>
          <w:sz w:val="24"/>
          <w:highlight w:val="none"/>
          <w:lang w:eastAsia="zh-CN"/>
        </w:rPr>
      </w:pPr>
    </w:p>
    <w:p w14:paraId="3099B6CD">
      <w:pPr>
        <w:pStyle w:val="34"/>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投标人直接控股、管理关系信息表</w:t>
      </w:r>
    </w:p>
    <w:p w14:paraId="4AF23D21">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rPr>
        <w:t>投标人直接控股股东信息表</w:t>
      </w:r>
    </w:p>
    <w:tbl>
      <w:tblPr>
        <w:tblStyle w:val="24"/>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9439F28">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2709B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2521BF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C8272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FC4AB4C">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CF23804">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368CA19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D71F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BE215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B1549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2A924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DEA9D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3FBE916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EA2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CE55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A572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D7928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2795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1B480AA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559AD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51D6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BF7C1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76C17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46608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771D684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F8634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A7BD3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D45F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3271C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DB6DC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3F57ADE8">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071E1EA0">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12396D7">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53AA7704">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3.投标人无直接控股股东的填写：无</w:t>
      </w:r>
    </w:p>
    <w:p w14:paraId="419784F5">
      <w:pPr>
        <w:shd w:val="clear"/>
        <w:snapToGrid w:val="0"/>
        <w:jc w:val="left"/>
        <w:rPr>
          <w:rFonts w:ascii="宋体" w:hAnsi="宋体"/>
          <w:color w:val="auto"/>
          <w:sz w:val="21"/>
          <w:szCs w:val="16"/>
          <w:highlight w:val="none"/>
        </w:rPr>
      </w:pPr>
    </w:p>
    <w:p w14:paraId="53643609">
      <w:pPr>
        <w:shd w:val="clear"/>
        <w:snapToGrid w:val="0"/>
        <w:jc w:val="left"/>
        <w:rPr>
          <w:rFonts w:ascii="宋体" w:hAnsi="宋体"/>
          <w:color w:val="auto"/>
          <w:sz w:val="21"/>
          <w:szCs w:val="16"/>
          <w:highlight w:val="none"/>
        </w:rPr>
      </w:pPr>
    </w:p>
    <w:p w14:paraId="25BE14FB">
      <w:pPr>
        <w:shd w:val="clear"/>
        <w:snapToGrid w:val="0"/>
        <w:jc w:val="left"/>
        <w:rPr>
          <w:rFonts w:ascii="宋体" w:hAnsi="宋体"/>
          <w:color w:val="auto"/>
          <w:sz w:val="21"/>
          <w:szCs w:val="16"/>
          <w:highlight w:val="none"/>
        </w:rPr>
      </w:pPr>
    </w:p>
    <w:p w14:paraId="675A2A4D">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154A900E">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745858ED">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0F3C7588">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7DAEA46C">
      <w:pPr>
        <w:shd w:val="clear"/>
        <w:snapToGrid w:val="0"/>
        <w:jc w:val="center"/>
        <w:rPr>
          <w:rFonts w:ascii="宋体" w:hAnsi="宋体"/>
          <w:color w:val="auto"/>
          <w:highlight w:val="none"/>
        </w:rPr>
      </w:pPr>
      <w:r>
        <w:rPr>
          <w:rFonts w:hint="eastAsia" w:ascii="宋体" w:hAnsi="宋体"/>
          <w:b/>
          <w:color w:val="auto"/>
          <w:sz w:val="28"/>
          <w:szCs w:val="28"/>
          <w:highlight w:val="none"/>
        </w:rPr>
        <w:t>投标人直接管理关系信息表</w:t>
      </w:r>
    </w:p>
    <w:tbl>
      <w:tblPr>
        <w:tblStyle w:val="24"/>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2DBB76">
        <w:tblPrEx>
          <w:shd w:val="clear" w:color="auto" w:fill="FBFBFB"/>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C91B5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AA29D1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B1774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15EAD8">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3187E7F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C4F1C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4982F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F566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9544E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5CBA034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6CA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CA424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604FA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BB72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08DCCC6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1959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F310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6DEE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C7CC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4B57D1F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562C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F7D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8A1C6">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7F2F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326A4D89">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3A545CE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0D6B94E">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4A615F38">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3.投标人无直接管理关系的填写：无</w:t>
      </w:r>
    </w:p>
    <w:p w14:paraId="41B1D2DD">
      <w:pPr>
        <w:shd w:val="clear"/>
        <w:snapToGrid w:val="0"/>
        <w:jc w:val="left"/>
        <w:rPr>
          <w:rFonts w:ascii="宋体" w:hAnsi="宋体"/>
          <w:color w:val="auto"/>
          <w:highlight w:val="none"/>
        </w:rPr>
      </w:pPr>
    </w:p>
    <w:p w14:paraId="48A50BA3">
      <w:pPr>
        <w:shd w:val="clear"/>
        <w:snapToGrid w:val="0"/>
        <w:jc w:val="left"/>
        <w:rPr>
          <w:rFonts w:ascii="宋体" w:hAnsi="宋体"/>
          <w:color w:val="auto"/>
          <w:highlight w:val="none"/>
        </w:rPr>
      </w:pPr>
    </w:p>
    <w:p w14:paraId="602F4510">
      <w:pPr>
        <w:shd w:val="clear"/>
        <w:snapToGrid w:val="0"/>
        <w:jc w:val="left"/>
        <w:rPr>
          <w:rFonts w:ascii="宋体" w:hAnsi="宋体"/>
          <w:color w:val="auto"/>
          <w:highlight w:val="none"/>
        </w:rPr>
      </w:pPr>
    </w:p>
    <w:p w14:paraId="5880B124">
      <w:pPr>
        <w:shd w:val="clear"/>
        <w:snapToGrid w:val="0"/>
        <w:jc w:val="left"/>
        <w:rPr>
          <w:color w:val="auto"/>
          <w:highlight w:val="none"/>
        </w:rPr>
      </w:pPr>
    </w:p>
    <w:p w14:paraId="59C75A10">
      <w:pPr>
        <w:shd w:val="clear"/>
        <w:snapToGrid w:val="0"/>
        <w:jc w:val="left"/>
        <w:rPr>
          <w:color w:val="auto"/>
          <w:highlight w:val="none"/>
        </w:rPr>
      </w:pPr>
    </w:p>
    <w:p w14:paraId="2D7EE671">
      <w:pPr>
        <w:shd w:val="clear"/>
        <w:snapToGrid w:val="0"/>
        <w:jc w:val="left"/>
        <w:rPr>
          <w:color w:val="auto"/>
          <w:highlight w:val="none"/>
        </w:rPr>
      </w:pPr>
    </w:p>
    <w:p w14:paraId="2690C81B">
      <w:pPr>
        <w:shd w:val="clear"/>
        <w:snapToGrid w:val="0"/>
        <w:jc w:val="left"/>
        <w:rPr>
          <w:rFonts w:ascii="宋体" w:hAnsi="宋体"/>
          <w:color w:val="auto"/>
          <w:szCs w:val="21"/>
          <w:highlight w:val="none"/>
        </w:rPr>
      </w:pPr>
    </w:p>
    <w:p w14:paraId="3A9F994A">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lang w:eastAsia="zh-CN"/>
        </w:rPr>
        <w:t>供应商</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683EE0D5">
      <w:pPr>
        <w:pStyle w:val="34"/>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6A86EABF">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45A9AF30">
      <w:pPr>
        <w:pStyle w:val="13"/>
        <w:shd w:val="clear"/>
        <w:spacing w:line="460" w:lineRule="exact"/>
        <w:ind w:firstLine="420"/>
        <w:rPr>
          <w:rFonts w:hint="eastAsia"/>
          <w:color w:val="auto"/>
          <w:szCs w:val="21"/>
          <w:highlight w:val="none"/>
          <w:u w:val="single"/>
        </w:rPr>
      </w:pPr>
    </w:p>
    <w:p w14:paraId="20863476">
      <w:pPr>
        <w:pStyle w:val="35"/>
        <w:shd w:val="clear"/>
        <w:rPr>
          <w:rFonts w:hint="eastAsia"/>
          <w:color w:val="auto"/>
          <w:highlight w:val="none"/>
        </w:rPr>
      </w:pPr>
    </w:p>
    <w:p w14:paraId="2A83C65A">
      <w:pPr>
        <w:pStyle w:val="34"/>
        <w:shd w:val="clear"/>
        <w:rPr>
          <w:rFonts w:hint="eastAsia"/>
          <w:color w:val="auto"/>
          <w:highlight w:val="none"/>
        </w:rPr>
      </w:pPr>
    </w:p>
    <w:p w14:paraId="07F7F4D4">
      <w:pPr>
        <w:pStyle w:val="35"/>
        <w:shd w:val="clear"/>
        <w:rPr>
          <w:rFonts w:hint="eastAsia"/>
          <w:color w:val="auto"/>
          <w:highlight w:val="none"/>
        </w:rPr>
      </w:pPr>
    </w:p>
    <w:p w14:paraId="36818150">
      <w:pPr>
        <w:pStyle w:val="34"/>
        <w:shd w:val="clear"/>
        <w:rPr>
          <w:rFonts w:hint="eastAsia"/>
          <w:color w:val="auto"/>
          <w:highlight w:val="none"/>
        </w:rPr>
      </w:pPr>
    </w:p>
    <w:p w14:paraId="16829C47">
      <w:pPr>
        <w:pStyle w:val="35"/>
        <w:shd w:val="clear"/>
        <w:rPr>
          <w:rFonts w:hint="eastAsia"/>
          <w:color w:val="auto"/>
          <w:highlight w:val="none"/>
        </w:rPr>
      </w:pPr>
    </w:p>
    <w:p w14:paraId="18C58591">
      <w:pPr>
        <w:pStyle w:val="34"/>
        <w:shd w:val="clear"/>
        <w:rPr>
          <w:rFonts w:hint="eastAsia"/>
          <w:color w:val="auto"/>
          <w:highlight w:val="none"/>
        </w:rPr>
      </w:pPr>
    </w:p>
    <w:p w14:paraId="11627654">
      <w:pPr>
        <w:pStyle w:val="35"/>
        <w:shd w:val="clear"/>
        <w:rPr>
          <w:rFonts w:hint="eastAsia"/>
          <w:color w:val="auto"/>
          <w:highlight w:val="none"/>
        </w:rPr>
      </w:pPr>
    </w:p>
    <w:p w14:paraId="064A9EC1">
      <w:pPr>
        <w:pStyle w:val="34"/>
        <w:shd w:val="clear"/>
        <w:rPr>
          <w:rFonts w:hint="eastAsia"/>
          <w:color w:val="auto"/>
          <w:highlight w:val="none"/>
        </w:rPr>
      </w:pPr>
    </w:p>
    <w:p w14:paraId="6653F8E7">
      <w:pPr>
        <w:pStyle w:val="35"/>
        <w:shd w:val="clear"/>
        <w:rPr>
          <w:rFonts w:hint="eastAsia"/>
          <w:color w:val="auto"/>
          <w:highlight w:val="none"/>
        </w:rPr>
      </w:pPr>
    </w:p>
    <w:p w14:paraId="7B03AE7A">
      <w:pPr>
        <w:pStyle w:val="34"/>
        <w:shd w:val="clear"/>
        <w:rPr>
          <w:rFonts w:hint="eastAsia"/>
          <w:color w:val="auto"/>
          <w:highlight w:val="none"/>
        </w:rPr>
      </w:pPr>
    </w:p>
    <w:p w14:paraId="5ECAD958">
      <w:pPr>
        <w:pStyle w:val="35"/>
        <w:shd w:val="clear"/>
        <w:rPr>
          <w:rFonts w:hint="eastAsia"/>
          <w:color w:val="auto"/>
          <w:highlight w:val="none"/>
        </w:rPr>
      </w:pPr>
    </w:p>
    <w:p w14:paraId="30D65AC4">
      <w:pPr>
        <w:pStyle w:val="34"/>
        <w:shd w:val="clear"/>
        <w:rPr>
          <w:rFonts w:hint="eastAsia"/>
          <w:color w:val="auto"/>
          <w:highlight w:val="none"/>
        </w:rPr>
      </w:pPr>
    </w:p>
    <w:p w14:paraId="054D41BB">
      <w:pPr>
        <w:pStyle w:val="35"/>
        <w:shd w:val="clear"/>
        <w:rPr>
          <w:rFonts w:hint="eastAsia"/>
          <w:color w:val="auto"/>
          <w:highlight w:val="none"/>
        </w:rPr>
      </w:pPr>
    </w:p>
    <w:p w14:paraId="6EA25D1A">
      <w:pPr>
        <w:pStyle w:val="34"/>
        <w:shd w:val="clear"/>
        <w:rPr>
          <w:rFonts w:hint="eastAsia"/>
          <w:color w:val="auto"/>
          <w:highlight w:val="none"/>
        </w:rPr>
      </w:pPr>
    </w:p>
    <w:p w14:paraId="5371EA70">
      <w:pPr>
        <w:pStyle w:val="35"/>
        <w:shd w:val="clear"/>
        <w:rPr>
          <w:rFonts w:hint="eastAsia"/>
          <w:color w:val="auto"/>
          <w:highlight w:val="none"/>
        </w:rPr>
      </w:pPr>
    </w:p>
    <w:p w14:paraId="6FC40F0C">
      <w:pPr>
        <w:pStyle w:val="34"/>
        <w:shd w:val="clear"/>
        <w:rPr>
          <w:rFonts w:hint="eastAsia"/>
          <w:color w:val="auto"/>
          <w:highlight w:val="none"/>
        </w:rPr>
      </w:pPr>
    </w:p>
    <w:p w14:paraId="739DE811">
      <w:pPr>
        <w:pStyle w:val="34"/>
        <w:numPr>
          <w:ilvl w:val="0"/>
          <w:numId w:val="3"/>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中小企业声明函（必须提供中小企业声明函或《政府采购促进中小企业发展管理办法财库〔2020〕46号》要求提供的证明文件，否则响应文件按无效响应处理）。</w:t>
      </w:r>
    </w:p>
    <w:p w14:paraId="1AB19F09">
      <w:pPr>
        <w:pStyle w:val="35"/>
        <w:widowControl w:val="0"/>
        <w:numPr>
          <w:ilvl w:val="0"/>
          <w:numId w:val="0"/>
        </w:numPr>
        <w:shd w:val="clear"/>
        <w:jc w:val="both"/>
        <w:rPr>
          <w:color w:val="auto"/>
          <w:highlight w:val="none"/>
        </w:rPr>
      </w:pPr>
    </w:p>
    <w:p w14:paraId="3B321597">
      <w:pPr>
        <w:shd w:val="clear"/>
        <w:jc w:val="center"/>
        <w:rPr>
          <w:rFonts w:hint="eastAsia"/>
          <w:color w:val="auto"/>
          <w:highlight w:val="none"/>
        </w:rPr>
      </w:pPr>
    </w:p>
    <w:p w14:paraId="1E3E6259">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178B0F69">
      <w:pPr>
        <w:pStyle w:val="20"/>
        <w:shd w:val="clear" w:color="auto"/>
        <w:spacing w:before="0" w:beforeAutospacing="0" w:after="0" w:afterAutospacing="0" w:line="460" w:lineRule="exact"/>
        <w:ind w:firstLine="420" w:firstLineChars="200"/>
        <w:rPr>
          <w:rFonts w:hint="eastAsia"/>
          <w:color w:val="auto"/>
          <w:sz w:val="21"/>
          <w:szCs w:val="21"/>
          <w:highlight w:val="none"/>
        </w:rPr>
      </w:pPr>
    </w:p>
    <w:p w14:paraId="18EFC8C4">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本公司郑重声明，根据《政府采购促进中小企业发展管理办法》（财库﹝2020﹞46号）的规定，本公司参加</w:t>
      </w:r>
      <w:r>
        <w:rPr>
          <w:rFonts w:hint="eastAsia"/>
          <w:color w:val="auto"/>
          <w:sz w:val="21"/>
          <w:szCs w:val="21"/>
          <w:highlight w:val="none"/>
          <w:u w:val="single"/>
        </w:rPr>
        <w:t>（单位名称）</w:t>
      </w:r>
      <w:r>
        <w:rPr>
          <w:rFonts w:hint="eastAsia"/>
          <w:color w:val="auto"/>
          <w:sz w:val="21"/>
          <w:szCs w:val="21"/>
          <w:highlight w:val="none"/>
        </w:rPr>
        <w:t>的</w:t>
      </w:r>
      <w:r>
        <w:rPr>
          <w:rFonts w:hint="eastAsia"/>
          <w:color w:val="auto"/>
          <w:sz w:val="21"/>
          <w:szCs w:val="21"/>
          <w:highlight w:val="none"/>
          <w:u w:val="single"/>
        </w:rPr>
        <w:t>（项目名称）</w:t>
      </w:r>
      <w:r>
        <w:rPr>
          <w:rFonts w:hint="eastAsia"/>
          <w:color w:val="auto"/>
          <w:sz w:val="21"/>
          <w:szCs w:val="21"/>
          <w:highlight w:val="none"/>
        </w:rPr>
        <w:t>采购活动，工程的施工单位全部为符合政策要求的中小企业。相关企业的具体情况如下：</w:t>
      </w:r>
    </w:p>
    <w:p w14:paraId="2F8C2D8A">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（天等县龙茗镇益山村八角低产林改造县级示范项目）</w:t>
      </w:r>
      <w:r>
        <w:rPr>
          <w:rFonts w:hint="eastAsia"/>
          <w:color w:val="auto"/>
          <w:sz w:val="21"/>
          <w:szCs w:val="21"/>
          <w:highlight w:val="none"/>
        </w:rPr>
        <w:t>，属于</w:t>
      </w:r>
      <w:r>
        <w:rPr>
          <w:rFonts w:hint="eastAsia"/>
          <w:color w:val="auto"/>
          <w:sz w:val="21"/>
          <w:szCs w:val="21"/>
          <w:highlight w:val="none"/>
          <w:u w:val="single"/>
        </w:rPr>
        <w:t>（</w:t>
      </w:r>
      <w:r>
        <w:rPr>
          <w:rFonts w:hint="eastAsia"/>
          <w:color w:val="auto"/>
          <w:sz w:val="21"/>
          <w:szCs w:val="21"/>
          <w:highlight w:val="none"/>
          <w:u w:val="single"/>
          <w:lang w:val="en-US" w:eastAsia="zh-CN"/>
        </w:rPr>
        <w:t>建筑业</w:t>
      </w:r>
      <w:r>
        <w:rPr>
          <w:rFonts w:hint="eastAsia"/>
          <w:color w:val="auto"/>
          <w:sz w:val="21"/>
          <w:szCs w:val="21"/>
          <w:highlight w:val="none"/>
          <w:u w:val="single"/>
        </w:rPr>
        <w:t>）</w:t>
      </w:r>
      <w:r>
        <w:rPr>
          <w:rFonts w:hint="eastAsia"/>
          <w:color w:val="auto"/>
          <w:sz w:val="21"/>
          <w:szCs w:val="21"/>
          <w:highlight w:val="none"/>
        </w:rPr>
        <w:t>；承建企业为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1F07E41E">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32FBECEF">
      <w:pPr>
        <w:pStyle w:val="20"/>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7930AB4">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3E700D02">
      <w:pPr>
        <w:pStyle w:val="20"/>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3A9F39D5">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3C97D634">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2F05886F">
      <w:pPr>
        <w:pStyle w:val="20"/>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cs="宋体"/>
          <w:color w:val="auto"/>
          <w:kern w:val="0"/>
          <w:sz w:val="24"/>
          <w:szCs w:val="21"/>
          <w:highlight w:val="none"/>
          <w:lang w:val="en-US" w:eastAsia="zh-CN"/>
        </w:rPr>
        <w:t>供应商</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68324269">
      <w:pPr>
        <w:pStyle w:val="20"/>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日期：</w:t>
      </w:r>
    </w:p>
    <w:p w14:paraId="2C78349E">
      <w:pPr>
        <w:pStyle w:val="20"/>
        <w:shd w:val="clear" w:color="auto"/>
        <w:spacing w:before="0" w:beforeAutospacing="0" w:after="0" w:afterAutospacing="0" w:line="460" w:lineRule="exact"/>
        <w:ind w:firstLine="539"/>
        <w:rPr>
          <w:rFonts w:hint="eastAsia"/>
          <w:color w:val="auto"/>
          <w:sz w:val="21"/>
          <w:szCs w:val="21"/>
          <w:highlight w:val="none"/>
        </w:rPr>
      </w:pPr>
    </w:p>
    <w:p w14:paraId="0C14061C">
      <w:pPr>
        <w:pStyle w:val="20"/>
        <w:shd w:val="clear" w:color="auto"/>
        <w:spacing w:before="0" w:beforeAutospacing="0" w:after="0" w:afterAutospacing="0" w:line="460" w:lineRule="exact"/>
        <w:ind w:firstLine="539"/>
        <w:rPr>
          <w:rFonts w:hint="eastAsia"/>
          <w:color w:val="auto"/>
          <w:sz w:val="21"/>
          <w:szCs w:val="21"/>
          <w:highlight w:val="none"/>
        </w:rPr>
      </w:pPr>
    </w:p>
    <w:p w14:paraId="02E91627">
      <w:pPr>
        <w:pStyle w:val="20"/>
        <w:shd w:val="clear" w:color="auto"/>
        <w:spacing w:before="0" w:beforeAutospacing="0" w:after="0" w:afterAutospacing="0" w:line="460" w:lineRule="exact"/>
        <w:ind w:firstLine="539"/>
        <w:rPr>
          <w:rFonts w:hint="eastAsia"/>
          <w:color w:val="auto"/>
          <w:sz w:val="21"/>
          <w:szCs w:val="21"/>
          <w:highlight w:val="none"/>
        </w:rPr>
      </w:pPr>
    </w:p>
    <w:p w14:paraId="28851E83">
      <w:pPr>
        <w:pStyle w:val="20"/>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0E5AC297">
      <w:pPr>
        <w:pStyle w:val="35"/>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4AEC29C7">
      <w:pPr>
        <w:shd w:val="clear"/>
        <w:rPr>
          <w:rFonts w:hint="eastAsia"/>
          <w:color w:val="auto"/>
          <w:highlight w:val="none"/>
        </w:rPr>
      </w:pPr>
    </w:p>
    <w:p w14:paraId="5B7BB34B">
      <w:pPr>
        <w:pStyle w:val="39"/>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7AD5B0A8">
      <w:pPr>
        <w:pStyle w:val="20"/>
        <w:shd w:val="clear" w:color="auto"/>
        <w:spacing w:before="0" w:beforeAutospacing="0" w:after="0" w:afterAutospacing="0" w:line="460" w:lineRule="exact"/>
        <w:ind w:firstLine="539"/>
        <w:rPr>
          <w:rFonts w:hint="eastAsia"/>
          <w:color w:val="auto"/>
          <w:highlight w:val="none"/>
        </w:rPr>
      </w:pPr>
    </w:p>
    <w:p w14:paraId="5C14E0C7">
      <w:pPr>
        <w:pStyle w:val="20"/>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8D56A4E">
      <w:pPr>
        <w:pStyle w:val="20"/>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4F2B6318">
      <w:pPr>
        <w:pStyle w:val="20"/>
        <w:shd w:val="clear" w:color="auto"/>
        <w:spacing w:before="0" w:beforeAutospacing="0" w:after="0" w:afterAutospacing="0" w:line="460" w:lineRule="exact"/>
        <w:ind w:firstLine="539"/>
        <w:rPr>
          <w:rFonts w:hint="eastAsia"/>
          <w:color w:val="auto"/>
          <w:sz w:val="21"/>
          <w:szCs w:val="21"/>
          <w:highlight w:val="none"/>
        </w:rPr>
      </w:pPr>
    </w:p>
    <w:p w14:paraId="0679A450">
      <w:pPr>
        <w:pStyle w:val="20"/>
        <w:shd w:val="clear" w:color="auto"/>
        <w:spacing w:before="0" w:beforeAutospacing="0" w:after="0" w:afterAutospacing="0" w:line="460" w:lineRule="exact"/>
        <w:ind w:firstLine="539"/>
        <w:rPr>
          <w:rFonts w:hint="eastAsia"/>
          <w:color w:val="auto"/>
          <w:sz w:val="21"/>
          <w:szCs w:val="21"/>
          <w:highlight w:val="none"/>
        </w:rPr>
      </w:pPr>
    </w:p>
    <w:p w14:paraId="1C38E12F">
      <w:pPr>
        <w:pStyle w:val="20"/>
        <w:shd w:val="clear" w:color="auto"/>
        <w:spacing w:before="0" w:beforeAutospacing="0" w:after="0" w:afterAutospacing="0" w:line="460" w:lineRule="exact"/>
        <w:ind w:firstLine="4320" w:firstLineChars="1800"/>
        <w:rPr>
          <w:color w:val="auto"/>
          <w:sz w:val="21"/>
          <w:szCs w:val="21"/>
          <w:highlight w:val="none"/>
        </w:rPr>
      </w:pPr>
      <w:r>
        <w:rPr>
          <w:rFonts w:hint="eastAsia" w:cs="宋体"/>
          <w:color w:val="auto"/>
          <w:kern w:val="0"/>
          <w:sz w:val="24"/>
          <w:szCs w:val="21"/>
          <w:highlight w:val="none"/>
          <w:lang w:eastAsia="zh-CN"/>
        </w:rPr>
        <w:t>供应商</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541A094A">
      <w:pPr>
        <w:pStyle w:val="20"/>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日期：</w:t>
      </w:r>
    </w:p>
    <w:p w14:paraId="06894319">
      <w:pPr>
        <w:pStyle w:val="34"/>
        <w:shd w:val="clear"/>
        <w:spacing w:line="360" w:lineRule="auto"/>
        <w:rPr>
          <w:rFonts w:ascii="宋体" w:hAnsi="宋体"/>
          <w:b/>
          <w:color w:val="auto"/>
          <w:sz w:val="48"/>
          <w:szCs w:val="48"/>
          <w:highlight w:val="none"/>
        </w:rPr>
      </w:pPr>
    </w:p>
    <w:p w14:paraId="2EE9074B">
      <w:pPr>
        <w:pStyle w:val="35"/>
        <w:shd w:val="clear"/>
        <w:rPr>
          <w:rFonts w:ascii="宋体" w:hAnsi="宋体"/>
          <w:b/>
          <w:color w:val="auto"/>
          <w:sz w:val="48"/>
          <w:szCs w:val="48"/>
          <w:highlight w:val="none"/>
        </w:rPr>
      </w:pPr>
    </w:p>
    <w:p w14:paraId="6F0E87AA">
      <w:pPr>
        <w:pStyle w:val="34"/>
        <w:shd w:val="clear"/>
        <w:rPr>
          <w:rFonts w:ascii="宋体" w:hAnsi="宋体"/>
          <w:b/>
          <w:color w:val="auto"/>
          <w:sz w:val="48"/>
          <w:szCs w:val="48"/>
          <w:highlight w:val="none"/>
        </w:rPr>
      </w:pPr>
    </w:p>
    <w:p w14:paraId="4DB23995">
      <w:pPr>
        <w:pStyle w:val="35"/>
        <w:shd w:val="clear"/>
        <w:rPr>
          <w:rFonts w:ascii="宋体" w:hAnsi="宋体"/>
          <w:b/>
          <w:color w:val="auto"/>
          <w:sz w:val="48"/>
          <w:szCs w:val="48"/>
          <w:highlight w:val="none"/>
        </w:rPr>
      </w:pPr>
    </w:p>
    <w:p w14:paraId="576B8B8E">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5D38EB58">
      <w:pPr>
        <w:pStyle w:val="34"/>
        <w:shd w:val="clear"/>
        <w:rPr>
          <w:rFonts w:ascii="宋体" w:hAnsi="宋体"/>
          <w:b/>
          <w:color w:val="auto"/>
          <w:sz w:val="48"/>
          <w:szCs w:val="48"/>
          <w:highlight w:val="none"/>
        </w:rPr>
      </w:pPr>
    </w:p>
    <w:p w14:paraId="6BC4D0CD">
      <w:pPr>
        <w:pStyle w:val="35"/>
        <w:shd w:val="clear"/>
        <w:rPr>
          <w:rFonts w:ascii="宋体" w:hAnsi="宋体"/>
          <w:b/>
          <w:color w:val="auto"/>
          <w:sz w:val="48"/>
          <w:szCs w:val="48"/>
          <w:highlight w:val="none"/>
        </w:rPr>
      </w:pPr>
    </w:p>
    <w:p w14:paraId="416EF8BD">
      <w:pPr>
        <w:pStyle w:val="34"/>
        <w:shd w:val="clear"/>
        <w:rPr>
          <w:rFonts w:ascii="宋体" w:hAnsi="宋体"/>
          <w:b/>
          <w:color w:val="auto"/>
          <w:sz w:val="48"/>
          <w:szCs w:val="48"/>
          <w:highlight w:val="none"/>
        </w:rPr>
      </w:pPr>
    </w:p>
    <w:p w14:paraId="5D44B880">
      <w:pPr>
        <w:pStyle w:val="35"/>
        <w:shd w:val="clear"/>
        <w:rPr>
          <w:rFonts w:ascii="宋体" w:hAnsi="宋体"/>
          <w:b/>
          <w:color w:val="auto"/>
          <w:sz w:val="48"/>
          <w:szCs w:val="48"/>
          <w:highlight w:val="none"/>
        </w:rPr>
      </w:pPr>
    </w:p>
    <w:p w14:paraId="7D3E6B6A">
      <w:pPr>
        <w:pStyle w:val="34"/>
        <w:shd w:val="clear"/>
        <w:rPr>
          <w:rFonts w:ascii="宋体" w:hAnsi="宋体"/>
          <w:b/>
          <w:color w:val="auto"/>
          <w:sz w:val="48"/>
          <w:szCs w:val="48"/>
          <w:highlight w:val="none"/>
        </w:rPr>
      </w:pPr>
    </w:p>
    <w:p w14:paraId="4D31B988">
      <w:pPr>
        <w:pStyle w:val="35"/>
        <w:shd w:val="clear"/>
        <w:rPr>
          <w:color w:val="auto"/>
          <w:highlight w:val="none"/>
        </w:rPr>
      </w:pPr>
    </w:p>
    <w:p w14:paraId="70B93C0A">
      <w:pPr>
        <w:pStyle w:val="35"/>
        <w:shd w:val="clear"/>
        <w:rPr>
          <w:rFonts w:ascii="宋体" w:hAnsi="宋体"/>
          <w:b/>
          <w:color w:val="auto"/>
          <w:sz w:val="48"/>
          <w:szCs w:val="48"/>
          <w:highlight w:val="none"/>
        </w:rPr>
      </w:pPr>
    </w:p>
    <w:p w14:paraId="5F262D29">
      <w:pPr>
        <w:pStyle w:val="34"/>
        <w:shd w:val="clear"/>
        <w:rPr>
          <w:color w:val="auto"/>
          <w:highlight w:val="none"/>
        </w:rPr>
      </w:pPr>
    </w:p>
    <w:p w14:paraId="10DB3EEC">
      <w:pPr>
        <w:pStyle w:val="35"/>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6F10151C">
      <w:pPr>
        <w:pStyle w:val="34"/>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5469F71F">
      <w:pPr>
        <w:pStyle w:val="35"/>
        <w:shd w:val="clear"/>
        <w:rPr>
          <w:rFonts w:hint="eastAsia"/>
          <w:color w:val="auto"/>
          <w:highlight w:val="none"/>
          <w:lang w:eastAsia="zh-CN"/>
        </w:rPr>
      </w:pPr>
    </w:p>
    <w:p w14:paraId="757C5C1C">
      <w:pPr>
        <w:pStyle w:val="34"/>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3F4A01F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0B651F3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451739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BF5D84D">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CA4A2D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二○一一年六月十八日中小企业划型标准规定　　一、根据《中华人民共和国中小企业促进法》和《国务院关于进一步促进中小企业发展的若干意见》(国发〔2009〕36号)，制定本规定。</w:t>
      </w:r>
    </w:p>
    <w:p w14:paraId="201C2D35">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10E9B24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4DC287">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9E5005D">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46499DE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79AA276">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BD553C">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42908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64457BF">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AB6AA3">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0F249A">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9D3DBBE">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397CAA">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F344BB">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4B319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DC165A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A1E53">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FD99BCC">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6FB6E7F4">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0F010DD2">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6CACAE47">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09401330">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ACCC141">
      <w:pPr>
        <w:pStyle w:val="34"/>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59416D6C">
      <w:pPr>
        <w:pStyle w:val="34"/>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66AF20C9">
      <w:pPr>
        <w:pStyle w:val="34"/>
        <w:shd w:val="clear"/>
        <w:spacing w:line="360" w:lineRule="auto"/>
        <w:rPr>
          <w:rFonts w:hint="eastAsia" w:ascii="宋体" w:hAnsi="宋体" w:eastAsia="宋体" w:cs="宋体"/>
          <w:color w:val="auto"/>
          <w:sz w:val="21"/>
          <w:szCs w:val="21"/>
          <w:highlight w:val="none"/>
          <w:lang w:eastAsia="zh-CN"/>
        </w:rPr>
      </w:pPr>
    </w:p>
    <w:p w14:paraId="22F96656">
      <w:pPr>
        <w:pStyle w:val="47"/>
        <w:shd w:val="clear"/>
        <w:rPr>
          <w:color w:val="auto"/>
          <w:highlight w:val="none"/>
        </w:rPr>
      </w:pPr>
    </w:p>
    <w:p w14:paraId="2E7470EB">
      <w:pPr>
        <w:pStyle w:val="34"/>
        <w:shd w:val="clear"/>
        <w:rPr>
          <w:color w:val="auto"/>
          <w:highlight w:val="none"/>
        </w:rPr>
      </w:pPr>
    </w:p>
    <w:p w14:paraId="560FDC47">
      <w:pPr>
        <w:pStyle w:val="35"/>
        <w:shd w:val="clear"/>
        <w:rPr>
          <w:color w:val="auto"/>
          <w:highlight w:val="none"/>
        </w:rPr>
      </w:pPr>
    </w:p>
    <w:p w14:paraId="24D53AF6">
      <w:pPr>
        <w:pStyle w:val="34"/>
        <w:shd w:val="clear"/>
        <w:rPr>
          <w:color w:val="auto"/>
          <w:highlight w:val="none"/>
        </w:rPr>
      </w:pPr>
    </w:p>
    <w:p w14:paraId="4D3C83E6">
      <w:pPr>
        <w:pStyle w:val="35"/>
        <w:shd w:val="clear"/>
        <w:rPr>
          <w:color w:val="auto"/>
          <w:highlight w:val="none"/>
        </w:rPr>
      </w:pPr>
    </w:p>
    <w:p w14:paraId="3F8A32ED">
      <w:pPr>
        <w:pStyle w:val="34"/>
        <w:shd w:val="clear"/>
        <w:rPr>
          <w:color w:val="auto"/>
          <w:highlight w:val="none"/>
        </w:rPr>
      </w:pPr>
    </w:p>
    <w:p w14:paraId="05E493C0">
      <w:pPr>
        <w:pStyle w:val="35"/>
        <w:shd w:val="clear"/>
        <w:rPr>
          <w:color w:val="auto"/>
          <w:highlight w:val="none"/>
        </w:rPr>
      </w:pPr>
    </w:p>
    <w:p w14:paraId="44BA5B7F">
      <w:pPr>
        <w:pStyle w:val="34"/>
        <w:shd w:val="clear"/>
        <w:rPr>
          <w:color w:val="auto"/>
          <w:highlight w:val="none"/>
        </w:rPr>
      </w:pPr>
    </w:p>
    <w:p w14:paraId="052EE474">
      <w:pPr>
        <w:pStyle w:val="35"/>
        <w:shd w:val="clear"/>
        <w:rPr>
          <w:color w:val="auto"/>
          <w:highlight w:val="none"/>
        </w:rPr>
      </w:pPr>
    </w:p>
    <w:p w14:paraId="3C9B27AB">
      <w:pPr>
        <w:pStyle w:val="34"/>
        <w:shd w:val="clear"/>
        <w:rPr>
          <w:color w:val="auto"/>
          <w:highlight w:val="none"/>
        </w:rPr>
      </w:pPr>
    </w:p>
    <w:p w14:paraId="6A495387">
      <w:pPr>
        <w:pStyle w:val="35"/>
        <w:shd w:val="clear"/>
        <w:rPr>
          <w:color w:val="auto"/>
          <w:highlight w:val="none"/>
        </w:rPr>
      </w:pPr>
    </w:p>
    <w:p w14:paraId="59BDE0D6">
      <w:pPr>
        <w:pStyle w:val="34"/>
        <w:shd w:val="clear"/>
        <w:rPr>
          <w:color w:val="auto"/>
          <w:highlight w:val="none"/>
        </w:rPr>
      </w:pPr>
    </w:p>
    <w:p w14:paraId="5BB31B95">
      <w:pPr>
        <w:pStyle w:val="35"/>
        <w:shd w:val="clear"/>
        <w:rPr>
          <w:color w:val="auto"/>
          <w:highlight w:val="none"/>
        </w:rPr>
      </w:pPr>
    </w:p>
    <w:p w14:paraId="3D410195">
      <w:pPr>
        <w:pStyle w:val="34"/>
        <w:shd w:val="clear"/>
        <w:rPr>
          <w:color w:val="auto"/>
          <w:highlight w:val="none"/>
        </w:rPr>
      </w:pPr>
    </w:p>
    <w:p w14:paraId="0A7980E6">
      <w:pPr>
        <w:pStyle w:val="35"/>
        <w:shd w:val="clear"/>
        <w:rPr>
          <w:color w:val="auto"/>
          <w:highlight w:val="none"/>
        </w:rPr>
      </w:pPr>
    </w:p>
    <w:p w14:paraId="62D4C267">
      <w:pPr>
        <w:pStyle w:val="34"/>
        <w:shd w:val="clear"/>
        <w:rPr>
          <w:color w:val="auto"/>
          <w:highlight w:val="none"/>
        </w:rPr>
      </w:pPr>
    </w:p>
    <w:p w14:paraId="2B337A4E">
      <w:pPr>
        <w:pStyle w:val="35"/>
        <w:shd w:val="clear"/>
        <w:rPr>
          <w:color w:val="auto"/>
          <w:highlight w:val="none"/>
        </w:rPr>
      </w:pPr>
    </w:p>
    <w:p w14:paraId="382E68F0">
      <w:pPr>
        <w:pStyle w:val="34"/>
        <w:shd w:val="clear"/>
        <w:rPr>
          <w:color w:val="auto"/>
          <w:highlight w:val="none"/>
        </w:rPr>
      </w:pPr>
    </w:p>
    <w:p w14:paraId="17DDDCF5">
      <w:pPr>
        <w:pStyle w:val="35"/>
        <w:shd w:val="clear"/>
        <w:rPr>
          <w:color w:val="auto"/>
          <w:highlight w:val="none"/>
        </w:rPr>
      </w:pPr>
    </w:p>
    <w:p w14:paraId="370E9FBD">
      <w:pPr>
        <w:pStyle w:val="34"/>
        <w:shd w:val="clear"/>
        <w:rPr>
          <w:color w:val="auto"/>
          <w:highlight w:val="none"/>
        </w:rPr>
      </w:pPr>
    </w:p>
    <w:p w14:paraId="30EE853B">
      <w:pPr>
        <w:pStyle w:val="35"/>
        <w:shd w:val="clear"/>
        <w:rPr>
          <w:color w:val="auto"/>
          <w:highlight w:val="none"/>
        </w:rPr>
      </w:pPr>
    </w:p>
    <w:p w14:paraId="65D84A87">
      <w:pPr>
        <w:pStyle w:val="34"/>
        <w:shd w:val="clear"/>
        <w:rPr>
          <w:color w:val="auto"/>
          <w:highlight w:val="none"/>
        </w:rPr>
      </w:pPr>
    </w:p>
    <w:p w14:paraId="07B8144B">
      <w:pPr>
        <w:pStyle w:val="35"/>
        <w:shd w:val="clear"/>
        <w:rPr>
          <w:color w:val="auto"/>
          <w:highlight w:val="none"/>
        </w:rPr>
      </w:pPr>
    </w:p>
    <w:p w14:paraId="4088495A">
      <w:pPr>
        <w:pStyle w:val="34"/>
        <w:shd w:val="clear"/>
        <w:rPr>
          <w:color w:val="auto"/>
          <w:highlight w:val="none"/>
        </w:rPr>
      </w:pPr>
    </w:p>
    <w:p w14:paraId="4B5391D1">
      <w:pPr>
        <w:pStyle w:val="35"/>
        <w:shd w:val="clear"/>
        <w:rPr>
          <w:color w:val="auto"/>
          <w:highlight w:val="none"/>
        </w:rPr>
      </w:pPr>
    </w:p>
    <w:p w14:paraId="5878855C">
      <w:pPr>
        <w:pStyle w:val="34"/>
        <w:shd w:val="clear"/>
        <w:rPr>
          <w:color w:val="auto"/>
          <w:highlight w:val="none"/>
        </w:rPr>
      </w:pPr>
    </w:p>
    <w:p w14:paraId="78BFF042">
      <w:pPr>
        <w:pStyle w:val="35"/>
        <w:shd w:val="clear"/>
        <w:rPr>
          <w:rFonts w:ascii="宋体" w:hAnsi="宋体"/>
          <w:b/>
          <w:color w:val="auto"/>
          <w:sz w:val="48"/>
          <w:szCs w:val="48"/>
          <w:highlight w:val="none"/>
        </w:rPr>
      </w:pPr>
    </w:p>
    <w:p w14:paraId="4F967852">
      <w:pPr>
        <w:pStyle w:val="3"/>
        <w:shd w:val="clear"/>
        <w:spacing w:line="360" w:lineRule="auto"/>
        <w:jc w:val="center"/>
        <w:rPr>
          <w:rFonts w:ascii="宋体" w:cs="宋体"/>
          <w:color w:val="auto"/>
          <w:sz w:val="36"/>
          <w:highlight w:val="none"/>
        </w:rPr>
      </w:pPr>
      <w:bookmarkStart w:id="55" w:name="_Toc16635"/>
      <w:bookmarkStart w:id="56" w:name="_Toc247301841"/>
      <w:bookmarkStart w:id="57" w:name="_Toc243630963"/>
      <w:bookmarkStart w:id="58" w:name="_Toc255977446"/>
      <w:bookmarkStart w:id="59" w:name="_Toc24800"/>
      <w:bookmarkStart w:id="60" w:name="_Toc24872"/>
      <w:bookmarkStart w:id="61" w:name="_Toc243584363"/>
      <w:bookmarkStart w:id="62" w:name="_Toc247292448"/>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1702A4D0">
      <w:pPr>
        <w:pStyle w:val="4"/>
        <w:shd w:val="clear"/>
        <w:spacing w:line="360" w:lineRule="auto"/>
        <w:jc w:val="center"/>
        <w:rPr>
          <w:rFonts w:ascii="宋体" w:hAnsi="宋体" w:eastAsia="宋体" w:cs="宋体"/>
          <w:color w:val="auto"/>
          <w:kern w:val="0"/>
          <w:highlight w:val="none"/>
        </w:rPr>
      </w:pPr>
      <w:bookmarkStart w:id="63" w:name="_Toc247292449"/>
      <w:bookmarkStart w:id="64" w:name="_Toc2585"/>
      <w:bookmarkStart w:id="65" w:name="_Toc27322"/>
      <w:bookmarkStart w:id="66" w:name="_Toc32493"/>
      <w:bookmarkStart w:id="67" w:name="_Toc247301842"/>
      <w:bookmarkStart w:id="68" w:name="_Toc27920"/>
      <w:bookmarkStart w:id="69" w:name="_Toc255977447"/>
      <w:bookmarkStart w:id="70" w:name="_Toc11962"/>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7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214CBA3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67CBAF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6B6960C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468A42C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03D419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2C3EA3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10516A4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68C2B74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D2A99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8B7A99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A98F0F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464F7D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227A10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21912162">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8065"/>
            <w:bookmarkStart w:id="74" w:name="_Toc243584368"/>
            <w:r>
              <w:rPr>
                <w:rFonts w:hint="eastAsia" w:ascii="宋体" w:hAnsi="宋体" w:cs="宋体"/>
                <w:color w:val="auto"/>
                <w:kern w:val="0"/>
                <w:sz w:val="24"/>
                <w:szCs w:val="21"/>
                <w:highlight w:val="none"/>
              </w:rPr>
              <w:t>项目名称：</w:t>
            </w:r>
            <w:bookmarkEnd w:id="73"/>
            <w:bookmarkEnd w:id="74"/>
          </w:p>
          <w:p w14:paraId="12F2F8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26B7F4CE">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4027"/>
            <w:bookmarkStart w:id="76" w:name="_Toc243584369"/>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u w:val="single"/>
              </w:rPr>
              <w:t>：（盖章）</w:t>
            </w:r>
            <w:bookmarkEnd w:id="75"/>
            <w:bookmarkEnd w:id="76"/>
          </w:p>
          <w:p w14:paraId="372FF88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5307"/>
            <w:bookmarkStart w:id="78" w:name="_Toc243584370"/>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0E0367E6">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58F1F692">
      <w:pPr>
        <w:pStyle w:val="34"/>
        <w:shd w:val="clear"/>
        <w:spacing w:line="360" w:lineRule="auto"/>
        <w:rPr>
          <w:rFonts w:ascii="宋体" w:hAnsi="宋体"/>
          <w:b/>
          <w:color w:val="auto"/>
          <w:sz w:val="28"/>
          <w:szCs w:val="28"/>
          <w:highlight w:val="none"/>
        </w:rPr>
      </w:pPr>
    </w:p>
    <w:p w14:paraId="3165E3CA">
      <w:pPr>
        <w:pStyle w:val="34"/>
        <w:shd w:val="clear"/>
        <w:spacing w:line="360" w:lineRule="auto"/>
        <w:rPr>
          <w:rFonts w:ascii="宋体" w:hAnsi="宋体"/>
          <w:b/>
          <w:color w:val="auto"/>
          <w:sz w:val="28"/>
          <w:szCs w:val="28"/>
          <w:highlight w:val="none"/>
        </w:rPr>
      </w:pPr>
    </w:p>
    <w:p w14:paraId="7B33D179">
      <w:pPr>
        <w:pStyle w:val="34"/>
        <w:shd w:val="clear"/>
        <w:spacing w:line="360" w:lineRule="auto"/>
        <w:rPr>
          <w:rFonts w:ascii="宋体" w:hAnsi="宋体"/>
          <w:b/>
          <w:color w:val="auto"/>
          <w:sz w:val="28"/>
          <w:szCs w:val="28"/>
          <w:highlight w:val="none"/>
        </w:rPr>
      </w:pPr>
    </w:p>
    <w:p w14:paraId="705A9B1B">
      <w:pPr>
        <w:pStyle w:val="34"/>
        <w:shd w:val="clear"/>
        <w:spacing w:line="360" w:lineRule="auto"/>
        <w:rPr>
          <w:rFonts w:ascii="宋体" w:hAnsi="宋体"/>
          <w:b/>
          <w:color w:val="auto"/>
          <w:sz w:val="28"/>
          <w:szCs w:val="28"/>
          <w:highlight w:val="none"/>
        </w:rPr>
      </w:pPr>
    </w:p>
    <w:p w14:paraId="1FDDCF4B">
      <w:pPr>
        <w:pStyle w:val="34"/>
        <w:shd w:val="clear"/>
        <w:spacing w:line="360" w:lineRule="auto"/>
        <w:rPr>
          <w:rFonts w:ascii="宋体" w:hAnsi="宋体"/>
          <w:b/>
          <w:color w:val="auto"/>
          <w:sz w:val="28"/>
          <w:szCs w:val="28"/>
          <w:highlight w:val="none"/>
        </w:rPr>
      </w:pPr>
    </w:p>
    <w:p w14:paraId="622CDD1C">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5BD66893">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35B1EDAA">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519CE98">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6856B3B5">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hint="eastAsia"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F385EBF">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949CA20">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3B763C4">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38DEF9C">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AD48003">
      <w:pPr>
        <w:pStyle w:val="34"/>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4C206876">
      <w:pPr>
        <w:pStyle w:val="35"/>
        <w:shd w:val="clear"/>
        <w:rPr>
          <w:color w:val="auto"/>
          <w:highlight w:val="none"/>
        </w:rPr>
      </w:pPr>
    </w:p>
    <w:p w14:paraId="03199C16">
      <w:pPr>
        <w:pStyle w:val="34"/>
        <w:shd w:val="clear"/>
        <w:spacing w:line="360" w:lineRule="auto"/>
        <w:rPr>
          <w:rFonts w:hint="eastAsia" w:ascii="宋体" w:hAnsi="宋体"/>
          <w:color w:val="auto"/>
          <w:szCs w:val="21"/>
          <w:highlight w:val="none"/>
        </w:rPr>
      </w:pPr>
    </w:p>
    <w:p w14:paraId="5F0A79DA">
      <w:pPr>
        <w:pStyle w:val="35"/>
        <w:shd w:val="clear"/>
        <w:rPr>
          <w:color w:val="auto"/>
          <w:highlight w:val="none"/>
        </w:rPr>
      </w:pPr>
    </w:p>
    <w:p w14:paraId="6746A5BE">
      <w:pPr>
        <w:pStyle w:val="34"/>
        <w:shd w:val="clear"/>
        <w:spacing w:line="360" w:lineRule="auto"/>
        <w:rPr>
          <w:rFonts w:ascii="宋体" w:hAnsi="宋体"/>
          <w:b/>
          <w:color w:val="auto"/>
          <w:sz w:val="28"/>
          <w:szCs w:val="28"/>
          <w:highlight w:val="none"/>
        </w:rPr>
      </w:pPr>
    </w:p>
    <w:p w14:paraId="6D7327BA">
      <w:pPr>
        <w:pStyle w:val="34"/>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4BC2A413">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529008A7">
      <w:pPr>
        <w:pStyle w:val="34"/>
        <w:shd w:val="clear"/>
        <w:snapToGrid w:val="0"/>
        <w:spacing w:line="360" w:lineRule="auto"/>
        <w:jc w:val="center"/>
        <w:rPr>
          <w:rFonts w:ascii="宋体" w:hAnsi="宋体"/>
          <w:b/>
          <w:color w:val="auto"/>
          <w:sz w:val="24"/>
          <w:highlight w:val="none"/>
        </w:rPr>
      </w:pPr>
    </w:p>
    <w:p w14:paraId="19C5BE39">
      <w:pPr>
        <w:pStyle w:val="34"/>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20DCBFE5">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p>
    <w:p w14:paraId="03DE0088">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p>
    <w:p w14:paraId="0E028E4B">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p>
    <w:p w14:paraId="2D4A4CA7">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p>
    <w:p w14:paraId="67DAB3C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p>
    <w:p w14:paraId="103EF435">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姓名：性别：年龄：职务：</w:t>
      </w:r>
    </w:p>
    <w:p w14:paraId="40F1C110">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eastAsia="zh-CN"/>
        </w:rPr>
        <w:t>供应商</w:t>
      </w:r>
      <w:r>
        <w:rPr>
          <w:rFonts w:hint="eastAsia" w:ascii="宋体" w:hAnsi="宋体" w:cs="宋体"/>
          <w:color w:val="auto"/>
          <w:kern w:val="0"/>
          <w:sz w:val="21"/>
          <w:szCs w:val="21"/>
          <w:highlight w:val="none"/>
          <w:u w:val="single"/>
        </w:rPr>
        <w:t>名称）</w:t>
      </w:r>
      <w:r>
        <w:rPr>
          <w:rFonts w:hint="eastAsia" w:ascii="宋体" w:hAnsi="宋体" w:cs="宋体"/>
          <w:color w:val="auto"/>
          <w:kern w:val="0"/>
          <w:sz w:val="21"/>
          <w:szCs w:val="21"/>
          <w:highlight w:val="none"/>
        </w:rPr>
        <w:t>的法定代表人。</w:t>
      </w:r>
    </w:p>
    <w:p w14:paraId="26896694">
      <w:pPr>
        <w:shd w:val="clear"/>
        <w:autoSpaceDE w:val="0"/>
        <w:autoSpaceDN w:val="0"/>
        <w:adjustRightInd w:val="0"/>
        <w:spacing w:line="480" w:lineRule="auto"/>
        <w:rPr>
          <w:rFonts w:ascii="宋体" w:cs="宋体"/>
          <w:color w:val="auto"/>
          <w:kern w:val="0"/>
          <w:sz w:val="21"/>
          <w:szCs w:val="21"/>
          <w:highlight w:val="none"/>
        </w:rPr>
      </w:pPr>
    </w:p>
    <w:p w14:paraId="7E99EC96">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0E4894D">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u w:val="single"/>
        </w:rPr>
        <w:t>：（盖章）</w:t>
      </w:r>
    </w:p>
    <w:p w14:paraId="37482C63">
      <w:pPr>
        <w:shd w:val="clear"/>
        <w:autoSpaceDE w:val="0"/>
        <w:autoSpaceDN w:val="0"/>
        <w:adjustRightInd w:val="0"/>
        <w:spacing w:line="360" w:lineRule="auto"/>
        <w:jc w:val="left"/>
        <w:rPr>
          <w:rFonts w:ascii="宋体" w:cs="宋体"/>
          <w:color w:val="auto"/>
          <w:kern w:val="0"/>
          <w:sz w:val="21"/>
          <w:szCs w:val="21"/>
          <w:highlight w:val="none"/>
        </w:rPr>
      </w:pPr>
    </w:p>
    <w:p w14:paraId="32E27640">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日期：年月日</w:t>
      </w:r>
    </w:p>
    <w:p w14:paraId="465A630E">
      <w:pPr>
        <w:shd w:val="clear"/>
        <w:autoSpaceDE w:val="0"/>
        <w:autoSpaceDN w:val="0"/>
        <w:adjustRightInd w:val="0"/>
        <w:spacing w:line="360" w:lineRule="auto"/>
        <w:jc w:val="left"/>
        <w:rPr>
          <w:rFonts w:ascii="宋体" w:cs="宋体"/>
          <w:color w:val="auto"/>
          <w:kern w:val="0"/>
          <w:sz w:val="21"/>
          <w:szCs w:val="21"/>
          <w:highlight w:val="none"/>
        </w:rPr>
      </w:pPr>
    </w:p>
    <w:p w14:paraId="0E5C7CC0">
      <w:pPr>
        <w:shd w:val="clear"/>
        <w:autoSpaceDE w:val="0"/>
        <w:autoSpaceDN w:val="0"/>
        <w:adjustRightInd w:val="0"/>
        <w:spacing w:line="360" w:lineRule="auto"/>
        <w:jc w:val="left"/>
        <w:rPr>
          <w:rFonts w:ascii="宋体" w:cs="宋体"/>
          <w:color w:val="auto"/>
          <w:kern w:val="0"/>
          <w:sz w:val="21"/>
          <w:szCs w:val="21"/>
          <w:highlight w:val="none"/>
        </w:rPr>
      </w:pPr>
    </w:p>
    <w:p w14:paraId="7463717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547A2CBE">
      <w:pPr>
        <w:pStyle w:val="34"/>
        <w:shd w:val="clear"/>
        <w:spacing w:line="360" w:lineRule="auto"/>
        <w:ind w:right="97"/>
        <w:rPr>
          <w:rFonts w:ascii="宋体" w:hAnsi="宋体" w:cs="宋体"/>
          <w:color w:val="auto"/>
          <w:sz w:val="21"/>
          <w:szCs w:val="21"/>
          <w:highlight w:val="none"/>
        </w:rPr>
      </w:pPr>
    </w:p>
    <w:p w14:paraId="4CBBFDE5">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7C20FFD9">
      <w:pPr>
        <w:pStyle w:val="34"/>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(1)法定代表人亲自参加开标会议的，须附上“法定代表人身份证明书”，附法定代表人身份证复印件。</w:t>
      </w:r>
    </w:p>
    <w:p w14:paraId="2C8BED6C">
      <w:pPr>
        <w:pStyle w:val="34"/>
        <w:shd w:val="clear"/>
        <w:spacing w:line="360" w:lineRule="auto"/>
        <w:rPr>
          <w:rFonts w:ascii="宋体" w:hAnsi="宋体"/>
          <w:b/>
          <w:color w:val="auto"/>
          <w:sz w:val="28"/>
          <w:szCs w:val="28"/>
          <w:highlight w:val="none"/>
        </w:rPr>
      </w:pPr>
    </w:p>
    <w:p w14:paraId="48849C11">
      <w:pPr>
        <w:pStyle w:val="31"/>
        <w:shd w:val="clear"/>
        <w:rPr>
          <w:rFonts w:ascii="宋体" w:hAnsi="宋体" w:cs="宋体"/>
          <w:color w:val="auto"/>
          <w:sz w:val="36"/>
          <w:highlight w:val="none"/>
        </w:rPr>
      </w:pPr>
    </w:p>
    <w:p w14:paraId="061ECB00">
      <w:pPr>
        <w:shd w:val="clear"/>
        <w:rPr>
          <w:rFonts w:ascii="宋体" w:hAnsi="宋体" w:cs="宋体"/>
          <w:color w:val="auto"/>
          <w:sz w:val="36"/>
          <w:highlight w:val="none"/>
        </w:rPr>
      </w:pPr>
    </w:p>
    <w:p w14:paraId="2E98C5E7">
      <w:pPr>
        <w:shd w:val="clear"/>
        <w:rPr>
          <w:rFonts w:ascii="宋体" w:hAnsi="宋体" w:cs="宋体"/>
          <w:color w:val="auto"/>
          <w:sz w:val="36"/>
          <w:highlight w:val="none"/>
        </w:rPr>
      </w:pPr>
    </w:p>
    <w:p w14:paraId="07B6389B">
      <w:pPr>
        <w:shd w:val="clear"/>
        <w:rPr>
          <w:rFonts w:ascii="宋体" w:hAnsi="宋体" w:cs="宋体"/>
          <w:color w:val="auto"/>
          <w:sz w:val="36"/>
          <w:highlight w:val="none"/>
        </w:rPr>
      </w:pPr>
    </w:p>
    <w:p w14:paraId="52C25461">
      <w:pPr>
        <w:shd w:val="clear"/>
        <w:rPr>
          <w:rFonts w:ascii="宋体" w:hAnsi="宋体" w:cs="宋体"/>
          <w:color w:val="auto"/>
          <w:sz w:val="36"/>
          <w:highlight w:val="none"/>
        </w:rPr>
      </w:pPr>
    </w:p>
    <w:p w14:paraId="14A49E2E">
      <w:pPr>
        <w:pStyle w:val="10"/>
        <w:shd w:val="clear"/>
        <w:rPr>
          <w:rFonts w:ascii="宋体" w:hAnsi="宋体" w:cs="宋体"/>
          <w:color w:val="auto"/>
          <w:sz w:val="36"/>
          <w:highlight w:val="none"/>
        </w:rPr>
      </w:pPr>
    </w:p>
    <w:p w14:paraId="206EBE69">
      <w:pPr>
        <w:shd w:val="clear"/>
        <w:rPr>
          <w:rFonts w:ascii="宋体" w:hAnsi="宋体" w:cs="宋体"/>
          <w:color w:val="auto"/>
          <w:sz w:val="36"/>
          <w:highlight w:val="none"/>
        </w:rPr>
      </w:pPr>
    </w:p>
    <w:p w14:paraId="3D258542">
      <w:pPr>
        <w:pStyle w:val="10"/>
        <w:shd w:val="clear"/>
        <w:rPr>
          <w:color w:val="auto"/>
          <w:highlight w:val="none"/>
        </w:rPr>
      </w:pPr>
    </w:p>
    <w:p w14:paraId="4F37B97C">
      <w:pPr>
        <w:shd w:val="clear"/>
        <w:rPr>
          <w:rFonts w:ascii="宋体" w:hAnsi="宋体" w:cs="宋体"/>
          <w:color w:val="auto"/>
          <w:sz w:val="36"/>
          <w:highlight w:val="none"/>
        </w:rPr>
      </w:pPr>
    </w:p>
    <w:p w14:paraId="311C53B5">
      <w:pPr>
        <w:pStyle w:val="34"/>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34349A07">
      <w:pPr>
        <w:pStyle w:val="34"/>
        <w:shd w:val="clear"/>
        <w:snapToGrid w:val="0"/>
        <w:spacing w:line="360" w:lineRule="auto"/>
        <w:jc w:val="center"/>
        <w:rPr>
          <w:rFonts w:ascii="宋体" w:hAnsi="宋体"/>
          <w:b/>
          <w:color w:val="auto"/>
          <w:sz w:val="24"/>
          <w:highlight w:val="none"/>
        </w:rPr>
      </w:pPr>
    </w:p>
    <w:p w14:paraId="66EB8A44">
      <w:pPr>
        <w:pStyle w:val="35"/>
        <w:shd w:val="clear"/>
        <w:rPr>
          <w:color w:val="auto"/>
          <w:highlight w:val="none"/>
        </w:rPr>
      </w:pPr>
    </w:p>
    <w:p w14:paraId="65AF2699">
      <w:pPr>
        <w:pStyle w:val="34"/>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79835A2B">
      <w:pPr>
        <w:pStyle w:val="34"/>
        <w:shd w:val="clear"/>
        <w:snapToGrid w:val="0"/>
        <w:spacing w:line="360" w:lineRule="auto"/>
        <w:rPr>
          <w:rFonts w:ascii="宋体" w:hAnsi="宋体"/>
          <w:color w:val="auto"/>
          <w:sz w:val="28"/>
          <w:szCs w:val="28"/>
          <w:highlight w:val="none"/>
        </w:rPr>
      </w:pPr>
    </w:p>
    <w:p w14:paraId="55FEF13D">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eastAsia="zh-CN"/>
        </w:rPr>
        <w:t>供应商</w:t>
      </w:r>
      <w:r>
        <w:rPr>
          <w:rFonts w:hint="eastAsia" w:ascii="宋体" w:hAnsi="宋体" w:cs="宋体"/>
          <w:color w:val="auto"/>
          <w:kern w:val="0"/>
          <w:sz w:val="21"/>
          <w:szCs w:val="22"/>
          <w:highlight w:val="none"/>
          <w:u w:val="single"/>
        </w:rPr>
        <w:t>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w:t>
      </w:r>
      <w:r>
        <w:rPr>
          <w:rFonts w:hint="eastAsia" w:ascii="宋体" w:hAnsi="宋体" w:cs="宋体"/>
          <w:color w:val="auto"/>
          <w:kern w:val="0"/>
          <w:sz w:val="21"/>
          <w:szCs w:val="22"/>
          <w:highlight w:val="none"/>
          <w:lang w:eastAsia="zh-CN"/>
        </w:rPr>
        <w:t>磋商</w:t>
      </w:r>
      <w:r>
        <w:rPr>
          <w:rFonts w:hint="eastAsia" w:ascii="宋体" w:hAnsi="宋体" w:cs="宋体"/>
          <w:color w:val="auto"/>
          <w:kern w:val="0"/>
          <w:sz w:val="21"/>
          <w:szCs w:val="22"/>
          <w:highlight w:val="none"/>
        </w:rPr>
        <w:t>过程中所签署的一切文件和处理与之有关的一切事务，我均予以承认。</w:t>
      </w:r>
    </w:p>
    <w:p w14:paraId="34F937C1">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：年月日至年月日</w:t>
      </w:r>
    </w:p>
    <w:p w14:paraId="5EA62437">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68C8CB28">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代理人（签字）：性别：年龄：</w:t>
      </w:r>
    </w:p>
    <w:p w14:paraId="44183A6E">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身份证号码：联系电话：</w:t>
      </w:r>
    </w:p>
    <w:p w14:paraId="3EC638BB">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：（盖章）</w:t>
      </w:r>
    </w:p>
    <w:p w14:paraId="01F4F0DE">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：（签字或盖章）</w:t>
      </w:r>
    </w:p>
    <w:p w14:paraId="24AD73A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6FDCFBAA">
      <w:pPr>
        <w:pStyle w:val="34"/>
        <w:shd w:val="clear"/>
        <w:autoSpaceDE w:val="0"/>
        <w:autoSpaceDN w:val="0"/>
        <w:spacing w:line="360" w:lineRule="auto"/>
        <w:ind w:left="480" w:hanging="480"/>
        <w:rPr>
          <w:rFonts w:ascii="宋体" w:hAnsi="宋体"/>
          <w:color w:val="auto"/>
          <w:szCs w:val="21"/>
          <w:highlight w:val="none"/>
        </w:rPr>
      </w:pPr>
    </w:p>
    <w:p w14:paraId="5E7491DE">
      <w:pPr>
        <w:pStyle w:val="34"/>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92DF441">
      <w:pPr>
        <w:shd w:val="clear"/>
        <w:rPr>
          <w:rFonts w:ascii="宋体" w:hAnsi="宋体" w:cs="宋体"/>
          <w:color w:val="auto"/>
          <w:sz w:val="36"/>
          <w:highlight w:val="none"/>
        </w:rPr>
      </w:pPr>
    </w:p>
    <w:p w14:paraId="2FE9E1E7">
      <w:pPr>
        <w:shd w:val="clear"/>
        <w:rPr>
          <w:rFonts w:ascii="宋体" w:hAnsi="宋体" w:cs="宋体"/>
          <w:color w:val="auto"/>
          <w:sz w:val="36"/>
          <w:highlight w:val="none"/>
        </w:rPr>
      </w:pPr>
    </w:p>
    <w:p w14:paraId="39257979">
      <w:pPr>
        <w:shd w:val="clear"/>
        <w:rPr>
          <w:rFonts w:ascii="宋体" w:hAnsi="宋体" w:cs="宋体"/>
          <w:color w:val="auto"/>
          <w:sz w:val="36"/>
          <w:highlight w:val="none"/>
        </w:rPr>
      </w:pPr>
    </w:p>
    <w:p w14:paraId="219C48E2">
      <w:pPr>
        <w:shd w:val="clear"/>
        <w:rPr>
          <w:rFonts w:ascii="宋体" w:hAnsi="宋体" w:cs="宋体"/>
          <w:color w:val="auto"/>
          <w:sz w:val="36"/>
          <w:highlight w:val="none"/>
        </w:rPr>
      </w:pPr>
    </w:p>
    <w:p w14:paraId="326BD5B4">
      <w:pPr>
        <w:shd w:val="clear"/>
        <w:rPr>
          <w:rFonts w:ascii="宋体" w:hAnsi="宋体" w:cs="宋体"/>
          <w:color w:val="auto"/>
          <w:sz w:val="36"/>
          <w:highlight w:val="none"/>
        </w:rPr>
      </w:pPr>
    </w:p>
    <w:p w14:paraId="1A75125B">
      <w:pPr>
        <w:shd w:val="clear"/>
        <w:rPr>
          <w:rFonts w:ascii="宋体" w:hAnsi="宋体" w:cs="宋体"/>
          <w:color w:val="auto"/>
          <w:sz w:val="36"/>
          <w:highlight w:val="none"/>
        </w:rPr>
      </w:pPr>
    </w:p>
    <w:p w14:paraId="07A2A61C">
      <w:pPr>
        <w:shd w:val="clear"/>
        <w:rPr>
          <w:rFonts w:ascii="宋体" w:hAnsi="宋体" w:cs="宋体"/>
          <w:color w:val="auto"/>
          <w:sz w:val="36"/>
          <w:highlight w:val="none"/>
        </w:rPr>
      </w:pPr>
    </w:p>
    <w:p w14:paraId="0B97CAFA">
      <w:pPr>
        <w:pStyle w:val="10"/>
        <w:shd w:val="clear"/>
        <w:rPr>
          <w:color w:val="auto"/>
          <w:highlight w:val="none"/>
        </w:rPr>
      </w:pPr>
    </w:p>
    <w:p w14:paraId="7B127A3A">
      <w:pPr>
        <w:shd w:val="clear"/>
        <w:rPr>
          <w:rFonts w:ascii="宋体" w:hAnsi="宋体" w:cs="宋体"/>
          <w:color w:val="auto"/>
          <w:sz w:val="36"/>
          <w:highlight w:val="none"/>
        </w:rPr>
      </w:pPr>
    </w:p>
    <w:p w14:paraId="009D6769">
      <w:pPr>
        <w:pStyle w:val="34"/>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53356622">
      <w:pPr>
        <w:pStyle w:val="35"/>
        <w:numPr>
          <w:ilvl w:val="0"/>
          <w:numId w:val="0"/>
        </w:numPr>
        <w:shd w:val="clear"/>
        <w:ind w:leftChars="0"/>
        <w:rPr>
          <w:rFonts w:hint="eastAsia"/>
          <w:color w:val="auto"/>
          <w:highlight w:val="none"/>
          <w:lang w:val="en-US" w:eastAsia="zh-CN"/>
        </w:rPr>
      </w:pPr>
    </w:p>
    <w:p w14:paraId="45AD83A6">
      <w:pPr>
        <w:pStyle w:val="34"/>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6B16DD32">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52630384">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0C9F6292">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85B11DD">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996DB57">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78FDC53C">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71A1B1AF">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1C77E72">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7458D1C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7C4AC961">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6E9EBCE4">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7FE7DBD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5.供应商之间事先约定一致抬高或者压低竞标报价,或者在竞争性</w:t>
      </w:r>
      <w:r>
        <w:rPr>
          <w:rFonts w:hint="eastAsia" w:ascii="宋体" w:hAnsi="宋体" w:cs="仿宋_GB2312"/>
          <w:color w:val="auto"/>
          <w:sz w:val="21"/>
          <w:szCs w:val="21"/>
          <w:highlight w:val="none"/>
          <w:lang w:eastAsia="zh-CN"/>
        </w:rPr>
        <w:t>磋商</w:t>
      </w:r>
      <w:r>
        <w:rPr>
          <w:rFonts w:ascii="宋体" w:hAnsi="宋体" w:cs="仿宋_GB2312"/>
          <w:color w:val="auto"/>
          <w:sz w:val="21"/>
          <w:szCs w:val="21"/>
          <w:highlight w:val="none"/>
        </w:rPr>
        <w:t>项目中事先约定轮流以高价位或者低价位成交,或者事先约定由某一特定供应商成交,然后再参加竞标；</w:t>
      </w:r>
    </w:p>
    <w:p w14:paraId="67DA5D5F">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6BF2679">
      <w:pPr>
        <w:pStyle w:val="34"/>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03BFDE61">
      <w:pPr>
        <w:pStyle w:val="34"/>
        <w:shd w:val="clear"/>
        <w:spacing w:line="360" w:lineRule="auto"/>
        <w:rPr>
          <w:rFonts w:ascii="宋体" w:hAnsi="宋体" w:cs="仿宋_GB2312"/>
          <w:color w:val="auto"/>
          <w:sz w:val="21"/>
          <w:szCs w:val="21"/>
          <w:highlight w:val="none"/>
        </w:rPr>
      </w:pPr>
    </w:p>
    <w:p w14:paraId="7F024DA5">
      <w:pPr>
        <w:pStyle w:val="34"/>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6ADAEBAF">
      <w:pPr>
        <w:pStyle w:val="34"/>
        <w:shd w:val="clear"/>
        <w:spacing w:line="360" w:lineRule="auto"/>
        <w:rPr>
          <w:rFonts w:ascii="宋体" w:hAnsi="宋体" w:cs="仿宋_GB2312"/>
          <w:color w:val="auto"/>
          <w:sz w:val="21"/>
          <w:szCs w:val="21"/>
          <w:highlight w:val="none"/>
        </w:rPr>
      </w:pPr>
    </w:p>
    <w:p w14:paraId="4289CC4A">
      <w:pPr>
        <w:pStyle w:val="34"/>
        <w:shd w:val="clear"/>
        <w:spacing w:line="360" w:lineRule="auto"/>
        <w:rPr>
          <w:rFonts w:ascii="宋体" w:hAnsi="宋体" w:cs="仿宋_GB2312"/>
          <w:color w:val="auto"/>
          <w:sz w:val="21"/>
          <w:szCs w:val="21"/>
          <w:highlight w:val="none"/>
        </w:rPr>
      </w:pPr>
    </w:p>
    <w:p w14:paraId="59441EBD">
      <w:pPr>
        <w:pStyle w:val="34"/>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lang w:eastAsia="zh-CN"/>
        </w:rPr>
        <w:t>供应商</w:t>
      </w:r>
      <w:r>
        <w:rPr>
          <w:rFonts w:ascii="宋体" w:hAnsi="宋体" w:cs="仿宋_GB2312"/>
          <w:color w:val="auto"/>
          <w:sz w:val="21"/>
          <w:szCs w:val="21"/>
          <w:highlight w:val="none"/>
        </w:rPr>
        <w:t>（盖公章）：</w:t>
      </w:r>
    </w:p>
    <w:p w14:paraId="2B4A4B6B">
      <w:pPr>
        <w:pStyle w:val="34"/>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年月日</w:t>
      </w:r>
    </w:p>
    <w:p w14:paraId="1893968E">
      <w:pPr>
        <w:pStyle w:val="34"/>
        <w:shd w:val="clear"/>
        <w:spacing w:line="360" w:lineRule="auto"/>
        <w:jc w:val="left"/>
        <w:rPr>
          <w:rFonts w:hint="eastAsia" w:ascii="宋体" w:hAnsi="宋体"/>
          <w:b/>
          <w:color w:val="auto"/>
          <w:sz w:val="28"/>
          <w:szCs w:val="28"/>
          <w:highlight w:val="none"/>
          <w:lang w:val="en-US" w:eastAsia="zh-CN"/>
        </w:rPr>
      </w:pPr>
    </w:p>
    <w:p w14:paraId="76F8A1DC">
      <w:pPr>
        <w:pStyle w:val="34"/>
        <w:shd w:val="clear"/>
        <w:spacing w:line="360" w:lineRule="auto"/>
        <w:jc w:val="left"/>
        <w:rPr>
          <w:rFonts w:hint="eastAsia" w:ascii="宋体" w:hAnsi="宋体"/>
          <w:b/>
          <w:color w:val="auto"/>
          <w:sz w:val="28"/>
          <w:szCs w:val="28"/>
          <w:highlight w:val="none"/>
          <w:lang w:val="en-US" w:eastAsia="zh-CN"/>
        </w:rPr>
      </w:pPr>
    </w:p>
    <w:p w14:paraId="0E14FE8F">
      <w:pPr>
        <w:pStyle w:val="34"/>
        <w:shd w:val="clear"/>
        <w:spacing w:line="360" w:lineRule="auto"/>
        <w:jc w:val="left"/>
        <w:rPr>
          <w:rFonts w:hint="eastAsia" w:ascii="宋体" w:hAnsi="宋体"/>
          <w:b/>
          <w:color w:val="auto"/>
          <w:sz w:val="28"/>
          <w:szCs w:val="28"/>
          <w:highlight w:val="none"/>
          <w:lang w:val="en-US" w:eastAsia="zh-CN"/>
        </w:rPr>
      </w:pPr>
    </w:p>
    <w:p w14:paraId="2CD5B009">
      <w:pPr>
        <w:pStyle w:val="34"/>
        <w:shd w:val="clear"/>
        <w:spacing w:line="360" w:lineRule="auto"/>
        <w:jc w:val="left"/>
        <w:rPr>
          <w:rFonts w:hint="eastAsia" w:ascii="宋体" w:hAnsi="宋体"/>
          <w:b/>
          <w:color w:val="auto"/>
          <w:sz w:val="28"/>
          <w:szCs w:val="28"/>
          <w:highlight w:val="none"/>
          <w:lang w:val="en-US" w:eastAsia="zh-CN"/>
        </w:rPr>
      </w:pPr>
    </w:p>
    <w:p w14:paraId="39D3F826">
      <w:pPr>
        <w:pStyle w:val="34"/>
        <w:shd w:val="clear"/>
        <w:spacing w:line="360" w:lineRule="auto"/>
        <w:jc w:val="left"/>
        <w:rPr>
          <w:rFonts w:hint="eastAsia" w:ascii="宋体" w:hAnsi="宋体"/>
          <w:b/>
          <w:color w:val="auto"/>
          <w:sz w:val="28"/>
          <w:szCs w:val="28"/>
          <w:highlight w:val="none"/>
          <w:lang w:val="en-US" w:eastAsia="zh-CN"/>
        </w:rPr>
      </w:pPr>
    </w:p>
    <w:p w14:paraId="433082FA">
      <w:pPr>
        <w:pStyle w:val="34"/>
        <w:shd w:val="clear"/>
        <w:spacing w:line="360" w:lineRule="auto"/>
        <w:jc w:val="left"/>
        <w:rPr>
          <w:rFonts w:hint="eastAsia" w:ascii="宋体" w:hAnsi="宋体"/>
          <w:b/>
          <w:color w:val="auto"/>
          <w:sz w:val="28"/>
          <w:szCs w:val="28"/>
          <w:highlight w:val="none"/>
          <w:lang w:val="en-US" w:eastAsia="zh-CN"/>
        </w:rPr>
      </w:pPr>
    </w:p>
    <w:p w14:paraId="0D98FEEA">
      <w:pPr>
        <w:pStyle w:val="34"/>
        <w:shd w:val="clear"/>
        <w:spacing w:line="360" w:lineRule="auto"/>
        <w:jc w:val="left"/>
        <w:rPr>
          <w:rFonts w:hint="eastAsia" w:ascii="宋体" w:hAnsi="宋体"/>
          <w:b/>
          <w:color w:val="auto"/>
          <w:sz w:val="28"/>
          <w:szCs w:val="28"/>
          <w:highlight w:val="none"/>
          <w:lang w:val="en-US" w:eastAsia="zh-CN"/>
        </w:rPr>
      </w:pPr>
    </w:p>
    <w:p w14:paraId="279892A9">
      <w:pPr>
        <w:pStyle w:val="34"/>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7D72ED50">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磋商函</w:t>
      </w:r>
    </w:p>
    <w:p w14:paraId="4AA3880E">
      <w:pPr>
        <w:pStyle w:val="34"/>
        <w:shd w:val="clear"/>
        <w:spacing w:line="360" w:lineRule="auto"/>
        <w:ind w:left="141"/>
        <w:rPr>
          <w:rFonts w:ascii="宋体" w:hAnsi="宋体"/>
          <w:color w:val="auto"/>
          <w:szCs w:val="21"/>
          <w:highlight w:val="none"/>
          <w:u w:val="single"/>
        </w:rPr>
      </w:pPr>
    </w:p>
    <w:p w14:paraId="64DF798B">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7E24D299">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199BAD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2.</w:t>
      </w:r>
      <w:r>
        <w:rPr>
          <w:rFonts w:hint="eastAsia" w:ascii="宋体" w:hAnsi="宋体" w:cs="宋体"/>
          <w:color w:val="auto"/>
          <w:kern w:val="0"/>
          <w:sz w:val="21"/>
          <w:szCs w:val="22"/>
          <w:highlight w:val="none"/>
        </w:rPr>
        <w:t>我方已详细审核全部采购文件，包括采购补遗文件及有关附件。</w:t>
      </w:r>
    </w:p>
    <w:p w14:paraId="7F627CC3">
      <w:pPr>
        <w:shd w:val="clear"/>
        <w:autoSpaceDE w:val="0"/>
        <w:autoSpaceDN w:val="0"/>
        <w:adjustRightInd w:val="0"/>
        <w:spacing w:line="360" w:lineRule="auto"/>
        <w:ind w:firstLine="420" w:firstLineChars="200"/>
        <w:rPr>
          <w:rFonts w:hint="eastAsia" w:ascii="宋体" w:eastAsia="宋体" w:cs="宋体"/>
          <w:color w:val="auto"/>
          <w:kern w:val="0"/>
          <w:sz w:val="21"/>
          <w:szCs w:val="22"/>
          <w:highlight w:val="none"/>
          <w:lang w:val="en-US" w:eastAsia="zh-CN"/>
        </w:rPr>
      </w:pPr>
      <w:r>
        <w:rPr>
          <w:rFonts w:ascii="宋体" w:hAnsi="宋体" w:cs="宋体"/>
          <w:color w:val="auto"/>
          <w:kern w:val="0"/>
          <w:sz w:val="21"/>
          <w:szCs w:val="22"/>
          <w:highlight w:val="none"/>
        </w:rPr>
        <w:t>3.</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1D5DE0F0">
      <w:pPr>
        <w:shd w:val="clear"/>
        <w:autoSpaceDE w:val="0"/>
        <w:autoSpaceDN w:val="0"/>
        <w:adjustRightInd w:val="0"/>
        <w:spacing w:line="360" w:lineRule="auto"/>
        <w:ind w:firstLine="420" w:firstLineChars="200"/>
        <w:rPr>
          <w:rFonts w:ascii="宋体" w:cs="宋体"/>
          <w:color w:val="auto"/>
          <w:kern w:val="0"/>
          <w:sz w:val="21"/>
          <w:szCs w:val="22"/>
          <w:highlight w:val="none"/>
          <w:u w:val="single"/>
        </w:rPr>
      </w:pPr>
      <w:r>
        <w:rPr>
          <w:rFonts w:ascii="宋体" w:hAnsi="宋体" w:cs="宋体"/>
          <w:color w:val="auto"/>
          <w:kern w:val="0"/>
          <w:sz w:val="21"/>
          <w:szCs w:val="22"/>
          <w:highlight w:val="none"/>
        </w:rPr>
        <w:t>4.</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lang w:val="en-US" w:eastAsia="zh-CN"/>
        </w:rPr>
        <w:t xml:space="preserve"> </w:t>
      </w:r>
      <w:r>
        <w:rPr>
          <w:rFonts w:hint="eastAsia" w:ascii="宋体" w:hAnsi="宋体" w:cs="宋体"/>
          <w:color w:val="auto"/>
          <w:kern w:val="0"/>
          <w:sz w:val="21"/>
          <w:szCs w:val="22"/>
          <w:highlight w:val="none"/>
          <w:u w:val="none"/>
        </w:rPr>
        <w:t>日历</w:t>
      </w:r>
      <w:r>
        <w:rPr>
          <w:rFonts w:hint="eastAsia" w:ascii="宋体" w:hAnsi="宋体" w:cs="宋体"/>
          <w:color w:val="auto"/>
          <w:kern w:val="0"/>
          <w:sz w:val="21"/>
          <w:szCs w:val="22"/>
          <w:highlight w:val="none"/>
          <w:u w:val="none"/>
          <w:lang w:val="en-US" w:eastAsia="zh-CN"/>
        </w:rPr>
        <w:t>天</w:t>
      </w:r>
      <w:r>
        <w:rPr>
          <w:rFonts w:hint="eastAsia" w:ascii="宋体" w:hAnsi="宋体" w:cs="宋体"/>
          <w:color w:val="auto"/>
          <w:kern w:val="0"/>
          <w:sz w:val="21"/>
          <w:szCs w:val="22"/>
          <w:highlight w:val="none"/>
          <w:u w:val="none"/>
        </w:rPr>
        <w:t>内</w:t>
      </w:r>
      <w:r>
        <w:rPr>
          <w:rFonts w:hint="eastAsia" w:ascii="宋体" w:hAnsi="宋体" w:cs="宋体"/>
          <w:color w:val="auto"/>
          <w:kern w:val="0"/>
          <w:sz w:val="21"/>
          <w:szCs w:val="22"/>
          <w:highlight w:val="none"/>
        </w:rPr>
        <w:t>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none"/>
        </w:rPr>
        <w:t>。</w:t>
      </w:r>
    </w:p>
    <w:p w14:paraId="728CC160">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5.</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4C5D18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6.</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944CD43">
      <w:pPr>
        <w:shd w:val="clear"/>
        <w:autoSpaceDE w:val="0"/>
        <w:autoSpaceDN w:val="0"/>
        <w:adjustRightInd w:val="0"/>
        <w:spacing w:line="360" w:lineRule="auto"/>
        <w:ind w:firstLine="555"/>
        <w:rPr>
          <w:rFonts w:ascii="宋体" w:cs="宋体"/>
          <w:color w:val="auto"/>
          <w:kern w:val="0"/>
          <w:sz w:val="21"/>
          <w:szCs w:val="22"/>
          <w:highlight w:val="none"/>
        </w:rPr>
      </w:pPr>
    </w:p>
    <w:p w14:paraId="06A7FC46">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rPr>
        <w:t>竞标人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49DB310C">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单位地址：</w:t>
      </w:r>
      <w:r>
        <w:rPr>
          <w:rFonts w:hint="eastAsia" w:ascii="宋体" w:hAnsi="宋体" w:cs="宋体"/>
          <w:color w:val="auto"/>
          <w:kern w:val="0"/>
          <w:sz w:val="21"/>
          <w:szCs w:val="22"/>
          <w:highlight w:val="none"/>
          <w:u w:val="single"/>
          <w:lang w:val="en-US" w:eastAsia="zh-CN"/>
        </w:rPr>
        <w:t xml:space="preserve">             </w:t>
      </w:r>
    </w:p>
    <w:p w14:paraId="041DE47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：（签字或盖章）</w:t>
      </w:r>
    </w:p>
    <w:p w14:paraId="6B7D1054">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邮政编码：</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电话：</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传真：</w:t>
      </w:r>
      <w:r>
        <w:rPr>
          <w:rFonts w:hint="eastAsia" w:ascii="宋体" w:hAnsi="宋体" w:cs="宋体"/>
          <w:color w:val="auto"/>
          <w:kern w:val="0"/>
          <w:sz w:val="21"/>
          <w:szCs w:val="22"/>
          <w:highlight w:val="none"/>
          <w:u w:val="single"/>
          <w:lang w:val="en-US" w:eastAsia="zh-CN"/>
        </w:rPr>
        <w:t xml:space="preserve">             </w:t>
      </w:r>
    </w:p>
    <w:p w14:paraId="0714097D">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开户银行名称：</w:t>
      </w:r>
      <w:r>
        <w:rPr>
          <w:rFonts w:hint="eastAsia" w:ascii="宋体" w:hAnsi="宋体" w:cs="宋体"/>
          <w:color w:val="auto"/>
          <w:kern w:val="0"/>
          <w:sz w:val="21"/>
          <w:szCs w:val="22"/>
          <w:highlight w:val="none"/>
          <w:u w:val="single"/>
          <w:lang w:val="en-US" w:eastAsia="zh-CN"/>
        </w:rPr>
        <w:t xml:space="preserve">             </w:t>
      </w:r>
    </w:p>
    <w:p w14:paraId="65B8FF69">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开户银行帐号：</w:t>
      </w:r>
      <w:r>
        <w:rPr>
          <w:rFonts w:hint="eastAsia" w:ascii="宋体" w:hAnsi="宋体" w:cs="宋体"/>
          <w:color w:val="auto"/>
          <w:kern w:val="0"/>
          <w:sz w:val="21"/>
          <w:szCs w:val="22"/>
          <w:highlight w:val="none"/>
          <w:u w:val="single"/>
          <w:lang w:val="en-US" w:eastAsia="zh-CN"/>
        </w:rPr>
        <w:t xml:space="preserve">             </w:t>
      </w:r>
    </w:p>
    <w:p w14:paraId="426DF673">
      <w:pPr>
        <w:shd w:val="clear"/>
        <w:autoSpaceDE w:val="0"/>
        <w:autoSpaceDN w:val="0"/>
        <w:adjustRightInd w:val="0"/>
        <w:spacing w:line="360" w:lineRule="auto"/>
        <w:ind w:firstLine="840" w:firstLineChars="4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开户银行地址：</w:t>
      </w:r>
      <w:r>
        <w:rPr>
          <w:rFonts w:hint="eastAsia" w:ascii="宋体" w:hAnsi="宋体" w:cs="宋体"/>
          <w:color w:val="auto"/>
          <w:kern w:val="0"/>
          <w:sz w:val="21"/>
          <w:szCs w:val="22"/>
          <w:highlight w:val="none"/>
          <w:u w:val="single"/>
          <w:lang w:val="en-US" w:eastAsia="zh-CN"/>
        </w:rPr>
        <w:t xml:space="preserve">             </w:t>
      </w:r>
    </w:p>
    <w:p w14:paraId="2F0F92A9">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p>
    <w:p w14:paraId="7A7EC340">
      <w:pPr>
        <w:pStyle w:val="34"/>
        <w:shd w:val="clear"/>
        <w:spacing w:line="360" w:lineRule="auto"/>
        <w:ind w:right="97"/>
        <w:rPr>
          <w:rFonts w:ascii="宋体" w:hAnsi="宋体" w:cs="宋体"/>
          <w:color w:val="auto"/>
          <w:szCs w:val="21"/>
          <w:highlight w:val="none"/>
        </w:rPr>
      </w:pPr>
    </w:p>
    <w:p w14:paraId="4B461D89">
      <w:pPr>
        <w:pStyle w:val="34"/>
        <w:shd w:val="clear"/>
        <w:spacing w:line="360" w:lineRule="auto"/>
        <w:rPr>
          <w:rFonts w:ascii="宋体" w:hAnsi="宋体"/>
          <w:b/>
          <w:color w:val="auto"/>
          <w:sz w:val="28"/>
          <w:szCs w:val="28"/>
          <w:highlight w:val="none"/>
        </w:rPr>
      </w:pPr>
    </w:p>
    <w:p w14:paraId="2CE09C53">
      <w:pPr>
        <w:pStyle w:val="35"/>
        <w:shd w:val="clear"/>
        <w:rPr>
          <w:color w:val="auto"/>
          <w:highlight w:val="none"/>
        </w:rPr>
      </w:pPr>
    </w:p>
    <w:p w14:paraId="515E94BD">
      <w:pPr>
        <w:pStyle w:val="34"/>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54B6D7E">
      <w:pPr>
        <w:pStyle w:val="34"/>
        <w:shd w:val="clear"/>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磋商函附录</w:t>
      </w:r>
    </w:p>
    <w:p w14:paraId="288E8B5B">
      <w:pPr>
        <w:pStyle w:val="40"/>
        <w:shd w:val="clear"/>
        <w:spacing w:line="360" w:lineRule="auto"/>
        <w:jc w:val="center"/>
        <w:rPr>
          <w:color w:val="auto"/>
          <w:sz w:val="32"/>
          <w:szCs w:val="32"/>
          <w:highlight w:val="none"/>
        </w:rPr>
      </w:pPr>
      <w:bookmarkStart w:id="79" w:name="_Toc514605322"/>
      <w:bookmarkStart w:id="80" w:name="_Toc1106"/>
      <w:bookmarkStart w:id="81" w:name="_Toc514606977"/>
      <w:bookmarkStart w:id="82" w:name="_Toc514607588"/>
      <w:bookmarkStart w:id="83" w:name="_Toc31318"/>
      <w:bookmarkStart w:id="84" w:name="_Toc514605589"/>
      <w:r>
        <w:rPr>
          <w:color w:val="auto"/>
          <w:sz w:val="30"/>
          <w:szCs w:val="30"/>
          <w:highlight w:val="none"/>
        </w:rPr>
        <w:t>磋商函附录</w:t>
      </w:r>
      <w:bookmarkEnd w:id="79"/>
      <w:bookmarkEnd w:id="80"/>
      <w:bookmarkEnd w:id="81"/>
      <w:bookmarkEnd w:id="82"/>
      <w:bookmarkEnd w:id="83"/>
      <w:bookmarkEnd w:id="84"/>
    </w:p>
    <w:tbl>
      <w:tblPr>
        <w:tblStyle w:val="24"/>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766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3FB28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2358105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342017B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3E8639A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响应</w:t>
            </w:r>
            <w:r>
              <w:rPr>
                <w:rFonts w:hint="eastAsia" w:ascii="宋体" w:hAnsi="宋体" w:cs="宋体"/>
                <w:color w:val="auto"/>
                <w:kern w:val="0"/>
                <w:sz w:val="21"/>
                <w:szCs w:val="22"/>
                <w:highlight w:val="none"/>
              </w:rPr>
              <w:t>内容</w:t>
            </w:r>
          </w:p>
        </w:tc>
        <w:tc>
          <w:tcPr>
            <w:tcW w:w="900" w:type="dxa"/>
            <w:vAlign w:val="center"/>
          </w:tcPr>
          <w:p w14:paraId="178A380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6A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5597CA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3D173052">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03AFC21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BB7AD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42949FF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EC3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43" w:type="dxa"/>
            <w:vAlign w:val="center"/>
          </w:tcPr>
          <w:p w14:paraId="0460C00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2BC6253A">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1143C0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611416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3BBC909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BA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52633D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42715CE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288C65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573694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35943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537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66D329A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00CD3739">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7265F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3C775DF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00C70D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2A6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11F79A3">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17B67117">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7ACC8C3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8A8A8D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520C6F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39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C61C4A">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0330ECD0">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33B9362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35FB8EA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579E268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74F23BC7">
      <w:pPr>
        <w:pStyle w:val="34"/>
        <w:shd w:val="clear"/>
        <w:snapToGrid w:val="0"/>
        <w:spacing w:line="360" w:lineRule="auto"/>
        <w:rPr>
          <w:rFonts w:hint="eastAsia" w:ascii="宋体" w:hAnsi="宋体" w:eastAsia="宋体"/>
          <w:color w:val="auto"/>
          <w:sz w:val="22"/>
          <w:szCs w:val="22"/>
          <w:highlight w:val="none"/>
          <w:lang w:eastAsia="zh-CN"/>
        </w:rPr>
      </w:pPr>
    </w:p>
    <w:p w14:paraId="04C2E3D0">
      <w:pPr>
        <w:pStyle w:val="13"/>
        <w:shd w:val="clear"/>
        <w:spacing w:line="360" w:lineRule="auto"/>
        <w:rPr>
          <w:rFonts w:hint="eastAsia" w:eastAsia="宋体"/>
          <w:color w:val="auto"/>
          <w:sz w:val="21"/>
          <w:szCs w:val="22"/>
          <w:highlight w:val="none"/>
          <w:lang w:eastAsia="zh-CN"/>
        </w:rPr>
      </w:pPr>
      <w:r>
        <w:rPr>
          <w:rFonts w:hint="eastAsia"/>
          <w:color w:val="auto"/>
          <w:sz w:val="21"/>
          <w:szCs w:val="22"/>
          <w:highlight w:val="none"/>
        </w:rPr>
        <w:t>法定代表人(负责人、自然人)或相应的委托代理人签字（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w:t>
      </w:r>
    </w:p>
    <w:p w14:paraId="45D5CBA8">
      <w:pPr>
        <w:pStyle w:val="13"/>
        <w:shd w:val="clear"/>
        <w:spacing w:line="360" w:lineRule="auto"/>
        <w:rPr>
          <w:color w:val="auto"/>
          <w:sz w:val="21"/>
          <w:szCs w:val="22"/>
          <w:highlight w:val="none"/>
        </w:rPr>
      </w:pPr>
      <w:r>
        <w:rPr>
          <w:rFonts w:hint="eastAsia" w:cs="宋体"/>
          <w:color w:val="auto"/>
          <w:kern w:val="0"/>
          <w:sz w:val="24"/>
          <w:szCs w:val="21"/>
          <w:highlight w:val="none"/>
          <w:lang w:eastAsia="zh-CN"/>
        </w:rPr>
        <w:t>供应商</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412EC4EB">
      <w:pPr>
        <w:pStyle w:val="13"/>
        <w:shd w:val="clear"/>
        <w:spacing w:line="360" w:lineRule="auto"/>
        <w:rPr>
          <w:rFonts w:hint="eastAsia" w:eastAsia="宋体"/>
          <w:color w:val="auto"/>
          <w:sz w:val="21"/>
          <w:szCs w:val="22"/>
          <w:highlight w:val="none"/>
          <w:lang w:eastAsia="zh-CN"/>
        </w:rPr>
      </w:pPr>
      <w:r>
        <w:rPr>
          <w:color w:val="auto"/>
          <w:sz w:val="21"/>
          <w:szCs w:val="22"/>
          <w:highlight w:val="none"/>
        </w:rPr>
        <w:t>时间：年月日</w:t>
      </w:r>
    </w:p>
    <w:p w14:paraId="631FA7D1">
      <w:pPr>
        <w:pStyle w:val="13"/>
        <w:shd w:val="clear"/>
        <w:spacing w:line="360" w:lineRule="auto"/>
        <w:rPr>
          <w:b/>
          <w:color w:val="auto"/>
          <w:sz w:val="32"/>
          <w:szCs w:val="32"/>
          <w:highlight w:val="none"/>
        </w:rPr>
      </w:pPr>
    </w:p>
    <w:p w14:paraId="1B4D49A1">
      <w:pPr>
        <w:pStyle w:val="34"/>
        <w:shd w:val="clear"/>
        <w:rPr>
          <w:b/>
          <w:color w:val="auto"/>
          <w:sz w:val="28"/>
          <w:szCs w:val="28"/>
          <w:highlight w:val="none"/>
        </w:rPr>
      </w:pPr>
    </w:p>
    <w:p w14:paraId="0901CD8F">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CEBDE77">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0F2CD052">
      <w:pPr>
        <w:pStyle w:val="40"/>
        <w:shd w:val="clear"/>
        <w:spacing w:line="360" w:lineRule="auto"/>
        <w:jc w:val="center"/>
        <w:rPr>
          <w:rFonts w:ascii="宋体" w:hAnsi="宋体"/>
          <w:color w:val="auto"/>
          <w:sz w:val="36"/>
          <w:szCs w:val="22"/>
          <w:highlight w:val="none"/>
        </w:rPr>
      </w:pPr>
      <w:bookmarkStart w:id="85" w:name="_Toc514606978"/>
      <w:bookmarkStart w:id="86" w:name="_Toc32185"/>
      <w:bookmarkStart w:id="87" w:name="_Toc435"/>
      <w:bookmarkStart w:id="88" w:name="_Toc514605323"/>
      <w:bookmarkStart w:id="89" w:name="_Toc514607589"/>
      <w:bookmarkStart w:id="90" w:name="_Toc514605590"/>
      <w:r>
        <w:rPr>
          <w:rFonts w:ascii="宋体" w:hAnsi="宋体"/>
          <w:color w:val="auto"/>
          <w:szCs w:val="21"/>
          <w:highlight w:val="none"/>
        </w:rPr>
        <w:t>磋商报价表</w:t>
      </w:r>
      <w:bookmarkEnd w:id="85"/>
      <w:bookmarkEnd w:id="86"/>
      <w:bookmarkEnd w:id="87"/>
      <w:bookmarkEnd w:id="88"/>
      <w:bookmarkEnd w:id="89"/>
      <w:bookmarkEnd w:id="90"/>
    </w:p>
    <w:p w14:paraId="3E2B8C68">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4"/>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3B6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5380B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45B87F1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1A182F3F">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6B3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A86959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9F12066">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3939601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D0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6D9191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6B1EC5D">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12518DB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76B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2A513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04419245">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3ADD3D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08D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458AE22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人民币</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2E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408488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658AD184">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FA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AE926B2">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666CA73D">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44DE6D3C">
      <w:pPr>
        <w:shd w:val="clear"/>
        <w:spacing w:line="360" w:lineRule="auto"/>
        <w:ind w:right="700" w:firstLine="315" w:firstLineChars="150"/>
        <w:rPr>
          <w:rFonts w:ascii="宋体" w:cs="宋体"/>
          <w:color w:val="auto"/>
          <w:sz w:val="21"/>
          <w:szCs w:val="22"/>
          <w:highlight w:val="none"/>
        </w:rPr>
      </w:pPr>
    </w:p>
    <w:p w14:paraId="5E9971DB">
      <w:pPr>
        <w:shd w:val="clear"/>
        <w:spacing w:line="360" w:lineRule="auto"/>
        <w:ind w:firstLine="840" w:firstLineChars="400"/>
        <w:rPr>
          <w:rFonts w:hint="eastAsia" w:ascii="宋体" w:eastAsia="宋体" w:cs="宋体"/>
          <w:color w:val="auto"/>
          <w:sz w:val="21"/>
          <w:szCs w:val="22"/>
          <w:highlight w:val="none"/>
          <w:lang w:val="en-US" w:eastAsia="zh-CN"/>
        </w:rPr>
      </w:pPr>
      <w:r>
        <w:rPr>
          <w:rFonts w:hint="eastAsia" w:ascii="宋体" w:cs="宋体"/>
          <w:color w:val="auto"/>
          <w:sz w:val="21"/>
          <w:szCs w:val="22"/>
          <w:highlight w:val="none"/>
          <w:lang w:val="en-US" w:eastAsia="zh-CN"/>
        </w:rPr>
        <w:t>说明：如本项目工程量清单中已列明安全生产责任险暂估价、材料暂估价、暂列金额的具体金额，上述费用为不可竞争费用，供应商在编制已标价工程量清单时必须按采购人提供的金额原样填报，不得修改、调整或删除。供应商擅自修改上述不可竞争费用的，其响应文件按无效处理。</w:t>
      </w:r>
    </w:p>
    <w:p w14:paraId="3CE8E7A0">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lang w:eastAsia="zh-CN"/>
        </w:rPr>
        <w:t>供应商</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（盖章）</w:t>
      </w:r>
    </w:p>
    <w:p w14:paraId="33AEC75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（签字或盖章）</w:t>
      </w:r>
    </w:p>
    <w:p w14:paraId="6BC98E48">
      <w:pPr>
        <w:pStyle w:val="21"/>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日期：年月日</w:t>
      </w:r>
    </w:p>
    <w:p w14:paraId="16D15141">
      <w:pPr>
        <w:shd w:val="clear"/>
        <w:rPr>
          <w:rFonts w:hint="eastAsia" w:ascii="宋体" w:hAnsi="宋体" w:cs="宋体"/>
          <w:color w:val="auto"/>
          <w:szCs w:val="21"/>
          <w:highlight w:val="none"/>
        </w:rPr>
      </w:pPr>
    </w:p>
    <w:p w14:paraId="5F6E12B4">
      <w:pPr>
        <w:pStyle w:val="10"/>
        <w:shd w:val="clear"/>
        <w:rPr>
          <w:rFonts w:hint="eastAsia" w:ascii="宋体" w:hAnsi="宋体" w:cs="宋体"/>
          <w:color w:val="auto"/>
          <w:szCs w:val="21"/>
          <w:highlight w:val="none"/>
        </w:rPr>
      </w:pPr>
    </w:p>
    <w:p w14:paraId="7BD1B7CD">
      <w:pPr>
        <w:shd w:val="clear"/>
        <w:rPr>
          <w:rFonts w:hint="eastAsia" w:ascii="宋体" w:hAnsi="宋体" w:cs="宋体"/>
          <w:color w:val="auto"/>
          <w:szCs w:val="21"/>
          <w:highlight w:val="none"/>
        </w:rPr>
      </w:pPr>
    </w:p>
    <w:p w14:paraId="782B9159">
      <w:pPr>
        <w:pStyle w:val="10"/>
        <w:shd w:val="clear"/>
        <w:rPr>
          <w:rFonts w:hint="eastAsia" w:ascii="宋体" w:hAnsi="宋体" w:cs="宋体"/>
          <w:color w:val="auto"/>
          <w:szCs w:val="21"/>
          <w:highlight w:val="none"/>
        </w:rPr>
      </w:pPr>
    </w:p>
    <w:p w14:paraId="7CC00E10">
      <w:pPr>
        <w:shd w:val="clear"/>
        <w:rPr>
          <w:rFonts w:hint="eastAsia" w:ascii="宋体" w:hAnsi="宋体" w:cs="宋体"/>
          <w:color w:val="auto"/>
          <w:szCs w:val="21"/>
          <w:highlight w:val="none"/>
        </w:rPr>
      </w:pPr>
    </w:p>
    <w:p w14:paraId="77D715EB">
      <w:pPr>
        <w:pStyle w:val="10"/>
        <w:shd w:val="clear"/>
        <w:rPr>
          <w:rFonts w:hint="eastAsia" w:ascii="宋体" w:hAnsi="宋体" w:cs="宋体"/>
          <w:color w:val="auto"/>
          <w:szCs w:val="21"/>
          <w:highlight w:val="none"/>
        </w:rPr>
      </w:pPr>
    </w:p>
    <w:p w14:paraId="6CC77F14">
      <w:pPr>
        <w:shd w:val="clear"/>
        <w:rPr>
          <w:rFonts w:hint="eastAsia" w:ascii="宋体" w:hAnsi="宋体" w:cs="宋体"/>
          <w:color w:val="auto"/>
          <w:szCs w:val="21"/>
          <w:highlight w:val="none"/>
        </w:rPr>
      </w:pPr>
    </w:p>
    <w:p w14:paraId="34247F4A">
      <w:pPr>
        <w:pStyle w:val="10"/>
        <w:shd w:val="clear"/>
        <w:rPr>
          <w:rFonts w:hint="eastAsia" w:ascii="宋体" w:hAnsi="宋体" w:cs="宋体"/>
          <w:color w:val="auto"/>
          <w:szCs w:val="21"/>
          <w:highlight w:val="none"/>
        </w:rPr>
      </w:pPr>
    </w:p>
    <w:p w14:paraId="4F5645B0">
      <w:pPr>
        <w:shd w:val="clear"/>
        <w:rPr>
          <w:rFonts w:hint="eastAsia" w:ascii="宋体" w:hAnsi="宋体" w:cs="宋体"/>
          <w:color w:val="auto"/>
          <w:szCs w:val="21"/>
          <w:highlight w:val="none"/>
        </w:rPr>
      </w:pPr>
    </w:p>
    <w:p w14:paraId="14ED3A2E">
      <w:pPr>
        <w:pStyle w:val="10"/>
        <w:shd w:val="clear"/>
        <w:rPr>
          <w:rFonts w:hint="eastAsia" w:ascii="宋体" w:hAnsi="宋体" w:cs="宋体"/>
          <w:color w:val="auto"/>
          <w:szCs w:val="21"/>
          <w:highlight w:val="none"/>
        </w:rPr>
      </w:pPr>
    </w:p>
    <w:p w14:paraId="203CF1EC">
      <w:pPr>
        <w:shd w:val="clear"/>
        <w:rPr>
          <w:rFonts w:hint="eastAsia" w:ascii="宋体" w:hAnsi="宋体" w:cs="宋体"/>
          <w:color w:val="auto"/>
          <w:szCs w:val="21"/>
          <w:highlight w:val="none"/>
        </w:rPr>
      </w:pPr>
    </w:p>
    <w:p w14:paraId="3BFE18D4">
      <w:pPr>
        <w:pStyle w:val="10"/>
        <w:shd w:val="clear"/>
        <w:rPr>
          <w:rFonts w:hint="eastAsia" w:ascii="宋体" w:hAnsi="宋体" w:cs="宋体"/>
          <w:color w:val="auto"/>
          <w:szCs w:val="21"/>
          <w:highlight w:val="none"/>
        </w:rPr>
      </w:pPr>
    </w:p>
    <w:p w14:paraId="3E1CEF89">
      <w:pPr>
        <w:shd w:val="clear"/>
        <w:rPr>
          <w:rFonts w:hint="eastAsia" w:ascii="宋体" w:hAnsi="宋体" w:cs="宋体"/>
          <w:color w:val="auto"/>
          <w:szCs w:val="21"/>
          <w:highlight w:val="none"/>
        </w:rPr>
      </w:pPr>
    </w:p>
    <w:p w14:paraId="1313ED5D">
      <w:pPr>
        <w:pStyle w:val="10"/>
        <w:shd w:val="clear"/>
        <w:rPr>
          <w:rFonts w:hint="eastAsia" w:ascii="宋体" w:hAnsi="宋体" w:cs="宋体"/>
          <w:color w:val="auto"/>
          <w:szCs w:val="21"/>
          <w:highlight w:val="none"/>
        </w:rPr>
      </w:pPr>
    </w:p>
    <w:p w14:paraId="039C1992">
      <w:pPr>
        <w:shd w:val="clear"/>
        <w:rPr>
          <w:rFonts w:hint="eastAsia"/>
          <w:color w:val="auto"/>
          <w:highlight w:val="none"/>
        </w:rPr>
      </w:pPr>
    </w:p>
    <w:p w14:paraId="67D1FF4F">
      <w:pPr>
        <w:pStyle w:val="31"/>
        <w:shd w:val="clear"/>
        <w:rPr>
          <w:rFonts w:hint="eastAsia" w:ascii="宋体" w:hAnsi="宋体" w:cs="宋体"/>
          <w:color w:val="auto"/>
          <w:szCs w:val="21"/>
          <w:highlight w:val="none"/>
        </w:rPr>
      </w:pPr>
    </w:p>
    <w:p w14:paraId="01A7293E">
      <w:pPr>
        <w:numPr>
          <w:ilvl w:val="0"/>
          <w:numId w:val="0"/>
        </w:numPr>
        <w:shd w:val="clear"/>
        <w:spacing w:line="360" w:lineRule="auto"/>
        <w:rPr>
          <w:rFonts w:hint="eastAsia"/>
          <w:b/>
          <w:color w:val="auto"/>
          <w:sz w:val="28"/>
          <w:szCs w:val="28"/>
          <w:highlight w:val="none"/>
          <w:lang w:eastAsia="zh-CN"/>
        </w:rPr>
      </w:pPr>
      <w:bookmarkStart w:id="91" w:name="_Toc392941016"/>
      <w:bookmarkEnd w:id="91"/>
      <w:bookmarkStart w:id="92" w:name="_Toc502737803"/>
      <w:bookmarkEnd w:id="92"/>
      <w:bookmarkStart w:id="93" w:name="_Toc458689680"/>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2B571AC7">
      <w:pPr>
        <w:shd w:val="clea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编制要求：</w:t>
      </w:r>
    </w:p>
    <w:p w14:paraId="2C07E0AD">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供应商应按采购人提供的工程量清单（电子文件）格式逐项填报，不得修改清单的项目编码、项目名称、计量单位及工程量。</w:t>
      </w:r>
    </w:p>
    <w:p w14:paraId="0FC2996C">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报价说明应包括：采用的定额版本、费用标准（辅助措施费、间接费、利润率、税率等取费情况）、主要材料价格来源（如参考《崇左市建设工程造价信息》第几期）等。</w:t>
      </w:r>
    </w:p>
    <w:p w14:paraId="0FCA65F5">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对于综合单价，供应商应提供综合单价分析表（可另附页或作为附件），评审时主要依据已标价工程量清单中的单价和合价。</w:t>
      </w:r>
    </w:p>
    <w:p w14:paraId="2CEDA125">
      <w:pPr>
        <w:numPr>
          <w:ilvl w:val="0"/>
          <w:numId w:val="4"/>
        </w:numPr>
        <w:shd w:val="clear"/>
        <w:spacing w:line="40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不可竞争费用（安全生产责任险暂估价、材料暂估价、暂列金额，具体内容及金额以工程量清单中列明的为准）必须按采购人提供的金额原样填报，不得调整。供应商擅自修改上述不可竞争费用的，其响应文件按无效处理</w:t>
      </w:r>
      <w:r>
        <w:rPr>
          <w:rFonts w:hint="eastAsia" w:ascii="宋体" w:hAnsi="宋体" w:cs="宋体"/>
          <w:color w:val="auto"/>
          <w:sz w:val="21"/>
          <w:szCs w:val="21"/>
          <w:highlight w:val="none"/>
        </w:rPr>
        <w:t>。</w:t>
      </w:r>
    </w:p>
    <w:p w14:paraId="6639EE5A">
      <w:pPr>
        <w:shd w:val="clear"/>
        <w:rPr>
          <w:rFonts w:hint="eastAsia" w:ascii="宋体" w:hAnsi="宋体" w:cs="宋体"/>
          <w:color w:val="auto"/>
          <w:sz w:val="36"/>
          <w:highlight w:val="none"/>
        </w:rPr>
      </w:pPr>
    </w:p>
    <w:p w14:paraId="1F891F3F">
      <w:pPr>
        <w:pStyle w:val="10"/>
        <w:shd w:val="clear"/>
        <w:rPr>
          <w:rFonts w:hint="eastAsia" w:ascii="宋体" w:hAnsi="宋体" w:cs="宋体"/>
          <w:color w:val="auto"/>
          <w:sz w:val="36"/>
          <w:highlight w:val="none"/>
        </w:rPr>
      </w:pPr>
    </w:p>
    <w:p w14:paraId="2D0226B7">
      <w:pPr>
        <w:pStyle w:val="3"/>
        <w:numPr>
          <w:ilvl w:val="0"/>
          <w:numId w:val="5"/>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1B7E2340">
      <w:pPr>
        <w:pStyle w:val="34"/>
        <w:shd w:val="clear"/>
        <w:spacing w:line="360" w:lineRule="auto"/>
        <w:rPr>
          <w:rFonts w:ascii="宋体" w:hAnsi="宋体"/>
          <w:b/>
          <w:bCs/>
          <w:color w:val="auto"/>
          <w:sz w:val="24"/>
          <w:highlight w:val="none"/>
        </w:rPr>
      </w:pPr>
    </w:p>
    <w:p w14:paraId="7F3183A9">
      <w:pPr>
        <w:pStyle w:val="35"/>
        <w:shd w:val="clear"/>
        <w:rPr>
          <w:rFonts w:ascii="宋体" w:hAnsi="宋体"/>
          <w:b/>
          <w:bCs/>
          <w:color w:val="auto"/>
          <w:sz w:val="24"/>
          <w:highlight w:val="none"/>
        </w:rPr>
      </w:pPr>
    </w:p>
    <w:p w14:paraId="7B3B9CCD">
      <w:pPr>
        <w:pStyle w:val="34"/>
        <w:shd w:val="clear"/>
        <w:rPr>
          <w:rFonts w:ascii="宋体" w:hAnsi="宋体"/>
          <w:b/>
          <w:bCs/>
          <w:color w:val="auto"/>
          <w:sz w:val="24"/>
          <w:highlight w:val="none"/>
        </w:rPr>
      </w:pPr>
    </w:p>
    <w:p w14:paraId="26F90163">
      <w:pPr>
        <w:pStyle w:val="35"/>
        <w:shd w:val="clear"/>
        <w:rPr>
          <w:rFonts w:ascii="宋体" w:hAnsi="宋体"/>
          <w:b/>
          <w:bCs/>
          <w:color w:val="auto"/>
          <w:sz w:val="24"/>
          <w:highlight w:val="none"/>
        </w:rPr>
      </w:pPr>
    </w:p>
    <w:p w14:paraId="268A4AB8">
      <w:pPr>
        <w:pStyle w:val="34"/>
        <w:shd w:val="clear"/>
        <w:rPr>
          <w:rFonts w:ascii="宋体" w:hAnsi="宋体"/>
          <w:b/>
          <w:bCs/>
          <w:color w:val="auto"/>
          <w:sz w:val="24"/>
          <w:highlight w:val="none"/>
        </w:rPr>
      </w:pPr>
    </w:p>
    <w:p w14:paraId="2478B963">
      <w:pPr>
        <w:pStyle w:val="35"/>
        <w:shd w:val="clear"/>
        <w:rPr>
          <w:rFonts w:ascii="宋体" w:hAnsi="宋体"/>
          <w:b/>
          <w:bCs/>
          <w:color w:val="auto"/>
          <w:sz w:val="24"/>
          <w:highlight w:val="none"/>
        </w:rPr>
      </w:pPr>
    </w:p>
    <w:p w14:paraId="1065EE9C">
      <w:pPr>
        <w:pStyle w:val="34"/>
        <w:shd w:val="clear"/>
        <w:rPr>
          <w:rFonts w:ascii="宋体" w:hAnsi="宋体"/>
          <w:b/>
          <w:bCs/>
          <w:color w:val="auto"/>
          <w:sz w:val="24"/>
          <w:highlight w:val="none"/>
        </w:rPr>
      </w:pPr>
    </w:p>
    <w:p w14:paraId="3CBCF26C">
      <w:pPr>
        <w:pStyle w:val="35"/>
        <w:shd w:val="clear"/>
        <w:rPr>
          <w:rFonts w:ascii="宋体" w:hAnsi="宋体"/>
          <w:b/>
          <w:bCs/>
          <w:color w:val="auto"/>
          <w:sz w:val="24"/>
          <w:highlight w:val="none"/>
        </w:rPr>
      </w:pPr>
    </w:p>
    <w:p w14:paraId="721F88CB">
      <w:pPr>
        <w:pStyle w:val="34"/>
        <w:shd w:val="clear"/>
        <w:rPr>
          <w:rFonts w:ascii="宋体" w:hAnsi="宋体"/>
          <w:b/>
          <w:bCs/>
          <w:color w:val="auto"/>
          <w:sz w:val="24"/>
          <w:highlight w:val="none"/>
        </w:rPr>
      </w:pPr>
    </w:p>
    <w:p w14:paraId="2D9E7242">
      <w:pPr>
        <w:pStyle w:val="35"/>
        <w:shd w:val="clear"/>
        <w:rPr>
          <w:rFonts w:ascii="宋体" w:hAnsi="宋体"/>
          <w:b/>
          <w:bCs/>
          <w:color w:val="auto"/>
          <w:sz w:val="24"/>
          <w:highlight w:val="none"/>
        </w:rPr>
      </w:pPr>
    </w:p>
    <w:p w14:paraId="017AE808">
      <w:pPr>
        <w:pStyle w:val="34"/>
        <w:shd w:val="clear"/>
        <w:rPr>
          <w:rFonts w:ascii="宋体" w:hAnsi="宋体"/>
          <w:b/>
          <w:bCs/>
          <w:color w:val="auto"/>
          <w:sz w:val="24"/>
          <w:highlight w:val="none"/>
        </w:rPr>
      </w:pPr>
    </w:p>
    <w:p w14:paraId="7D60F99B">
      <w:pPr>
        <w:pStyle w:val="35"/>
        <w:shd w:val="clear"/>
        <w:rPr>
          <w:rFonts w:ascii="宋体" w:hAnsi="宋体"/>
          <w:b/>
          <w:bCs/>
          <w:color w:val="auto"/>
          <w:sz w:val="24"/>
          <w:highlight w:val="none"/>
        </w:rPr>
      </w:pPr>
    </w:p>
    <w:p w14:paraId="362999A5">
      <w:pPr>
        <w:pStyle w:val="34"/>
        <w:shd w:val="clear"/>
        <w:rPr>
          <w:rFonts w:ascii="宋体" w:hAnsi="宋体"/>
          <w:b/>
          <w:bCs/>
          <w:color w:val="auto"/>
          <w:sz w:val="24"/>
          <w:highlight w:val="none"/>
        </w:rPr>
      </w:pPr>
    </w:p>
    <w:p w14:paraId="7A21CCCC">
      <w:pPr>
        <w:pStyle w:val="35"/>
        <w:shd w:val="clear"/>
        <w:rPr>
          <w:rFonts w:ascii="宋体" w:hAnsi="宋体"/>
          <w:b/>
          <w:bCs/>
          <w:color w:val="auto"/>
          <w:sz w:val="24"/>
          <w:highlight w:val="none"/>
        </w:rPr>
      </w:pPr>
    </w:p>
    <w:p w14:paraId="7D13EBD1">
      <w:pPr>
        <w:pStyle w:val="34"/>
        <w:shd w:val="clear"/>
        <w:rPr>
          <w:rFonts w:ascii="宋体" w:hAnsi="宋体"/>
          <w:b/>
          <w:bCs/>
          <w:color w:val="auto"/>
          <w:sz w:val="24"/>
          <w:highlight w:val="none"/>
        </w:rPr>
      </w:pPr>
    </w:p>
    <w:p w14:paraId="05DF9CB8">
      <w:pPr>
        <w:pStyle w:val="35"/>
        <w:shd w:val="clear"/>
        <w:rPr>
          <w:rFonts w:ascii="宋体" w:hAnsi="宋体"/>
          <w:b/>
          <w:bCs/>
          <w:color w:val="auto"/>
          <w:sz w:val="24"/>
          <w:highlight w:val="none"/>
        </w:rPr>
      </w:pPr>
    </w:p>
    <w:p w14:paraId="0CE9DED3">
      <w:pPr>
        <w:pStyle w:val="34"/>
        <w:shd w:val="clear"/>
        <w:rPr>
          <w:rFonts w:ascii="宋体" w:hAnsi="宋体"/>
          <w:b/>
          <w:bCs/>
          <w:color w:val="auto"/>
          <w:sz w:val="24"/>
          <w:highlight w:val="none"/>
        </w:rPr>
      </w:pPr>
    </w:p>
    <w:p w14:paraId="4253DD5D">
      <w:pPr>
        <w:pStyle w:val="35"/>
        <w:shd w:val="clear"/>
        <w:rPr>
          <w:rFonts w:ascii="宋体" w:hAnsi="宋体"/>
          <w:b/>
          <w:bCs/>
          <w:color w:val="auto"/>
          <w:sz w:val="24"/>
          <w:highlight w:val="none"/>
        </w:rPr>
      </w:pPr>
    </w:p>
    <w:p w14:paraId="28966840">
      <w:pPr>
        <w:pStyle w:val="34"/>
        <w:shd w:val="clear"/>
        <w:rPr>
          <w:rFonts w:ascii="宋体" w:hAnsi="宋体"/>
          <w:b/>
          <w:bCs/>
          <w:color w:val="auto"/>
          <w:sz w:val="24"/>
          <w:highlight w:val="none"/>
        </w:rPr>
      </w:pPr>
    </w:p>
    <w:p w14:paraId="7EBC4B3C">
      <w:pPr>
        <w:pStyle w:val="35"/>
        <w:shd w:val="clear"/>
        <w:rPr>
          <w:rFonts w:ascii="宋体" w:hAnsi="宋体"/>
          <w:b/>
          <w:bCs/>
          <w:color w:val="auto"/>
          <w:sz w:val="24"/>
          <w:highlight w:val="none"/>
        </w:rPr>
      </w:pPr>
    </w:p>
    <w:p w14:paraId="60CC8816">
      <w:pPr>
        <w:pStyle w:val="34"/>
        <w:shd w:val="clear"/>
        <w:rPr>
          <w:rFonts w:ascii="宋体" w:hAnsi="宋体"/>
          <w:b/>
          <w:bCs/>
          <w:color w:val="auto"/>
          <w:sz w:val="24"/>
          <w:highlight w:val="none"/>
        </w:rPr>
      </w:pPr>
    </w:p>
    <w:p w14:paraId="02E1ED77">
      <w:pPr>
        <w:pStyle w:val="35"/>
        <w:shd w:val="clear"/>
        <w:rPr>
          <w:color w:val="auto"/>
          <w:highlight w:val="none"/>
        </w:rPr>
      </w:pPr>
    </w:p>
    <w:p w14:paraId="6FF91D05">
      <w:pPr>
        <w:pStyle w:val="3"/>
        <w:shd w:val="clear"/>
        <w:spacing w:line="360" w:lineRule="auto"/>
        <w:jc w:val="center"/>
        <w:rPr>
          <w:rFonts w:ascii="宋体" w:cs="宋体"/>
          <w:color w:val="auto"/>
          <w:sz w:val="36"/>
          <w:highlight w:val="none"/>
        </w:rPr>
      </w:pPr>
      <w:bookmarkStart w:id="94" w:name="_Toc23492"/>
      <w:bookmarkStart w:id="95" w:name="_Toc16105"/>
      <w:bookmarkStart w:id="96" w:name="_Toc22137"/>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12E4A90">
      <w:pPr>
        <w:pStyle w:val="4"/>
        <w:shd w:val="clear"/>
        <w:spacing w:line="360" w:lineRule="auto"/>
        <w:jc w:val="center"/>
        <w:rPr>
          <w:rFonts w:ascii="宋体" w:hAnsi="宋体" w:eastAsia="宋体" w:cs="宋体"/>
          <w:color w:val="auto"/>
          <w:kern w:val="0"/>
          <w:highlight w:val="none"/>
        </w:rPr>
      </w:pPr>
      <w:bookmarkStart w:id="97" w:name="_Toc9540"/>
      <w:bookmarkStart w:id="98" w:name="_Toc13855"/>
      <w:bookmarkStart w:id="99" w:name="_Toc9157"/>
      <w:r>
        <w:rPr>
          <w:rFonts w:hint="eastAsia" w:ascii="宋体" w:hAnsi="宋体" w:eastAsia="宋体" w:cs="宋体"/>
          <w:color w:val="auto"/>
          <w:kern w:val="0"/>
          <w:highlight w:val="none"/>
        </w:rPr>
        <w:t>封面格式</w:t>
      </w:r>
      <w:bookmarkEnd w:id="97"/>
      <w:bookmarkEnd w:id="98"/>
      <w:bookmarkEnd w:id="99"/>
    </w:p>
    <w:p w14:paraId="44738A42">
      <w:pPr>
        <w:pStyle w:val="34"/>
        <w:shd w:val="clear"/>
        <w:spacing w:line="360" w:lineRule="auto"/>
        <w:rPr>
          <w:rFonts w:ascii="宋体" w:hAnsi="宋体"/>
          <w:b/>
          <w:bCs/>
          <w:color w:val="auto"/>
          <w:sz w:val="24"/>
          <w:highlight w:val="none"/>
        </w:rPr>
      </w:pPr>
    </w:p>
    <w:p w14:paraId="7C5C4574">
      <w:pPr>
        <w:pStyle w:val="34"/>
        <w:shd w:val="clear"/>
        <w:rPr>
          <w:color w:val="auto"/>
          <w:highlight w:val="none"/>
        </w:rPr>
      </w:pPr>
    </w:p>
    <w:tbl>
      <w:tblPr>
        <w:tblStyle w:val="24"/>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6A6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5F6B078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7E25A3B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B4D62AC">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93AB7E7">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82E09F1">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80F89E1">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746374ED">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8B416F4">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694C0C">
            <w:pPr>
              <w:pStyle w:val="31"/>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65DF679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F631E6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79874C8B">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38C82F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8B9107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DBC371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103FDD2A">
            <w:pPr>
              <w:pStyle w:val="31"/>
              <w:keepNext w:val="0"/>
              <w:keepLines w:val="0"/>
              <w:suppressLineNumbers w:val="0"/>
              <w:shd w:val="clear"/>
              <w:spacing w:before="0" w:beforeAutospacing="0" w:after="0" w:afterAutospacing="0"/>
              <w:ind w:left="0" w:right="0"/>
              <w:rPr>
                <w:rFonts w:hint="default"/>
                <w:color w:val="auto"/>
                <w:szCs w:val="20"/>
                <w:highlight w:val="none"/>
              </w:rPr>
            </w:pPr>
          </w:p>
          <w:p w14:paraId="239B1348">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505022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50B60B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lang w:eastAsia="zh-CN"/>
              </w:rPr>
              <w:t>供应商</w:t>
            </w:r>
            <w:r>
              <w:rPr>
                <w:rFonts w:hint="eastAsia" w:ascii="宋体" w:hAnsi="宋体" w:cs="宋体"/>
                <w:color w:val="auto"/>
                <w:kern w:val="0"/>
                <w:sz w:val="24"/>
                <w:szCs w:val="21"/>
                <w:highlight w:val="none"/>
              </w:rPr>
              <w:t>：</w:t>
            </w:r>
            <w:r>
              <w:rPr>
                <w:rFonts w:hint="eastAsia" w:ascii="宋体" w:hAnsi="宋体" w:cs="宋体"/>
                <w:color w:val="auto"/>
                <w:kern w:val="0"/>
                <w:sz w:val="24"/>
                <w:szCs w:val="21"/>
                <w:highlight w:val="none"/>
                <w:u w:val="single"/>
              </w:rPr>
              <w:t>（盖章）</w:t>
            </w:r>
            <w:bookmarkEnd w:id="103"/>
          </w:p>
          <w:p w14:paraId="6EDE23A3">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4663BAAC">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359D4D4">
      <w:pPr>
        <w:pStyle w:val="34"/>
        <w:shd w:val="clear"/>
        <w:spacing w:line="360" w:lineRule="auto"/>
        <w:rPr>
          <w:rFonts w:ascii="宋体" w:hAnsi="宋体" w:cs="宋体"/>
          <w:color w:val="auto"/>
          <w:sz w:val="24"/>
          <w:highlight w:val="none"/>
        </w:rPr>
      </w:pPr>
    </w:p>
    <w:p w14:paraId="30EBDCC8">
      <w:pPr>
        <w:pStyle w:val="34"/>
        <w:shd w:val="clear"/>
        <w:spacing w:line="360" w:lineRule="auto"/>
        <w:rPr>
          <w:rFonts w:ascii="宋体" w:hAnsi="宋体" w:cs="宋体"/>
          <w:color w:val="auto"/>
          <w:sz w:val="24"/>
          <w:highlight w:val="none"/>
        </w:rPr>
      </w:pPr>
    </w:p>
    <w:p w14:paraId="3123365A">
      <w:pPr>
        <w:pStyle w:val="34"/>
        <w:shd w:val="clear"/>
        <w:spacing w:line="360" w:lineRule="auto"/>
        <w:rPr>
          <w:rFonts w:ascii="宋体" w:hAnsi="宋体" w:cs="宋体"/>
          <w:color w:val="auto"/>
          <w:sz w:val="24"/>
          <w:highlight w:val="none"/>
        </w:rPr>
      </w:pPr>
    </w:p>
    <w:p w14:paraId="3F0BF10D">
      <w:pPr>
        <w:pStyle w:val="35"/>
        <w:shd w:val="clear"/>
        <w:rPr>
          <w:rFonts w:ascii="宋体" w:hAnsi="宋体" w:cs="宋体"/>
          <w:color w:val="auto"/>
          <w:sz w:val="24"/>
          <w:highlight w:val="none"/>
        </w:rPr>
      </w:pPr>
    </w:p>
    <w:p w14:paraId="2159AACF">
      <w:pPr>
        <w:pStyle w:val="34"/>
        <w:shd w:val="clear"/>
        <w:rPr>
          <w:rFonts w:ascii="宋体" w:hAnsi="宋体" w:cs="宋体"/>
          <w:color w:val="auto"/>
          <w:sz w:val="24"/>
          <w:highlight w:val="none"/>
        </w:rPr>
      </w:pPr>
    </w:p>
    <w:p w14:paraId="3CB85E86">
      <w:pPr>
        <w:pStyle w:val="34"/>
        <w:shd w:val="clear"/>
        <w:spacing w:line="360" w:lineRule="auto"/>
        <w:jc w:val="center"/>
        <w:rPr>
          <w:rFonts w:ascii="宋体" w:hAnsi="宋体" w:cs="宋体"/>
          <w:color w:val="auto"/>
          <w:sz w:val="24"/>
          <w:highlight w:val="none"/>
        </w:rPr>
      </w:pPr>
    </w:p>
    <w:p w14:paraId="0F60E3DE">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133E8DE3">
      <w:pPr>
        <w:pStyle w:val="34"/>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533855F3">
      <w:pPr>
        <w:pStyle w:val="34"/>
        <w:shd w:val="clear"/>
        <w:spacing w:line="360" w:lineRule="auto"/>
        <w:jc w:val="center"/>
        <w:rPr>
          <w:rFonts w:ascii="宋体" w:hAnsi="宋体"/>
          <w:b/>
          <w:color w:val="auto"/>
          <w:sz w:val="28"/>
          <w:szCs w:val="28"/>
          <w:highlight w:val="none"/>
        </w:rPr>
      </w:pPr>
    </w:p>
    <w:p w14:paraId="0E5EE02F">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57D224FD">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6E4D8D08">
      <w:pPr>
        <w:pStyle w:val="38"/>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0829BA53">
      <w:pPr>
        <w:pStyle w:val="38"/>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75089AC5">
      <w:pPr>
        <w:pStyle w:val="38"/>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50B52862">
      <w:pPr>
        <w:pStyle w:val="38"/>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20CD51F5">
      <w:pPr>
        <w:shd w:val="clear"/>
        <w:spacing w:line="460" w:lineRule="exact"/>
        <w:ind w:firstLine="400" w:firstLineChars="200"/>
        <w:rPr>
          <w:color w:val="auto"/>
          <w:szCs w:val="28"/>
          <w:highlight w:val="none"/>
        </w:rPr>
      </w:pPr>
    </w:p>
    <w:p w14:paraId="7FF87203">
      <w:pPr>
        <w:pStyle w:val="31"/>
        <w:shd w:val="clear"/>
        <w:rPr>
          <w:color w:val="auto"/>
          <w:highlight w:val="none"/>
        </w:rPr>
      </w:pPr>
    </w:p>
    <w:p w14:paraId="27CC0AD9">
      <w:pPr>
        <w:pStyle w:val="3"/>
        <w:shd w:val="clear"/>
        <w:spacing w:line="360" w:lineRule="auto"/>
        <w:jc w:val="center"/>
        <w:rPr>
          <w:rFonts w:ascii="宋体" w:hAnsi="宋体" w:cs="宋体"/>
          <w:color w:val="auto"/>
          <w:sz w:val="36"/>
          <w:highlight w:val="none"/>
        </w:rPr>
      </w:pPr>
    </w:p>
    <w:p w14:paraId="2D5EF6CC">
      <w:pPr>
        <w:pStyle w:val="3"/>
        <w:shd w:val="clear"/>
        <w:spacing w:line="360" w:lineRule="auto"/>
        <w:jc w:val="center"/>
        <w:rPr>
          <w:rFonts w:ascii="宋体" w:hAnsi="宋体" w:cs="宋体"/>
          <w:color w:val="auto"/>
          <w:sz w:val="36"/>
          <w:highlight w:val="none"/>
        </w:rPr>
      </w:pPr>
    </w:p>
    <w:p w14:paraId="6DFCC266">
      <w:pPr>
        <w:pStyle w:val="3"/>
        <w:shd w:val="clear"/>
        <w:spacing w:line="360" w:lineRule="auto"/>
        <w:jc w:val="center"/>
        <w:rPr>
          <w:rFonts w:ascii="宋体" w:hAnsi="宋体" w:cs="宋体"/>
          <w:color w:val="auto"/>
          <w:sz w:val="36"/>
          <w:highlight w:val="none"/>
        </w:rPr>
      </w:pPr>
    </w:p>
    <w:p w14:paraId="7648BC7A">
      <w:pPr>
        <w:shd w:val="clear"/>
        <w:rPr>
          <w:rFonts w:ascii="宋体" w:hAnsi="宋体" w:cs="宋体"/>
          <w:color w:val="auto"/>
          <w:sz w:val="36"/>
          <w:highlight w:val="none"/>
        </w:rPr>
      </w:pPr>
    </w:p>
    <w:p w14:paraId="00D712BB">
      <w:pPr>
        <w:pStyle w:val="10"/>
        <w:shd w:val="clear"/>
        <w:rPr>
          <w:rFonts w:ascii="宋体" w:hAnsi="宋体" w:cs="宋体"/>
          <w:color w:val="auto"/>
          <w:sz w:val="36"/>
          <w:highlight w:val="none"/>
        </w:rPr>
      </w:pPr>
    </w:p>
    <w:p w14:paraId="2BA05EF5">
      <w:pPr>
        <w:shd w:val="clear"/>
        <w:rPr>
          <w:rFonts w:ascii="宋体" w:hAnsi="宋体" w:cs="宋体"/>
          <w:color w:val="auto"/>
          <w:sz w:val="36"/>
          <w:highlight w:val="none"/>
        </w:rPr>
      </w:pPr>
    </w:p>
    <w:p w14:paraId="34BD3715">
      <w:pPr>
        <w:pStyle w:val="10"/>
        <w:shd w:val="clear"/>
        <w:rPr>
          <w:rFonts w:ascii="宋体" w:hAnsi="宋体" w:cs="宋体"/>
          <w:color w:val="auto"/>
          <w:sz w:val="36"/>
          <w:highlight w:val="none"/>
        </w:rPr>
      </w:pPr>
    </w:p>
    <w:p w14:paraId="20878A7E">
      <w:pPr>
        <w:shd w:val="clear"/>
        <w:rPr>
          <w:rFonts w:ascii="宋体" w:hAnsi="宋体" w:cs="宋体"/>
          <w:color w:val="auto"/>
          <w:sz w:val="36"/>
          <w:highlight w:val="none"/>
        </w:rPr>
      </w:pPr>
    </w:p>
    <w:p w14:paraId="3793C3D6">
      <w:pPr>
        <w:pStyle w:val="10"/>
        <w:shd w:val="clear"/>
        <w:rPr>
          <w:color w:val="auto"/>
          <w:highlight w:val="none"/>
        </w:rPr>
      </w:pPr>
    </w:p>
    <w:p w14:paraId="245AACE0">
      <w:pPr>
        <w:shd w:val="clear"/>
        <w:rPr>
          <w:rFonts w:ascii="宋体" w:hAnsi="宋体" w:cs="宋体"/>
          <w:color w:val="auto"/>
          <w:sz w:val="36"/>
          <w:highlight w:val="none"/>
        </w:rPr>
      </w:pPr>
    </w:p>
    <w:p w14:paraId="3EE48E23">
      <w:pPr>
        <w:shd w:val="clear"/>
        <w:rPr>
          <w:rFonts w:ascii="宋体" w:hAnsi="宋体" w:cs="宋体"/>
          <w:color w:val="auto"/>
          <w:sz w:val="36"/>
          <w:highlight w:val="none"/>
        </w:rPr>
      </w:pPr>
    </w:p>
    <w:p w14:paraId="230D124F">
      <w:pPr>
        <w:shd w:val="clear"/>
        <w:rPr>
          <w:rFonts w:ascii="宋体" w:hAnsi="宋体" w:cs="宋体"/>
          <w:color w:val="auto"/>
          <w:sz w:val="36"/>
          <w:highlight w:val="none"/>
        </w:rPr>
      </w:pPr>
    </w:p>
    <w:p w14:paraId="20A34D86">
      <w:pPr>
        <w:shd w:val="clear"/>
        <w:rPr>
          <w:rFonts w:ascii="宋体" w:hAnsi="宋体" w:cs="宋体"/>
          <w:color w:val="auto"/>
          <w:sz w:val="36"/>
          <w:highlight w:val="none"/>
        </w:rPr>
      </w:pPr>
    </w:p>
    <w:p w14:paraId="4352657A">
      <w:pPr>
        <w:pStyle w:val="10"/>
        <w:rPr>
          <w:rFonts w:ascii="宋体" w:hAnsi="宋体" w:cs="宋体"/>
          <w:color w:val="auto"/>
          <w:sz w:val="36"/>
          <w:highlight w:val="none"/>
        </w:rPr>
      </w:pPr>
    </w:p>
    <w:p w14:paraId="283C296C">
      <w:pPr>
        <w:rPr>
          <w:color w:val="auto"/>
          <w:highlight w:val="none"/>
        </w:rPr>
      </w:pPr>
    </w:p>
    <w:p w14:paraId="51D8C88C">
      <w:pPr>
        <w:shd w:val="clear"/>
        <w:rPr>
          <w:rFonts w:ascii="宋体" w:hAnsi="宋体" w:cs="宋体"/>
          <w:color w:val="auto"/>
          <w:sz w:val="36"/>
          <w:highlight w:val="none"/>
        </w:rPr>
      </w:pPr>
    </w:p>
    <w:p w14:paraId="0C75FC6D">
      <w:pPr>
        <w:shd w:val="clear"/>
        <w:rPr>
          <w:rFonts w:ascii="宋体" w:hAnsi="宋体" w:cs="宋体"/>
          <w:color w:val="auto"/>
          <w:sz w:val="36"/>
          <w:highlight w:val="none"/>
        </w:rPr>
      </w:pPr>
    </w:p>
    <w:p w14:paraId="704BA5B1">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8C79A8">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lang w:eastAsia="zh-CN"/>
        </w:rPr>
        <w:t>供应商</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6401879">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15719F40">
      <w:pPr>
        <w:shd w:val="clear"/>
        <w:spacing w:line="460" w:lineRule="exact"/>
        <w:ind w:firstLine="420" w:firstLineChars="200"/>
        <w:rPr>
          <w:color w:val="auto"/>
          <w:sz w:val="21"/>
          <w:szCs w:val="22"/>
          <w:highlight w:val="none"/>
        </w:rPr>
      </w:pPr>
      <w:r>
        <w:rPr>
          <w:color w:val="auto"/>
          <w:sz w:val="21"/>
          <w:szCs w:val="22"/>
          <w:highlight w:val="none"/>
        </w:rPr>
        <w:t>附表一拟投入本工程的主要施工设备表</w:t>
      </w:r>
    </w:p>
    <w:p w14:paraId="7AA3574D">
      <w:pPr>
        <w:shd w:val="clear"/>
        <w:spacing w:line="460" w:lineRule="exact"/>
        <w:ind w:firstLine="420" w:firstLineChars="200"/>
        <w:rPr>
          <w:color w:val="auto"/>
          <w:sz w:val="21"/>
          <w:szCs w:val="22"/>
          <w:highlight w:val="none"/>
        </w:rPr>
      </w:pPr>
      <w:r>
        <w:rPr>
          <w:color w:val="auto"/>
          <w:sz w:val="21"/>
          <w:szCs w:val="22"/>
          <w:highlight w:val="none"/>
        </w:rPr>
        <w:t>附表二拟配备本工程的试验和检测仪器设备表</w:t>
      </w:r>
    </w:p>
    <w:p w14:paraId="7FFB17A7">
      <w:pPr>
        <w:shd w:val="clear"/>
        <w:spacing w:line="460" w:lineRule="exact"/>
        <w:ind w:firstLine="420" w:firstLineChars="200"/>
        <w:rPr>
          <w:color w:val="auto"/>
          <w:sz w:val="21"/>
          <w:szCs w:val="22"/>
          <w:highlight w:val="none"/>
        </w:rPr>
      </w:pPr>
      <w:r>
        <w:rPr>
          <w:color w:val="auto"/>
          <w:sz w:val="21"/>
          <w:szCs w:val="22"/>
          <w:highlight w:val="none"/>
        </w:rPr>
        <w:t>附表三劳动力计划表</w:t>
      </w:r>
    </w:p>
    <w:p w14:paraId="375553F3">
      <w:pPr>
        <w:shd w:val="clear"/>
        <w:spacing w:line="460" w:lineRule="exact"/>
        <w:ind w:firstLine="420" w:firstLineChars="200"/>
        <w:rPr>
          <w:color w:val="auto"/>
          <w:sz w:val="21"/>
          <w:szCs w:val="22"/>
          <w:highlight w:val="none"/>
        </w:rPr>
      </w:pPr>
      <w:r>
        <w:rPr>
          <w:color w:val="auto"/>
          <w:sz w:val="21"/>
          <w:szCs w:val="22"/>
          <w:highlight w:val="none"/>
        </w:rPr>
        <w:t>附表四计划开、竣工日期和施工进度网络图</w:t>
      </w:r>
    </w:p>
    <w:p w14:paraId="298A6843">
      <w:pPr>
        <w:shd w:val="clear"/>
        <w:spacing w:line="460" w:lineRule="exact"/>
        <w:ind w:firstLine="420" w:firstLineChars="200"/>
        <w:rPr>
          <w:color w:val="auto"/>
          <w:sz w:val="21"/>
          <w:szCs w:val="22"/>
          <w:highlight w:val="none"/>
        </w:rPr>
      </w:pPr>
      <w:r>
        <w:rPr>
          <w:color w:val="auto"/>
          <w:sz w:val="21"/>
          <w:szCs w:val="22"/>
          <w:highlight w:val="none"/>
        </w:rPr>
        <w:t>附表五施工总平面图</w:t>
      </w:r>
    </w:p>
    <w:p w14:paraId="7AA11430">
      <w:pPr>
        <w:shd w:val="clear"/>
        <w:spacing w:line="460" w:lineRule="exact"/>
        <w:ind w:firstLine="420" w:firstLineChars="200"/>
        <w:rPr>
          <w:color w:val="auto"/>
          <w:sz w:val="21"/>
          <w:szCs w:val="22"/>
          <w:highlight w:val="none"/>
        </w:rPr>
      </w:pPr>
      <w:r>
        <w:rPr>
          <w:color w:val="auto"/>
          <w:sz w:val="21"/>
          <w:szCs w:val="22"/>
          <w:highlight w:val="none"/>
        </w:rPr>
        <w:t>附表六临时用地表</w:t>
      </w:r>
    </w:p>
    <w:p w14:paraId="32504F03">
      <w:pPr>
        <w:shd w:val="clear"/>
        <w:spacing w:line="460" w:lineRule="exact"/>
        <w:ind w:firstLine="420" w:firstLineChars="200"/>
        <w:rPr>
          <w:color w:val="auto"/>
          <w:sz w:val="21"/>
          <w:szCs w:val="22"/>
          <w:highlight w:val="none"/>
        </w:rPr>
      </w:pPr>
    </w:p>
    <w:p w14:paraId="7E781BF9">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45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137A3BB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A127A7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74500F4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161BDC5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BDF259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FE325B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B2F8D9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21D10C8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7152228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03440E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0E67DD0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2C97B0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6B6909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71E5893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CDDB50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2F9E457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428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907AE5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ED8FF1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048CACF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7201C7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7EF21CD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D3FE5D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E89BA5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65FBEF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361EDD4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BE428A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4BC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C55F9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5B7194C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171F279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9DCBA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4132D3A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6174E5C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5100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8968CF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F1D5A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A72B8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066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B9AAA3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65A8EF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2BB069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740F9D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2AD23DD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7716D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FAAD4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6C3D7B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7A3B4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6C759C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40C0FF11">
      <w:pPr>
        <w:shd w:val="clear"/>
        <w:rPr>
          <w:color w:val="auto"/>
          <w:sz w:val="21"/>
          <w:szCs w:val="21"/>
          <w:highlight w:val="none"/>
        </w:rPr>
      </w:pPr>
    </w:p>
    <w:p w14:paraId="2B65B781">
      <w:pPr>
        <w:shd w:val="clear"/>
        <w:rPr>
          <w:color w:val="auto"/>
          <w:sz w:val="21"/>
          <w:szCs w:val="21"/>
          <w:highlight w:val="none"/>
        </w:rPr>
      </w:pPr>
    </w:p>
    <w:p w14:paraId="75C6061F">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1604E0BA">
      <w:pPr>
        <w:shd w:val="clear"/>
        <w:rPr>
          <w:color w:val="auto"/>
          <w:sz w:val="21"/>
          <w:szCs w:val="21"/>
          <w:highlight w:val="none"/>
        </w:rPr>
      </w:pP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16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252D84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04B84A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1278B2D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5EF680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3DE7A7F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6E63949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0CAA768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53B411D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55AE780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652937E8">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6BD27A8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790693D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329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5F194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4867EF8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F65408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555FD3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A5A5F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66D40A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1AEE533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04ED6DD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5C4E7FE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69D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88145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5E69C5F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1ADC24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ABB5A1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612E14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140D871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373AAB2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96CC6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241EA082">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2202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2D057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0D2BAB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C1D1E7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3C2BDF4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0024CFE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5BE8AA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DCFF57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C80EC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5F319A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6256512">
      <w:pPr>
        <w:shd w:val="clear"/>
        <w:rPr>
          <w:color w:val="auto"/>
          <w:sz w:val="21"/>
          <w:szCs w:val="21"/>
          <w:highlight w:val="none"/>
        </w:rPr>
      </w:pPr>
    </w:p>
    <w:p w14:paraId="549EB647">
      <w:pPr>
        <w:shd w:val="clear"/>
        <w:rPr>
          <w:color w:val="auto"/>
          <w:sz w:val="21"/>
          <w:szCs w:val="21"/>
          <w:highlight w:val="none"/>
        </w:rPr>
      </w:pPr>
    </w:p>
    <w:p w14:paraId="6218F91D">
      <w:pPr>
        <w:shd w:val="clear"/>
        <w:rPr>
          <w:color w:val="auto"/>
          <w:sz w:val="21"/>
          <w:szCs w:val="21"/>
          <w:highlight w:val="none"/>
        </w:rPr>
      </w:pPr>
    </w:p>
    <w:p w14:paraId="3A73F6D7">
      <w:pPr>
        <w:pStyle w:val="10"/>
        <w:shd w:val="clear"/>
        <w:rPr>
          <w:color w:val="auto"/>
          <w:highlight w:val="none"/>
        </w:rPr>
      </w:pPr>
    </w:p>
    <w:p w14:paraId="78ED57CF">
      <w:pPr>
        <w:shd w:val="clear"/>
        <w:rPr>
          <w:color w:val="auto"/>
          <w:sz w:val="21"/>
          <w:szCs w:val="21"/>
          <w:highlight w:val="none"/>
        </w:rPr>
      </w:pPr>
    </w:p>
    <w:p w14:paraId="40E7FDE0">
      <w:pPr>
        <w:pStyle w:val="31"/>
        <w:shd w:val="clear"/>
        <w:rPr>
          <w:color w:val="auto"/>
          <w:sz w:val="21"/>
          <w:szCs w:val="21"/>
          <w:highlight w:val="none"/>
        </w:rPr>
      </w:pPr>
    </w:p>
    <w:p w14:paraId="3DADA72D">
      <w:pPr>
        <w:pStyle w:val="31"/>
        <w:shd w:val="clear"/>
        <w:rPr>
          <w:color w:val="auto"/>
          <w:sz w:val="21"/>
          <w:szCs w:val="21"/>
          <w:highlight w:val="none"/>
        </w:rPr>
      </w:pPr>
    </w:p>
    <w:p w14:paraId="61D404A3">
      <w:pPr>
        <w:pStyle w:val="31"/>
        <w:shd w:val="clear"/>
        <w:rPr>
          <w:color w:val="auto"/>
          <w:sz w:val="28"/>
          <w:szCs w:val="21"/>
          <w:highlight w:val="none"/>
        </w:rPr>
      </w:pPr>
    </w:p>
    <w:p w14:paraId="71487054">
      <w:pPr>
        <w:pStyle w:val="31"/>
        <w:shd w:val="clear"/>
        <w:rPr>
          <w:color w:val="auto"/>
          <w:sz w:val="28"/>
          <w:szCs w:val="21"/>
          <w:highlight w:val="none"/>
        </w:rPr>
      </w:pPr>
    </w:p>
    <w:p w14:paraId="1A5A628C">
      <w:pPr>
        <w:shd w:val="clear"/>
        <w:rPr>
          <w:color w:val="auto"/>
          <w:sz w:val="21"/>
          <w:szCs w:val="21"/>
          <w:highlight w:val="none"/>
        </w:rPr>
      </w:pPr>
      <w:r>
        <w:rPr>
          <w:color w:val="auto"/>
          <w:sz w:val="21"/>
          <w:szCs w:val="21"/>
          <w:highlight w:val="none"/>
        </w:rPr>
        <w:t>附表三：劳动力计划表</w:t>
      </w:r>
    </w:p>
    <w:p w14:paraId="716D67AD">
      <w:pPr>
        <w:shd w:val="clear"/>
        <w:ind w:firstLine="7245" w:firstLineChars="3450"/>
        <w:rPr>
          <w:color w:val="auto"/>
          <w:sz w:val="21"/>
          <w:szCs w:val="22"/>
          <w:highlight w:val="none"/>
        </w:rPr>
      </w:pPr>
      <w:r>
        <w:rPr>
          <w:color w:val="auto"/>
          <w:sz w:val="21"/>
          <w:szCs w:val="22"/>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78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F79D25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2D7E02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4E5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96CC3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D56934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968D8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A6DCDB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9FC0F7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A67599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C9E760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95FADC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FF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066B59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5EDC3D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EEBC4A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6E2DB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D8FB4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A3B24C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494555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39C9C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E9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D55E0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3EE598C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EA6679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3625CD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55E99D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BB7243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8FA0F2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4A63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2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00731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95D8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15E914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7E8C5A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630966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07F80F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FCC82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DD4D5E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71D9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4E4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B04BE8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B2694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F3EB93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B6410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0906F8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E1A73B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F32868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2DE39262">
      <w:pPr>
        <w:shd w:val="clear"/>
        <w:rPr>
          <w:color w:val="auto"/>
          <w:sz w:val="21"/>
          <w:szCs w:val="21"/>
          <w:highlight w:val="none"/>
        </w:rPr>
      </w:pPr>
    </w:p>
    <w:p w14:paraId="28F6EA35">
      <w:pPr>
        <w:shd w:val="clear"/>
        <w:rPr>
          <w:b/>
          <w:color w:val="auto"/>
          <w:sz w:val="21"/>
          <w:szCs w:val="21"/>
          <w:highlight w:val="none"/>
        </w:rPr>
      </w:pPr>
    </w:p>
    <w:p w14:paraId="38EA6468">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091A3BCE">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）供应商</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lang w:eastAsia="zh-CN"/>
        </w:rPr>
        <w:t>供应商</w:t>
      </w:r>
      <w:r>
        <w:rPr>
          <w:color w:val="auto"/>
          <w:sz w:val="21"/>
          <w:szCs w:val="21"/>
          <w:highlight w:val="none"/>
        </w:rPr>
        <w:t>还应按合同条件有关条款的要求提交详细的施工进度计划。</w:t>
      </w:r>
    </w:p>
    <w:p w14:paraId="2BD1E171">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769423C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700CF7EA">
      <w:pPr>
        <w:shd w:val="clear"/>
        <w:rPr>
          <w:color w:val="auto"/>
          <w:sz w:val="21"/>
          <w:szCs w:val="21"/>
          <w:highlight w:val="none"/>
        </w:rPr>
      </w:pPr>
    </w:p>
    <w:p w14:paraId="3967CE43">
      <w:pPr>
        <w:shd w:val="clear"/>
        <w:rPr>
          <w:color w:val="auto"/>
          <w:sz w:val="21"/>
          <w:szCs w:val="21"/>
          <w:highlight w:val="none"/>
        </w:rPr>
      </w:pPr>
      <w:r>
        <w:rPr>
          <w:color w:val="auto"/>
          <w:sz w:val="21"/>
          <w:szCs w:val="21"/>
          <w:highlight w:val="none"/>
        </w:rPr>
        <w:t>附表五：施工总平面图</w:t>
      </w:r>
    </w:p>
    <w:p w14:paraId="4923FFB3">
      <w:pPr>
        <w:shd w:val="clear"/>
        <w:spacing w:line="460" w:lineRule="exact"/>
        <w:ind w:firstLine="420" w:firstLineChars="200"/>
        <w:rPr>
          <w:color w:val="auto"/>
          <w:sz w:val="21"/>
          <w:szCs w:val="22"/>
          <w:highlight w:val="none"/>
        </w:rPr>
      </w:pPr>
      <w:r>
        <w:rPr>
          <w:rFonts w:hint="eastAsia"/>
          <w:color w:val="auto"/>
          <w:sz w:val="21"/>
          <w:szCs w:val="22"/>
          <w:highlight w:val="none"/>
          <w:lang w:eastAsia="zh-CN"/>
        </w:rPr>
        <w:t>供应商</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0757F5B">
      <w:pPr>
        <w:shd w:val="clear"/>
        <w:rPr>
          <w:color w:val="auto"/>
          <w:sz w:val="21"/>
          <w:szCs w:val="21"/>
          <w:highlight w:val="none"/>
        </w:rPr>
      </w:pPr>
    </w:p>
    <w:p w14:paraId="58A7AAE8">
      <w:pPr>
        <w:shd w:val="clear"/>
        <w:rPr>
          <w:color w:val="auto"/>
          <w:sz w:val="21"/>
          <w:szCs w:val="21"/>
          <w:highlight w:val="none"/>
        </w:rPr>
      </w:pPr>
    </w:p>
    <w:p w14:paraId="40BC0366">
      <w:pPr>
        <w:shd w:val="clear"/>
        <w:rPr>
          <w:color w:val="auto"/>
          <w:sz w:val="21"/>
          <w:szCs w:val="21"/>
          <w:highlight w:val="none"/>
        </w:rPr>
      </w:pPr>
      <w:r>
        <w:rPr>
          <w:color w:val="auto"/>
          <w:sz w:val="21"/>
          <w:szCs w:val="21"/>
          <w:highlight w:val="none"/>
        </w:rPr>
        <w:t>附表六：临时用地表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4C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23DDA32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009EBC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0891421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AD475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4EE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CC62FE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41283F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48A0A10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CB302F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18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95FF79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03093A3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59E0EA7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92196AC">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291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2B92A4C">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B2D7E4B">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0B4649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245F3E6">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8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218A35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5208E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C8BEAD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06AFA1C">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402C509F">
      <w:pPr>
        <w:shd w:val="clear"/>
        <w:rPr>
          <w:color w:val="auto"/>
          <w:sz w:val="21"/>
          <w:szCs w:val="21"/>
          <w:highlight w:val="none"/>
        </w:rPr>
      </w:pPr>
    </w:p>
    <w:p w14:paraId="6160CA1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5C085D3F">
      <w:pPr>
        <w:pStyle w:val="38"/>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7CABBB6">
      <w:pPr>
        <w:pStyle w:val="38"/>
        <w:shd w:val="clear"/>
        <w:jc w:val="center"/>
        <w:rPr>
          <w:b/>
          <w:color w:val="auto"/>
          <w:sz w:val="28"/>
          <w:szCs w:val="28"/>
          <w:highlight w:val="none"/>
        </w:rPr>
      </w:pPr>
      <w:bookmarkStart w:id="105" w:name="_Toc251052184"/>
      <w:bookmarkStart w:id="106" w:name="_Toc173579005"/>
      <w:bookmarkStart w:id="107" w:name="_Toc172364025"/>
      <w:bookmarkStart w:id="108" w:name="_Toc153274947"/>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624B29B8">
      <w:pPr>
        <w:pStyle w:val="38"/>
        <w:shd w:val="clear"/>
        <w:rPr>
          <w:color w:val="auto"/>
          <w:sz w:val="22"/>
          <w:szCs w:val="22"/>
          <w:highlight w:val="none"/>
          <w:u w:val="single"/>
        </w:rPr>
      </w:pPr>
    </w:p>
    <w:p w14:paraId="05B1B458">
      <w:pPr>
        <w:pStyle w:val="38"/>
        <w:shd w:val="clear"/>
        <w:rPr>
          <w:rFonts w:hint="eastAsia" w:eastAsia="宋体"/>
          <w:color w:val="auto"/>
          <w:sz w:val="22"/>
          <w:szCs w:val="22"/>
          <w:highlight w:val="none"/>
          <w:lang w:eastAsia="zh-CN"/>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bookmarkEnd w:id="109"/>
    </w:p>
    <w:tbl>
      <w:tblPr>
        <w:tblStyle w:val="2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826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AB473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3DDD5DF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6E06C65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086909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46D7A3D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168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E2F130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6D33D73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0CDBCF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6AAE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413027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29550B5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2AD3C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5656B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64B1BF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74178C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6AE4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D71AC3F">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1009D0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41D384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639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3CB16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0CA2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F5492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4FBF67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0FDB8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D8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089251A">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208B0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47109F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2426E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93731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92218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36CC9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912523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0B7E2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697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03F71C9">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2D7BFE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E153B6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E0779C7">
            <w:pPr>
              <w:keepNext w:val="0"/>
              <w:keepLines w:val="0"/>
              <w:suppressLineNumbers w:val="0"/>
              <w:shd w:val="clear"/>
              <w:spacing w:before="0" w:beforeAutospacing="0" w:after="0" w:afterAutospacing="0"/>
              <w:ind w:left="223" w:right="0" w:hanging="222" w:hangingChars="106"/>
              <w:jc w:val="center"/>
              <w:rPr>
                <w:rFonts w:hint="eastAsia" w:eastAsia="宋体"/>
                <w:color w:val="auto"/>
                <w:sz w:val="21"/>
                <w:szCs w:val="21"/>
                <w:highlight w:val="none"/>
                <w:lang w:val="en-US" w:eastAsia="zh-CN"/>
              </w:rPr>
            </w:pPr>
          </w:p>
        </w:tc>
        <w:tc>
          <w:tcPr>
            <w:tcW w:w="1148" w:type="dxa"/>
            <w:vAlign w:val="center"/>
          </w:tcPr>
          <w:p w14:paraId="40320D6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8C58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BA7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2D7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C98947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960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8E0C4F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0D41BA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0A49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96EE8A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1F3C7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521E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89C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C347A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3803DFC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4B3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FB3005">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1B4284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6C420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7F34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905DE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53AFB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41761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87E4C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79FA8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4A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0CD81ED">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19B89B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6CDB1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7817F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85A0C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02377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9DEEBE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9E5EE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8EA4B4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D3C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CEB182D">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7E16BC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ED493A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2C17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44725F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A608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D2A1D6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370A58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B3716C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E2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662E7C">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340DBE2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97CAA6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0DF4F0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2D375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901C2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AC172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0C2D7F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A53138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46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4AE958">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20BDF1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F3F613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F22682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3FFA8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32AE74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34AE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F9041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46507B4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67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B4A03A4">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D7391B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9C847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71A6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8D39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E22A2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5A2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08BE67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A1983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3D0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04FB">
            <w:pPr>
              <w:pStyle w:val="42"/>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E3C31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D2AF0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117E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4612D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E6476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0E535F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51D2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36FA1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32C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CEBF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4CE899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681237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86244C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8C76C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2CE4C7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03AAF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A8B53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98F9C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5E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51EB28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69E1BA3B">
      <w:pPr>
        <w:shd w:val="clear"/>
        <w:tabs>
          <w:tab w:val="left" w:pos="0"/>
        </w:tabs>
        <w:spacing w:line="360" w:lineRule="auto"/>
        <w:ind w:right="-210"/>
        <w:rPr>
          <w:color w:val="auto"/>
          <w:sz w:val="21"/>
          <w:szCs w:val="21"/>
          <w:highlight w:val="none"/>
        </w:rPr>
      </w:pPr>
    </w:p>
    <w:p w14:paraId="723AA1CC">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0A248E2B">
      <w:pPr>
        <w:shd w:val="clear"/>
        <w:spacing w:line="360" w:lineRule="auto"/>
        <w:rPr>
          <w:rFonts w:eastAsia="楷体_GB2312"/>
          <w:color w:val="auto"/>
          <w:sz w:val="21"/>
          <w:szCs w:val="21"/>
          <w:highlight w:val="none"/>
        </w:rPr>
      </w:pPr>
    </w:p>
    <w:p w14:paraId="7D9501BE">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52E78E5">
      <w:pPr>
        <w:pStyle w:val="38"/>
        <w:shd w:val="clear"/>
        <w:jc w:val="center"/>
        <w:outlineLvl w:val="0"/>
        <w:rPr>
          <w:b/>
          <w:color w:val="auto"/>
          <w:sz w:val="24"/>
          <w:highlight w:val="none"/>
        </w:rPr>
      </w:pPr>
      <w:bookmarkStart w:id="122" w:name="_Toc172364026"/>
      <w:bookmarkStart w:id="123" w:name="_Toc173579006"/>
      <w:bookmarkStart w:id="124" w:name="_Toc153274948"/>
      <w:bookmarkStart w:id="125" w:name="_Toc389065364"/>
      <w:bookmarkStart w:id="126" w:name="_Toc7001"/>
      <w:bookmarkStart w:id="127" w:name="_Toc251052200"/>
      <w:r>
        <w:rPr>
          <w:b/>
          <w:color w:val="auto"/>
          <w:sz w:val="24"/>
          <w:highlight w:val="none"/>
        </w:rPr>
        <w:t>2、项目经理（注册建造师）简历表</w:t>
      </w:r>
      <w:bookmarkEnd w:id="122"/>
      <w:bookmarkEnd w:id="123"/>
      <w:bookmarkEnd w:id="124"/>
      <w:bookmarkEnd w:id="125"/>
      <w:bookmarkEnd w:id="126"/>
      <w:bookmarkEnd w:id="127"/>
    </w:p>
    <w:p w14:paraId="36375E18">
      <w:pPr>
        <w:pStyle w:val="38"/>
        <w:shd w:val="clear"/>
        <w:rPr>
          <w:color w:val="auto"/>
          <w:sz w:val="22"/>
          <w:szCs w:val="22"/>
          <w:highlight w:val="none"/>
          <w:u w:val="single"/>
        </w:rPr>
      </w:pPr>
    </w:p>
    <w:p w14:paraId="19537892">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1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951A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4FAB660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1021D30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1FD0E36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6E1D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48FE13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6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AFB95B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A930A8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A96E8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7384743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9754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8B8DE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1D0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C69B62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0BB38CF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69D0E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21758B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6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641DEC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40B8C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C9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8A320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6E9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2C0CBC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76EACC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A449C1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463097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4DBB888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78EEC6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51B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C77468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09029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53A71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8CFC41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FD137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0CA47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6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23A2CA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27F3A8B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25F0B39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074284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F20F9C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91A79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19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BDD55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62A9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CFAFE5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A7C5D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70EFC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E67A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A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D36DF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6899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31757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3A1C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BD4C6C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5BF6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2543E66">
      <w:pPr>
        <w:shd w:val="clear"/>
        <w:spacing w:line="360" w:lineRule="auto"/>
        <w:rPr>
          <w:color w:val="auto"/>
          <w:sz w:val="21"/>
          <w:szCs w:val="22"/>
          <w:highlight w:val="none"/>
        </w:rPr>
      </w:pPr>
    </w:p>
    <w:p w14:paraId="741DAF2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7AA730D2">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600A2762">
      <w:pPr>
        <w:shd w:val="clear"/>
        <w:spacing w:beforeLines="50"/>
        <w:ind w:firstLine="420" w:firstLineChars="200"/>
        <w:rPr>
          <w:rFonts w:eastAsia="楷体_GB2312"/>
          <w:color w:val="auto"/>
          <w:sz w:val="21"/>
          <w:szCs w:val="21"/>
          <w:highlight w:val="none"/>
        </w:rPr>
      </w:pPr>
    </w:p>
    <w:p w14:paraId="33FCD8E4">
      <w:pPr>
        <w:shd w:val="clear"/>
        <w:spacing w:line="360" w:lineRule="auto"/>
        <w:ind w:firstLine="525" w:firstLineChars="250"/>
        <w:rPr>
          <w:color w:val="auto"/>
          <w:sz w:val="21"/>
          <w:szCs w:val="21"/>
          <w:highlight w:val="none"/>
        </w:rPr>
      </w:pPr>
    </w:p>
    <w:p w14:paraId="75F519B4">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51C02565">
      <w:pPr>
        <w:shd w:val="clear"/>
        <w:spacing w:line="360" w:lineRule="auto"/>
        <w:ind w:firstLine="500" w:firstLineChars="250"/>
        <w:rPr>
          <w:color w:val="auto"/>
          <w:highlight w:val="none"/>
        </w:rPr>
      </w:pPr>
    </w:p>
    <w:p w14:paraId="23D73C2F">
      <w:pPr>
        <w:pStyle w:val="38"/>
        <w:shd w:val="clear"/>
        <w:jc w:val="center"/>
        <w:outlineLvl w:val="0"/>
        <w:rPr>
          <w:b/>
          <w:color w:val="auto"/>
          <w:sz w:val="24"/>
          <w:highlight w:val="none"/>
        </w:rPr>
      </w:pPr>
      <w:bookmarkStart w:id="128" w:name="_Toc8504"/>
      <w:bookmarkStart w:id="129" w:name="_Toc153274949"/>
      <w:bookmarkStart w:id="130" w:name="_Toc251052219"/>
      <w:bookmarkStart w:id="131" w:name="_Toc172364027"/>
      <w:bookmarkStart w:id="132" w:name="_Toc389065365"/>
      <w:bookmarkStart w:id="133" w:name="_Toc173579007"/>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62C2CE66">
      <w:pPr>
        <w:pStyle w:val="38"/>
        <w:shd w:val="clear"/>
        <w:rPr>
          <w:color w:val="auto"/>
          <w:highlight w:val="none"/>
          <w:u w:val="single"/>
        </w:rPr>
      </w:pPr>
    </w:p>
    <w:p w14:paraId="67E995A7">
      <w:pPr>
        <w:pStyle w:val="38"/>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p>
    <w:tbl>
      <w:tblPr>
        <w:tblStyle w:val="2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73B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DD77EF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1D29B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49FE7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F174F4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D6D56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359E5B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53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B8D44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EC2470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093DB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847C9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D609C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FEB97D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8C3E5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D279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5BAEF56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7C60A57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B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7AE56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4FB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1D3475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3F682E6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410C65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73C0543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2CCCA1B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032BD5E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71C9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69179C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FAA5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638C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11BF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2BA802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10AE65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A7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1DCA62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B6966B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DEB055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E4612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4B6D1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3D36BD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A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89C47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0E3B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4381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5DEF8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694C8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DAFCE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F3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754D3F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BAC4F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0CACA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6A0B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AC45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89C470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03BB618D">
      <w:pPr>
        <w:shd w:val="clear"/>
        <w:spacing w:line="360" w:lineRule="auto"/>
        <w:rPr>
          <w:color w:val="auto"/>
          <w:sz w:val="21"/>
          <w:szCs w:val="22"/>
          <w:highlight w:val="none"/>
        </w:rPr>
      </w:pPr>
    </w:p>
    <w:p w14:paraId="0FA531FA">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02EAE980">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认为需要增加的其他证明材料复印件，以上复印件均须加盖</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单位公章。</w:t>
      </w:r>
    </w:p>
    <w:p w14:paraId="410F268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w:t>
      </w:r>
      <w:r>
        <w:rPr>
          <w:rFonts w:hint="eastAsia" w:eastAsia="楷体_GB2312"/>
          <w:color w:val="auto"/>
          <w:sz w:val="21"/>
          <w:szCs w:val="21"/>
          <w:highlight w:val="none"/>
          <w:lang w:eastAsia="zh-CN"/>
        </w:rPr>
        <w:t>供应商</w:t>
      </w:r>
      <w:r>
        <w:rPr>
          <w:rFonts w:hint="eastAsia" w:eastAsia="楷体_GB2312"/>
          <w:color w:val="auto"/>
          <w:sz w:val="21"/>
          <w:szCs w:val="21"/>
          <w:highlight w:val="none"/>
        </w:rPr>
        <w:t>以外的其他单位完成的工程项目，其相关证明材料不需提供复印件。</w:t>
      </w:r>
    </w:p>
    <w:p w14:paraId="242601BF">
      <w:pPr>
        <w:shd w:val="clear"/>
        <w:rPr>
          <w:color w:val="auto"/>
          <w:sz w:val="21"/>
          <w:szCs w:val="21"/>
          <w:highlight w:val="none"/>
        </w:rPr>
      </w:pPr>
    </w:p>
    <w:p w14:paraId="377EEA6B">
      <w:pPr>
        <w:shd w:val="clear"/>
        <w:rPr>
          <w:color w:val="auto"/>
          <w:sz w:val="21"/>
          <w:szCs w:val="21"/>
          <w:highlight w:val="none"/>
        </w:rPr>
      </w:pPr>
    </w:p>
    <w:p w14:paraId="0F96FF28">
      <w:pPr>
        <w:pStyle w:val="34"/>
        <w:shd w:val="clear"/>
        <w:spacing w:line="360" w:lineRule="auto"/>
        <w:rPr>
          <w:rFonts w:ascii="宋体" w:hAnsi="宋体"/>
          <w:b/>
          <w:color w:val="auto"/>
          <w:sz w:val="32"/>
          <w:szCs w:val="32"/>
          <w:highlight w:val="none"/>
        </w:rPr>
      </w:pPr>
    </w:p>
    <w:p w14:paraId="1C613618">
      <w:pPr>
        <w:pStyle w:val="35"/>
        <w:rPr>
          <w:rFonts w:ascii="宋体" w:hAnsi="宋体"/>
          <w:b/>
          <w:color w:val="auto"/>
          <w:sz w:val="32"/>
          <w:szCs w:val="32"/>
          <w:highlight w:val="none"/>
        </w:rPr>
      </w:pPr>
    </w:p>
    <w:p w14:paraId="69E2C044">
      <w:pPr>
        <w:pStyle w:val="34"/>
        <w:rPr>
          <w:rFonts w:ascii="宋体" w:hAnsi="宋体"/>
          <w:b/>
          <w:color w:val="auto"/>
          <w:sz w:val="32"/>
          <w:szCs w:val="32"/>
          <w:highlight w:val="none"/>
        </w:rPr>
      </w:pPr>
    </w:p>
    <w:p w14:paraId="6865EBCB">
      <w:pPr>
        <w:pStyle w:val="35"/>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三、供应商认为有必要提供的声明及其他证明材料</w:t>
      </w:r>
    </w:p>
    <w:p w14:paraId="21B3156A">
      <w:pPr>
        <w:pStyle w:val="34"/>
        <w:shd w:val="clear"/>
        <w:spacing w:line="360" w:lineRule="auto"/>
        <w:jc w:val="center"/>
        <w:rPr>
          <w:rFonts w:ascii="宋体" w:hAnsi="宋体"/>
          <w:b/>
          <w:color w:val="auto"/>
          <w:sz w:val="32"/>
          <w:szCs w:val="32"/>
          <w:highlight w:val="none"/>
        </w:rPr>
      </w:pPr>
    </w:p>
    <w:p w14:paraId="058978AD">
      <w:pPr>
        <w:pStyle w:val="35"/>
        <w:shd w:val="clear"/>
        <w:rPr>
          <w:rFonts w:ascii="宋体" w:hAnsi="宋体"/>
          <w:b/>
          <w:color w:val="auto"/>
          <w:sz w:val="32"/>
          <w:szCs w:val="32"/>
          <w:highlight w:val="none"/>
        </w:rPr>
      </w:pPr>
    </w:p>
    <w:p w14:paraId="2757682E">
      <w:pPr>
        <w:pStyle w:val="34"/>
        <w:shd w:val="clear"/>
        <w:rPr>
          <w:rFonts w:ascii="宋体" w:hAnsi="宋体"/>
          <w:b/>
          <w:color w:val="auto"/>
          <w:sz w:val="28"/>
          <w:szCs w:val="28"/>
          <w:highlight w:val="none"/>
        </w:rPr>
      </w:pPr>
    </w:p>
    <w:p w14:paraId="5057E2A7">
      <w:pPr>
        <w:pStyle w:val="35"/>
        <w:shd w:val="clear"/>
        <w:rPr>
          <w:rFonts w:ascii="宋体" w:hAnsi="宋体"/>
          <w:b/>
          <w:color w:val="auto"/>
          <w:sz w:val="28"/>
          <w:szCs w:val="28"/>
          <w:highlight w:val="none"/>
        </w:rPr>
      </w:pPr>
    </w:p>
    <w:p w14:paraId="5282F809">
      <w:pPr>
        <w:pStyle w:val="34"/>
        <w:shd w:val="clear"/>
        <w:rPr>
          <w:rFonts w:ascii="宋体" w:hAnsi="宋体"/>
          <w:b/>
          <w:color w:val="auto"/>
          <w:sz w:val="28"/>
          <w:szCs w:val="28"/>
          <w:highlight w:val="none"/>
        </w:rPr>
      </w:pPr>
    </w:p>
    <w:p w14:paraId="1BEEF556">
      <w:pPr>
        <w:pStyle w:val="35"/>
        <w:shd w:val="clear"/>
        <w:rPr>
          <w:rFonts w:ascii="宋体" w:hAnsi="宋体"/>
          <w:b/>
          <w:color w:val="auto"/>
          <w:sz w:val="28"/>
          <w:szCs w:val="28"/>
          <w:highlight w:val="none"/>
        </w:rPr>
      </w:pPr>
    </w:p>
    <w:p w14:paraId="34C92833">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4"/>
    </w:p>
    <w:p w14:paraId="27A7B921">
      <w:pPr>
        <w:shd w:val="clear"/>
        <w:spacing w:line="360" w:lineRule="auto"/>
        <w:jc w:val="center"/>
        <w:rPr>
          <w:rFonts w:ascii="宋体" w:hAnsi="宋体"/>
          <w:color w:val="auto"/>
          <w:highlight w:val="none"/>
        </w:rPr>
      </w:pPr>
    </w:p>
    <w:p w14:paraId="34B8059C">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23FF50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3A45D5CB">
      <w:pPr>
        <w:shd w:val="clear"/>
        <w:spacing w:line="400" w:lineRule="exact"/>
        <w:jc w:val="center"/>
        <w:rPr>
          <w:rFonts w:hint="eastAsia" w:ascii="宋体" w:hAnsi="宋体" w:cs="宋体"/>
          <w:color w:val="auto"/>
          <w:highlight w:val="none"/>
        </w:rPr>
      </w:pPr>
    </w:p>
    <w:p w14:paraId="48E5CF48">
      <w:pPr>
        <w:pStyle w:val="15"/>
        <w:shd w:val="clear"/>
        <w:rPr>
          <w:rFonts w:hint="eastAsia" w:ascii="宋体" w:hAnsi="宋体" w:cs="宋体"/>
          <w:color w:val="auto"/>
          <w:highlight w:val="none"/>
        </w:rPr>
      </w:pPr>
    </w:p>
    <w:p w14:paraId="7758B29B">
      <w:pPr>
        <w:shd w:val="clear"/>
        <w:rPr>
          <w:rFonts w:hint="eastAsia" w:ascii="宋体" w:hAnsi="宋体" w:cs="宋体"/>
          <w:color w:val="auto"/>
          <w:highlight w:val="none"/>
        </w:rPr>
      </w:pPr>
    </w:p>
    <w:p w14:paraId="4B43EE64">
      <w:pPr>
        <w:pStyle w:val="15"/>
        <w:shd w:val="clear"/>
        <w:rPr>
          <w:rFonts w:hint="eastAsia" w:ascii="宋体" w:hAnsi="宋体" w:cs="宋体"/>
          <w:color w:val="auto"/>
          <w:highlight w:val="none"/>
        </w:rPr>
      </w:pPr>
    </w:p>
    <w:p w14:paraId="20976A37">
      <w:pPr>
        <w:shd w:val="clear"/>
        <w:rPr>
          <w:rFonts w:hint="eastAsia" w:ascii="宋体" w:hAnsi="宋体" w:cs="宋体"/>
          <w:color w:val="auto"/>
          <w:highlight w:val="none"/>
        </w:rPr>
      </w:pPr>
    </w:p>
    <w:p w14:paraId="10F73CE5">
      <w:pPr>
        <w:pStyle w:val="15"/>
        <w:shd w:val="clear"/>
        <w:rPr>
          <w:rFonts w:hint="eastAsia" w:ascii="宋体" w:hAnsi="宋体" w:cs="宋体"/>
          <w:color w:val="auto"/>
          <w:highlight w:val="none"/>
        </w:rPr>
      </w:pPr>
    </w:p>
    <w:p w14:paraId="0C033B6B">
      <w:pPr>
        <w:shd w:val="clear"/>
        <w:rPr>
          <w:rFonts w:hint="eastAsia" w:ascii="宋体" w:hAnsi="宋体" w:cs="宋体"/>
          <w:color w:val="auto"/>
          <w:highlight w:val="none"/>
        </w:rPr>
      </w:pPr>
    </w:p>
    <w:p w14:paraId="193121B0">
      <w:pPr>
        <w:pStyle w:val="15"/>
        <w:shd w:val="clear"/>
        <w:rPr>
          <w:rFonts w:hint="eastAsia" w:ascii="宋体" w:hAnsi="宋体" w:cs="宋体"/>
          <w:color w:val="auto"/>
          <w:highlight w:val="none"/>
        </w:rPr>
      </w:pPr>
    </w:p>
    <w:p w14:paraId="1AB5AFF5">
      <w:pPr>
        <w:shd w:val="clear"/>
        <w:rPr>
          <w:rFonts w:hint="eastAsia" w:ascii="宋体" w:hAnsi="宋体" w:cs="宋体"/>
          <w:color w:val="auto"/>
          <w:highlight w:val="none"/>
        </w:rPr>
      </w:pPr>
    </w:p>
    <w:p w14:paraId="148CCC33">
      <w:pPr>
        <w:pStyle w:val="15"/>
        <w:shd w:val="clear"/>
        <w:rPr>
          <w:rFonts w:hint="eastAsia" w:ascii="宋体" w:hAnsi="宋体" w:cs="宋体"/>
          <w:color w:val="auto"/>
          <w:highlight w:val="none"/>
        </w:rPr>
      </w:pPr>
    </w:p>
    <w:p w14:paraId="75192C54">
      <w:pPr>
        <w:shd w:val="clear"/>
        <w:rPr>
          <w:rFonts w:hint="eastAsia" w:ascii="宋体" w:hAnsi="宋体" w:cs="宋体"/>
          <w:color w:val="auto"/>
          <w:highlight w:val="none"/>
        </w:rPr>
      </w:pPr>
    </w:p>
    <w:p w14:paraId="14936B45">
      <w:pPr>
        <w:pStyle w:val="15"/>
        <w:shd w:val="clear"/>
        <w:rPr>
          <w:rFonts w:hint="eastAsia" w:ascii="宋体" w:hAnsi="宋体" w:cs="宋体"/>
          <w:color w:val="auto"/>
          <w:highlight w:val="none"/>
        </w:rPr>
      </w:pPr>
    </w:p>
    <w:p w14:paraId="3EA813D0">
      <w:pPr>
        <w:shd w:val="clear"/>
        <w:rPr>
          <w:rFonts w:hint="eastAsia" w:ascii="宋体" w:hAnsi="宋体" w:cs="宋体"/>
          <w:color w:val="auto"/>
          <w:highlight w:val="none"/>
        </w:rPr>
      </w:pPr>
    </w:p>
    <w:p w14:paraId="75223C69">
      <w:pPr>
        <w:pStyle w:val="15"/>
        <w:shd w:val="clear"/>
        <w:rPr>
          <w:rFonts w:hint="eastAsia" w:ascii="宋体" w:hAnsi="宋体" w:cs="宋体"/>
          <w:color w:val="auto"/>
          <w:highlight w:val="none"/>
        </w:rPr>
      </w:pPr>
    </w:p>
    <w:p w14:paraId="47883E56">
      <w:pPr>
        <w:shd w:val="clear"/>
        <w:rPr>
          <w:rFonts w:hint="eastAsia" w:ascii="宋体" w:hAnsi="宋体" w:cs="宋体"/>
          <w:color w:val="auto"/>
          <w:highlight w:val="none"/>
        </w:rPr>
      </w:pPr>
    </w:p>
    <w:p w14:paraId="575D7535">
      <w:pPr>
        <w:pStyle w:val="15"/>
        <w:shd w:val="clear"/>
        <w:rPr>
          <w:rFonts w:hint="eastAsia" w:ascii="宋体" w:hAnsi="宋体" w:cs="宋体"/>
          <w:color w:val="auto"/>
          <w:highlight w:val="none"/>
        </w:rPr>
      </w:pPr>
    </w:p>
    <w:p w14:paraId="6D4A2BD5">
      <w:pPr>
        <w:shd w:val="clear"/>
        <w:rPr>
          <w:rFonts w:hint="eastAsia" w:ascii="宋体" w:hAnsi="宋体" w:cs="宋体"/>
          <w:color w:val="auto"/>
          <w:highlight w:val="none"/>
        </w:rPr>
      </w:pPr>
    </w:p>
    <w:p w14:paraId="376C80DE">
      <w:pPr>
        <w:pStyle w:val="15"/>
        <w:shd w:val="clear"/>
        <w:rPr>
          <w:rFonts w:hint="eastAsia" w:ascii="宋体" w:hAnsi="宋体" w:cs="宋体"/>
          <w:color w:val="auto"/>
          <w:highlight w:val="none"/>
        </w:rPr>
      </w:pPr>
    </w:p>
    <w:p w14:paraId="0DA42189">
      <w:pPr>
        <w:shd w:val="clear"/>
        <w:rPr>
          <w:rFonts w:hint="eastAsia" w:ascii="宋体" w:hAnsi="宋体" w:cs="宋体"/>
          <w:color w:val="auto"/>
          <w:highlight w:val="none"/>
        </w:rPr>
      </w:pPr>
    </w:p>
    <w:p w14:paraId="3BDB8B6D">
      <w:pPr>
        <w:pStyle w:val="15"/>
        <w:shd w:val="clear"/>
        <w:rPr>
          <w:rFonts w:hint="eastAsia" w:ascii="宋体" w:hAnsi="宋体" w:cs="宋体"/>
          <w:color w:val="auto"/>
          <w:highlight w:val="none"/>
        </w:rPr>
      </w:pPr>
    </w:p>
    <w:p w14:paraId="6517BC37">
      <w:pPr>
        <w:shd w:val="clear"/>
        <w:rPr>
          <w:rFonts w:hint="eastAsia" w:ascii="宋体" w:hAnsi="宋体" w:cs="宋体"/>
          <w:color w:val="auto"/>
          <w:highlight w:val="none"/>
        </w:rPr>
      </w:pPr>
    </w:p>
    <w:p w14:paraId="71521DE5">
      <w:pPr>
        <w:pStyle w:val="15"/>
        <w:shd w:val="clear"/>
        <w:rPr>
          <w:rFonts w:hint="eastAsia" w:ascii="宋体" w:hAnsi="宋体" w:cs="宋体"/>
          <w:color w:val="auto"/>
          <w:highlight w:val="none"/>
        </w:rPr>
      </w:pPr>
    </w:p>
    <w:p w14:paraId="48BA4E2A">
      <w:pPr>
        <w:shd w:val="clear"/>
        <w:rPr>
          <w:rFonts w:hint="eastAsia" w:ascii="宋体" w:hAnsi="宋体" w:cs="宋体"/>
          <w:color w:val="auto"/>
          <w:highlight w:val="none"/>
        </w:rPr>
      </w:pPr>
    </w:p>
    <w:p w14:paraId="184703A1">
      <w:pPr>
        <w:pStyle w:val="15"/>
        <w:shd w:val="clear"/>
        <w:rPr>
          <w:rFonts w:hint="eastAsia" w:ascii="宋体" w:hAnsi="宋体" w:cs="宋体"/>
          <w:color w:val="auto"/>
          <w:highlight w:val="none"/>
        </w:rPr>
      </w:pPr>
    </w:p>
    <w:p w14:paraId="0E98170E">
      <w:pPr>
        <w:shd w:val="clear"/>
        <w:rPr>
          <w:rFonts w:hint="eastAsia" w:ascii="宋体" w:hAnsi="宋体" w:cs="宋体"/>
          <w:color w:val="auto"/>
          <w:highlight w:val="none"/>
        </w:rPr>
      </w:pPr>
    </w:p>
    <w:p w14:paraId="1A04A3E3">
      <w:pPr>
        <w:pStyle w:val="15"/>
        <w:shd w:val="clear"/>
        <w:rPr>
          <w:rFonts w:hint="eastAsia" w:ascii="宋体" w:hAnsi="宋体" w:cs="宋体"/>
          <w:color w:val="auto"/>
          <w:highlight w:val="none"/>
        </w:rPr>
      </w:pPr>
    </w:p>
    <w:p w14:paraId="366DD3F0">
      <w:pPr>
        <w:shd w:val="clear"/>
        <w:rPr>
          <w:rFonts w:hint="eastAsia" w:ascii="宋体" w:hAnsi="宋体" w:cs="宋体"/>
          <w:color w:val="auto"/>
          <w:highlight w:val="none"/>
        </w:rPr>
      </w:pPr>
    </w:p>
    <w:p w14:paraId="0FAF0499">
      <w:pPr>
        <w:pStyle w:val="15"/>
        <w:shd w:val="clear"/>
        <w:rPr>
          <w:rFonts w:hint="eastAsia" w:ascii="宋体" w:hAnsi="宋体" w:cs="宋体"/>
          <w:color w:val="auto"/>
          <w:highlight w:val="none"/>
        </w:rPr>
      </w:pPr>
    </w:p>
    <w:p w14:paraId="416847BC">
      <w:pPr>
        <w:shd w:val="clear"/>
        <w:rPr>
          <w:rFonts w:hint="eastAsia" w:ascii="宋体" w:hAnsi="宋体" w:cs="宋体"/>
          <w:color w:val="auto"/>
          <w:highlight w:val="none"/>
        </w:rPr>
      </w:pPr>
    </w:p>
    <w:p w14:paraId="6F392DF6">
      <w:pPr>
        <w:pStyle w:val="31"/>
        <w:shd w:val="clear"/>
        <w:rPr>
          <w:rFonts w:hint="eastAsia" w:ascii="宋体" w:hAnsi="宋体" w:cs="宋体"/>
          <w:color w:val="auto"/>
          <w:highlight w:val="none"/>
        </w:rPr>
      </w:pPr>
    </w:p>
    <w:p w14:paraId="7FD41DA6">
      <w:pPr>
        <w:pStyle w:val="31"/>
        <w:shd w:val="clear"/>
        <w:rPr>
          <w:rFonts w:hint="eastAsia" w:ascii="宋体" w:hAnsi="宋体" w:cs="宋体"/>
          <w:color w:val="auto"/>
          <w:highlight w:val="none"/>
        </w:rPr>
      </w:pPr>
    </w:p>
    <w:p w14:paraId="7042C144">
      <w:pPr>
        <w:pStyle w:val="31"/>
        <w:shd w:val="clear"/>
        <w:rPr>
          <w:rFonts w:hint="eastAsia" w:ascii="宋体" w:hAnsi="宋体" w:cs="宋体"/>
          <w:color w:val="auto"/>
          <w:highlight w:val="none"/>
        </w:rPr>
      </w:pPr>
    </w:p>
    <w:p w14:paraId="3BB56EFD">
      <w:pPr>
        <w:pStyle w:val="31"/>
        <w:shd w:val="clear"/>
        <w:rPr>
          <w:rFonts w:hint="eastAsia" w:ascii="宋体" w:hAnsi="宋体" w:cs="宋体"/>
          <w:color w:val="auto"/>
          <w:highlight w:val="none"/>
        </w:rPr>
      </w:pPr>
    </w:p>
    <w:p w14:paraId="4009EB9E">
      <w:pPr>
        <w:pStyle w:val="31"/>
        <w:shd w:val="clear"/>
        <w:rPr>
          <w:rFonts w:hint="eastAsia" w:ascii="宋体" w:hAnsi="宋体" w:cs="宋体"/>
          <w:color w:val="auto"/>
          <w:highlight w:val="none"/>
        </w:rPr>
      </w:pPr>
    </w:p>
    <w:p w14:paraId="060D9102">
      <w:pPr>
        <w:pStyle w:val="31"/>
        <w:shd w:val="clear"/>
        <w:rPr>
          <w:rFonts w:hint="eastAsia" w:ascii="宋体" w:hAnsi="宋体" w:cs="宋体"/>
          <w:color w:val="auto"/>
          <w:highlight w:val="none"/>
        </w:rPr>
      </w:pPr>
    </w:p>
    <w:p w14:paraId="49E55C46">
      <w:pPr>
        <w:pStyle w:val="31"/>
        <w:shd w:val="clear"/>
        <w:rPr>
          <w:rFonts w:hint="eastAsia" w:ascii="宋体" w:hAnsi="宋体" w:cs="宋体"/>
          <w:color w:val="auto"/>
          <w:highlight w:val="none"/>
        </w:rPr>
      </w:pPr>
    </w:p>
    <w:p w14:paraId="32A2A883">
      <w:pPr>
        <w:pStyle w:val="31"/>
        <w:shd w:val="clear"/>
        <w:rPr>
          <w:rFonts w:hint="eastAsia" w:ascii="宋体" w:hAnsi="宋体" w:cs="宋体"/>
          <w:color w:val="auto"/>
          <w:highlight w:val="none"/>
        </w:rPr>
      </w:pPr>
    </w:p>
    <w:p w14:paraId="27C6F264">
      <w:pPr>
        <w:pStyle w:val="31"/>
        <w:shd w:val="clear"/>
        <w:rPr>
          <w:rFonts w:hint="eastAsia" w:ascii="宋体" w:hAnsi="宋体" w:cs="宋体"/>
          <w:color w:val="auto"/>
          <w:highlight w:val="none"/>
        </w:rPr>
      </w:pPr>
    </w:p>
    <w:p w14:paraId="02EFEE00">
      <w:pPr>
        <w:pStyle w:val="31"/>
        <w:shd w:val="clear"/>
        <w:rPr>
          <w:rFonts w:hint="eastAsia" w:ascii="宋体" w:hAnsi="宋体" w:cs="宋体"/>
          <w:color w:val="auto"/>
          <w:highlight w:val="none"/>
        </w:rPr>
      </w:pPr>
    </w:p>
    <w:p w14:paraId="4E38217E">
      <w:pPr>
        <w:pStyle w:val="31"/>
        <w:shd w:val="clear"/>
        <w:rPr>
          <w:rFonts w:hint="eastAsia" w:ascii="宋体" w:hAnsi="宋体" w:cs="宋体"/>
          <w:color w:val="auto"/>
          <w:highlight w:val="none"/>
        </w:rPr>
      </w:pPr>
    </w:p>
    <w:p w14:paraId="5F60EAB9">
      <w:pPr>
        <w:pStyle w:val="31"/>
        <w:shd w:val="clear"/>
        <w:rPr>
          <w:rFonts w:hint="eastAsia" w:ascii="宋体" w:hAnsi="宋体" w:cs="宋体"/>
          <w:color w:val="auto"/>
          <w:highlight w:val="none"/>
        </w:rPr>
      </w:pPr>
    </w:p>
    <w:p w14:paraId="0C6ECD70">
      <w:pPr>
        <w:pStyle w:val="31"/>
        <w:shd w:val="clear"/>
        <w:rPr>
          <w:rFonts w:hint="eastAsia" w:ascii="宋体" w:hAnsi="宋体" w:cs="宋体"/>
          <w:color w:val="auto"/>
          <w:highlight w:val="none"/>
        </w:rPr>
      </w:pPr>
    </w:p>
    <w:p w14:paraId="2C8CB643">
      <w:pPr>
        <w:pStyle w:val="31"/>
        <w:shd w:val="clear"/>
        <w:rPr>
          <w:rFonts w:hint="eastAsia" w:ascii="宋体" w:hAnsi="宋体" w:cs="宋体"/>
          <w:color w:val="auto"/>
          <w:highlight w:val="none"/>
        </w:rPr>
      </w:pPr>
    </w:p>
    <w:p w14:paraId="2F19716B">
      <w:pPr>
        <w:pStyle w:val="31"/>
        <w:shd w:val="clear"/>
        <w:rPr>
          <w:rFonts w:hint="eastAsia" w:ascii="宋体" w:hAnsi="宋体" w:cs="宋体"/>
          <w:color w:val="auto"/>
          <w:highlight w:val="none"/>
        </w:rPr>
      </w:pPr>
    </w:p>
    <w:p w14:paraId="2775EA64">
      <w:pPr>
        <w:pStyle w:val="31"/>
        <w:shd w:val="clear"/>
        <w:rPr>
          <w:rFonts w:hint="eastAsia" w:ascii="宋体" w:hAnsi="宋体" w:cs="宋体"/>
          <w:color w:val="auto"/>
          <w:highlight w:val="none"/>
        </w:rPr>
      </w:pPr>
    </w:p>
    <w:p w14:paraId="740CAA92">
      <w:pPr>
        <w:pStyle w:val="31"/>
        <w:shd w:val="clear"/>
        <w:rPr>
          <w:rFonts w:hint="eastAsia" w:ascii="宋体" w:hAnsi="宋体" w:cs="宋体"/>
          <w:color w:val="auto"/>
          <w:highlight w:val="none"/>
        </w:rPr>
      </w:pPr>
    </w:p>
    <w:p w14:paraId="4047336A">
      <w:pPr>
        <w:pStyle w:val="31"/>
        <w:shd w:val="clear"/>
        <w:rPr>
          <w:rFonts w:hint="eastAsia" w:ascii="宋体" w:hAnsi="宋体" w:cs="宋体"/>
          <w:color w:val="auto"/>
          <w:highlight w:val="none"/>
        </w:rPr>
      </w:pPr>
    </w:p>
    <w:p w14:paraId="3DA2F1D8">
      <w:pPr>
        <w:pStyle w:val="31"/>
        <w:shd w:val="clear"/>
        <w:rPr>
          <w:rFonts w:hint="eastAsia" w:ascii="宋体" w:hAnsi="宋体" w:cs="宋体"/>
          <w:color w:val="auto"/>
          <w:highlight w:val="none"/>
        </w:rPr>
      </w:pPr>
    </w:p>
    <w:p w14:paraId="4BEC4221">
      <w:pPr>
        <w:pStyle w:val="31"/>
        <w:shd w:val="clear"/>
        <w:rPr>
          <w:rFonts w:hint="eastAsia" w:ascii="宋体" w:hAnsi="宋体" w:cs="宋体"/>
          <w:color w:val="auto"/>
          <w:highlight w:val="none"/>
        </w:rPr>
      </w:pPr>
    </w:p>
    <w:p w14:paraId="74C5D381">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6"/>
          <w:szCs w:val="36"/>
          <w:highlight w:val="none"/>
        </w:rPr>
      </w:pPr>
      <w:r>
        <w:rPr>
          <w:rFonts w:hint="eastAsia" w:ascii="宋体" w:hAnsi="宋体" w:cs="宋体"/>
          <w:b/>
          <w:bCs w:val="0"/>
          <w:color w:val="auto"/>
          <w:kern w:val="0"/>
          <w:sz w:val="36"/>
          <w:szCs w:val="36"/>
          <w:highlight w:val="none"/>
          <w:lang w:val="en-US" w:eastAsia="zh-CN" w:bidi="ar"/>
        </w:rPr>
        <w:t>天等县龙茗镇益山村八角低产林改造县级示范项目</w:t>
      </w:r>
    </w:p>
    <w:p w14:paraId="4E021785">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56C7BA56">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291B293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17F540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647A5519">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786AD168">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80FE4F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F95E67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4AFDCF4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48C7C6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17F126C">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6B71EC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p>
    <w:p w14:paraId="322A0C4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127517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3DA528A4">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88533E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p>
    <w:p w14:paraId="1C3B102A">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p>
    <w:p w14:paraId="5571AA3F">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7FB710AE">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cs="宋体"/>
          <w:b/>
          <w:bCs w:val="0"/>
          <w:color w:val="auto"/>
          <w:kern w:val="0"/>
          <w:sz w:val="28"/>
          <w:szCs w:val="28"/>
          <w:highlight w:val="none"/>
          <w:lang w:val="en-US" w:eastAsia="zh-CN" w:bidi="ar"/>
        </w:rPr>
        <w:t xml:space="preserve">                      </w:t>
      </w:r>
      <w:r>
        <w:rPr>
          <w:rFonts w:hint="eastAsia" w:ascii="宋体" w:hAnsi="宋体" w:eastAsia="宋体" w:cs="宋体"/>
          <w:b/>
          <w:bCs w:val="0"/>
          <w:color w:val="auto"/>
          <w:kern w:val="0"/>
          <w:sz w:val="28"/>
          <w:szCs w:val="28"/>
          <w:highlight w:val="none"/>
          <w:lang w:val="en-US" w:eastAsia="zh-CN" w:bidi="ar"/>
        </w:rPr>
        <w:t>制定</w:t>
      </w:r>
    </w:p>
    <w:p w14:paraId="16D1A745">
      <w:pPr>
        <w:keepNext w:val="0"/>
        <w:keepLines w:val="0"/>
        <w:widowControl w:val="0"/>
        <w:suppressLineNumbers w:val="0"/>
        <w:shd w:val="clear"/>
        <w:spacing w:before="0" w:beforeAutospacing="0" w:after="0" w:afterAutospacing="0" w:line="480" w:lineRule="exact"/>
        <w:ind w:left="0" w:right="66" w:rightChars="33"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中华人民共和国国家市场监督管理局</w:t>
      </w:r>
    </w:p>
    <w:p w14:paraId="160AA8A0">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6383FB57">
      <w:pPr>
        <w:spacing w:line="360" w:lineRule="auto"/>
        <w:jc w:val="center"/>
        <w:outlineLvl w:val="0"/>
        <w:rPr>
          <w:rFonts w:ascii="宋体" w:hAnsi="宋体"/>
          <w:b/>
          <w:color w:val="auto"/>
          <w:sz w:val="36"/>
          <w:highlight w:val="none"/>
        </w:rPr>
      </w:pPr>
      <w:bookmarkStart w:id="135" w:name="_Toc20666"/>
      <w:bookmarkEnd w:id="135"/>
      <w:bookmarkStart w:id="136" w:name="_Toc18432"/>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6"/>
    </w:p>
    <w:p w14:paraId="2B99362B">
      <w:pPr>
        <w:pStyle w:val="3"/>
        <w:jc w:val="center"/>
        <w:rPr>
          <w:rFonts w:hint="eastAsia" w:cs="黑体"/>
          <w:color w:val="auto"/>
          <w:sz w:val="28"/>
          <w:szCs w:val="13"/>
          <w:highlight w:val="none"/>
        </w:rPr>
      </w:pPr>
      <w:bookmarkStart w:id="137" w:name="_Toc25390"/>
      <w:r>
        <w:rPr>
          <w:rFonts w:hint="eastAsia" w:cs="黑体"/>
          <w:color w:val="auto"/>
          <w:sz w:val="28"/>
          <w:szCs w:val="13"/>
          <w:highlight w:val="none"/>
        </w:rPr>
        <w:t>第一部分合同协议书</w:t>
      </w:r>
      <w:bookmarkEnd w:id="137"/>
    </w:p>
    <w:p w14:paraId="4342C764">
      <w:pPr>
        <w:rPr>
          <w:highlight w:val="none"/>
        </w:rPr>
      </w:pPr>
    </w:p>
    <w:p w14:paraId="2E226C5C">
      <w:pPr>
        <w:pStyle w:val="48"/>
        <w:spacing w:line="360" w:lineRule="auto"/>
        <w:rPr>
          <w:color w:val="auto"/>
          <w:sz w:val="21"/>
          <w:szCs w:val="21"/>
          <w:highlight w:val="none"/>
          <w:u w:val="single"/>
        </w:rPr>
      </w:pPr>
      <w:r>
        <w:rPr>
          <w:rFonts w:hint="eastAsia" w:hAnsi="宋体" w:cs="宋体"/>
          <w:color w:val="auto"/>
          <w:sz w:val="21"/>
          <w:szCs w:val="21"/>
          <w:highlight w:val="none"/>
        </w:rPr>
        <w:t>发包人（全称）：</w:t>
      </w:r>
      <w:r>
        <w:rPr>
          <w:rFonts w:hint="eastAsia" w:hAnsi="宋体"/>
          <w:color w:val="auto"/>
          <w:sz w:val="21"/>
          <w:szCs w:val="21"/>
          <w:highlight w:val="none"/>
          <w:u w:val="single"/>
          <w:lang w:eastAsia="zh-CN"/>
        </w:rPr>
        <w:t>天等县林业局</w:t>
      </w:r>
    </w:p>
    <w:p w14:paraId="30F3060E">
      <w:pPr>
        <w:spacing w:line="360" w:lineRule="auto"/>
        <w:rPr>
          <w:rFonts w:hint="eastAsia" w:eastAsia="宋体"/>
          <w:color w:val="auto"/>
          <w:sz w:val="21"/>
          <w:szCs w:val="21"/>
          <w:highlight w:val="none"/>
          <w:u w:val="single"/>
          <w:lang w:eastAsia="zh-CN"/>
        </w:rPr>
      </w:pPr>
      <w:r>
        <w:rPr>
          <w:rFonts w:hint="eastAsia" w:hAnsi="宋体" w:cs="宋体"/>
          <w:color w:val="auto"/>
          <w:sz w:val="21"/>
          <w:szCs w:val="21"/>
          <w:highlight w:val="none"/>
        </w:rPr>
        <w:t>承包人（全称）：</w:t>
      </w:r>
    </w:p>
    <w:p w14:paraId="69E1BE5E">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根据《中华人民共和国民法典》、《中华人民共和国建筑法》及有关法律规定，遵循平等、自愿、公平和诚实信用的原则，双方就</w:t>
      </w:r>
      <w:r>
        <w:rPr>
          <w:rFonts w:hint="eastAsia" w:hAnsi="宋体" w:cs="Times New Roman"/>
          <w:color w:val="auto"/>
          <w:sz w:val="21"/>
          <w:szCs w:val="21"/>
          <w:highlight w:val="none"/>
          <w:u w:val="single"/>
          <w:lang w:val="en-US" w:eastAsia="zh-CN"/>
        </w:rPr>
        <w:t>天等县龙茗镇益山村八角低产林改造县级示范项目</w:t>
      </w:r>
      <w:r>
        <w:rPr>
          <w:rFonts w:hint="eastAsia" w:hAnsi="宋体" w:cs="宋体"/>
          <w:color w:val="auto"/>
          <w:sz w:val="21"/>
          <w:szCs w:val="21"/>
          <w:highlight w:val="none"/>
        </w:rPr>
        <w:t>工程施工及有关事项协商一致，共同达成如下协议：</w:t>
      </w:r>
      <w:bookmarkStart w:id="138" w:name="_Toc351203481"/>
    </w:p>
    <w:p w14:paraId="3EA979CD">
      <w:pPr>
        <w:spacing w:line="360" w:lineRule="auto"/>
        <w:ind w:firstLine="422" w:firstLineChars="200"/>
        <w:outlineLvl w:val="0"/>
        <w:rPr>
          <w:b/>
          <w:bCs/>
          <w:color w:val="auto"/>
          <w:sz w:val="21"/>
          <w:szCs w:val="21"/>
          <w:highlight w:val="none"/>
        </w:rPr>
      </w:pPr>
      <w:bookmarkStart w:id="139" w:name="_Toc29635"/>
      <w:r>
        <w:rPr>
          <w:rFonts w:hint="eastAsia" w:hAnsi="宋体" w:cs="宋体"/>
          <w:b/>
          <w:bCs/>
          <w:color w:val="auto"/>
          <w:sz w:val="21"/>
          <w:szCs w:val="21"/>
          <w:highlight w:val="none"/>
        </w:rPr>
        <w:t>一、工程概况</w:t>
      </w:r>
      <w:bookmarkEnd w:id="138"/>
      <w:bookmarkEnd w:id="139"/>
    </w:p>
    <w:p w14:paraId="7FE4AEC3">
      <w:pPr>
        <w:spacing w:line="360" w:lineRule="auto"/>
        <w:ind w:firstLine="411" w:firstLineChars="196"/>
        <w:rPr>
          <w:color w:val="auto"/>
          <w:sz w:val="21"/>
          <w:szCs w:val="21"/>
          <w:highlight w:val="none"/>
          <w:u w:val="single"/>
        </w:rPr>
      </w:pPr>
      <w:r>
        <w:rPr>
          <w:color w:val="auto"/>
          <w:sz w:val="21"/>
          <w:szCs w:val="21"/>
          <w:highlight w:val="none"/>
        </w:rPr>
        <w:t>1.</w:t>
      </w:r>
      <w:r>
        <w:rPr>
          <w:rFonts w:hint="eastAsia" w:hAnsi="宋体" w:cs="宋体"/>
          <w:color w:val="auto"/>
          <w:sz w:val="21"/>
          <w:szCs w:val="21"/>
          <w:highlight w:val="none"/>
        </w:rPr>
        <w:t>工程名称：</w:t>
      </w:r>
      <w:r>
        <w:rPr>
          <w:rFonts w:hint="eastAsia" w:hAnsi="宋体" w:cs="Times New Roman"/>
          <w:color w:val="auto"/>
          <w:sz w:val="21"/>
          <w:szCs w:val="21"/>
          <w:highlight w:val="none"/>
          <w:u w:val="single"/>
          <w:lang w:val="en-US" w:eastAsia="zh-CN"/>
        </w:rPr>
        <w:t>天等县龙茗镇益山村八角低产林改造县级示范项目</w:t>
      </w:r>
      <w:r>
        <w:rPr>
          <w:rFonts w:hint="eastAsia" w:hAnsi="宋体" w:cs="宋体"/>
          <w:color w:val="auto"/>
          <w:sz w:val="21"/>
          <w:szCs w:val="21"/>
          <w:highlight w:val="none"/>
        </w:rPr>
        <w:t>。</w:t>
      </w:r>
    </w:p>
    <w:p w14:paraId="77E11440">
      <w:pPr>
        <w:spacing w:line="360" w:lineRule="auto"/>
        <w:ind w:firstLine="411" w:firstLineChars="196"/>
        <w:rPr>
          <w:color w:val="auto"/>
          <w:sz w:val="21"/>
          <w:szCs w:val="21"/>
          <w:highlight w:val="none"/>
        </w:rPr>
      </w:pPr>
      <w:r>
        <w:rPr>
          <w:color w:val="auto"/>
          <w:sz w:val="21"/>
          <w:szCs w:val="21"/>
          <w:highlight w:val="none"/>
        </w:rPr>
        <w:t>2.</w:t>
      </w:r>
      <w:r>
        <w:rPr>
          <w:rFonts w:hint="eastAsia" w:hAnsi="宋体" w:cs="宋体"/>
          <w:color w:val="auto"/>
          <w:sz w:val="21"/>
          <w:szCs w:val="21"/>
          <w:highlight w:val="none"/>
        </w:rPr>
        <w:t>工程地点：</w:t>
      </w:r>
      <w:r>
        <w:rPr>
          <w:rFonts w:hint="eastAsia" w:hAnsi="宋体" w:cs="Times New Roman"/>
          <w:color w:val="auto"/>
          <w:sz w:val="21"/>
          <w:szCs w:val="21"/>
          <w:highlight w:val="none"/>
          <w:u w:val="single"/>
          <w:lang w:val="en-US" w:eastAsia="zh-CN"/>
        </w:rPr>
        <w:t>天等县龙茗镇益山村</w:t>
      </w:r>
      <w:r>
        <w:rPr>
          <w:rFonts w:hint="eastAsia" w:hAnsi="宋体" w:cs="宋体"/>
          <w:color w:val="auto"/>
          <w:sz w:val="21"/>
          <w:szCs w:val="21"/>
          <w:highlight w:val="none"/>
        </w:rPr>
        <w:t>。</w:t>
      </w:r>
    </w:p>
    <w:p w14:paraId="7DF2C620">
      <w:pPr>
        <w:spacing w:line="360" w:lineRule="auto"/>
        <w:ind w:firstLine="411" w:firstLineChars="196"/>
        <w:rPr>
          <w:rFonts w:hint="eastAsia" w:hAnsi="宋体" w:cs="Times New Roman"/>
          <w:color w:val="auto"/>
          <w:sz w:val="21"/>
          <w:szCs w:val="21"/>
          <w:highlight w:val="none"/>
          <w:u w:val="single"/>
          <w:lang w:val="en-US" w:eastAsia="zh-CN"/>
        </w:rPr>
      </w:pPr>
      <w:r>
        <w:rPr>
          <w:color w:val="auto"/>
          <w:sz w:val="21"/>
          <w:szCs w:val="21"/>
          <w:highlight w:val="none"/>
        </w:rPr>
        <w:t>3.</w:t>
      </w:r>
      <w:r>
        <w:rPr>
          <w:rFonts w:hint="eastAsia" w:hAnsi="宋体" w:cs="宋体"/>
          <w:color w:val="auto"/>
          <w:sz w:val="21"/>
          <w:szCs w:val="21"/>
          <w:highlight w:val="none"/>
        </w:rPr>
        <w:t>工程立项批准文号：</w:t>
      </w:r>
      <w:r>
        <w:rPr>
          <w:rFonts w:hint="eastAsia" w:hAnsi="宋体" w:cs="Times New Roman"/>
          <w:color w:val="auto"/>
          <w:sz w:val="21"/>
          <w:szCs w:val="21"/>
          <w:highlight w:val="none"/>
          <w:u w:val="single"/>
          <w:lang w:val="en-US" w:eastAsia="zh-CN"/>
        </w:rPr>
        <w:t>天政函〔2025〕127号天等县人民政府关于同意2026年提前批中央和自治区财政衔接推进乡村振兴补助资金项目计划的批复。</w:t>
      </w:r>
    </w:p>
    <w:p w14:paraId="2A9E8767">
      <w:pPr>
        <w:spacing w:line="360" w:lineRule="auto"/>
        <w:ind w:firstLine="411" w:firstLineChars="196"/>
        <w:rPr>
          <w:color w:val="auto"/>
          <w:sz w:val="21"/>
          <w:szCs w:val="21"/>
          <w:highlight w:val="none"/>
        </w:rPr>
      </w:pPr>
      <w:r>
        <w:rPr>
          <w:color w:val="auto"/>
          <w:sz w:val="21"/>
          <w:szCs w:val="21"/>
          <w:highlight w:val="none"/>
        </w:rPr>
        <w:t>4.</w:t>
      </w:r>
      <w:r>
        <w:rPr>
          <w:rFonts w:hint="eastAsia" w:hAnsi="宋体" w:cs="宋体"/>
          <w:color w:val="auto"/>
          <w:sz w:val="21"/>
          <w:szCs w:val="21"/>
          <w:highlight w:val="none"/>
        </w:rPr>
        <w:t>资金来源：</w:t>
      </w:r>
      <w:r>
        <w:rPr>
          <w:rFonts w:hint="eastAsia" w:hAnsi="宋体" w:cs="Times New Roman"/>
          <w:color w:val="auto"/>
          <w:sz w:val="21"/>
          <w:szCs w:val="21"/>
          <w:highlight w:val="none"/>
          <w:u w:val="single"/>
          <w:lang w:val="en-US" w:eastAsia="zh-CN"/>
        </w:rPr>
        <w:t>天政函〔2025〕127号天等县人民政府关于同意2026年提前批中央和自治区财政衔接推进乡村振兴补助资金项目计划的批复</w:t>
      </w:r>
      <w:r>
        <w:rPr>
          <w:rFonts w:hAnsi="宋体"/>
          <w:color w:val="auto"/>
          <w:sz w:val="21"/>
          <w:szCs w:val="21"/>
          <w:highlight w:val="none"/>
          <w:u w:val="single"/>
        </w:rPr>
        <w:t>。</w:t>
      </w:r>
    </w:p>
    <w:p w14:paraId="3CA9B82F">
      <w:pPr>
        <w:spacing w:line="360" w:lineRule="auto"/>
        <w:ind w:firstLine="411" w:firstLineChars="196"/>
        <w:rPr>
          <w:color w:val="auto"/>
          <w:sz w:val="21"/>
          <w:szCs w:val="21"/>
          <w:highlight w:val="none"/>
        </w:rPr>
      </w:pPr>
      <w:r>
        <w:rPr>
          <w:color w:val="auto"/>
          <w:sz w:val="21"/>
          <w:szCs w:val="21"/>
          <w:highlight w:val="none"/>
        </w:rPr>
        <w:t>5.</w:t>
      </w:r>
      <w:r>
        <w:rPr>
          <w:rFonts w:hint="eastAsia" w:hAnsi="宋体" w:cs="宋体"/>
          <w:color w:val="auto"/>
          <w:sz w:val="21"/>
          <w:szCs w:val="21"/>
          <w:highlight w:val="none"/>
        </w:rPr>
        <w:t>工程内容：</w:t>
      </w:r>
      <w:r>
        <w:rPr>
          <w:rFonts w:hint="eastAsia" w:ascii="Calibri" w:hAnsi="Calibri" w:cs="Times New Roman"/>
          <w:b w:val="0"/>
          <w:bCs w:val="0"/>
          <w:color w:val="auto"/>
          <w:kern w:val="2"/>
          <w:sz w:val="21"/>
          <w:szCs w:val="21"/>
          <w:highlight w:val="none"/>
          <w:u w:val="single"/>
          <w:lang w:val="en-US" w:eastAsia="zh-CN" w:bidi="ar-SA"/>
        </w:rPr>
        <w:t>天等县龙茗镇益山村八角低产林改造县级示范项目的建设内容包含：（1）八角低产林改造165亩、包含人工砍伐树木6600棵、除草及砍灌木林44000平方，砍树挖根91523棵，无人机飞播农药，施工期内施肥两次等。（2）新建配套生产道路两条，总长0.707km，新建两座涵管，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r>
        <w:rPr>
          <w:rFonts w:hint="eastAsia" w:hAnsi="宋体" w:cs="宋体"/>
          <w:color w:val="auto"/>
          <w:sz w:val="21"/>
          <w:szCs w:val="21"/>
          <w:highlight w:val="none"/>
        </w:rPr>
        <w:t>群体工程应附《承包人承揽工程项目一览表》（附件</w:t>
      </w:r>
      <w:r>
        <w:rPr>
          <w:color w:val="auto"/>
          <w:sz w:val="21"/>
          <w:szCs w:val="21"/>
          <w:highlight w:val="none"/>
        </w:rPr>
        <w:t>1</w:t>
      </w:r>
      <w:r>
        <w:rPr>
          <w:rFonts w:hint="eastAsia" w:hAnsi="宋体" w:cs="宋体"/>
          <w:color w:val="auto"/>
          <w:sz w:val="21"/>
          <w:szCs w:val="21"/>
          <w:highlight w:val="none"/>
        </w:rPr>
        <w:t>）。</w:t>
      </w:r>
    </w:p>
    <w:p w14:paraId="05776E91">
      <w:pPr>
        <w:spacing w:line="360" w:lineRule="auto"/>
        <w:ind w:firstLine="405" w:firstLineChars="193"/>
        <w:rPr>
          <w:rFonts w:hAnsi="宋体"/>
          <w:color w:val="auto"/>
          <w:sz w:val="21"/>
          <w:szCs w:val="21"/>
          <w:highlight w:val="none"/>
        </w:rPr>
      </w:pPr>
      <w:r>
        <w:rPr>
          <w:color w:val="auto"/>
          <w:sz w:val="21"/>
          <w:szCs w:val="21"/>
          <w:highlight w:val="none"/>
        </w:rPr>
        <w:t>6.</w:t>
      </w:r>
      <w:r>
        <w:rPr>
          <w:rFonts w:hint="eastAsia" w:hAnsi="宋体" w:cs="宋体"/>
          <w:color w:val="auto"/>
          <w:sz w:val="21"/>
          <w:szCs w:val="21"/>
          <w:highlight w:val="none"/>
        </w:rPr>
        <w:t>工程承包范围：</w:t>
      </w:r>
      <w:r>
        <w:rPr>
          <w:rFonts w:hint="eastAsia" w:ascii="Calibri" w:hAnsi="Calibri" w:cs="Times New Roman"/>
          <w:b w:val="0"/>
          <w:bCs w:val="0"/>
          <w:color w:val="auto"/>
          <w:kern w:val="2"/>
          <w:sz w:val="21"/>
          <w:szCs w:val="21"/>
          <w:highlight w:val="none"/>
          <w:u w:val="single"/>
          <w:lang w:val="en-US" w:eastAsia="zh-CN" w:bidi="ar-SA"/>
        </w:rPr>
        <w:t>天等县龙茗镇益山村八角低产林改造县级示范项目的建设内容包含：（1）八角低产林改造165亩、包含人工砍伐树木6600棵、除草及砍灌木林44000平方，砍树挖根91523棵，无人机飞播农药，施工期内施肥两次等。（2）新建配套生产道路两条，总长0.707km，新建两座涵管，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p>
    <w:p w14:paraId="0F7362AA">
      <w:pPr>
        <w:spacing w:line="360" w:lineRule="auto"/>
        <w:ind w:firstLine="407" w:firstLineChars="193"/>
        <w:outlineLvl w:val="0"/>
        <w:rPr>
          <w:b/>
          <w:bCs/>
          <w:color w:val="auto"/>
          <w:sz w:val="21"/>
          <w:szCs w:val="21"/>
          <w:highlight w:val="none"/>
        </w:rPr>
      </w:pPr>
      <w:bookmarkStart w:id="140" w:name="_Toc1689"/>
      <w:bookmarkStart w:id="141" w:name="_Toc351203482"/>
      <w:r>
        <w:rPr>
          <w:rFonts w:hint="eastAsia" w:hAnsi="宋体" w:cs="宋体"/>
          <w:b/>
          <w:bCs/>
          <w:color w:val="auto"/>
          <w:sz w:val="21"/>
          <w:szCs w:val="21"/>
          <w:highlight w:val="none"/>
        </w:rPr>
        <w:t>二、合同工期</w:t>
      </w:r>
      <w:bookmarkEnd w:id="140"/>
      <w:bookmarkEnd w:id="141"/>
    </w:p>
    <w:p w14:paraId="5A8AA953">
      <w:pPr>
        <w:spacing w:line="360" w:lineRule="auto"/>
        <w:ind w:firstLine="459"/>
        <w:rPr>
          <w:color w:val="auto"/>
          <w:sz w:val="21"/>
          <w:szCs w:val="21"/>
          <w:highlight w:val="none"/>
        </w:rPr>
      </w:pPr>
      <w:r>
        <w:rPr>
          <w:rFonts w:hint="eastAsia" w:hAnsi="宋体" w:cs="宋体"/>
          <w:color w:val="auto"/>
          <w:sz w:val="21"/>
          <w:szCs w:val="21"/>
          <w:highlight w:val="none"/>
        </w:rPr>
        <w:t>计划开工日期：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（具体以发包人书面通知为准）</w:t>
      </w:r>
    </w:p>
    <w:p w14:paraId="5B31D167">
      <w:pPr>
        <w:spacing w:line="360" w:lineRule="auto"/>
        <w:ind w:firstLine="459"/>
        <w:rPr>
          <w:color w:val="auto"/>
          <w:sz w:val="21"/>
          <w:szCs w:val="21"/>
          <w:highlight w:val="none"/>
        </w:rPr>
      </w:pPr>
      <w:r>
        <w:rPr>
          <w:rFonts w:hint="eastAsia" w:hAnsi="宋体" w:cs="宋体"/>
          <w:color w:val="auto"/>
          <w:sz w:val="21"/>
          <w:szCs w:val="21"/>
          <w:highlight w:val="none"/>
        </w:rPr>
        <w:t>计划竣工日期：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w:t>
      </w:r>
    </w:p>
    <w:p w14:paraId="68B50665">
      <w:pPr>
        <w:spacing w:line="360" w:lineRule="auto"/>
        <w:ind w:firstLine="459"/>
        <w:rPr>
          <w:rFonts w:hAnsi="宋体"/>
          <w:color w:val="auto"/>
          <w:sz w:val="21"/>
          <w:szCs w:val="21"/>
          <w:highlight w:val="none"/>
        </w:rPr>
      </w:pPr>
      <w:r>
        <w:rPr>
          <w:rFonts w:hint="eastAsia" w:hAnsi="宋体" w:cs="宋体"/>
          <w:color w:val="auto"/>
          <w:sz w:val="21"/>
          <w:szCs w:val="21"/>
          <w:highlight w:val="none"/>
        </w:rPr>
        <w:t>工期总日历天数：</w:t>
      </w:r>
      <w:r>
        <w:rPr>
          <w:rFonts w:hint="eastAsia" w:hAnsi="宋体" w:cs="宋体"/>
          <w:color w:val="auto"/>
          <w:sz w:val="21"/>
          <w:szCs w:val="21"/>
          <w:highlight w:val="none"/>
          <w:u w:val="single"/>
          <w:lang w:val="en-US" w:eastAsia="zh-CN"/>
        </w:rPr>
        <w:t>150日历天</w:t>
      </w:r>
      <w:r>
        <w:rPr>
          <w:rFonts w:hint="eastAsia" w:hAnsi="宋体" w:cs="宋体"/>
          <w:color w:val="auto"/>
          <w:sz w:val="21"/>
          <w:szCs w:val="21"/>
          <w:highlight w:val="none"/>
        </w:rPr>
        <w:t>。工期总日历天数与根据前述计划开竣工日期计算的工期天数不一致的，以工期总日历天数为准。</w:t>
      </w:r>
    </w:p>
    <w:p w14:paraId="603543B2">
      <w:pPr>
        <w:spacing w:line="360" w:lineRule="auto"/>
        <w:ind w:firstLine="459"/>
        <w:outlineLvl w:val="0"/>
        <w:rPr>
          <w:b/>
          <w:bCs/>
          <w:color w:val="auto"/>
          <w:sz w:val="21"/>
          <w:szCs w:val="21"/>
          <w:highlight w:val="none"/>
        </w:rPr>
      </w:pPr>
      <w:bookmarkStart w:id="142" w:name="_Toc32644"/>
      <w:bookmarkStart w:id="143" w:name="_Toc351203483"/>
      <w:r>
        <w:rPr>
          <w:rFonts w:hint="eastAsia" w:hAnsi="宋体" w:cs="宋体"/>
          <w:b/>
          <w:bCs/>
          <w:color w:val="auto"/>
          <w:sz w:val="21"/>
          <w:szCs w:val="21"/>
          <w:highlight w:val="none"/>
        </w:rPr>
        <w:t>三、质量标准</w:t>
      </w:r>
      <w:bookmarkEnd w:id="142"/>
      <w:bookmarkEnd w:id="143"/>
    </w:p>
    <w:p w14:paraId="233A3E9D">
      <w:pPr>
        <w:spacing w:line="360" w:lineRule="auto"/>
        <w:ind w:firstLine="459"/>
        <w:rPr>
          <w:rFonts w:hAnsi="宋体"/>
          <w:color w:val="auto"/>
          <w:sz w:val="21"/>
          <w:szCs w:val="21"/>
          <w:highlight w:val="none"/>
        </w:rPr>
      </w:pPr>
      <w:r>
        <w:rPr>
          <w:rFonts w:hint="eastAsia" w:hAnsi="宋体" w:cs="宋体"/>
          <w:color w:val="auto"/>
          <w:sz w:val="21"/>
          <w:szCs w:val="21"/>
          <w:highlight w:val="none"/>
        </w:rPr>
        <w:t>工程质量符合</w:t>
      </w:r>
      <w:r>
        <w:rPr>
          <w:rFonts w:ascii="Calibri" w:hAnsi="宋体" w:eastAsia="宋体" w:cs="Times New Roman"/>
          <w:color w:val="auto"/>
          <w:sz w:val="21"/>
          <w:szCs w:val="21"/>
          <w:highlight w:val="none"/>
          <w:u w:val="single"/>
        </w:rPr>
        <w:t>国家现行施工验收规范合格标准</w:t>
      </w:r>
      <w:r>
        <w:rPr>
          <w:rFonts w:hint="eastAsia" w:hAnsi="宋体" w:cs="宋体"/>
          <w:color w:val="auto"/>
          <w:sz w:val="21"/>
          <w:szCs w:val="21"/>
          <w:highlight w:val="none"/>
        </w:rPr>
        <w:t>。</w:t>
      </w:r>
    </w:p>
    <w:p w14:paraId="1A36D4BD">
      <w:pPr>
        <w:spacing w:line="360" w:lineRule="auto"/>
        <w:ind w:firstLine="459"/>
        <w:outlineLvl w:val="0"/>
        <w:rPr>
          <w:rFonts w:hAnsi="宋体"/>
          <w:b/>
          <w:bCs/>
          <w:color w:val="auto"/>
          <w:sz w:val="21"/>
          <w:szCs w:val="21"/>
          <w:highlight w:val="none"/>
        </w:rPr>
      </w:pPr>
      <w:bookmarkStart w:id="144" w:name="_Toc351203484"/>
      <w:bookmarkStart w:id="145" w:name="_Toc17131"/>
      <w:r>
        <w:rPr>
          <w:rFonts w:hint="eastAsia" w:hAnsi="宋体" w:cs="宋体"/>
          <w:b/>
          <w:bCs/>
          <w:color w:val="auto"/>
          <w:sz w:val="21"/>
          <w:szCs w:val="21"/>
          <w:highlight w:val="none"/>
        </w:rPr>
        <w:t>四、签约合同价与合同价格形式</w:t>
      </w:r>
      <w:bookmarkEnd w:id="144"/>
      <w:bookmarkEnd w:id="145"/>
    </w:p>
    <w:p w14:paraId="10FDCB8F">
      <w:pPr>
        <w:spacing w:line="360" w:lineRule="auto"/>
        <w:ind w:firstLine="459"/>
        <w:rPr>
          <w:color w:val="auto"/>
          <w:sz w:val="21"/>
          <w:szCs w:val="21"/>
          <w:highlight w:val="none"/>
        </w:rPr>
      </w:pPr>
      <w:r>
        <w:rPr>
          <w:color w:val="auto"/>
          <w:sz w:val="21"/>
          <w:szCs w:val="21"/>
          <w:highlight w:val="none"/>
        </w:rPr>
        <w:t>1.</w:t>
      </w:r>
      <w:r>
        <w:rPr>
          <w:rFonts w:hint="eastAsia" w:hAnsi="宋体" w:cs="宋体"/>
          <w:color w:val="auto"/>
          <w:sz w:val="21"/>
          <w:szCs w:val="21"/>
          <w:highlight w:val="none"/>
        </w:rPr>
        <w:t>签约合同价为：</w:t>
      </w:r>
    </w:p>
    <w:p w14:paraId="6EA95851">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30D15BFB">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其中：</w:t>
      </w:r>
    </w:p>
    <w:p w14:paraId="646780BC">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）安全文明施工费：</w:t>
      </w:r>
    </w:p>
    <w:p w14:paraId="68253EE2">
      <w:pPr>
        <w:spacing w:line="360" w:lineRule="auto"/>
        <w:ind w:left="400" w:leftChars="200"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13B13A4B">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）材料和工程设备暂估价金额：</w:t>
      </w:r>
    </w:p>
    <w:p w14:paraId="4DB50783">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210A947">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）专业工程暂估价金额：</w:t>
      </w:r>
    </w:p>
    <w:p w14:paraId="40180048">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697B3628">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）暂列金额：</w:t>
      </w:r>
    </w:p>
    <w:p w14:paraId="281BF1F2">
      <w:pPr>
        <w:spacing w:line="360" w:lineRule="auto"/>
        <w:ind w:firstLine="945" w:firstLineChars="4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85828E2">
      <w:pPr>
        <w:spacing w:line="360" w:lineRule="auto"/>
        <w:ind w:firstLine="420" w:firstLineChars="200"/>
        <w:rPr>
          <w:rFonts w:hint="eastAsia" w:hAnsi="宋体"/>
          <w:color w:val="auto"/>
          <w:sz w:val="21"/>
          <w:szCs w:val="21"/>
          <w:highlight w:val="none"/>
        </w:rPr>
      </w:pPr>
      <w:r>
        <w:rPr>
          <w:color w:val="auto"/>
          <w:sz w:val="21"/>
          <w:szCs w:val="21"/>
          <w:highlight w:val="none"/>
        </w:rPr>
        <w:t>2.</w:t>
      </w:r>
      <w:r>
        <w:rPr>
          <w:rFonts w:hint="eastAsia" w:hAnsi="宋体" w:cs="宋体"/>
          <w:color w:val="auto"/>
          <w:sz w:val="21"/>
          <w:szCs w:val="21"/>
          <w:highlight w:val="none"/>
        </w:rPr>
        <w:t>合同价格形式</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综合单价合同</w:t>
      </w:r>
      <w:r>
        <w:rPr>
          <w:rFonts w:hint="eastAsia" w:hAnsi="宋体" w:cs="宋体"/>
          <w:color w:val="auto"/>
          <w:sz w:val="21"/>
          <w:szCs w:val="21"/>
          <w:highlight w:val="none"/>
          <w:u w:val="single"/>
        </w:rPr>
        <w:t>。</w:t>
      </w:r>
    </w:p>
    <w:p w14:paraId="09351E58">
      <w:pPr>
        <w:spacing w:line="360" w:lineRule="auto"/>
        <w:ind w:firstLine="422" w:firstLineChars="200"/>
        <w:outlineLvl w:val="0"/>
        <w:rPr>
          <w:b/>
          <w:bCs/>
          <w:color w:val="auto"/>
          <w:sz w:val="21"/>
          <w:szCs w:val="21"/>
          <w:highlight w:val="none"/>
        </w:rPr>
      </w:pPr>
      <w:bookmarkStart w:id="146" w:name="_Toc351203485"/>
      <w:bookmarkStart w:id="147" w:name="_Toc26356"/>
      <w:r>
        <w:rPr>
          <w:rFonts w:hint="eastAsia" w:hAnsi="宋体" w:cs="宋体"/>
          <w:b/>
          <w:bCs/>
          <w:color w:val="auto"/>
          <w:sz w:val="21"/>
          <w:szCs w:val="21"/>
          <w:highlight w:val="none"/>
        </w:rPr>
        <w:t>五、</w:t>
      </w:r>
      <w:bookmarkEnd w:id="146"/>
      <w:r>
        <w:rPr>
          <w:rFonts w:hint="eastAsia" w:hAnsi="宋体" w:cs="宋体"/>
          <w:b/>
          <w:bCs/>
          <w:color w:val="auto"/>
          <w:sz w:val="21"/>
          <w:szCs w:val="21"/>
          <w:highlight w:val="none"/>
        </w:rPr>
        <w:t>项目经理</w:t>
      </w:r>
      <w:bookmarkEnd w:id="147"/>
    </w:p>
    <w:p w14:paraId="4CCAA7B9">
      <w:pPr>
        <w:spacing w:line="360" w:lineRule="auto"/>
        <w:ind w:firstLine="420" w:firstLineChars="200"/>
        <w:rPr>
          <w:rFonts w:hAnsi="宋体"/>
          <w:color w:val="auto"/>
          <w:sz w:val="21"/>
          <w:szCs w:val="21"/>
          <w:highlight w:val="none"/>
          <w:u w:val="single"/>
        </w:rPr>
      </w:pPr>
      <w:r>
        <w:rPr>
          <w:rFonts w:hint="eastAsia" w:hAnsi="宋体" w:cs="宋体"/>
          <w:color w:val="auto"/>
          <w:sz w:val="21"/>
          <w:szCs w:val="21"/>
          <w:highlight w:val="none"/>
        </w:rPr>
        <w:t>承包人项目经理</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（姓名和注册证书编号）</w:t>
      </w:r>
      <w:r>
        <w:rPr>
          <w:rFonts w:hint="eastAsia" w:hAnsi="宋体" w:cs="宋体"/>
          <w:color w:val="auto"/>
          <w:sz w:val="21"/>
          <w:szCs w:val="21"/>
          <w:highlight w:val="none"/>
          <w:u w:val="single"/>
        </w:rPr>
        <w:t>。</w:t>
      </w:r>
    </w:p>
    <w:p w14:paraId="1E918DFB">
      <w:pPr>
        <w:spacing w:line="360" w:lineRule="auto"/>
        <w:ind w:firstLine="422" w:firstLineChars="200"/>
        <w:outlineLvl w:val="0"/>
        <w:rPr>
          <w:b/>
          <w:bCs/>
          <w:color w:val="auto"/>
          <w:sz w:val="21"/>
          <w:szCs w:val="21"/>
          <w:highlight w:val="none"/>
        </w:rPr>
      </w:pPr>
      <w:bookmarkStart w:id="148" w:name="_Toc351203486"/>
      <w:bookmarkStart w:id="149" w:name="_Toc1554"/>
      <w:r>
        <w:rPr>
          <w:rFonts w:hint="eastAsia" w:hAnsi="宋体" w:cs="宋体"/>
          <w:b/>
          <w:bCs/>
          <w:color w:val="auto"/>
          <w:sz w:val="21"/>
          <w:szCs w:val="21"/>
          <w:highlight w:val="none"/>
        </w:rPr>
        <w:t>六、合同文件构成</w:t>
      </w:r>
      <w:bookmarkEnd w:id="148"/>
      <w:bookmarkEnd w:id="149"/>
    </w:p>
    <w:p w14:paraId="40AF9B97">
      <w:pPr>
        <w:spacing w:line="360" w:lineRule="auto"/>
        <w:ind w:firstLine="420" w:firstLineChars="200"/>
        <w:rPr>
          <w:color w:val="auto"/>
          <w:sz w:val="21"/>
          <w:szCs w:val="21"/>
          <w:highlight w:val="none"/>
        </w:rPr>
      </w:pPr>
      <w:r>
        <w:rPr>
          <w:rFonts w:hint="eastAsia" w:hAnsi="宋体" w:cs="宋体"/>
          <w:color w:val="auto"/>
          <w:sz w:val="21"/>
          <w:szCs w:val="21"/>
          <w:highlight w:val="none"/>
        </w:rPr>
        <w:t>本协议书与下列文件一起构成合同文件：</w:t>
      </w:r>
    </w:p>
    <w:p w14:paraId="1C11A58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）中标通知书（如有）；</w:t>
      </w:r>
    </w:p>
    <w:p w14:paraId="50022BAC">
      <w:pPr>
        <w:autoSpaceDE w:val="0"/>
        <w:autoSpaceDN w:val="0"/>
        <w:adjustRightInd w:val="0"/>
        <w:spacing w:line="360" w:lineRule="auto"/>
        <w:ind w:firstLine="420" w:firstLineChars="200"/>
        <w:jc w:val="left"/>
        <w:rPr>
          <w:rFonts w:hint="eastAsia" w:eastAsia="宋体"/>
          <w:color w:val="auto"/>
          <w:sz w:val="21"/>
          <w:szCs w:val="21"/>
          <w:highlight w:val="none"/>
          <w:lang w:eastAsia="zh-CN"/>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）投标函及其附录（如有）；</w:t>
      </w:r>
    </w:p>
    <w:p w14:paraId="5CA6B89E">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）专用合同条款及其附件；</w:t>
      </w:r>
    </w:p>
    <w:p w14:paraId="149B9FE9">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（4）通用合同条款；</w:t>
      </w:r>
    </w:p>
    <w:p w14:paraId="323DE131">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（5）技术标准和要求； </w:t>
      </w:r>
    </w:p>
    <w:p w14:paraId="5DB0219A">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（6）图纸； </w:t>
      </w:r>
    </w:p>
    <w:p w14:paraId="7CDB691D">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 xml:space="preserve">（7）已标价工程量清单； </w:t>
      </w:r>
    </w:p>
    <w:p w14:paraId="5F159C37">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（8）其他合同文件：双方在合同履行过程中书面确认的会议纪要、工程变更指令、现场签证单等。</w:t>
      </w:r>
    </w:p>
    <w:p w14:paraId="6AC1BEB0">
      <w:pPr>
        <w:autoSpaceDE w:val="0"/>
        <w:autoSpaceDN w:val="0"/>
        <w:adjustRightInd w:val="0"/>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sz w:val="21"/>
          <w:szCs w:val="21"/>
          <w:highlight w:val="none"/>
        </w:rPr>
        <w:t>实质性内容的约定除外</w:t>
      </w:r>
      <w:r>
        <w:rPr>
          <w:rFonts w:hint="eastAsia" w:hAnsi="宋体" w:cs="宋体"/>
          <w:color w:val="auto"/>
          <w:sz w:val="21"/>
          <w:szCs w:val="21"/>
          <w:highlight w:val="none"/>
        </w:rPr>
        <w:t>）。专用合同条款及其附件须经合同当事人签字或盖章。</w:t>
      </w:r>
    </w:p>
    <w:p w14:paraId="47C1743E">
      <w:pPr>
        <w:autoSpaceDE w:val="0"/>
        <w:autoSpaceDN w:val="0"/>
        <w:adjustRightInd w:val="0"/>
        <w:spacing w:line="360" w:lineRule="auto"/>
        <w:ind w:firstLine="422" w:firstLineChars="200"/>
        <w:jc w:val="left"/>
        <w:outlineLvl w:val="0"/>
        <w:rPr>
          <w:b/>
          <w:bCs/>
          <w:color w:val="auto"/>
          <w:sz w:val="21"/>
          <w:szCs w:val="21"/>
          <w:highlight w:val="none"/>
        </w:rPr>
      </w:pPr>
      <w:bookmarkStart w:id="150" w:name="_Toc351203487"/>
      <w:bookmarkStart w:id="151" w:name="_Toc17721"/>
      <w:r>
        <w:rPr>
          <w:rFonts w:hint="eastAsia" w:hAnsi="宋体" w:cs="宋体"/>
          <w:b/>
          <w:bCs/>
          <w:color w:val="auto"/>
          <w:sz w:val="21"/>
          <w:szCs w:val="21"/>
          <w:highlight w:val="none"/>
        </w:rPr>
        <w:t>七、承诺</w:t>
      </w:r>
      <w:bookmarkEnd w:id="150"/>
      <w:bookmarkEnd w:id="151"/>
    </w:p>
    <w:p w14:paraId="18A6E001">
      <w:pPr>
        <w:autoSpaceDE w:val="0"/>
        <w:autoSpaceDN w:val="0"/>
        <w:adjustRightInd w:val="0"/>
        <w:spacing w:line="360" w:lineRule="auto"/>
        <w:ind w:firstLine="420" w:firstLineChars="200"/>
        <w:jc w:val="left"/>
        <w:rPr>
          <w:rFonts w:hint="eastAsia" w:hAnsi="宋体" w:cs="宋体"/>
          <w:color w:val="auto"/>
          <w:sz w:val="21"/>
          <w:szCs w:val="21"/>
          <w:highlight w:val="none"/>
        </w:rPr>
      </w:pPr>
      <w:bookmarkStart w:id="152" w:name="_Toc14253"/>
      <w:bookmarkStart w:id="153" w:name="_Toc351203488"/>
      <w:r>
        <w:rPr>
          <w:rFonts w:hint="eastAsia" w:hAnsi="宋体" w:cs="宋体"/>
          <w:color w:val="auto"/>
          <w:sz w:val="21"/>
          <w:szCs w:val="21"/>
          <w:highlight w:val="none"/>
        </w:rPr>
        <w:t>1.发包人承诺按照法律规定履行项目审批手续、筹集工程建设资金并按照合同约定的期限和方式支付合同价款。</w:t>
      </w:r>
    </w:p>
    <w:p w14:paraId="75D200FB">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7F981E13">
      <w:pPr>
        <w:autoSpaceDE w:val="0"/>
        <w:autoSpaceDN w:val="0"/>
        <w:adjustRightInd w:val="0"/>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3.发包人和承包人通过招投标形式签订合同的，双方理解并承诺不再就同一工程另行签订与合同实质性内容相背离的协议。</w:t>
      </w:r>
    </w:p>
    <w:p w14:paraId="40E4269F">
      <w:pPr>
        <w:autoSpaceDE w:val="0"/>
        <w:autoSpaceDN w:val="0"/>
        <w:adjustRightInd w:val="0"/>
        <w:spacing w:line="360" w:lineRule="auto"/>
        <w:ind w:firstLine="420" w:firstLineChars="200"/>
        <w:jc w:val="lef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4.工程质量达到 国家现行施工验收规范合格标准，混凝土必须要有试验配合比，强度必须满足设计要求，且应有试块的试验报告（试块应在项目监理监督下现场由乙方随机制取，并将试块报送有资质的检测公司进行检测）；工程安全目标：无生产安全事故。</w:t>
      </w:r>
    </w:p>
    <w:p w14:paraId="405BBBF1">
      <w:pPr>
        <w:spacing w:line="360" w:lineRule="auto"/>
        <w:ind w:firstLine="420" w:firstLineChars="200"/>
        <w:outlineLvl w:val="0"/>
        <w:rPr>
          <w:b/>
          <w:bCs/>
          <w:color w:val="auto"/>
          <w:sz w:val="21"/>
          <w:szCs w:val="21"/>
          <w:highlight w:val="none"/>
        </w:rPr>
      </w:pPr>
      <w:r>
        <w:rPr>
          <w:rFonts w:hint="eastAsia" w:hAnsi="宋体" w:cs="宋体"/>
          <w:color w:val="auto"/>
          <w:sz w:val="21"/>
          <w:szCs w:val="21"/>
          <w:highlight w:val="none"/>
          <w:lang w:val="en-US" w:eastAsia="zh-CN"/>
        </w:rPr>
        <w:t>5、承包人承诺在施工过程严格按照项目施工图设计要求进行施工，开挖产生的土石方尽量就地利用到项目施工用料，开挖产生的土石方等施工废料不能随意堆弃至道路下方坡面（特别是坡度比较陡的路段和石头山地路段），禁止滚落压占生态红线保护区，同时避免产生项目施工带来的水土流失。</w:t>
      </w:r>
      <w:r>
        <w:rPr>
          <w:rFonts w:hint="eastAsia" w:hAnsi="宋体" w:cs="宋体"/>
          <w:b/>
          <w:bCs/>
          <w:color w:val="auto"/>
          <w:sz w:val="21"/>
          <w:szCs w:val="21"/>
          <w:highlight w:val="none"/>
        </w:rPr>
        <w:t>八、词语含义</w:t>
      </w:r>
      <w:bookmarkEnd w:id="152"/>
      <w:bookmarkEnd w:id="153"/>
    </w:p>
    <w:p w14:paraId="1E5B314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本协议书中词语含义与第二部分通用合同条款中赋予的含义相同。</w:t>
      </w:r>
    </w:p>
    <w:p w14:paraId="203065E2">
      <w:pPr>
        <w:spacing w:line="360" w:lineRule="auto"/>
        <w:ind w:firstLine="422" w:firstLineChars="200"/>
        <w:outlineLvl w:val="0"/>
        <w:rPr>
          <w:b/>
          <w:bCs/>
          <w:color w:val="auto"/>
          <w:sz w:val="21"/>
          <w:szCs w:val="21"/>
          <w:highlight w:val="none"/>
        </w:rPr>
      </w:pPr>
      <w:bookmarkStart w:id="154" w:name="_Toc72"/>
      <w:bookmarkStart w:id="155" w:name="_Toc351203489"/>
      <w:r>
        <w:rPr>
          <w:rFonts w:hint="eastAsia" w:hAnsi="宋体" w:cs="宋体"/>
          <w:b/>
          <w:bCs/>
          <w:color w:val="auto"/>
          <w:sz w:val="21"/>
          <w:szCs w:val="21"/>
          <w:highlight w:val="none"/>
        </w:rPr>
        <w:t>九、签订时间</w:t>
      </w:r>
      <w:bookmarkEnd w:id="154"/>
      <w:bookmarkEnd w:id="155"/>
    </w:p>
    <w:p w14:paraId="089530D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本合同于年月日签订。</w:t>
      </w:r>
    </w:p>
    <w:p w14:paraId="6450D0AB">
      <w:pPr>
        <w:spacing w:line="360" w:lineRule="auto"/>
        <w:ind w:firstLine="422" w:firstLineChars="200"/>
        <w:outlineLvl w:val="0"/>
        <w:rPr>
          <w:b/>
          <w:bCs/>
          <w:color w:val="auto"/>
          <w:sz w:val="21"/>
          <w:szCs w:val="21"/>
          <w:highlight w:val="none"/>
        </w:rPr>
      </w:pPr>
      <w:bookmarkStart w:id="156" w:name="_Toc351203490"/>
      <w:bookmarkStart w:id="157" w:name="_Toc30593"/>
      <w:r>
        <w:rPr>
          <w:rFonts w:hint="eastAsia" w:hAnsi="宋体" w:cs="宋体"/>
          <w:b/>
          <w:bCs/>
          <w:color w:val="auto"/>
          <w:sz w:val="21"/>
          <w:szCs w:val="21"/>
          <w:highlight w:val="none"/>
        </w:rPr>
        <w:t>十、签订地点</w:t>
      </w:r>
      <w:bookmarkEnd w:id="156"/>
      <w:bookmarkEnd w:id="157"/>
    </w:p>
    <w:p w14:paraId="57379F11">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本合同在</w:t>
      </w:r>
      <w:r>
        <w:rPr>
          <w:rFonts w:hint="eastAsia"/>
          <w:color w:val="auto"/>
          <w:sz w:val="21"/>
          <w:szCs w:val="21"/>
          <w:highlight w:val="none"/>
          <w:u w:val="single"/>
          <w:lang w:val="en-US" w:eastAsia="zh-CN"/>
        </w:rPr>
        <w:t>广西政府采购云平台上</w:t>
      </w:r>
      <w:r>
        <w:rPr>
          <w:rFonts w:hint="eastAsia" w:hAnsi="宋体" w:cs="宋体"/>
          <w:color w:val="auto"/>
          <w:sz w:val="21"/>
          <w:szCs w:val="21"/>
          <w:highlight w:val="none"/>
        </w:rPr>
        <w:t>签订。</w:t>
      </w:r>
    </w:p>
    <w:p w14:paraId="53E38B12">
      <w:pPr>
        <w:spacing w:line="360" w:lineRule="auto"/>
        <w:ind w:firstLine="422" w:firstLineChars="200"/>
        <w:outlineLvl w:val="0"/>
        <w:rPr>
          <w:b/>
          <w:bCs/>
          <w:color w:val="auto"/>
          <w:sz w:val="21"/>
          <w:szCs w:val="21"/>
          <w:highlight w:val="none"/>
        </w:rPr>
      </w:pPr>
      <w:bookmarkStart w:id="158" w:name="_Toc19433"/>
      <w:bookmarkStart w:id="159" w:name="_Toc351203491"/>
      <w:r>
        <w:rPr>
          <w:rFonts w:hint="eastAsia" w:hAnsi="宋体" w:cs="宋体"/>
          <w:b/>
          <w:bCs/>
          <w:color w:val="auto"/>
          <w:sz w:val="21"/>
          <w:szCs w:val="21"/>
          <w:highlight w:val="none"/>
        </w:rPr>
        <w:t>十一、补充协议</w:t>
      </w:r>
      <w:bookmarkEnd w:id="158"/>
      <w:bookmarkEnd w:id="159"/>
    </w:p>
    <w:p w14:paraId="49B865C3">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合同未尽事宜，合同当事人另行签订补充协议，补充协议是合同的组成部分。</w:t>
      </w:r>
    </w:p>
    <w:p w14:paraId="598757A0">
      <w:pPr>
        <w:spacing w:line="360" w:lineRule="auto"/>
        <w:ind w:firstLine="422" w:firstLineChars="200"/>
        <w:outlineLvl w:val="0"/>
        <w:rPr>
          <w:b/>
          <w:bCs/>
          <w:color w:val="auto"/>
          <w:sz w:val="21"/>
          <w:szCs w:val="21"/>
          <w:highlight w:val="none"/>
        </w:rPr>
      </w:pPr>
      <w:bookmarkStart w:id="160" w:name="_Toc351203492"/>
      <w:bookmarkStart w:id="161" w:name="_Toc22760"/>
      <w:r>
        <w:rPr>
          <w:rFonts w:hint="eastAsia" w:hAnsi="宋体" w:cs="宋体"/>
          <w:b/>
          <w:bCs/>
          <w:color w:val="auto"/>
          <w:sz w:val="21"/>
          <w:szCs w:val="21"/>
          <w:highlight w:val="none"/>
        </w:rPr>
        <w:t>十二、合同生效</w:t>
      </w:r>
      <w:bookmarkEnd w:id="160"/>
      <w:bookmarkEnd w:id="161"/>
    </w:p>
    <w:p w14:paraId="54926542">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本合同自</w:t>
      </w:r>
      <w:r>
        <w:rPr>
          <w:rFonts w:hint="eastAsia" w:hAnsi="宋体"/>
          <w:bCs/>
          <w:color w:val="auto"/>
          <w:sz w:val="21"/>
          <w:szCs w:val="21"/>
          <w:highlight w:val="none"/>
          <w:u w:val="single"/>
        </w:rPr>
        <w:t>双方法定代表人或委托代理人签字或盖章并加盖单位公章</w:t>
      </w:r>
      <w:r>
        <w:rPr>
          <w:rFonts w:hint="eastAsia" w:hAnsi="宋体"/>
          <w:bCs/>
          <w:color w:val="auto"/>
          <w:sz w:val="21"/>
          <w:szCs w:val="21"/>
          <w:highlight w:val="none"/>
        </w:rPr>
        <w:t>后</w:t>
      </w:r>
      <w:r>
        <w:rPr>
          <w:rFonts w:hint="eastAsia" w:hAnsi="宋体" w:cs="宋体"/>
          <w:color w:val="auto"/>
          <w:sz w:val="21"/>
          <w:szCs w:val="21"/>
          <w:highlight w:val="none"/>
        </w:rPr>
        <w:t>生效。</w:t>
      </w:r>
    </w:p>
    <w:p w14:paraId="11F6ED69">
      <w:pPr>
        <w:spacing w:line="360" w:lineRule="auto"/>
        <w:ind w:firstLine="422" w:firstLineChars="200"/>
        <w:outlineLvl w:val="0"/>
        <w:rPr>
          <w:b/>
          <w:bCs/>
          <w:color w:val="auto"/>
          <w:sz w:val="21"/>
          <w:szCs w:val="21"/>
          <w:highlight w:val="none"/>
        </w:rPr>
      </w:pPr>
      <w:bookmarkStart w:id="162" w:name="_Toc351203493"/>
      <w:bookmarkStart w:id="163" w:name="_Toc10743"/>
      <w:r>
        <w:rPr>
          <w:rFonts w:hint="eastAsia" w:hAnsi="宋体" w:cs="宋体"/>
          <w:b/>
          <w:bCs/>
          <w:color w:val="auto"/>
          <w:sz w:val="21"/>
          <w:szCs w:val="21"/>
          <w:highlight w:val="none"/>
        </w:rPr>
        <w:t>十三、合同份数</w:t>
      </w:r>
      <w:bookmarkEnd w:id="162"/>
      <w:bookmarkEnd w:id="163"/>
    </w:p>
    <w:p w14:paraId="6E84F4D5">
      <w:pPr>
        <w:spacing w:line="360" w:lineRule="auto"/>
        <w:ind w:firstLine="420" w:firstLineChars="200"/>
        <w:rPr>
          <w:rFonts w:hint="eastAsia" w:eastAsia="宋体"/>
          <w:color w:val="auto"/>
          <w:sz w:val="21"/>
          <w:szCs w:val="21"/>
          <w:highlight w:val="none"/>
          <w:lang w:eastAsia="zh-CN"/>
        </w:rPr>
      </w:pPr>
      <w:r>
        <w:rPr>
          <w:rFonts w:hint="eastAsia" w:hAnsi="宋体" w:cs="宋体"/>
          <w:color w:val="auto"/>
          <w:sz w:val="21"/>
          <w:szCs w:val="21"/>
          <w:highlight w:val="none"/>
          <w:lang w:eastAsia="zh-CN"/>
        </w:rPr>
        <w:t>本合同采用电子签约方式签订，同时，签约双方根据需要另行约定纸质合同份数，纸质合同份数以实际归档及备案需求为准。</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3"/>
        <w:gridCol w:w="4443"/>
      </w:tblGrid>
      <w:tr w14:paraId="26CE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4443" w:type="dxa"/>
          </w:tcPr>
          <w:p w14:paraId="71312CAE">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发包人：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c>
          <w:tcPr>
            <w:tcW w:w="4443" w:type="dxa"/>
          </w:tcPr>
          <w:p w14:paraId="52CE6C76">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承包人：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r>
      <w:tr w14:paraId="2F58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4443" w:type="dxa"/>
          </w:tcPr>
          <w:p w14:paraId="2AA0E3CB">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21E296E0">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c>
          <w:tcPr>
            <w:tcW w:w="4443" w:type="dxa"/>
            <w:shd w:val="clear" w:color="auto" w:fill="auto"/>
            <w:vAlign w:val="top"/>
          </w:tcPr>
          <w:p w14:paraId="0BC5785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1DFEE29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r>
      <w:tr w14:paraId="1F15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EA369BC">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统一社会信用代码：</w:t>
            </w:r>
          </w:p>
        </w:tc>
        <w:tc>
          <w:tcPr>
            <w:tcW w:w="4443" w:type="dxa"/>
            <w:shd w:val="clear" w:color="auto" w:fill="auto"/>
            <w:vAlign w:val="top"/>
          </w:tcPr>
          <w:p w14:paraId="3132C49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统一社会信用代码：</w:t>
            </w:r>
          </w:p>
        </w:tc>
      </w:tr>
      <w:tr w14:paraId="437D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60B44F9">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地址：</w:t>
            </w:r>
          </w:p>
        </w:tc>
        <w:tc>
          <w:tcPr>
            <w:tcW w:w="4443" w:type="dxa"/>
            <w:shd w:val="clear" w:color="auto" w:fill="auto"/>
            <w:vAlign w:val="top"/>
          </w:tcPr>
          <w:p w14:paraId="18B6B5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地址：</w:t>
            </w:r>
          </w:p>
        </w:tc>
      </w:tr>
      <w:tr w14:paraId="0E16B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4965B264">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邮政编码：</w:t>
            </w:r>
          </w:p>
        </w:tc>
        <w:tc>
          <w:tcPr>
            <w:tcW w:w="4443" w:type="dxa"/>
            <w:shd w:val="clear" w:color="auto" w:fill="auto"/>
            <w:vAlign w:val="top"/>
          </w:tcPr>
          <w:p w14:paraId="577A419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邮政编码：</w:t>
            </w:r>
          </w:p>
        </w:tc>
      </w:tr>
      <w:tr w14:paraId="6D54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E26D6A">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法定代表人：</w:t>
            </w:r>
          </w:p>
        </w:tc>
        <w:tc>
          <w:tcPr>
            <w:tcW w:w="4443" w:type="dxa"/>
            <w:shd w:val="clear" w:color="auto" w:fill="auto"/>
            <w:vAlign w:val="top"/>
          </w:tcPr>
          <w:p w14:paraId="435DB04C">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法定代表人：</w:t>
            </w:r>
          </w:p>
        </w:tc>
      </w:tr>
      <w:tr w14:paraId="3575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0D07B38">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委托代理人：</w:t>
            </w:r>
          </w:p>
        </w:tc>
        <w:tc>
          <w:tcPr>
            <w:tcW w:w="4443" w:type="dxa"/>
            <w:shd w:val="clear" w:color="auto" w:fill="auto"/>
            <w:vAlign w:val="top"/>
          </w:tcPr>
          <w:p w14:paraId="36159CA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委托代理人：</w:t>
            </w:r>
          </w:p>
        </w:tc>
      </w:tr>
      <w:tr w14:paraId="68CF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71EAEFD">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电话：</w:t>
            </w:r>
          </w:p>
        </w:tc>
        <w:tc>
          <w:tcPr>
            <w:tcW w:w="4443" w:type="dxa"/>
            <w:shd w:val="clear" w:color="auto" w:fill="auto"/>
            <w:vAlign w:val="top"/>
          </w:tcPr>
          <w:p w14:paraId="4B9D1B1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电话：</w:t>
            </w:r>
          </w:p>
        </w:tc>
      </w:tr>
      <w:tr w14:paraId="323A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16AE11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传真：</w:t>
            </w:r>
          </w:p>
        </w:tc>
        <w:tc>
          <w:tcPr>
            <w:tcW w:w="4443" w:type="dxa"/>
            <w:shd w:val="clear" w:color="auto" w:fill="auto"/>
            <w:vAlign w:val="top"/>
          </w:tcPr>
          <w:p w14:paraId="6CC37CD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传真：</w:t>
            </w:r>
          </w:p>
        </w:tc>
      </w:tr>
      <w:tr w14:paraId="317F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354F9E9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电子信箱：</w:t>
            </w:r>
          </w:p>
        </w:tc>
        <w:tc>
          <w:tcPr>
            <w:tcW w:w="4443" w:type="dxa"/>
            <w:shd w:val="clear" w:color="auto" w:fill="auto"/>
            <w:vAlign w:val="top"/>
          </w:tcPr>
          <w:p w14:paraId="0CBA907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电子信箱：</w:t>
            </w:r>
          </w:p>
        </w:tc>
      </w:tr>
      <w:tr w14:paraId="029C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0D4E96">
            <w:pPr>
              <w:keepNext w:val="0"/>
              <w:keepLines w:val="0"/>
              <w:suppressLineNumbers w:val="0"/>
              <w:spacing w:before="0" w:beforeAutospacing="0" w:after="0" w:afterAutospacing="0" w:line="360" w:lineRule="auto"/>
              <w:ind w:left="0" w:right="0"/>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开户名</w:t>
            </w:r>
          </w:p>
        </w:tc>
        <w:tc>
          <w:tcPr>
            <w:tcW w:w="4443" w:type="dxa"/>
            <w:shd w:val="clear" w:color="auto" w:fill="auto"/>
            <w:vAlign w:val="top"/>
          </w:tcPr>
          <w:p w14:paraId="7550F984">
            <w:pPr>
              <w:keepNext w:val="0"/>
              <w:keepLines w:val="0"/>
              <w:suppressLineNumbers w:val="0"/>
              <w:spacing w:before="0" w:beforeAutospacing="0" w:after="0" w:afterAutospacing="0" w:line="360" w:lineRule="auto"/>
              <w:ind w:left="0" w:right="0"/>
              <w:rPr>
                <w:rFonts w:hint="default"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lang w:val="en-US" w:eastAsia="zh-CN"/>
              </w:rPr>
              <w:t>开户名</w:t>
            </w:r>
          </w:p>
        </w:tc>
      </w:tr>
      <w:tr w14:paraId="126E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175011E">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开户银行：</w:t>
            </w:r>
          </w:p>
        </w:tc>
        <w:tc>
          <w:tcPr>
            <w:tcW w:w="4443" w:type="dxa"/>
            <w:shd w:val="clear" w:color="auto" w:fill="auto"/>
            <w:vAlign w:val="top"/>
          </w:tcPr>
          <w:p w14:paraId="218A6ED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开户银行：</w:t>
            </w:r>
          </w:p>
        </w:tc>
      </w:tr>
      <w:tr w14:paraId="5839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E08D3D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账号：</w:t>
            </w:r>
          </w:p>
        </w:tc>
        <w:tc>
          <w:tcPr>
            <w:tcW w:w="4443" w:type="dxa"/>
            <w:shd w:val="clear" w:color="auto" w:fill="auto"/>
            <w:vAlign w:val="top"/>
          </w:tcPr>
          <w:p w14:paraId="6618355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账号：</w:t>
            </w:r>
          </w:p>
        </w:tc>
      </w:tr>
    </w:tbl>
    <w:p w14:paraId="277AFA48">
      <w:pPr>
        <w:widowControl/>
        <w:jc w:val="left"/>
        <w:rPr>
          <w:color w:val="auto"/>
          <w:highlight w:val="none"/>
          <w:u w:val="single"/>
        </w:rPr>
      </w:pPr>
    </w:p>
    <w:p w14:paraId="78DDF66E">
      <w:pPr>
        <w:pStyle w:val="3"/>
        <w:jc w:val="center"/>
        <w:rPr>
          <w:color w:val="auto"/>
          <w:sz w:val="40"/>
          <w:szCs w:val="18"/>
          <w:highlight w:val="none"/>
        </w:rPr>
      </w:pPr>
      <w:bookmarkStart w:id="164" w:name="_Toc389065256"/>
      <w:bookmarkStart w:id="165" w:name="_Toc86847323"/>
      <w:bookmarkStart w:id="166" w:name="_Toc78449778"/>
      <w:bookmarkStart w:id="167" w:name="_Toc1714491818"/>
      <w:bookmarkStart w:id="168" w:name="_Toc19088"/>
      <w:bookmarkStart w:id="169" w:name="_Toc407135192"/>
      <w:bookmarkStart w:id="170" w:name="_Toc373478338"/>
      <w:bookmarkStart w:id="171" w:name="_Toc373227691"/>
      <w:bookmarkStart w:id="172" w:name="_Toc351203632"/>
      <w:r>
        <w:rPr>
          <w:rFonts w:hint="eastAsia" w:cs="黑体"/>
          <w:color w:val="auto"/>
          <w:sz w:val="40"/>
          <w:szCs w:val="18"/>
          <w:highlight w:val="none"/>
        </w:rPr>
        <w:t>第二部分通用合同条款</w:t>
      </w:r>
      <w:bookmarkEnd w:id="164"/>
      <w:bookmarkEnd w:id="165"/>
      <w:bookmarkEnd w:id="166"/>
      <w:bookmarkEnd w:id="167"/>
      <w:bookmarkEnd w:id="168"/>
      <w:bookmarkEnd w:id="169"/>
    </w:p>
    <w:p w14:paraId="00ADC698">
      <w:pPr>
        <w:spacing w:line="360" w:lineRule="auto"/>
        <w:ind w:firstLine="400" w:firstLineChars="200"/>
        <w:rPr>
          <w:rFonts w:hAnsi="宋体"/>
          <w:color w:val="auto"/>
          <w:kern w:val="0"/>
          <w:highlight w:val="none"/>
        </w:rPr>
      </w:pPr>
    </w:p>
    <w:p w14:paraId="05B0176A">
      <w:pPr>
        <w:pStyle w:val="3"/>
        <w:keepNext w:val="0"/>
        <w:keepLines w:val="0"/>
        <w:jc w:val="center"/>
        <w:rPr>
          <w:rFonts w:hAnsi="宋体"/>
          <w:color w:val="auto"/>
          <w:sz w:val="30"/>
          <w:szCs w:val="30"/>
          <w:highlight w:val="none"/>
        </w:rPr>
      </w:pPr>
      <w:bookmarkStart w:id="173" w:name="_Toc389065257"/>
      <w:bookmarkStart w:id="174" w:name="_Toc704444909"/>
      <w:bookmarkStart w:id="175" w:name="_Toc407135193"/>
      <w:bookmarkStart w:id="176" w:name="_Toc31141"/>
      <w:bookmarkStart w:id="177" w:name="_Toc1204138598"/>
      <w:bookmarkStart w:id="178" w:name="_Toc78449779"/>
      <w:r>
        <w:rPr>
          <w:rFonts w:hint="eastAsia" w:hAnsi="宋体" w:cs="黑体"/>
          <w:color w:val="auto"/>
          <w:sz w:val="30"/>
          <w:szCs w:val="30"/>
          <w:highlight w:val="none"/>
        </w:rPr>
        <w:t>第三部分专用合同条款</w:t>
      </w:r>
      <w:bookmarkEnd w:id="170"/>
      <w:bookmarkEnd w:id="171"/>
      <w:bookmarkEnd w:id="172"/>
      <w:bookmarkEnd w:id="173"/>
      <w:bookmarkEnd w:id="174"/>
      <w:bookmarkEnd w:id="175"/>
      <w:bookmarkEnd w:id="176"/>
      <w:bookmarkEnd w:id="177"/>
      <w:bookmarkEnd w:id="178"/>
    </w:p>
    <w:p w14:paraId="62EDCDBB">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13D2859D">
      <w:pPr>
        <w:pStyle w:val="4"/>
        <w:rPr>
          <w:color w:val="auto"/>
          <w:highlight w:val="none"/>
        </w:rPr>
      </w:pPr>
      <w:bookmarkStart w:id="179" w:name="_Toc1013968286"/>
      <w:bookmarkStart w:id="180" w:name="_Toc5431"/>
      <w:bookmarkStart w:id="181" w:name="_Toc389065258"/>
      <w:bookmarkStart w:id="182" w:name="_Toc373478339"/>
      <w:bookmarkStart w:id="183" w:name="_Toc78449780"/>
      <w:bookmarkStart w:id="184" w:name="_Toc1516097295"/>
      <w:bookmarkStart w:id="185" w:name="_Toc373227692"/>
      <w:bookmarkStart w:id="186" w:name="_Toc351203633"/>
      <w:bookmarkStart w:id="187" w:name="_Toc407135194"/>
      <w:r>
        <w:rPr>
          <w:color w:val="auto"/>
          <w:highlight w:val="none"/>
        </w:rPr>
        <w:t>1</w:t>
      </w:r>
      <w:bookmarkStart w:id="188" w:name="_Toc296891196"/>
      <w:bookmarkStart w:id="189" w:name="_Toc296346657"/>
      <w:bookmarkStart w:id="190" w:name="_Toc296503156"/>
      <w:bookmarkStart w:id="191" w:name="_Toc297048342"/>
      <w:bookmarkStart w:id="192" w:name="_Toc297120456"/>
      <w:bookmarkStart w:id="193" w:name="_Toc296890984"/>
      <w:bookmarkStart w:id="194" w:name="_Toc296944495"/>
      <w:bookmarkStart w:id="195" w:name="_Toc292559866"/>
      <w:bookmarkStart w:id="196" w:name="_Toc296347155"/>
      <w:bookmarkStart w:id="197" w:name="_Toc292559361"/>
      <w:r>
        <w:rPr>
          <w:color w:val="auto"/>
          <w:highlight w:val="none"/>
        </w:rPr>
        <w:t>.</w:t>
      </w:r>
      <w:r>
        <w:rPr>
          <w:rFonts w:hint="eastAsia" w:hAnsi="宋体" w:cs="黑体"/>
          <w:color w:val="auto"/>
          <w:highlight w:val="none"/>
        </w:rPr>
        <w:t>一般约定</w:t>
      </w:r>
      <w:bookmarkEnd w:id="179"/>
      <w:bookmarkEnd w:id="180"/>
      <w:bookmarkEnd w:id="181"/>
      <w:bookmarkEnd w:id="182"/>
      <w:bookmarkEnd w:id="183"/>
      <w:bookmarkEnd w:id="184"/>
      <w:bookmarkEnd w:id="185"/>
      <w:bookmarkEnd w:id="186"/>
      <w:bookmarkEnd w:id="187"/>
    </w:p>
    <w:bookmarkEnd w:id="188"/>
    <w:bookmarkEnd w:id="189"/>
    <w:bookmarkEnd w:id="190"/>
    <w:bookmarkEnd w:id="191"/>
    <w:bookmarkEnd w:id="192"/>
    <w:bookmarkEnd w:id="193"/>
    <w:bookmarkEnd w:id="194"/>
    <w:bookmarkEnd w:id="195"/>
    <w:bookmarkEnd w:id="196"/>
    <w:bookmarkEnd w:id="197"/>
    <w:p w14:paraId="2240CA63">
      <w:pPr>
        <w:pStyle w:val="5"/>
        <w:rPr>
          <w:color w:val="auto"/>
          <w:highlight w:val="none"/>
        </w:rPr>
      </w:pPr>
      <w:bookmarkStart w:id="198" w:name="_Toc389065259"/>
      <w:bookmarkStart w:id="199" w:name="_Toc30147"/>
      <w:bookmarkStart w:id="200" w:name="_Toc407135195"/>
      <w:bookmarkStart w:id="201" w:name="_Toc373227693"/>
      <w:bookmarkStart w:id="202" w:name="_Toc1618220701"/>
      <w:bookmarkStart w:id="203" w:name="_Toc373478340"/>
      <w:bookmarkStart w:id="204" w:name="_Toc78449781"/>
      <w:bookmarkStart w:id="205" w:name="_Toc155697041"/>
      <w:r>
        <w:rPr>
          <w:color w:val="auto"/>
          <w:highlight w:val="none"/>
        </w:rPr>
        <w:t>1.1</w:t>
      </w:r>
      <w:r>
        <w:rPr>
          <w:rFonts w:hint="eastAsia" w:hAnsi="宋体" w:cs="黑体"/>
          <w:color w:val="auto"/>
          <w:highlight w:val="none"/>
        </w:rPr>
        <w:t>词语定义</w:t>
      </w:r>
      <w:bookmarkEnd w:id="198"/>
      <w:bookmarkEnd w:id="199"/>
      <w:bookmarkEnd w:id="200"/>
      <w:bookmarkEnd w:id="201"/>
      <w:bookmarkEnd w:id="202"/>
      <w:bookmarkEnd w:id="203"/>
      <w:bookmarkEnd w:id="204"/>
      <w:bookmarkEnd w:id="205"/>
    </w:p>
    <w:p w14:paraId="2DF85F2A">
      <w:pPr>
        <w:spacing w:line="360" w:lineRule="auto"/>
        <w:ind w:firstLine="420" w:firstLineChars="200"/>
        <w:rPr>
          <w:color w:val="auto"/>
          <w:kern w:val="0"/>
          <w:sz w:val="21"/>
          <w:szCs w:val="21"/>
          <w:highlight w:val="none"/>
        </w:rPr>
      </w:pPr>
      <w:r>
        <w:rPr>
          <w:color w:val="auto"/>
          <w:kern w:val="0"/>
          <w:sz w:val="21"/>
          <w:szCs w:val="21"/>
          <w:highlight w:val="none"/>
        </w:rPr>
        <w:t>1.1.1</w:t>
      </w:r>
      <w:r>
        <w:rPr>
          <w:rFonts w:hint="eastAsia" w:hAnsi="宋体" w:cs="宋体"/>
          <w:color w:val="auto"/>
          <w:kern w:val="0"/>
          <w:sz w:val="21"/>
          <w:szCs w:val="21"/>
          <w:highlight w:val="none"/>
        </w:rPr>
        <w:t>合同</w:t>
      </w:r>
    </w:p>
    <w:p w14:paraId="0BDCE54B">
      <w:pPr>
        <w:spacing w:line="360" w:lineRule="auto"/>
        <w:rPr>
          <w:rFonts w:hint="eastAsia"/>
          <w:color w:val="auto"/>
          <w:sz w:val="21"/>
          <w:szCs w:val="21"/>
          <w:highlight w:val="none"/>
          <w:u w:val="single"/>
        </w:rPr>
      </w:pPr>
      <w:r>
        <w:rPr>
          <w:color w:val="auto"/>
          <w:kern w:val="0"/>
          <w:sz w:val="21"/>
          <w:szCs w:val="21"/>
          <w:highlight w:val="none"/>
        </w:rPr>
        <w:t>1.1.1.10</w:t>
      </w:r>
      <w:r>
        <w:rPr>
          <w:rFonts w:hint="eastAsia" w:hAnsi="宋体" w:cs="宋体"/>
          <w:color w:val="auto"/>
          <w:kern w:val="0"/>
          <w:sz w:val="21"/>
          <w:szCs w:val="21"/>
          <w:highlight w:val="none"/>
        </w:rPr>
        <w:t>其他合同文件包括：</w:t>
      </w:r>
      <w:r>
        <w:rPr>
          <w:rFonts w:hint="eastAsia"/>
          <w:color w:val="auto"/>
          <w:sz w:val="21"/>
          <w:szCs w:val="21"/>
          <w:highlight w:val="none"/>
          <w:u w:val="single"/>
          <w:lang w:eastAsia="zh-CN"/>
        </w:rPr>
        <w:t>履行合同过程中双方法定代表人或委托代理人签字并经发包人、承包人双方盖章确认的会议纪要、工程签证、设计变更等书面资料。未经发包人书面盖章批准的上述文件，对发包人不具有约束力</w:t>
      </w:r>
      <w:r>
        <w:rPr>
          <w:rFonts w:hint="eastAsia"/>
          <w:color w:val="auto"/>
          <w:sz w:val="21"/>
          <w:szCs w:val="21"/>
          <w:highlight w:val="none"/>
          <w:u w:val="single"/>
        </w:rPr>
        <w:t>。</w:t>
      </w:r>
    </w:p>
    <w:p w14:paraId="49126D08">
      <w:pPr>
        <w:spacing w:line="360" w:lineRule="auto"/>
        <w:ind w:firstLine="420" w:firstLineChars="200"/>
        <w:rPr>
          <w:color w:val="auto"/>
          <w:sz w:val="21"/>
          <w:szCs w:val="21"/>
          <w:highlight w:val="none"/>
        </w:rPr>
      </w:pPr>
      <w:r>
        <w:rPr>
          <w:color w:val="auto"/>
          <w:sz w:val="21"/>
          <w:szCs w:val="21"/>
          <w:highlight w:val="none"/>
        </w:rPr>
        <w:t>1.1.2</w:t>
      </w:r>
      <w:r>
        <w:rPr>
          <w:rFonts w:hint="eastAsia" w:hAnsi="宋体" w:cs="宋体"/>
          <w:color w:val="auto"/>
          <w:sz w:val="21"/>
          <w:szCs w:val="21"/>
          <w:highlight w:val="none"/>
        </w:rPr>
        <w:t>合同当事人及其他相关方</w:t>
      </w:r>
    </w:p>
    <w:p w14:paraId="65C3C019">
      <w:pPr>
        <w:spacing w:line="360" w:lineRule="auto"/>
        <w:ind w:firstLine="420" w:firstLineChars="200"/>
        <w:outlineLvl w:val="0"/>
        <w:rPr>
          <w:color w:val="auto"/>
          <w:sz w:val="21"/>
          <w:szCs w:val="21"/>
          <w:highlight w:val="none"/>
        </w:rPr>
      </w:pPr>
      <w:bookmarkStart w:id="206" w:name="_Toc29003"/>
      <w:r>
        <w:rPr>
          <w:color w:val="auto"/>
          <w:sz w:val="21"/>
          <w:szCs w:val="21"/>
          <w:highlight w:val="none"/>
        </w:rPr>
        <w:t>1.1.2.4</w:t>
      </w:r>
      <w:r>
        <w:rPr>
          <w:rFonts w:hint="eastAsia" w:hAnsi="宋体" w:cs="宋体"/>
          <w:color w:val="auto"/>
          <w:sz w:val="21"/>
          <w:szCs w:val="21"/>
          <w:highlight w:val="none"/>
        </w:rPr>
        <w:t>监理人：</w:t>
      </w:r>
      <w:bookmarkEnd w:id="206"/>
    </w:p>
    <w:p w14:paraId="2C728224">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5781E47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w:t>
      </w:r>
    </w:p>
    <w:p w14:paraId="22220AEC">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2E2EC27">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B14573D">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1E97E21">
      <w:pPr>
        <w:spacing w:line="360" w:lineRule="auto"/>
        <w:ind w:firstLine="420" w:firstLineChars="200"/>
        <w:outlineLvl w:val="0"/>
        <w:rPr>
          <w:color w:val="auto"/>
          <w:sz w:val="21"/>
          <w:szCs w:val="21"/>
          <w:highlight w:val="none"/>
        </w:rPr>
      </w:pPr>
      <w:bookmarkStart w:id="207" w:name="_Toc16988"/>
      <w:r>
        <w:rPr>
          <w:color w:val="auto"/>
          <w:sz w:val="21"/>
          <w:szCs w:val="21"/>
          <w:highlight w:val="none"/>
        </w:rPr>
        <w:t>1.1.2.5</w:t>
      </w:r>
      <w:r>
        <w:rPr>
          <w:rFonts w:hint="eastAsia" w:hAnsi="宋体" w:cs="宋体"/>
          <w:color w:val="auto"/>
          <w:sz w:val="21"/>
          <w:szCs w:val="21"/>
          <w:highlight w:val="none"/>
        </w:rPr>
        <w:t>设计人：</w:t>
      </w:r>
      <w:bookmarkEnd w:id="207"/>
    </w:p>
    <w:p w14:paraId="5A0FABF2">
      <w:pPr>
        <w:spacing w:line="360" w:lineRule="auto"/>
        <w:ind w:firstLine="420" w:firstLineChars="200"/>
        <w:rPr>
          <w:color w:val="auto"/>
          <w:sz w:val="21"/>
          <w:szCs w:val="21"/>
          <w:highlight w:val="non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6D8DBF3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47977552">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71DB9FEF">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0D21B1B3">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w:t>
      </w:r>
    </w:p>
    <w:p w14:paraId="2D6E2B28">
      <w:pPr>
        <w:spacing w:line="360" w:lineRule="auto"/>
        <w:ind w:firstLine="420" w:firstLineChars="200"/>
        <w:rPr>
          <w:color w:val="auto"/>
          <w:sz w:val="21"/>
          <w:szCs w:val="21"/>
          <w:highlight w:val="none"/>
        </w:rPr>
      </w:pPr>
      <w:r>
        <w:rPr>
          <w:color w:val="auto"/>
          <w:sz w:val="21"/>
          <w:szCs w:val="21"/>
          <w:highlight w:val="none"/>
        </w:rPr>
        <w:t>1.1.3</w:t>
      </w:r>
      <w:r>
        <w:rPr>
          <w:rFonts w:hint="eastAsia" w:hAnsi="宋体" w:cs="宋体"/>
          <w:color w:val="auto"/>
          <w:sz w:val="21"/>
          <w:szCs w:val="21"/>
          <w:highlight w:val="none"/>
        </w:rPr>
        <w:t>工程和设备</w:t>
      </w:r>
    </w:p>
    <w:p w14:paraId="21315313">
      <w:pPr>
        <w:pStyle w:val="49"/>
        <w:spacing w:line="360" w:lineRule="auto"/>
        <w:ind w:firstLine="420" w:firstLineChars="200"/>
        <w:outlineLvl w:val="0"/>
        <w:rPr>
          <w:rFonts w:hint="eastAsia" w:ascii="Times New Roman" w:hAnsi="宋体" w:cs="宋体"/>
          <w:color w:val="auto"/>
          <w:sz w:val="21"/>
          <w:szCs w:val="21"/>
          <w:highlight w:val="none"/>
          <w:u w:val="single"/>
        </w:rPr>
      </w:pPr>
      <w:bookmarkStart w:id="208" w:name="_Toc29341"/>
      <w:r>
        <w:rPr>
          <w:color w:val="auto"/>
          <w:sz w:val="21"/>
          <w:szCs w:val="21"/>
          <w:highlight w:val="none"/>
        </w:rPr>
        <w:t>1.1.3.7</w:t>
      </w:r>
      <w:r>
        <w:rPr>
          <w:rFonts w:hint="eastAsia" w:hAnsi="宋体" w:cs="宋体"/>
          <w:color w:val="auto"/>
          <w:sz w:val="21"/>
          <w:szCs w:val="21"/>
          <w:highlight w:val="none"/>
        </w:rPr>
        <w:t>作为施工现场组成部分的其他场所包括：</w:t>
      </w:r>
      <w:r>
        <w:rPr>
          <w:rFonts w:hint="eastAsia" w:ascii="Times New Roman" w:hAnsi="宋体" w:cs="宋体"/>
          <w:color w:val="auto"/>
          <w:sz w:val="21"/>
          <w:szCs w:val="21"/>
          <w:highlight w:val="none"/>
          <w:u w:val="single"/>
        </w:rPr>
        <w:t>包括运料通道、材料堆放、材料加工、施</w:t>
      </w:r>
      <w:bookmarkEnd w:id="208"/>
    </w:p>
    <w:p w14:paraId="08B08894">
      <w:pPr>
        <w:spacing w:line="360" w:lineRule="auto"/>
        <w:ind w:firstLine="420" w:firstLineChars="200"/>
        <w:rPr>
          <w:color w:val="auto"/>
          <w:sz w:val="21"/>
          <w:szCs w:val="21"/>
          <w:highlight w:val="none"/>
        </w:rPr>
      </w:pPr>
      <w:r>
        <w:rPr>
          <w:rFonts w:hint="eastAsia" w:ascii="Times New Roman" w:hAnsi="宋体" w:cs="宋体"/>
          <w:color w:val="auto"/>
          <w:sz w:val="21"/>
          <w:szCs w:val="21"/>
          <w:highlight w:val="none"/>
          <w:u w:val="single"/>
          <w:lang w:eastAsia="zh-CN"/>
        </w:rPr>
        <w:t>工作</w:t>
      </w:r>
      <w:r>
        <w:rPr>
          <w:rFonts w:hint="eastAsia" w:ascii="Times New Roman" w:hAnsi="宋体" w:cs="宋体"/>
          <w:color w:val="auto"/>
          <w:sz w:val="21"/>
          <w:szCs w:val="21"/>
          <w:highlight w:val="none"/>
          <w:u w:val="single"/>
        </w:rPr>
        <w:t>以及承包人办公生活所使用的场所</w:t>
      </w:r>
      <w:r>
        <w:rPr>
          <w:rFonts w:hint="eastAsia" w:hAnsi="宋体" w:cs="宋体"/>
          <w:color w:val="auto"/>
          <w:sz w:val="21"/>
          <w:szCs w:val="21"/>
          <w:highlight w:val="none"/>
        </w:rPr>
        <w:t>。</w:t>
      </w:r>
    </w:p>
    <w:p w14:paraId="02213B76">
      <w:pPr>
        <w:pStyle w:val="49"/>
        <w:spacing w:line="360" w:lineRule="auto"/>
        <w:ind w:firstLine="420" w:firstLineChars="200"/>
        <w:jc w:val="left"/>
        <w:rPr>
          <w:rFonts w:ascii="Times New Roman" w:hAnsi="Times New Roman"/>
          <w:color w:val="auto"/>
          <w:kern w:val="0"/>
          <w:sz w:val="21"/>
          <w:szCs w:val="21"/>
          <w:highlight w:val="none"/>
        </w:rPr>
      </w:pPr>
      <w:r>
        <w:rPr>
          <w:color w:val="auto"/>
          <w:kern w:val="0"/>
          <w:sz w:val="21"/>
          <w:szCs w:val="21"/>
          <w:highlight w:val="none"/>
        </w:rPr>
        <w:t>1.1.3.9</w:t>
      </w:r>
      <w:r>
        <w:rPr>
          <w:rFonts w:hint="eastAsia" w:hAnsi="宋体" w:cs="宋体"/>
          <w:color w:val="auto"/>
          <w:kern w:val="0"/>
          <w:sz w:val="21"/>
          <w:szCs w:val="21"/>
          <w:highlight w:val="none"/>
        </w:rPr>
        <w:t>永久占地包括：</w:t>
      </w:r>
      <w:r>
        <w:rPr>
          <w:rFonts w:hint="eastAsia" w:ascii="宋体" w:hAnsi="宋体"/>
          <w:color w:val="auto"/>
          <w:sz w:val="21"/>
          <w:szCs w:val="21"/>
          <w:highlight w:val="none"/>
          <w:u w:val="single"/>
        </w:rPr>
        <w:t>具体内容见双方确认的本工程规划红线图为准</w:t>
      </w:r>
      <w:r>
        <w:rPr>
          <w:rFonts w:hint="eastAsia" w:ascii="Times New Roman" w:hAnsi="宋体" w:cs="宋体"/>
          <w:color w:val="auto"/>
          <w:kern w:val="0"/>
          <w:sz w:val="21"/>
          <w:szCs w:val="21"/>
          <w:highlight w:val="none"/>
        </w:rPr>
        <w:t>。</w:t>
      </w:r>
    </w:p>
    <w:p w14:paraId="62AC5462">
      <w:pPr>
        <w:pStyle w:val="49"/>
        <w:spacing w:line="360" w:lineRule="auto"/>
        <w:ind w:firstLine="420" w:firstLineChars="200"/>
        <w:jc w:val="left"/>
        <w:rPr>
          <w:rFonts w:hint="eastAsia" w:ascii="Times New Roman" w:hAnsi="宋体" w:cs="宋体"/>
          <w:color w:val="auto"/>
          <w:kern w:val="0"/>
          <w:sz w:val="21"/>
          <w:szCs w:val="21"/>
          <w:highlight w:val="none"/>
          <w:u w:val="single"/>
        </w:rPr>
      </w:pPr>
      <w:r>
        <w:rPr>
          <w:rFonts w:ascii="Times New Roman" w:hAnsi="Times New Roman"/>
          <w:color w:val="auto"/>
          <w:kern w:val="0"/>
          <w:sz w:val="21"/>
          <w:szCs w:val="21"/>
          <w:highlight w:val="none"/>
        </w:rPr>
        <w:t>1.1.3.10</w:t>
      </w:r>
      <w:r>
        <w:rPr>
          <w:rFonts w:hint="eastAsia" w:ascii="Times New Roman" w:hAnsi="宋体" w:cs="宋体"/>
          <w:color w:val="auto"/>
          <w:kern w:val="0"/>
          <w:sz w:val="21"/>
          <w:szCs w:val="21"/>
          <w:highlight w:val="none"/>
        </w:rPr>
        <w:t>临时占地包括：</w:t>
      </w:r>
      <w:r>
        <w:rPr>
          <w:rFonts w:hint="eastAsia" w:ascii="Times New Roman" w:hAnsi="宋体" w:cs="宋体"/>
          <w:color w:val="auto"/>
          <w:kern w:val="0"/>
          <w:sz w:val="21"/>
          <w:szCs w:val="21"/>
          <w:highlight w:val="none"/>
          <w:u w:val="single"/>
        </w:rPr>
        <w:t>临时设施、运料通道、材料堆放、材料加工等为实施合同工程需临</w:t>
      </w:r>
    </w:p>
    <w:p w14:paraId="2BF23786">
      <w:pPr>
        <w:spacing w:line="360" w:lineRule="auto"/>
        <w:ind w:firstLine="420" w:firstLineChars="200"/>
        <w:jc w:val="left"/>
        <w:rPr>
          <w:color w:val="auto"/>
          <w:sz w:val="21"/>
          <w:szCs w:val="21"/>
          <w:highlight w:val="none"/>
        </w:rPr>
      </w:pPr>
      <w:r>
        <w:rPr>
          <w:rFonts w:hint="eastAsia" w:ascii="Times New Roman" w:hAnsi="宋体" w:cs="宋体"/>
          <w:color w:val="auto"/>
          <w:kern w:val="0"/>
          <w:sz w:val="21"/>
          <w:szCs w:val="21"/>
          <w:highlight w:val="none"/>
          <w:u w:val="single"/>
        </w:rPr>
        <w:t>时占用的土地</w:t>
      </w:r>
      <w:r>
        <w:rPr>
          <w:rFonts w:hint="eastAsia" w:hAnsi="宋体" w:cs="宋体"/>
          <w:color w:val="auto"/>
          <w:kern w:val="0"/>
          <w:sz w:val="21"/>
          <w:szCs w:val="21"/>
          <w:highlight w:val="none"/>
        </w:rPr>
        <w:t>。</w:t>
      </w:r>
    </w:p>
    <w:p w14:paraId="2F0E06BB">
      <w:pPr>
        <w:pStyle w:val="5"/>
        <w:rPr>
          <w:color w:val="auto"/>
          <w:highlight w:val="none"/>
        </w:rPr>
      </w:pPr>
      <w:bookmarkStart w:id="209" w:name="_Toc1182598796"/>
      <w:bookmarkStart w:id="210" w:name="_Toc389065260"/>
      <w:bookmarkStart w:id="211" w:name="_Toc27691"/>
      <w:bookmarkStart w:id="212" w:name="_Toc373227694"/>
      <w:bookmarkStart w:id="213" w:name="_Toc1162259329"/>
      <w:bookmarkStart w:id="214" w:name="_Toc407135196"/>
      <w:bookmarkStart w:id="215" w:name="_Toc373478341"/>
      <w:bookmarkStart w:id="216" w:name="_Toc78449782"/>
      <w:r>
        <w:rPr>
          <w:color w:val="auto"/>
          <w:highlight w:val="none"/>
        </w:rPr>
        <w:t>1.3</w:t>
      </w:r>
      <w:r>
        <w:rPr>
          <w:rFonts w:hint="eastAsia" w:hAnsi="宋体" w:cs="黑体"/>
          <w:color w:val="auto"/>
          <w:highlight w:val="none"/>
        </w:rPr>
        <w:t>法律</w:t>
      </w:r>
      <w:bookmarkEnd w:id="209"/>
      <w:bookmarkEnd w:id="210"/>
      <w:bookmarkEnd w:id="211"/>
      <w:bookmarkEnd w:id="212"/>
      <w:bookmarkEnd w:id="213"/>
      <w:bookmarkEnd w:id="214"/>
      <w:bookmarkEnd w:id="215"/>
      <w:bookmarkEnd w:id="216"/>
    </w:p>
    <w:p w14:paraId="003B4061">
      <w:pPr>
        <w:autoSpaceDE w:val="0"/>
        <w:autoSpaceDN w:val="0"/>
        <w:adjustRightInd w:val="0"/>
        <w:spacing w:line="360" w:lineRule="auto"/>
        <w:ind w:firstLine="420" w:firstLineChars="200"/>
        <w:jc w:val="left"/>
        <w:rPr>
          <w:color w:val="auto"/>
          <w:sz w:val="21"/>
          <w:szCs w:val="21"/>
          <w:highlight w:val="none"/>
        </w:rPr>
      </w:pPr>
      <w:r>
        <w:rPr>
          <w:rFonts w:hint="eastAsia" w:ascii="Times New Roman" w:hAnsi="宋体" w:cs="宋体"/>
          <w:color w:val="auto"/>
          <w:sz w:val="21"/>
          <w:szCs w:val="21"/>
          <w:highlight w:val="none"/>
        </w:rPr>
        <w:t>适用于合同的其他规范性文件：</w:t>
      </w:r>
      <w:r>
        <w:rPr>
          <w:rFonts w:hint="eastAsia" w:ascii="Times New Roman" w:hAnsi="宋体" w:eastAsia="宋体" w:cs="宋体"/>
          <w:i w:val="0"/>
          <w:iCs w:val="0"/>
          <w:caps w:val="0"/>
          <w:color w:val="auto"/>
          <w:spacing w:val="0"/>
          <w:kern w:val="0"/>
          <w:sz w:val="21"/>
          <w:szCs w:val="21"/>
          <w:highlight w:val="none"/>
          <w:u w:val="single"/>
          <w:shd w:val="clear"/>
        </w:rPr>
        <w:t>包括但不限于《中华人民共和国民法典》、《中华人民共和国建筑法》、《中华人民共和国招标投标法实施条例》、《保障农民工工资支付条例》、《广西壮族自治区建筑市场管理条例》以及合同签订时已发布并生效的，由国务院、住房和城乡建设部及广西壮族自治区、崇左市、</w:t>
      </w:r>
      <w:r>
        <w:rPr>
          <w:rFonts w:hint="eastAsia" w:hAnsi="宋体" w:cs="宋体"/>
          <w:i w:val="0"/>
          <w:iCs w:val="0"/>
          <w:caps w:val="0"/>
          <w:color w:val="auto"/>
          <w:spacing w:val="0"/>
          <w:kern w:val="0"/>
          <w:sz w:val="21"/>
          <w:szCs w:val="21"/>
          <w:highlight w:val="none"/>
          <w:u w:val="single"/>
          <w:shd w:val="clear"/>
          <w:lang w:eastAsia="zh-CN"/>
        </w:rPr>
        <w:t>天等县</w:t>
      </w:r>
      <w:r>
        <w:rPr>
          <w:rFonts w:hint="eastAsia" w:ascii="Times New Roman" w:hAnsi="宋体" w:eastAsia="宋体" w:cs="宋体"/>
          <w:i w:val="0"/>
          <w:iCs w:val="0"/>
          <w:caps w:val="0"/>
          <w:color w:val="auto"/>
          <w:spacing w:val="0"/>
          <w:kern w:val="0"/>
          <w:sz w:val="21"/>
          <w:szCs w:val="21"/>
          <w:highlight w:val="none"/>
          <w:u w:val="single"/>
          <w:shd w:val="clear"/>
        </w:rPr>
        <w:t>人民政府及建设行政主管部门制定的相关法律、法规、规章及规范性文件。专用合同条款另有约定的，从其约定</w:t>
      </w:r>
      <w:r>
        <w:rPr>
          <w:rFonts w:hint="eastAsia" w:hAnsi="宋体" w:cs="宋体"/>
          <w:color w:val="auto"/>
          <w:sz w:val="21"/>
          <w:szCs w:val="21"/>
          <w:highlight w:val="none"/>
        </w:rPr>
        <w:t>。</w:t>
      </w:r>
    </w:p>
    <w:p w14:paraId="26952B8C">
      <w:pPr>
        <w:pStyle w:val="5"/>
        <w:rPr>
          <w:color w:val="auto"/>
          <w:highlight w:val="none"/>
        </w:rPr>
      </w:pPr>
      <w:bookmarkStart w:id="217" w:name="_Toc407135197"/>
      <w:bookmarkStart w:id="218" w:name="_Toc373227695"/>
      <w:bookmarkStart w:id="219" w:name="_Toc373478342"/>
      <w:bookmarkStart w:id="220" w:name="_Toc78449783"/>
      <w:bookmarkStart w:id="221" w:name="_Toc389065261"/>
      <w:bookmarkStart w:id="222" w:name="_Toc1569433547"/>
      <w:bookmarkStart w:id="223" w:name="_Toc17025"/>
      <w:bookmarkStart w:id="224" w:name="_Toc1694357896"/>
      <w:r>
        <w:rPr>
          <w:color w:val="auto"/>
          <w:highlight w:val="none"/>
        </w:rPr>
        <w:t>1.4</w:t>
      </w:r>
      <w:r>
        <w:rPr>
          <w:rFonts w:hint="eastAsia" w:hAnsi="宋体" w:cs="黑体"/>
          <w:color w:val="auto"/>
          <w:highlight w:val="none"/>
        </w:rPr>
        <w:t>标准和规范</w:t>
      </w:r>
      <w:bookmarkEnd w:id="217"/>
      <w:bookmarkEnd w:id="218"/>
      <w:bookmarkEnd w:id="219"/>
      <w:bookmarkEnd w:id="220"/>
      <w:bookmarkEnd w:id="221"/>
      <w:bookmarkEnd w:id="222"/>
      <w:bookmarkEnd w:id="223"/>
      <w:bookmarkEnd w:id="224"/>
    </w:p>
    <w:p w14:paraId="76AB1AAB">
      <w:pPr>
        <w:pStyle w:val="49"/>
        <w:spacing w:line="360" w:lineRule="auto"/>
        <w:ind w:firstLine="420" w:firstLineChars="200"/>
        <w:rPr>
          <w:rFonts w:ascii="Times New Roman" w:hAnsi="Times New Roman"/>
          <w:color w:val="auto"/>
          <w:sz w:val="21"/>
          <w:szCs w:val="21"/>
          <w:highlight w:val="none"/>
        </w:rPr>
      </w:pPr>
      <w:r>
        <w:rPr>
          <w:color w:val="auto"/>
          <w:sz w:val="21"/>
          <w:szCs w:val="21"/>
          <w:highlight w:val="none"/>
        </w:rPr>
        <w:t>1.4.1</w:t>
      </w:r>
      <w:r>
        <w:rPr>
          <w:rFonts w:hint="eastAsia" w:hAnsi="宋体" w:cs="宋体"/>
          <w:color w:val="auto"/>
          <w:sz w:val="21"/>
          <w:szCs w:val="21"/>
          <w:highlight w:val="none"/>
        </w:rPr>
        <w:t>适用于工程的标准规范包括：</w:t>
      </w:r>
      <w:r>
        <w:rPr>
          <w:rFonts w:hint="eastAsia" w:ascii="Times New Roman" w:hAnsi="宋体" w:eastAsia="宋体" w:cs="宋体"/>
          <w:i w:val="0"/>
          <w:iCs w:val="0"/>
          <w:caps w:val="0"/>
          <w:color w:val="auto"/>
          <w:spacing w:val="0"/>
          <w:kern w:val="0"/>
          <w:sz w:val="21"/>
          <w:szCs w:val="21"/>
          <w:highlight w:val="none"/>
          <w:u w:val="single"/>
          <w:shd w:val="clear"/>
        </w:rPr>
        <w:t>在</w:t>
      </w:r>
      <w:r>
        <w:rPr>
          <w:rFonts w:hint="eastAsia" w:ascii="Times New Roman" w:hAnsi="宋体" w:eastAsia="宋体" w:cs="宋体"/>
          <w:b w:val="0"/>
          <w:bCs w:val="0"/>
          <w:i w:val="0"/>
          <w:iCs w:val="0"/>
          <w:caps w:val="0"/>
          <w:color w:val="auto"/>
          <w:spacing w:val="0"/>
          <w:kern w:val="0"/>
          <w:sz w:val="21"/>
          <w:szCs w:val="21"/>
          <w:highlight w:val="none"/>
          <w:u w:val="single"/>
          <w:shd w:val="clear"/>
        </w:rPr>
        <w:t>投标截止日期前28日</w:t>
      </w:r>
      <w:r>
        <w:rPr>
          <w:rFonts w:hint="eastAsia" w:ascii="Times New Roman" w:hAnsi="宋体" w:eastAsia="宋体" w:cs="宋体"/>
          <w:i w:val="0"/>
          <w:iCs w:val="0"/>
          <w:caps w:val="0"/>
          <w:color w:val="auto"/>
          <w:spacing w:val="0"/>
          <w:kern w:val="0"/>
          <w:sz w:val="21"/>
          <w:szCs w:val="21"/>
          <w:highlight w:val="none"/>
          <w:u w:val="single"/>
          <w:shd w:val="clear"/>
        </w:rPr>
        <w:t>已发</w:t>
      </w:r>
      <w:r>
        <w:rPr>
          <w:rFonts w:hint="eastAsia" w:ascii="Times New Roman" w:hAnsi="宋体" w:eastAsia="宋体" w:cs="宋体"/>
          <w:b w:val="0"/>
          <w:bCs w:val="0"/>
          <w:i w:val="0"/>
          <w:iCs w:val="0"/>
          <w:caps w:val="0"/>
          <w:color w:val="auto"/>
          <w:spacing w:val="0"/>
          <w:kern w:val="0"/>
          <w:sz w:val="21"/>
          <w:szCs w:val="21"/>
          <w:highlight w:val="none"/>
          <w:u w:val="single"/>
          <w:shd w:val="clear"/>
        </w:rPr>
        <w:t>布并实施的国家标准、规范，行业标准、规范，以及地方标准、规范</w:t>
      </w:r>
      <w:r>
        <w:rPr>
          <w:rFonts w:hint="eastAsia" w:ascii="Times New Roman" w:hAnsi="宋体" w:eastAsia="宋体" w:cs="宋体"/>
          <w:b w:val="0"/>
          <w:bCs w:val="0"/>
          <w:i w:val="0"/>
          <w:iCs w:val="0"/>
          <w:caps w:val="0"/>
          <w:color w:val="auto"/>
          <w:spacing w:val="0"/>
          <w:kern w:val="0"/>
          <w:sz w:val="21"/>
          <w:szCs w:val="21"/>
          <w:highlight w:val="none"/>
          <w:u w:val="single"/>
          <w:shd w:val="clear"/>
          <w:lang w:val="en-US" w:eastAsia="zh-CN"/>
        </w:rPr>
        <w:t>和</w:t>
      </w:r>
      <w:r>
        <w:rPr>
          <w:rFonts w:hint="eastAsia" w:ascii="Times New Roman" w:hAnsi="宋体" w:eastAsia="宋体" w:cs="宋体"/>
          <w:b w:val="0"/>
          <w:bCs w:val="0"/>
          <w:i w:val="0"/>
          <w:iCs w:val="0"/>
          <w:caps w:val="0"/>
          <w:color w:val="auto"/>
          <w:spacing w:val="0"/>
          <w:kern w:val="0"/>
          <w:sz w:val="21"/>
          <w:szCs w:val="21"/>
          <w:highlight w:val="none"/>
          <w:u w:val="single"/>
          <w:shd w:val="clear"/>
        </w:rPr>
        <w:t>道路工程执行</w:t>
      </w:r>
      <w:r>
        <w:rPr>
          <w:rFonts w:hint="eastAsia" w:ascii="Times New Roman" w:hAnsi="宋体" w:cs="宋体"/>
          <w:b w:val="0"/>
          <w:bCs w:val="0"/>
          <w:i w:val="0"/>
          <w:iCs w:val="0"/>
          <w:caps w:val="0"/>
          <w:color w:val="auto"/>
          <w:spacing w:val="0"/>
          <w:kern w:val="0"/>
          <w:sz w:val="21"/>
          <w:szCs w:val="21"/>
          <w:highlight w:val="none"/>
          <w:u w:val="single"/>
          <w:shd w:val="clear"/>
          <w:lang w:val="en-US" w:eastAsia="zh-CN"/>
        </w:rPr>
        <w:t>国家现行规范标准</w:t>
      </w:r>
      <w:r>
        <w:rPr>
          <w:rFonts w:hint="eastAsia" w:ascii="Times New Roman" w:hAnsi="宋体" w:eastAsia="宋体" w:cs="宋体"/>
          <w:b w:val="0"/>
          <w:bCs w:val="0"/>
          <w:i w:val="0"/>
          <w:iCs w:val="0"/>
          <w:caps w:val="0"/>
          <w:color w:val="auto"/>
          <w:spacing w:val="0"/>
          <w:kern w:val="0"/>
          <w:sz w:val="21"/>
          <w:szCs w:val="21"/>
          <w:highlight w:val="none"/>
          <w:u w:val="single"/>
          <w:shd w:val="clear"/>
        </w:rPr>
        <w:t>对于在此日期之后新发布或修订的标准规范，若其要求高于本合同约定的标准，且非因承包人原因导致必须执行，因此增加的费用和（或）延误的工期应由发包人</w:t>
      </w:r>
      <w:r>
        <w:rPr>
          <w:rFonts w:hint="eastAsia" w:ascii="Times New Roman" w:hAnsi="宋体" w:eastAsia="宋体" w:cs="宋体"/>
          <w:i w:val="0"/>
          <w:iCs w:val="0"/>
          <w:caps w:val="0"/>
          <w:color w:val="auto"/>
          <w:spacing w:val="0"/>
          <w:kern w:val="0"/>
          <w:sz w:val="21"/>
          <w:szCs w:val="21"/>
          <w:highlight w:val="none"/>
          <w:u w:val="single"/>
          <w:shd w:val="clear"/>
        </w:rPr>
        <w:t>承担。具体调整方法如下：(1)增加的费用由承包人提出预算，报发包人及监理人审核确认。(2)因此延误的工期应予以顺延</w:t>
      </w:r>
      <w:r>
        <w:rPr>
          <w:rFonts w:hint="eastAsia" w:ascii="Times New Roman" w:hAnsi="宋体" w:cs="宋体"/>
          <w:color w:val="auto"/>
          <w:kern w:val="0"/>
          <w:sz w:val="21"/>
          <w:szCs w:val="21"/>
          <w:highlight w:val="none"/>
          <w:u w:val="single"/>
        </w:rPr>
        <w:t>。</w:t>
      </w:r>
    </w:p>
    <w:p w14:paraId="5B810C16">
      <w:pPr>
        <w:spacing w:line="360" w:lineRule="auto"/>
        <w:rPr>
          <w:color w:val="auto"/>
          <w:kern w:val="0"/>
          <w:sz w:val="21"/>
          <w:szCs w:val="21"/>
          <w:highlight w:val="none"/>
        </w:rPr>
      </w:pPr>
      <w:r>
        <w:rPr>
          <w:color w:val="auto"/>
          <w:kern w:val="0"/>
          <w:sz w:val="21"/>
          <w:szCs w:val="21"/>
          <w:highlight w:val="none"/>
        </w:rPr>
        <w:t>1.4.2</w:t>
      </w: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sz w:val="21"/>
          <w:szCs w:val="21"/>
          <w:highlight w:val="none"/>
        </w:rPr>
        <w:t>；</w:t>
      </w:r>
    </w:p>
    <w:p w14:paraId="77FB6BCA">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发包人提供国外标准、规范的份数：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5D748A43">
      <w:pPr>
        <w:spacing w:line="360" w:lineRule="auto"/>
        <w:ind w:firstLine="420" w:firstLineChars="200"/>
        <w:rPr>
          <w:color w:val="auto"/>
          <w:sz w:val="21"/>
          <w:szCs w:val="21"/>
          <w:highlight w:val="none"/>
        </w:rPr>
      </w:pP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 xml:space="preserve">    /   </w:t>
      </w:r>
      <w:r>
        <w:rPr>
          <w:rFonts w:hint="eastAsia" w:hAnsi="宋体" w:cs="宋体"/>
          <w:color w:val="auto"/>
          <w:kern w:val="0"/>
          <w:sz w:val="21"/>
          <w:szCs w:val="21"/>
          <w:highlight w:val="none"/>
        </w:rPr>
        <w:t>。</w:t>
      </w:r>
    </w:p>
    <w:p w14:paraId="2793FE18">
      <w:pPr>
        <w:spacing w:line="360" w:lineRule="auto"/>
        <w:rPr>
          <w:color w:val="auto"/>
          <w:sz w:val="21"/>
          <w:szCs w:val="21"/>
          <w:highlight w:val="none"/>
        </w:rPr>
      </w:pPr>
      <w:r>
        <w:rPr>
          <w:color w:val="auto"/>
          <w:sz w:val="21"/>
          <w:szCs w:val="21"/>
          <w:highlight w:val="none"/>
        </w:rPr>
        <w:t>1.4.3</w:t>
      </w:r>
      <w:r>
        <w:rPr>
          <w:rFonts w:hint="eastAsia" w:hAnsi="宋体" w:cs="宋体"/>
          <w:color w:val="auto"/>
          <w:sz w:val="21"/>
          <w:szCs w:val="21"/>
          <w:highlight w:val="none"/>
        </w:rPr>
        <w:t>发包人对工程的技术标准和功能要求的特殊要求</w:t>
      </w:r>
      <w:r>
        <w:rPr>
          <w:rFonts w:hint="eastAsia" w:hAnsi="宋体" w:cs="宋体"/>
          <w:color w:val="auto"/>
          <w:kern w:val="0"/>
          <w:sz w:val="21"/>
          <w:szCs w:val="21"/>
          <w:highlight w:val="none"/>
        </w:rPr>
        <w:t>：</w:t>
      </w:r>
      <w:r>
        <w:rPr>
          <w:rFonts w:hint="eastAsia" w:hAnsi="宋体" w:cs="宋体"/>
          <w:color w:val="auto"/>
          <w:sz w:val="21"/>
          <w:szCs w:val="21"/>
          <w:highlight w:val="none"/>
          <w:u w:val="single"/>
          <w:lang w:val="en-US" w:eastAsia="zh-CN"/>
        </w:rPr>
        <w:t>/</w:t>
      </w:r>
      <w:r>
        <w:rPr>
          <w:rFonts w:hint="eastAsia" w:hAnsi="宋体" w:cs="宋体"/>
          <w:color w:val="auto"/>
          <w:sz w:val="21"/>
          <w:szCs w:val="21"/>
          <w:highlight w:val="none"/>
        </w:rPr>
        <w:t>。</w:t>
      </w:r>
    </w:p>
    <w:p w14:paraId="085126EE">
      <w:pPr>
        <w:pStyle w:val="5"/>
        <w:rPr>
          <w:color w:val="auto"/>
          <w:highlight w:val="none"/>
        </w:rPr>
      </w:pPr>
      <w:bookmarkStart w:id="225" w:name="_Toc4269"/>
      <w:bookmarkStart w:id="226" w:name="_Toc407135198"/>
      <w:bookmarkStart w:id="227" w:name="_Toc373227696"/>
      <w:bookmarkStart w:id="228" w:name="_Toc78449784"/>
      <w:bookmarkStart w:id="229" w:name="_Toc188277238"/>
      <w:bookmarkStart w:id="230" w:name="_Toc389065262"/>
      <w:bookmarkStart w:id="231" w:name="_Toc24431861"/>
      <w:bookmarkStart w:id="232" w:name="_Toc373478343"/>
      <w:r>
        <w:rPr>
          <w:color w:val="auto"/>
          <w:highlight w:val="none"/>
        </w:rPr>
        <w:t>1.5</w:t>
      </w:r>
      <w:r>
        <w:rPr>
          <w:rFonts w:hint="eastAsia" w:cs="黑体"/>
          <w:color w:val="auto"/>
          <w:highlight w:val="none"/>
        </w:rPr>
        <w:t>合同文件的优先顺序</w:t>
      </w:r>
      <w:bookmarkEnd w:id="225"/>
      <w:bookmarkEnd w:id="226"/>
      <w:bookmarkEnd w:id="227"/>
      <w:bookmarkEnd w:id="228"/>
      <w:bookmarkEnd w:id="229"/>
      <w:bookmarkEnd w:id="230"/>
      <w:bookmarkEnd w:id="231"/>
      <w:bookmarkEnd w:id="232"/>
    </w:p>
    <w:p w14:paraId="2B2929E1">
      <w:pPr>
        <w:spacing w:line="360" w:lineRule="auto"/>
        <w:ind w:firstLine="420" w:firstLineChars="200"/>
        <w:rPr>
          <w:rFonts w:hint="eastAsia" w:hAnsi="宋体" w:cs="宋体"/>
          <w:color w:val="auto"/>
          <w:kern w:val="0"/>
          <w:sz w:val="21"/>
          <w:szCs w:val="21"/>
          <w:highlight w:val="none"/>
        </w:rPr>
      </w:pPr>
      <w:r>
        <w:rPr>
          <w:rFonts w:hint="eastAsia" w:hAnsi="宋体" w:cs="宋体"/>
          <w:color w:val="auto"/>
          <w:sz w:val="21"/>
          <w:szCs w:val="21"/>
          <w:highlight w:val="none"/>
        </w:rPr>
        <w:t>合同文件组成及优先顺序为：</w:t>
      </w:r>
    </w:p>
    <w:p w14:paraId="4F57C789">
      <w:pPr>
        <w:spacing w:line="360" w:lineRule="auto"/>
        <w:ind w:firstLine="420" w:firstLineChars="200"/>
        <w:rPr>
          <w:rFonts w:hint="eastAsia" w:ascii="Times New Roman" w:hAnsi="宋体" w:eastAsia="宋体" w:cs="宋体"/>
          <w:color w:val="auto"/>
          <w:kern w:val="0"/>
          <w:sz w:val="21"/>
          <w:szCs w:val="21"/>
          <w:highlight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1</w:t>
      </w:r>
      <w:r>
        <w:rPr>
          <w:rFonts w:hint="eastAsia" w:ascii="Times New Roman" w:hAnsi="宋体" w:eastAsia="宋体" w:cs="宋体"/>
          <w:color w:val="auto"/>
          <w:kern w:val="0"/>
          <w:sz w:val="21"/>
          <w:szCs w:val="21"/>
          <w:highlight w:val="none"/>
        </w:rPr>
        <w:t>）合同协议书；</w:t>
      </w:r>
    </w:p>
    <w:p w14:paraId="780BA730">
      <w:pPr>
        <w:spacing w:line="360" w:lineRule="auto"/>
        <w:ind w:firstLine="420" w:firstLineChars="200"/>
        <w:rPr>
          <w:rFonts w:hint="eastAsia" w:ascii="Times New Roman" w:hAnsi="宋体" w:eastAsia="宋体" w:cs="宋体"/>
          <w:color w:val="auto"/>
          <w:kern w:val="0"/>
          <w:sz w:val="21"/>
          <w:szCs w:val="21"/>
          <w:highlight w:val="none"/>
        </w:rPr>
      </w:pPr>
      <w:bookmarkStart w:id="233" w:name="bookmark916"/>
      <w:bookmarkEnd w:id="233"/>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2</w:t>
      </w:r>
      <w:r>
        <w:rPr>
          <w:rFonts w:hint="eastAsia" w:ascii="Times New Roman" w:hAnsi="宋体" w:eastAsia="宋体" w:cs="宋体"/>
          <w:color w:val="auto"/>
          <w:kern w:val="0"/>
          <w:sz w:val="21"/>
          <w:szCs w:val="21"/>
          <w:highlight w:val="none"/>
        </w:rPr>
        <w:t>）中标通知书；</w:t>
      </w:r>
    </w:p>
    <w:p w14:paraId="0601F9CC">
      <w:pPr>
        <w:spacing w:line="360" w:lineRule="auto"/>
        <w:ind w:firstLineChars="200"/>
        <w:rPr>
          <w:rFonts w:hint="eastAsia" w:ascii="Times New Roman" w:hAnsi="宋体" w:eastAsia="宋体" w:cs="宋体"/>
          <w:color w:val="auto"/>
          <w:kern w:val="0"/>
          <w:sz w:val="21"/>
          <w:szCs w:val="21"/>
          <w:highlight w:val="none"/>
        </w:rPr>
      </w:pPr>
      <w:bookmarkStart w:id="234" w:name="bookmark917"/>
      <w:bookmarkEnd w:id="234"/>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3</w:t>
      </w:r>
      <w:r>
        <w:rPr>
          <w:rFonts w:hint="eastAsia" w:ascii="Times New Roman" w:hAnsi="宋体" w:eastAsia="宋体" w:cs="宋体"/>
          <w:color w:val="auto"/>
          <w:kern w:val="0"/>
          <w:sz w:val="21"/>
          <w:szCs w:val="21"/>
          <w:highlight w:val="none"/>
        </w:rPr>
        <w:t>）投标函及投标函附录；</w:t>
      </w:r>
    </w:p>
    <w:p w14:paraId="6007EEC1">
      <w:pPr>
        <w:spacing w:line="360" w:lineRule="auto"/>
        <w:ind w:firstLineChars="200"/>
        <w:rPr>
          <w:rFonts w:hint="eastAsia" w:ascii="Times New Roman" w:hAnsi="宋体" w:eastAsia="宋体" w:cs="宋体"/>
          <w:color w:val="auto"/>
          <w:kern w:val="0"/>
          <w:sz w:val="21"/>
          <w:szCs w:val="21"/>
          <w:highlight w:val="none"/>
        </w:rPr>
      </w:pPr>
      <w:bookmarkStart w:id="235" w:name="bookmark918"/>
      <w:bookmarkEnd w:id="235"/>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4</w:t>
      </w:r>
      <w:r>
        <w:rPr>
          <w:rFonts w:hint="eastAsia" w:ascii="Times New Roman" w:hAnsi="宋体" w:eastAsia="宋体" w:cs="宋体"/>
          <w:color w:val="auto"/>
          <w:kern w:val="0"/>
          <w:sz w:val="21"/>
          <w:szCs w:val="21"/>
          <w:highlight w:val="none"/>
        </w:rPr>
        <w:t>）专用合同条款；</w:t>
      </w:r>
    </w:p>
    <w:p w14:paraId="1967D5C0">
      <w:pPr>
        <w:spacing w:line="360" w:lineRule="auto"/>
        <w:ind w:firstLineChars="200"/>
        <w:rPr>
          <w:rFonts w:hint="eastAsia" w:ascii="Times New Roman" w:hAnsi="宋体" w:eastAsia="宋体" w:cs="宋体"/>
          <w:color w:val="auto"/>
          <w:kern w:val="0"/>
          <w:sz w:val="21"/>
          <w:szCs w:val="21"/>
          <w:highlight w:val="none"/>
        </w:rPr>
      </w:pPr>
      <w:bookmarkStart w:id="236" w:name="bookmark919"/>
      <w:bookmarkEnd w:id="236"/>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5</w:t>
      </w:r>
      <w:r>
        <w:rPr>
          <w:rFonts w:hint="eastAsia" w:ascii="Times New Roman" w:hAnsi="宋体" w:eastAsia="宋体" w:cs="宋体"/>
          <w:color w:val="auto"/>
          <w:kern w:val="0"/>
          <w:sz w:val="21"/>
          <w:szCs w:val="21"/>
          <w:highlight w:val="none"/>
        </w:rPr>
        <w:t>）通用合同条款；</w:t>
      </w:r>
    </w:p>
    <w:p w14:paraId="7E67F41A">
      <w:pPr>
        <w:spacing w:line="360" w:lineRule="auto"/>
        <w:ind w:firstLineChars="200"/>
        <w:rPr>
          <w:rFonts w:hint="eastAsia" w:ascii="Times New Roman" w:hAnsi="宋体" w:eastAsia="宋体" w:cs="宋体"/>
          <w:color w:val="auto"/>
          <w:kern w:val="0"/>
          <w:sz w:val="21"/>
          <w:szCs w:val="21"/>
          <w:highlight w:val="none"/>
        </w:rPr>
      </w:pPr>
      <w:bookmarkStart w:id="237" w:name="bookmark920"/>
      <w:bookmarkEnd w:id="237"/>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6</w:t>
      </w:r>
      <w:r>
        <w:rPr>
          <w:rFonts w:hint="eastAsia" w:ascii="Times New Roman" w:hAnsi="宋体" w:eastAsia="宋体" w:cs="宋体"/>
          <w:color w:val="auto"/>
          <w:kern w:val="0"/>
          <w:sz w:val="21"/>
          <w:szCs w:val="21"/>
          <w:highlight w:val="none"/>
        </w:rPr>
        <w:t>）技术标准和要求；</w:t>
      </w:r>
    </w:p>
    <w:p w14:paraId="164A7326">
      <w:pPr>
        <w:spacing w:line="360" w:lineRule="auto"/>
        <w:ind w:firstLineChars="200"/>
        <w:rPr>
          <w:rFonts w:hint="eastAsia" w:ascii="Times New Roman" w:hAnsi="宋体" w:eastAsia="宋体" w:cs="宋体"/>
          <w:color w:val="auto"/>
          <w:kern w:val="0"/>
          <w:sz w:val="21"/>
          <w:szCs w:val="21"/>
          <w:highlight w:val="none"/>
        </w:rPr>
      </w:pPr>
      <w:bookmarkStart w:id="238" w:name="bookmark921"/>
      <w:bookmarkEnd w:id="238"/>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7</w:t>
      </w:r>
      <w:r>
        <w:rPr>
          <w:rFonts w:hint="eastAsia" w:ascii="Times New Roman" w:hAnsi="宋体" w:eastAsia="宋体" w:cs="宋体"/>
          <w:color w:val="auto"/>
          <w:kern w:val="0"/>
          <w:sz w:val="21"/>
          <w:szCs w:val="21"/>
          <w:highlight w:val="none"/>
        </w:rPr>
        <w:t>）图纸；</w:t>
      </w:r>
    </w:p>
    <w:p w14:paraId="176EBA0D">
      <w:pPr>
        <w:spacing w:line="360" w:lineRule="auto"/>
        <w:ind w:firstLine="420" w:firstLineChars="200"/>
        <w:rPr>
          <w:rFonts w:hint="eastAsia" w:ascii="Times New Roman" w:hAnsi="宋体" w:eastAsia="宋体" w:cs="宋体"/>
          <w:color w:val="auto"/>
          <w:kern w:val="0"/>
          <w:sz w:val="21"/>
          <w:szCs w:val="21"/>
          <w:highlight w:val="none"/>
        </w:rPr>
      </w:pPr>
      <w:bookmarkStart w:id="239" w:name="bookmark922"/>
      <w:bookmarkEnd w:id="239"/>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8</w:t>
      </w:r>
      <w:r>
        <w:rPr>
          <w:rFonts w:hint="eastAsia" w:ascii="Times New Roman" w:hAnsi="宋体" w:eastAsia="宋体" w:cs="宋体"/>
          <w:color w:val="auto"/>
          <w:kern w:val="0"/>
          <w:sz w:val="21"/>
          <w:szCs w:val="21"/>
          <w:highlight w:val="none"/>
        </w:rPr>
        <w:t>）已标价工程量清单；</w:t>
      </w:r>
    </w:p>
    <w:p w14:paraId="043EC8CF">
      <w:pPr>
        <w:autoSpaceDE/>
        <w:autoSpaceDN/>
        <w:adjustRightInd/>
        <w:spacing w:line="360" w:lineRule="auto"/>
        <w:ind w:firstLine="420" w:firstLineChars="200"/>
        <w:jc w:val="left"/>
        <w:rPr>
          <w:rFonts w:hint="eastAsia" w:ascii="Times New Roman" w:hAnsi="宋体" w:eastAsia="宋体" w:cs="宋体"/>
          <w:color w:val="auto"/>
          <w:kern w:val="0"/>
          <w:sz w:val="21"/>
          <w:szCs w:val="21"/>
          <w:highlight w:val="none"/>
          <w:u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9</w:t>
      </w: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u w:val="none"/>
        </w:rPr>
        <w:t>其他合同文件：</w:t>
      </w:r>
    </w:p>
    <w:p w14:paraId="12C14703">
      <w:pPr>
        <w:spacing w:line="360" w:lineRule="auto"/>
        <w:ind w:firstLine="420" w:firstLineChars="200"/>
        <w:rPr>
          <w:rFonts w:hAnsi="宋体" w:cs="宋体"/>
          <w:color w:val="auto"/>
          <w:kern w:val="0"/>
          <w:sz w:val="21"/>
          <w:szCs w:val="21"/>
          <w:highlight w:val="none"/>
        </w:rPr>
      </w:pPr>
      <w:r>
        <w:rPr>
          <w:rFonts w:hint="eastAsia" w:hAnsi="宋体" w:cs="宋体"/>
          <w:color w:val="auto"/>
          <w:kern w:val="0"/>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kern w:val="0"/>
          <w:sz w:val="21"/>
          <w:szCs w:val="21"/>
          <w:highlight w:val="none"/>
        </w:rPr>
        <w:t>实质性内容的约定除外</w:t>
      </w:r>
      <w:r>
        <w:rPr>
          <w:rFonts w:hint="eastAsia" w:hAnsi="宋体" w:cs="宋体"/>
          <w:color w:val="auto"/>
          <w:kern w:val="0"/>
          <w:sz w:val="21"/>
          <w:szCs w:val="21"/>
          <w:highlight w:val="none"/>
        </w:rPr>
        <w:t>）。专用合同条款及其附件须经合同当事人签字或盖章。</w:t>
      </w:r>
    </w:p>
    <w:p w14:paraId="6C11F818">
      <w:pPr>
        <w:pStyle w:val="5"/>
        <w:rPr>
          <w:rFonts w:hint="eastAsia" w:eastAsia="宋体"/>
          <w:color w:val="auto"/>
          <w:highlight w:val="none"/>
          <w:lang w:eastAsia="zh-CN"/>
        </w:rPr>
      </w:pPr>
      <w:bookmarkStart w:id="240" w:name="_Toc1537247101"/>
      <w:bookmarkStart w:id="241" w:name="_Toc373227697"/>
      <w:bookmarkStart w:id="242" w:name="_Toc373478344"/>
      <w:bookmarkStart w:id="243" w:name="_Toc407135199"/>
      <w:bookmarkStart w:id="244" w:name="_Toc78449785"/>
      <w:bookmarkStart w:id="245" w:name="_Toc9232"/>
      <w:bookmarkStart w:id="246" w:name="_Toc1531480704"/>
      <w:bookmarkStart w:id="247" w:name="_Toc389065263"/>
      <w:r>
        <w:rPr>
          <w:color w:val="auto"/>
          <w:highlight w:val="none"/>
        </w:rPr>
        <w:t>1.6</w:t>
      </w:r>
      <w:r>
        <w:rPr>
          <w:rFonts w:hint="eastAsia" w:cs="黑体"/>
          <w:color w:val="auto"/>
          <w:highlight w:val="none"/>
        </w:rPr>
        <w:t>图纸和承包人文件</w:t>
      </w:r>
      <w:bookmarkEnd w:id="240"/>
      <w:bookmarkEnd w:id="241"/>
      <w:bookmarkEnd w:id="242"/>
      <w:bookmarkEnd w:id="243"/>
      <w:bookmarkEnd w:id="244"/>
      <w:bookmarkEnd w:id="245"/>
      <w:bookmarkEnd w:id="246"/>
      <w:bookmarkEnd w:id="247"/>
    </w:p>
    <w:p w14:paraId="02704CBF">
      <w:pPr>
        <w:spacing w:line="360" w:lineRule="auto"/>
        <w:ind w:firstLine="420" w:firstLineChars="200"/>
        <w:rPr>
          <w:color w:val="auto"/>
          <w:sz w:val="21"/>
          <w:szCs w:val="21"/>
          <w:highlight w:val="none"/>
        </w:rPr>
      </w:pPr>
      <w:r>
        <w:rPr>
          <w:color w:val="auto"/>
          <w:sz w:val="21"/>
          <w:szCs w:val="21"/>
          <w:highlight w:val="none"/>
        </w:rPr>
        <w:t>1.6.1</w:t>
      </w:r>
      <w:r>
        <w:rPr>
          <w:rFonts w:hint="eastAsia" w:hAnsi="宋体" w:cs="宋体"/>
          <w:color w:val="auto"/>
          <w:sz w:val="21"/>
          <w:szCs w:val="21"/>
          <w:highlight w:val="none"/>
        </w:rPr>
        <w:t>图纸的提供</w:t>
      </w:r>
    </w:p>
    <w:p w14:paraId="5FD07DA7">
      <w:pPr>
        <w:pStyle w:val="49"/>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1.6.1</w:t>
      </w:r>
      <w:r>
        <w:rPr>
          <w:rFonts w:hint="eastAsia" w:ascii="Times New Roman" w:hAnsi="宋体" w:cs="宋体"/>
          <w:color w:val="auto"/>
          <w:sz w:val="21"/>
          <w:szCs w:val="21"/>
          <w:highlight w:val="none"/>
        </w:rPr>
        <w:t>图纸的提供</w:t>
      </w:r>
    </w:p>
    <w:p w14:paraId="5C6094CA">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发包人向承包人提供图纸的期限：</w:t>
      </w:r>
      <w:r>
        <w:rPr>
          <w:rFonts w:hint="eastAsia" w:ascii="Times New Roman" w:hAnsi="宋体" w:cs="宋体"/>
          <w:color w:val="auto"/>
          <w:sz w:val="21"/>
          <w:szCs w:val="21"/>
          <w:highlight w:val="none"/>
          <w:u w:val="single"/>
          <w:lang w:val="en-US" w:eastAsia="zh-CN"/>
        </w:rPr>
        <w:t>自签订合同7个工作日内</w:t>
      </w:r>
      <w:r>
        <w:rPr>
          <w:rFonts w:hint="eastAsia" w:ascii="Times New Roman" w:hAnsi="宋体" w:cs="宋体"/>
          <w:color w:val="auto"/>
          <w:sz w:val="21"/>
          <w:szCs w:val="21"/>
          <w:highlight w:val="none"/>
        </w:rPr>
        <w:t>；</w:t>
      </w:r>
    </w:p>
    <w:p w14:paraId="3E003305">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发包人向承包人提供图纸的数量：</w:t>
      </w:r>
      <w:r>
        <w:rPr>
          <w:rFonts w:hint="eastAsia" w:ascii="Times New Roman" w:hAnsi="宋体" w:cs="宋体"/>
          <w:color w:val="auto"/>
          <w:sz w:val="21"/>
          <w:szCs w:val="21"/>
          <w:highlight w:val="none"/>
          <w:u w:val="single"/>
          <w:lang w:val="en-US" w:eastAsia="zh-CN"/>
        </w:rPr>
        <w:t>1</w:t>
      </w:r>
      <w:r>
        <w:rPr>
          <w:rFonts w:hint="eastAsia" w:ascii="Times New Roman" w:hAnsi="宋体" w:cs="宋体"/>
          <w:color w:val="auto"/>
          <w:sz w:val="21"/>
          <w:szCs w:val="21"/>
          <w:highlight w:val="none"/>
          <w:u w:val="single"/>
        </w:rPr>
        <w:t>套</w:t>
      </w:r>
      <w:r>
        <w:rPr>
          <w:rFonts w:hint="eastAsia" w:ascii="Times New Roman" w:hAnsi="宋体" w:cs="宋体"/>
          <w:color w:val="auto"/>
          <w:sz w:val="21"/>
          <w:szCs w:val="21"/>
          <w:highlight w:val="none"/>
        </w:rPr>
        <w:t>（承包人需要增加图纸套数的，发包人应代为复制，复制费用由承包人承担）；</w:t>
      </w:r>
    </w:p>
    <w:p w14:paraId="32EE4AF8">
      <w:pPr>
        <w:pStyle w:val="49"/>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发包人向承包人提供图纸的内容：</w:t>
      </w:r>
      <w:r>
        <w:rPr>
          <w:rFonts w:hint="eastAsia" w:ascii="Times New Roman" w:hAnsi="宋体" w:cs="宋体"/>
          <w:color w:val="auto"/>
          <w:sz w:val="21"/>
          <w:szCs w:val="21"/>
          <w:highlight w:val="none"/>
          <w:u w:val="single"/>
          <w:lang w:val="en-US" w:eastAsia="zh-CN"/>
        </w:rPr>
        <w:t>按设计公司盖章的施工图为准</w:t>
      </w:r>
      <w:r>
        <w:rPr>
          <w:rFonts w:hint="eastAsia" w:ascii="Times New Roman" w:hAnsi="宋体" w:cs="宋体"/>
          <w:color w:val="auto"/>
          <w:sz w:val="21"/>
          <w:szCs w:val="21"/>
          <w:highlight w:val="none"/>
        </w:rPr>
        <w:t>。</w:t>
      </w:r>
    </w:p>
    <w:p w14:paraId="1BAC3386">
      <w:pPr>
        <w:spacing w:line="360" w:lineRule="auto"/>
        <w:ind w:firstLine="420" w:firstLineChars="200"/>
        <w:rPr>
          <w:color w:val="auto"/>
          <w:sz w:val="21"/>
          <w:szCs w:val="21"/>
          <w:highlight w:val="none"/>
        </w:rPr>
      </w:pPr>
      <w:r>
        <w:rPr>
          <w:color w:val="auto"/>
          <w:sz w:val="21"/>
          <w:szCs w:val="21"/>
          <w:highlight w:val="none"/>
        </w:rPr>
        <w:t>1.6.4</w:t>
      </w:r>
      <w:r>
        <w:rPr>
          <w:rFonts w:hint="eastAsia" w:hAnsi="宋体" w:cs="宋体"/>
          <w:color w:val="auto"/>
          <w:sz w:val="21"/>
          <w:szCs w:val="21"/>
          <w:highlight w:val="none"/>
        </w:rPr>
        <w:t>承包人文件</w:t>
      </w:r>
    </w:p>
    <w:p w14:paraId="7760413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需要由承包人提供的文件，包括</w:t>
      </w:r>
      <w:r>
        <w:rPr>
          <w:rFonts w:hint="eastAsia" w:ascii="Times New Roman" w:hAnsi="宋体" w:eastAsia="宋体" w:cs="宋体"/>
          <w:color w:val="auto"/>
          <w:kern w:val="2"/>
          <w:sz w:val="21"/>
          <w:szCs w:val="21"/>
          <w:highlight w:val="none"/>
          <w:u w:val="single"/>
          <w:lang w:val="en-US" w:eastAsia="zh-CN" w:bidi="ar-SA"/>
        </w:rPr>
        <w:t>：</w:t>
      </w:r>
      <w:r>
        <w:rPr>
          <w:rFonts w:hint="eastAsia" w:hAnsi="宋体" w:cs="宋体"/>
          <w:color w:val="auto"/>
          <w:kern w:val="2"/>
          <w:sz w:val="21"/>
          <w:szCs w:val="21"/>
          <w:highlight w:val="none"/>
          <w:u w:val="single"/>
          <w:lang w:val="en-US" w:eastAsia="zh-CN" w:bidi="ar-SA"/>
        </w:rPr>
        <w:t>施工组织设计及总进度计划应在合同签订后14日内提交；月度计量报表及付款申请应在每月25日前提交；竣工资料应在工程竣工验收合格后30日内提交；其他文件应在收到发包人或监理人书面通知后7日内提交。</w:t>
      </w:r>
    </w:p>
    <w:p w14:paraId="4F838BB7">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承包人提供的文件的期限为：</w:t>
      </w:r>
      <w:r>
        <w:rPr>
          <w:rFonts w:hint="eastAsia" w:ascii="Times New Roman" w:hAnsi="宋体" w:eastAsia="宋体" w:cs="宋体"/>
          <w:color w:val="auto"/>
          <w:kern w:val="2"/>
          <w:sz w:val="21"/>
          <w:szCs w:val="21"/>
          <w:highlight w:val="none"/>
          <w:u w:val="single"/>
          <w:lang w:val="en-US" w:eastAsia="zh-CN" w:bidi="ar-SA"/>
        </w:rPr>
        <w:t>根据工程进度需求及发包人或监理人的书面通知要求提报。其中，施工组织设计及总进度计划应在合同签订后[14]日内提交；月度计量报表及付款申请应在每月[25]日前提交；竣工资料应在工程竣工验收合格后[30]日内提交；其他文件应在收到发包人或监理人书面通知后[7]日内提交</w:t>
      </w:r>
      <w:r>
        <w:rPr>
          <w:rFonts w:hint="eastAsia" w:hAnsi="宋体" w:cs="宋体"/>
          <w:color w:val="auto"/>
          <w:sz w:val="21"/>
          <w:szCs w:val="21"/>
          <w:highlight w:val="none"/>
        </w:rPr>
        <w:t>；</w:t>
      </w:r>
    </w:p>
    <w:p w14:paraId="30656AEB">
      <w:pPr>
        <w:spacing w:line="360" w:lineRule="auto"/>
        <w:ind w:firstLine="420" w:firstLineChars="200"/>
        <w:rPr>
          <w:rFonts w:hint="eastAsia"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承包人提供的文件的数量为：</w:t>
      </w:r>
      <w:r>
        <w:rPr>
          <w:rFonts w:hint="eastAsia" w:ascii="Times New Roman" w:hAnsi="宋体" w:eastAsia="宋体" w:cs="宋体"/>
          <w:color w:val="auto"/>
          <w:kern w:val="2"/>
          <w:sz w:val="21"/>
          <w:szCs w:val="21"/>
          <w:highlight w:val="none"/>
          <w:u w:val="single"/>
          <w:lang w:val="en-US" w:eastAsia="zh-CN" w:bidi="ar-SA"/>
        </w:rPr>
        <w:t>纸质版一式[三]份，电子版（PDF及可编辑格式，如Word、Excel）一份。发包人或监理人不得要求承包人额外无偿提供超过此数量的文件；</w:t>
      </w:r>
    </w:p>
    <w:p w14:paraId="4F36BE99">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承包人提供的文件的形式为：</w:t>
      </w:r>
      <w:r>
        <w:rPr>
          <w:rFonts w:hint="eastAsia" w:ascii="Times New Roman" w:hAnsi="宋体" w:eastAsia="宋体" w:cs="宋体"/>
          <w:color w:val="auto"/>
          <w:kern w:val="2"/>
          <w:sz w:val="21"/>
          <w:szCs w:val="21"/>
          <w:highlight w:val="none"/>
          <w:u w:val="single"/>
          <w:lang w:val="en-US" w:eastAsia="zh-CN" w:bidi="ar-SA"/>
        </w:rPr>
        <w:t>纸质版文件应加盖承包人公章或项目章，并有项目经理或其授权人员签字；电子版文件应通过指定邮箱或项目管理平台发送。承包人提交文件至发包人及监理人后，发包人及监理人应予以签收并注明签收日期；</w:t>
      </w:r>
    </w:p>
    <w:p w14:paraId="2DEB47E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发包人审批承包人文件的期限：</w:t>
      </w:r>
      <w:r>
        <w:rPr>
          <w:rFonts w:hint="eastAsia" w:ascii="Times New Roman" w:hAnsi="宋体" w:eastAsia="宋体" w:cs="宋体"/>
          <w:color w:val="auto"/>
          <w:kern w:val="2"/>
          <w:sz w:val="21"/>
          <w:szCs w:val="21"/>
          <w:highlight w:val="none"/>
          <w:u w:val="single"/>
          <w:lang w:val="en-US" w:eastAsia="zh-CN" w:bidi="ar-SA"/>
        </w:rPr>
        <w:t>发包人或监理人应在收到承包人提交的完整文件后[10]个工作日内完成审批并书面回复。若发包人或监理人在上述期限内未提出书面异议或修改意见，</w:t>
      </w:r>
      <w:r>
        <w:rPr>
          <w:rFonts w:hint="default" w:ascii="Times New Roman" w:hAnsi="宋体" w:eastAsia="宋体" w:cs="宋体"/>
          <w:color w:val="auto"/>
          <w:kern w:val="2"/>
          <w:sz w:val="21"/>
          <w:szCs w:val="21"/>
          <w:highlight w:val="none"/>
          <w:u w:val="single"/>
          <w:lang w:val="en-US" w:eastAsia="zh-CN" w:bidi="ar-SA"/>
        </w:rPr>
        <w:t>则视为已批准承包人提交的文件，承包人可据此执行。因发包人或监理人审批延误导致的工期延误和费用增加，由发包人承担</w:t>
      </w:r>
      <w:r>
        <w:rPr>
          <w:rFonts w:hint="eastAsia" w:hAnsi="宋体" w:cs="宋体"/>
          <w:color w:val="auto"/>
          <w:sz w:val="21"/>
          <w:szCs w:val="21"/>
          <w:highlight w:val="none"/>
        </w:rPr>
        <w:t>。</w:t>
      </w:r>
    </w:p>
    <w:p w14:paraId="278E0B88">
      <w:pPr>
        <w:spacing w:line="360" w:lineRule="auto"/>
        <w:ind w:firstLine="420" w:firstLineChars="200"/>
        <w:rPr>
          <w:color w:val="auto"/>
          <w:sz w:val="21"/>
          <w:szCs w:val="21"/>
          <w:highlight w:val="none"/>
        </w:rPr>
      </w:pPr>
      <w:r>
        <w:rPr>
          <w:color w:val="auto"/>
          <w:sz w:val="21"/>
          <w:szCs w:val="21"/>
          <w:highlight w:val="none"/>
        </w:rPr>
        <w:t>1.6.5</w:t>
      </w:r>
      <w:r>
        <w:rPr>
          <w:rFonts w:hint="eastAsia" w:hAnsi="宋体" w:cs="宋体"/>
          <w:color w:val="auto"/>
          <w:sz w:val="21"/>
          <w:szCs w:val="21"/>
          <w:highlight w:val="none"/>
        </w:rPr>
        <w:t>现场图纸准备</w:t>
      </w:r>
    </w:p>
    <w:p w14:paraId="7305D227">
      <w:pPr>
        <w:spacing w:line="360" w:lineRule="auto"/>
        <w:ind w:firstLine="420" w:firstLineChars="200"/>
        <w:rPr>
          <w:color w:val="auto"/>
          <w:sz w:val="21"/>
          <w:szCs w:val="21"/>
          <w:highlight w:val="none"/>
        </w:rPr>
      </w:pPr>
      <w:r>
        <w:rPr>
          <w:rFonts w:hint="eastAsia" w:hAnsi="宋体" w:cs="宋体"/>
          <w:color w:val="auto"/>
          <w:sz w:val="21"/>
          <w:szCs w:val="21"/>
          <w:highlight w:val="none"/>
        </w:rPr>
        <w:t>关于现场图纸准备的约定</w:t>
      </w:r>
      <w:r>
        <w:rPr>
          <w:rFonts w:hint="eastAsia" w:ascii="Times New Roman" w:hAnsi="宋体" w:eastAsia="宋体" w:cs="宋体"/>
          <w:color w:val="auto"/>
          <w:kern w:val="2"/>
          <w:sz w:val="21"/>
          <w:szCs w:val="21"/>
          <w:highlight w:val="none"/>
          <w:u w:val="single"/>
          <w:lang w:val="en-US" w:eastAsia="zh-CN" w:bidi="ar-SA"/>
        </w:rPr>
        <w:t>：</w:t>
      </w:r>
      <w:r>
        <w:rPr>
          <w:rFonts w:hint="default" w:ascii="Times New Roman" w:hAnsi="宋体" w:eastAsia="宋体" w:cs="宋体"/>
          <w:color w:val="auto"/>
          <w:kern w:val="2"/>
          <w:sz w:val="21"/>
          <w:szCs w:val="21"/>
          <w:highlight w:val="none"/>
          <w:u w:val="single"/>
          <w:lang w:val="en-US" w:eastAsia="zh-CN" w:bidi="ar-SA"/>
        </w:rPr>
        <w:t>发包人提供的施工图纸，承包人应至少保留一套加盖发包人公章或图纸专用章的完整图纸在现场，用于施工及验收。现场图纸的保管、整理、归档由承包人负责，但因图纸本身质量问题（如缺页、模糊）或发包人提供图纸更新导致的图纸作废，发包人应免费提供替换图纸。合同履行完毕后，承包人应按发包人要求将全部图纸（含作废图纸）清点归还。</w:t>
      </w:r>
      <w:r>
        <w:rPr>
          <w:rFonts w:hint="eastAsia" w:ascii="Times New Roman" w:hAnsi="宋体" w:eastAsia="宋体" w:cs="宋体"/>
          <w:color w:val="auto"/>
          <w:kern w:val="2"/>
          <w:sz w:val="21"/>
          <w:szCs w:val="21"/>
          <w:highlight w:val="none"/>
          <w:u w:val="single"/>
          <w:lang w:val="en-US" w:eastAsia="zh-CN" w:bidi="ar-SA"/>
        </w:rPr>
        <w:t>。</w:t>
      </w:r>
    </w:p>
    <w:p w14:paraId="7B10566A">
      <w:pPr>
        <w:pStyle w:val="5"/>
        <w:rPr>
          <w:color w:val="auto"/>
          <w:highlight w:val="none"/>
        </w:rPr>
      </w:pPr>
      <w:bookmarkStart w:id="248" w:name="_Toc407135200"/>
      <w:bookmarkStart w:id="249" w:name="_Toc1944260835"/>
      <w:bookmarkStart w:id="250" w:name="_Toc78449786"/>
      <w:bookmarkStart w:id="251" w:name="_Toc389065264"/>
      <w:bookmarkStart w:id="252" w:name="_Toc373227698"/>
      <w:bookmarkStart w:id="253" w:name="_Toc110523719"/>
      <w:bookmarkStart w:id="254" w:name="_Toc23522"/>
      <w:bookmarkStart w:id="255" w:name="_Toc373478345"/>
      <w:r>
        <w:rPr>
          <w:color w:val="auto"/>
          <w:highlight w:val="none"/>
        </w:rPr>
        <w:t>1.7</w:t>
      </w:r>
      <w:r>
        <w:rPr>
          <w:rFonts w:hint="eastAsia" w:hAnsi="宋体" w:cs="黑体"/>
          <w:color w:val="auto"/>
          <w:highlight w:val="none"/>
        </w:rPr>
        <w:t>联络</w:t>
      </w:r>
      <w:bookmarkEnd w:id="248"/>
      <w:bookmarkEnd w:id="249"/>
      <w:bookmarkEnd w:id="250"/>
      <w:bookmarkEnd w:id="251"/>
      <w:bookmarkEnd w:id="252"/>
      <w:bookmarkEnd w:id="253"/>
      <w:bookmarkEnd w:id="254"/>
      <w:bookmarkEnd w:id="255"/>
    </w:p>
    <w:p w14:paraId="0E051D9E">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hAnsi="宋体" w:cs="宋体"/>
          <w:color w:val="auto"/>
          <w:kern w:val="0"/>
          <w:sz w:val="21"/>
          <w:szCs w:val="21"/>
          <w:highlight w:val="none"/>
        </w:rPr>
        <w:t>发包人和承包人应当在</w:t>
      </w:r>
      <w:r>
        <w:rPr>
          <w:rFonts w:hint="eastAsia"/>
          <w:color w:val="auto"/>
          <w:sz w:val="21"/>
          <w:szCs w:val="21"/>
          <w:highlight w:val="none"/>
          <w:u w:val="single"/>
          <w:lang w:val="en-US" w:eastAsia="zh-CN"/>
        </w:rPr>
        <w:t>5</w:t>
      </w:r>
      <w:r>
        <w:rPr>
          <w:rFonts w:hint="eastAsia" w:hAnsi="宋体" w:cs="宋体"/>
          <w:color w:val="auto"/>
          <w:kern w:val="0"/>
          <w:sz w:val="21"/>
          <w:szCs w:val="21"/>
          <w:highlight w:val="none"/>
        </w:rPr>
        <w:t>天内将与合同有关的通知、批准、证明、证书、指示、指令、要求、请求、同意、意见、确定和决定等书面函件送达对方当事人。</w:t>
      </w:r>
    </w:p>
    <w:p w14:paraId="373A3B02">
      <w:pPr>
        <w:spacing w:line="360" w:lineRule="auto"/>
        <w:ind w:firstLine="420" w:firstLineChars="200"/>
        <w:rPr>
          <w:color w:val="auto"/>
          <w:kern w:val="0"/>
          <w:sz w:val="21"/>
          <w:szCs w:val="21"/>
          <w:highlight w:val="none"/>
        </w:rPr>
      </w:pPr>
      <w:r>
        <w:rPr>
          <w:color w:val="auto"/>
          <w:kern w:val="0"/>
          <w:sz w:val="21"/>
          <w:szCs w:val="21"/>
          <w:highlight w:val="none"/>
        </w:rPr>
        <w:t>1.7.2</w:t>
      </w:r>
      <w:r>
        <w:rPr>
          <w:rFonts w:hint="eastAsia" w:hAnsi="宋体" w:cs="宋体"/>
          <w:color w:val="auto"/>
          <w:kern w:val="0"/>
          <w:sz w:val="21"/>
          <w:szCs w:val="21"/>
          <w:highlight w:val="none"/>
        </w:rPr>
        <w:t>发包人接收文件的地点：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589A1CEE">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7E3738C9">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6C05059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2B6BB71">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监理人接收文件的地点：</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39BC9E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监理人指定的接收人为：</w:t>
      </w:r>
      <w:r>
        <w:rPr>
          <w:rFonts w:hint="eastAsia" w:hAnsi="宋体" w:cs="宋体"/>
          <w:color w:val="auto"/>
          <w:sz w:val="21"/>
          <w:szCs w:val="21"/>
          <w:highlight w:val="none"/>
          <w:u w:val="single"/>
          <w:lang w:val="en-US" w:eastAsia="zh-CN"/>
        </w:rPr>
        <w:t xml:space="preserve">                </w:t>
      </w:r>
      <w:r>
        <w:rPr>
          <w:rFonts w:hint="eastAsia" w:hAnsi="宋体" w:cs="宋体"/>
          <w:color w:val="auto"/>
          <w:kern w:val="0"/>
          <w:sz w:val="21"/>
          <w:szCs w:val="21"/>
          <w:highlight w:val="none"/>
        </w:rPr>
        <w:t>。</w:t>
      </w:r>
    </w:p>
    <w:p w14:paraId="2F3B14DF">
      <w:pPr>
        <w:pStyle w:val="5"/>
        <w:rPr>
          <w:color w:val="auto"/>
          <w:highlight w:val="none"/>
        </w:rPr>
      </w:pPr>
      <w:bookmarkStart w:id="256" w:name="_Toc1387231545"/>
      <w:bookmarkStart w:id="257" w:name="_Toc23405"/>
      <w:bookmarkStart w:id="258" w:name="_Toc78449787"/>
      <w:bookmarkStart w:id="259" w:name="_Toc407135201"/>
      <w:bookmarkStart w:id="260" w:name="_Toc389065265"/>
      <w:bookmarkStart w:id="261" w:name="_Toc224348539"/>
      <w:bookmarkStart w:id="262" w:name="_Toc373478346"/>
      <w:bookmarkStart w:id="263" w:name="_Toc373227699"/>
      <w:r>
        <w:rPr>
          <w:color w:val="auto"/>
          <w:highlight w:val="none"/>
        </w:rPr>
        <w:t>1.10</w:t>
      </w:r>
      <w:r>
        <w:rPr>
          <w:rFonts w:hint="eastAsia" w:hAnsi="宋体" w:cs="黑体"/>
          <w:color w:val="auto"/>
          <w:highlight w:val="none"/>
        </w:rPr>
        <w:t>交通运输</w:t>
      </w:r>
      <w:bookmarkEnd w:id="256"/>
      <w:bookmarkEnd w:id="257"/>
      <w:bookmarkEnd w:id="258"/>
      <w:bookmarkEnd w:id="259"/>
      <w:bookmarkEnd w:id="260"/>
      <w:bookmarkEnd w:id="261"/>
      <w:bookmarkEnd w:id="262"/>
      <w:bookmarkEnd w:id="263"/>
    </w:p>
    <w:p w14:paraId="6A043DEB">
      <w:pPr>
        <w:spacing w:line="360" w:lineRule="auto"/>
        <w:ind w:firstLine="420" w:firstLineChars="200"/>
        <w:rPr>
          <w:color w:val="auto"/>
          <w:sz w:val="21"/>
          <w:szCs w:val="21"/>
          <w:highlight w:val="none"/>
        </w:rPr>
      </w:pPr>
      <w:r>
        <w:rPr>
          <w:color w:val="auto"/>
          <w:sz w:val="21"/>
          <w:szCs w:val="21"/>
          <w:highlight w:val="none"/>
        </w:rPr>
        <w:t>1.10.1</w:t>
      </w:r>
      <w:r>
        <w:rPr>
          <w:rFonts w:hint="eastAsia" w:hAnsi="宋体" w:cs="宋体"/>
          <w:color w:val="auto"/>
          <w:sz w:val="21"/>
          <w:szCs w:val="21"/>
          <w:highlight w:val="none"/>
        </w:rPr>
        <w:t>出入现场的权利</w:t>
      </w:r>
    </w:p>
    <w:p w14:paraId="6387F96B">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关于出入现场的权利的约定：</w:t>
      </w:r>
      <w:r>
        <w:rPr>
          <w:rFonts w:hint="eastAsia"/>
          <w:color w:val="auto"/>
          <w:sz w:val="21"/>
          <w:szCs w:val="21"/>
          <w:highlight w:val="none"/>
          <w:u w:val="single"/>
        </w:rPr>
        <w:t>发包人应确保承包人在合同期内有权自由、无阻碍地出入施工现场，包括施工人员、施工机械、设备、材料及临时设施所需的通行权利。发包人负责办理施工场地的出入证、通行许可等所有必要的手续，并承担相关费用。因发包人未能保证上述权利，导致承包人人员、设备、材料无法按时进出场的，由此增加的费用和延误的工期由发包人承担。</w:t>
      </w:r>
    </w:p>
    <w:p w14:paraId="55F94C5C">
      <w:pPr>
        <w:spacing w:line="360" w:lineRule="auto"/>
        <w:ind w:firstLine="420" w:firstLineChars="200"/>
        <w:jc w:val="left"/>
        <w:rPr>
          <w:color w:val="auto"/>
          <w:sz w:val="21"/>
          <w:szCs w:val="21"/>
          <w:highlight w:val="none"/>
        </w:rPr>
      </w:pPr>
      <w:r>
        <w:rPr>
          <w:color w:val="auto"/>
          <w:sz w:val="21"/>
          <w:szCs w:val="21"/>
          <w:highlight w:val="none"/>
        </w:rPr>
        <w:t>1.10.3</w:t>
      </w:r>
      <w:r>
        <w:rPr>
          <w:rFonts w:hint="eastAsia" w:hAnsi="宋体" w:cs="宋体"/>
          <w:color w:val="auto"/>
          <w:sz w:val="21"/>
          <w:szCs w:val="21"/>
          <w:highlight w:val="none"/>
        </w:rPr>
        <w:t>场内交通</w:t>
      </w:r>
    </w:p>
    <w:p w14:paraId="4F877709">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关于场外交通和场内交通的边界的约定：</w:t>
      </w:r>
      <w:r>
        <w:rPr>
          <w:rFonts w:hint="eastAsia"/>
          <w:color w:val="auto"/>
          <w:sz w:val="21"/>
          <w:szCs w:val="21"/>
          <w:highlight w:val="none"/>
          <w:u w:val="single"/>
        </w:rPr>
        <w:t>场外交通与场内交通的边界为：施工现场用地红线（或发包人指定的围挡、围墙）的边界线。自公共道路接入点至施工现场用地红线之间的道路为场外交通，由发包人负责协调并保证其畅通；用地红线以内的道路为场内交通，由承包人负责修建、维护和管理。</w:t>
      </w:r>
    </w:p>
    <w:p w14:paraId="466C68FD">
      <w:pPr>
        <w:spacing w:line="360" w:lineRule="auto"/>
        <w:ind w:firstLine="420" w:firstLineChars="200"/>
        <w:jc w:val="left"/>
        <w:rPr>
          <w:color w:val="auto"/>
          <w:sz w:val="21"/>
          <w:szCs w:val="21"/>
          <w:highlight w:val="none"/>
        </w:rPr>
      </w:pPr>
      <w:r>
        <w:rPr>
          <w:rFonts w:hAnsi="宋体"/>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发包人应在本合同约定的开工日期前[7]日内，将满足施工车辆（含重型载重车辆）通行要求的场内主要干道和必要的交通设施（如临时桥梁、涵洞、加固路面等）修建完成，并免费提供给承包人使用。场内道路的标准应满足施工组织设计中的最大载重和通行频率要求。若发包人提供的道路和设施不足以满足施工需要，承包人有权要求发包人进行改善，因此增加的费用和延误的工期由发包人承担。承包人使用期间，应负责日常维护；工程完工后，按发包人要求恢复或移交。</w:t>
      </w:r>
    </w:p>
    <w:p w14:paraId="74D0AB4C">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hAnsi="宋体" w:cs="宋体"/>
          <w:color w:val="auto"/>
          <w:sz w:val="21"/>
          <w:szCs w:val="21"/>
          <w:highlight w:val="none"/>
        </w:rPr>
        <w:t>超大件和超重件的运输</w:t>
      </w:r>
    </w:p>
    <w:p w14:paraId="1D7CB1D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运输超大件或超重件所需的道路和桥梁临时加固改造费用和其他有关费用由</w:t>
      </w:r>
      <w:r>
        <w:rPr>
          <w:rFonts w:hint="eastAsia"/>
          <w:color w:val="auto"/>
          <w:sz w:val="21"/>
          <w:szCs w:val="21"/>
          <w:highlight w:val="none"/>
          <w:u w:val="single"/>
          <w:lang w:val="en-US" w:eastAsia="zh-CN"/>
        </w:rPr>
        <w:t>/</w:t>
      </w:r>
      <w:r>
        <w:rPr>
          <w:rFonts w:hint="eastAsia" w:hAnsi="宋体" w:cs="宋体"/>
          <w:color w:val="auto"/>
          <w:sz w:val="21"/>
          <w:szCs w:val="21"/>
          <w:highlight w:val="none"/>
        </w:rPr>
        <w:t>承担。</w:t>
      </w:r>
    </w:p>
    <w:p w14:paraId="130A0DAC">
      <w:pPr>
        <w:pStyle w:val="5"/>
        <w:rPr>
          <w:color w:val="auto"/>
          <w:highlight w:val="none"/>
        </w:rPr>
      </w:pPr>
      <w:bookmarkStart w:id="264" w:name="_Toc12538"/>
      <w:bookmarkStart w:id="265" w:name="_Toc389065266"/>
      <w:bookmarkStart w:id="266" w:name="_Toc407135202"/>
      <w:bookmarkStart w:id="267" w:name="_Toc373478347"/>
      <w:bookmarkStart w:id="268" w:name="_Toc373227700"/>
      <w:bookmarkStart w:id="269" w:name="_Toc1495098807"/>
      <w:bookmarkStart w:id="270" w:name="_Toc512841653"/>
      <w:bookmarkStart w:id="271" w:name="_Toc78449788"/>
      <w:r>
        <w:rPr>
          <w:color w:val="auto"/>
          <w:highlight w:val="none"/>
        </w:rPr>
        <w:t>1.11</w:t>
      </w:r>
      <w:r>
        <w:rPr>
          <w:rFonts w:hint="eastAsia" w:hAnsi="宋体" w:cs="黑体"/>
          <w:color w:val="auto"/>
          <w:highlight w:val="none"/>
        </w:rPr>
        <w:t>知识产权</w:t>
      </w:r>
      <w:bookmarkEnd w:id="264"/>
      <w:bookmarkEnd w:id="265"/>
      <w:bookmarkEnd w:id="266"/>
      <w:bookmarkEnd w:id="267"/>
      <w:bookmarkEnd w:id="268"/>
      <w:bookmarkEnd w:id="269"/>
      <w:bookmarkEnd w:id="270"/>
      <w:bookmarkEnd w:id="271"/>
    </w:p>
    <w:p w14:paraId="04B7583F">
      <w:pPr>
        <w:spacing w:line="360" w:lineRule="auto"/>
        <w:ind w:firstLine="420" w:firstLineChars="200"/>
        <w:rPr>
          <w:color w:val="auto"/>
          <w:sz w:val="21"/>
          <w:szCs w:val="21"/>
          <w:highlight w:val="none"/>
        </w:rPr>
      </w:pPr>
      <w:r>
        <w:rPr>
          <w:color w:val="auto"/>
          <w:sz w:val="21"/>
          <w:szCs w:val="21"/>
          <w:highlight w:val="none"/>
        </w:rPr>
        <w:t>1.11.1</w:t>
      </w:r>
      <w:r>
        <w:rPr>
          <w:rFonts w:hint="eastAsia" w:hAnsi="宋体" w:cs="宋体"/>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color w:val="auto"/>
          <w:sz w:val="21"/>
          <w:szCs w:val="21"/>
          <w:highlight w:val="none"/>
          <w:u w:val="single"/>
        </w:rPr>
        <w:t>发包人</w:t>
      </w:r>
      <w:r>
        <w:rPr>
          <w:rFonts w:hint="eastAsia" w:hAnsi="宋体" w:cs="宋体"/>
          <w:color w:val="auto"/>
          <w:sz w:val="21"/>
          <w:szCs w:val="21"/>
          <w:highlight w:val="none"/>
        </w:rPr>
        <w:t>。</w:t>
      </w:r>
    </w:p>
    <w:p w14:paraId="3C5065C8">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关于发包人提供的上述文件的使用限制的要求：</w:t>
      </w:r>
      <w:r>
        <w:rPr>
          <w:color w:val="auto"/>
          <w:sz w:val="21"/>
          <w:szCs w:val="21"/>
          <w:highlight w:val="none"/>
          <w:u w:val="single"/>
        </w:rPr>
        <w:t>承包人仅可将上述文件用于本合同的实施、管理、竣工及保修之目的。未经发包人书面同意，承包人不得为任何与本合同无关的目的复制、使用、或向任何第三方提供、披露上述文件。合同履行完毕或提前终止后，承包人应将全部原件及复制品按发包人要求退还或销毁，但承包人存档投标文件所需的除外</w:t>
      </w:r>
      <w:r>
        <w:rPr>
          <w:rFonts w:hint="eastAsia"/>
          <w:color w:val="auto"/>
          <w:sz w:val="21"/>
          <w:szCs w:val="21"/>
          <w:highlight w:val="none"/>
          <w:u w:val="single"/>
        </w:rPr>
        <w:t>。</w:t>
      </w:r>
    </w:p>
    <w:p w14:paraId="6D58386C">
      <w:pPr>
        <w:spacing w:line="360" w:lineRule="auto"/>
        <w:ind w:firstLine="420" w:firstLineChars="200"/>
        <w:rPr>
          <w:color w:val="auto"/>
          <w:sz w:val="21"/>
          <w:szCs w:val="21"/>
          <w:highlight w:val="none"/>
        </w:rPr>
      </w:pPr>
      <w:r>
        <w:rPr>
          <w:color w:val="auto"/>
          <w:sz w:val="21"/>
          <w:szCs w:val="21"/>
          <w:highlight w:val="none"/>
        </w:rPr>
        <w:t>1.11.2</w:t>
      </w:r>
      <w:r>
        <w:rPr>
          <w:rFonts w:hint="eastAsia" w:hAnsi="宋体" w:cs="宋体"/>
          <w:color w:val="auto"/>
          <w:sz w:val="21"/>
          <w:szCs w:val="21"/>
          <w:highlight w:val="none"/>
        </w:rPr>
        <w:t>关于承包人为实施工程所编制文件的著作权的归属</w:t>
      </w:r>
      <w:r>
        <w:rPr>
          <w:rFonts w:hint="eastAsia"/>
          <w:color w:val="auto"/>
          <w:sz w:val="21"/>
          <w:szCs w:val="21"/>
          <w:highlight w:val="none"/>
          <w:u w:val="single"/>
        </w:rPr>
        <w:t>：</w:t>
      </w:r>
      <w:r>
        <w:rPr>
          <w:color w:val="auto"/>
          <w:sz w:val="21"/>
          <w:szCs w:val="21"/>
          <w:highlight w:val="none"/>
          <w:u w:val="single"/>
        </w:rPr>
        <w:t>承包人</w:t>
      </w:r>
      <w:r>
        <w:rPr>
          <w:rFonts w:hint="eastAsia" w:hAnsi="宋体" w:cs="宋体"/>
          <w:color w:val="auto"/>
          <w:sz w:val="21"/>
          <w:szCs w:val="21"/>
          <w:highlight w:val="none"/>
        </w:rPr>
        <w:t>。</w:t>
      </w:r>
    </w:p>
    <w:p w14:paraId="0D57187D">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关于承包人提供的上述文件的使用限制的要求：</w:t>
      </w:r>
      <w:r>
        <w:rPr>
          <w:color w:val="auto"/>
          <w:sz w:val="21"/>
          <w:szCs w:val="21"/>
          <w:highlight w:val="none"/>
          <w:u w:val="single"/>
        </w:rPr>
        <w:t>发包人可就本项目目的，免费复制、使用和引用承包人提交的施工组织设计、专项施工方案、竣工图等由承包人编制的文件。但发包人不得将上述文件用于与本项目无关的其他工程项目，或向与本项目无关的任何第三方提供、披露，除非得到承包人的书面同意。承包人保证其编制的文件不侵犯任何第三方的知识产权</w:t>
      </w:r>
      <w:r>
        <w:rPr>
          <w:rFonts w:hint="eastAsia"/>
          <w:color w:val="auto"/>
          <w:sz w:val="21"/>
          <w:szCs w:val="21"/>
          <w:highlight w:val="none"/>
          <w:u w:val="single"/>
        </w:rPr>
        <w:t>。</w:t>
      </w:r>
    </w:p>
    <w:p w14:paraId="62945F4D">
      <w:pPr>
        <w:spacing w:line="360" w:lineRule="auto"/>
        <w:ind w:firstLine="420" w:firstLineChars="200"/>
        <w:rPr>
          <w:rFonts w:hint="eastAsia" w:eastAsia="宋体"/>
          <w:color w:val="auto"/>
          <w:kern w:val="0"/>
          <w:sz w:val="21"/>
          <w:szCs w:val="21"/>
          <w:highlight w:val="none"/>
          <w:lang w:eastAsia="zh-CN"/>
        </w:rPr>
      </w:pPr>
      <w:r>
        <w:rPr>
          <w:color w:val="auto"/>
          <w:sz w:val="21"/>
          <w:szCs w:val="21"/>
          <w:highlight w:val="none"/>
        </w:rPr>
        <w:t>1.11.4</w:t>
      </w:r>
      <w:r>
        <w:rPr>
          <w:rFonts w:hint="eastAsia" w:hAnsi="宋体" w:cs="宋体"/>
          <w:color w:val="auto"/>
          <w:sz w:val="21"/>
          <w:szCs w:val="21"/>
          <w:highlight w:val="none"/>
        </w:rPr>
        <w:t>承包人在施工过程中所采用的专利、专有技术、技术秘密的使用费的承担方式：</w:t>
      </w:r>
      <w:r>
        <w:rPr>
          <w:color w:val="auto"/>
          <w:sz w:val="21"/>
          <w:szCs w:val="21"/>
          <w:highlight w:val="none"/>
          <w:u w:val="single"/>
        </w:rPr>
        <w:t>除合同技术要求或设计文件明确指定的专利或专有技术外，承包人自主选择采用的专利、专有技术、技术秘密，其使用费已包含在合同价款中，发包人不另行支付。若因执行发包人提供的图纸、技术规范或发包人提出的特殊要求而必须采用第三方的专利、专有技术、技术秘密，其使用费及相关的许可费用应由发包人承担。如因此产生第三方侵权索赔，由提供该技术要求的一方负责处理并承担全部责任。</w:t>
      </w:r>
    </w:p>
    <w:p w14:paraId="6AC487BC">
      <w:pPr>
        <w:pStyle w:val="5"/>
        <w:rPr>
          <w:color w:val="auto"/>
          <w:highlight w:val="none"/>
        </w:rPr>
      </w:pPr>
      <w:bookmarkStart w:id="272" w:name="_Toc78449789"/>
      <w:bookmarkStart w:id="273" w:name="_Toc389065267"/>
      <w:bookmarkStart w:id="274" w:name="_Toc407135203"/>
      <w:bookmarkStart w:id="275" w:name="_Toc373227701"/>
      <w:bookmarkStart w:id="276" w:name="_Toc373478348"/>
      <w:bookmarkStart w:id="277" w:name="_Toc1194977599"/>
      <w:bookmarkStart w:id="278" w:name="_Toc6200"/>
      <w:bookmarkStart w:id="279" w:name="_Toc267680563"/>
      <w:r>
        <w:rPr>
          <w:color w:val="auto"/>
          <w:highlight w:val="none"/>
        </w:rPr>
        <w:t>1.13</w:t>
      </w:r>
      <w:r>
        <w:rPr>
          <w:rFonts w:hint="eastAsia" w:cs="黑体"/>
          <w:color w:val="auto"/>
          <w:highlight w:val="none"/>
        </w:rPr>
        <w:t>工程量清单错误的修正</w:t>
      </w:r>
      <w:bookmarkEnd w:id="272"/>
      <w:bookmarkEnd w:id="273"/>
      <w:bookmarkEnd w:id="274"/>
      <w:bookmarkEnd w:id="275"/>
      <w:bookmarkEnd w:id="276"/>
      <w:bookmarkEnd w:id="277"/>
      <w:bookmarkEnd w:id="278"/>
      <w:bookmarkEnd w:id="279"/>
    </w:p>
    <w:p w14:paraId="36ABC4F3">
      <w:pPr>
        <w:spacing w:line="360" w:lineRule="auto"/>
        <w:ind w:firstLine="420" w:firstLineChars="200"/>
        <w:rPr>
          <w:color w:val="auto"/>
          <w:sz w:val="21"/>
          <w:szCs w:val="21"/>
          <w:highlight w:val="none"/>
        </w:rPr>
      </w:pPr>
      <w:r>
        <w:rPr>
          <w:rFonts w:hint="eastAsia" w:hAnsi="宋体" w:cs="宋体"/>
          <w:color w:val="auto"/>
          <w:sz w:val="21"/>
          <w:szCs w:val="21"/>
          <w:highlight w:val="none"/>
        </w:rPr>
        <w:t>出现工程量清单工程量偏差时，是否调整合同价格：</w:t>
      </w:r>
      <w:r>
        <w:rPr>
          <w:rFonts w:hint="eastAsia" w:ascii="宋体" w:hAnsi="宋体" w:cs="宋体"/>
          <w:color w:val="auto"/>
          <w:sz w:val="21"/>
          <w:szCs w:val="21"/>
          <w:highlight w:val="none"/>
          <w:u w:val="single"/>
        </w:rPr>
        <w:t>□</w:t>
      </w:r>
      <w:r>
        <w:rPr>
          <w:rFonts w:hint="eastAsia" w:hAnsi="宋体" w:cs="宋体"/>
          <w:color w:val="auto"/>
          <w:sz w:val="21"/>
          <w:szCs w:val="21"/>
          <w:highlight w:val="none"/>
          <w:u w:val="single"/>
        </w:rPr>
        <w:t>是</w:t>
      </w:r>
      <w:r>
        <w:rPr>
          <w:rFonts w:hint="eastAsia" w:ascii="宋体" w:hAnsi="宋体" w:cs="宋体"/>
          <w:color w:val="auto"/>
          <w:sz w:val="21"/>
          <w:szCs w:val="21"/>
          <w:highlight w:val="none"/>
          <w:u w:val="single"/>
          <w:lang w:eastAsia="zh-CN"/>
        </w:rPr>
        <w:t>☑</w:t>
      </w:r>
      <w:r>
        <w:rPr>
          <w:rFonts w:hint="eastAsia" w:hAnsi="宋体" w:cs="宋体"/>
          <w:color w:val="auto"/>
          <w:sz w:val="21"/>
          <w:szCs w:val="21"/>
          <w:highlight w:val="none"/>
          <w:u w:val="single"/>
        </w:rPr>
        <w:t>否</w:t>
      </w:r>
      <w:r>
        <w:rPr>
          <w:rFonts w:hint="eastAsia" w:hAnsi="宋体" w:cs="宋体"/>
          <w:color w:val="auto"/>
          <w:kern w:val="0"/>
          <w:sz w:val="21"/>
          <w:szCs w:val="21"/>
          <w:highlight w:val="none"/>
        </w:rPr>
        <w:t>。</w:t>
      </w:r>
    </w:p>
    <w:p w14:paraId="2CCCA02D">
      <w:pPr>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允许调整合同价格的工程量偏差范围及其调整办法：</w:t>
      </w:r>
    </w:p>
    <w:p w14:paraId="7068DDEA">
      <w:pPr>
        <w:spacing w:line="360" w:lineRule="auto"/>
        <w:ind w:firstLine="420" w:firstLineChars="200"/>
        <w:rPr>
          <w:rFonts w:hint="eastAsia"/>
          <w:color w:val="auto"/>
          <w:sz w:val="21"/>
          <w:szCs w:val="21"/>
          <w:highlight w:val="none"/>
          <w:u w:val="single"/>
        </w:rPr>
      </w:pPr>
      <w:r>
        <w:rPr>
          <w:rFonts w:hint="eastAsia" w:ascii="宋体" w:hAnsi="宋体" w:cs="宋体"/>
          <w:color w:val="auto"/>
          <w:sz w:val="21"/>
          <w:szCs w:val="21"/>
          <w:highlight w:val="none"/>
        </w:rPr>
        <w:t>□</w:t>
      </w:r>
      <w:r>
        <w:rPr>
          <w:rFonts w:hint="eastAsia"/>
          <w:color w:val="auto"/>
          <w:sz w:val="21"/>
          <w:szCs w:val="21"/>
          <w:highlight w:val="none"/>
          <w:u w:val="single"/>
        </w:rPr>
        <w:t>除严重不平衡报价外，无论分部分项工程量清单项目中的工程量变化多少均不调整。</w:t>
      </w:r>
    </w:p>
    <w:p w14:paraId="1B518796">
      <w:pPr>
        <w:spacing w:line="360" w:lineRule="auto"/>
        <w:ind w:firstLine="420" w:firstLineChars="200"/>
        <w:rPr>
          <w:rFonts w:hint="eastAsia"/>
          <w:color w:val="auto"/>
          <w:sz w:val="21"/>
          <w:szCs w:val="21"/>
          <w:highlight w:val="none"/>
          <w:u w:val="single"/>
        </w:rPr>
      </w:pPr>
      <w:r>
        <w:rPr>
          <w:rFonts w:hint="eastAsia"/>
          <w:color w:val="auto"/>
          <w:sz w:val="21"/>
          <w:szCs w:val="21"/>
          <w:highlight w:val="none"/>
          <w:u w:val="single"/>
          <w:lang w:eastAsia="zh-CN"/>
        </w:rPr>
        <w:t>☑</w:t>
      </w:r>
      <w:r>
        <w:rPr>
          <w:rFonts w:hint="eastAsia"/>
          <w:color w:val="auto"/>
          <w:sz w:val="21"/>
          <w:szCs w:val="21"/>
          <w:highlight w:val="none"/>
          <w:u w:val="single"/>
        </w:rPr>
        <w:t>[除招标图纸及工程量清单中明确为暂估量的项目外，清单工程量无论变化多少均不调整合同总价。]</w:t>
      </w:r>
    </w:p>
    <w:p w14:paraId="45F85896">
      <w:pPr>
        <w:pStyle w:val="4"/>
        <w:rPr>
          <w:color w:val="auto"/>
          <w:highlight w:val="none"/>
        </w:rPr>
      </w:pPr>
      <w:bookmarkStart w:id="280" w:name="_Toc15743"/>
      <w:bookmarkStart w:id="281" w:name="_Toc389065268"/>
      <w:bookmarkStart w:id="282" w:name="_Toc373227702"/>
      <w:bookmarkStart w:id="283" w:name="_Toc373478349"/>
      <w:bookmarkStart w:id="284" w:name="_Toc78449790"/>
      <w:bookmarkStart w:id="285" w:name="_Toc351203634"/>
      <w:bookmarkStart w:id="286" w:name="_Toc143780453"/>
      <w:bookmarkStart w:id="287" w:name="_Toc407135204"/>
      <w:bookmarkStart w:id="288" w:name="_Toc1415467590"/>
      <w:r>
        <w:rPr>
          <w:color w:val="auto"/>
          <w:highlight w:val="none"/>
        </w:rPr>
        <w:t>2</w:t>
      </w:r>
      <w:bookmarkStart w:id="289" w:name="_Toc296503157"/>
      <w:bookmarkStart w:id="290" w:name="_Toc297120457"/>
      <w:bookmarkStart w:id="291" w:name="_Toc292559867"/>
      <w:bookmarkStart w:id="292" w:name="_Toc292559362"/>
      <w:bookmarkStart w:id="293" w:name="_Toc296944496"/>
      <w:bookmarkStart w:id="294" w:name="_Toc296346658"/>
      <w:bookmarkStart w:id="295" w:name="_Toc296891197"/>
      <w:bookmarkStart w:id="296" w:name="_Toc297048343"/>
      <w:bookmarkStart w:id="297" w:name="_Toc296890985"/>
      <w:bookmarkStart w:id="298" w:name="_Toc296347156"/>
      <w:r>
        <w:rPr>
          <w:color w:val="auto"/>
          <w:highlight w:val="none"/>
        </w:rPr>
        <w:t>.</w:t>
      </w:r>
      <w:r>
        <w:rPr>
          <w:rFonts w:hint="eastAsia" w:hAnsi="宋体" w:cs="黑体"/>
          <w:color w:val="auto"/>
          <w:highlight w:val="none"/>
        </w:rPr>
        <w:t>发包人</w:t>
      </w:r>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p w14:paraId="4EAC1B50">
      <w:pPr>
        <w:pStyle w:val="5"/>
        <w:rPr>
          <w:color w:val="auto"/>
          <w:highlight w:val="none"/>
        </w:rPr>
      </w:pPr>
      <w:bookmarkStart w:id="299" w:name="_Toc17557"/>
      <w:bookmarkStart w:id="300" w:name="_Toc971240048"/>
      <w:bookmarkStart w:id="301" w:name="_Toc78449791"/>
      <w:bookmarkStart w:id="302" w:name="_Toc373227703"/>
      <w:bookmarkStart w:id="303" w:name="_Toc389065269"/>
      <w:bookmarkStart w:id="304" w:name="_Toc547644210"/>
      <w:bookmarkStart w:id="305" w:name="_Toc407135205"/>
      <w:bookmarkStart w:id="306" w:name="_Toc373478350"/>
      <w:r>
        <w:rPr>
          <w:color w:val="auto"/>
          <w:highlight w:val="none"/>
        </w:rPr>
        <w:t>2.2</w:t>
      </w:r>
      <w:r>
        <w:rPr>
          <w:rFonts w:hint="eastAsia" w:hAnsi="宋体" w:cs="黑体"/>
          <w:color w:val="auto"/>
          <w:highlight w:val="none"/>
        </w:rPr>
        <w:t>发包人代表</w:t>
      </w:r>
      <w:bookmarkEnd w:id="299"/>
      <w:bookmarkEnd w:id="300"/>
      <w:bookmarkEnd w:id="301"/>
      <w:bookmarkEnd w:id="302"/>
      <w:bookmarkEnd w:id="303"/>
      <w:bookmarkEnd w:id="304"/>
      <w:bookmarkEnd w:id="305"/>
      <w:bookmarkEnd w:id="306"/>
    </w:p>
    <w:p w14:paraId="7D1057D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发包人代表：</w:t>
      </w:r>
    </w:p>
    <w:p w14:paraId="259C6C39">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28649E6F">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1F31F011">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75E925AC">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68ED011D">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622AED63">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32C8C6C1">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发包人对发包人代表的授权范围如下：</w:t>
      </w:r>
      <w:r>
        <w:rPr>
          <w:rFonts w:hint="eastAsia"/>
          <w:color w:val="auto"/>
          <w:sz w:val="21"/>
          <w:szCs w:val="21"/>
          <w:highlight w:val="none"/>
          <w:u w:val="single"/>
        </w:rPr>
        <w:t>代表发包人行使施工合同约定的发包人权利，全面负责施工合同履行过程中的组织协调及日常管理，具体权限以发包人书面授权委托书载明的范围为准。其中，涉及合同价格变更、工程变更签证、工期顺延确认、索赔文件签认等可能引起合同实质性变更的事项，发包人代表的签认文件必须另行加盖发包人法人印章后方为有效。</w:t>
      </w:r>
    </w:p>
    <w:p w14:paraId="798032F6">
      <w:pPr>
        <w:pStyle w:val="5"/>
        <w:rPr>
          <w:color w:val="auto"/>
          <w:highlight w:val="none"/>
        </w:rPr>
      </w:pPr>
      <w:bookmarkStart w:id="307" w:name="_Toc2077499244"/>
      <w:bookmarkStart w:id="308" w:name="_Toc373478351"/>
      <w:bookmarkStart w:id="309" w:name="_Toc2066513957"/>
      <w:bookmarkStart w:id="310" w:name="_Toc29374"/>
      <w:bookmarkStart w:id="311" w:name="_Toc407135206"/>
      <w:bookmarkStart w:id="312" w:name="_Toc373227704"/>
      <w:bookmarkStart w:id="313" w:name="_Toc389065270"/>
      <w:bookmarkStart w:id="314" w:name="_Toc78449792"/>
      <w:r>
        <w:rPr>
          <w:color w:val="auto"/>
          <w:highlight w:val="none"/>
        </w:rPr>
        <w:t>2.4</w:t>
      </w:r>
      <w:r>
        <w:rPr>
          <w:rFonts w:hint="eastAsia" w:cs="黑体"/>
          <w:color w:val="auto"/>
          <w:highlight w:val="none"/>
        </w:rPr>
        <w:t>施工现场、施工条件和基础资料的提供</w:t>
      </w:r>
      <w:bookmarkEnd w:id="307"/>
      <w:bookmarkEnd w:id="308"/>
      <w:bookmarkEnd w:id="309"/>
      <w:bookmarkEnd w:id="310"/>
      <w:bookmarkEnd w:id="311"/>
      <w:bookmarkEnd w:id="312"/>
      <w:bookmarkEnd w:id="313"/>
      <w:bookmarkEnd w:id="314"/>
    </w:p>
    <w:p w14:paraId="7093239B">
      <w:pPr>
        <w:spacing w:line="360" w:lineRule="auto"/>
        <w:ind w:firstLine="420" w:firstLineChars="200"/>
        <w:rPr>
          <w:color w:val="auto"/>
          <w:sz w:val="21"/>
          <w:szCs w:val="21"/>
          <w:highlight w:val="none"/>
        </w:rPr>
      </w:pPr>
      <w:r>
        <w:rPr>
          <w:color w:val="auto"/>
          <w:sz w:val="21"/>
          <w:szCs w:val="21"/>
          <w:highlight w:val="none"/>
        </w:rPr>
        <w:t>2.4.1</w:t>
      </w:r>
      <w:r>
        <w:rPr>
          <w:rFonts w:hint="eastAsia" w:hAnsi="宋体" w:cs="宋体"/>
          <w:color w:val="auto"/>
          <w:sz w:val="21"/>
          <w:szCs w:val="21"/>
          <w:highlight w:val="none"/>
        </w:rPr>
        <w:t>提供施工现场</w:t>
      </w:r>
    </w:p>
    <w:p w14:paraId="69E3862A">
      <w:pPr>
        <w:spacing w:line="360" w:lineRule="auto"/>
        <w:ind w:firstLine="420" w:firstLineChars="200"/>
        <w:jc w:val="left"/>
        <w:rPr>
          <w:rFonts w:hAnsi="宋体"/>
          <w:color w:val="auto"/>
          <w:sz w:val="21"/>
          <w:szCs w:val="21"/>
          <w:highlight w:val="none"/>
          <w:u w:val="single"/>
        </w:rPr>
      </w:pPr>
      <w:r>
        <w:rPr>
          <w:rFonts w:hint="eastAsia" w:hAnsi="宋体" w:cs="宋体"/>
          <w:color w:val="auto"/>
          <w:sz w:val="21"/>
          <w:szCs w:val="21"/>
          <w:highlight w:val="none"/>
        </w:rPr>
        <w:t>关于发包人移交施工现场的期限要求：</w:t>
      </w:r>
      <w:r>
        <w:rPr>
          <w:rFonts w:hAnsi="宋体"/>
          <w:color w:val="auto"/>
          <w:sz w:val="21"/>
          <w:szCs w:val="21"/>
          <w:highlight w:val="none"/>
          <w:u w:val="single"/>
        </w:rPr>
        <w:t>施工场地应当在监理人发出的开工通知中载明的开工日期前7天具备施工条件并移交给承包人。施工现场范围以双方确认的本工程规划红线图为准，发包人应保障承包人施工期间对施工场地的排他性使用权</w:t>
      </w:r>
      <w:r>
        <w:rPr>
          <w:rFonts w:hint="eastAsia" w:hAnsi="宋体"/>
          <w:color w:val="auto"/>
          <w:sz w:val="21"/>
          <w:szCs w:val="21"/>
          <w:highlight w:val="none"/>
          <w:u w:val="single"/>
        </w:rPr>
        <w:t>。</w:t>
      </w:r>
      <w:r>
        <w:rPr>
          <w:rFonts w:hAnsi="宋体"/>
          <w:color w:val="auto"/>
          <w:sz w:val="21"/>
          <w:szCs w:val="21"/>
          <w:highlight w:val="none"/>
          <w:u w:val="single"/>
        </w:rPr>
        <w:t>发包人负责协调村委及村民，确保承包人可进入林地及规划道路用地范围施工。</w:t>
      </w:r>
      <w:r>
        <w:rPr>
          <w:rFonts w:hint="eastAsia" w:hAnsi="宋体"/>
          <w:color w:val="auto"/>
          <w:sz w:val="21"/>
          <w:szCs w:val="21"/>
          <w:highlight w:val="none"/>
          <w:u w:val="single"/>
          <w:lang w:eastAsia="zh-CN"/>
        </w:rPr>
        <w:t>因村民阻工等原因导致无法进场，工期相应顺延，双方应协商解决。阻工持续时间超过10个工作日的，发包人应承担承包人在此期间的合理人员、设备窝工费用，费用标准由双方参照投标报价的人工、机械台班单价协商确定</w:t>
      </w:r>
      <w:r>
        <w:rPr>
          <w:rFonts w:hAnsi="宋体"/>
          <w:color w:val="auto"/>
          <w:sz w:val="21"/>
          <w:szCs w:val="21"/>
          <w:highlight w:val="none"/>
          <w:u w:val="single"/>
        </w:rPr>
        <w:t>。</w:t>
      </w:r>
    </w:p>
    <w:p w14:paraId="4E2489D4">
      <w:pPr>
        <w:spacing w:line="360" w:lineRule="auto"/>
        <w:ind w:firstLine="420" w:firstLineChars="200"/>
        <w:rPr>
          <w:color w:val="auto"/>
          <w:sz w:val="21"/>
          <w:szCs w:val="21"/>
          <w:highlight w:val="none"/>
        </w:rPr>
      </w:pPr>
      <w:r>
        <w:rPr>
          <w:color w:val="auto"/>
          <w:sz w:val="21"/>
          <w:szCs w:val="21"/>
          <w:highlight w:val="none"/>
        </w:rPr>
        <w:t>2.4.2</w:t>
      </w:r>
      <w:r>
        <w:rPr>
          <w:rFonts w:hint="eastAsia" w:hAnsi="宋体" w:cs="宋体"/>
          <w:color w:val="auto"/>
          <w:sz w:val="21"/>
          <w:szCs w:val="21"/>
          <w:highlight w:val="none"/>
        </w:rPr>
        <w:t>提供施工条件</w:t>
      </w:r>
    </w:p>
    <w:p w14:paraId="5AD96722">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Times New Roman"/>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关于发包人应负责提供施工所需要的条件，包括：</w:t>
      </w:r>
      <w:r>
        <w:rPr>
          <w:rFonts w:hint="default" w:ascii="Times New Roman" w:hAnsi="宋体" w:eastAsia="宋体" w:cs="Times New Roman"/>
          <w:color w:val="auto"/>
          <w:kern w:val="2"/>
          <w:sz w:val="21"/>
          <w:szCs w:val="21"/>
          <w:highlight w:val="none"/>
          <w:u w:val="single"/>
          <w:lang w:val="en-US" w:eastAsia="zh-CN" w:bidi="ar-SA"/>
        </w:rPr>
        <w:t>①将施工所需的水、电线路接至施工场地的时间、地点和供应要求：发包人于开工前7日内将施工用水接口接至施工现场边缘，将临时用电接口接至施工现场边缘指定配电点，承包人负责接口后的线路敷设及计量表具安装。②由发包人办理的施工所需证件、批件的名称和完成时间：由发包人负责办理施工许可证、规划许可证等开工前置审批手续。因发包人未及时办理施工许可证导致行政处罚或承包人损失的，由发包人承担相应责任及费用。③施工场地周边环境</w:t>
      </w:r>
      <w:r>
        <w:rPr>
          <w:rFonts w:hint="eastAsia" w:ascii="Times New Roman" w:hAnsi="宋体" w:eastAsia="宋体" w:cs="Times New Roman"/>
          <w:color w:val="auto"/>
          <w:kern w:val="2"/>
          <w:sz w:val="21"/>
          <w:szCs w:val="21"/>
          <w:highlight w:val="none"/>
          <w:u w:val="single"/>
          <w:lang w:val="en-US" w:eastAsia="zh-CN" w:bidi="ar-SA"/>
        </w:rPr>
        <w:t>协调工作</w:t>
      </w:r>
      <w:r>
        <w:rPr>
          <w:rFonts w:hint="default" w:ascii="Times New Roman" w:hAnsi="宋体" w:eastAsia="宋体" w:cs="Times New Roman"/>
          <w:color w:val="auto"/>
          <w:kern w:val="2"/>
          <w:sz w:val="21"/>
          <w:szCs w:val="21"/>
          <w:highlight w:val="none"/>
          <w:u w:val="single"/>
          <w:lang w:val="en-US" w:eastAsia="zh-CN" w:bidi="ar-SA"/>
        </w:rPr>
        <w:t>。若因承包人原因（如未按时提供人员社保、资质文件等）导致施工许可证办理延误，工期不予顺延，由承包人承担相应责任。</w:t>
      </w:r>
    </w:p>
    <w:p w14:paraId="53FA2D47">
      <w:pPr>
        <w:pStyle w:val="5"/>
        <w:rPr>
          <w:color w:val="auto"/>
          <w:highlight w:val="none"/>
        </w:rPr>
      </w:pPr>
      <w:bookmarkStart w:id="315" w:name="_Toc373227705"/>
      <w:bookmarkStart w:id="316" w:name="_Toc1238195908"/>
      <w:bookmarkStart w:id="317" w:name="_Toc389065271"/>
      <w:bookmarkStart w:id="318" w:name="_Toc672429943"/>
      <w:bookmarkStart w:id="319" w:name="_Toc25972"/>
      <w:bookmarkStart w:id="320" w:name="_Toc78449793"/>
      <w:bookmarkStart w:id="321" w:name="_Toc407135207"/>
      <w:bookmarkStart w:id="322" w:name="_Toc373478352"/>
      <w:r>
        <w:rPr>
          <w:color w:val="auto"/>
          <w:highlight w:val="none"/>
        </w:rPr>
        <w:t>2.5</w:t>
      </w:r>
      <w:r>
        <w:rPr>
          <w:rFonts w:hint="eastAsia" w:cs="黑体"/>
          <w:color w:val="auto"/>
          <w:highlight w:val="none"/>
        </w:rPr>
        <w:t>资金来源证明及支付担保</w:t>
      </w:r>
      <w:bookmarkEnd w:id="315"/>
      <w:bookmarkEnd w:id="316"/>
      <w:bookmarkEnd w:id="317"/>
      <w:bookmarkEnd w:id="318"/>
      <w:bookmarkEnd w:id="319"/>
      <w:bookmarkEnd w:id="320"/>
      <w:bookmarkEnd w:id="321"/>
      <w:bookmarkEnd w:id="322"/>
    </w:p>
    <w:p w14:paraId="02A3507F">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发包人提供资金来源证明的期限要求：</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336E264">
      <w:pPr>
        <w:spacing w:line="360" w:lineRule="auto"/>
        <w:ind w:firstLine="420" w:firstLineChars="200"/>
        <w:rPr>
          <w:rFonts w:hint="eastAsia" w:hAnsi="宋体" w:cs="宋体"/>
          <w:color w:val="auto"/>
          <w:sz w:val="21"/>
          <w:szCs w:val="21"/>
          <w:highlight w:val="none"/>
          <w:lang w:val="en" w:eastAsia="zh-CN"/>
        </w:rPr>
      </w:pPr>
      <w:r>
        <w:rPr>
          <w:rFonts w:hint="eastAsia" w:hAnsi="宋体" w:cs="宋体"/>
          <w:color w:val="auto"/>
          <w:sz w:val="21"/>
          <w:szCs w:val="21"/>
          <w:highlight w:val="none"/>
        </w:rPr>
        <w:t>发包人是否提供支付担保：</w:t>
      </w:r>
      <w:r>
        <w:rPr>
          <w:rFonts w:hint="eastAsia"/>
          <w:color w:val="auto"/>
          <w:sz w:val="21"/>
          <w:szCs w:val="21"/>
          <w:highlight w:val="none"/>
          <w:u w:val="single"/>
          <w:lang w:val="en-US" w:eastAsia="zh-CN"/>
        </w:rPr>
        <w:t>/</w:t>
      </w:r>
      <w:r>
        <w:rPr>
          <w:rFonts w:hint="eastAsia" w:ascii="Times New Roman" w:hAnsi="宋体" w:eastAsia="宋体" w:cs="宋体"/>
          <w:color w:val="auto"/>
          <w:sz w:val="21"/>
          <w:szCs w:val="21"/>
          <w:highlight w:val="none"/>
        </w:rPr>
        <w:t>。</w:t>
      </w:r>
      <w:r>
        <w:rPr>
          <w:rFonts w:hint="eastAsia" w:hAnsi="宋体" w:cs="宋体"/>
          <w:color w:val="auto"/>
          <w:sz w:val="21"/>
          <w:szCs w:val="21"/>
          <w:highlight w:val="none"/>
        </w:rPr>
        <w:t>发包人提供支付担保的形式：</w:t>
      </w:r>
      <w:r>
        <w:rPr>
          <w:rFonts w:hint="eastAsia"/>
          <w:color w:val="auto"/>
          <w:sz w:val="21"/>
          <w:szCs w:val="21"/>
          <w:highlight w:val="none"/>
          <w:u w:val="none"/>
          <w:lang w:eastAsia="zh-CN"/>
        </w:rPr>
        <w:t>可以是</w:t>
      </w:r>
      <w:r>
        <w:rPr>
          <w:rFonts w:hint="eastAsia" w:hAnsi="宋体" w:cs="宋体"/>
          <w:color w:val="auto"/>
          <w:sz w:val="21"/>
          <w:szCs w:val="21"/>
          <w:highlight w:val="none"/>
        </w:rPr>
        <w:t>银行转账、电汇或网上支付、保函（银行保函、电子</w:t>
      </w:r>
      <w:r>
        <w:rPr>
          <w:rFonts w:hAnsi="宋体" w:cs="宋体"/>
          <w:color w:val="auto"/>
          <w:sz w:val="21"/>
          <w:szCs w:val="21"/>
          <w:highlight w:val="none"/>
        </w:rPr>
        <w:t>保函</w:t>
      </w:r>
      <w:r>
        <w:rPr>
          <w:rFonts w:hint="eastAsia" w:hAnsi="宋体" w:cs="宋体"/>
          <w:color w:val="auto"/>
          <w:sz w:val="21"/>
          <w:szCs w:val="21"/>
          <w:highlight w:val="none"/>
        </w:rPr>
        <w:t>、保证保险保函、工程担保保函）</w:t>
      </w:r>
      <w:r>
        <w:rPr>
          <w:rFonts w:hint="eastAsia" w:hAnsi="宋体"/>
          <w:color w:val="auto"/>
          <w:sz w:val="21"/>
          <w:szCs w:val="21"/>
          <w:highlight w:val="none"/>
        </w:rPr>
        <w:t>等</w:t>
      </w:r>
      <w:r>
        <w:rPr>
          <w:rFonts w:hint="eastAsia" w:hAnsi="宋体" w:cs="宋体"/>
          <w:color w:val="auto"/>
          <w:sz w:val="21"/>
          <w:szCs w:val="21"/>
          <w:highlight w:val="none"/>
        </w:rPr>
        <w:t>形</w:t>
      </w:r>
      <w:r>
        <w:rPr>
          <w:rFonts w:hint="eastAsia" w:hAnsi="宋体"/>
          <w:color w:val="auto"/>
          <w:sz w:val="21"/>
          <w:szCs w:val="21"/>
          <w:highlight w:val="none"/>
        </w:rPr>
        <w:t>式</w:t>
      </w:r>
      <w:r>
        <w:rPr>
          <w:rFonts w:hint="eastAsia" w:hAnsi="宋体" w:cs="宋体"/>
          <w:color w:val="auto"/>
          <w:sz w:val="21"/>
          <w:szCs w:val="21"/>
          <w:highlight w:val="none"/>
        </w:rPr>
        <w:t>。</w:t>
      </w:r>
      <w:r>
        <w:rPr>
          <w:rFonts w:hint="eastAsia" w:hAnsi="宋体" w:cs="宋体"/>
          <w:color w:val="auto"/>
          <w:sz w:val="21"/>
          <w:szCs w:val="21"/>
          <w:highlight w:val="none"/>
          <w:lang w:eastAsia="zh-CN"/>
        </w:rPr>
        <w:t>工程担保保证人应将出具的保函相关信息录入“广西建筑市场监管云”平台（http://gxjzsc.caihcloud.com），以实现保函查询及验真功能</w:t>
      </w:r>
      <w:r>
        <w:rPr>
          <w:rFonts w:hint="eastAsia" w:hAnsi="宋体" w:cs="宋体"/>
          <w:color w:val="auto"/>
          <w:sz w:val="21"/>
          <w:szCs w:val="21"/>
          <w:highlight w:val="none"/>
          <w:lang w:val="en" w:eastAsia="zh-CN"/>
        </w:rPr>
        <w:t>。</w:t>
      </w:r>
    </w:p>
    <w:p w14:paraId="58FAB7A9">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发包人提供的支付担保格式见合同附件</w:t>
      </w:r>
      <w:r>
        <w:rPr>
          <w:rFonts w:hint="eastAsia" w:hAnsi="宋体"/>
          <w:color w:val="auto"/>
          <w:sz w:val="21"/>
          <w:szCs w:val="21"/>
          <w:highlight w:val="none"/>
        </w:rPr>
        <w:t>9</w:t>
      </w:r>
      <w:r>
        <w:rPr>
          <w:rFonts w:hint="eastAsia" w:hAnsi="宋体" w:cs="宋体"/>
          <w:color w:val="auto"/>
          <w:sz w:val="21"/>
          <w:szCs w:val="21"/>
          <w:highlight w:val="none"/>
        </w:rPr>
        <w:t>。</w:t>
      </w:r>
    </w:p>
    <w:p w14:paraId="7B59884D">
      <w:pPr>
        <w:pStyle w:val="4"/>
        <w:rPr>
          <w:color w:val="auto"/>
          <w:highlight w:val="none"/>
        </w:rPr>
      </w:pPr>
      <w:bookmarkStart w:id="323" w:name="_Toc1181400362"/>
      <w:bookmarkStart w:id="324" w:name="_Toc389065272"/>
      <w:bookmarkStart w:id="325" w:name="_Toc729657770"/>
      <w:bookmarkStart w:id="326" w:name="_Toc373227706"/>
      <w:bookmarkStart w:id="327" w:name="_Toc407135208"/>
      <w:bookmarkStart w:id="328" w:name="_Toc78449794"/>
      <w:bookmarkStart w:id="329" w:name="_Toc32630"/>
      <w:bookmarkStart w:id="330" w:name="_Toc373478353"/>
      <w:bookmarkStart w:id="331" w:name="_Toc351203635"/>
      <w:r>
        <w:rPr>
          <w:color w:val="auto"/>
          <w:highlight w:val="none"/>
        </w:rPr>
        <w:t>3</w:t>
      </w:r>
      <w:bookmarkStart w:id="332" w:name="_Toc296347157"/>
      <w:bookmarkStart w:id="333" w:name="_Toc296944497"/>
      <w:bookmarkStart w:id="334" w:name="_Toc296891198"/>
      <w:bookmarkStart w:id="335" w:name="_Toc297120458"/>
      <w:bookmarkStart w:id="336" w:name="_Toc292559868"/>
      <w:bookmarkStart w:id="337" w:name="_Toc296503158"/>
      <w:bookmarkStart w:id="338" w:name="_Toc296890986"/>
      <w:bookmarkStart w:id="339" w:name="_Toc296346659"/>
      <w:bookmarkStart w:id="340" w:name="_Toc292559363"/>
      <w:bookmarkStart w:id="341" w:name="_Toc297048344"/>
      <w:r>
        <w:rPr>
          <w:color w:val="auto"/>
          <w:highlight w:val="none"/>
        </w:rPr>
        <w:t>.</w:t>
      </w:r>
      <w:r>
        <w:rPr>
          <w:rFonts w:hint="eastAsia" w:hAnsi="宋体" w:cs="黑体"/>
          <w:color w:val="auto"/>
          <w:highlight w:val="none"/>
        </w:rPr>
        <w:t>承包人</w:t>
      </w:r>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564E5FA6">
      <w:pPr>
        <w:pStyle w:val="5"/>
        <w:rPr>
          <w:color w:val="auto"/>
          <w:highlight w:val="none"/>
        </w:rPr>
      </w:pPr>
      <w:bookmarkStart w:id="342" w:name="_Toc962678435"/>
      <w:bookmarkStart w:id="343" w:name="_Toc1642190822"/>
      <w:bookmarkStart w:id="344" w:name="_Toc373478354"/>
      <w:bookmarkStart w:id="345" w:name="_Toc389065273"/>
      <w:bookmarkStart w:id="346" w:name="_Toc78449795"/>
      <w:bookmarkStart w:id="347" w:name="_Toc407135209"/>
      <w:bookmarkStart w:id="348" w:name="_Toc24051"/>
      <w:bookmarkStart w:id="349" w:name="_Toc373227707"/>
      <w:r>
        <w:rPr>
          <w:color w:val="auto"/>
          <w:highlight w:val="none"/>
        </w:rPr>
        <w:t>3.1</w:t>
      </w:r>
      <w:r>
        <w:rPr>
          <w:rFonts w:hint="eastAsia" w:cs="黑体"/>
          <w:color w:val="auto"/>
          <w:highlight w:val="none"/>
        </w:rPr>
        <w:t>承包人的一般义务</w:t>
      </w:r>
      <w:bookmarkEnd w:id="342"/>
      <w:bookmarkEnd w:id="343"/>
      <w:bookmarkEnd w:id="344"/>
      <w:bookmarkEnd w:id="345"/>
      <w:bookmarkEnd w:id="346"/>
      <w:bookmarkEnd w:id="347"/>
      <w:bookmarkEnd w:id="348"/>
      <w:bookmarkEnd w:id="349"/>
    </w:p>
    <w:p w14:paraId="3B85EDBE">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w:t>
      </w:r>
      <w:r>
        <w:rPr>
          <w:color w:val="auto"/>
          <w:kern w:val="0"/>
          <w:sz w:val="21"/>
          <w:szCs w:val="21"/>
          <w:highlight w:val="none"/>
        </w:rPr>
        <w:t>9</w:t>
      </w:r>
      <w:r>
        <w:rPr>
          <w:rFonts w:hint="eastAsia" w:hAnsi="宋体" w:cs="宋体"/>
          <w:color w:val="auto"/>
          <w:kern w:val="0"/>
          <w:sz w:val="21"/>
          <w:szCs w:val="21"/>
          <w:highlight w:val="none"/>
        </w:rPr>
        <w:t>）</w:t>
      </w:r>
      <w:r>
        <w:rPr>
          <w:rFonts w:hint="eastAsia" w:hAnsi="宋体" w:cs="宋体"/>
          <w:color w:val="auto"/>
          <w:sz w:val="21"/>
          <w:szCs w:val="21"/>
          <w:highlight w:val="none"/>
        </w:rPr>
        <w:t>承包人提交的竣工资料的内容</w:t>
      </w:r>
      <w:r>
        <w:rPr>
          <w:rFonts w:hint="eastAsia" w:ascii="Times New Roman" w:hAnsi="Times New Roman"/>
          <w:color w:val="auto"/>
          <w:sz w:val="21"/>
          <w:szCs w:val="21"/>
          <w:highlight w:val="none"/>
          <w:u w:val="single"/>
        </w:rPr>
        <w:t>：竣工图纸（含经审查合格的竣工图CAD电子文件）、竣工验收报告、施工合同及补充协议、图纸会审记录、设计变更通知单及工程洽商记录、工程定位测量及复核记录、隐蔽工程验收记录、各类材料设备质量证明文件及检验试验报告、功能试验记录、分部（子分部）及分项工程质量验收记录、工程质量保修书，以及工程所在地城市建设档案管理机构规定的其他竣工资料。</w:t>
      </w:r>
    </w:p>
    <w:p w14:paraId="7970C76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承包人需要提交的竣工资料套数：</w:t>
      </w:r>
      <w:r>
        <w:rPr>
          <w:rFonts w:hint="eastAsia"/>
          <w:color w:val="auto"/>
          <w:sz w:val="21"/>
          <w:szCs w:val="21"/>
          <w:highlight w:val="none"/>
          <w:u w:val="single"/>
          <w:lang w:val="en-US" w:eastAsia="zh-CN"/>
        </w:rPr>
        <w:t>2套</w:t>
      </w:r>
      <w:r>
        <w:rPr>
          <w:rFonts w:hint="eastAsia" w:hAnsi="宋体" w:cs="宋体"/>
          <w:color w:val="auto"/>
          <w:sz w:val="21"/>
          <w:szCs w:val="21"/>
          <w:highlight w:val="none"/>
        </w:rPr>
        <w:t>。</w:t>
      </w:r>
    </w:p>
    <w:p w14:paraId="168DB8AA">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承包人提交的竣工资料的费用承担：</w:t>
      </w:r>
      <w:r>
        <w:rPr>
          <w:rFonts w:hint="eastAsia" w:ascii="Times New Roman" w:hAnsi="Times New Roman"/>
          <w:color w:val="auto"/>
          <w:sz w:val="21"/>
          <w:szCs w:val="21"/>
          <w:highlight w:val="none"/>
          <w:u w:val="single"/>
        </w:rPr>
        <w:t>承包人</w:t>
      </w:r>
      <w:r>
        <w:rPr>
          <w:rFonts w:hint="eastAsia" w:hAnsi="宋体" w:cs="宋体"/>
          <w:color w:val="auto"/>
          <w:sz w:val="21"/>
          <w:szCs w:val="21"/>
          <w:highlight w:val="none"/>
        </w:rPr>
        <w:t>。</w:t>
      </w:r>
    </w:p>
    <w:p w14:paraId="1905A083">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承包人提交的竣工资料移交时间：</w:t>
      </w:r>
      <w:r>
        <w:rPr>
          <w:rFonts w:hint="eastAsia" w:ascii="Times New Roman" w:hAnsi="Times New Roman"/>
          <w:color w:val="auto"/>
          <w:sz w:val="21"/>
          <w:szCs w:val="21"/>
          <w:highlight w:val="none"/>
          <w:u w:val="single"/>
        </w:rPr>
        <w:t>竣工验收合格之日起</w:t>
      </w:r>
      <w:r>
        <w:rPr>
          <w:rFonts w:ascii="Times New Roman" w:hAnsi="Times New Roman"/>
          <w:color w:val="auto"/>
          <w:sz w:val="21"/>
          <w:szCs w:val="21"/>
          <w:highlight w:val="none"/>
          <w:u w:val="single"/>
        </w:rPr>
        <w:t>30</w:t>
      </w:r>
      <w:r>
        <w:rPr>
          <w:rFonts w:hint="eastAsia" w:ascii="Times New Roman" w:hAnsi="Times New Roman"/>
          <w:color w:val="auto"/>
          <w:sz w:val="21"/>
          <w:szCs w:val="21"/>
          <w:highlight w:val="none"/>
          <w:u w:val="single"/>
        </w:rPr>
        <w:t>天内</w:t>
      </w:r>
      <w:r>
        <w:rPr>
          <w:rFonts w:hint="eastAsia" w:hAnsi="宋体" w:cs="宋体"/>
          <w:color w:val="auto"/>
          <w:sz w:val="21"/>
          <w:szCs w:val="21"/>
          <w:highlight w:val="none"/>
        </w:rPr>
        <w:t>。</w:t>
      </w:r>
    </w:p>
    <w:p w14:paraId="41C62B7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承包人提交的竣工资料形式要求：</w:t>
      </w:r>
      <w:r>
        <w:rPr>
          <w:rFonts w:hint="eastAsia"/>
          <w:color w:val="auto"/>
          <w:sz w:val="21"/>
          <w:szCs w:val="21"/>
          <w:highlight w:val="none"/>
          <w:u w:val="single"/>
          <w:lang w:eastAsia="zh-CN"/>
        </w:rPr>
        <w:t>纸质文件一式叁份（原件不少于壹份），统一采用A4幅面装订成册，图纸可折叠成A4尺寸或装盒归档；电子文件一式两份，分别刻录光盘和U盘，文字资料采用PDF及Word双格式、竣工图纸采用PDF及可编辑CAD（*.dwg）双格式，组卷目录与纸质文件一一对应。</w:t>
      </w:r>
    </w:p>
    <w:p w14:paraId="38BC38F4">
      <w:pPr>
        <w:pStyle w:val="20"/>
        <w:keepNext w:val="0"/>
        <w:keepLines w:val="0"/>
        <w:widowControl/>
        <w:suppressLineNumbers w:val="0"/>
        <w:shd w:val="clear" w:fill="FFFFFF"/>
        <w:spacing w:before="240" w:beforeAutospacing="0" w:after="240" w:afterAutospacing="0" w:line="360" w:lineRule="auto"/>
        <w:ind w:left="0" w:right="0" w:firstLine="630" w:firstLineChars="300"/>
        <w:rPr>
          <w:rFonts w:hint="default" w:ascii="Times New Roman" w:hAnsi="Times New Roman" w:eastAsia="宋体" w:cs="Times New Roman"/>
          <w:color w:val="auto"/>
          <w:kern w:val="0"/>
          <w:sz w:val="21"/>
          <w:szCs w:val="21"/>
          <w:highlight w:val="none"/>
          <w:u w:val="single"/>
          <w:lang w:val="en-US" w:eastAsia="zh-CN" w:bidi="hi-IN"/>
        </w:rPr>
      </w:pPr>
      <w:r>
        <w:rPr>
          <w:rFonts w:hint="eastAsia" w:hAnsi="宋体" w:cs="宋体"/>
          <w:color w:val="auto"/>
          <w:kern w:val="0"/>
          <w:sz w:val="21"/>
          <w:szCs w:val="21"/>
          <w:highlight w:val="none"/>
        </w:rPr>
        <w:t>（</w:t>
      </w:r>
      <w:r>
        <w:rPr>
          <w:color w:val="auto"/>
          <w:kern w:val="0"/>
          <w:sz w:val="21"/>
          <w:szCs w:val="21"/>
          <w:highlight w:val="none"/>
        </w:rPr>
        <w:t>10</w:t>
      </w:r>
      <w:r>
        <w:rPr>
          <w:rFonts w:hint="eastAsia" w:hAnsi="宋体" w:cs="宋体"/>
          <w:color w:val="auto"/>
          <w:kern w:val="0"/>
          <w:sz w:val="21"/>
          <w:szCs w:val="21"/>
          <w:highlight w:val="none"/>
        </w:rPr>
        <w:t>）承包人应履行的其他义务：</w:t>
      </w:r>
      <w:r>
        <w:rPr>
          <w:rFonts w:hint="default" w:ascii="Times New Roman" w:hAnsi="Times New Roman" w:eastAsia="宋体" w:cs="Times New Roman"/>
          <w:color w:val="auto"/>
          <w:kern w:val="0"/>
          <w:sz w:val="21"/>
          <w:szCs w:val="21"/>
          <w:highlight w:val="none"/>
          <w:u w:val="single"/>
          <w:lang w:val="en-US" w:eastAsia="zh-CN" w:bidi="hi-IN"/>
        </w:rPr>
        <w:t>①承包人应配合发包人办理临时用地手续。临时占用耕地、甘蔗地等农用地的，青苗补偿费及地上附着物补偿费由发包人承担；临时用地的复垦、恢复原状责任由承包人承担，费用已包含在磋商报价中。承包人进场前应与发包人共同清点需临时占用的地块并拍照存档。②因施工需要临时中断村屯道路的，承包人应提前48小时在村内公示，并设置安全、便捷的临时便道（宽度不小于2.5米）供村民及甘蔗运输车辆通行，临时便道的修建及维护费用由承包人承担。涉及村民用地协调的，由发包人负责组织协调，承包人应予以配合。③施工用水、用电：由承包人通过现场勘察后自行确定，自行负责施工场地内的管、线路的铺、架设，并承担施工期间用水、用电的使用、维护</w:t>
      </w:r>
      <w:r>
        <w:rPr>
          <w:rFonts w:hint="eastAsia" w:ascii="Times New Roman" w:hAnsi="Times New Roman" w:cs="Times New Roman"/>
          <w:color w:val="auto"/>
          <w:kern w:val="0"/>
          <w:sz w:val="21"/>
          <w:szCs w:val="21"/>
          <w:highlight w:val="none"/>
          <w:u w:val="single"/>
          <w:lang w:val="en-US" w:eastAsia="zh-CN" w:bidi="hi-IN"/>
        </w:rPr>
        <w:t>和安全责任。</w:t>
      </w:r>
    </w:p>
    <w:p w14:paraId="0DC75463">
      <w:pPr>
        <w:pStyle w:val="5"/>
        <w:rPr>
          <w:color w:val="auto"/>
          <w:highlight w:val="none"/>
        </w:rPr>
      </w:pPr>
      <w:bookmarkStart w:id="350" w:name="_Toc407135210"/>
      <w:bookmarkStart w:id="351" w:name="_Toc373227708"/>
      <w:bookmarkStart w:id="352" w:name="_Toc501741485"/>
      <w:bookmarkStart w:id="353" w:name="_Toc29728"/>
      <w:bookmarkStart w:id="354" w:name="_Toc78449796"/>
      <w:bookmarkStart w:id="355" w:name="_Toc373478355"/>
      <w:bookmarkStart w:id="356" w:name="_Toc389065274"/>
      <w:bookmarkStart w:id="357" w:name="_Toc1659520837"/>
      <w:r>
        <w:rPr>
          <w:color w:val="auto"/>
          <w:highlight w:val="none"/>
        </w:rPr>
        <w:t>3.2</w:t>
      </w:r>
      <w:r>
        <w:rPr>
          <w:rFonts w:hint="eastAsia" w:hAnsi="宋体" w:cs="黑体"/>
          <w:color w:val="auto"/>
          <w:highlight w:val="none"/>
        </w:rPr>
        <w:t>项目经理</w:t>
      </w:r>
      <w:bookmarkEnd w:id="350"/>
      <w:bookmarkEnd w:id="351"/>
      <w:bookmarkEnd w:id="352"/>
      <w:bookmarkEnd w:id="353"/>
      <w:bookmarkEnd w:id="354"/>
      <w:bookmarkEnd w:id="355"/>
      <w:bookmarkEnd w:id="356"/>
      <w:bookmarkEnd w:id="357"/>
    </w:p>
    <w:p w14:paraId="702E9570">
      <w:pPr>
        <w:spacing w:line="360" w:lineRule="auto"/>
        <w:ind w:firstLine="420" w:firstLineChars="200"/>
        <w:rPr>
          <w:color w:val="auto"/>
          <w:sz w:val="21"/>
          <w:szCs w:val="21"/>
          <w:highlight w:val="none"/>
        </w:rPr>
      </w:pPr>
      <w:r>
        <w:rPr>
          <w:color w:val="auto"/>
          <w:kern w:val="0"/>
          <w:sz w:val="21"/>
          <w:szCs w:val="21"/>
          <w:highlight w:val="none"/>
        </w:rPr>
        <w:t>3.2.1</w:t>
      </w:r>
      <w:r>
        <w:rPr>
          <w:rFonts w:hint="eastAsia" w:hAnsi="宋体" w:cs="宋体"/>
          <w:color w:val="auto"/>
          <w:sz w:val="21"/>
          <w:szCs w:val="21"/>
          <w:highlight w:val="none"/>
        </w:rPr>
        <w:t>项目经理：</w:t>
      </w:r>
    </w:p>
    <w:p w14:paraId="28728317">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E836168">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508FABBA">
      <w:pPr>
        <w:spacing w:line="360" w:lineRule="auto"/>
        <w:ind w:firstLine="420" w:firstLineChars="200"/>
        <w:rPr>
          <w:color w:val="auto"/>
          <w:sz w:val="21"/>
          <w:szCs w:val="21"/>
          <w:highlight w:val="none"/>
        </w:rPr>
      </w:pPr>
      <w:r>
        <w:rPr>
          <w:rFonts w:hAnsi="宋体"/>
          <w:color w:val="auto"/>
          <w:sz w:val="21"/>
          <w:szCs w:val="21"/>
          <w:highlight w:val="none"/>
        </w:rPr>
        <w:t>建造师执业资格等级：</w:t>
      </w:r>
      <w:r>
        <w:rPr>
          <w:rFonts w:hAnsi="宋体"/>
          <w:color w:val="auto"/>
          <w:sz w:val="21"/>
          <w:szCs w:val="21"/>
          <w:highlight w:val="none"/>
          <w:u w:val="single"/>
        </w:rPr>
        <w:t></w:t>
      </w:r>
      <w:r>
        <w:rPr>
          <w:rFonts w:hAnsi="宋体"/>
          <w:color w:val="auto"/>
          <w:sz w:val="21"/>
          <w:szCs w:val="21"/>
          <w:highlight w:val="none"/>
        </w:rPr>
        <w:t>；</w:t>
      </w:r>
    </w:p>
    <w:p w14:paraId="3FC40A45">
      <w:pPr>
        <w:spacing w:line="360" w:lineRule="auto"/>
        <w:ind w:firstLine="420" w:firstLineChars="200"/>
        <w:rPr>
          <w:color w:val="auto"/>
          <w:sz w:val="21"/>
          <w:szCs w:val="21"/>
          <w:highlight w:val="none"/>
        </w:rPr>
      </w:pPr>
      <w:r>
        <w:rPr>
          <w:rFonts w:hAnsi="宋体"/>
          <w:color w:val="auto"/>
          <w:sz w:val="21"/>
          <w:szCs w:val="21"/>
          <w:highlight w:val="none"/>
        </w:rPr>
        <w:t>建造师注册证书号：</w:t>
      </w:r>
      <w:r>
        <w:rPr>
          <w:rFonts w:hAnsi="宋体"/>
          <w:color w:val="auto"/>
          <w:sz w:val="21"/>
          <w:szCs w:val="21"/>
          <w:highlight w:val="none"/>
          <w:u w:val="single"/>
        </w:rPr>
        <w:t></w:t>
      </w:r>
      <w:r>
        <w:rPr>
          <w:rFonts w:hAnsi="宋体"/>
          <w:color w:val="auto"/>
          <w:sz w:val="21"/>
          <w:szCs w:val="21"/>
          <w:highlight w:val="none"/>
        </w:rPr>
        <w:t>；</w:t>
      </w:r>
    </w:p>
    <w:p w14:paraId="6565DE40">
      <w:pPr>
        <w:spacing w:line="360" w:lineRule="auto"/>
        <w:ind w:firstLine="420" w:firstLineChars="200"/>
        <w:rPr>
          <w:rFonts w:hAnsi="宋体"/>
          <w:color w:val="auto"/>
          <w:sz w:val="21"/>
          <w:szCs w:val="21"/>
          <w:highlight w:val="none"/>
        </w:rPr>
      </w:pPr>
      <w:r>
        <w:rPr>
          <w:rFonts w:hAnsi="宋体"/>
          <w:color w:val="auto"/>
          <w:sz w:val="21"/>
          <w:szCs w:val="21"/>
          <w:highlight w:val="none"/>
        </w:rPr>
        <w:t>安全生产考核合格证书号：</w:t>
      </w:r>
      <w:r>
        <w:rPr>
          <w:rFonts w:hAnsi="宋体"/>
          <w:color w:val="auto"/>
          <w:sz w:val="21"/>
          <w:szCs w:val="21"/>
          <w:highlight w:val="none"/>
          <w:u w:val="single"/>
        </w:rPr>
        <w:t></w:t>
      </w:r>
      <w:r>
        <w:rPr>
          <w:rFonts w:hAnsi="宋体"/>
          <w:color w:val="auto"/>
          <w:sz w:val="21"/>
          <w:szCs w:val="21"/>
          <w:highlight w:val="none"/>
        </w:rPr>
        <w:t>；</w:t>
      </w:r>
    </w:p>
    <w:p w14:paraId="3557522B">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4B27DF44">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3DA107E0">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57B0F2C2">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承包人对项目经理的授权范围如下</w:t>
      </w:r>
      <w:r>
        <w:rPr>
          <w:rFonts w:hint="eastAsia" w:hAnsi="宋体" w:cs="宋体"/>
          <w:color w:val="auto"/>
          <w:sz w:val="21"/>
          <w:szCs w:val="21"/>
          <w:highlight w:val="none"/>
          <w:u w:val="single"/>
        </w:rPr>
        <w:t>：项目经理仅限于本工程的现场施工管理，代表承包人签署施工过程中形成的技术文件、进度报告及现场签证单。但未经承包人书面盖章同意，项目经理不得以承包人名义对外签订分包合同、采购材料设备、租赁周转材料、雇佣劳动力、对外借款或为承包人设立任何担保、债务等一切产生法律义务或责任的行为。项目经理不得代表承包人向发包人收取工程款或委托发包人向任何第三方支付款项。</w:t>
      </w:r>
    </w:p>
    <w:p w14:paraId="00FA564F">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kern w:val="0"/>
          <w:sz w:val="21"/>
          <w:szCs w:val="21"/>
          <w:highlight w:val="none"/>
        </w:rPr>
        <w:t>关于项目经理每月在施工现场的时间要求：</w:t>
      </w:r>
      <w:r>
        <w:rPr>
          <w:rFonts w:hint="eastAsia" w:hAnsi="宋体" w:cs="宋体"/>
          <w:color w:val="auto"/>
          <w:kern w:val="0"/>
          <w:sz w:val="21"/>
          <w:szCs w:val="21"/>
          <w:highlight w:val="none"/>
          <w:lang w:val="en-US" w:eastAsia="zh-CN"/>
        </w:rPr>
        <w:t>项</w:t>
      </w:r>
      <w:r>
        <w:rPr>
          <w:rFonts w:hint="eastAsia" w:hAnsi="宋体" w:cs="宋体"/>
          <w:color w:val="auto"/>
          <w:sz w:val="21"/>
          <w:szCs w:val="21"/>
          <w:highlight w:val="none"/>
          <w:u w:val="single"/>
        </w:rPr>
        <w:t>目经理每月在施工现场的出勤天数不得少于当月日历天数的80%，因法定节假日、发包人原因停工或不可抗力导致现场无法施工的，相应天数可在计算在岗率时扣除。项目经理离开施工现场应向发包人代表及总监理工程师履行书面请假手续，请假期间应指定具备相应资格的技术负责人代为履职。</w:t>
      </w:r>
    </w:p>
    <w:p w14:paraId="73534A93">
      <w:pPr>
        <w:spacing w:line="360" w:lineRule="auto"/>
        <w:ind w:firstLine="420" w:firstLineChars="200"/>
        <w:rPr>
          <w:rFonts w:hint="eastAsia" w:hAnsi="宋体" w:cs="宋体"/>
          <w:color w:val="auto"/>
          <w:sz w:val="21"/>
          <w:szCs w:val="21"/>
          <w:highlight w:val="none"/>
          <w:u w:val="single"/>
        </w:rPr>
      </w:pPr>
      <w:r>
        <w:rPr>
          <w:rFonts w:hint="eastAsia" w:hAnsi="宋体" w:cs="宋体"/>
          <w:color w:val="auto"/>
          <w:kern w:val="0"/>
          <w:sz w:val="21"/>
          <w:szCs w:val="21"/>
          <w:highlight w:val="none"/>
        </w:rPr>
        <w:t>承包人未提交劳动合同，以及没有为项目经理缴纳社会保险证明的违约责任：</w:t>
      </w:r>
      <w:r>
        <w:rPr>
          <w:rFonts w:hint="eastAsia" w:hAnsi="宋体" w:cs="宋体"/>
          <w:color w:val="auto"/>
          <w:sz w:val="21"/>
          <w:szCs w:val="21"/>
          <w:highlight w:val="none"/>
          <w:u w:val="single"/>
        </w:rPr>
        <w:t>承包人应在开工前5日内向发包人提交项目经理与本单位签订的劳动合同及近3个月在本单位缴纳的社会保险证明。逾期未提交或提交虚假材料的，视为承包人违约，发包人有权按5000元/日处以违约金，并有权要求承包人暂停施工直至提交真实有效材料为止；逾期超过15日的，发包人有权按照第16.2.3条约定解除合同。</w:t>
      </w:r>
    </w:p>
    <w:p w14:paraId="127A3720">
      <w:pPr>
        <w:spacing w:line="360" w:lineRule="auto"/>
        <w:ind w:firstLine="420" w:firstLineChars="200"/>
        <w:rPr>
          <w:color w:val="auto"/>
          <w:sz w:val="21"/>
          <w:szCs w:val="21"/>
          <w:highlight w:val="none"/>
          <w:u w:val="single"/>
        </w:rPr>
      </w:pPr>
      <w:r>
        <w:rPr>
          <w:rFonts w:hint="eastAsia" w:hAnsi="宋体" w:cs="宋体"/>
          <w:color w:val="auto"/>
          <w:kern w:val="0"/>
          <w:sz w:val="21"/>
          <w:szCs w:val="21"/>
          <w:highlight w:val="none"/>
        </w:rPr>
        <w:t>项目经理未经批准，擅自离开施工现场的违约责任：</w:t>
      </w:r>
      <w:r>
        <w:rPr>
          <w:rFonts w:ascii="Segoe UI" w:hAnsi="Segoe UI" w:eastAsia="Segoe UI" w:cs="Segoe UI"/>
          <w:i w:val="0"/>
          <w:iCs w:val="0"/>
          <w:caps w:val="0"/>
          <w:color w:val="0F1115"/>
          <w:spacing w:val="0"/>
          <w:sz w:val="21"/>
          <w:szCs w:val="21"/>
          <w:highlight w:val="none"/>
          <w:u w:val="single"/>
          <w:shd w:val="clear" w:fill="FFFFFF"/>
        </w:rPr>
        <w:t>项目经理每月在岗带班时间不得少于当月施工时间的80%。未经发包人同意或正当理由，项目经理每月在岗带班时间少于当月施工时间80%的，少在岗带班一天，发包人有权处违约金</w:t>
      </w:r>
      <w:r>
        <w:rPr>
          <w:rStyle w:val="27"/>
          <w:rFonts w:hint="eastAsia" w:ascii="Segoe UI" w:hAnsi="Segoe UI" w:eastAsia="宋体" w:cs="Segoe UI"/>
          <w:b/>
          <w:bCs/>
          <w:i w:val="0"/>
          <w:iCs w:val="0"/>
          <w:caps w:val="0"/>
          <w:color w:val="0F1115"/>
          <w:spacing w:val="0"/>
          <w:sz w:val="21"/>
          <w:szCs w:val="21"/>
          <w:highlight w:val="none"/>
          <w:u w:val="singl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u w:val="single"/>
          <w:shd w:val="clear" w:fill="FFFFFF"/>
        </w:rPr>
        <w:t>000</w:t>
      </w:r>
      <w:r>
        <w:rPr>
          <w:rFonts w:hint="default" w:ascii="Segoe UI" w:hAnsi="Segoe UI" w:eastAsia="Segoe UI" w:cs="Segoe UI"/>
          <w:i w:val="0"/>
          <w:iCs w:val="0"/>
          <w:caps w:val="0"/>
          <w:color w:val="0F1115"/>
          <w:spacing w:val="0"/>
          <w:sz w:val="21"/>
          <w:szCs w:val="21"/>
          <w:highlight w:val="none"/>
          <w:u w:val="single"/>
          <w:shd w:val="clear" w:fill="FFFFFF"/>
        </w:rPr>
        <w:t>元/日（人民币）</w:t>
      </w:r>
      <w:r>
        <w:rPr>
          <w:rFonts w:hint="eastAsia" w:hAnsi="宋体" w:cs="宋体"/>
          <w:color w:val="auto"/>
          <w:sz w:val="21"/>
          <w:szCs w:val="21"/>
          <w:highlight w:val="none"/>
          <w:u w:val="single"/>
        </w:rPr>
        <w:t>。</w:t>
      </w:r>
    </w:p>
    <w:p w14:paraId="317CA371">
      <w:pPr>
        <w:adjustRightInd w:val="0"/>
        <w:snapToGrid w:val="0"/>
        <w:spacing w:line="460" w:lineRule="exact"/>
        <w:ind w:firstLine="420" w:firstLineChars="200"/>
        <w:jc w:val="left"/>
        <w:rPr>
          <w:rFonts w:ascii="Segoe UI" w:hAnsi="Segoe UI" w:eastAsia="Segoe UI" w:cs="Segoe UI"/>
          <w:i w:val="0"/>
          <w:iCs w:val="0"/>
          <w:caps w:val="0"/>
          <w:color w:val="0F1115"/>
          <w:spacing w:val="0"/>
          <w:sz w:val="21"/>
          <w:szCs w:val="21"/>
          <w:highlight w:val="none"/>
          <w:u w:val="single"/>
          <w:shd w:val="clear" w:fill="FFFFFF"/>
        </w:rPr>
      </w:pPr>
      <w:r>
        <w:rPr>
          <w:color w:val="auto"/>
          <w:sz w:val="21"/>
          <w:szCs w:val="21"/>
          <w:highlight w:val="none"/>
        </w:rPr>
        <w:t>3.2.3</w:t>
      </w:r>
      <w:r>
        <w:rPr>
          <w:rFonts w:hint="eastAsia" w:hAnsi="宋体" w:cs="宋体"/>
          <w:color w:val="auto"/>
          <w:sz w:val="21"/>
          <w:szCs w:val="21"/>
          <w:highlight w:val="none"/>
        </w:rPr>
        <w:t>承包人擅自更换项目经理的违约责任：</w:t>
      </w:r>
      <w:r>
        <w:rPr>
          <w:rFonts w:ascii="Segoe UI" w:hAnsi="Segoe UI" w:eastAsia="Segoe UI" w:cs="Segoe UI"/>
          <w:i w:val="0"/>
          <w:iCs w:val="0"/>
          <w:caps w:val="0"/>
          <w:color w:val="0F1115"/>
          <w:spacing w:val="0"/>
          <w:sz w:val="21"/>
          <w:szCs w:val="21"/>
          <w:highlight w:val="none"/>
          <w:u w:val="single"/>
          <w:shd w:val="clear" w:fill="FFFFFF"/>
        </w:rPr>
        <w:t>承包人项目经理必须与承包人投标时所承诺的人员一致，并在</w:t>
      </w:r>
      <w:r>
        <w:rPr>
          <w:rFonts w:hint="default" w:ascii="Segoe UI" w:hAnsi="Segoe UI" w:eastAsia="Segoe UI" w:cs="Segoe UI"/>
          <w:i w:val="0"/>
          <w:iCs w:val="0"/>
          <w:caps w:val="0"/>
          <w:color w:val="0F1115"/>
          <w:spacing w:val="0"/>
          <w:sz w:val="21"/>
          <w:szCs w:val="21"/>
          <w:highlight w:val="none"/>
          <w:u w:val="single"/>
          <w:shd w:val="clear" w:fill="FFFFFF"/>
        </w:rPr>
        <w:t> 开工日期 前到任。在监理人向承包人颁发 工程接收证书 前，项目经理不得同时兼任其他任何项目的项目经理（符合《广西壮族自治区建筑市场诚信卡管理暂行办法》第十六条第一款及桂建管﹝2016﹞70号、桂建管〔2020〕11号文除外）。未经发包人书面同意，承包人擅自更换项目经理的视为违约，违约金处 30000 元/人·次（人民币）。</w:t>
      </w:r>
    </w:p>
    <w:p w14:paraId="47C10AB9">
      <w:pPr>
        <w:spacing w:line="360" w:lineRule="auto"/>
        <w:ind w:firstLine="420" w:firstLineChars="200"/>
        <w:rPr>
          <w:color w:val="auto"/>
          <w:highlight w:val="none"/>
        </w:rPr>
      </w:pPr>
      <w:r>
        <w:rPr>
          <w:color w:val="auto"/>
          <w:sz w:val="21"/>
          <w:szCs w:val="21"/>
          <w:highlight w:val="none"/>
        </w:rPr>
        <w:t>3.2.4</w:t>
      </w:r>
      <w:r>
        <w:rPr>
          <w:rFonts w:hint="eastAsia" w:hAnsi="宋体" w:cs="宋体"/>
          <w:color w:val="auto"/>
          <w:sz w:val="21"/>
          <w:szCs w:val="21"/>
          <w:highlight w:val="none"/>
        </w:rPr>
        <w:t>承包人无正当理由拒绝更换项目经理的违约责任：</w:t>
      </w:r>
      <w:r>
        <w:rPr>
          <w:rFonts w:hint="eastAsia" w:hAnsi="宋体" w:cs="宋体"/>
          <w:color w:val="auto"/>
          <w:sz w:val="21"/>
          <w:szCs w:val="21"/>
          <w:highlight w:val="none"/>
          <w:u w:val="single"/>
        </w:rPr>
        <w:t>因承包人项目经理不称职，发包人要求调换而未及时调换的，视为承包人违约，必须向发包人交纳处罚金</w:t>
      </w:r>
      <w:r>
        <w:rPr>
          <w:rFonts w:hint="eastAsia" w:hAnsi="宋体" w:cs="宋体"/>
          <w:color w:val="auto"/>
          <w:sz w:val="21"/>
          <w:szCs w:val="21"/>
          <w:highlight w:val="none"/>
          <w:u w:val="single"/>
          <w:lang w:val="en-US" w:eastAsia="zh-CN"/>
        </w:rPr>
        <w:t>5000.00</w:t>
      </w:r>
      <w:r>
        <w:rPr>
          <w:rFonts w:hint="eastAsia" w:hAnsi="宋体" w:cs="宋体"/>
          <w:color w:val="auto"/>
          <w:sz w:val="21"/>
          <w:szCs w:val="21"/>
          <w:highlight w:val="none"/>
          <w:u w:val="single"/>
        </w:rPr>
        <w:t>元/人•次（人民币），同时不免除承包人继续履行调换义务的责任。因更换项目经理造成的工期延误，由承包人按专用合同条款第7.5.2条的约定另行承担逾期竣工违约责任</w:t>
      </w:r>
      <w:r>
        <w:rPr>
          <w:rFonts w:hint="eastAsia" w:hAnsi="宋体" w:cs="宋体"/>
          <w:color w:val="auto"/>
          <w:sz w:val="21"/>
          <w:szCs w:val="21"/>
          <w:highlight w:val="none"/>
        </w:rPr>
        <w:t>。</w:t>
      </w:r>
    </w:p>
    <w:p w14:paraId="68C2B423">
      <w:pPr>
        <w:pStyle w:val="5"/>
        <w:rPr>
          <w:color w:val="auto"/>
          <w:highlight w:val="none"/>
        </w:rPr>
      </w:pPr>
      <w:bookmarkStart w:id="358" w:name="_Toc373478356"/>
      <w:bookmarkStart w:id="359" w:name="_Toc407135211"/>
      <w:bookmarkStart w:id="360" w:name="_Toc389065275"/>
      <w:bookmarkStart w:id="361" w:name="_Toc1443830486"/>
      <w:bookmarkStart w:id="362" w:name="_Toc747710271"/>
      <w:bookmarkStart w:id="363" w:name="_Toc14110"/>
      <w:bookmarkStart w:id="364" w:name="_Toc373227709"/>
      <w:bookmarkStart w:id="365" w:name="_Toc78449797"/>
      <w:r>
        <w:rPr>
          <w:color w:val="auto"/>
          <w:highlight w:val="none"/>
        </w:rPr>
        <w:t>3.3</w:t>
      </w:r>
      <w:r>
        <w:rPr>
          <w:rFonts w:hint="eastAsia" w:hAnsi="宋体" w:cs="黑体"/>
          <w:color w:val="auto"/>
          <w:highlight w:val="none"/>
        </w:rPr>
        <w:t>承包人人员</w:t>
      </w:r>
      <w:bookmarkEnd w:id="358"/>
      <w:bookmarkEnd w:id="359"/>
      <w:bookmarkEnd w:id="360"/>
      <w:bookmarkEnd w:id="361"/>
      <w:bookmarkEnd w:id="362"/>
      <w:bookmarkEnd w:id="363"/>
      <w:bookmarkEnd w:id="364"/>
      <w:bookmarkEnd w:id="365"/>
    </w:p>
    <w:p w14:paraId="09959DEE">
      <w:pPr>
        <w:spacing w:line="360" w:lineRule="auto"/>
        <w:ind w:firstLine="420" w:firstLineChars="200"/>
        <w:rPr>
          <w:rFonts w:hAnsi="宋体"/>
          <w:color w:val="auto"/>
          <w:sz w:val="21"/>
          <w:szCs w:val="21"/>
          <w:highlight w:val="none"/>
        </w:rPr>
      </w:pPr>
      <w:r>
        <w:rPr>
          <w:color w:val="auto"/>
          <w:sz w:val="21"/>
          <w:szCs w:val="21"/>
          <w:highlight w:val="none"/>
        </w:rPr>
        <w:t>3.3.1</w:t>
      </w:r>
      <w:r>
        <w:rPr>
          <w:rFonts w:hint="eastAsia" w:hAnsi="宋体" w:cs="宋体"/>
          <w:color w:val="auto"/>
          <w:sz w:val="21"/>
          <w:szCs w:val="21"/>
          <w:highlight w:val="none"/>
        </w:rPr>
        <w:t>承包人提交项目管理机构及施工现场管理人员安排报告（格式见合同附件</w:t>
      </w:r>
      <w:r>
        <w:rPr>
          <w:rFonts w:hint="eastAsia" w:hAnsi="宋体"/>
          <w:color w:val="auto"/>
          <w:sz w:val="21"/>
          <w:szCs w:val="21"/>
          <w:highlight w:val="none"/>
        </w:rPr>
        <w:t>5</w:t>
      </w:r>
      <w:r>
        <w:rPr>
          <w:rFonts w:hint="eastAsia" w:hAnsi="宋体" w:cs="宋体"/>
          <w:color w:val="auto"/>
          <w:sz w:val="21"/>
          <w:szCs w:val="21"/>
          <w:highlight w:val="none"/>
        </w:rPr>
        <w:t>）的期限：</w:t>
      </w:r>
    </w:p>
    <w:p w14:paraId="2210B178">
      <w:pPr>
        <w:spacing w:line="360" w:lineRule="auto"/>
        <w:rPr>
          <w:color w:val="auto"/>
          <w:sz w:val="21"/>
          <w:szCs w:val="21"/>
          <w:highlight w:val="none"/>
        </w:rPr>
      </w:pPr>
      <w:r>
        <w:rPr>
          <w:rFonts w:hint="eastAsia"/>
          <w:color w:val="auto"/>
          <w:sz w:val="21"/>
          <w:szCs w:val="21"/>
          <w:highlight w:val="none"/>
          <w:u w:val="single"/>
          <w:lang w:eastAsia="zh-CN"/>
        </w:rPr>
        <w:t>工程开工前7日内。项目管理机构及施工现场管理人员必须与投标文件中承诺的人员一致，并附全部管理人员的劳动合同及近1个月投标截止时间</w:t>
      </w:r>
      <w:r>
        <w:rPr>
          <w:rFonts w:hint="eastAsia"/>
          <w:color w:val="auto"/>
          <w:sz w:val="21"/>
          <w:szCs w:val="21"/>
          <w:highlight w:val="none"/>
          <w:u w:val="single"/>
          <w:lang w:val="en-US" w:eastAsia="zh-CN"/>
        </w:rPr>
        <w:t>前半年内</w:t>
      </w:r>
      <w:r>
        <w:rPr>
          <w:rFonts w:hint="eastAsia"/>
          <w:color w:val="auto"/>
          <w:sz w:val="21"/>
          <w:szCs w:val="21"/>
          <w:highlight w:val="none"/>
          <w:u w:val="single"/>
          <w:lang w:eastAsia="zh-CN"/>
        </w:rPr>
        <w:t>任意一个月社保）在现任职单位依法缴纳社会保险证明材料的扫描件</w:t>
      </w:r>
      <w:r>
        <w:rPr>
          <w:rFonts w:hint="eastAsia" w:hAnsi="宋体" w:cs="宋体"/>
          <w:color w:val="auto"/>
          <w:sz w:val="21"/>
          <w:szCs w:val="21"/>
          <w:highlight w:val="none"/>
        </w:rPr>
        <w:t>。</w:t>
      </w:r>
    </w:p>
    <w:p w14:paraId="46A9BEFF">
      <w:pPr>
        <w:spacing w:line="360" w:lineRule="auto"/>
        <w:ind w:firstLine="420" w:firstLineChars="200"/>
        <w:rPr>
          <w:color w:val="auto"/>
          <w:sz w:val="21"/>
          <w:szCs w:val="21"/>
          <w:highlight w:val="none"/>
        </w:rPr>
      </w:pPr>
      <w:r>
        <w:rPr>
          <w:color w:val="auto"/>
          <w:sz w:val="21"/>
          <w:szCs w:val="21"/>
          <w:highlight w:val="none"/>
        </w:rPr>
        <w:t>3.3.3</w:t>
      </w:r>
      <w:r>
        <w:rPr>
          <w:rFonts w:hint="eastAsia" w:hAnsi="宋体" w:cs="宋体"/>
          <w:color w:val="auto"/>
          <w:sz w:val="21"/>
          <w:szCs w:val="21"/>
          <w:highlight w:val="none"/>
        </w:rPr>
        <w:t>承包人无正当理由拒绝撤换主要施工管理人员的违约责任：</w:t>
      </w:r>
      <w:r>
        <w:rPr>
          <w:rFonts w:hint="eastAsia"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 w:val="21"/>
          <w:szCs w:val="21"/>
          <w:highlight w:val="none"/>
          <w:u w:val="single"/>
          <w:lang w:val="en-US" w:eastAsia="zh-CN"/>
        </w:rPr>
        <w:t>2000.00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；专业工程师</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2BE82AC0">
      <w:pPr>
        <w:spacing w:line="360" w:lineRule="auto"/>
        <w:ind w:firstLine="420" w:firstLineChars="200"/>
        <w:rPr>
          <w:rFonts w:hint="eastAsia" w:hAnsi="宋体" w:cs="宋体"/>
          <w:color w:val="auto"/>
          <w:sz w:val="21"/>
          <w:szCs w:val="21"/>
          <w:highlight w:val="none"/>
          <w:u w:val="single"/>
        </w:rPr>
      </w:pPr>
      <w:r>
        <w:rPr>
          <w:color w:val="auto"/>
          <w:sz w:val="21"/>
          <w:szCs w:val="21"/>
          <w:highlight w:val="none"/>
        </w:rPr>
        <w:t>3.3.4</w:t>
      </w:r>
      <w:r>
        <w:rPr>
          <w:rFonts w:hint="eastAsia" w:hAnsi="宋体" w:cs="宋体"/>
          <w:color w:val="auto"/>
          <w:sz w:val="21"/>
          <w:szCs w:val="21"/>
          <w:highlight w:val="none"/>
        </w:rPr>
        <w:t>承包人主要施工管理人员离开施工现场的批准要求：</w:t>
      </w:r>
      <w:r>
        <w:rPr>
          <w:rFonts w:hint="eastAsia" w:hAnsi="宋体" w:cs="宋体"/>
          <w:color w:val="auto"/>
          <w:sz w:val="21"/>
          <w:szCs w:val="21"/>
          <w:highlight w:val="none"/>
          <w:u w:val="single"/>
        </w:rPr>
        <w:t>项目技术负责人、专职安全生产管理人员离开施工现场，须提前1日向总监理工程师提交书面请假申请，经总监理工程师批准后方可离开，并在施工现场留存书面请假记录备查。请假期间应事先指定具备同等资格的替岗人员，经发包人代表及总监理工程师确认后代替履职。其他施工管理人员离开施工现场，须向项目经理报备。因工作需要临时离开的，事后应在当日施工日志中补记。同一岗位人员连续请假超过3日或月度累计请假超过5日的，须另行取得发包人书面同意。</w:t>
      </w:r>
    </w:p>
    <w:p w14:paraId="09129AAD">
      <w:pPr>
        <w:spacing w:line="360" w:lineRule="auto"/>
        <w:ind w:firstLine="420" w:firstLineChars="200"/>
        <w:rPr>
          <w:color w:val="auto"/>
          <w:sz w:val="21"/>
          <w:szCs w:val="21"/>
          <w:highlight w:val="none"/>
        </w:rPr>
      </w:pPr>
      <w:r>
        <w:rPr>
          <w:color w:val="auto"/>
          <w:sz w:val="21"/>
          <w:szCs w:val="21"/>
          <w:highlight w:val="none"/>
        </w:rPr>
        <w:t>3.3.5</w:t>
      </w:r>
      <w:r>
        <w:rPr>
          <w:rFonts w:hint="eastAsia" w:hAnsi="宋体" w:cs="宋体"/>
          <w:color w:val="auto"/>
          <w:sz w:val="21"/>
          <w:szCs w:val="21"/>
          <w:highlight w:val="none"/>
        </w:rPr>
        <w:t>承包人擅自更换主要施工管理人员的违约责任：</w:t>
      </w:r>
      <w:r>
        <w:rPr>
          <w:rFonts w:hint="eastAsia" w:hAnsi="宋体" w:cs="宋体"/>
          <w:color w:val="auto"/>
          <w:sz w:val="21"/>
          <w:szCs w:val="21"/>
          <w:highlight w:val="none"/>
          <w:u w:val="single"/>
        </w:rPr>
        <w:t>项目技术负责人、专职安全生产管理人员及其承诺的其它在场管理人员未经发包人书面同意不准擅自更换，擅自更换项目技术负责人处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违约金；擅自更换专职安全生产管理人员处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违约金；擅自更换其它在场管理人员处</w:t>
      </w:r>
      <w:r>
        <w:rPr>
          <w:rFonts w:hint="eastAsia"/>
          <w:color w:val="auto"/>
          <w:sz w:val="21"/>
          <w:szCs w:val="21"/>
          <w:highlight w:val="none"/>
          <w:u w:val="single"/>
          <w:lang w:val="en-US" w:eastAsia="zh-CN"/>
        </w:rPr>
        <w:t>5000.00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w:t>
      </w:r>
      <w:r>
        <w:rPr>
          <w:rFonts w:hint="eastAsia" w:hAnsi="宋体" w:cs="宋体"/>
          <w:color w:val="auto"/>
          <w:sz w:val="21"/>
          <w:szCs w:val="21"/>
          <w:highlight w:val="none"/>
        </w:rPr>
        <w:t>。</w:t>
      </w:r>
    </w:p>
    <w:p w14:paraId="3F425185">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承包人主要施工管理人员擅自离开施工现场的违约责任：</w:t>
      </w:r>
      <w:r>
        <w:rPr>
          <w:rFonts w:hint="eastAsia" w:hAnsi="宋体" w:cs="宋体"/>
          <w:color w:val="auto"/>
          <w:sz w:val="21"/>
          <w:szCs w:val="21"/>
          <w:highlight w:val="none"/>
          <w:u w:val="single"/>
        </w:rPr>
        <w:t>未经发包人同意，项目技术负责人擅自离岗的，视为承包人违约，发包人有权处违约金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；未经发包人同意，专职安全生产管理人员擅自离岗的，视为承包人违约，发包人有权处违约金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；其它在场管理人员擅自离岗的，视为承包人违约，发包人有权处违约金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6D218E92">
      <w:pPr>
        <w:pStyle w:val="5"/>
        <w:rPr>
          <w:color w:val="auto"/>
          <w:highlight w:val="none"/>
        </w:rPr>
      </w:pPr>
      <w:bookmarkStart w:id="366" w:name="_Toc407135212"/>
      <w:bookmarkStart w:id="367" w:name="_Toc389065276"/>
      <w:bookmarkStart w:id="368" w:name="_Toc2066279184"/>
      <w:bookmarkStart w:id="369" w:name="_Toc78449798"/>
      <w:bookmarkStart w:id="370" w:name="_Toc373227710"/>
      <w:bookmarkStart w:id="371" w:name="_Toc2025600126"/>
      <w:bookmarkStart w:id="372" w:name="_Toc373478357"/>
      <w:bookmarkStart w:id="373" w:name="_Toc20039"/>
      <w:r>
        <w:rPr>
          <w:color w:val="auto"/>
          <w:highlight w:val="none"/>
        </w:rPr>
        <w:t>3</w:t>
      </w:r>
      <w:bookmarkStart w:id="374" w:name="_Toc296346660"/>
      <w:bookmarkStart w:id="375" w:name="_Toc296944498"/>
      <w:bookmarkStart w:id="376" w:name="_Toc300934945"/>
      <w:bookmarkStart w:id="377" w:name="_Toc296347158"/>
      <w:bookmarkStart w:id="378" w:name="_Toc303539102"/>
      <w:bookmarkStart w:id="379" w:name="_Toc296890987"/>
      <w:bookmarkStart w:id="380" w:name="_Toc297123492"/>
      <w:bookmarkStart w:id="381" w:name="_Toc297216151"/>
      <w:bookmarkStart w:id="382" w:name="_Toc296503159"/>
      <w:bookmarkStart w:id="383" w:name="_Toc312677988"/>
      <w:bookmarkStart w:id="384" w:name="_Toc297048345"/>
      <w:bookmarkStart w:id="385" w:name="_Toc297120459"/>
      <w:bookmarkStart w:id="386" w:name="_Toc304295523"/>
      <w:bookmarkStart w:id="387" w:name="_Toc296891199"/>
      <w:bookmarkStart w:id="388" w:name="_Toc292559364"/>
      <w:bookmarkStart w:id="389" w:name="_Toc292559869"/>
      <w:r>
        <w:rPr>
          <w:color w:val="auto"/>
          <w:highlight w:val="none"/>
        </w:rPr>
        <w:t>.5</w:t>
      </w:r>
      <w:r>
        <w:rPr>
          <w:rFonts w:hint="eastAsia" w:hAnsi="宋体" w:cs="黑体"/>
          <w:color w:val="auto"/>
          <w:highlight w:val="none"/>
        </w:rPr>
        <w:t>分包</w:t>
      </w:r>
      <w:bookmarkEnd w:id="366"/>
      <w:bookmarkEnd w:id="367"/>
      <w:bookmarkEnd w:id="368"/>
      <w:bookmarkEnd w:id="369"/>
      <w:bookmarkEnd w:id="370"/>
      <w:bookmarkEnd w:id="371"/>
      <w:bookmarkEnd w:id="372"/>
      <w:bookmarkEnd w:id="373"/>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6B96FA92">
      <w:pPr>
        <w:spacing w:line="360" w:lineRule="auto"/>
        <w:ind w:firstLine="420" w:firstLineChars="200"/>
        <w:rPr>
          <w:color w:val="auto"/>
          <w:sz w:val="21"/>
          <w:szCs w:val="21"/>
          <w:highlight w:val="none"/>
        </w:rPr>
      </w:pPr>
      <w:r>
        <w:rPr>
          <w:color w:val="auto"/>
          <w:sz w:val="21"/>
          <w:szCs w:val="21"/>
          <w:highlight w:val="none"/>
        </w:rPr>
        <w:t>3.5.1</w:t>
      </w:r>
      <w:r>
        <w:rPr>
          <w:rFonts w:hint="eastAsia" w:hAnsi="宋体" w:cs="宋体"/>
          <w:color w:val="auto"/>
          <w:sz w:val="21"/>
          <w:szCs w:val="21"/>
          <w:highlight w:val="none"/>
        </w:rPr>
        <w:t>分包的一般约定</w:t>
      </w:r>
    </w:p>
    <w:p w14:paraId="58FDB27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禁止分包的工程包括</w:t>
      </w:r>
      <w:r>
        <w:rPr>
          <w:rFonts w:hint="eastAsia" w:hAnsi="宋体" w:cs="宋体"/>
          <w:color w:val="auto"/>
          <w:sz w:val="20"/>
          <w:szCs w:val="20"/>
          <w:highlight w:val="none"/>
          <w:u w:val="single"/>
        </w:rPr>
        <w:t>：</w:t>
      </w:r>
      <w:r>
        <w:rPr>
          <w:rFonts w:ascii="Segoe UI" w:hAnsi="Segoe UI" w:eastAsia="Segoe UI" w:cs="Segoe UI"/>
          <w:i w:val="0"/>
          <w:iCs w:val="0"/>
          <w:caps w:val="0"/>
          <w:color w:val="0F1115"/>
          <w:spacing w:val="0"/>
          <w:sz w:val="22"/>
          <w:szCs w:val="22"/>
          <w:highlight w:val="none"/>
          <w:u w:val="single"/>
          <w:shd w:val="clear" w:fill="FFFFFF"/>
        </w:rPr>
        <w:t>本工程主体结构及关键性工作不得分包</w:t>
      </w:r>
      <w:r>
        <w:rPr>
          <w:rFonts w:hint="eastAsia" w:hAnsi="宋体" w:cs="宋体"/>
          <w:color w:val="auto"/>
          <w:sz w:val="18"/>
          <w:szCs w:val="18"/>
          <w:highlight w:val="none"/>
          <w:u w:val="single"/>
        </w:rPr>
        <w:t>。</w:t>
      </w:r>
    </w:p>
    <w:p w14:paraId="04877D46">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主体结构、关键性工作的范围：</w:t>
      </w:r>
      <w:r>
        <w:rPr>
          <w:rFonts w:hint="default" w:ascii="Segoe UI" w:hAnsi="Segoe UI" w:eastAsia="Segoe UI" w:cs="Segoe UI"/>
          <w:i w:val="0"/>
          <w:iCs w:val="0"/>
          <w:caps w:val="0"/>
          <w:color w:val="0F1115"/>
          <w:spacing w:val="0"/>
          <w:kern w:val="0"/>
          <w:sz w:val="21"/>
          <w:szCs w:val="21"/>
          <w:highlight w:val="none"/>
          <w:u w:val="single"/>
          <w:shd w:val="clear" w:fill="FFFFFF"/>
          <w:lang w:val="en-US" w:eastAsia="zh-CN" w:bidi="hi-IN"/>
        </w:rPr>
        <w:t>10kV架空线路架设、变压器迁移安装、电气设备安装及系统调试</w:t>
      </w:r>
      <w:r>
        <w:rPr>
          <w:rFonts w:hint="eastAsia" w:ascii="Segoe UI" w:hAnsi="Segoe UI" w:eastAsia="Segoe UI" w:cs="Segoe UI"/>
          <w:i w:val="0"/>
          <w:iCs w:val="0"/>
          <w:caps w:val="0"/>
          <w:color w:val="0F1115"/>
          <w:spacing w:val="0"/>
          <w:kern w:val="0"/>
          <w:sz w:val="21"/>
          <w:szCs w:val="21"/>
          <w:highlight w:val="none"/>
          <w:u w:val="single"/>
          <w:shd w:val="clear" w:fill="FFFFFF"/>
          <w:lang w:val="en-US" w:eastAsia="zh-CN" w:bidi="hi-IN"/>
        </w:rPr>
        <w:t>。</w:t>
      </w:r>
    </w:p>
    <w:p w14:paraId="020ACF7E">
      <w:pPr>
        <w:spacing w:line="360" w:lineRule="auto"/>
        <w:ind w:firstLine="420" w:firstLineChars="200"/>
        <w:jc w:val="left"/>
        <w:rPr>
          <w:color w:val="auto"/>
          <w:sz w:val="21"/>
          <w:szCs w:val="21"/>
          <w:highlight w:val="none"/>
        </w:rPr>
      </w:pPr>
      <w:r>
        <w:rPr>
          <w:color w:val="auto"/>
          <w:sz w:val="21"/>
          <w:szCs w:val="21"/>
          <w:highlight w:val="none"/>
        </w:rPr>
        <w:t>3.5.2</w:t>
      </w:r>
      <w:r>
        <w:rPr>
          <w:rFonts w:hint="eastAsia" w:hAnsi="宋体" w:cs="宋体"/>
          <w:color w:val="auto"/>
          <w:sz w:val="21"/>
          <w:szCs w:val="21"/>
          <w:highlight w:val="none"/>
        </w:rPr>
        <w:t>分包的确定</w:t>
      </w:r>
    </w:p>
    <w:p w14:paraId="706DF951">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Segoe UI" w:hAnsi="Segoe UI" w:eastAsia="Segoe UI" w:cs="Segoe UI"/>
          <w:i w:val="0"/>
          <w:iCs w:val="0"/>
          <w:caps w:val="0"/>
          <w:color w:val="0F1115"/>
          <w:spacing w:val="0"/>
          <w:kern w:val="0"/>
          <w:sz w:val="21"/>
          <w:szCs w:val="21"/>
          <w:highlight w:val="none"/>
          <w:u w:val="single"/>
          <w:shd w:val="clear" w:fill="FFFFFF"/>
          <w:lang w:val="en-US" w:eastAsia="zh-CN" w:bidi="hi-IN"/>
        </w:rPr>
      </w:pPr>
      <w:r>
        <w:rPr>
          <w:rFonts w:hint="eastAsia" w:ascii="Segoe UI" w:hAnsi="Segoe UI" w:eastAsia="Segoe UI" w:cs="Segoe UI"/>
          <w:i w:val="0"/>
          <w:iCs w:val="0"/>
          <w:caps w:val="0"/>
          <w:color w:val="0F1115"/>
          <w:spacing w:val="0"/>
          <w:kern w:val="0"/>
          <w:sz w:val="21"/>
          <w:szCs w:val="21"/>
          <w:highlight w:val="none"/>
          <w:u w:val="none"/>
          <w:shd w:val="clear" w:fill="FFFFFF"/>
          <w:lang w:val="en-US" w:eastAsia="zh-CN" w:bidi="hi-IN"/>
        </w:rPr>
        <w:t>允许分包的专业工程包括：</w:t>
      </w:r>
      <w:r>
        <w:rPr>
          <w:rFonts w:hint="eastAsia" w:ascii="Segoe UI" w:hAnsi="Segoe UI" w:eastAsia="Segoe UI" w:cs="Segoe UI"/>
          <w:i w:val="0"/>
          <w:iCs w:val="0"/>
          <w:caps w:val="0"/>
          <w:color w:val="0F1115"/>
          <w:spacing w:val="0"/>
          <w:kern w:val="0"/>
          <w:sz w:val="21"/>
          <w:szCs w:val="21"/>
          <w:highlight w:val="none"/>
          <w:u w:val="single"/>
          <w:shd w:val="clear" w:fill="FFFFFF"/>
          <w:lang w:val="en-US" w:eastAsia="zh-CN" w:bidi="hi-IN"/>
        </w:rPr>
        <w:t>承包人可将劳务作业分包给具有相应资质的劳务企业，但须经发包人书面同意，且分包人不得再次分包。本工程严禁转包。违反上述规定的，发包人有权解除合同并追究违约责任</w:t>
      </w:r>
      <w:r>
        <w:rPr>
          <w:rFonts w:hint="default" w:ascii="Segoe UI" w:hAnsi="Segoe UI" w:eastAsia="Segoe UI" w:cs="Segoe UI"/>
          <w:i w:val="0"/>
          <w:iCs w:val="0"/>
          <w:caps w:val="0"/>
          <w:color w:val="0F1115"/>
          <w:spacing w:val="0"/>
          <w:kern w:val="0"/>
          <w:sz w:val="21"/>
          <w:szCs w:val="21"/>
          <w:highlight w:val="none"/>
          <w:u w:val="single"/>
          <w:shd w:val="clear" w:fill="FFFFFF"/>
          <w:lang w:val="en-US" w:eastAsia="zh-CN" w:bidi="hi-IN"/>
        </w:rPr>
        <w:t>。</w:t>
      </w:r>
    </w:p>
    <w:p w14:paraId="3BCA6856">
      <w:pPr>
        <w:spacing w:line="360" w:lineRule="auto"/>
        <w:ind w:firstLine="420" w:firstLineChars="200"/>
        <w:rPr>
          <w:color w:val="auto"/>
          <w:sz w:val="21"/>
          <w:szCs w:val="21"/>
          <w:highlight w:val="none"/>
        </w:rPr>
      </w:pPr>
      <w:r>
        <w:rPr>
          <w:rFonts w:hint="eastAsia" w:hAnsi="宋体" w:cs="宋体"/>
          <w:color w:val="auto"/>
          <w:sz w:val="21"/>
          <w:szCs w:val="21"/>
          <w:highlight w:val="none"/>
        </w:rPr>
        <w:t>其他关于分包的约定：</w:t>
      </w:r>
    </w:p>
    <w:p w14:paraId="7F6D75A0">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1</w:t>
      </w:r>
      <w:r>
        <w:rPr>
          <w:rFonts w:hint="eastAsia" w:cs="宋体"/>
          <w:color w:val="auto"/>
          <w:sz w:val="21"/>
          <w:szCs w:val="21"/>
          <w:highlight w:val="none"/>
        </w:rPr>
        <w:t>）</w:t>
      </w:r>
      <w:r>
        <w:rPr>
          <w:rFonts w:hint="eastAsia" w:hAnsi="宋体" w:cs="宋体"/>
          <w:color w:val="auto"/>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 w:val="21"/>
          <w:szCs w:val="21"/>
          <w:highlight w:val="none"/>
        </w:rPr>
        <w:t>6</w:t>
      </w:r>
      <w:r>
        <w:rPr>
          <w:rFonts w:hint="eastAsia" w:hAnsi="宋体" w:cs="宋体"/>
          <w:color w:val="auto"/>
          <w:sz w:val="21"/>
          <w:szCs w:val="21"/>
          <w:highlight w:val="none"/>
        </w:rPr>
        <w:t>。</w:t>
      </w:r>
    </w:p>
    <w:p w14:paraId="75C63C1E">
      <w:pPr>
        <w:spacing w:line="360" w:lineRule="auto"/>
        <w:ind w:firstLine="420" w:firstLineChars="200"/>
        <w:rPr>
          <w:color w:val="auto"/>
          <w:sz w:val="21"/>
          <w:szCs w:val="21"/>
          <w:highlight w:val="none"/>
          <w:u w:val="single"/>
        </w:rPr>
      </w:pPr>
      <w:r>
        <w:rPr>
          <w:rFonts w:hint="eastAsia" w:cs="宋体"/>
          <w:color w:val="auto"/>
          <w:sz w:val="21"/>
          <w:szCs w:val="21"/>
          <w:highlight w:val="none"/>
        </w:rPr>
        <w:t>（</w:t>
      </w:r>
      <w:r>
        <w:rPr>
          <w:color w:val="auto"/>
          <w:sz w:val="21"/>
          <w:szCs w:val="21"/>
          <w:highlight w:val="none"/>
        </w:rPr>
        <w:t>2</w:t>
      </w:r>
      <w:r>
        <w:rPr>
          <w:rFonts w:hint="eastAsia" w:cs="宋体"/>
          <w:color w:val="auto"/>
          <w:sz w:val="21"/>
          <w:szCs w:val="21"/>
          <w:highlight w:val="none"/>
        </w:rPr>
        <w:t>）</w:t>
      </w:r>
      <w:r>
        <w:rPr>
          <w:rFonts w:hint="eastAsia" w:hAnsi="宋体" w:cs="宋体"/>
          <w:color w:val="auto"/>
          <w:sz w:val="21"/>
          <w:szCs w:val="21"/>
          <w:highlight w:val="none"/>
        </w:rPr>
        <w:t>在相关分包合同签订并报送有关建设行政主管部门备案后</w:t>
      </w:r>
      <w:r>
        <w:rPr>
          <w:color w:val="auto"/>
          <w:sz w:val="21"/>
          <w:szCs w:val="21"/>
          <w:highlight w:val="none"/>
        </w:rPr>
        <w:t>7</w:t>
      </w:r>
      <w:r>
        <w:rPr>
          <w:rFonts w:hint="eastAsia" w:hAnsi="宋体" w:cs="宋体"/>
          <w:color w:val="auto"/>
          <w:sz w:val="21"/>
          <w:szCs w:val="21"/>
          <w:highlight w:val="none"/>
        </w:rPr>
        <w:t>天内，承包人应当将一份副本提交给监理人，承包人应保障分包工作不得再次分包。</w:t>
      </w:r>
    </w:p>
    <w:p w14:paraId="52D8CA4E">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未经</w:t>
      </w:r>
      <w:r>
        <w:rPr>
          <w:rFonts w:hint="eastAsia" w:hAnsi="宋体" w:cs="宋体"/>
          <w:color w:val="auto"/>
          <w:sz w:val="21"/>
          <w:szCs w:val="21"/>
          <w:highlight w:val="none"/>
          <w:lang w:val="en-US" w:eastAsia="zh-CN"/>
        </w:rPr>
        <w:t>发</w:t>
      </w:r>
      <w:r>
        <w:rPr>
          <w:rFonts w:hint="eastAsia" w:hAnsi="宋体" w:cs="宋体"/>
          <w:color w:val="auto"/>
          <w:sz w:val="21"/>
          <w:szCs w:val="21"/>
          <w:highlight w:val="none"/>
        </w:rPr>
        <w:t>包人和监理人审批同意的分包工程和分包人，承包人有权拒绝验收分包工程和支付相应款项，由此引起的发包人费用增加和</w:t>
      </w:r>
      <w:r>
        <w:rPr>
          <w:color w:val="auto"/>
          <w:sz w:val="21"/>
          <w:szCs w:val="21"/>
          <w:highlight w:val="none"/>
        </w:rPr>
        <w:t>(</w:t>
      </w:r>
      <w:r>
        <w:rPr>
          <w:rFonts w:hint="eastAsia" w:hAnsi="宋体" w:cs="宋体"/>
          <w:color w:val="auto"/>
          <w:sz w:val="21"/>
          <w:szCs w:val="21"/>
          <w:highlight w:val="none"/>
        </w:rPr>
        <w:t>或</w:t>
      </w:r>
      <w:r>
        <w:rPr>
          <w:color w:val="auto"/>
          <w:sz w:val="21"/>
          <w:szCs w:val="21"/>
          <w:highlight w:val="none"/>
        </w:rPr>
        <w:t>)</w:t>
      </w:r>
      <w:r>
        <w:rPr>
          <w:rFonts w:hint="eastAsia" w:hAnsi="宋体" w:cs="宋体"/>
          <w:color w:val="auto"/>
          <w:sz w:val="21"/>
          <w:szCs w:val="21"/>
          <w:highlight w:val="none"/>
        </w:rPr>
        <w:t>延误的工期由发包人承担。</w:t>
      </w:r>
    </w:p>
    <w:p w14:paraId="140140FE">
      <w:pPr>
        <w:pStyle w:val="13"/>
        <w:spacing w:line="360" w:lineRule="auto"/>
        <w:ind w:firstLine="440" w:firstLineChars="20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ascii="Times New Roman" w:hAnsi="Times New Roman"/>
          <w:color w:val="auto"/>
          <w:sz w:val="22"/>
          <w:szCs w:val="22"/>
          <w:highlight w:val="none"/>
        </w:rPr>
        <w:t>4</w:t>
      </w:r>
      <w:r>
        <w:rPr>
          <w:rFonts w:hint="eastAsia" w:ascii="Times New Roman" w:hAnsi="Times New Roman"/>
          <w:color w:val="auto"/>
          <w:sz w:val="22"/>
          <w:szCs w:val="22"/>
          <w:highlight w:val="none"/>
        </w:rPr>
        <w:t>）</w:t>
      </w:r>
      <w:r>
        <w:rPr>
          <w:rFonts w:hint="eastAsia" w:ascii="Times New Roman" w:hAnsi="宋体"/>
          <w:color w:val="auto"/>
          <w:sz w:val="22"/>
          <w:szCs w:val="22"/>
          <w:highlight w:val="none"/>
        </w:rPr>
        <w:t>承包人有以下情况之一者，发包人有权解除合同，并视情况扣除其履约保证金：</w:t>
      </w:r>
    </w:p>
    <w:p w14:paraId="6D122150">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①个人承包工程，包括本人单位及外单位人员承包，发包人不承认其个人拥有任何资质等级及营业许可资格。没收全部履约保证金。</w:t>
      </w:r>
    </w:p>
    <w:p w14:paraId="05D6EA3E">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②几个人联合承包工程，就地组织暗分包队伍，不具备完成本工程的技术、机械能力，被发包人判定为没有能力履行的承包人。没收全部履约保证金。</w:t>
      </w:r>
    </w:p>
    <w:p w14:paraId="26028CAB">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③就地转包全部的工程，以谋取高额转让费、管理费的承包人。没收全部履约保证金。</w:t>
      </w:r>
    </w:p>
    <w:p w14:paraId="71F90535">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45265FC1">
      <w:pPr>
        <w:spacing w:line="360" w:lineRule="auto"/>
        <w:ind w:firstLine="420" w:firstLineChars="200"/>
        <w:rPr>
          <w:color w:val="auto"/>
          <w:sz w:val="21"/>
          <w:szCs w:val="21"/>
          <w:highlight w:val="none"/>
        </w:rPr>
      </w:pPr>
      <w:r>
        <w:rPr>
          <w:color w:val="auto"/>
          <w:sz w:val="21"/>
          <w:szCs w:val="21"/>
          <w:highlight w:val="none"/>
        </w:rPr>
        <w:t>3.5.4</w:t>
      </w:r>
      <w:r>
        <w:rPr>
          <w:rFonts w:hint="eastAsia" w:hAnsi="宋体" w:cs="宋体"/>
          <w:color w:val="auto"/>
          <w:sz w:val="21"/>
          <w:szCs w:val="21"/>
          <w:highlight w:val="none"/>
        </w:rPr>
        <w:t>分包合同价款</w:t>
      </w:r>
    </w:p>
    <w:p w14:paraId="4CC77458">
      <w:pPr>
        <w:spacing w:line="360" w:lineRule="auto"/>
        <w:ind w:firstLine="420" w:firstLineChars="200"/>
        <w:rPr>
          <w:color w:val="auto"/>
          <w:sz w:val="21"/>
          <w:szCs w:val="21"/>
          <w:highlight w:val="none"/>
        </w:rPr>
      </w:pPr>
      <w:bookmarkStart w:id="390" w:name="_Toc373478358"/>
      <w:bookmarkStart w:id="391" w:name="_Toc373227711"/>
      <w:bookmarkStart w:id="392" w:name="_Toc389065277"/>
      <w:r>
        <w:rPr>
          <w:rFonts w:hint="eastAsia" w:hAnsi="宋体" w:cs="宋体"/>
          <w:color w:val="auto"/>
          <w:sz w:val="21"/>
          <w:szCs w:val="21"/>
          <w:highlight w:val="none"/>
        </w:rPr>
        <w:t>关于分包合同价款支付的约定：</w:t>
      </w:r>
      <w:r>
        <w:rPr>
          <w:rFonts w:hint="eastAsia" w:hAnsi="宋体" w:cs="宋体"/>
          <w:color w:val="auto"/>
          <w:sz w:val="21"/>
          <w:szCs w:val="21"/>
          <w:highlight w:val="none"/>
          <w:u w:val="single"/>
        </w:rPr>
        <w:t>分包工程价款由承包人与分包人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结算。发包人未经承包人同意不得以任何形式向分包人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支付相关分包合同项下的任何工程款项。因发包人未经承包人同意直接向分包人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支付相关分包合同项下的任何工程款项而影响承包人工作的，所造成的承包人费用增加和</w:t>
      </w:r>
      <w:r>
        <w:rPr>
          <w:rFonts w:hint="eastAsia" w:cs="宋体"/>
          <w:color w:val="auto"/>
          <w:sz w:val="21"/>
          <w:szCs w:val="21"/>
          <w:highlight w:val="none"/>
          <w:u w:val="single"/>
        </w:rPr>
        <w:t>（</w:t>
      </w:r>
      <w:r>
        <w:rPr>
          <w:rFonts w:hint="eastAsia" w:hAnsi="宋体" w:cs="宋体"/>
          <w:color w:val="auto"/>
          <w:sz w:val="21"/>
          <w:szCs w:val="21"/>
          <w:highlight w:val="none"/>
          <w:u w:val="single"/>
        </w:rPr>
        <w:t>或</w:t>
      </w:r>
      <w:r>
        <w:rPr>
          <w:rFonts w:hint="eastAsia" w:cs="宋体"/>
          <w:color w:val="auto"/>
          <w:sz w:val="21"/>
          <w:szCs w:val="21"/>
          <w:highlight w:val="none"/>
          <w:u w:val="single"/>
        </w:rPr>
        <w:t>）</w:t>
      </w:r>
      <w:r>
        <w:rPr>
          <w:rFonts w:hint="eastAsia" w:hAnsi="宋体" w:cs="宋体"/>
          <w:color w:val="auto"/>
          <w:sz w:val="21"/>
          <w:szCs w:val="21"/>
          <w:highlight w:val="none"/>
          <w:u w:val="single"/>
        </w:rPr>
        <w:t>延误的工期由发包人承担。</w:t>
      </w:r>
    </w:p>
    <w:p w14:paraId="2D783318">
      <w:pPr>
        <w:pStyle w:val="5"/>
        <w:rPr>
          <w:color w:val="auto"/>
          <w:highlight w:val="none"/>
        </w:rPr>
      </w:pPr>
      <w:bookmarkStart w:id="393" w:name="_Toc78449799"/>
      <w:bookmarkStart w:id="394" w:name="_Toc101808609"/>
      <w:bookmarkStart w:id="395" w:name="_Toc57329529"/>
      <w:bookmarkStart w:id="396" w:name="_Toc22099"/>
      <w:bookmarkStart w:id="397" w:name="_Toc407135213"/>
      <w:r>
        <w:rPr>
          <w:color w:val="auto"/>
          <w:highlight w:val="none"/>
        </w:rPr>
        <w:t>3.6</w:t>
      </w:r>
      <w:r>
        <w:rPr>
          <w:rFonts w:hint="eastAsia" w:cs="黑体"/>
          <w:color w:val="auto"/>
          <w:highlight w:val="none"/>
        </w:rPr>
        <w:t>工程照管与成品、半成品保护</w:t>
      </w:r>
      <w:bookmarkEnd w:id="390"/>
      <w:bookmarkEnd w:id="391"/>
      <w:bookmarkEnd w:id="392"/>
      <w:bookmarkEnd w:id="393"/>
      <w:bookmarkEnd w:id="394"/>
      <w:bookmarkEnd w:id="395"/>
      <w:bookmarkEnd w:id="396"/>
      <w:bookmarkEnd w:id="397"/>
    </w:p>
    <w:p w14:paraId="1B820678">
      <w:pPr>
        <w:spacing w:line="360" w:lineRule="auto"/>
        <w:ind w:firstLine="420" w:firstLineChars="200"/>
        <w:rPr>
          <w:color w:val="auto"/>
          <w:kern w:val="0"/>
          <w:sz w:val="21"/>
          <w:szCs w:val="21"/>
          <w:highlight w:val="none"/>
          <w:u w:val="single"/>
        </w:rPr>
      </w:pPr>
      <w:r>
        <w:rPr>
          <w:rFonts w:hint="eastAsia" w:hAnsi="宋体" w:cs="宋体"/>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lang w:eastAsia="zh-CN"/>
        </w:rPr>
        <w:t>自监理人发出的开工通知中载明的开工日期起，至工程接收证书颁发之日止。开工日期前发包人已向承包人移交施工场地的，承包人对场地内已接收的材料、工程设备承担照管责任。在照管期间因承包人原因发生的任何工程、材料、工程设备的损失或损坏，由承包人自费修复或赔偿；非因承包人原因导致的损失或损坏，由责任方承担，工期相应顺延。</w:t>
      </w:r>
    </w:p>
    <w:p w14:paraId="0DA85E0A">
      <w:pPr>
        <w:pStyle w:val="5"/>
        <w:rPr>
          <w:color w:val="auto"/>
          <w:highlight w:val="none"/>
        </w:rPr>
      </w:pPr>
      <w:bookmarkStart w:id="398" w:name="_Toc389065278"/>
      <w:bookmarkStart w:id="399" w:name="_Toc373227712"/>
      <w:bookmarkStart w:id="400" w:name="_Toc373478359"/>
      <w:bookmarkStart w:id="401" w:name="_Toc1042049436"/>
      <w:bookmarkStart w:id="402" w:name="_Toc407135214"/>
      <w:bookmarkStart w:id="403" w:name="_Toc1649716734"/>
      <w:bookmarkStart w:id="404" w:name="_Toc78449800"/>
      <w:bookmarkStart w:id="405" w:name="_Toc19400"/>
      <w:r>
        <w:rPr>
          <w:color w:val="auto"/>
          <w:highlight w:val="none"/>
        </w:rPr>
        <w:t>3.7</w:t>
      </w:r>
      <w:r>
        <w:rPr>
          <w:rFonts w:hint="eastAsia" w:hAnsi="宋体" w:cs="黑体"/>
          <w:color w:val="auto"/>
          <w:highlight w:val="none"/>
        </w:rPr>
        <w:t>履约</w:t>
      </w:r>
      <w:bookmarkEnd w:id="398"/>
      <w:bookmarkEnd w:id="399"/>
      <w:bookmarkEnd w:id="400"/>
      <w:r>
        <w:rPr>
          <w:rFonts w:hint="eastAsia" w:hAnsi="宋体" w:cs="黑体"/>
          <w:color w:val="auto"/>
          <w:highlight w:val="none"/>
        </w:rPr>
        <w:t>保证金</w:t>
      </w:r>
      <w:bookmarkEnd w:id="401"/>
      <w:bookmarkEnd w:id="402"/>
      <w:bookmarkEnd w:id="403"/>
      <w:bookmarkEnd w:id="404"/>
      <w:bookmarkEnd w:id="405"/>
    </w:p>
    <w:p w14:paraId="3BE2ABF3">
      <w:pPr>
        <w:spacing w:line="360" w:lineRule="auto"/>
        <w:ind w:firstLine="400" w:firstLineChars="200"/>
        <w:rPr>
          <w:rFonts w:hint="default" w:eastAsia="宋体"/>
          <w:color w:val="auto"/>
          <w:highlight w:val="none"/>
          <w:u w:val="none"/>
          <w:lang w:val="en-US" w:eastAsia="zh-CN"/>
        </w:rPr>
      </w:pPr>
      <w:bookmarkStart w:id="406" w:name="_Toc351203636"/>
      <w:bookmarkStart w:id="407" w:name="_Toc373227713"/>
      <w:bookmarkStart w:id="408" w:name="_Toc373478360"/>
      <w:bookmarkStart w:id="409" w:name="_Toc389065279"/>
      <w:r>
        <w:rPr>
          <w:rFonts w:hint="eastAsia"/>
          <w:color w:val="auto"/>
          <w:highlight w:val="none"/>
          <w:u w:val="none"/>
          <w:lang w:val="en-US" w:eastAsia="zh-CN"/>
        </w:rPr>
        <w:t>本项目不收取履约保证金。</w:t>
      </w:r>
    </w:p>
    <w:p w14:paraId="56146D0D">
      <w:pPr>
        <w:pStyle w:val="4"/>
        <w:rPr>
          <w:color w:val="auto"/>
          <w:highlight w:val="none"/>
        </w:rPr>
      </w:pPr>
      <w:bookmarkStart w:id="410" w:name="_Toc907912356"/>
      <w:bookmarkStart w:id="411" w:name="_Toc407135215"/>
      <w:bookmarkStart w:id="412" w:name="_Toc8208"/>
      <w:bookmarkStart w:id="413" w:name="_Toc78449801"/>
      <w:bookmarkStart w:id="414" w:name="_Toc931514330"/>
      <w:r>
        <w:rPr>
          <w:color w:val="auto"/>
          <w:highlight w:val="none"/>
        </w:rPr>
        <w:t>4</w:t>
      </w:r>
      <w:bookmarkStart w:id="415" w:name="_Toc267251413"/>
      <w:bookmarkStart w:id="416" w:name="_Toc296347161"/>
      <w:bookmarkStart w:id="417" w:name="_Toc296944501"/>
      <w:bookmarkStart w:id="418" w:name="_Toc296890990"/>
      <w:bookmarkStart w:id="419" w:name="_Toc292559871"/>
      <w:bookmarkStart w:id="420" w:name="_Toc296346663"/>
      <w:bookmarkStart w:id="421" w:name="_Toc297120462"/>
      <w:bookmarkStart w:id="422" w:name="_Toc296891202"/>
      <w:bookmarkStart w:id="423" w:name="_Toc292559366"/>
      <w:bookmarkStart w:id="424" w:name="_Toc296503162"/>
      <w:bookmarkStart w:id="425" w:name="_Toc297048348"/>
      <w:r>
        <w:rPr>
          <w:color w:val="auto"/>
          <w:highlight w:val="none"/>
        </w:rPr>
        <w:t>.</w:t>
      </w:r>
      <w:r>
        <w:rPr>
          <w:rFonts w:hint="eastAsia" w:hAnsi="宋体" w:cs="黑体"/>
          <w:color w:val="auto"/>
          <w:highlight w:val="none"/>
        </w:rPr>
        <w:t>监</w:t>
      </w:r>
      <w:bookmarkEnd w:id="415"/>
      <w:bookmarkEnd w:id="416"/>
      <w:bookmarkEnd w:id="417"/>
      <w:bookmarkEnd w:id="418"/>
      <w:bookmarkEnd w:id="419"/>
      <w:bookmarkEnd w:id="420"/>
      <w:bookmarkEnd w:id="421"/>
      <w:bookmarkEnd w:id="422"/>
      <w:bookmarkEnd w:id="423"/>
      <w:bookmarkEnd w:id="424"/>
      <w:bookmarkEnd w:id="425"/>
      <w:r>
        <w:rPr>
          <w:rFonts w:hint="eastAsia" w:hAnsi="宋体" w:cs="黑体"/>
          <w:color w:val="auto"/>
          <w:highlight w:val="none"/>
        </w:rPr>
        <w:t>理人</w:t>
      </w:r>
      <w:bookmarkEnd w:id="406"/>
      <w:bookmarkEnd w:id="407"/>
      <w:bookmarkEnd w:id="408"/>
      <w:bookmarkEnd w:id="409"/>
      <w:bookmarkEnd w:id="410"/>
      <w:bookmarkEnd w:id="411"/>
      <w:bookmarkEnd w:id="412"/>
      <w:bookmarkEnd w:id="413"/>
      <w:bookmarkEnd w:id="414"/>
    </w:p>
    <w:p w14:paraId="3D9EE7A8">
      <w:pPr>
        <w:pStyle w:val="5"/>
        <w:rPr>
          <w:color w:val="auto"/>
          <w:highlight w:val="none"/>
        </w:rPr>
      </w:pPr>
      <w:bookmarkStart w:id="426" w:name="_Toc389065280"/>
      <w:bookmarkStart w:id="427" w:name="_Toc1595043148"/>
      <w:bookmarkStart w:id="428" w:name="_Toc11509"/>
      <w:bookmarkStart w:id="429" w:name="_Toc407135216"/>
      <w:bookmarkStart w:id="430" w:name="_Toc78449802"/>
      <w:bookmarkStart w:id="431" w:name="_Toc373227714"/>
      <w:bookmarkStart w:id="432" w:name="_Toc1008304989"/>
      <w:bookmarkStart w:id="433" w:name="_Toc373478361"/>
      <w:r>
        <w:rPr>
          <w:color w:val="auto"/>
          <w:highlight w:val="none"/>
        </w:rPr>
        <w:t>4.1</w:t>
      </w:r>
      <w:r>
        <w:rPr>
          <w:rFonts w:hint="eastAsia" w:cs="黑体"/>
          <w:color w:val="auto"/>
          <w:highlight w:val="none"/>
        </w:rPr>
        <w:t>监理人的一般规定</w:t>
      </w:r>
      <w:bookmarkEnd w:id="426"/>
      <w:bookmarkEnd w:id="427"/>
      <w:bookmarkEnd w:id="428"/>
      <w:bookmarkEnd w:id="429"/>
      <w:bookmarkEnd w:id="430"/>
      <w:bookmarkEnd w:id="431"/>
      <w:bookmarkEnd w:id="432"/>
      <w:bookmarkEnd w:id="433"/>
    </w:p>
    <w:p w14:paraId="72AB42E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关于监理人的监理内容：</w:t>
      </w:r>
      <w:r>
        <w:rPr>
          <w:color w:val="auto"/>
          <w:sz w:val="21"/>
          <w:szCs w:val="21"/>
          <w:highlight w:val="none"/>
          <w:u w:val="single"/>
        </w:rPr>
        <w:t>依据《建设工程监理规范》（GB/T50319-2013）及发包人与监理人签订的《建设工程委托监理合同》的约定，对本工程施工阶段实施全过程监理，包括但不限于：工程质量控制、工程进度控制、工程造价控制、安全生产管理、合同管理、信息管理及施工现场组织协调，以及配合发包人进行工程结算审核和工程资料归档等</w:t>
      </w:r>
      <w:r>
        <w:rPr>
          <w:rFonts w:hint="eastAsia"/>
          <w:color w:val="auto"/>
          <w:sz w:val="21"/>
          <w:szCs w:val="21"/>
          <w:highlight w:val="none"/>
          <w:u w:val="single"/>
        </w:rPr>
        <w:t>。</w:t>
      </w:r>
    </w:p>
    <w:p w14:paraId="73207AEB">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关于监理人的监理权限：</w:t>
      </w:r>
      <w:r>
        <w:rPr>
          <w:color w:val="auto"/>
          <w:sz w:val="21"/>
          <w:szCs w:val="21"/>
          <w:highlight w:val="none"/>
          <w:u w:val="single"/>
        </w:rPr>
        <w:t>监理人应依据《建设工程委托监理合同》的授权范围行使监理职权。其中，涉及签发工程开工令、复工令、停工令，审核涉及设计变更的工程签证及费用，签认工程进度款支付证书，批准工期顺延申请，审定费用索赔报告，处理逾期竣工违约金，以及变更施工合同实质性内容等事项，必须在取得发包人书面批准后方可行使。未经发包人书面批准，监理人签发的上述文件对发包人不具有约束力。</w:t>
      </w:r>
    </w:p>
    <w:p w14:paraId="1969B2A7">
      <w:pPr>
        <w:spacing w:line="360" w:lineRule="auto"/>
        <w:ind w:firstLine="420" w:firstLineChars="200"/>
        <w:rPr>
          <w:b w:val="0"/>
          <w:bCs w:val="0"/>
          <w:color w:val="auto"/>
          <w:sz w:val="21"/>
          <w:szCs w:val="21"/>
          <w:highlight w:val="none"/>
          <w:u w:val="single"/>
        </w:rPr>
      </w:pPr>
      <w:r>
        <w:rPr>
          <w:rFonts w:hint="eastAsia" w:hAnsi="宋体" w:cs="宋体"/>
          <w:color w:val="auto"/>
          <w:sz w:val="21"/>
          <w:szCs w:val="21"/>
          <w:highlight w:val="none"/>
        </w:rPr>
        <w:t>关于监理人在施工现场的办公场所、生活场所的提供和费用承担的约定：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监理人在施工现场所需的办公场所、生活场所由监理人自行解决，相关费用已包含在监理服务费中。发包人为监理人预留临时办公用房搭建场地，并将施工用水、用电接口接至该场地边缘，场地内临时设施搭建及水电线路敷设由监理人自行负责并承担费用。</w:t>
      </w:r>
    </w:p>
    <w:p w14:paraId="56FB23C8">
      <w:pPr>
        <w:pStyle w:val="5"/>
        <w:rPr>
          <w:color w:val="auto"/>
          <w:highlight w:val="none"/>
        </w:rPr>
      </w:pPr>
      <w:bookmarkStart w:id="434" w:name="_Toc1350458461"/>
      <w:bookmarkStart w:id="435" w:name="_Toc373478362"/>
      <w:bookmarkStart w:id="436" w:name="_Toc389065281"/>
      <w:bookmarkStart w:id="437" w:name="_Toc373227715"/>
      <w:bookmarkStart w:id="438" w:name="_Toc407135217"/>
      <w:bookmarkStart w:id="439" w:name="_Toc12796"/>
      <w:bookmarkStart w:id="440" w:name="_Toc386397261"/>
      <w:bookmarkStart w:id="441" w:name="_Toc78449803"/>
      <w:r>
        <w:rPr>
          <w:color w:val="auto"/>
          <w:highlight w:val="none"/>
        </w:rPr>
        <w:t>4.2</w:t>
      </w:r>
      <w:r>
        <w:rPr>
          <w:rFonts w:hint="eastAsia" w:hAnsi="宋体" w:cs="黑体"/>
          <w:color w:val="auto"/>
          <w:highlight w:val="none"/>
        </w:rPr>
        <w:t>监理人员</w:t>
      </w:r>
      <w:bookmarkEnd w:id="434"/>
      <w:bookmarkEnd w:id="435"/>
      <w:bookmarkEnd w:id="436"/>
      <w:bookmarkEnd w:id="437"/>
      <w:bookmarkEnd w:id="438"/>
      <w:bookmarkEnd w:id="439"/>
      <w:bookmarkEnd w:id="440"/>
      <w:bookmarkEnd w:id="441"/>
    </w:p>
    <w:p w14:paraId="77487A83">
      <w:pPr>
        <w:spacing w:line="360" w:lineRule="auto"/>
        <w:ind w:firstLine="420" w:firstLineChars="200"/>
        <w:rPr>
          <w:color w:val="auto"/>
          <w:sz w:val="21"/>
          <w:szCs w:val="21"/>
          <w:highlight w:val="none"/>
        </w:rPr>
      </w:pPr>
      <w:r>
        <w:rPr>
          <w:rFonts w:hint="eastAsia" w:hAnsi="宋体" w:cs="宋体"/>
          <w:color w:val="auto"/>
          <w:sz w:val="21"/>
          <w:szCs w:val="21"/>
          <w:highlight w:val="none"/>
        </w:rPr>
        <w:t>总监理工程师：</w:t>
      </w:r>
    </w:p>
    <w:p w14:paraId="0C0FE723">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268EBC7">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31847E18">
      <w:pPr>
        <w:spacing w:line="360" w:lineRule="auto"/>
        <w:ind w:firstLine="420" w:firstLineChars="200"/>
        <w:rPr>
          <w:rFonts w:hAnsi="宋体"/>
          <w:color w:val="auto"/>
          <w:sz w:val="21"/>
          <w:szCs w:val="21"/>
          <w:highlight w:val="none"/>
        </w:rPr>
      </w:pPr>
      <w:r>
        <w:rPr>
          <w:rFonts w:hAnsi="宋体"/>
          <w:color w:val="auto"/>
          <w:sz w:val="21"/>
          <w:szCs w:val="21"/>
          <w:highlight w:val="none"/>
        </w:rPr>
        <w:t>监理工程师注册证书号：</w:t>
      </w:r>
      <w:r>
        <w:rPr>
          <w:rFonts w:hAnsi="宋体"/>
          <w:color w:val="auto"/>
          <w:sz w:val="21"/>
          <w:szCs w:val="21"/>
          <w:highlight w:val="none"/>
          <w:u w:val="single"/>
        </w:rPr>
        <w:t></w:t>
      </w:r>
      <w:r>
        <w:rPr>
          <w:rFonts w:hAnsi="宋体"/>
          <w:color w:val="auto"/>
          <w:sz w:val="21"/>
          <w:szCs w:val="21"/>
          <w:highlight w:val="none"/>
        </w:rPr>
        <w:t>；</w:t>
      </w:r>
    </w:p>
    <w:p w14:paraId="511F9DE7">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0B66836E">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026DD72A">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01A98A1B">
      <w:pPr>
        <w:pStyle w:val="49"/>
        <w:spacing w:line="360" w:lineRule="auto"/>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2" w:name="_Toc389065282"/>
      <w:bookmarkStart w:id="443" w:name="_Toc539923186"/>
      <w:bookmarkStart w:id="444" w:name="_Toc373227716"/>
      <w:bookmarkStart w:id="445" w:name="_Toc941562442"/>
      <w:bookmarkStart w:id="446" w:name="_Toc373478363"/>
      <w:bookmarkStart w:id="447" w:name="_Toc78449804"/>
      <w:bookmarkStart w:id="448" w:name="_Toc407135218"/>
      <w:r>
        <w:rPr>
          <w:rFonts w:ascii="Times New Roman" w:hAnsi="宋体"/>
          <w:color w:val="auto"/>
          <w:sz w:val="21"/>
          <w:szCs w:val="21"/>
          <w:highlight w:val="none"/>
        </w:rPr>
        <w:t>关于监理人的其他约定：</w:t>
      </w:r>
      <w:r>
        <w:rPr>
          <w:rFonts w:hint="eastAsia" w:ascii="Times New Roman" w:hAnsi="宋体" w:eastAsia="宋体" w:cs="Times New Roman"/>
          <w:b w:val="0"/>
          <w:bCs w:val="0"/>
          <w:color w:val="auto"/>
          <w:kern w:val="2"/>
          <w:sz w:val="21"/>
          <w:szCs w:val="21"/>
          <w:highlight w:val="none"/>
          <w:u w:val="single"/>
          <w:lang w:val="en-US" w:eastAsia="zh-CN" w:bidi="ar-SA"/>
        </w:rPr>
        <w:t>（1）发包人委托的职权：依据《建设工程监理规范》（GB/T50319-2013）及发包人与监理人签订的《建设工程委托监理合同》的约定，总监理工程师代表监理人全面履行施工阶段监理职责，包括但不限于：①工程质量控制：审查施工组织设计及施工技术方案，审核进场成品、半成品及原材料的质量证明文件，对进场材料进行见证取样或平行检验，组织隐蔽工程、检验批、分部分项工程的验收；②工程造价控制：审核承包人已完成工程量并签署计量支付凭证，审核工程变更的工程量及费用；③工程进度控制：审核施工进度计划并监督执行，审核承包人的工程延期申请并提出审查意见；④安全生产管理的监理工作：按照《建设工程安全生产管理条例》的规定履行安全监理职责，对危险性较大的分部分项工程实施专项巡视检查；⑤合同管理及信息管理：处理施工合同履行过程中的一般性技术问题，整理监理资料并配合发包人进行工程结算审核及档案归档；⑥施工现场组织协调：协调施工过程中发包人与承包人之间、各承包人之间的关系。</w:t>
      </w:r>
    </w:p>
    <w:p w14:paraId="2C9BD42A">
      <w:pPr>
        <w:pStyle w:val="5"/>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9" w:name="_Toc1265"/>
      <w:r>
        <w:rPr>
          <w:rFonts w:hint="eastAsia" w:ascii="Times New Roman" w:hAnsi="宋体" w:eastAsia="宋体" w:cs="Times New Roman"/>
          <w:b w:val="0"/>
          <w:bCs w:val="0"/>
          <w:color w:val="auto"/>
          <w:kern w:val="2"/>
          <w:sz w:val="21"/>
          <w:szCs w:val="21"/>
          <w:highlight w:val="none"/>
          <w:u w:val="single"/>
          <w:lang w:val="en-US" w:eastAsia="zh-CN" w:bidi="ar-SA"/>
        </w:rPr>
        <w:t>（2）需要取得发包人批准才能行使的职权：除通用合同条款已有约定外，总监理工程师在行使以下职权时，必须事先取得发包人的书面批准：①签发工程开工令、复工令、停工令；②审核签发涉及设计变更的工程签证及费用变更；③签认工程预付款及进度款支付证书；④批准承包人的工期顺延申请；⑤审定承包人的费用索赔报告；⑥处理承包人逾期竣工违约金；⑦变更施工合同的任何实质性内容。</w:t>
      </w:r>
      <w:bookmarkEnd w:id="449"/>
    </w:p>
    <w:p w14:paraId="5A481B24">
      <w:pPr>
        <w:pStyle w:val="5"/>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50" w:name="_Toc30310"/>
      <w:r>
        <w:rPr>
          <w:rFonts w:hint="eastAsia" w:ascii="Times New Roman" w:hAnsi="宋体" w:eastAsia="宋体" w:cs="Times New Roman"/>
          <w:b w:val="0"/>
          <w:bCs w:val="0"/>
          <w:color w:val="auto"/>
          <w:kern w:val="2"/>
          <w:sz w:val="21"/>
          <w:szCs w:val="21"/>
          <w:highlight w:val="none"/>
          <w:u w:val="single"/>
          <w:lang w:val="en-US" w:eastAsia="zh-CN" w:bidi="ar-SA"/>
        </w:rPr>
        <w:t>未经发包人书面批准，监理人签发的上述文件对发包人不具有约束力。发包人应在收到监理人书面请示后7日内予以书面回复，逾期未回复视为同意。</w:t>
      </w:r>
      <w:bookmarkEnd w:id="450"/>
    </w:p>
    <w:p w14:paraId="38D6D6E7">
      <w:pPr>
        <w:pStyle w:val="5"/>
        <w:rPr>
          <w:color w:val="auto"/>
          <w:highlight w:val="none"/>
        </w:rPr>
      </w:pPr>
      <w:bookmarkStart w:id="451" w:name="_Toc29114"/>
      <w:r>
        <w:rPr>
          <w:color w:val="auto"/>
          <w:highlight w:val="none"/>
        </w:rPr>
        <w:t>4.4</w:t>
      </w:r>
      <w:r>
        <w:rPr>
          <w:rFonts w:hint="eastAsia" w:hAnsi="宋体" w:cs="黑体"/>
          <w:color w:val="auto"/>
          <w:highlight w:val="none"/>
        </w:rPr>
        <w:t>商定或确定</w:t>
      </w:r>
      <w:bookmarkEnd w:id="442"/>
      <w:bookmarkEnd w:id="443"/>
      <w:bookmarkEnd w:id="444"/>
      <w:bookmarkEnd w:id="445"/>
      <w:bookmarkEnd w:id="446"/>
      <w:bookmarkEnd w:id="447"/>
      <w:bookmarkEnd w:id="448"/>
      <w:bookmarkEnd w:id="451"/>
    </w:p>
    <w:p w14:paraId="059E6F65">
      <w:pPr>
        <w:spacing w:line="360" w:lineRule="auto"/>
        <w:ind w:firstLine="420" w:firstLineChars="200"/>
        <w:rPr>
          <w:color w:val="auto"/>
          <w:sz w:val="21"/>
          <w:szCs w:val="21"/>
          <w:highlight w:val="none"/>
        </w:rPr>
      </w:pPr>
      <w:bookmarkStart w:id="452" w:name="_Toc267251418"/>
      <w:r>
        <w:rPr>
          <w:rFonts w:hint="eastAsia" w:hAnsi="宋体" w:cs="宋体"/>
          <w:color w:val="auto"/>
          <w:sz w:val="21"/>
          <w:szCs w:val="21"/>
          <w:highlight w:val="none"/>
        </w:rPr>
        <w:t>在发包人和承包人不能通过协商达成一致意见时，发包人授权监理人对以下事项进行确定：</w:t>
      </w:r>
    </w:p>
    <w:p w14:paraId="4A02F56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eastAsia" w:ascii="Times New Roman" w:hAnsi="宋体" w:eastAsia="宋体" w:cs="Times New Roman"/>
          <w:b w:val="0"/>
          <w:bCs w:val="0"/>
          <w:color w:val="auto"/>
          <w:kern w:val="2"/>
          <w:sz w:val="21"/>
          <w:szCs w:val="21"/>
          <w:highlight w:val="none"/>
          <w:u w:val="single"/>
          <w:lang w:val="en-US" w:eastAsia="zh-CN" w:bidi="ar-SA"/>
        </w:rPr>
      </w:pPr>
      <w:bookmarkStart w:id="453" w:name="_Toc1603077308"/>
      <w:bookmarkStart w:id="454" w:name="_Toc1687297496"/>
      <w:bookmarkStart w:id="455" w:name="_Toc78449805"/>
      <w:bookmarkStart w:id="456" w:name="_Toc389065283"/>
      <w:bookmarkStart w:id="457" w:name="_Toc351203637"/>
      <w:bookmarkStart w:id="458" w:name="_Toc373227717"/>
      <w:bookmarkStart w:id="459" w:name="_Toc407135219"/>
      <w:bookmarkStart w:id="460" w:name="_Toc373478364"/>
      <w:r>
        <w:rPr>
          <w:rFonts w:hint="default" w:ascii="Times New Roman" w:hAnsi="宋体" w:eastAsia="宋体" w:cs="Times New Roman"/>
          <w:b w:val="0"/>
          <w:bCs w:val="0"/>
          <w:color w:val="auto"/>
          <w:kern w:val="2"/>
          <w:sz w:val="21"/>
          <w:szCs w:val="21"/>
          <w:highlight w:val="none"/>
          <w:u w:val="single"/>
          <w:lang w:val="en-US" w:eastAsia="zh-CN" w:bidi="ar-SA"/>
        </w:rPr>
        <w:t>（1）合同履行过程中出现的施工工艺、施工方案等技术性问题，但涉及工程变更及费用调整的除外；</w:t>
      </w:r>
    </w:p>
    <w:p w14:paraId="68EB16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（2）工程施工过程中需要立即处理的现场质量缺陷或安全隐患的整改方案和时限，但涉及费用责任划分及追加合同价款的除外；</w:t>
      </w:r>
    </w:p>
    <w:p w14:paraId="446D629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（3）同一施工现场内多个承包人之间的施工界面划分及交叉作业协调，但涉及合同范围变更的除外。</w:t>
      </w:r>
    </w:p>
    <w:p w14:paraId="6B4810A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监理人依据本款对上述事项作出的确定，应以书面形式送达发包人和承包人，双方均无异议的应遵照执行。发包人或承包人对监理人的确定有异议的，可在收到书面确定后7日内向对方提出书面异议，并按照第20条〔争议解决〕的约定处理。异议提出后监理人的确定继续有效并应予执行，除非按照第20条约定被变更或被撤销。</w:t>
      </w:r>
    </w:p>
    <w:p w14:paraId="7E6968BA">
      <w:pPr>
        <w:pStyle w:val="4"/>
        <w:rPr>
          <w:color w:val="auto"/>
          <w:highlight w:val="none"/>
        </w:rPr>
      </w:pPr>
      <w:bookmarkStart w:id="461" w:name="_Toc9362"/>
      <w:r>
        <w:rPr>
          <w:color w:val="auto"/>
          <w:highlight w:val="none"/>
        </w:rPr>
        <w:t>5</w:t>
      </w:r>
      <w:bookmarkEnd w:id="452"/>
      <w:bookmarkStart w:id="462" w:name="_Toc296347162"/>
      <w:bookmarkStart w:id="463" w:name="_Toc296503163"/>
      <w:bookmarkStart w:id="464" w:name="_Toc297048349"/>
      <w:bookmarkStart w:id="465" w:name="_Toc296891203"/>
      <w:bookmarkStart w:id="466" w:name="_Toc296944502"/>
      <w:bookmarkStart w:id="467" w:name="_Toc296346664"/>
      <w:bookmarkStart w:id="468" w:name="_Toc297120463"/>
      <w:bookmarkStart w:id="469" w:name="_Toc292559367"/>
      <w:bookmarkStart w:id="470" w:name="_Toc296890991"/>
      <w:bookmarkStart w:id="471" w:name="_Toc292559872"/>
      <w:r>
        <w:rPr>
          <w:color w:val="auto"/>
          <w:highlight w:val="none"/>
        </w:rPr>
        <w:t>.</w:t>
      </w:r>
      <w:r>
        <w:rPr>
          <w:rFonts w:hint="eastAsia" w:hAnsi="宋体" w:cs="黑体"/>
          <w:color w:val="auto"/>
          <w:highlight w:val="none"/>
        </w:rPr>
        <w:t>工程质量</w:t>
      </w:r>
      <w:bookmarkEnd w:id="453"/>
      <w:bookmarkEnd w:id="454"/>
      <w:bookmarkEnd w:id="455"/>
      <w:bookmarkEnd w:id="456"/>
      <w:bookmarkEnd w:id="457"/>
      <w:bookmarkEnd w:id="458"/>
      <w:bookmarkEnd w:id="459"/>
      <w:bookmarkEnd w:id="460"/>
      <w:bookmarkEnd w:id="461"/>
    </w:p>
    <w:p w14:paraId="67AE8743">
      <w:pPr>
        <w:pStyle w:val="5"/>
        <w:rPr>
          <w:color w:val="auto"/>
          <w:highlight w:val="none"/>
        </w:rPr>
      </w:pPr>
      <w:bookmarkStart w:id="472" w:name="_Toc1835421345"/>
      <w:bookmarkStart w:id="473" w:name="_Toc8639"/>
      <w:bookmarkStart w:id="474" w:name="_Toc373227718"/>
      <w:bookmarkStart w:id="475" w:name="_Toc373478365"/>
      <w:bookmarkStart w:id="476" w:name="_Toc389065284"/>
      <w:bookmarkStart w:id="477" w:name="_Toc1952042622"/>
      <w:bookmarkStart w:id="478" w:name="_Toc78449806"/>
      <w:bookmarkStart w:id="479" w:name="_Toc407135220"/>
      <w:r>
        <w:rPr>
          <w:color w:val="auto"/>
          <w:highlight w:val="none"/>
        </w:rPr>
        <w:t>5.1</w:t>
      </w:r>
      <w:r>
        <w:rPr>
          <w:rFonts w:hint="eastAsia" w:hAnsi="宋体" w:cs="黑体"/>
          <w:color w:val="auto"/>
          <w:highlight w:val="none"/>
        </w:rPr>
        <w:t>质量要求</w:t>
      </w:r>
      <w:bookmarkEnd w:id="472"/>
      <w:bookmarkEnd w:id="473"/>
      <w:bookmarkEnd w:id="474"/>
      <w:bookmarkEnd w:id="475"/>
      <w:bookmarkEnd w:id="476"/>
      <w:bookmarkEnd w:id="477"/>
      <w:bookmarkEnd w:id="478"/>
      <w:bookmarkEnd w:id="479"/>
    </w:p>
    <w:p w14:paraId="68FB5197">
      <w:pPr>
        <w:spacing w:line="360" w:lineRule="auto"/>
        <w:ind w:firstLine="420" w:firstLineChars="200"/>
        <w:jc w:val="left"/>
        <w:rPr>
          <w:color w:val="auto"/>
          <w:sz w:val="21"/>
          <w:szCs w:val="21"/>
          <w:highlight w:val="none"/>
          <w:u w:val="single"/>
        </w:rPr>
      </w:pPr>
      <w:r>
        <w:rPr>
          <w:color w:val="auto"/>
          <w:sz w:val="21"/>
          <w:szCs w:val="21"/>
          <w:highlight w:val="none"/>
        </w:rPr>
        <w:t>5</w:t>
      </w:r>
      <w:bookmarkStart w:id="480" w:name="_Toc303539106"/>
      <w:bookmarkStart w:id="481" w:name="_Toc312677997"/>
      <w:bookmarkStart w:id="482" w:name="_Toc297123496"/>
      <w:bookmarkStart w:id="483" w:name="_Toc304295527"/>
      <w:bookmarkStart w:id="484" w:name="_Toc300934949"/>
      <w:bookmarkStart w:id="485" w:name="_Toc318581164"/>
      <w:bookmarkStart w:id="486" w:name="_Toc297216155"/>
      <w:r>
        <w:rPr>
          <w:color w:val="auto"/>
          <w:sz w:val="21"/>
          <w:szCs w:val="21"/>
          <w:highlight w:val="none"/>
        </w:rPr>
        <w:t>.1.1</w:t>
      </w:r>
      <w:r>
        <w:rPr>
          <w:rFonts w:hint="eastAsia" w:hAnsi="宋体" w:cs="宋体"/>
          <w:color w:val="auto"/>
          <w:sz w:val="21"/>
          <w:szCs w:val="21"/>
          <w:highlight w:val="none"/>
        </w:rPr>
        <w:t>特殊质量标准和要求：</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0ED4D4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关于工程奖项的约定：</w:t>
      </w:r>
      <w:r>
        <w:rPr>
          <w:rFonts w:hint="eastAsia"/>
          <w:color w:val="auto"/>
          <w:sz w:val="21"/>
          <w:szCs w:val="21"/>
          <w:highlight w:val="none"/>
        </w:rPr>
        <w:t>如果</w:t>
      </w:r>
      <w:r>
        <w:rPr>
          <w:color w:val="auto"/>
          <w:sz w:val="21"/>
          <w:szCs w:val="21"/>
          <w:highlight w:val="none"/>
        </w:rPr>
        <w:t>工程获得</w:t>
      </w:r>
      <w:r>
        <w:rPr>
          <w:rFonts w:hint="eastAsia"/>
          <w:color w:val="auto"/>
          <w:sz w:val="21"/>
          <w:szCs w:val="21"/>
          <w:highlight w:val="none"/>
          <w:u w:val="single"/>
          <w:lang w:val="en-US" w:eastAsia="zh-CN"/>
        </w:rPr>
        <w:t>/</w:t>
      </w:r>
      <w:r>
        <w:rPr>
          <w:rFonts w:hint="eastAsia"/>
          <w:color w:val="auto"/>
          <w:sz w:val="21"/>
          <w:szCs w:val="21"/>
          <w:highlight w:val="none"/>
          <w:u w:val="single"/>
        </w:rPr>
        <w:t>（奖项名称）</w:t>
      </w:r>
      <w:r>
        <w:rPr>
          <w:rFonts w:hint="eastAsia"/>
          <w:color w:val="auto"/>
          <w:sz w:val="21"/>
          <w:szCs w:val="21"/>
          <w:highlight w:val="none"/>
        </w:rPr>
        <w:t>，</w:t>
      </w:r>
      <w:r>
        <w:rPr>
          <w:color w:val="auto"/>
          <w:sz w:val="21"/>
          <w:szCs w:val="21"/>
          <w:highlight w:val="none"/>
        </w:rPr>
        <w:t>给予</w:t>
      </w:r>
      <w:r>
        <w:rPr>
          <w:rFonts w:hint="eastAsia"/>
          <w:color w:val="auto"/>
          <w:sz w:val="21"/>
          <w:szCs w:val="21"/>
          <w:highlight w:val="none"/>
        </w:rPr>
        <w:t>承包人</w:t>
      </w:r>
      <w:r>
        <w:rPr>
          <w:color w:val="auto"/>
          <w:sz w:val="21"/>
          <w:szCs w:val="21"/>
          <w:highlight w:val="none"/>
        </w:rPr>
        <w:t>合同价</w:t>
      </w:r>
      <w:r>
        <w:rPr>
          <w:rFonts w:hint="eastAsia"/>
          <w:color w:val="auto"/>
          <w:sz w:val="21"/>
          <w:szCs w:val="21"/>
          <w:highlight w:val="none"/>
          <w:u w:val="single"/>
          <w:lang w:val="en-US" w:eastAsia="zh-CN"/>
        </w:rPr>
        <w:t>/</w:t>
      </w:r>
      <w:r>
        <w:rPr>
          <w:color w:val="auto"/>
          <w:sz w:val="21"/>
          <w:szCs w:val="21"/>
          <w:highlight w:val="none"/>
        </w:rPr>
        <w:t>%的奖励</w:t>
      </w:r>
      <w:r>
        <w:rPr>
          <w:rFonts w:hint="eastAsia" w:hAnsi="宋体" w:cs="宋体"/>
          <w:color w:val="auto"/>
          <w:sz w:val="21"/>
          <w:szCs w:val="21"/>
          <w:highlight w:val="none"/>
        </w:rPr>
        <w:t>。（建设单位创建优质工程的，鼓励在招标控制价和预算中按我区工程建设定额规定计列工程优质费，并在招标文件中明确工程优质费不可竞争。）</w:t>
      </w:r>
    </w:p>
    <w:p w14:paraId="626B82E0">
      <w:pPr>
        <w:spacing w:line="360" w:lineRule="auto"/>
        <w:ind w:firstLine="420" w:firstLineChars="200"/>
        <w:jc w:val="left"/>
        <w:rPr>
          <w:color w:val="auto"/>
          <w:sz w:val="21"/>
          <w:szCs w:val="21"/>
          <w:highlight w:val="none"/>
        </w:rPr>
      </w:pPr>
      <w:r>
        <w:rPr>
          <w:color w:val="auto"/>
          <w:sz w:val="21"/>
          <w:szCs w:val="21"/>
          <w:highlight w:val="none"/>
        </w:rPr>
        <w:t>5.3</w:t>
      </w:r>
      <w:r>
        <w:rPr>
          <w:rFonts w:hint="eastAsia" w:hAnsi="宋体" w:cs="宋体"/>
          <w:color w:val="auto"/>
          <w:sz w:val="21"/>
          <w:szCs w:val="21"/>
          <w:highlight w:val="none"/>
        </w:rPr>
        <w:t>隐蔽工程检查</w:t>
      </w:r>
    </w:p>
    <w:p w14:paraId="5B77E73D">
      <w:pPr>
        <w:spacing w:line="360" w:lineRule="auto"/>
        <w:ind w:firstLine="420" w:firstLineChars="200"/>
        <w:jc w:val="left"/>
        <w:rPr>
          <w:color w:val="auto"/>
          <w:sz w:val="21"/>
          <w:szCs w:val="21"/>
          <w:highlight w:val="none"/>
          <w:u w:val="single"/>
        </w:rPr>
      </w:pPr>
      <w:r>
        <w:rPr>
          <w:color w:val="auto"/>
          <w:sz w:val="21"/>
          <w:szCs w:val="21"/>
          <w:highlight w:val="none"/>
        </w:rPr>
        <w:t>5.3.2</w:t>
      </w:r>
      <w:r>
        <w:rPr>
          <w:rFonts w:hint="eastAsia" w:hAnsi="宋体" w:cs="宋体"/>
          <w:color w:val="auto"/>
          <w:sz w:val="21"/>
          <w:szCs w:val="21"/>
          <w:highlight w:val="none"/>
        </w:rPr>
        <w:t>承包人提前通知监理人隐蔽工程检查的期限的约定：工程隐蔽或中间验收前</w:t>
      </w:r>
      <w:r>
        <w:rPr>
          <w:color w:val="auto"/>
          <w:sz w:val="21"/>
          <w:szCs w:val="21"/>
          <w:highlight w:val="none"/>
        </w:rPr>
        <w:t>12</w:t>
      </w:r>
      <w:r>
        <w:rPr>
          <w:rFonts w:hint="eastAsia" w:hAnsi="宋体" w:cs="宋体"/>
          <w:color w:val="auto"/>
          <w:sz w:val="21"/>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DC2485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监理人不能按时进行检查时，应提前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9DF62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p>
    <w:p w14:paraId="41F4B0D1">
      <w:pPr>
        <w:pStyle w:val="4"/>
        <w:rPr>
          <w:color w:val="auto"/>
          <w:sz w:val="21"/>
          <w:szCs w:val="21"/>
          <w:highlight w:val="none"/>
        </w:rPr>
      </w:pPr>
      <w:bookmarkStart w:id="487" w:name="_Toc373227719"/>
      <w:bookmarkStart w:id="488" w:name="_Toc389065285"/>
      <w:bookmarkStart w:id="489" w:name="_Toc78449807"/>
      <w:bookmarkStart w:id="490" w:name="_Toc1259019817"/>
      <w:bookmarkStart w:id="491" w:name="_Toc7302"/>
      <w:bookmarkStart w:id="492" w:name="_Toc351203638"/>
      <w:bookmarkStart w:id="493" w:name="_Toc373478366"/>
      <w:bookmarkStart w:id="494" w:name="_Toc703841976"/>
      <w:bookmarkStart w:id="495" w:name="_Toc407135221"/>
      <w:r>
        <w:rPr>
          <w:color w:val="auto"/>
          <w:sz w:val="21"/>
          <w:szCs w:val="21"/>
          <w:highlight w:val="none"/>
        </w:rPr>
        <w:t>6.</w:t>
      </w:r>
      <w:r>
        <w:rPr>
          <w:rFonts w:hint="eastAsia" w:cs="黑体"/>
          <w:color w:val="auto"/>
          <w:sz w:val="21"/>
          <w:szCs w:val="21"/>
          <w:highlight w:val="none"/>
        </w:rPr>
        <w:t>安全文明施工与环境保护</w:t>
      </w:r>
      <w:bookmarkEnd w:id="487"/>
      <w:bookmarkEnd w:id="488"/>
      <w:bookmarkEnd w:id="489"/>
      <w:bookmarkEnd w:id="490"/>
      <w:bookmarkEnd w:id="491"/>
      <w:bookmarkEnd w:id="492"/>
      <w:bookmarkEnd w:id="493"/>
      <w:bookmarkEnd w:id="494"/>
      <w:bookmarkEnd w:id="495"/>
    </w:p>
    <w:p w14:paraId="57EFA417">
      <w:pPr>
        <w:pStyle w:val="5"/>
        <w:rPr>
          <w:color w:val="auto"/>
          <w:sz w:val="21"/>
          <w:szCs w:val="21"/>
          <w:highlight w:val="none"/>
        </w:rPr>
      </w:pPr>
      <w:bookmarkStart w:id="496" w:name="_Toc1296292062"/>
      <w:bookmarkStart w:id="497" w:name="_Toc373478367"/>
      <w:bookmarkStart w:id="498" w:name="_Toc31481"/>
      <w:bookmarkStart w:id="499" w:name="_Toc78449808"/>
      <w:bookmarkStart w:id="500" w:name="_Toc407135222"/>
      <w:bookmarkStart w:id="501" w:name="_Toc180514231"/>
      <w:bookmarkStart w:id="502" w:name="_Toc373227720"/>
      <w:bookmarkStart w:id="503" w:name="_Toc389065286"/>
      <w:r>
        <w:rPr>
          <w:color w:val="auto"/>
          <w:sz w:val="21"/>
          <w:szCs w:val="21"/>
          <w:highlight w:val="none"/>
        </w:rPr>
        <w:t>6.1</w:t>
      </w:r>
      <w:r>
        <w:rPr>
          <w:rFonts w:hint="eastAsia" w:cs="黑体"/>
          <w:color w:val="auto"/>
          <w:sz w:val="21"/>
          <w:szCs w:val="21"/>
          <w:highlight w:val="none"/>
        </w:rPr>
        <w:t>安全文明施工</w:t>
      </w:r>
      <w:bookmarkEnd w:id="496"/>
      <w:bookmarkEnd w:id="497"/>
      <w:bookmarkEnd w:id="498"/>
      <w:bookmarkEnd w:id="499"/>
      <w:bookmarkEnd w:id="500"/>
      <w:bookmarkEnd w:id="501"/>
      <w:bookmarkEnd w:id="502"/>
      <w:bookmarkEnd w:id="503"/>
    </w:p>
    <w:p w14:paraId="5065378B">
      <w:pPr>
        <w:spacing w:line="360" w:lineRule="auto"/>
        <w:ind w:firstLine="420" w:firstLineChars="200"/>
        <w:jc w:val="left"/>
        <w:rPr>
          <w:color w:val="auto"/>
          <w:sz w:val="21"/>
          <w:szCs w:val="21"/>
          <w:highlight w:val="none"/>
          <w:u w:val="single"/>
        </w:rPr>
      </w:pPr>
      <w:r>
        <w:rPr>
          <w:color w:val="auto"/>
          <w:sz w:val="21"/>
          <w:szCs w:val="21"/>
          <w:highlight w:val="none"/>
        </w:rPr>
        <w:t>6.1.1</w:t>
      </w:r>
      <w:r>
        <w:rPr>
          <w:rFonts w:hint="eastAsia" w:hAnsi="宋体" w:cs="宋体"/>
          <w:color w:val="auto"/>
          <w:sz w:val="21"/>
          <w:szCs w:val="21"/>
          <w:highlight w:val="none"/>
        </w:rPr>
        <w:t>项目安全生产的达标目标及相应事项的约定：</w:t>
      </w:r>
      <w:r>
        <w:rPr>
          <w:color w:val="auto"/>
          <w:sz w:val="21"/>
          <w:szCs w:val="21"/>
          <w:highlight w:val="none"/>
          <w:u w:val="single"/>
        </w:rPr>
        <w:t>本工程安全生产管理目标为：实现“零死亡、零重大伤害事故”的安全生产管理目标，争创崇左市建设工程施工安全文明标准化工地。承包人应严格按照《建筑施工安全检查标准》（JGJ59-2011）和《广西壮族自治区房屋建筑和市政基础设施工程安全生产动态扣分管理办法》的规定，建立健全安全生产责任制度和安全教育培训制度，制定安全生产规章制度和操作规程，保证安全生产条件所需资金的投入。对本工程涉及的危险性较大的分部分项工程（详见招标文件第七章），承包人应在施工前单独编制专项施工方案，并按照《危险性较大的分部分项工程安全管理规定》（住建部令第37号）和《住房和城乡建设部办公厅关于实施〈危险性较大的分部分项工程安全管理规定〉有关问题的通知》（建办质〔2018〕31号）的规定组织专家论证。安全生产专项方案未经批准不得施工。</w:t>
      </w:r>
    </w:p>
    <w:p w14:paraId="1950DFA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关于安全文明施工奖项的约定：</w:t>
      </w:r>
      <w:r>
        <w:rPr>
          <w:color w:val="auto"/>
          <w:sz w:val="21"/>
          <w:szCs w:val="21"/>
          <w:highlight w:val="none"/>
          <w:u w:val="single"/>
        </w:rPr>
        <w:t>本工程不设置安全文明施工创优奖励。</w:t>
      </w:r>
    </w:p>
    <w:p w14:paraId="5E17B54E">
      <w:pPr>
        <w:spacing w:line="360" w:lineRule="auto"/>
        <w:ind w:firstLine="420" w:firstLineChars="200"/>
        <w:jc w:val="left"/>
        <w:rPr>
          <w:color w:val="auto"/>
          <w:sz w:val="21"/>
          <w:szCs w:val="21"/>
          <w:highlight w:val="none"/>
          <w:u w:val="single"/>
        </w:rPr>
      </w:pPr>
      <w:r>
        <w:rPr>
          <w:color w:val="auto"/>
          <w:sz w:val="21"/>
          <w:szCs w:val="21"/>
          <w:highlight w:val="none"/>
        </w:rPr>
        <w:t>6.1.4</w:t>
      </w:r>
      <w:r>
        <w:rPr>
          <w:rFonts w:hint="eastAsia" w:hAnsi="宋体" w:cs="宋体"/>
          <w:color w:val="auto"/>
          <w:sz w:val="21"/>
          <w:szCs w:val="21"/>
          <w:highlight w:val="none"/>
        </w:rPr>
        <w:t>关于治安保卫的特别约定：</w:t>
      </w:r>
      <w:r>
        <w:rPr>
          <w:rFonts w:hint="eastAsia"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285EBA6">
      <w:pPr>
        <w:spacing w:line="360" w:lineRule="auto"/>
        <w:ind w:firstLine="420" w:firstLineChars="200"/>
        <w:jc w:val="left"/>
        <w:rPr>
          <w:rStyle w:val="27"/>
          <w:rFonts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color w:val="auto"/>
          <w:sz w:val="21"/>
          <w:szCs w:val="21"/>
          <w:highlight w:val="none"/>
        </w:rPr>
        <w:t>关于编制施工场地治安管理计划的约定：</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工程开工前7日内编制施工场地治安管理计划，报总监理工程师和发包人代表审核，并报当地公安机关备案。治安管理计划应包括施工现场治安保卫制度、门卫值守制度、治安突发事件应急预案等内容。承包人应在施工现场设置安全警示标志，配备灭火器材，并安排专人对林地防火进行巡查。</w:t>
      </w:r>
    </w:p>
    <w:p w14:paraId="0EDB24A0">
      <w:pPr>
        <w:spacing w:line="360" w:lineRule="auto"/>
        <w:ind w:firstLine="400" w:firstLineChars="200"/>
        <w:jc w:val="left"/>
        <w:rPr>
          <w:color w:val="auto"/>
          <w:highlight w:val="none"/>
        </w:rPr>
      </w:pPr>
      <w:r>
        <w:rPr>
          <w:color w:val="auto"/>
          <w:highlight w:val="none"/>
        </w:rPr>
        <w:t>6.1.5</w:t>
      </w:r>
      <w:r>
        <w:rPr>
          <w:rFonts w:hint="eastAsia" w:hAnsi="宋体" w:cs="宋体"/>
          <w:color w:val="auto"/>
          <w:highlight w:val="none"/>
        </w:rPr>
        <w:t>文明施工</w:t>
      </w:r>
    </w:p>
    <w:p w14:paraId="34FE9FFF">
      <w:pPr>
        <w:pStyle w:val="20"/>
        <w:keepNext w:val="0"/>
        <w:keepLines w:val="0"/>
        <w:widowControl/>
        <w:suppressLineNumbers w:val="0"/>
        <w:shd w:val="clear" w:fill="FFFFFF"/>
        <w:spacing w:before="240" w:beforeAutospacing="0" w:after="240" w:afterAutospacing="0"/>
        <w:ind w:left="0" w:right="0" w:firstLine="0"/>
        <w:rPr>
          <w:rFonts w:hint="eastAsia" w:hAnsi="宋体" w:cs="宋体"/>
          <w:color w:val="auto"/>
          <w:sz w:val="21"/>
          <w:szCs w:val="21"/>
          <w:highlight w:val="none"/>
        </w:rPr>
      </w:pPr>
      <w:r>
        <w:rPr>
          <w:rFonts w:hint="eastAsia" w:hAnsi="宋体" w:cs="宋体"/>
          <w:color w:val="auto"/>
          <w:sz w:val="21"/>
          <w:szCs w:val="21"/>
          <w:highlight w:val="none"/>
        </w:rPr>
        <w:t>合同当事人对文明施工的要求：</w:t>
      </w:r>
    </w:p>
    <w:p w14:paraId="7480BF7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1.本工程文明施工管理目标为：达到《建筑施工安全生产检查标准》（JGJ59-2011）的合格标准，并符合《广西壮族自治区建筑工程文明施工导则》和《崇左市建设工程文明施工管理规定》的要求。</w:t>
      </w:r>
    </w:p>
    <w:p w14:paraId="7B853F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2.承包人应将安全文明施工费专款专用，按照《广西壮族自治区建设工程安全文明施工费使用管理细则》（桂建质〔2015〕16号）的规定，建立安全文明施工费使用台账，接受发包人和监理人的监督核查。</w:t>
      </w:r>
    </w:p>
    <w:p w14:paraId="2F3E621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3.施工现场须按照桂建质〔2015〕16号文附件一的规定，全面落实现场围挡、七牌二图、场容场貌、材料堆放、现场防火、垃圾清运等各项文明施工措施。</w:t>
      </w:r>
    </w:p>
    <w:p w14:paraId="21983B9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4.因本工程除满足上述一般要求外，还须执行以下特殊要求：</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和大气污染防治攻坚行动的要求，落实各项扬尘防治措施。（3）施工排污控制：施工现场须设置沉淀池，施工废水须经沉淀处理后方可排放；生活区须设置化粪池，生活污水须按规定处理或由环卫部门定期清运，严禁直接排入周边农田、甘蔗地及灌溉水体。（4）施工人员管理：施工人员须佩戴统一工作牌，在划定的施工区域内活动，未经允许不得进入村民甘蔗地、农田等非施工区域。严禁施工人员在施工现场饮酒、赌博、打架斗殴。施工人员如发现患有传染性疾病，须立即撤离</w:t>
      </w:r>
      <w:r>
        <w:rPr>
          <w:rStyle w:val="27"/>
          <w:rFonts w:hint="eastAsia" w:ascii="Segoe UI" w:hAnsi="Segoe UI" w:cs="Segoe UI"/>
          <w:b w:val="0"/>
          <w:bCs w:val="0"/>
          <w:i w:val="0"/>
          <w:iCs w:val="0"/>
          <w:caps w:val="0"/>
          <w:color w:val="0F1115"/>
          <w:spacing w:val="0"/>
          <w:sz w:val="21"/>
          <w:szCs w:val="21"/>
          <w:highlight w:val="none"/>
          <w:u w:val="single"/>
          <w:shd w:val="clear" w:fill="FFFFFF"/>
          <w:lang w:eastAsia="zh-CN"/>
        </w:rPr>
        <w:t>施工现场。</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5</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）施工期间，承包人应保护周边农作物，造成青苗损毁的，由承包人按当地标准赔偿。</w:t>
      </w:r>
    </w:p>
    <w:p w14:paraId="53CDA6AB">
      <w:pPr>
        <w:spacing w:line="360" w:lineRule="auto"/>
        <w:ind w:firstLine="420" w:firstLineChars="200"/>
        <w:jc w:val="left"/>
        <w:rPr>
          <w:rFonts w:hAnsi="宋体"/>
          <w:color w:val="auto"/>
          <w:sz w:val="21"/>
          <w:szCs w:val="21"/>
          <w:highlight w:val="none"/>
        </w:rPr>
      </w:pPr>
      <w:r>
        <w:rPr>
          <w:color w:val="auto"/>
          <w:sz w:val="21"/>
          <w:szCs w:val="21"/>
          <w:highlight w:val="none"/>
        </w:rPr>
        <w:t>6.1.6</w:t>
      </w:r>
      <w:r>
        <w:rPr>
          <w:rFonts w:hAnsi="宋体" w:cs="宋体"/>
          <w:color w:val="auto"/>
          <w:kern w:val="0"/>
          <w:sz w:val="21"/>
          <w:szCs w:val="21"/>
          <w:highlight w:val="none"/>
        </w:rPr>
        <w:t>关于安全</w:t>
      </w:r>
      <w:r>
        <w:rPr>
          <w:rFonts w:hint="eastAsia" w:hAnsi="宋体" w:cs="宋体"/>
          <w:color w:val="auto"/>
          <w:kern w:val="0"/>
          <w:sz w:val="21"/>
          <w:szCs w:val="21"/>
          <w:highlight w:val="none"/>
        </w:rPr>
        <w:t>生产</w:t>
      </w:r>
      <w:r>
        <w:rPr>
          <w:rFonts w:hAnsi="宋体" w:cs="宋体"/>
          <w:color w:val="auto"/>
          <w:kern w:val="0"/>
          <w:sz w:val="21"/>
          <w:szCs w:val="21"/>
          <w:highlight w:val="none"/>
        </w:rPr>
        <w:t>费</w:t>
      </w:r>
      <w:r>
        <w:rPr>
          <w:rFonts w:hint="eastAsia" w:hAnsi="宋体" w:cs="宋体"/>
          <w:color w:val="auto"/>
          <w:kern w:val="0"/>
          <w:sz w:val="21"/>
          <w:szCs w:val="21"/>
          <w:highlight w:val="none"/>
        </w:rPr>
        <w:t>总额、</w:t>
      </w:r>
      <w:r>
        <w:rPr>
          <w:rFonts w:hAnsi="宋体" w:cs="宋体"/>
          <w:color w:val="auto"/>
          <w:kern w:val="0"/>
          <w:sz w:val="21"/>
          <w:szCs w:val="21"/>
          <w:highlight w:val="none"/>
        </w:rPr>
        <w:t>支付比例</w:t>
      </w:r>
      <w:r>
        <w:rPr>
          <w:rFonts w:hint="eastAsia" w:hAnsi="宋体" w:cs="宋体"/>
          <w:color w:val="auto"/>
          <w:kern w:val="0"/>
          <w:sz w:val="21"/>
          <w:szCs w:val="21"/>
          <w:highlight w:val="none"/>
        </w:rPr>
        <w:t>、</w:t>
      </w:r>
      <w:r>
        <w:rPr>
          <w:rFonts w:hAnsi="宋体" w:cs="宋体"/>
          <w:color w:val="auto"/>
          <w:kern w:val="0"/>
          <w:sz w:val="21"/>
          <w:szCs w:val="21"/>
          <w:highlight w:val="none"/>
        </w:rPr>
        <w:t>支付期限</w:t>
      </w:r>
      <w:r>
        <w:rPr>
          <w:rFonts w:hint="eastAsia" w:hAnsi="宋体" w:cs="宋体"/>
          <w:color w:val="auto"/>
          <w:kern w:val="0"/>
          <w:sz w:val="21"/>
          <w:szCs w:val="21"/>
          <w:highlight w:val="none"/>
        </w:rPr>
        <w:t>、转入和结余收回</w:t>
      </w:r>
      <w:r>
        <w:rPr>
          <w:rFonts w:hAnsi="宋体" w:cs="宋体"/>
          <w:color w:val="auto"/>
          <w:kern w:val="0"/>
          <w:sz w:val="21"/>
          <w:szCs w:val="21"/>
          <w:highlight w:val="none"/>
        </w:rPr>
        <w:t>的约定：</w:t>
      </w:r>
    </w:p>
    <w:p w14:paraId="7131C194">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1</w:t>
      </w:r>
      <w:r>
        <w:rPr>
          <w:rFonts w:hint="eastAsia" w:hAnsi="宋体" w:cs="宋体"/>
          <w:color w:val="auto"/>
          <w:kern w:val="0"/>
          <w:sz w:val="21"/>
          <w:szCs w:val="21"/>
          <w:highlight w:val="none"/>
        </w:rPr>
        <w:t>）本合同价款已包含安全文明施工费元。</w:t>
      </w:r>
    </w:p>
    <w:p w14:paraId="7DD73239">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2</w:t>
      </w:r>
      <w:r>
        <w:rPr>
          <w:rFonts w:hint="eastAsia" w:hAnsi="宋体" w:cs="宋体"/>
          <w:color w:val="auto"/>
          <w:kern w:val="0"/>
          <w:sz w:val="21"/>
          <w:szCs w:val="21"/>
          <w:highlight w:val="none"/>
        </w:rPr>
        <w:t>）使用要求：专款专用。具体按</w:t>
      </w:r>
      <w:r>
        <w:rPr>
          <w:rFonts w:hint="eastAsia" w:hAnsi="宋体" w:cs="宋体"/>
          <w:color w:val="auto"/>
          <w:kern w:val="0"/>
          <w:sz w:val="21"/>
          <w:szCs w:val="21"/>
          <w:highlight w:val="none"/>
          <w:u w:val="single"/>
        </w:rPr>
        <w:t>《广西壮族自治区建设工程安全文明施工费使用管理细则》（桂建质〔</w:t>
      </w:r>
      <w:r>
        <w:rPr>
          <w:rFonts w:hAnsi="宋体"/>
          <w:color w:val="auto"/>
          <w:kern w:val="0"/>
          <w:sz w:val="21"/>
          <w:szCs w:val="21"/>
          <w:highlight w:val="none"/>
          <w:u w:val="single"/>
        </w:rPr>
        <w:t>2015</w:t>
      </w:r>
      <w:r>
        <w:rPr>
          <w:rFonts w:hint="eastAsia" w:hAnsi="宋体" w:cs="宋体"/>
          <w:color w:val="auto"/>
          <w:kern w:val="0"/>
          <w:sz w:val="21"/>
          <w:szCs w:val="21"/>
          <w:highlight w:val="none"/>
          <w:u w:val="single"/>
        </w:rPr>
        <w:t>〕</w:t>
      </w:r>
      <w:r>
        <w:rPr>
          <w:rFonts w:hAnsi="宋体"/>
          <w:color w:val="auto"/>
          <w:kern w:val="0"/>
          <w:sz w:val="21"/>
          <w:szCs w:val="21"/>
          <w:highlight w:val="none"/>
          <w:u w:val="single"/>
        </w:rPr>
        <w:t>16</w:t>
      </w:r>
      <w:r>
        <w:rPr>
          <w:rFonts w:hint="eastAsia" w:hAnsi="宋体" w:cs="宋体"/>
          <w:color w:val="auto"/>
          <w:kern w:val="0"/>
          <w:sz w:val="21"/>
          <w:szCs w:val="21"/>
          <w:highlight w:val="none"/>
          <w:u w:val="single"/>
        </w:rPr>
        <w:t>号）</w:t>
      </w:r>
      <w:r>
        <w:rPr>
          <w:rFonts w:hint="eastAsia" w:hAnsi="宋体" w:cs="宋体"/>
          <w:color w:val="auto"/>
          <w:kern w:val="0"/>
          <w:sz w:val="21"/>
          <w:szCs w:val="21"/>
          <w:highlight w:val="none"/>
        </w:rPr>
        <w:t>和</w:t>
      </w:r>
      <w:r>
        <w:rPr>
          <w:rFonts w:hint="eastAsia" w:hAnsi="宋体"/>
          <w:color w:val="auto"/>
          <w:kern w:val="0"/>
          <w:sz w:val="21"/>
          <w:szCs w:val="21"/>
          <w:highlight w:val="none"/>
          <w:u w:val="single"/>
          <w:lang w:val="en-US" w:eastAsia="zh-CN"/>
        </w:rPr>
        <w:t>崇左</w:t>
      </w:r>
      <w:r>
        <w:rPr>
          <w:rFonts w:hint="eastAsia" w:hAnsi="宋体" w:cs="宋体"/>
          <w:color w:val="auto"/>
          <w:kern w:val="0"/>
          <w:sz w:val="21"/>
          <w:szCs w:val="21"/>
          <w:highlight w:val="none"/>
        </w:rPr>
        <w:t>市相关规定执行。</w:t>
      </w:r>
    </w:p>
    <w:p w14:paraId="2A9C42A4">
      <w:pPr>
        <w:autoSpaceDE w:val="0"/>
        <w:autoSpaceDN w:val="0"/>
        <w:adjustRightInd w:val="0"/>
        <w:spacing w:line="360" w:lineRule="auto"/>
        <w:ind w:firstLine="420" w:firstLineChars="200"/>
        <w:jc w:val="left"/>
        <w:rPr>
          <w:rFonts w:hAnsi="宋体" w:cs="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3</w:t>
      </w:r>
      <w:r>
        <w:rPr>
          <w:rFonts w:hint="eastAsia" w:hAnsi="宋体" w:cs="宋体"/>
          <w:color w:val="auto"/>
          <w:kern w:val="0"/>
          <w:sz w:val="21"/>
          <w:szCs w:val="21"/>
          <w:highlight w:val="none"/>
        </w:rPr>
        <w:t>）支付约定：</w:t>
      </w:r>
      <w:r>
        <w:rPr>
          <w:rFonts w:hint="eastAsia" w:cs="宋体"/>
          <w:color w:val="auto"/>
          <w:kern w:val="0"/>
          <w:sz w:val="21"/>
          <w:szCs w:val="21"/>
          <w:highlight w:val="none"/>
        </w:rPr>
        <w:t>在本合同签订后</w:t>
      </w:r>
      <w:r>
        <w:rPr>
          <w:rFonts w:hint="eastAsia"/>
          <w:color w:val="auto"/>
          <w:kern w:val="0"/>
          <w:sz w:val="21"/>
          <w:szCs w:val="21"/>
          <w:highlight w:val="none"/>
          <w:lang w:val="en-US" w:eastAsia="zh-CN"/>
        </w:rPr>
        <w:t>10</w:t>
      </w:r>
      <w:r>
        <w:rPr>
          <w:rFonts w:hint="eastAsia" w:cs="宋体"/>
          <w:color w:val="auto"/>
          <w:kern w:val="0"/>
          <w:sz w:val="21"/>
          <w:szCs w:val="21"/>
          <w:highlight w:val="none"/>
        </w:rPr>
        <w:t>个工作日内，预付安全文明施工费总额的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%，其余部分与进度款同期支付，安全文明施工费预付款在工程进度款累计金额超过合同价的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%时开始起扣，每月从支付给承包商的工程款内按安全文明预付款占合同总价的同一百分比扣回</w:t>
      </w:r>
      <w:r>
        <w:rPr>
          <w:rFonts w:hint="eastAsia" w:hAnsi="宋体" w:cs="宋体"/>
          <w:color w:val="auto"/>
          <w:kern w:val="0"/>
          <w:sz w:val="21"/>
          <w:szCs w:val="21"/>
          <w:highlight w:val="none"/>
        </w:rPr>
        <w:t>。</w:t>
      </w:r>
    </w:p>
    <w:p w14:paraId="452BEFE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（4）建设单位按规定将安全生产费用转入施工单位设立的安全生产费用专户。</w:t>
      </w:r>
    </w:p>
    <w:p w14:paraId="5AD13FE2">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（5）工程施工完成后安全生产费用尚有结余的，结余部分由建设单位收回。</w:t>
      </w:r>
    </w:p>
    <w:p w14:paraId="5718203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（6）施工单位将安全生产费用使用情况定期报告建设单位和监理单位，并提供相应的材料接受建设行政主管部门对此事项监管。</w:t>
      </w:r>
    </w:p>
    <w:p w14:paraId="39EF2D51">
      <w:pPr>
        <w:autoSpaceDE w:val="0"/>
        <w:autoSpaceDN w:val="0"/>
        <w:adjustRightInd w:val="0"/>
        <w:spacing w:line="360" w:lineRule="auto"/>
        <w:ind w:firstLine="420" w:firstLineChars="200"/>
        <w:jc w:val="left"/>
        <w:rPr>
          <w:rFonts w:hint="eastAsia" w:hAnsi="宋体"/>
          <w:color w:val="auto"/>
          <w:kern w:val="0"/>
          <w:sz w:val="21"/>
          <w:szCs w:val="21"/>
          <w:highlight w:val="none"/>
        </w:rPr>
      </w:pPr>
      <w:r>
        <w:rPr>
          <w:rFonts w:hint="eastAsia" w:hAnsi="宋体" w:cs="宋体"/>
          <w:color w:val="auto"/>
          <w:kern w:val="0"/>
          <w:sz w:val="21"/>
          <w:szCs w:val="21"/>
          <w:highlight w:val="none"/>
        </w:rPr>
        <w:t>（7）安全生产费用专户：</w:t>
      </w:r>
      <w:r>
        <w:rPr>
          <w:rFonts w:hAnsi="宋体" w:cs="宋体"/>
          <w:color w:val="auto"/>
          <w:kern w:val="0"/>
          <w:sz w:val="21"/>
          <w:szCs w:val="21"/>
          <w:highlight w:val="none"/>
        </w:rPr>
        <w:t>××××</w:t>
      </w:r>
      <w:r>
        <w:rPr>
          <w:rFonts w:hint="eastAsia" w:hAnsi="宋体" w:cs="宋体"/>
          <w:color w:val="auto"/>
          <w:kern w:val="0"/>
          <w:sz w:val="21"/>
          <w:szCs w:val="21"/>
          <w:highlight w:val="none"/>
        </w:rPr>
        <w:t>公司安全生产费用专户。账号：。</w:t>
      </w:r>
    </w:p>
    <w:p w14:paraId="235B3928">
      <w:pPr>
        <w:pStyle w:val="5"/>
        <w:rPr>
          <w:color w:val="auto"/>
          <w:highlight w:val="none"/>
        </w:rPr>
      </w:pPr>
      <w:bookmarkStart w:id="504" w:name="_Toc1519050792"/>
      <w:bookmarkStart w:id="505" w:name="_Toc16955"/>
      <w:bookmarkStart w:id="506" w:name="_Toc373227721"/>
      <w:bookmarkStart w:id="507" w:name="_Toc389065287"/>
      <w:bookmarkStart w:id="508" w:name="_Toc78449809"/>
      <w:bookmarkStart w:id="509" w:name="_Toc1922268668"/>
      <w:bookmarkStart w:id="510" w:name="_Toc373478368"/>
      <w:bookmarkStart w:id="511" w:name="_Toc407135223"/>
      <w:r>
        <w:rPr>
          <w:color w:val="auto"/>
          <w:highlight w:val="none"/>
        </w:rPr>
        <w:t>6.3</w:t>
      </w:r>
      <w:r>
        <w:rPr>
          <w:rFonts w:hint="eastAsia" w:hAnsi="宋体" w:cs="黑体"/>
          <w:color w:val="auto"/>
          <w:highlight w:val="none"/>
        </w:rPr>
        <w:t>环境保护</w:t>
      </w:r>
      <w:bookmarkEnd w:id="504"/>
      <w:bookmarkEnd w:id="505"/>
      <w:bookmarkEnd w:id="506"/>
      <w:bookmarkEnd w:id="507"/>
      <w:bookmarkEnd w:id="508"/>
      <w:bookmarkEnd w:id="509"/>
      <w:bookmarkEnd w:id="510"/>
      <w:bookmarkEnd w:id="511"/>
    </w:p>
    <w:p w14:paraId="641523FF">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u w:val="single"/>
        </w:rPr>
        <w:t>因施工需要，经发包人批准，由承包人办理有关施工场地交通、环卫和施工噪音管理等手续，费用由承包人负责。</w:t>
      </w:r>
    </w:p>
    <w:p w14:paraId="2F74271C">
      <w:pPr>
        <w:spacing w:line="360" w:lineRule="auto"/>
        <w:ind w:firstLine="420" w:firstLineChars="200"/>
        <w:jc w:val="left"/>
        <w:rPr>
          <w:color w:val="auto"/>
          <w:highlight w:val="none"/>
          <w:u w:val="single"/>
        </w:rPr>
      </w:pPr>
      <w:r>
        <w:rPr>
          <w:rFonts w:hint="eastAsia"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hAnsi="宋体" w:cs="宋体"/>
          <w:color w:val="auto"/>
          <w:highlight w:val="none"/>
          <w:u w:val="single"/>
        </w:rPr>
        <w:t>。</w:t>
      </w:r>
    </w:p>
    <w:bookmarkEnd w:id="480"/>
    <w:bookmarkEnd w:id="481"/>
    <w:bookmarkEnd w:id="482"/>
    <w:bookmarkEnd w:id="483"/>
    <w:bookmarkEnd w:id="484"/>
    <w:bookmarkEnd w:id="485"/>
    <w:bookmarkEnd w:id="486"/>
    <w:p w14:paraId="3BCD4C6B">
      <w:pPr>
        <w:pStyle w:val="4"/>
        <w:rPr>
          <w:color w:val="auto"/>
          <w:highlight w:val="none"/>
        </w:rPr>
      </w:pPr>
      <w:bookmarkStart w:id="512" w:name="_Toc373478369"/>
      <w:bookmarkStart w:id="513" w:name="_Toc1408286886"/>
      <w:bookmarkStart w:id="514" w:name="_Toc407135224"/>
      <w:bookmarkStart w:id="515" w:name="_Toc373227722"/>
      <w:bookmarkStart w:id="516" w:name="_Toc6099"/>
      <w:bookmarkStart w:id="517" w:name="_Toc78449810"/>
      <w:bookmarkStart w:id="518" w:name="_Toc315674767"/>
      <w:bookmarkStart w:id="519" w:name="_Toc351203639"/>
      <w:bookmarkStart w:id="520" w:name="_Toc389065288"/>
      <w:r>
        <w:rPr>
          <w:color w:val="auto"/>
          <w:highlight w:val="none"/>
        </w:rPr>
        <w:t>7.</w:t>
      </w:r>
      <w:r>
        <w:rPr>
          <w:rFonts w:hint="eastAsia" w:cs="黑体"/>
          <w:color w:val="auto"/>
          <w:highlight w:val="none"/>
        </w:rPr>
        <w:t>工期和进度</w:t>
      </w:r>
      <w:bookmarkEnd w:id="512"/>
      <w:bookmarkEnd w:id="513"/>
      <w:bookmarkEnd w:id="514"/>
      <w:bookmarkEnd w:id="515"/>
      <w:bookmarkEnd w:id="516"/>
      <w:bookmarkEnd w:id="517"/>
      <w:bookmarkEnd w:id="518"/>
      <w:bookmarkEnd w:id="519"/>
      <w:bookmarkEnd w:id="520"/>
    </w:p>
    <w:p w14:paraId="6CE651C4">
      <w:pPr>
        <w:pStyle w:val="5"/>
        <w:rPr>
          <w:color w:val="auto"/>
          <w:highlight w:val="none"/>
        </w:rPr>
      </w:pPr>
      <w:bookmarkStart w:id="521" w:name="_Toc389065289"/>
      <w:bookmarkStart w:id="522" w:name="_Toc78449811"/>
      <w:bookmarkStart w:id="523" w:name="_Toc664905709"/>
      <w:bookmarkStart w:id="524" w:name="_Toc23390"/>
      <w:bookmarkStart w:id="525" w:name="_Toc1194482517"/>
      <w:bookmarkStart w:id="526" w:name="_Toc373478370"/>
      <w:bookmarkStart w:id="527" w:name="_Toc373227723"/>
      <w:bookmarkStart w:id="528" w:name="_Toc407135225"/>
      <w:r>
        <w:rPr>
          <w:color w:val="auto"/>
          <w:highlight w:val="none"/>
        </w:rPr>
        <w:t>7.1</w:t>
      </w:r>
      <w:r>
        <w:rPr>
          <w:rFonts w:hint="eastAsia" w:cs="黑体"/>
          <w:color w:val="auto"/>
          <w:highlight w:val="none"/>
        </w:rPr>
        <w:t>施工组织设计</w:t>
      </w:r>
      <w:bookmarkEnd w:id="521"/>
      <w:bookmarkEnd w:id="522"/>
      <w:bookmarkEnd w:id="523"/>
      <w:bookmarkEnd w:id="524"/>
      <w:bookmarkEnd w:id="525"/>
      <w:bookmarkEnd w:id="526"/>
      <w:bookmarkEnd w:id="527"/>
      <w:bookmarkEnd w:id="528"/>
    </w:p>
    <w:p w14:paraId="3BF3A4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color w:val="auto"/>
          <w:sz w:val="21"/>
          <w:szCs w:val="21"/>
          <w:highlight w:val="none"/>
        </w:rPr>
        <w:t>7.1.1</w:t>
      </w:r>
      <w:r>
        <w:rPr>
          <w:rFonts w:hint="eastAsia" w:hAnsi="宋体" w:cs="宋体"/>
          <w:color w:val="auto"/>
          <w:sz w:val="21"/>
          <w:szCs w:val="21"/>
          <w:highlight w:val="none"/>
        </w:rPr>
        <w:t>合</w:t>
      </w:r>
      <w:r>
        <w:rPr>
          <w:rFonts w:hint="eastAsia" w:hAnsi="宋体" w:cs="宋体"/>
          <w:color w:val="auto"/>
          <w:kern w:val="0"/>
          <w:sz w:val="21"/>
          <w:szCs w:val="21"/>
          <w:highlight w:val="none"/>
        </w:rPr>
        <w:t>同当事人约定的施工组织设计应包括的其他内容：</w:t>
      </w:r>
      <w:r>
        <w:rPr>
          <w:rFonts w:hint="default" w:ascii="Segoe UI" w:hAnsi="Segoe UI" w:eastAsia="Segoe UI" w:cs="Segoe UI"/>
          <w:b w:val="0"/>
          <w:bCs w:val="0"/>
          <w:i w:val="0"/>
          <w:iCs w:val="0"/>
          <w:caps w:val="0"/>
          <w:color w:val="0F1115"/>
          <w:spacing w:val="0"/>
          <w:sz w:val="21"/>
          <w:szCs w:val="21"/>
          <w:highlight w:val="none"/>
          <w:u w:val="single"/>
          <w:shd w:val="clear" w:fill="FFFFFF"/>
        </w:rPr>
        <w:t>合同当事人约定的施工组织设计应包括的其他内容：</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除通用合同条款第7.1.1项约定的内容外，施工组织设计还应包括以下内容：</w:t>
      </w:r>
    </w:p>
    <w:p w14:paraId="4A7F1C8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（1）施工区域与村民活动区域隔离方案：明确施工沿线安全警示带或警示桩设置位置、间距、方式，施工通道与村民生产通行通道的分流方案，以及施工人员活动区域限制措施；</w:t>
      </w:r>
    </w:p>
    <w:p w14:paraId="6367457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（2）施工噪音及扬尘控制专项方案：明确各施工阶段的高噪音作业清单及计划作业时间，雾炮机、喷淋系统等降尘设备配置方案，以及砂石料堆场覆盖、土方湿法作业、车辆冲洗等具体措施；</w:t>
      </w:r>
    </w:p>
    <w:p w14:paraId="0CEDAAD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（3）施工交通组织方案：明确施工车辆进出村屯道路的专用时段、限速要求及交通疏导措施，甘蔗榨季运输高峰时段的施工车辆管控措施；</w:t>
      </w:r>
    </w:p>
    <w:p w14:paraId="009295A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4</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）施工期间突发事件应急预案：明确施工区域发生安全事故、火灾、人员伤害等突发事件的应急响应程序、人员疏散路线、应急联动（</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项目所在地村委会、乡镇卫生院</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）的联系方式等。</w:t>
      </w:r>
    </w:p>
    <w:p w14:paraId="2C4827D9">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7.1.2</w:t>
      </w:r>
      <w:r>
        <w:rPr>
          <w:rFonts w:hint="eastAsia" w:hAnsi="宋体" w:cs="宋体"/>
          <w:color w:val="auto"/>
          <w:kern w:val="0"/>
          <w:sz w:val="21"/>
          <w:szCs w:val="21"/>
          <w:highlight w:val="none"/>
        </w:rPr>
        <w:t>施工组织设计的提交和修改</w:t>
      </w:r>
    </w:p>
    <w:p w14:paraId="524038C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bookmarkStart w:id="529" w:name="_Toc389065290"/>
      <w:bookmarkStart w:id="530" w:name="_Toc407135226"/>
      <w:bookmarkStart w:id="531" w:name="_Toc373227724"/>
      <w:bookmarkStart w:id="532" w:name="_Toc78449812"/>
      <w:bookmarkStart w:id="533" w:name="_Toc373478371"/>
      <w:bookmarkStart w:id="534" w:name="_Toc1674747833"/>
      <w:bookmarkStart w:id="535" w:name="_Toc1393005721"/>
      <w:r>
        <w:rPr>
          <w:rFonts w:hint="default" w:ascii="Segoe UI" w:hAnsi="Segoe UI" w:eastAsia="Segoe UI" w:cs="Segoe UI"/>
          <w:b w:val="0"/>
          <w:bCs w:val="0"/>
          <w:i w:val="0"/>
          <w:iCs w:val="0"/>
          <w:caps w:val="0"/>
          <w:color w:val="0F1115"/>
          <w:spacing w:val="0"/>
          <w:sz w:val="21"/>
          <w:szCs w:val="21"/>
          <w:highlight w:val="none"/>
          <w:u w:val="none"/>
          <w:shd w:val="clear" w:fill="FFFFFF"/>
        </w:rPr>
        <w:t>承包人提交详细施工组织设计的期限的约定：</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承包人应在合同签订后15日内，向总监理工程师提交详细施工组织设计。施工组织设计提交前应经承包人技术负责人审核签字并加盖承包人单位公章。</w:t>
      </w:r>
    </w:p>
    <w:p w14:paraId="04CC924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发包人和监理人在收到详细的施工组织设计后确认或提出修改意见的期限：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施工组织设计后14日内予以确认或提出书面修改意见。承包人应按照发包人和监理人的修改意见进行修改完善，并在收到修改意见后7日内重新提交。发包人和监理人应在收到重新提交的施工组织设计后7日内予以确认或提出进一步修改意见。</w:t>
      </w:r>
    </w:p>
    <w:p w14:paraId="031DD1F0">
      <w:pPr>
        <w:pStyle w:val="5"/>
        <w:rPr>
          <w:color w:val="auto"/>
          <w:highlight w:val="none"/>
        </w:rPr>
      </w:pPr>
      <w:bookmarkStart w:id="536" w:name="_Toc12404"/>
      <w:r>
        <w:rPr>
          <w:color w:val="auto"/>
          <w:highlight w:val="none"/>
        </w:rPr>
        <w:t>7</w:t>
      </w:r>
      <w:bookmarkStart w:id="537" w:name="_Toc297123514"/>
      <w:bookmarkStart w:id="538" w:name="_Toc312678005"/>
      <w:bookmarkStart w:id="539" w:name="_Toc300934966"/>
      <w:bookmarkStart w:id="540" w:name="_Toc297216173"/>
      <w:bookmarkStart w:id="541" w:name="_Toc304295541"/>
      <w:bookmarkStart w:id="542" w:name="_Toc312677479"/>
      <w:bookmarkStart w:id="543" w:name="_Toc303539123"/>
      <w:r>
        <w:rPr>
          <w:color w:val="auto"/>
          <w:highlight w:val="none"/>
        </w:rPr>
        <w:t>.2</w:t>
      </w:r>
      <w:r>
        <w:rPr>
          <w:rFonts w:hint="eastAsia" w:cs="黑体"/>
          <w:color w:val="auto"/>
          <w:highlight w:val="none"/>
        </w:rPr>
        <w:t>施工进度计划</w:t>
      </w:r>
      <w:bookmarkEnd w:id="529"/>
      <w:bookmarkEnd w:id="530"/>
      <w:bookmarkEnd w:id="531"/>
      <w:bookmarkEnd w:id="532"/>
      <w:bookmarkEnd w:id="533"/>
      <w:bookmarkEnd w:id="534"/>
      <w:bookmarkEnd w:id="535"/>
      <w:bookmarkEnd w:id="536"/>
    </w:p>
    <w:p w14:paraId="6280FA6B">
      <w:pPr>
        <w:spacing w:line="360" w:lineRule="auto"/>
        <w:ind w:firstLine="420" w:firstLineChars="200"/>
        <w:jc w:val="left"/>
        <w:rPr>
          <w:color w:val="auto"/>
          <w:sz w:val="21"/>
          <w:szCs w:val="21"/>
          <w:highlight w:val="none"/>
        </w:rPr>
      </w:pPr>
      <w:r>
        <w:rPr>
          <w:color w:val="auto"/>
          <w:sz w:val="21"/>
          <w:szCs w:val="21"/>
          <w:highlight w:val="none"/>
        </w:rPr>
        <w:t>7.2.2</w:t>
      </w:r>
      <w:r>
        <w:rPr>
          <w:rFonts w:hint="eastAsia" w:hAnsi="宋体" w:cs="宋体"/>
          <w:color w:val="auto"/>
          <w:sz w:val="21"/>
          <w:szCs w:val="21"/>
          <w:highlight w:val="none"/>
        </w:rPr>
        <w:t>施工进度计划的修订</w:t>
      </w:r>
    </w:p>
    <w:p w14:paraId="4C5D64D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发包人和监理人在收到修订的施工进度计划后确认或提出修改意见的期限：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发包人和监理人应在收到承包人提交的修订施工进度计划后14日内予以确认或提出书面修改意见。承包人应按照发包人和监理人的修改意见进行修改完善，并在收到修改意见后7日内重新提交。</w:t>
      </w:r>
    </w:p>
    <w:p w14:paraId="351158C9">
      <w:pPr>
        <w:pStyle w:val="5"/>
        <w:rPr>
          <w:color w:val="auto"/>
          <w:sz w:val="21"/>
          <w:szCs w:val="21"/>
          <w:highlight w:val="none"/>
        </w:rPr>
      </w:pPr>
      <w:bookmarkStart w:id="544" w:name="_Toc373478372"/>
      <w:bookmarkStart w:id="545" w:name="_Toc1498273563"/>
      <w:bookmarkStart w:id="546" w:name="_Toc423062567"/>
      <w:bookmarkStart w:id="547" w:name="_Toc78449813"/>
      <w:bookmarkStart w:id="548" w:name="_Toc407135227"/>
      <w:bookmarkStart w:id="549" w:name="_Toc389065291"/>
      <w:bookmarkStart w:id="550" w:name="_Toc19457"/>
      <w:bookmarkStart w:id="551" w:name="_Toc373227725"/>
      <w:r>
        <w:rPr>
          <w:color w:val="auto"/>
          <w:sz w:val="21"/>
          <w:szCs w:val="21"/>
          <w:highlight w:val="none"/>
        </w:rPr>
        <w:t>7.3</w:t>
      </w:r>
      <w:r>
        <w:rPr>
          <w:rFonts w:hint="eastAsia" w:cs="黑体"/>
          <w:color w:val="auto"/>
          <w:sz w:val="21"/>
          <w:szCs w:val="21"/>
          <w:highlight w:val="none"/>
        </w:rPr>
        <w:t>开工</w:t>
      </w:r>
      <w:bookmarkEnd w:id="544"/>
      <w:bookmarkEnd w:id="545"/>
      <w:bookmarkEnd w:id="546"/>
      <w:bookmarkEnd w:id="547"/>
      <w:bookmarkEnd w:id="548"/>
      <w:bookmarkEnd w:id="549"/>
      <w:bookmarkEnd w:id="550"/>
      <w:bookmarkEnd w:id="551"/>
    </w:p>
    <w:p w14:paraId="0203D4F3">
      <w:pPr>
        <w:spacing w:line="360" w:lineRule="auto"/>
        <w:ind w:firstLine="420" w:firstLineChars="200"/>
        <w:jc w:val="left"/>
        <w:rPr>
          <w:color w:val="auto"/>
          <w:sz w:val="21"/>
          <w:szCs w:val="21"/>
          <w:highlight w:val="none"/>
        </w:rPr>
      </w:pPr>
      <w:r>
        <w:rPr>
          <w:color w:val="auto"/>
          <w:sz w:val="21"/>
          <w:szCs w:val="21"/>
          <w:highlight w:val="none"/>
        </w:rPr>
        <w:t>7.3.1</w:t>
      </w:r>
      <w:r>
        <w:rPr>
          <w:rFonts w:hint="eastAsia" w:hAnsi="宋体" w:cs="宋体"/>
          <w:color w:val="auto"/>
          <w:sz w:val="21"/>
          <w:szCs w:val="21"/>
          <w:highlight w:val="none"/>
        </w:rPr>
        <w:t>开工准备</w:t>
      </w:r>
    </w:p>
    <w:p w14:paraId="6B20BCA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关于承包人提交工程开工报审表的期限：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合同签订后10日内。开工报审表应附施工组织设计（经审批确认后的版本）、项目管理机构人员到位情况及联系方式、进场施工机械设备清单、临时设施搭建方案、施工测量放线成果等资料。</w:t>
      </w:r>
    </w:p>
    <w:p w14:paraId="220EAC0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关于发包人应完成的其他开工准备工作及期限：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在计划开工日期前7日内完成以下准备工作：施工场地移交、施工用水电接口接至施工现场、测量基准点及水准点现场交验、施工许可证办理等。发包人应向承包人提供本工程《建设工程委托监理合同》复印件，并将发包人代表及总监理工程师的授权书面通知承包人。因发包人原因未按期完成的，开工日期相应顺延，工期相应顺延。</w:t>
      </w:r>
    </w:p>
    <w:p w14:paraId="11E7E6C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关于承包人应完成的其他开工准备工作及期限：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计划开工日期前完成以下准备工作：施工人员进场及安全教育、施工机械设备进场报验、临时设施搭建、施工用水电线路敷设及计量表具安装、施工沿线安全警示标志标牌设置。承包人应在开工日期前7日内完成施工区域危险点的安全警示带或警示桩设置，并经发包人代表及总监理工程师验收合格。</w:t>
      </w:r>
    </w:p>
    <w:p w14:paraId="0620584E">
      <w:pPr>
        <w:spacing w:line="360" w:lineRule="auto"/>
        <w:ind w:firstLine="420" w:firstLineChars="200"/>
        <w:jc w:val="left"/>
        <w:rPr>
          <w:color w:val="auto"/>
          <w:sz w:val="21"/>
          <w:szCs w:val="21"/>
          <w:highlight w:val="none"/>
        </w:rPr>
      </w:pPr>
      <w:r>
        <w:rPr>
          <w:color w:val="auto"/>
          <w:sz w:val="21"/>
          <w:szCs w:val="21"/>
          <w:highlight w:val="none"/>
        </w:rPr>
        <w:t>7.3.2</w:t>
      </w:r>
      <w:r>
        <w:rPr>
          <w:rFonts w:hint="eastAsia" w:hAnsi="宋体" w:cs="宋体"/>
          <w:color w:val="auto"/>
          <w:sz w:val="21"/>
          <w:szCs w:val="21"/>
          <w:highlight w:val="none"/>
        </w:rPr>
        <w:t>开工通知</w:t>
      </w:r>
    </w:p>
    <w:p w14:paraId="36ED8B4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因发包人原因造成监理人未能在计划开工日期之日起</w:t>
      </w:r>
      <w:r>
        <w:rPr>
          <w:rFonts w:hint="eastAsia"/>
          <w:color w:val="auto"/>
          <w:sz w:val="21"/>
          <w:szCs w:val="21"/>
          <w:highlight w:val="none"/>
          <w:u w:val="single"/>
          <w:lang w:val="en-US" w:eastAsia="zh-CN"/>
        </w:rPr>
        <w:t>30</w:t>
      </w:r>
      <w:r>
        <w:rPr>
          <w:rFonts w:hint="eastAsia" w:hAnsi="宋体" w:cs="宋体"/>
          <w:color w:val="auto"/>
          <w:sz w:val="21"/>
          <w:szCs w:val="21"/>
          <w:highlight w:val="none"/>
        </w:rPr>
        <w:t>天内发出开工通知的，承包人有权提出价格调整要求，或者解除合同。</w:t>
      </w:r>
    </w:p>
    <w:bookmarkEnd w:id="537"/>
    <w:bookmarkEnd w:id="538"/>
    <w:bookmarkEnd w:id="539"/>
    <w:bookmarkEnd w:id="540"/>
    <w:bookmarkEnd w:id="541"/>
    <w:bookmarkEnd w:id="542"/>
    <w:bookmarkEnd w:id="543"/>
    <w:p w14:paraId="5D1EEA2E">
      <w:pPr>
        <w:pStyle w:val="5"/>
        <w:rPr>
          <w:color w:val="auto"/>
          <w:highlight w:val="none"/>
        </w:rPr>
      </w:pPr>
      <w:bookmarkStart w:id="552" w:name="_Toc741356765"/>
      <w:bookmarkStart w:id="553" w:name="_Toc373478373"/>
      <w:bookmarkStart w:id="554" w:name="_Toc389065292"/>
      <w:bookmarkStart w:id="555" w:name="_Toc407135228"/>
      <w:bookmarkStart w:id="556" w:name="_Toc78449814"/>
      <w:bookmarkStart w:id="557" w:name="_Toc373227726"/>
      <w:bookmarkStart w:id="558" w:name="_Toc31518"/>
      <w:bookmarkStart w:id="559" w:name="_Toc86855608"/>
      <w:r>
        <w:rPr>
          <w:color w:val="auto"/>
          <w:highlight w:val="none"/>
        </w:rPr>
        <w:t>7.4</w:t>
      </w:r>
      <w:r>
        <w:rPr>
          <w:rFonts w:hint="eastAsia" w:hAnsi="宋体" w:cs="黑体"/>
          <w:color w:val="auto"/>
          <w:highlight w:val="none"/>
        </w:rPr>
        <w:t>测量放线</w:t>
      </w:r>
      <w:bookmarkEnd w:id="552"/>
      <w:bookmarkEnd w:id="553"/>
      <w:bookmarkEnd w:id="554"/>
      <w:bookmarkEnd w:id="555"/>
      <w:bookmarkEnd w:id="556"/>
      <w:bookmarkEnd w:id="557"/>
      <w:bookmarkEnd w:id="558"/>
      <w:bookmarkEnd w:id="559"/>
    </w:p>
    <w:p w14:paraId="53281495">
      <w:pPr>
        <w:spacing w:line="360" w:lineRule="auto"/>
        <w:ind w:firstLine="420" w:firstLineChars="200"/>
        <w:jc w:val="left"/>
        <w:rPr>
          <w:rFonts w:hint="eastAsia" w:ascii="Times New Roman" w:hAnsi="宋体" w:eastAsia="宋体" w:cs="宋体"/>
          <w:b w:val="0"/>
          <w:bCs w:val="0"/>
          <w:color w:val="auto"/>
          <w:kern w:val="2"/>
          <w:sz w:val="21"/>
          <w:szCs w:val="21"/>
          <w:highlight w:val="none"/>
          <w:u w:val="single"/>
          <w:lang w:val="en-US" w:eastAsia="zh-CN" w:bidi="ar-SA"/>
        </w:rPr>
      </w:pPr>
      <w:r>
        <w:rPr>
          <w:color w:val="auto"/>
          <w:sz w:val="21"/>
          <w:szCs w:val="21"/>
          <w:highlight w:val="none"/>
        </w:rPr>
        <w:t>7.4.1</w:t>
      </w:r>
      <w:r>
        <w:rPr>
          <w:rFonts w:hint="eastAsia" w:hAnsi="宋体" w:cs="宋体"/>
          <w:color w:val="auto"/>
          <w:sz w:val="21"/>
          <w:szCs w:val="21"/>
          <w:highlight w:val="none"/>
        </w:rPr>
        <w:t>发包人通过监理人向承包人提供测量基准点、基准线和水准点及其书面资料的期限：</w:t>
      </w:r>
      <w:bookmarkStart w:id="560" w:name="_Toc12781"/>
      <w:bookmarkStart w:id="561" w:name="_Toc373478374"/>
      <w:bookmarkStart w:id="562" w:name="_Toc1863025072"/>
      <w:bookmarkStart w:id="563" w:name="_Toc373227727"/>
      <w:bookmarkStart w:id="564" w:name="_Toc407135229"/>
      <w:bookmarkStart w:id="565" w:name="_Toc78449815"/>
      <w:bookmarkStart w:id="566" w:name="_Toc1417437583"/>
      <w:bookmarkStart w:id="567" w:name="_Toc389065293"/>
      <w:r>
        <w:rPr>
          <w:rFonts w:hint="eastAsia" w:ascii="Times New Roman" w:hAnsi="宋体" w:eastAsia="宋体" w:cs="宋体"/>
          <w:b w:val="0"/>
          <w:bCs w:val="0"/>
          <w:color w:val="auto"/>
          <w:kern w:val="2"/>
          <w:sz w:val="21"/>
          <w:szCs w:val="21"/>
          <w:highlight w:val="none"/>
          <w:u w:val="single"/>
          <w:lang w:val="en-US" w:eastAsia="zh-CN" w:bidi="ar-SA"/>
        </w:rPr>
        <w:t>开工前7日内。发包人应提供不少于3个测量基准点，并提供测量控制点成果表及相应的书面资料。发包人、监理人与承包人三方应在现场共同交验，确认基准点桩位完好、标识清晰后签署交接记录。发包人提供的测量基准点、基准线和水准点存在错误或遗漏，导致承包人测量放线返工的，费用由发包人承担，工期相应顺延。承包人应在收到测量基准点后14日内完成施工测量放线复核，并向监理人提交测量复核成果报告。承包人对测量基准点有异议的，应在复核后3日内书面提出，逾期视为确认无误。</w:t>
      </w:r>
      <w:bookmarkEnd w:id="560"/>
    </w:p>
    <w:p w14:paraId="1B3B307D">
      <w:pPr>
        <w:pStyle w:val="5"/>
        <w:rPr>
          <w:color w:val="auto"/>
          <w:highlight w:val="none"/>
        </w:rPr>
      </w:pPr>
      <w:bookmarkStart w:id="568" w:name="_Toc9407"/>
      <w:r>
        <w:rPr>
          <w:color w:val="auto"/>
          <w:highlight w:val="none"/>
        </w:rPr>
        <w:t>7</w:t>
      </w:r>
      <w:bookmarkStart w:id="569" w:name="_Toc303539125"/>
      <w:bookmarkStart w:id="570" w:name="_Toc304295546"/>
      <w:bookmarkStart w:id="571" w:name="_Toc300934968"/>
      <w:bookmarkStart w:id="572" w:name="_Toc297216175"/>
      <w:bookmarkStart w:id="573" w:name="_Toc312677484"/>
      <w:bookmarkStart w:id="574" w:name="_Toc312678010"/>
      <w:bookmarkStart w:id="575" w:name="_Toc297123516"/>
      <w:r>
        <w:rPr>
          <w:color w:val="auto"/>
          <w:highlight w:val="none"/>
        </w:rPr>
        <w:t>.5</w:t>
      </w:r>
      <w:r>
        <w:rPr>
          <w:rFonts w:hint="eastAsia" w:hAnsi="宋体" w:cs="黑体"/>
          <w:color w:val="auto"/>
          <w:highlight w:val="none"/>
        </w:rPr>
        <w:t>工期延误</w:t>
      </w:r>
      <w:bookmarkEnd w:id="561"/>
      <w:bookmarkEnd w:id="562"/>
      <w:bookmarkEnd w:id="563"/>
      <w:bookmarkEnd w:id="564"/>
      <w:bookmarkEnd w:id="565"/>
      <w:bookmarkEnd w:id="566"/>
      <w:bookmarkEnd w:id="567"/>
      <w:bookmarkEnd w:id="568"/>
    </w:p>
    <w:bookmarkEnd w:id="569"/>
    <w:bookmarkEnd w:id="570"/>
    <w:bookmarkEnd w:id="571"/>
    <w:bookmarkEnd w:id="572"/>
    <w:bookmarkEnd w:id="573"/>
    <w:bookmarkEnd w:id="574"/>
    <w:bookmarkEnd w:id="575"/>
    <w:p w14:paraId="7C3D2804">
      <w:pPr>
        <w:spacing w:line="360" w:lineRule="auto"/>
        <w:ind w:firstLine="420" w:firstLineChars="200"/>
        <w:jc w:val="left"/>
        <w:rPr>
          <w:color w:val="auto"/>
          <w:sz w:val="21"/>
          <w:szCs w:val="21"/>
          <w:highlight w:val="none"/>
        </w:rPr>
      </w:pPr>
      <w:r>
        <w:rPr>
          <w:color w:val="auto"/>
          <w:sz w:val="21"/>
          <w:szCs w:val="21"/>
          <w:highlight w:val="none"/>
        </w:rPr>
        <w:t>7.5.1</w:t>
      </w:r>
      <w:r>
        <w:rPr>
          <w:rFonts w:hint="eastAsia" w:hAnsi="宋体" w:cs="宋体"/>
          <w:color w:val="auto"/>
          <w:sz w:val="21"/>
          <w:szCs w:val="21"/>
          <w:highlight w:val="none"/>
        </w:rPr>
        <w:t>因发包人原因导致工期延误</w:t>
      </w:r>
    </w:p>
    <w:p w14:paraId="565E545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）因发包人原因导致工期延误的其他情形：</w:t>
      </w:r>
      <w:r>
        <w:rPr>
          <w:rFonts w:hint="eastAsia" w:ascii="宋体" w:hAnsi="宋体" w:cs="宋体"/>
          <w:color w:val="auto"/>
          <w:sz w:val="21"/>
          <w:szCs w:val="21"/>
          <w:highlight w:val="none"/>
          <w:u w:val="single"/>
        </w:rPr>
        <w:t>①重大图纸变更影响关健线路工序施工；②施工期间如因停电、停水连续</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小时以上或一周内间歇性停水、停电累计</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小时（含</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s="宋体"/>
          <w:color w:val="auto"/>
          <w:sz w:val="21"/>
          <w:szCs w:val="21"/>
          <w:highlight w:val="none"/>
        </w:rPr>
        <w:t>。</w:t>
      </w:r>
    </w:p>
    <w:p w14:paraId="75FE35D3">
      <w:pPr>
        <w:spacing w:line="360" w:lineRule="auto"/>
        <w:ind w:firstLine="420" w:firstLineChars="200"/>
        <w:jc w:val="left"/>
        <w:rPr>
          <w:color w:val="auto"/>
          <w:sz w:val="21"/>
          <w:szCs w:val="21"/>
          <w:highlight w:val="none"/>
        </w:rPr>
      </w:pPr>
      <w:r>
        <w:rPr>
          <w:color w:val="auto"/>
          <w:sz w:val="21"/>
          <w:szCs w:val="21"/>
          <w:highlight w:val="none"/>
        </w:rPr>
        <w:t>7.5.2</w:t>
      </w:r>
      <w:r>
        <w:rPr>
          <w:rFonts w:hint="eastAsia" w:hAnsi="宋体" w:cs="宋体"/>
          <w:color w:val="auto"/>
          <w:sz w:val="21"/>
          <w:szCs w:val="21"/>
          <w:highlight w:val="none"/>
        </w:rPr>
        <w:t>因承包人原因导致工期延误</w:t>
      </w:r>
    </w:p>
    <w:p w14:paraId="2CAC14E4">
      <w:pPr>
        <w:spacing w:line="360" w:lineRule="auto"/>
        <w:ind w:firstLine="420" w:firstLineChars="200"/>
        <w:jc w:val="left"/>
        <w:rPr>
          <w:rFonts w:hint="default"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双方约定经监理工程师确认，工期相应顺延的情况：</w:t>
      </w:r>
      <w:r>
        <w:rPr>
          <w:rFonts w:hint="default" w:ascii="宋体" w:hAnsi="宋体" w:eastAsia="宋体" w:cs="宋体"/>
          <w:color w:val="auto"/>
          <w:sz w:val="21"/>
          <w:szCs w:val="21"/>
          <w:highlight w:val="none"/>
          <w:u w:val="single"/>
        </w:rPr>
        <w:t>（1）因承包人原因造成工期延误，逾期竣工违约金按合同总价的万分之五/日计算，上限为合同总价的2%。（2）逾期超过30日的，发包人有权单方解除合同，并要求承包人赔偿全部损失。（3）因承包人未做好村屯协调、村民沟通、扰民处理、交通疏导等原因造成的停工、投诉、管制、处罚，均属于承包人原因，工期不予顺延。</w:t>
      </w:r>
    </w:p>
    <w:p w14:paraId="158E9F6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因承包人原因造成工期延误，逾期竣工违约金的计算方法为：</w:t>
      </w:r>
      <w:r>
        <w:rPr>
          <w:rFonts w:hint="eastAsia" w:ascii="宋体" w:hAnsi="宋体" w:cs="宋体"/>
          <w:color w:val="auto"/>
          <w:sz w:val="21"/>
          <w:szCs w:val="21"/>
          <w:highlight w:val="none"/>
          <w:u w:val="single"/>
        </w:rPr>
        <w:t>按逾期竣工的单项工程罚款，每延误一天</w:t>
      </w:r>
      <w:r>
        <w:rPr>
          <w:rFonts w:ascii="宋体" w:cs="宋体"/>
          <w:color w:val="auto"/>
          <w:sz w:val="21"/>
          <w:szCs w:val="21"/>
          <w:highlight w:val="none"/>
          <w:u w:val="single"/>
        </w:rPr>
        <w:t>,</w:t>
      </w:r>
      <w:r>
        <w:rPr>
          <w:rFonts w:hint="eastAsia" w:ascii="宋体" w:hAnsi="宋体" w:cs="宋体"/>
          <w:color w:val="auto"/>
          <w:sz w:val="21"/>
          <w:szCs w:val="21"/>
          <w:highlight w:val="none"/>
          <w:u w:val="single"/>
        </w:rPr>
        <w:t>按单项工程应支付给承包人的结算</w:t>
      </w:r>
      <w:r>
        <w:rPr>
          <w:rFonts w:hint="eastAsia" w:ascii="宋体" w:hAnsi="宋体" w:cs="宋体"/>
          <w:color w:val="auto"/>
          <w:sz w:val="21"/>
          <w:szCs w:val="21"/>
          <w:highlight w:val="none"/>
          <w:u w:val="single"/>
          <w:lang w:eastAsia="zh-CN"/>
        </w:rPr>
        <w:t>造价的万分之五处罚</w:t>
      </w:r>
      <w:r>
        <w:rPr>
          <w:rFonts w:ascii="宋体" w:cs="宋体"/>
          <w:color w:val="auto"/>
          <w:sz w:val="21"/>
          <w:szCs w:val="21"/>
          <w:highlight w:val="none"/>
          <w:u w:val="single"/>
        </w:rPr>
        <w:t>,</w:t>
      </w:r>
      <w:r>
        <w:rPr>
          <w:rFonts w:hint="eastAsia" w:ascii="宋体" w:hAnsi="宋体" w:cs="宋体"/>
          <w:color w:val="auto"/>
          <w:sz w:val="21"/>
          <w:szCs w:val="21"/>
          <w:highlight w:val="none"/>
          <w:u w:val="single"/>
        </w:rPr>
        <w:t>罚款直接从结算款中扣除。</w:t>
      </w:r>
      <w:r>
        <w:rPr>
          <w:rFonts w:hint="eastAsia" w:hAnsi="宋体" w:cs="宋体"/>
          <w:color w:val="auto"/>
          <w:sz w:val="21"/>
          <w:szCs w:val="21"/>
          <w:highlight w:val="none"/>
          <w:u w:val="single"/>
        </w:rPr>
        <w:t>误期时间从规定竣工日期起直到实际竣工日期的天数（扣除发包人批准顺延的工期）。</w:t>
      </w:r>
      <w:r>
        <w:rPr>
          <w:rFonts w:hint="eastAsia" w:hAnsi="宋体" w:cs="宋体"/>
          <w:color w:val="auto"/>
          <w:sz w:val="21"/>
          <w:szCs w:val="21"/>
          <w:highlight w:val="none"/>
        </w:rPr>
        <w:t>因承包人原因造成工期延误，逾</w:t>
      </w:r>
      <w:bookmarkStart w:id="576" w:name="_Toc318581171"/>
      <w:bookmarkStart w:id="577" w:name="_Toc312678014"/>
      <w:r>
        <w:rPr>
          <w:rFonts w:hint="eastAsia" w:hAnsi="宋体" w:cs="宋体"/>
          <w:color w:val="auto"/>
          <w:sz w:val="21"/>
          <w:szCs w:val="21"/>
          <w:highlight w:val="none"/>
        </w:rPr>
        <w:t>期竣工违约金的上限：</w:t>
      </w:r>
      <w:r>
        <w:rPr>
          <w:rFonts w:hint="eastAsia" w:ascii="宋体" w:hAnsi="宋体" w:cs="宋体"/>
          <w:color w:val="auto"/>
          <w:sz w:val="21"/>
          <w:szCs w:val="21"/>
          <w:highlight w:val="none"/>
          <w:u w:val="single"/>
        </w:rPr>
        <w:t>逾期竣工的单项工程结算造价</w:t>
      </w:r>
      <w:r>
        <w:rPr>
          <w:rFonts w:hint="eastAsia" w:hAnsi="宋体" w:cs="宋体"/>
          <w:color w:val="auto"/>
          <w:sz w:val="21"/>
          <w:szCs w:val="21"/>
          <w:highlight w:val="none"/>
          <w:u w:val="single"/>
        </w:rPr>
        <w:t>的</w:t>
      </w:r>
      <w:r>
        <w:rPr>
          <w:rFonts w:hint="eastAsia"/>
          <w:color w:val="auto"/>
          <w:sz w:val="21"/>
          <w:szCs w:val="21"/>
          <w:highlight w:val="none"/>
          <w:u w:val="single"/>
          <w:lang w:val="en-US" w:eastAsia="zh-CN"/>
        </w:rPr>
        <w:t>2</w:t>
      </w:r>
      <w:r>
        <w:rPr>
          <w:color w:val="auto"/>
          <w:sz w:val="21"/>
          <w:szCs w:val="21"/>
          <w:highlight w:val="none"/>
          <w:u w:val="single"/>
        </w:rPr>
        <w:t>%</w:t>
      </w:r>
      <w:r>
        <w:rPr>
          <w:rFonts w:hint="eastAsia" w:hAnsi="宋体" w:cs="宋体"/>
          <w:color w:val="auto"/>
          <w:sz w:val="21"/>
          <w:szCs w:val="21"/>
          <w:highlight w:val="none"/>
        </w:rPr>
        <w:t>。</w:t>
      </w:r>
    </w:p>
    <w:bookmarkEnd w:id="576"/>
    <w:bookmarkEnd w:id="577"/>
    <w:p w14:paraId="6D4B18E7">
      <w:pPr>
        <w:pStyle w:val="5"/>
        <w:rPr>
          <w:color w:val="auto"/>
          <w:highlight w:val="none"/>
        </w:rPr>
      </w:pPr>
      <w:bookmarkStart w:id="578" w:name="_Toc7032"/>
      <w:bookmarkStart w:id="579" w:name="_Toc1954543271"/>
      <w:bookmarkStart w:id="580" w:name="_Toc373478375"/>
      <w:bookmarkStart w:id="581" w:name="_Toc888037017"/>
      <w:bookmarkStart w:id="582" w:name="_Toc373227728"/>
      <w:bookmarkStart w:id="583" w:name="_Toc78449816"/>
      <w:bookmarkStart w:id="584" w:name="_Toc389065294"/>
      <w:bookmarkStart w:id="585" w:name="_Toc407135230"/>
      <w:r>
        <w:rPr>
          <w:color w:val="auto"/>
          <w:highlight w:val="none"/>
        </w:rPr>
        <w:t>7</w:t>
      </w:r>
      <w:bookmarkStart w:id="586" w:name="_Toc300934971"/>
      <w:bookmarkStart w:id="587" w:name="_Toc304295549"/>
      <w:bookmarkStart w:id="588" w:name="_Toc303539128"/>
      <w:bookmarkStart w:id="589" w:name="_Toc297123519"/>
      <w:bookmarkStart w:id="590" w:name="_Toc312678015"/>
      <w:bookmarkStart w:id="591" w:name="_Toc297216178"/>
      <w:r>
        <w:rPr>
          <w:color w:val="auto"/>
          <w:highlight w:val="none"/>
        </w:rPr>
        <w:t>.6</w:t>
      </w:r>
      <w:r>
        <w:rPr>
          <w:rFonts w:hint="eastAsia" w:cs="黑体"/>
          <w:color w:val="auto"/>
          <w:highlight w:val="none"/>
        </w:rPr>
        <w:t>不</w:t>
      </w:r>
      <w:bookmarkEnd w:id="586"/>
      <w:bookmarkEnd w:id="587"/>
      <w:bookmarkEnd w:id="588"/>
      <w:bookmarkEnd w:id="589"/>
      <w:bookmarkEnd w:id="590"/>
      <w:bookmarkEnd w:id="591"/>
      <w:r>
        <w:rPr>
          <w:rFonts w:hint="eastAsia" w:cs="黑体"/>
          <w:color w:val="auto"/>
          <w:highlight w:val="none"/>
        </w:rPr>
        <w:t>利物质条件</w:t>
      </w:r>
      <w:bookmarkEnd w:id="578"/>
      <w:bookmarkEnd w:id="579"/>
      <w:bookmarkEnd w:id="580"/>
      <w:bookmarkEnd w:id="581"/>
      <w:bookmarkEnd w:id="582"/>
      <w:bookmarkEnd w:id="583"/>
      <w:bookmarkEnd w:id="584"/>
      <w:bookmarkEnd w:id="585"/>
    </w:p>
    <w:p w14:paraId="5A0B19FE">
      <w:pPr>
        <w:spacing w:line="360" w:lineRule="auto"/>
        <w:ind w:firstLine="420" w:firstLineChars="200"/>
        <w:jc w:val="left"/>
        <w:rPr>
          <w:color w:val="auto"/>
          <w:sz w:val="21"/>
          <w:szCs w:val="21"/>
          <w:highlight w:val="none"/>
          <w:u w:val="single"/>
        </w:rPr>
      </w:pPr>
      <w:bookmarkStart w:id="592" w:name="_Toc312678016"/>
      <w:bookmarkStart w:id="593" w:name="_Toc300934972"/>
      <w:bookmarkStart w:id="594" w:name="_Toc318581172"/>
      <w:bookmarkStart w:id="595" w:name="_Toc297123520"/>
      <w:bookmarkStart w:id="596" w:name="_Toc297216179"/>
      <w:bookmarkStart w:id="597" w:name="_Toc303539129"/>
      <w:bookmarkStart w:id="598" w:name="_Toc304295550"/>
      <w:r>
        <w:rPr>
          <w:rFonts w:hint="eastAsia" w:hAnsi="宋体" w:cs="宋体"/>
          <w:color w:val="auto"/>
          <w:sz w:val="21"/>
          <w:szCs w:val="21"/>
          <w:highlight w:val="none"/>
        </w:rPr>
        <w:t>不利物质条件的其他情形和有关约定：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bookmarkEnd w:id="592"/>
    <w:bookmarkEnd w:id="593"/>
    <w:bookmarkEnd w:id="594"/>
    <w:bookmarkEnd w:id="595"/>
    <w:bookmarkEnd w:id="596"/>
    <w:bookmarkEnd w:id="597"/>
    <w:bookmarkEnd w:id="598"/>
    <w:p w14:paraId="6D9D8588">
      <w:pPr>
        <w:pStyle w:val="5"/>
        <w:rPr>
          <w:color w:val="auto"/>
          <w:highlight w:val="none"/>
        </w:rPr>
      </w:pPr>
      <w:bookmarkStart w:id="599" w:name="_Toc2031116443"/>
      <w:bookmarkStart w:id="600" w:name="_Toc373478376"/>
      <w:bookmarkStart w:id="601" w:name="_Toc78449817"/>
      <w:bookmarkStart w:id="602" w:name="_Toc373227729"/>
      <w:bookmarkStart w:id="603" w:name="_Toc19186"/>
      <w:bookmarkStart w:id="604" w:name="_Toc389065295"/>
      <w:bookmarkStart w:id="605" w:name="_Toc851880484"/>
      <w:bookmarkStart w:id="606" w:name="_Toc407135231"/>
      <w:r>
        <w:rPr>
          <w:color w:val="auto"/>
          <w:highlight w:val="none"/>
        </w:rPr>
        <w:t>7</w:t>
      </w:r>
      <w:bookmarkStart w:id="607" w:name="_Toc304295551"/>
      <w:bookmarkStart w:id="608" w:name="_Toc297123521"/>
      <w:bookmarkStart w:id="609" w:name="_Toc303539130"/>
      <w:bookmarkStart w:id="610" w:name="_Toc297216180"/>
      <w:bookmarkStart w:id="611" w:name="_Toc312678017"/>
      <w:bookmarkStart w:id="612" w:name="_Toc300934973"/>
      <w:r>
        <w:rPr>
          <w:color w:val="auto"/>
          <w:highlight w:val="none"/>
        </w:rPr>
        <w:t>.7</w:t>
      </w:r>
      <w:r>
        <w:rPr>
          <w:rFonts w:hint="eastAsia" w:cs="黑体"/>
          <w:color w:val="auto"/>
          <w:highlight w:val="none"/>
        </w:rPr>
        <w:t>异常恶劣的气候条件</w:t>
      </w:r>
      <w:bookmarkEnd w:id="599"/>
      <w:bookmarkEnd w:id="600"/>
      <w:bookmarkEnd w:id="601"/>
      <w:bookmarkEnd w:id="602"/>
      <w:bookmarkEnd w:id="603"/>
      <w:bookmarkEnd w:id="604"/>
      <w:bookmarkEnd w:id="605"/>
      <w:bookmarkEnd w:id="606"/>
    </w:p>
    <w:bookmarkEnd w:id="607"/>
    <w:bookmarkEnd w:id="608"/>
    <w:bookmarkEnd w:id="609"/>
    <w:bookmarkEnd w:id="610"/>
    <w:bookmarkEnd w:id="611"/>
    <w:bookmarkEnd w:id="612"/>
    <w:p w14:paraId="058FCEF0">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发包人和承包人同意以下情形视为异常恶劣的气候条件：</w:t>
      </w:r>
    </w:p>
    <w:p w14:paraId="56ECA15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color w:val="auto"/>
          <w:kern w:val="2"/>
          <w:sz w:val="21"/>
          <w:szCs w:val="21"/>
          <w:highlight w:val="none"/>
          <w:u w:val="single"/>
          <w:lang w:val="en-US" w:eastAsia="zh-CN" w:bidi="ar-SA"/>
        </w:rPr>
      </w:pPr>
      <w:bookmarkStart w:id="613" w:name="_Toc657185480"/>
      <w:bookmarkStart w:id="614" w:name="_Toc407135232"/>
      <w:bookmarkStart w:id="615" w:name="_Toc373227730"/>
      <w:bookmarkStart w:id="616" w:name="_Toc2087373611"/>
      <w:bookmarkStart w:id="617" w:name="_Toc389065296"/>
      <w:bookmarkStart w:id="618" w:name="_Toc373478377"/>
      <w:bookmarkStart w:id="619" w:name="_Toc78449818"/>
      <w:r>
        <w:rPr>
          <w:rFonts w:hint="default" w:ascii="宋体" w:hAnsi="宋体" w:eastAsia="宋体" w:cs="宋体"/>
          <w:color w:val="auto"/>
          <w:kern w:val="2"/>
          <w:sz w:val="21"/>
          <w:szCs w:val="21"/>
          <w:highlight w:val="none"/>
          <w:u w:val="single"/>
          <w:lang w:val="en-US" w:eastAsia="zh-CN" w:bidi="ar-SA"/>
        </w:rPr>
        <w:t>（1）台风橙色及以上预警信号生效期间，或虽然未发布该等级预警但施工现场实测瞬时风速达到8级及以上的大风天气；</w:t>
      </w:r>
    </w:p>
    <w:p w14:paraId="1BC786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（2）暴雨红色预警信号生效期间，或虽然未发布该等级预警但施工现场12小时连续降雨量达到50毫米及以上的降水天气；</w:t>
      </w:r>
    </w:p>
    <w:p w14:paraId="0881BC1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（3）高温红色预警信号生效期间（以当地气象部门发布的气象灾害预警信号为准），即24小时内最高气温将达到40℃以上的高温天气。</w:t>
      </w:r>
    </w:p>
    <w:p w14:paraId="223FBAA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上述异常恶劣气候条件以当地气象部门发布的预警信号或实测数据为准。因异常恶劣气候条件造成工程暂停施工及无法正常施工的，承包人应在该情形发生后3日内书面报告监理人，经监理人和发包人确认后，相应顺延工期。承包人未在前述期限内书面报告的，视为该情形未对工期造成影响。</w:t>
      </w:r>
    </w:p>
    <w:p w14:paraId="040A1E66">
      <w:pPr>
        <w:pStyle w:val="5"/>
        <w:rPr>
          <w:color w:val="auto"/>
          <w:highlight w:val="none"/>
          <w:lang w:val="en-US"/>
        </w:rPr>
      </w:pPr>
      <w:bookmarkStart w:id="620" w:name="_Toc15877"/>
      <w:r>
        <w:rPr>
          <w:color w:val="auto"/>
          <w:highlight w:val="none"/>
          <w:lang w:val="en-US"/>
        </w:rPr>
        <w:t>7.9</w:t>
      </w:r>
      <w:r>
        <w:rPr>
          <w:rFonts w:hint="eastAsia" w:hAnsi="宋体" w:cs="黑体"/>
          <w:color w:val="auto"/>
          <w:highlight w:val="none"/>
        </w:rPr>
        <w:t>提前竣工</w:t>
      </w:r>
      <w:bookmarkEnd w:id="613"/>
      <w:bookmarkEnd w:id="614"/>
      <w:bookmarkEnd w:id="615"/>
      <w:bookmarkEnd w:id="616"/>
      <w:bookmarkEnd w:id="617"/>
      <w:bookmarkEnd w:id="618"/>
      <w:bookmarkEnd w:id="619"/>
      <w:bookmarkEnd w:id="620"/>
    </w:p>
    <w:p w14:paraId="3CB3D79F">
      <w:pPr>
        <w:spacing w:line="360" w:lineRule="auto"/>
        <w:ind w:firstLine="420" w:firstLineChars="200"/>
        <w:jc w:val="left"/>
        <w:rPr>
          <w:rFonts w:hAnsi="宋体"/>
          <w:color w:val="auto"/>
          <w:sz w:val="21"/>
          <w:szCs w:val="21"/>
          <w:highlight w:val="none"/>
        </w:rPr>
      </w:pPr>
      <w:r>
        <w:rPr>
          <w:color w:val="auto"/>
          <w:sz w:val="21"/>
          <w:szCs w:val="21"/>
          <w:highlight w:val="none"/>
        </w:rPr>
        <w:t>7.9.2</w:t>
      </w:r>
      <w:r>
        <w:rPr>
          <w:rFonts w:hint="eastAsia" w:hAnsi="宋体" w:cs="宋体"/>
          <w:color w:val="auto"/>
          <w:sz w:val="21"/>
          <w:szCs w:val="21"/>
          <w:highlight w:val="none"/>
        </w:rPr>
        <w:t>提前竣工（赶工）增加费的计算方法：</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622ADCA4">
      <w:pPr>
        <w:pStyle w:val="4"/>
        <w:rPr>
          <w:color w:val="auto"/>
          <w:highlight w:val="none"/>
        </w:rPr>
      </w:pPr>
      <w:bookmarkStart w:id="621" w:name="_Toc389065297"/>
      <w:bookmarkStart w:id="622" w:name="_Toc1400878670"/>
      <w:bookmarkStart w:id="623" w:name="_Toc78449819"/>
      <w:bookmarkStart w:id="624" w:name="_Toc1302158431"/>
      <w:bookmarkStart w:id="625" w:name="_Toc373227731"/>
      <w:bookmarkStart w:id="626" w:name="_Toc373478378"/>
      <w:bookmarkStart w:id="627" w:name="_Toc27381"/>
      <w:bookmarkStart w:id="628" w:name="_Toc351203640"/>
      <w:bookmarkStart w:id="629" w:name="_Toc407135233"/>
      <w:r>
        <w:rPr>
          <w:color w:val="auto"/>
          <w:highlight w:val="none"/>
        </w:rPr>
        <w:t>8.</w:t>
      </w:r>
      <w:r>
        <w:rPr>
          <w:rFonts w:hint="eastAsia" w:cs="黑体"/>
          <w:color w:val="auto"/>
          <w:highlight w:val="none"/>
        </w:rPr>
        <w:t>材料与设备</w:t>
      </w:r>
      <w:bookmarkEnd w:id="621"/>
      <w:bookmarkEnd w:id="622"/>
      <w:bookmarkEnd w:id="623"/>
      <w:bookmarkEnd w:id="624"/>
      <w:bookmarkEnd w:id="625"/>
      <w:bookmarkEnd w:id="626"/>
      <w:bookmarkEnd w:id="627"/>
      <w:bookmarkEnd w:id="628"/>
      <w:bookmarkEnd w:id="629"/>
    </w:p>
    <w:bookmarkEnd w:id="462"/>
    <w:bookmarkEnd w:id="463"/>
    <w:bookmarkEnd w:id="464"/>
    <w:bookmarkEnd w:id="465"/>
    <w:bookmarkEnd w:id="466"/>
    <w:bookmarkEnd w:id="467"/>
    <w:bookmarkEnd w:id="468"/>
    <w:bookmarkEnd w:id="469"/>
    <w:bookmarkEnd w:id="470"/>
    <w:bookmarkEnd w:id="471"/>
    <w:p w14:paraId="7792C3F1">
      <w:pPr>
        <w:pStyle w:val="5"/>
        <w:rPr>
          <w:color w:val="auto"/>
          <w:highlight w:val="none"/>
        </w:rPr>
      </w:pPr>
      <w:bookmarkStart w:id="630" w:name="_Toc78449820"/>
      <w:bookmarkStart w:id="631" w:name="_Toc407135234"/>
      <w:bookmarkStart w:id="632" w:name="_Toc29088"/>
      <w:bookmarkStart w:id="633" w:name="_Toc1119561048"/>
      <w:bookmarkStart w:id="634" w:name="_Toc1078610395"/>
      <w:bookmarkStart w:id="635" w:name="_Toc373227732"/>
      <w:bookmarkStart w:id="636" w:name="_Toc389065298"/>
      <w:bookmarkStart w:id="637" w:name="_Toc373478379"/>
      <w:r>
        <w:rPr>
          <w:color w:val="auto"/>
          <w:highlight w:val="none"/>
        </w:rPr>
        <w:t>8.2</w:t>
      </w:r>
      <w:r>
        <w:rPr>
          <w:rFonts w:hint="eastAsia" w:cs="黑体"/>
          <w:color w:val="auto"/>
          <w:highlight w:val="none"/>
        </w:rPr>
        <w:t>承包人采购材料与工程设备</w:t>
      </w:r>
      <w:bookmarkEnd w:id="630"/>
      <w:bookmarkEnd w:id="631"/>
      <w:bookmarkEnd w:id="632"/>
      <w:bookmarkEnd w:id="633"/>
      <w:bookmarkEnd w:id="634"/>
      <w:bookmarkEnd w:id="635"/>
      <w:bookmarkEnd w:id="636"/>
      <w:bookmarkEnd w:id="637"/>
    </w:p>
    <w:p w14:paraId="1FB589F5">
      <w:pPr>
        <w:autoSpaceDE w:val="0"/>
        <w:autoSpaceDN w:val="0"/>
        <w:adjustRightInd w:val="0"/>
        <w:spacing w:line="360" w:lineRule="auto"/>
        <w:ind w:firstLine="420" w:firstLineChars="200"/>
        <w:jc w:val="left"/>
        <w:rPr>
          <w:rFonts w:hint="eastAsia" w:cs="宋体"/>
          <w:color w:val="auto"/>
          <w:sz w:val="21"/>
          <w:szCs w:val="21"/>
          <w:highlight w:val="none"/>
        </w:rPr>
      </w:pPr>
      <w:r>
        <w:rPr>
          <w:rFonts w:hint="eastAsia" w:cs="宋体"/>
          <w:color w:val="auto"/>
          <w:kern w:val="0"/>
          <w:sz w:val="21"/>
          <w:szCs w:val="21"/>
          <w:highlight w:val="none"/>
        </w:rPr>
        <w:t>除已标价工程量清单《发包人提供主要材料和工程设备一览表》（表</w:t>
      </w:r>
      <w:r>
        <w:rPr>
          <w:color w:val="auto"/>
          <w:kern w:val="0"/>
          <w:sz w:val="21"/>
          <w:szCs w:val="21"/>
          <w:highlight w:val="none"/>
        </w:rPr>
        <w:t>-21</w:t>
      </w:r>
      <w:r>
        <w:rPr>
          <w:rFonts w:hint="eastAsia" w:cs="宋体"/>
          <w:color w:val="auto"/>
          <w:kern w:val="0"/>
          <w:sz w:val="21"/>
          <w:szCs w:val="21"/>
          <w:highlight w:val="none"/>
        </w:rPr>
        <w:t>）中明确的材料、工程设备外，由承包人负责材料和工程设备的采购、运输和保管。</w:t>
      </w:r>
      <w:bookmarkStart w:id="638" w:name="_Toc373478380"/>
      <w:bookmarkStart w:id="639" w:name="_Toc373227733"/>
      <w:bookmarkStart w:id="640" w:name="_Toc389065299"/>
    </w:p>
    <w:p w14:paraId="5CDB5B85">
      <w:pPr>
        <w:autoSpaceDE w:val="0"/>
        <w:autoSpaceDN w:val="0"/>
        <w:adjustRightIn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对发包人在招标时有“参照或相当于</w:t>
      </w:r>
      <w:r>
        <w:rPr>
          <w:color w:val="auto"/>
          <w:sz w:val="21"/>
          <w:szCs w:val="21"/>
          <w:highlight w:val="none"/>
        </w:rPr>
        <w:t>**</w:t>
      </w:r>
      <w:r>
        <w:rPr>
          <w:rFonts w:hint="eastAsia" w:cs="宋体"/>
          <w:color w:val="auto"/>
          <w:sz w:val="21"/>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4C11A2B8">
      <w:pPr>
        <w:autoSpaceDE w:val="0"/>
        <w:autoSpaceDN w:val="0"/>
        <w:adjustRightInd w:val="0"/>
        <w:spacing w:line="360" w:lineRule="auto"/>
        <w:ind w:firstLine="420" w:firstLineChars="200"/>
        <w:jc w:val="left"/>
        <w:rPr>
          <w:rFonts w:hint="eastAsia"/>
          <w:color w:val="auto"/>
          <w:sz w:val="21"/>
          <w:szCs w:val="21"/>
          <w:highlight w:val="none"/>
        </w:rPr>
      </w:pPr>
      <w:r>
        <w:rPr>
          <w:rFonts w:hint="eastAsia"/>
          <w:color w:val="auto"/>
          <w:sz w:val="21"/>
          <w:szCs w:val="21"/>
          <w:highlight w:val="none"/>
        </w:rPr>
        <w:t>禁止使用松木、松木包装材料设备、种子、苗木、花卉及繁殖材料。</w:t>
      </w:r>
    </w:p>
    <w:p w14:paraId="29548986">
      <w:pPr>
        <w:pStyle w:val="5"/>
        <w:rPr>
          <w:color w:val="auto"/>
          <w:highlight w:val="none"/>
        </w:rPr>
      </w:pPr>
      <w:bookmarkStart w:id="641" w:name="_Toc78449821"/>
      <w:bookmarkStart w:id="642" w:name="_Toc407135235"/>
      <w:bookmarkStart w:id="643" w:name="_Toc800965933"/>
      <w:bookmarkStart w:id="644" w:name="_Toc5471"/>
      <w:bookmarkStart w:id="645" w:name="_Toc1355357553"/>
      <w:r>
        <w:rPr>
          <w:color w:val="auto"/>
          <w:highlight w:val="none"/>
        </w:rPr>
        <w:t>8</w:t>
      </w:r>
      <w:bookmarkStart w:id="646" w:name="_Toc297048353"/>
      <w:bookmarkStart w:id="647" w:name="_Toc296890995"/>
      <w:bookmarkStart w:id="648" w:name="_Toc312678019"/>
      <w:bookmarkStart w:id="649" w:name="_Toc297123527"/>
      <w:bookmarkStart w:id="650" w:name="_Toc312677493"/>
      <w:bookmarkStart w:id="651" w:name="_Toc296891207"/>
      <w:bookmarkStart w:id="652" w:name="_Toc296346668"/>
      <w:bookmarkStart w:id="653" w:name="_Toc296347166"/>
      <w:bookmarkStart w:id="654" w:name="_Toc297120467"/>
      <w:bookmarkStart w:id="655" w:name="_Toc300934979"/>
      <w:bookmarkStart w:id="656" w:name="_Toc303539136"/>
      <w:bookmarkStart w:id="657" w:name="_Toc292559372"/>
      <w:bookmarkStart w:id="658" w:name="_Toc280868654"/>
      <w:bookmarkStart w:id="659" w:name="_Toc304295556"/>
      <w:bookmarkStart w:id="660" w:name="_Toc297216186"/>
      <w:bookmarkStart w:id="661" w:name="_Toc292559877"/>
      <w:bookmarkStart w:id="662" w:name="_Toc296503167"/>
      <w:bookmarkStart w:id="663" w:name="_Toc296944506"/>
      <w:bookmarkStart w:id="664" w:name="_Toc280868656"/>
      <w:bookmarkStart w:id="665" w:name="_Toc267251424"/>
      <w:bookmarkStart w:id="666" w:name="_Toc280868655"/>
      <w:r>
        <w:rPr>
          <w:color w:val="auto"/>
          <w:highlight w:val="none"/>
        </w:rPr>
        <w:t>.4</w:t>
      </w:r>
      <w:r>
        <w:rPr>
          <w:rFonts w:hint="eastAsia" w:cs="黑体"/>
          <w:color w:val="auto"/>
          <w:highlight w:val="none"/>
        </w:rPr>
        <w:t>材料与工程设备的保管与使用</w:t>
      </w:r>
      <w:bookmarkEnd w:id="638"/>
      <w:bookmarkEnd w:id="639"/>
      <w:bookmarkEnd w:id="640"/>
      <w:bookmarkEnd w:id="641"/>
      <w:bookmarkEnd w:id="642"/>
      <w:bookmarkEnd w:id="643"/>
      <w:bookmarkEnd w:id="644"/>
      <w:bookmarkEnd w:id="645"/>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14:paraId="1FF8A3BC">
      <w:pPr>
        <w:spacing w:line="360" w:lineRule="auto"/>
        <w:ind w:firstLine="420" w:firstLineChars="200"/>
        <w:jc w:val="left"/>
        <w:rPr>
          <w:color w:val="auto"/>
          <w:sz w:val="21"/>
          <w:szCs w:val="21"/>
          <w:highlight w:val="none"/>
          <w:u w:val="single"/>
        </w:rPr>
      </w:pPr>
      <w:r>
        <w:rPr>
          <w:color w:val="auto"/>
          <w:sz w:val="21"/>
          <w:szCs w:val="21"/>
          <w:highlight w:val="none"/>
        </w:rPr>
        <w:t>8</w:t>
      </w:r>
      <w:bookmarkStart w:id="667" w:name="_Toc292559373"/>
      <w:bookmarkStart w:id="668" w:name="_Toc292559878"/>
      <w:bookmarkStart w:id="669" w:name="_Toc297123528"/>
      <w:bookmarkStart w:id="670" w:name="_Toc304295557"/>
      <w:bookmarkStart w:id="671" w:name="_Toc297048354"/>
      <w:bookmarkStart w:id="672" w:name="_Toc297120468"/>
      <w:bookmarkStart w:id="673" w:name="_Toc296503168"/>
      <w:bookmarkStart w:id="674" w:name="_Toc300934980"/>
      <w:bookmarkStart w:id="675" w:name="_Toc296890996"/>
      <w:bookmarkStart w:id="676" w:name="_Toc296347167"/>
      <w:bookmarkStart w:id="677" w:name="_Toc303539137"/>
      <w:bookmarkStart w:id="678" w:name="_Toc318581173"/>
      <w:bookmarkStart w:id="679" w:name="_Toc312678020"/>
      <w:bookmarkStart w:id="680" w:name="_Toc296346669"/>
      <w:bookmarkStart w:id="681" w:name="_Toc296944507"/>
      <w:bookmarkStart w:id="682" w:name="_Toc312677494"/>
      <w:bookmarkStart w:id="683" w:name="_Toc296891208"/>
      <w:bookmarkStart w:id="684" w:name="_Toc297216187"/>
      <w:r>
        <w:rPr>
          <w:color w:val="auto"/>
          <w:sz w:val="21"/>
          <w:szCs w:val="21"/>
          <w:highlight w:val="none"/>
        </w:rPr>
        <w:t>.4.1</w:t>
      </w:r>
      <w:r>
        <w:rPr>
          <w:rFonts w:hint="eastAsia" w:hAnsi="宋体" w:cs="宋体"/>
          <w:color w:val="auto"/>
          <w:sz w:val="21"/>
          <w:szCs w:val="21"/>
          <w:highlight w:val="none"/>
        </w:rPr>
        <w:t>发包人供应的材料设备的保管费用的承担：</w:t>
      </w:r>
      <w:r>
        <w:rPr>
          <w:rFonts w:hint="eastAsia"/>
          <w:color w:val="auto"/>
          <w:sz w:val="21"/>
          <w:szCs w:val="21"/>
          <w:highlight w:val="none"/>
          <w:u w:val="single"/>
          <w:lang w:val="en-US" w:eastAsia="zh-CN"/>
        </w:rPr>
        <w:t>发包人</w:t>
      </w:r>
      <w:r>
        <w:rPr>
          <w:rFonts w:hint="eastAsia" w:hAnsi="宋体" w:cs="宋体"/>
          <w:color w:val="auto"/>
          <w:sz w:val="21"/>
          <w:szCs w:val="21"/>
          <w:highlight w:val="none"/>
        </w:rPr>
        <w:t>。</w:t>
      </w:r>
    </w:p>
    <w:bookmarkEnd w:id="667"/>
    <w:bookmarkEnd w:id="668"/>
    <w:p w14:paraId="2C4C8C1E">
      <w:pPr>
        <w:pStyle w:val="5"/>
        <w:rPr>
          <w:color w:val="auto"/>
          <w:highlight w:val="none"/>
        </w:rPr>
      </w:pPr>
      <w:bookmarkStart w:id="685" w:name="_Toc8783"/>
      <w:bookmarkStart w:id="686" w:name="_Toc389065300"/>
      <w:bookmarkStart w:id="687" w:name="_Toc373478381"/>
      <w:bookmarkStart w:id="688" w:name="_Toc78449822"/>
      <w:bookmarkStart w:id="689" w:name="_Toc373227734"/>
      <w:bookmarkStart w:id="690" w:name="_Toc1948522881"/>
      <w:bookmarkStart w:id="691" w:name="_Toc407135236"/>
      <w:bookmarkStart w:id="692" w:name="_Toc125914831"/>
      <w:r>
        <w:rPr>
          <w:color w:val="auto"/>
          <w:highlight w:val="none"/>
        </w:rPr>
        <w:t>8.6</w:t>
      </w:r>
      <w:r>
        <w:rPr>
          <w:rFonts w:hint="eastAsia" w:hAnsi="宋体" w:cs="黑体"/>
          <w:color w:val="auto"/>
          <w:highlight w:val="none"/>
        </w:rPr>
        <w:t>样品</w:t>
      </w:r>
      <w:bookmarkEnd w:id="685"/>
      <w:bookmarkEnd w:id="686"/>
      <w:bookmarkEnd w:id="687"/>
      <w:bookmarkEnd w:id="688"/>
      <w:bookmarkEnd w:id="689"/>
      <w:bookmarkEnd w:id="690"/>
      <w:bookmarkEnd w:id="691"/>
      <w:bookmarkEnd w:id="692"/>
    </w:p>
    <w:p w14:paraId="24D61EEC">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rFonts w:hint="eastAsia" w:hAnsi="宋体" w:cs="宋体"/>
          <w:color w:val="auto"/>
          <w:kern w:val="0"/>
          <w:sz w:val="21"/>
          <w:szCs w:val="21"/>
          <w:highlight w:val="none"/>
        </w:rPr>
        <w:t>样品的报送与封存</w:t>
      </w:r>
    </w:p>
    <w:p w14:paraId="645B2762">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需要承包人报送样品的材料或工程设备，样品的种类、名称、规格、数量要求：</w:t>
      </w:r>
      <w:r>
        <w:rPr>
          <w:rFonts w:hint="eastAsia" w:hAnsi="宋体" w:cs="宋体"/>
          <w:color w:val="auto"/>
          <w:sz w:val="21"/>
          <w:szCs w:val="21"/>
          <w:highlight w:val="none"/>
          <w:u w:val="single"/>
        </w:rPr>
        <w:t>主要材料涉及品种、款式、颜色等方面内容的，承包人应提交准备合格的材料样品送发包人选定。</w:t>
      </w:r>
    </w:p>
    <w:p w14:paraId="7BF2FC11">
      <w:pPr>
        <w:pStyle w:val="5"/>
        <w:rPr>
          <w:color w:val="auto"/>
          <w:highlight w:val="none"/>
        </w:rPr>
      </w:pPr>
      <w:bookmarkStart w:id="693" w:name="_Toc373478382"/>
      <w:bookmarkStart w:id="694" w:name="_Toc407135237"/>
      <w:bookmarkStart w:id="695" w:name="_Toc389065301"/>
      <w:bookmarkStart w:id="696" w:name="_Toc997640704"/>
      <w:bookmarkStart w:id="697" w:name="_Toc29865"/>
      <w:bookmarkStart w:id="698" w:name="_Toc78449823"/>
      <w:bookmarkStart w:id="699" w:name="_Toc1049576644"/>
      <w:bookmarkStart w:id="700" w:name="_Toc373227735"/>
      <w:r>
        <w:rPr>
          <w:color w:val="auto"/>
          <w:highlight w:val="none"/>
        </w:rPr>
        <w:t>8.8</w:t>
      </w:r>
      <w:r>
        <w:rPr>
          <w:rFonts w:hint="eastAsia" w:cs="黑体"/>
          <w:color w:val="auto"/>
          <w:highlight w:val="none"/>
        </w:rPr>
        <w:t>施工设备和临时设施</w:t>
      </w:r>
      <w:bookmarkEnd w:id="693"/>
      <w:bookmarkEnd w:id="694"/>
      <w:bookmarkEnd w:id="695"/>
      <w:bookmarkEnd w:id="696"/>
      <w:bookmarkEnd w:id="697"/>
      <w:bookmarkEnd w:id="698"/>
      <w:bookmarkEnd w:id="699"/>
      <w:bookmarkEnd w:id="700"/>
    </w:p>
    <w:p w14:paraId="66B4DC17">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8.8.1</w:t>
      </w:r>
      <w:r>
        <w:rPr>
          <w:rFonts w:hint="eastAsia" w:hAnsi="宋体" w:cs="宋体"/>
          <w:color w:val="auto"/>
          <w:sz w:val="21"/>
          <w:szCs w:val="21"/>
          <w:highlight w:val="none"/>
        </w:rPr>
        <w:t>承包人提供的施工设备和临时设施</w:t>
      </w:r>
    </w:p>
    <w:p w14:paraId="4F52F2D4">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1"/>
          <w:szCs w:val="21"/>
          <w:highlight w:val="none"/>
        </w:rPr>
        <w:t>承包人用于本工程的主要机械设备清单见合同附件4。</w:t>
      </w:r>
    </w:p>
    <w:p w14:paraId="0DC055CA">
      <w:pPr>
        <w:pStyle w:val="20"/>
        <w:keepNext w:val="0"/>
        <w:keepLines w:val="0"/>
        <w:widowControl/>
        <w:suppressLineNumbers w:val="0"/>
        <w:shd w:val="clear" w:fill="FFFFFF"/>
        <w:spacing w:before="240" w:beforeAutospacing="0" w:after="240" w:afterAutospacing="0"/>
        <w:ind w:left="0" w:right="0" w:firstLine="420" w:firstLineChars="200"/>
        <w:rPr>
          <w:rFonts w:hint="eastAsia" w:hAnsi="宋体" w:cs="宋体"/>
          <w:color w:val="auto"/>
          <w:sz w:val="21"/>
          <w:szCs w:val="21"/>
          <w:highlight w:val="none"/>
        </w:rPr>
      </w:pPr>
      <w:r>
        <w:rPr>
          <w:rFonts w:hint="eastAsia" w:hAnsi="宋体" w:cs="宋体"/>
          <w:color w:val="auto"/>
          <w:sz w:val="21"/>
          <w:szCs w:val="21"/>
          <w:highlight w:val="none"/>
        </w:rPr>
        <w:t>关于修建临时设施费用承担的约定：</w:t>
      </w:r>
    </w:p>
    <w:p w14:paraId="0E5D966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（1）承包人自行修建的临时设施费用已在投标报价中综合考虑，除专用合同条款另有约定外，由承包人自行承担。</w:t>
      </w:r>
    </w:p>
    <w:p w14:paraId="34CEAD7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承包人的临时设施用地（含项目部驻地、材料加工场、材料堆场等）的租用费用由承包人承担。承包人在规划红线范围外搭设临时设施需要临时占地的，应由承包人按照相关要求办理申请手续并承担相应费用，并应获得发包人的事先书面批准。</w:t>
      </w:r>
    </w:p>
    <w:p w14:paraId="709793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（3）承包人负责合同实施期间其施工区域内临时交通道路（含场内外连接公共交通道路）和交通设施的修建、维修、养护和交通管理工作，费用由承包人承担。</w:t>
      </w:r>
    </w:p>
    <w:p w14:paraId="4970E34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（4）承包人修建的临时道路和交通设施，应免费提供给发包人、监理人使用。</w:t>
      </w:r>
    </w:p>
    <w:p w14:paraId="7F0850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（5）施工用水用电从发包人提供的接口点至各施工用水用电点的管线敷设及计量表具安装，费用由承包人承担。</w:t>
      </w:r>
    </w:p>
    <w:p w14:paraId="27CB196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u w:val="single"/>
          <w:lang w:val="en-US" w:eastAsia="zh-CN" w:bidi="ar-SA"/>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w:t>
      </w:r>
      <w:r>
        <w:rPr>
          <w:rFonts w:hint="eastAsia" w:ascii="Times New Roman" w:cs="宋体"/>
          <w:color w:val="auto"/>
          <w:kern w:val="2"/>
          <w:sz w:val="21"/>
          <w:szCs w:val="21"/>
          <w:highlight w:val="none"/>
          <w:u w:val="single"/>
          <w:lang w:val="en-US" w:eastAsia="zh-CN" w:bidi="ar-SA"/>
        </w:rPr>
        <w:t>3</w:t>
      </w:r>
      <w:r>
        <w:rPr>
          <w:rFonts w:hint="eastAsia" w:ascii="Times New Roman" w:hAnsi="宋体" w:eastAsia="宋体" w:cs="宋体"/>
          <w:color w:val="auto"/>
          <w:kern w:val="2"/>
          <w:sz w:val="21"/>
          <w:szCs w:val="21"/>
          <w:highlight w:val="none"/>
          <w:u w:val="single"/>
          <w:lang w:val="en-US" w:eastAsia="zh-CN" w:bidi="ar-SA"/>
        </w:rPr>
        <w:t>）承包人的临时设施布置须经发包人代表及总监理工程师审批同意后方可实施。承包人的临时办公和生活设施应避开村民饮用水源、农田灌溉渠道等区域，不得影响村民正常生产生活。</w:t>
      </w:r>
    </w:p>
    <w:p w14:paraId="7BA33B16">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8.8.2</w:t>
      </w:r>
      <w:r>
        <w:rPr>
          <w:rFonts w:hint="eastAsia" w:hAnsi="宋体" w:cs="宋体"/>
          <w:color w:val="auto"/>
          <w:sz w:val="21"/>
          <w:szCs w:val="21"/>
          <w:highlight w:val="none"/>
        </w:rPr>
        <w:t>发包人提供的施工设备和临时设施</w:t>
      </w:r>
    </w:p>
    <w:p w14:paraId="5CFEF27A">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w:t>
      </w:r>
      <w:r>
        <w:rPr>
          <w:rFonts w:hint="eastAsia"/>
          <w:color w:val="auto"/>
          <w:sz w:val="21"/>
          <w:szCs w:val="21"/>
          <w:highlight w:val="none"/>
          <w:u w:val="single"/>
          <w:lang w:eastAsia="zh-CN"/>
        </w:rPr>
        <w:t>本项目发包人不提供施工设备和临时设施，所有施工设备及临时设施均由承包人自行配备和修建。发包人在施工现场为承包人及监理人各预留一处临时办公用房搭建场地，具体位置由发包人指定。发包人将施工用水接口接至施工现场边缘，将临时用电接口接至施工现场边缘指定配电点。承包人负责接口后的水电线路敷设计量表具安装。</w:t>
      </w:r>
      <w:r>
        <w:rPr>
          <w:rFonts w:hint="eastAsia" w:hAnsi="宋体" w:cs="宋体"/>
          <w:color w:val="auto"/>
          <w:sz w:val="21"/>
          <w:szCs w:val="21"/>
          <w:highlight w:val="none"/>
        </w:rPr>
        <w:t>。</w:t>
      </w:r>
    </w:p>
    <w:p w14:paraId="7C591199">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发包人提供的施工设备和临时设施的运行、维护、拆除、清运费用的承担人：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14:paraId="3EDD3F93">
      <w:pPr>
        <w:pStyle w:val="4"/>
        <w:rPr>
          <w:color w:val="auto"/>
          <w:highlight w:val="none"/>
        </w:rPr>
      </w:pPr>
      <w:bookmarkStart w:id="701" w:name="_Toc373227736"/>
      <w:bookmarkStart w:id="702" w:name="_Toc2039161841"/>
      <w:bookmarkStart w:id="703" w:name="_Toc389065302"/>
      <w:bookmarkStart w:id="704" w:name="_Toc78449824"/>
      <w:bookmarkStart w:id="705" w:name="_Toc373478383"/>
      <w:bookmarkStart w:id="706" w:name="_Toc2027787496"/>
      <w:bookmarkStart w:id="707" w:name="_Toc351203641"/>
      <w:bookmarkStart w:id="708" w:name="_Toc11532"/>
      <w:bookmarkStart w:id="709" w:name="_Toc407135238"/>
      <w:r>
        <w:rPr>
          <w:color w:val="auto"/>
          <w:highlight w:val="none"/>
        </w:rPr>
        <w:t>9</w:t>
      </w:r>
      <w:bookmarkEnd w:id="664"/>
      <w:bookmarkEnd w:id="665"/>
      <w:bookmarkEnd w:id="666"/>
      <w:bookmarkStart w:id="710" w:name="_Toc312677495"/>
      <w:bookmarkStart w:id="711" w:name="_Toc300934982"/>
      <w:bookmarkStart w:id="712" w:name="_Toc297216192"/>
      <w:bookmarkStart w:id="713" w:name="_Toc312678021"/>
      <w:bookmarkStart w:id="714" w:name="_Toc297123533"/>
      <w:bookmarkStart w:id="715" w:name="_Toc304295559"/>
      <w:bookmarkStart w:id="716" w:name="_Toc303539139"/>
      <w:bookmarkStart w:id="717" w:name="_Toc267251428"/>
      <w:bookmarkStart w:id="718" w:name="_Toc296503173"/>
      <w:bookmarkStart w:id="719" w:name="_Toc267251427"/>
      <w:bookmarkStart w:id="720" w:name="_Toc297120473"/>
      <w:bookmarkStart w:id="721" w:name="_Toc296944512"/>
      <w:bookmarkStart w:id="722" w:name="_Toc296347172"/>
      <w:bookmarkStart w:id="723" w:name="_Toc296891213"/>
      <w:bookmarkStart w:id="724" w:name="_Toc292559378"/>
      <w:bookmarkStart w:id="725" w:name="_Toc297048359"/>
      <w:bookmarkStart w:id="726" w:name="_Toc292559883"/>
      <w:bookmarkStart w:id="727" w:name="_Toc296346674"/>
      <w:bookmarkStart w:id="728" w:name="_Toc296891001"/>
      <w:r>
        <w:rPr>
          <w:color w:val="auto"/>
          <w:highlight w:val="none"/>
        </w:rPr>
        <w:t>.</w:t>
      </w:r>
      <w:r>
        <w:rPr>
          <w:rFonts w:hint="eastAsia" w:cs="黑体"/>
          <w:color w:val="auto"/>
          <w:highlight w:val="none"/>
        </w:rPr>
        <w:t>试验与检验</w:t>
      </w:r>
      <w:bookmarkEnd w:id="701"/>
      <w:bookmarkEnd w:id="702"/>
      <w:bookmarkEnd w:id="703"/>
      <w:bookmarkEnd w:id="704"/>
      <w:bookmarkEnd w:id="705"/>
      <w:bookmarkEnd w:id="706"/>
      <w:bookmarkEnd w:id="707"/>
      <w:bookmarkEnd w:id="708"/>
      <w:bookmarkEnd w:id="709"/>
    </w:p>
    <w:bookmarkEnd w:id="710"/>
    <w:bookmarkEnd w:id="711"/>
    <w:bookmarkEnd w:id="712"/>
    <w:bookmarkEnd w:id="713"/>
    <w:bookmarkEnd w:id="714"/>
    <w:bookmarkEnd w:id="715"/>
    <w:bookmarkEnd w:id="716"/>
    <w:p w14:paraId="33EF8DC6">
      <w:pPr>
        <w:pStyle w:val="5"/>
        <w:rPr>
          <w:color w:val="auto"/>
          <w:highlight w:val="none"/>
        </w:rPr>
      </w:pPr>
      <w:bookmarkStart w:id="729" w:name="_Toc530697003"/>
      <w:bookmarkStart w:id="730" w:name="_Toc1307315193"/>
      <w:bookmarkStart w:id="731" w:name="_Toc407135239"/>
      <w:bookmarkStart w:id="732" w:name="_Toc78449825"/>
      <w:bookmarkStart w:id="733" w:name="_Toc389065303"/>
      <w:bookmarkStart w:id="734" w:name="_Toc373227737"/>
      <w:bookmarkStart w:id="735" w:name="_Toc373478384"/>
      <w:bookmarkStart w:id="736" w:name="_Toc25788"/>
      <w:r>
        <w:rPr>
          <w:color w:val="auto"/>
          <w:highlight w:val="none"/>
        </w:rPr>
        <w:t>9</w:t>
      </w:r>
      <w:bookmarkStart w:id="737" w:name="_Toc312677496"/>
      <w:bookmarkStart w:id="738" w:name="_Toc297216193"/>
      <w:bookmarkStart w:id="739" w:name="_Toc304295560"/>
      <w:bookmarkStart w:id="740" w:name="_Toc312678022"/>
      <w:bookmarkStart w:id="741" w:name="_Toc300934983"/>
      <w:bookmarkStart w:id="742" w:name="_Toc303539140"/>
      <w:bookmarkStart w:id="743" w:name="_Toc297123534"/>
      <w:r>
        <w:rPr>
          <w:color w:val="auto"/>
          <w:highlight w:val="none"/>
        </w:rPr>
        <w:t>.1</w:t>
      </w:r>
      <w:r>
        <w:rPr>
          <w:rFonts w:hint="eastAsia" w:cs="黑体"/>
          <w:color w:val="auto"/>
          <w:highlight w:val="none"/>
        </w:rPr>
        <w:t>试验设备与试验人员</w:t>
      </w:r>
      <w:bookmarkEnd w:id="729"/>
      <w:bookmarkEnd w:id="730"/>
      <w:bookmarkEnd w:id="731"/>
      <w:bookmarkEnd w:id="732"/>
      <w:bookmarkEnd w:id="733"/>
      <w:bookmarkEnd w:id="734"/>
      <w:bookmarkEnd w:id="735"/>
      <w:bookmarkEnd w:id="736"/>
    </w:p>
    <w:bookmarkEnd w:id="737"/>
    <w:bookmarkEnd w:id="738"/>
    <w:bookmarkEnd w:id="739"/>
    <w:bookmarkEnd w:id="740"/>
    <w:bookmarkEnd w:id="741"/>
    <w:bookmarkEnd w:id="742"/>
    <w:bookmarkEnd w:id="743"/>
    <w:p w14:paraId="471EEEC2">
      <w:pPr>
        <w:spacing w:line="360" w:lineRule="auto"/>
        <w:ind w:firstLine="420" w:firstLineChars="200"/>
        <w:jc w:val="left"/>
        <w:rPr>
          <w:color w:val="auto"/>
          <w:sz w:val="21"/>
          <w:szCs w:val="21"/>
          <w:highlight w:val="none"/>
        </w:rPr>
      </w:pPr>
      <w:r>
        <w:rPr>
          <w:color w:val="auto"/>
          <w:sz w:val="21"/>
          <w:szCs w:val="21"/>
          <w:highlight w:val="none"/>
        </w:rPr>
        <w:t>9</w:t>
      </w:r>
      <w:bookmarkStart w:id="744" w:name="_Toc312678023"/>
      <w:bookmarkStart w:id="745" w:name="_Toc300934984"/>
      <w:bookmarkStart w:id="746" w:name="_Toc304295561"/>
      <w:bookmarkStart w:id="747" w:name="_Toc303539141"/>
      <w:bookmarkStart w:id="748" w:name="_Toc297123535"/>
      <w:bookmarkStart w:id="749" w:name="_Toc297216194"/>
      <w:bookmarkStart w:id="750" w:name="_Toc312677497"/>
      <w:bookmarkStart w:id="751" w:name="_Toc318581174"/>
      <w:r>
        <w:rPr>
          <w:color w:val="auto"/>
          <w:sz w:val="21"/>
          <w:szCs w:val="21"/>
          <w:highlight w:val="none"/>
        </w:rPr>
        <w:t>.1.2</w:t>
      </w:r>
      <w:r>
        <w:rPr>
          <w:rFonts w:hint="eastAsia" w:hAnsi="宋体" w:cs="宋体"/>
          <w:color w:val="auto"/>
          <w:sz w:val="21"/>
          <w:szCs w:val="21"/>
          <w:highlight w:val="none"/>
        </w:rPr>
        <w:t>试验设备</w:t>
      </w:r>
    </w:p>
    <w:bookmarkEnd w:id="744"/>
    <w:bookmarkEnd w:id="745"/>
    <w:bookmarkEnd w:id="746"/>
    <w:bookmarkEnd w:id="747"/>
    <w:bookmarkEnd w:id="748"/>
    <w:bookmarkEnd w:id="749"/>
    <w:bookmarkEnd w:id="750"/>
    <w:p w14:paraId="6C54D05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pPr>
      <w:bookmarkStart w:id="752" w:name="_Toc78449826"/>
      <w:bookmarkStart w:id="753" w:name="_Toc2012255079"/>
      <w:bookmarkStart w:id="754" w:name="_Toc407135240"/>
      <w:bookmarkStart w:id="755" w:name="_Toc492347879"/>
      <w:bookmarkStart w:id="756" w:name="_Toc373478385"/>
      <w:bookmarkStart w:id="757" w:name="_Toc389065304"/>
      <w:bookmarkStart w:id="758" w:name="_Toc373227738"/>
      <w:bookmarkStart w:id="759" w:name="_Toc312677498"/>
      <w:bookmarkStart w:id="760" w:name="_Toc304295562"/>
      <w:bookmarkStart w:id="761" w:name="_Toc297216195"/>
      <w:bookmarkStart w:id="762" w:name="_Toc312678024"/>
      <w:bookmarkStart w:id="763" w:name="_Toc300934985"/>
      <w:bookmarkStart w:id="764" w:name="_Toc297123536"/>
      <w:bookmarkStart w:id="765" w:name="_Toc303539142"/>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施工现场需要配置的试验场所：</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设置恒温恒湿标准养护设施（标准养护室或恒温恒湿养护箱），养护条件须符合《混凝土物理力学性能试验方法标准》（GB/T50081-2019）第4.4.1条的规定（温度20±2℃，相对湿度≥95%）。工程质量检测业务由发包人依据专用合同条款第9.5条委托有相应资质的检测机构实施，检测机构所需试验仪器设备不在本条约定的配置范围内</w:t>
      </w:r>
    </w:p>
    <w:p w14:paraId="475309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施工现场需要配备的试验设备：</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配备混凝土试模、砂浆试模、混凝土坍落度测定仪、回弹仪等常用质量控制设备。工程质量检测业务由发包人依据专用合同条款第9.5条委托有相应资质的检测机构实施，检测机构所需试验仪器设备不在本条约定的配置范围内</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61FC625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施工现场需要具备的其他试验条件：</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现场应满足试验设备正常运行的供电条件。涉及见证取样的，应按照《广西壮族自治区建设工程质量检测管理实施细则》（桂建发〔2025〕5号）的要求，由建设单位或监理单位的见证人员监督下现场取样，并在施工现场指定见证取样区域</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7E812F0A">
      <w:pPr>
        <w:pStyle w:val="5"/>
        <w:rPr>
          <w:rFonts w:hint="eastAsia" w:eastAsia="宋体"/>
          <w:color w:val="auto"/>
          <w:highlight w:val="none"/>
          <w:lang w:eastAsia="zh-CN"/>
        </w:rPr>
      </w:pPr>
      <w:bookmarkStart w:id="766" w:name="_Toc3471"/>
      <w:r>
        <w:rPr>
          <w:color w:val="auto"/>
          <w:highlight w:val="none"/>
        </w:rPr>
        <w:t>9.4</w:t>
      </w:r>
      <w:r>
        <w:rPr>
          <w:rFonts w:hint="eastAsia" w:hAnsi="宋体" w:cs="黑体"/>
          <w:color w:val="auto"/>
          <w:highlight w:val="none"/>
        </w:rPr>
        <w:t>现场工艺试验</w:t>
      </w:r>
      <w:bookmarkEnd w:id="752"/>
      <w:bookmarkEnd w:id="753"/>
      <w:bookmarkEnd w:id="754"/>
      <w:bookmarkEnd w:id="755"/>
      <w:bookmarkEnd w:id="756"/>
      <w:bookmarkEnd w:id="757"/>
      <w:bookmarkEnd w:id="758"/>
      <w:bookmarkEnd w:id="766"/>
    </w:p>
    <w:p w14:paraId="6C4D5573">
      <w:pPr>
        <w:spacing w:line="360" w:lineRule="auto"/>
        <w:ind w:firstLine="400" w:firstLineChars="200"/>
        <w:jc w:val="left"/>
        <w:rPr>
          <w:color w:val="auto"/>
          <w:highlight w:val="none"/>
        </w:rPr>
      </w:pPr>
      <w:r>
        <w:rPr>
          <w:rFonts w:hint="eastAsia" w:hAnsi="宋体" w:cs="宋体"/>
          <w:color w:val="auto"/>
          <w:highlight w:val="none"/>
        </w:rPr>
        <w:t>现场工艺试验的有关约定：</w:t>
      </w:r>
      <w:r>
        <w:rPr>
          <w:rFonts w:hint="eastAsia"/>
          <w:color w:val="auto"/>
          <w:highlight w:val="none"/>
          <w:u w:val="single"/>
          <w:lang w:val="en-US" w:eastAsia="zh-CN"/>
        </w:rPr>
        <w:t>无</w:t>
      </w:r>
      <w:r>
        <w:rPr>
          <w:rFonts w:hint="eastAsia" w:hAnsi="宋体" w:cs="宋体"/>
          <w:color w:val="auto"/>
          <w:highlight w:val="none"/>
        </w:rPr>
        <w:t>。</w:t>
      </w:r>
    </w:p>
    <w:p w14:paraId="2CF186CD">
      <w:pPr>
        <w:pStyle w:val="5"/>
        <w:rPr>
          <w:color w:val="auto"/>
          <w:highlight w:val="none"/>
        </w:rPr>
      </w:pPr>
      <w:bookmarkStart w:id="767" w:name="_Toc3103"/>
      <w:bookmarkStart w:id="768" w:name="_Toc393419678"/>
      <w:bookmarkStart w:id="769" w:name="_Toc1539824686"/>
      <w:bookmarkStart w:id="770" w:name="_Toc407135241"/>
      <w:bookmarkStart w:id="771" w:name="_Toc78449827"/>
      <w:bookmarkStart w:id="772" w:name="OLE_LINK1"/>
      <w:r>
        <w:rPr>
          <w:color w:val="auto"/>
          <w:highlight w:val="none"/>
        </w:rPr>
        <w:t>9.5</w:t>
      </w:r>
      <w:r>
        <w:rPr>
          <w:rFonts w:hint="eastAsia" w:hAnsi="宋体" w:cs="黑体"/>
          <w:color w:val="auto"/>
          <w:highlight w:val="none"/>
        </w:rPr>
        <w:t>检验费用</w:t>
      </w:r>
      <w:bookmarkEnd w:id="767"/>
      <w:bookmarkEnd w:id="768"/>
      <w:bookmarkEnd w:id="769"/>
      <w:bookmarkEnd w:id="770"/>
      <w:bookmarkEnd w:id="771"/>
    </w:p>
    <w:p w14:paraId="4FE3AA47">
      <w:pPr>
        <w:spacing w:line="360" w:lineRule="auto"/>
        <w:ind w:firstLine="411" w:firstLineChars="196"/>
        <w:rPr>
          <w:color w:val="auto"/>
          <w:sz w:val="21"/>
          <w:szCs w:val="21"/>
          <w:highlight w:val="none"/>
        </w:rPr>
      </w:pPr>
      <w:r>
        <w:rPr>
          <w:rFonts w:hint="eastAsia" w:hAnsi="宋体" w:cs="宋体"/>
          <w:color w:val="auto"/>
          <w:sz w:val="21"/>
          <w:szCs w:val="21"/>
          <w:highlight w:val="none"/>
          <w:lang w:val="en-US" w:eastAsia="zh-CN"/>
        </w:rPr>
        <w:t>如有，</w:t>
      </w:r>
      <w:r>
        <w:rPr>
          <w:rFonts w:hint="eastAsia" w:hAnsi="宋体" w:cs="宋体"/>
          <w:color w:val="auto"/>
          <w:sz w:val="21"/>
          <w:szCs w:val="21"/>
          <w:highlight w:val="none"/>
        </w:rPr>
        <w:t>根据《建设工程质量检测管理办法》（建设部令第</w:t>
      </w:r>
      <w:r>
        <w:rPr>
          <w:color w:val="auto"/>
          <w:sz w:val="21"/>
          <w:szCs w:val="21"/>
          <w:highlight w:val="none"/>
        </w:rPr>
        <w:t>141</w:t>
      </w:r>
      <w:r>
        <w:rPr>
          <w:rFonts w:hint="eastAsia" w:hAnsi="宋体" w:cs="宋体"/>
          <w:color w:val="auto"/>
          <w:sz w:val="21"/>
          <w:szCs w:val="21"/>
          <w:highlight w:val="none"/>
        </w:rPr>
        <w:t>号）以及《广西壮族自治区建设工程质量检测管理规定》</w:t>
      </w:r>
      <w:r>
        <w:rPr>
          <w:rFonts w:hint="eastAsia" w:cs="宋体"/>
          <w:color w:val="auto"/>
          <w:sz w:val="21"/>
          <w:szCs w:val="21"/>
          <w:highlight w:val="none"/>
        </w:rPr>
        <w:t>（</w:t>
      </w:r>
      <w:r>
        <w:rPr>
          <w:rFonts w:hint="eastAsia" w:hAnsi="宋体" w:cs="宋体"/>
          <w:color w:val="auto"/>
          <w:sz w:val="21"/>
          <w:szCs w:val="21"/>
          <w:highlight w:val="none"/>
        </w:rPr>
        <w:t>桂建管</w:t>
      </w:r>
      <w:r>
        <w:rPr>
          <w:rFonts w:hint="eastAsia" w:cs="宋体"/>
          <w:color w:val="auto"/>
          <w:sz w:val="21"/>
          <w:szCs w:val="21"/>
          <w:highlight w:val="none"/>
        </w:rPr>
        <w:t>〔</w:t>
      </w:r>
      <w:r>
        <w:rPr>
          <w:color w:val="auto"/>
          <w:sz w:val="21"/>
          <w:szCs w:val="21"/>
          <w:highlight w:val="none"/>
        </w:rPr>
        <w:t>2013</w:t>
      </w:r>
      <w:r>
        <w:rPr>
          <w:rFonts w:hint="eastAsia" w:cs="宋体"/>
          <w:color w:val="auto"/>
          <w:sz w:val="21"/>
          <w:szCs w:val="21"/>
          <w:highlight w:val="none"/>
        </w:rPr>
        <w:t>〕</w:t>
      </w:r>
      <w:r>
        <w:rPr>
          <w:color w:val="auto"/>
          <w:sz w:val="21"/>
          <w:szCs w:val="21"/>
          <w:highlight w:val="none"/>
        </w:rPr>
        <w:t>11</w:t>
      </w:r>
      <w:r>
        <w:rPr>
          <w:rFonts w:hint="eastAsia" w:hAnsi="宋体" w:cs="宋体"/>
          <w:color w:val="auto"/>
          <w:sz w:val="21"/>
          <w:szCs w:val="21"/>
          <w:highlight w:val="none"/>
        </w:rPr>
        <w:t>号</w:t>
      </w:r>
      <w:r>
        <w:rPr>
          <w:rFonts w:hint="eastAsia" w:cs="宋体"/>
          <w:color w:val="auto"/>
          <w:sz w:val="21"/>
          <w:szCs w:val="21"/>
          <w:highlight w:val="none"/>
        </w:rPr>
        <w:t>）</w:t>
      </w:r>
      <w:r>
        <w:rPr>
          <w:rFonts w:hint="eastAsia" w:hAnsi="宋体" w:cs="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751"/>
    <w:bookmarkEnd w:id="759"/>
    <w:bookmarkEnd w:id="760"/>
    <w:bookmarkEnd w:id="761"/>
    <w:bookmarkEnd w:id="762"/>
    <w:bookmarkEnd w:id="763"/>
    <w:bookmarkEnd w:id="764"/>
    <w:bookmarkEnd w:id="765"/>
    <w:bookmarkEnd w:id="772"/>
    <w:p w14:paraId="343466E4">
      <w:pPr>
        <w:pStyle w:val="4"/>
        <w:rPr>
          <w:color w:val="auto"/>
          <w:highlight w:val="none"/>
        </w:rPr>
      </w:pPr>
      <w:bookmarkStart w:id="773" w:name="_Toc11076"/>
      <w:bookmarkStart w:id="774" w:name="_Toc407135242"/>
      <w:bookmarkStart w:id="775" w:name="_Toc78449828"/>
      <w:bookmarkStart w:id="776" w:name="_Toc389065305"/>
      <w:bookmarkStart w:id="777" w:name="_Toc603662032"/>
      <w:bookmarkStart w:id="778" w:name="_Toc373478386"/>
      <w:bookmarkStart w:id="779" w:name="_Toc373227739"/>
      <w:bookmarkStart w:id="780" w:name="_Toc1278407274"/>
      <w:bookmarkStart w:id="781" w:name="_Toc351203642"/>
      <w:r>
        <w:rPr>
          <w:color w:val="auto"/>
          <w:highlight w:val="none"/>
        </w:rPr>
        <w:t>1</w:t>
      </w:r>
      <w:bookmarkEnd w:id="717"/>
      <w:bookmarkEnd w:id="718"/>
      <w:bookmarkEnd w:id="719"/>
      <w:bookmarkEnd w:id="720"/>
      <w:bookmarkEnd w:id="721"/>
      <w:bookmarkEnd w:id="722"/>
      <w:bookmarkEnd w:id="723"/>
      <w:bookmarkEnd w:id="724"/>
      <w:bookmarkEnd w:id="725"/>
      <w:bookmarkEnd w:id="726"/>
      <w:bookmarkEnd w:id="727"/>
      <w:bookmarkEnd w:id="728"/>
      <w:bookmarkStart w:id="782" w:name="_Toc292559398"/>
      <w:bookmarkStart w:id="783" w:name="_Toc303539146"/>
      <w:bookmarkStart w:id="784" w:name="_Toc296503193"/>
      <w:bookmarkStart w:id="785" w:name="_Toc296891021"/>
      <w:bookmarkStart w:id="786" w:name="_Toc297120493"/>
      <w:bookmarkStart w:id="787" w:name="_Toc300934989"/>
      <w:bookmarkStart w:id="788" w:name="_Toc297123540"/>
      <w:bookmarkStart w:id="789" w:name="_Toc296346694"/>
      <w:bookmarkStart w:id="790" w:name="_Toc296944532"/>
      <w:bookmarkStart w:id="791" w:name="_Toc297216199"/>
      <w:bookmarkStart w:id="792" w:name="_Toc296347192"/>
      <w:bookmarkStart w:id="793" w:name="_Toc297048379"/>
      <w:bookmarkStart w:id="794" w:name="_Toc292559903"/>
      <w:bookmarkStart w:id="795" w:name="_Toc296891233"/>
      <w:bookmarkStart w:id="796" w:name="_Toc304295566"/>
      <w:bookmarkStart w:id="797" w:name="_Toc312678025"/>
      <w:bookmarkStart w:id="798" w:name="_Toc312677499"/>
      <w:bookmarkStart w:id="799" w:name="_Toc267251440"/>
      <w:bookmarkStart w:id="800" w:name="_Toc267251433"/>
      <w:bookmarkStart w:id="801" w:name="_Toc267251441"/>
      <w:bookmarkStart w:id="802" w:name="_Toc267251439"/>
      <w:bookmarkStart w:id="803" w:name="_Toc267251437"/>
      <w:bookmarkStart w:id="804" w:name="_Toc267251435"/>
      <w:bookmarkStart w:id="805" w:name="_Toc267251442"/>
      <w:r>
        <w:rPr>
          <w:color w:val="auto"/>
          <w:highlight w:val="none"/>
        </w:rPr>
        <w:t>0.</w:t>
      </w:r>
      <w:r>
        <w:rPr>
          <w:rFonts w:hint="eastAsia" w:hAnsi="宋体" w:cs="黑体"/>
          <w:color w:val="auto"/>
          <w:highlight w:val="none"/>
        </w:rPr>
        <w:t>变更</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bookmarkEnd w:id="797"/>
    <w:bookmarkEnd w:id="798"/>
    <w:p w14:paraId="25303B4D">
      <w:pPr>
        <w:pStyle w:val="5"/>
        <w:rPr>
          <w:color w:val="auto"/>
          <w:highlight w:val="none"/>
        </w:rPr>
      </w:pPr>
      <w:bookmarkStart w:id="806" w:name="_Toc78449829"/>
      <w:bookmarkStart w:id="807" w:name="_Toc407135243"/>
      <w:bookmarkStart w:id="808" w:name="_Toc373227740"/>
      <w:bookmarkStart w:id="809" w:name="_Toc1890371558"/>
      <w:bookmarkStart w:id="810" w:name="_Toc389065306"/>
      <w:bookmarkStart w:id="811" w:name="_Toc11140"/>
      <w:bookmarkStart w:id="812" w:name="_Toc373478387"/>
      <w:bookmarkStart w:id="813" w:name="_Toc411143415"/>
      <w:r>
        <w:rPr>
          <w:color w:val="auto"/>
          <w:highlight w:val="none"/>
        </w:rPr>
        <w:t>1</w:t>
      </w:r>
      <w:bookmarkStart w:id="814" w:name="_Toc297123541"/>
      <w:bookmarkStart w:id="815" w:name="_Toc304295567"/>
      <w:bookmarkStart w:id="816" w:name="_Toc303539147"/>
      <w:bookmarkStart w:id="817" w:name="_Toc296503194"/>
      <w:bookmarkStart w:id="818" w:name="_Toc296347193"/>
      <w:bookmarkStart w:id="819" w:name="_Toc297120494"/>
      <w:bookmarkStart w:id="820" w:name="_Toc296891022"/>
      <w:bookmarkStart w:id="821" w:name="_Toc292559904"/>
      <w:bookmarkStart w:id="822" w:name="_Toc312678026"/>
      <w:bookmarkStart w:id="823" w:name="_Toc297048380"/>
      <w:bookmarkStart w:id="824" w:name="_Toc312677500"/>
      <w:bookmarkStart w:id="825" w:name="_Toc297216200"/>
      <w:bookmarkStart w:id="826" w:name="_Toc296944533"/>
      <w:bookmarkStart w:id="827" w:name="_Toc296346695"/>
      <w:bookmarkStart w:id="828" w:name="_Toc300934990"/>
      <w:bookmarkStart w:id="829" w:name="_Toc292559399"/>
      <w:bookmarkStart w:id="830" w:name="_Toc296891234"/>
      <w:r>
        <w:rPr>
          <w:color w:val="auto"/>
          <w:highlight w:val="none"/>
        </w:rPr>
        <w:t>0.1</w:t>
      </w:r>
      <w:r>
        <w:rPr>
          <w:rFonts w:hint="eastAsia" w:hAnsi="宋体" w:cs="黑体"/>
          <w:color w:val="auto"/>
          <w:highlight w:val="none"/>
        </w:rPr>
        <w:t>变更的范围</w:t>
      </w:r>
      <w:bookmarkEnd w:id="806"/>
      <w:bookmarkEnd w:id="807"/>
      <w:bookmarkEnd w:id="808"/>
      <w:bookmarkEnd w:id="809"/>
      <w:bookmarkEnd w:id="810"/>
      <w:bookmarkEnd w:id="811"/>
      <w:bookmarkEnd w:id="812"/>
      <w:bookmarkEnd w:id="813"/>
    </w:p>
    <w:p w14:paraId="50A05C42">
      <w:pPr>
        <w:pStyle w:val="20"/>
        <w:keepNext w:val="0"/>
        <w:keepLines w:val="0"/>
        <w:widowControl/>
        <w:suppressLineNumbers w:val="0"/>
        <w:shd w:val="clear" w:fill="FFFFFF"/>
        <w:spacing w:before="240" w:beforeAutospacing="0" w:after="240" w:afterAutospacing="0" w:line="360" w:lineRule="auto"/>
        <w:ind w:left="0" w:right="0" w:firstLine="0"/>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关于变更的范围的约定：</w:t>
      </w:r>
      <w:r>
        <w:rPr>
          <w:rFonts w:hint="default" w:ascii="Times New Roman" w:hAnsi="宋体" w:eastAsia="宋体" w:cs="宋体"/>
          <w:color w:val="auto"/>
          <w:kern w:val="2"/>
          <w:sz w:val="21"/>
          <w:szCs w:val="21"/>
          <w:highlight w:val="none"/>
          <w:u w:val="single"/>
          <w:lang w:val="en-US" w:eastAsia="zh-CN" w:bidi="ar-SA"/>
        </w:rPr>
        <w:t>除专用合同条款另有约定外，在合同履行过程中发生以下情形的，按照本条第10条的约定进行变更：（1）经发包人书面批准的设计文件变更，包括因规划调整、使用功能调整、设计缺陷修正等原因引起的施工图设计变更；（2）发包人书面要求增加或减少合同内某项工作内容，或者为完成本工程需要增加合同外额外工作；（3）施工现场实际条件（含地质条件、地下管线、地下障碍物等）与发包人提供资料存在实质性差异，须调整施工方案或增补技术措施；（4）发包人通知暂停施工后，因发包人原因无法在原定时间内恢复施工，需调整施工顺序或采取赶工措施；（5）因发包人提供的材料、设备规格、数量、交货时间变更或甲供材转为乙供材导致施工方案、施工进度及费用发生实质性变化；（6）发包人书面要求改变合同中任何工作的质量标准或其他特性；（7）发包人书面要求改变合同中约定的工程基线、标高、位置和尺寸；（8）发包人书面要求改变合同中约定的施工顺序或时间安排；（9）为完成本工程需要追加的额外工作，包括但不限于为满足工程竣工验收、规划验收、消防验收、档案验收等建设程序要求所必须增加的配套工作。</w:t>
      </w:r>
    </w:p>
    <w:p w14:paraId="23B60C83">
      <w:pPr>
        <w:spacing w:line="360" w:lineRule="auto"/>
        <w:ind w:firstLine="426"/>
        <w:jc w:val="left"/>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kern w:val="2"/>
          <w:sz w:val="21"/>
          <w:szCs w:val="21"/>
          <w:highlight w:val="none"/>
          <w:u w:val="single"/>
          <w:lang w:val="en-US" w:eastAsia="zh-CN" w:bidi="ar-SA"/>
        </w:rPr>
        <w:t>承包人不得以变更名义擅自改变原设计文件的工程规模、使用功能及主要技术指标。涉及改变本工程经批复的初步设计及投资概算控制范围内工程内容的，须按崇左市及</w:t>
      </w:r>
      <w:r>
        <w:rPr>
          <w:rFonts w:hint="eastAsia" w:hAnsi="宋体" w:cs="宋体"/>
          <w:color w:val="auto"/>
          <w:kern w:val="2"/>
          <w:sz w:val="21"/>
          <w:szCs w:val="21"/>
          <w:highlight w:val="none"/>
          <w:u w:val="single"/>
          <w:lang w:val="en-US" w:eastAsia="zh-CN" w:bidi="ar-SA"/>
        </w:rPr>
        <w:t>天等县</w:t>
      </w:r>
      <w:r>
        <w:rPr>
          <w:rFonts w:hint="eastAsia" w:ascii="Times New Roman" w:hAnsi="宋体" w:eastAsia="宋体" w:cs="宋体"/>
          <w:color w:val="auto"/>
          <w:kern w:val="2"/>
          <w:sz w:val="21"/>
          <w:szCs w:val="21"/>
          <w:highlight w:val="none"/>
          <w:u w:val="single"/>
          <w:lang w:val="en-US" w:eastAsia="zh-CN" w:bidi="ar-SA"/>
        </w:rPr>
        <w:t>有关政府投资项目管理的规定办理概算调整审批手续，在审批手续完成前不得擅自实施变更。因图纸深化、图纸会审、施工工艺细化、BIM技术应用等承包人施工义务范围内的技术工作产生的变化，不属于本条约定的工程变更，不调整合同价款。</w:t>
      </w:r>
    </w:p>
    <w:p w14:paraId="3F40C880">
      <w:pPr>
        <w:pStyle w:val="5"/>
        <w:rPr>
          <w:color w:val="auto"/>
          <w:highlight w:val="none"/>
        </w:rPr>
      </w:pPr>
      <w:bookmarkStart w:id="831" w:name="_Toc407135244"/>
      <w:bookmarkStart w:id="832" w:name="_Toc1641633295"/>
      <w:bookmarkStart w:id="833" w:name="_Toc373478388"/>
      <w:bookmarkStart w:id="834" w:name="_Toc18217"/>
      <w:bookmarkStart w:id="835" w:name="_Toc78449830"/>
      <w:bookmarkStart w:id="836" w:name="_Toc450749207"/>
      <w:bookmarkStart w:id="837" w:name="_Toc389065307"/>
      <w:bookmarkStart w:id="838" w:name="_Toc373227741"/>
      <w:r>
        <w:rPr>
          <w:color w:val="auto"/>
          <w:highlight w:val="none"/>
        </w:rPr>
        <w:t>10.3</w:t>
      </w:r>
      <w:r>
        <w:rPr>
          <w:rFonts w:hint="eastAsia" w:hAnsi="宋体" w:cs="黑体"/>
          <w:color w:val="auto"/>
          <w:highlight w:val="none"/>
        </w:rPr>
        <w:t>变更程序</w:t>
      </w:r>
      <w:bookmarkEnd w:id="831"/>
      <w:bookmarkEnd w:id="832"/>
      <w:bookmarkEnd w:id="833"/>
      <w:bookmarkEnd w:id="834"/>
      <w:bookmarkEnd w:id="835"/>
      <w:bookmarkEnd w:id="836"/>
      <w:bookmarkEnd w:id="837"/>
      <w:bookmarkEnd w:id="838"/>
    </w:p>
    <w:p w14:paraId="38D49A80">
      <w:pPr>
        <w:pStyle w:val="13"/>
        <w:spacing w:line="360" w:lineRule="auto"/>
        <w:ind w:firstLine="462" w:firstLineChars="210"/>
        <w:rPr>
          <w:rFonts w:ascii="Times New Roman" w:hAnsi="Times New Roman"/>
          <w:color w:val="auto"/>
          <w:sz w:val="22"/>
          <w:szCs w:val="22"/>
          <w:highlight w:val="none"/>
        </w:rPr>
      </w:pPr>
      <w:r>
        <w:rPr>
          <w:rFonts w:ascii="Times New Roman" w:hAnsi="Times New Roman"/>
          <w:color w:val="auto"/>
          <w:sz w:val="22"/>
          <w:szCs w:val="22"/>
          <w:highlight w:val="none"/>
        </w:rPr>
        <w:t>10.3.1</w:t>
      </w:r>
      <w:r>
        <w:rPr>
          <w:rFonts w:hint="eastAsia" w:ascii="Times New Roman" w:hAnsi="Times New Roman"/>
          <w:color w:val="auto"/>
          <w:sz w:val="22"/>
          <w:szCs w:val="22"/>
          <w:highlight w:val="none"/>
        </w:rPr>
        <w:t>国有投资项目：</w:t>
      </w:r>
    </w:p>
    <w:p w14:paraId="33E69A66">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⑴设计变更和工程签证，按各市政府或相关部门的规定办理。属不可抗力（自然灾害、突发事件等）造成变更的，按特事特办原则予以办理。</w:t>
      </w:r>
    </w:p>
    <w:p w14:paraId="19517C4F">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⑵建设单位在实施项目过程中，若发生单价变动，由发包人、承包人、监理或造价咨询等单位共同商定并签字确认。</w:t>
      </w:r>
    </w:p>
    <w:p w14:paraId="51FD71E5">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31810FB7">
      <w:pPr>
        <w:spacing w:line="360" w:lineRule="auto"/>
        <w:jc w:val="left"/>
        <w:rPr>
          <w:color w:val="auto"/>
          <w:sz w:val="21"/>
          <w:szCs w:val="21"/>
          <w:highlight w:val="none"/>
        </w:rPr>
      </w:pPr>
      <w:r>
        <w:rPr>
          <w:color w:val="auto"/>
          <w:sz w:val="21"/>
          <w:szCs w:val="21"/>
          <w:highlight w:val="none"/>
        </w:rPr>
        <w:t>10.3.2</w:t>
      </w:r>
      <w:r>
        <w:rPr>
          <w:rFonts w:hint="eastAsia" w:cs="宋体"/>
          <w:color w:val="auto"/>
          <w:sz w:val="21"/>
          <w:szCs w:val="21"/>
          <w:highlight w:val="none"/>
        </w:rPr>
        <w:t>非国有投资项目：</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03AA3D9">
      <w:pPr>
        <w:pStyle w:val="5"/>
        <w:rPr>
          <w:color w:val="auto"/>
          <w:highlight w:val="none"/>
        </w:rPr>
      </w:pPr>
      <w:bookmarkStart w:id="839" w:name="_Toc407135245"/>
      <w:bookmarkStart w:id="840" w:name="_Toc78449831"/>
      <w:bookmarkStart w:id="841" w:name="_Toc373478389"/>
      <w:bookmarkStart w:id="842" w:name="_Toc389065308"/>
      <w:bookmarkStart w:id="843" w:name="_Toc780640360"/>
      <w:bookmarkStart w:id="844" w:name="_Toc373227742"/>
      <w:bookmarkStart w:id="845" w:name="_Toc16060"/>
      <w:bookmarkStart w:id="846" w:name="_Toc1645711468"/>
      <w:r>
        <w:rPr>
          <w:color w:val="auto"/>
          <w:highlight w:val="none"/>
        </w:rPr>
        <w:t>10.4</w:t>
      </w:r>
      <w:r>
        <w:rPr>
          <w:rFonts w:hint="eastAsia" w:hAnsi="宋体" w:cs="黑体"/>
          <w:color w:val="auto"/>
          <w:highlight w:val="none"/>
        </w:rPr>
        <w:t>变更估价</w:t>
      </w:r>
      <w:bookmarkEnd w:id="839"/>
      <w:bookmarkEnd w:id="840"/>
      <w:bookmarkEnd w:id="841"/>
      <w:bookmarkEnd w:id="842"/>
      <w:bookmarkEnd w:id="843"/>
      <w:bookmarkEnd w:id="844"/>
      <w:bookmarkEnd w:id="845"/>
      <w:bookmarkEnd w:id="846"/>
    </w:p>
    <w:p w14:paraId="126251A6">
      <w:pPr>
        <w:spacing w:line="360" w:lineRule="auto"/>
        <w:ind w:firstLine="420" w:firstLineChars="200"/>
        <w:jc w:val="left"/>
        <w:rPr>
          <w:color w:val="auto"/>
          <w:sz w:val="21"/>
          <w:szCs w:val="21"/>
          <w:highlight w:val="none"/>
        </w:rPr>
      </w:pPr>
      <w:r>
        <w:rPr>
          <w:color w:val="auto"/>
          <w:sz w:val="21"/>
          <w:szCs w:val="21"/>
          <w:highlight w:val="none"/>
        </w:rPr>
        <w:t>10.4.1</w:t>
      </w:r>
      <w:r>
        <w:rPr>
          <w:rFonts w:hint="eastAsia" w:hAnsi="宋体" w:cs="宋体"/>
          <w:color w:val="auto"/>
          <w:sz w:val="21"/>
          <w:szCs w:val="21"/>
          <w:highlight w:val="none"/>
        </w:rPr>
        <w:t>变更估价原则</w:t>
      </w:r>
    </w:p>
    <w:p w14:paraId="7322724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关于变更估价的约定</w:t>
      </w:r>
      <w:r>
        <w:rPr>
          <w:color w:val="auto"/>
          <w:sz w:val="21"/>
          <w:szCs w:val="21"/>
          <w:highlight w:val="none"/>
        </w:rPr>
        <w:t>:</w:t>
      </w:r>
      <w:bookmarkStart w:id="847" w:name="_Toc251051742"/>
      <w:r>
        <w:rPr>
          <w:rFonts w:hint="eastAsia" w:hAnsi="宋体" w:cs="宋体"/>
          <w:color w:val="auto"/>
          <w:sz w:val="21"/>
          <w:szCs w:val="21"/>
          <w:highlight w:val="none"/>
          <w:u w:val="single"/>
        </w:rPr>
        <w:t>工程变更合同价款按下列方法进行：（</w:t>
      </w:r>
      <w:r>
        <w:rPr>
          <w:color w:val="auto"/>
          <w:sz w:val="21"/>
          <w:szCs w:val="21"/>
          <w:highlight w:val="none"/>
          <w:u w:val="single"/>
        </w:rPr>
        <w:t>1</w:t>
      </w:r>
      <w:r>
        <w:rPr>
          <w:rFonts w:hint="eastAsia" w:hAnsi="宋体" w:cs="宋体"/>
          <w:color w:val="auto"/>
          <w:sz w:val="21"/>
          <w:szCs w:val="21"/>
          <w:highlight w:val="none"/>
          <w:u w:val="single"/>
        </w:rPr>
        <w:t>）合同中已有相同清单项目的，按合同该清单项目价格进行计算；（</w:t>
      </w:r>
      <w:r>
        <w:rPr>
          <w:color w:val="auto"/>
          <w:sz w:val="21"/>
          <w:szCs w:val="21"/>
          <w:highlight w:val="none"/>
          <w:u w:val="single"/>
        </w:rPr>
        <w:t>2</w:t>
      </w:r>
      <w:r>
        <w:rPr>
          <w:rFonts w:hint="eastAsia" w:hAnsi="宋体" w:cs="宋体"/>
          <w:color w:val="auto"/>
          <w:sz w:val="21"/>
          <w:szCs w:val="21"/>
          <w:highlight w:val="none"/>
          <w:u w:val="single"/>
        </w:rPr>
        <w:t>）合同中只有类似清单项目的，参照该类似清单项目价格进行计算；（</w:t>
      </w:r>
      <w:r>
        <w:rPr>
          <w:color w:val="auto"/>
          <w:sz w:val="21"/>
          <w:szCs w:val="21"/>
          <w:highlight w:val="none"/>
          <w:u w:val="single"/>
        </w:rPr>
        <w:t>3</w:t>
      </w:r>
      <w:r>
        <w:rPr>
          <w:rFonts w:hint="eastAsia" w:hAnsi="宋体" w:cs="宋体"/>
          <w:color w:val="auto"/>
          <w:sz w:val="21"/>
          <w:szCs w:val="21"/>
          <w:highlight w:val="none"/>
          <w:u w:val="single"/>
        </w:rPr>
        <w:t>）合同中没有适用或类似清单项目的价格计算方法：有定额的套定额，并（</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乘以下浮系数</w:t>
      </w:r>
      <w:r>
        <w:rPr>
          <w:color w:val="auto"/>
          <w:sz w:val="21"/>
          <w:szCs w:val="21"/>
          <w:highlight w:val="none"/>
          <w:u w:val="single"/>
        </w:rPr>
        <w:t>%</w:t>
      </w:r>
      <w:r>
        <w:rPr>
          <w:rFonts w:hint="eastAsia" w:cs="宋体"/>
          <w:color w:val="auto"/>
          <w:sz w:val="21"/>
          <w:szCs w:val="21"/>
          <w:highlight w:val="none"/>
          <w:u w:val="single"/>
        </w:rPr>
        <w:t>，</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不乘下浮系数）计算，其中：材料设备价格按施工期间的《</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市建设工程造价信息》相应信息价的加权平均值计算，《</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47"/>
      <w:r>
        <w:rPr>
          <w:rFonts w:hint="eastAsia" w:hAnsi="宋体" w:cs="宋体"/>
          <w:color w:val="auto"/>
          <w:sz w:val="21"/>
          <w:szCs w:val="21"/>
          <w:highlight w:val="none"/>
        </w:rPr>
        <w:t>。以上约定同时适用于招标工程量清单缺项以及工程量清单项目特征与图纸不符时的价款确定。</w:t>
      </w:r>
    </w:p>
    <w:p w14:paraId="093E4795">
      <w:pPr>
        <w:spacing w:line="360" w:lineRule="auto"/>
        <w:ind w:firstLine="420" w:firstLineChars="200"/>
        <w:jc w:val="left"/>
        <w:rPr>
          <w:rFonts w:hint="eastAsia" w:cs="宋体"/>
          <w:color w:val="auto"/>
          <w:sz w:val="21"/>
          <w:szCs w:val="21"/>
          <w:highlight w:val="none"/>
          <w:u w:val="single"/>
        </w:rPr>
      </w:pPr>
      <w:r>
        <w:rPr>
          <w:rFonts w:hint="eastAsia" w:cs="宋体"/>
          <w:color w:val="auto"/>
          <w:sz w:val="21"/>
          <w:szCs w:val="21"/>
          <w:highlight w:val="none"/>
          <w:u w:val="single"/>
        </w:rPr>
        <w:t>工程变更导致实际完成的变更工程量与已标价清单或预算书中列明的该项目工程量有偏差时，其综合单价的确定按专用条款“</w:t>
      </w:r>
      <w:r>
        <w:rPr>
          <w:color w:val="auto"/>
          <w:sz w:val="21"/>
          <w:szCs w:val="21"/>
          <w:highlight w:val="none"/>
          <w:u w:val="single"/>
        </w:rPr>
        <w:t>1.13</w:t>
      </w:r>
      <w:r>
        <w:rPr>
          <w:rFonts w:hint="eastAsia" w:cs="宋体"/>
          <w:color w:val="auto"/>
          <w:sz w:val="21"/>
          <w:szCs w:val="21"/>
          <w:highlight w:val="none"/>
          <w:u w:val="single"/>
        </w:rPr>
        <w:t>工程量清单错误的修正”执行。</w:t>
      </w:r>
    </w:p>
    <w:p w14:paraId="1AB55F61">
      <w:pPr>
        <w:pStyle w:val="5"/>
        <w:rPr>
          <w:color w:val="auto"/>
          <w:highlight w:val="none"/>
        </w:rPr>
      </w:pPr>
      <w:bookmarkStart w:id="848" w:name="_Toc78449832"/>
      <w:bookmarkStart w:id="849" w:name="_Toc389065309"/>
      <w:bookmarkStart w:id="850" w:name="_Toc22889"/>
      <w:bookmarkStart w:id="851" w:name="_Toc407135246"/>
      <w:bookmarkStart w:id="852" w:name="_Toc1342657745"/>
      <w:bookmarkStart w:id="853" w:name="_Toc373227743"/>
      <w:bookmarkStart w:id="854" w:name="_Toc373478390"/>
      <w:bookmarkStart w:id="855" w:name="_Toc650800266"/>
      <w:r>
        <w:rPr>
          <w:color w:val="auto"/>
          <w:highlight w:val="none"/>
        </w:rPr>
        <w:t>1</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Start w:id="856" w:name="_Toc296347196"/>
      <w:bookmarkStart w:id="857" w:name="_Toc297120497"/>
      <w:bookmarkStart w:id="858" w:name="_Toc300934993"/>
      <w:bookmarkStart w:id="859" w:name="_Toc296346698"/>
      <w:bookmarkStart w:id="860" w:name="_Toc303539150"/>
      <w:bookmarkStart w:id="861" w:name="_Toc297216203"/>
      <w:bookmarkStart w:id="862" w:name="_Toc297048383"/>
      <w:bookmarkStart w:id="863" w:name="_Toc296944536"/>
      <w:bookmarkStart w:id="864" w:name="_Toc292559402"/>
      <w:bookmarkStart w:id="865" w:name="_Toc296503197"/>
      <w:bookmarkStart w:id="866" w:name="_Toc292559907"/>
      <w:bookmarkStart w:id="867" w:name="_Toc296891025"/>
      <w:bookmarkStart w:id="868" w:name="_Toc297123544"/>
      <w:bookmarkStart w:id="869" w:name="_Toc296891237"/>
      <w:bookmarkStart w:id="870" w:name="_Toc312678029"/>
      <w:bookmarkStart w:id="871" w:name="_Toc312677503"/>
      <w:bookmarkStart w:id="872" w:name="_Toc304295570"/>
      <w:r>
        <w:rPr>
          <w:color w:val="auto"/>
          <w:highlight w:val="none"/>
        </w:rPr>
        <w:t>0.5</w:t>
      </w:r>
      <w:r>
        <w:rPr>
          <w:rFonts w:hint="eastAsia" w:cs="黑体"/>
          <w:color w:val="auto"/>
          <w:highlight w:val="none"/>
        </w:rPr>
        <w:t>承</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Start w:id="873" w:name="_Toc296346704"/>
      <w:bookmarkStart w:id="874" w:name="_Toc292559913"/>
      <w:bookmarkStart w:id="875" w:name="_Toc297123545"/>
      <w:bookmarkStart w:id="876" w:name="_Toc296944542"/>
      <w:bookmarkStart w:id="877" w:name="_Toc296503203"/>
      <w:bookmarkStart w:id="878" w:name="_Toc296891031"/>
      <w:bookmarkStart w:id="879" w:name="_Toc297120503"/>
      <w:bookmarkStart w:id="880" w:name="_Toc296891243"/>
      <w:bookmarkStart w:id="881" w:name="_Toc297216204"/>
      <w:bookmarkStart w:id="882" w:name="_Toc292559408"/>
      <w:bookmarkStart w:id="883" w:name="_Toc296347202"/>
      <w:bookmarkStart w:id="884" w:name="_Toc297048389"/>
      <w:bookmarkStart w:id="885" w:name="_Toc303539151"/>
      <w:bookmarkStart w:id="886" w:name="_Toc300934994"/>
      <w:r>
        <w:rPr>
          <w:rFonts w:hint="eastAsia" w:cs="黑体"/>
          <w:color w:val="auto"/>
          <w:highlight w:val="none"/>
        </w:rPr>
        <w:t>包人的合理化建议</w:t>
      </w:r>
      <w:bookmarkEnd w:id="848"/>
      <w:bookmarkEnd w:id="849"/>
      <w:bookmarkEnd w:id="850"/>
      <w:bookmarkEnd w:id="851"/>
      <w:bookmarkEnd w:id="852"/>
      <w:bookmarkEnd w:id="853"/>
      <w:bookmarkEnd w:id="854"/>
      <w:bookmarkEnd w:id="855"/>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581ABC9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监理人审查承包人合理化建议的期限：</w:t>
      </w:r>
      <w:r>
        <w:rPr>
          <w:rFonts w:hint="eastAsia"/>
          <w:color w:val="auto"/>
          <w:sz w:val="21"/>
          <w:szCs w:val="21"/>
          <w:highlight w:val="none"/>
          <w:u w:val="single"/>
          <w:lang w:eastAsia="zh-CN"/>
        </w:rPr>
        <w:t>监理人应在收到承包人提交的合理化建议书后14日内完成审查，并向发包人提交审查意见书。审查意见应明确建议是否可行、对工期和费用的影响评估、是否建议采纳等内容。逾期未提交审查意见的，视为监理人认可该合理化建议的技术可行性</w:t>
      </w:r>
      <w:r>
        <w:rPr>
          <w:rFonts w:hint="eastAsia" w:hAnsi="宋体" w:cs="宋体"/>
          <w:color w:val="auto"/>
          <w:sz w:val="21"/>
          <w:szCs w:val="21"/>
          <w:highlight w:val="none"/>
        </w:rPr>
        <w:t>。</w:t>
      </w:r>
    </w:p>
    <w:p w14:paraId="7810605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发包人审批承包人合理化建议的期限：</w:t>
      </w:r>
      <w:r>
        <w:rPr>
          <w:rFonts w:hint="eastAsia"/>
          <w:color w:val="auto"/>
          <w:sz w:val="21"/>
          <w:szCs w:val="21"/>
          <w:highlight w:val="none"/>
          <w:u w:val="single"/>
          <w:lang w:eastAsia="zh-CN"/>
        </w:rPr>
        <w:t>发包人应在收到监理人审查意见书后14日内完成审批，并书面通知承包人。合理化建议涉及设计变更的，发包人须在审批前征得设计单位书面同意。设计单位的审核时间不计入发包人审批期限，但发包人应在收到监理人审查意见书后7日内向设计单位发出征求意见函，设计单位应在收到征求意见函后14日内书面回复。逾期未审批的，视为发包人同意该合理化建议。</w:t>
      </w:r>
    </w:p>
    <w:p w14:paraId="57988A9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承</w:t>
      </w:r>
      <w:bookmarkStart w:id="887" w:name="_Toc318581175"/>
      <w:bookmarkStart w:id="888" w:name="_Toc312677504"/>
      <w:bookmarkStart w:id="889" w:name="_Toc300934995"/>
      <w:bookmarkStart w:id="890" w:name="_Toc297048390"/>
      <w:bookmarkStart w:id="891" w:name="_Toc297123546"/>
      <w:bookmarkStart w:id="892" w:name="_Toc296944543"/>
      <w:bookmarkStart w:id="893" w:name="_Toc297120504"/>
      <w:bookmarkStart w:id="894" w:name="_Toc312678030"/>
      <w:bookmarkStart w:id="895" w:name="_Toc292559409"/>
      <w:bookmarkStart w:id="896" w:name="_Toc296891032"/>
      <w:bookmarkStart w:id="897" w:name="_Toc304295571"/>
      <w:bookmarkStart w:id="898" w:name="_Toc297216205"/>
      <w:bookmarkStart w:id="899" w:name="_Toc296347203"/>
      <w:bookmarkStart w:id="900" w:name="_Toc303539152"/>
      <w:bookmarkStart w:id="901" w:name="_Toc296503204"/>
      <w:bookmarkStart w:id="902" w:name="_Toc292559914"/>
      <w:bookmarkStart w:id="903" w:name="_Toc296891244"/>
      <w:bookmarkStart w:id="904" w:name="_Toc296346705"/>
      <w:r>
        <w:rPr>
          <w:rFonts w:hint="eastAsia" w:hAnsi="宋体" w:cs="宋体"/>
          <w:color w:val="auto"/>
          <w:sz w:val="21"/>
          <w:szCs w:val="21"/>
          <w:highlight w:val="none"/>
        </w:rPr>
        <w:t>包人提出的合理化建议降低了合同价格或者提高了工程经济效益的奖励的方法和金额为：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5192AC04">
      <w:pPr>
        <w:pStyle w:val="5"/>
        <w:rPr>
          <w:color w:val="auto"/>
          <w:highlight w:val="none"/>
        </w:rPr>
      </w:pPr>
      <w:bookmarkStart w:id="905" w:name="_Toc78449833"/>
      <w:bookmarkStart w:id="906" w:name="_Toc407135247"/>
      <w:bookmarkStart w:id="907" w:name="_Toc373227744"/>
      <w:bookmarkStart w:id="908" w:name="_Toc502454636"/>
      <w:bookmarkStart w:id="909" w:name="_Toc373478391"/>
      <w:bookmarkStart w:id="910" w:name="_Toc8804"/>
      <w:bookmarkStart w:id="911" w:name="_Toc389065310"/>
      <w:bookmarkStart w:id="912" w:name="_Toc2045792355"/>
      <w:r>
        <w:rPr>
          <w:color w:val="auto"/>
          <w:highlight w:val="none"/>
        </w:rPr>
        <w:t>1</w:t>
      </w:r>
      <w:bookmarkStart w:id="913" w:name="_Toc304295574"/>
      <w:bookmarkStart w:id="914" w:name="_Toc296503199"/>
      <w:bookmarkStart w:id="915" w:name="_Toc297048385"/>
      <w:bookmarkStart w:id="916" w:name="_Toc312677507"/>
      <w:bookmarkStart w:id="917" w:name="_Toc292559909"/>
      <w:bookmarkStart w:id="918" w:name="_Toc292559404"/>
      <w:bookmarkStart w:id="919" w:name="_Toc297123548"/>
      <w:bookmarkStart w:id="920" w:name="_Toc312678033"/>
      <w:bookmarkStart w:id="921" w:name="_Toc296347198"/>
      <w:bookmarkStart w:id="922" w:name="_Toc303539154"/>
      <w:bookmarkStart w:id="923" w:name="_Toc296944538"/>
      <w:bookmarkStart w:id="924" w:name="_Toc296891027"/>
      <w:bookmarkStart w:id="925" w:name="_Toc296891239"/>
      <w:bookmarkStart w:id="926" w:name="_Toc296346700"/>
      <w:bookmarkStart w:id="927" w:name="_Toc297120499"/>
      <w:bookmarkStart w:id="928" w:name="_Toc297216207"/>
      <w:bookmarkStart w:id="929" w:name="_Toc300934997"/>
      <w:r>
        <w:rPr>
          <w:color w:val="auto"/>
          <w:highlight w:val="none"/>
        </w:rPr>
        <w:t>0.7</w:t>
      </w:r>
      <w:r>
        <w:rPr>
          <w:rFonts w:hint="eastAsia" w:hAnsi="宋体" w:cs="黑体"/>
          <w:color w:val="auto"/>
          <w:highlight w:val="none"/>
        </w:rPr>
        <w:t>暂估价</w:t>
      </w:r>
      <w:bookmarkEnd w:id="905"/>
      <w:bookmarkEnd w:id="906"/>
      <w:bookmarkEnd w:id="907"/>
      <w:bookmarkEnd w:id="908"/>
      <w:bookmarkEnd w:id="909"/>
      <w:bookmarkEnd w:id="910"/>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14:paraId="78810469">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暂</w:t>
      </w:r>
      <w:bookmarkStart w:id="930" w:name="_Toc318581176"/>
      <w:bookmarkStart w:id="931" w:name="_Toc312677508"/>
      <w:bookmarkStart w:id="932" w:name="_Toc312678034"/>
      <w:r>
        <w:rPr>
          <w:rFonts w:hint="eastAsia" w:hAnsi="宋体" w:cs="宋体"/>
          <w:color w:val="auto"/>
          <w:kern w:val="0"/>
          <w:sz w:val="21"/>
          <w:szCs w:val="21"/>
          <w:highlight w:val="none"/>
        </w:rPr>
        <w:t>估价材料和工程设备的明细详见已标价工程量清单《</w:t>
      </w:r>
      <w:r>
        <w:rPr>
          <w:rFonts w:hint="eastAsia" w:cs="宋体"/>
          <w:color w:val="auto"/>
          <w:sz w:val="21"/>
          <w:szCs w:val="21"/>
          <w:highlight w:val="none"/>
        </w:rPr>
        <w:t>材料（工程设备）暂估价格及调整表》</w:t>
      </w:r>
      <w:r>
        <w:rPr>
          <w:rFonts w:hint="eastAsia" w:hAnsi="宋体" w:cs="宋体"/>
          <w:color w:val="auto"/>
          <w:kern w:val="0"/>
          <w:sz w:val="21"/>
          <w:szCs w:val="21"/>
          <w:highlight w:val="none"/>
        </w:rPr>
        <w:t>（表</w:t>
      </w:r>
      <w:r>
        <w:rPr>
          <w:rFonts w:hAnsi="宋体"/>
          <w:color w:val="auto"/>
          <w:kern w:val="0"/>
          <w:sz w:val="21"/>
          <w:szCs w:val="21"/>
          <w:highlight w:val="none"/>
        </w:rPr>
        <w:t>12-2</w:t>
      </w:r>
      <w:r>
        <w:rPr>
          <w:rFonts w:hint="eastAsia" w:hAnsi="宋体" w:cs="宋体"/>
          <w:color w:val="auto"/>
          <w:kern w:val="0"/>
          <w:sz w:val="21"/>
          <w:szCs w:val="21"/>
          <w:highlight w:val="none"/>
        </w:rPr>
        <w:t>）和《</w:t>
      </w:r>
      <w:r>
        <w:rPr>
          <w:rFonts w:hint="eastAsia" w:cs="宋体"/>
          <w:color w:val="auto"/>
          <w:sz w:val="21"/>
          <w:szCs w:val="21"/>
          <w:highlight w:val="none"/>
        </w:rPr>
        <w:t>专业工程暂估价表》（</w:t>
      </w:r>
      <w:r>
        <w:rPr>
          <w:rFonts w:hint="eastAsia" w:hAnsi="宋体" w:cs="宋体"/>
          <w:color w:val="auto"/>
          <w:kern w:val="0"/>
          <w:sz w:val="21"/>
          <w:szCs w:val="21"/>
          <w:highlight w:val="none"/>
        </w:rPr>
        <w:t>表</w:t>
      </w:r>
      <w:r>
        <w:rPr>
          <w:rFonts w:hAnsi="宋体"/>
          <w:color w:val="auto"/>
          <w:kern w:val="0"/>
          <w:sz w:val="21"/>
          <w:szCs w:val="21"/>
          <w:highlight w:val="none"/>
        </w:rPr>
        <w:t>12-3</w:t>
      </w:r>
      <w:r>
        <w:rPr>
          <w:rFonts w:hint="eastAsia" w:hAnsi="宋体" w:cs="宋体"/>
          <w:color w:val="auto"/>
          <w:kern w:val="0"/>
          <w:sz w:val="21"/>
          <w:szCs w:val="21"/>
          <w:highlight w:val="none"/>
        </w:rPr>
        <w:t>）。</w:t>
      </w:r>
    </w:p>
    <w:bookmarkEnd w:id="930"/>
    <w:bookmarkEnd w:id="931"/>
    <w:bookmarkEnd w:id="932"/>
    <w:p w14:paraId="65613AE5">
      <w:pPr>
        <w:spacing w:line="360" w:lineRule="auto"/>
        <w:ind w:firstLine="420" w:firstLineChars="200"/>
        <w:jc w:val="left"/>
        <w:rPr>
          <w:color w:val="auto"/>
          <w:sz w:val="21"/>
          <w:szCs w:val="21"/>
          <w:highlight w:val="none"/>
        </w:rPr>
      </w:pPr>
      <w:r>
        <w:rPr>
          <w:color w:val="auto"/>
          <w:sz w:val="21"/>
          <w:szCs w:val="21"/>
          <w:highlight w:val="none"/>
        </w:rPr>
        <w:t>1</w:t>
      </w:r>
      <w:bookmarkStart w:id="933" w:name="_Toc318581177"/>
      <w:bookmarkStart w:id="934" w:name="_Toc312678035"/>
      <w:bookmarkStart w:id="935" w:name="_Toc312677509"/>
      <w:r>
        <w:rPr>
          <w:color w:val="auto"/>
          <w:sz w:val="21"/>
          <w:szCs w:val="21"/>
          <w:highlight w:val="none"/>
        </w:rPr>
        <w:t>0.7.1</w:t>
      </w:r>
      <w:r>
        <w:rPr>
          <w:rFonts w:hint="eastAsia" w:hAnsi="宋体" w:cs="宋体"/>
          <w:color w:val="auto"/>
          <w:sz w:val="21"/>
          <w:szCs w:val="21"/>
          <w:highlight w:val="none"/>
        </w:rPr>
        <w:t>依法必须招标的暂估价项目</w:t>
      </w:r>
    </w:p>
    <w:bookmarkEnd w:id="933"/>
    <w:bookmarkEnd w:id="934"/>
    <w:bookmarkEnd w:id="935"/>
    <w:p w14:paraId="2604208C">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594E12A0">
      <w:pPr>
        <w:spacing w:line="360" w:lineRule="auto"/>
        <w:ind w:firstLine="420" w:firstLineChars="200"/>
        <w:jc w:val="left"/>
        <w:rPr>
          <w:color w:val="auto"/>
          <w:sz w:val="21"/>
          <w:szCs w:val="21"/>
          <w:highlight w:val="none"/>
        </w:rPr>
      </w:pPr>
      <w:r>
        <w:rPr>
          <w:color w:val="auto"/>
          <w:sz w:val="21"/>
          <w:szCs w:val="21"/>
          <w:highlight w:val="none"/>
        </w:rPr>
        <w:t>10.7.2</w:t>
      </w:r>
      <w:r>
        <w:rPr>
          <w:rFonts w:hint="eastAsia" w:hAnsi="宋体" w:cs="宋体"/>
          <w:color w:val="auto"/>
          <w:sz w:val="21"/>
          <w:szCs w:val="21"/>
          <w:highlight w:val="none"/>
        </w:rPr>
        <w:t>不属于依法必须招标的暂估价项目</w:t>
      </w:r>
    </w:p>
    <w:p w14:paraId="162905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对于不属于依法必须招标的暂估价项目的确认和批准采取第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4F4FB6BC">
      <w:pPr>
        <w:spacing w:line="360" w:lineRule="auto"/>
        <w:ind w:firstLine="420" w:firstLineChars="200"/>
        <w:jc w:val="left"/>
        <w:rPr>
          <w:color w:val="auto"/>
          <w:kern w:val="0"/>
          <w:sz w:val="21"/>
          <w:szCs w:val="21"/>
          <w:highlight w:val="none"/>
        </w:rPr>
      </w:pPr>
      <w:r>
        <w:rPr>
          <w:rFonts w:hint="eastAsia" w:hAnsi="宋体" w:cs="宋体"/>
          <w:color w:val="auto"/>
          <w:sz w:val="21"/>
          <w:szCs w:val="21"/>
          <w:highlight w:val="none"/>
        </w:rPr>
        <w:t>第</w:t>
      </w:r>
      <w:r>
        <w:rPr>
          <w:color w:val="auto"/>
          <w:sz w:val="21"/>
          <w:szCs w:val="21"/>
          <w:highlight w:val="none"/>
        </w:rPr>
        <w:t>3</w:t>
      </w:r>
      <w:r>
        <w:rPr>
          <w:rFonts w:hint="eastAsia" w:hAnsi="宋体" w:cs="宋体"/>
          <w:color w:val="auto"/>
          <w:sz w:val="21"/>
          <w:szCs w:val="21"/>
          <w:highlight w:val="none"/>
        </w:rPr>
        <w:t>种方式：</w:t>
      </w:r>
      <w:r>
        <w:rPr>
          <w:rFonts w:hint="eastAsia" w:hAnsi="宋体" w:cs="宋体"/>
          <w:color w:val="auto"/>
          <w:kern w:val="0"/>
          <w:sz w:val="21"/>
          <w:szCs w:val="21"/>
          <w:highlight w:val="none"/>
        </w:rPr>
        <w:t>承包人直接实施的暂估价项目</w:t>
      </w:r>
    </w:p>
    <w:p w14:paraId="40294A08">
      <w:pPr>
        <w:spacing w:line="360" w:lineRule="auto"/>
        <w:ind w:firstLine="420" w:firstLineChars="200"/>
        <w:jc w:val="left"/>
        <w:rPr>
          <w:rFonts w:hint="eastAsia" w:hAnsi="宋体" w:cs="宋体"/>
          <w:color w:val="auto"/>
          <w:kern w:val="0"/>
          <w:sz w:val="21"/>
          <w:szCs w:val="21"/>
          <w:highlight w:val="none"/>
          <w:u w:val="single"/>
        </w:rPr>
      </w:pPr>
      <w:r>
        <w:rPr>
          <w:rFonts w:hint="eastAsia" w:hAnsi="宋体" w:cs="宋体"/>
          <w:color w:val="auto"/>
          <w:sz w:val="21"/>
          <w:szCs w:val="21"/>
          <w:highlight w:val="none"/>
        </w:rPr>
        <w:t>承包人直接实施的暂估价项目的约定：</w:t>
      </w:r>
      <w:r>
        <w:rPr>
          <w:rFonts w:hint="eastAsia" w:hAnsi="宋体" w:cs="宋体"/>
          <w:color w:val="auto"/>
          <w:kern w:val="0"/>
          <w:sz w:val="21"/>
          <w:szCs w:val="21"/>
          <w:highlight w:val="none"/>
          <w:u w:val="single"/>
        </w:rPr>
        <w:t>承包人具备实施暂估价项目的资格和条件的，经发包人和承包人协商一致后，可由承包人自行实施暂估价项目。承包人自行实施暂估价项目的，应由承包人提出该暂估价项目的施工方案及预算报价，预算报价的定价原则按照专用合同条款第10.4.1条变更估价原则执行。经发包人及监理人审核批准后，双方以补充协议形式确定该暂估价项目的合同价款。承包人直接实施的暂估价项目结算时按实际完成的工程量结算，最终以审计部门审定金额为准。</w:t>
      </w:r>
    </w:p>
    <w:p w14:paraId="756E526C">
      <w:pPr>
        <w:pStyle w:val="5"/>
        <w:rPr>
          <w:color w:val="auto"/>
          <w:highlight w:val="none"/>
        </w:rPr>
      </w:pPr>
      <w:bookmarkStart w:id="936" w:name="_Toc2131098822"/>
      <w:bookmarkStart w:id="937" w:name="_Toc407135248"/>
      <w:bookmarkStart w:id="938" w:name="_Toc373227745"/>
      <w:bookmarkStart w:id="939" w:name="_Toc2032108729"/>
      <w:bookmarkStart w:id="940" w:name="_Toc78449834"/>
      <w:bookmarkStart w:id="941" w:name="_Toc373478392"/>
      <w:bookmarkStart w:id="942" w:name="_Toc25829"/>
      <w:bookmarkStart w:id="943" w:name="_Toc389065311"/>
      <w:r>
        <w:rPr>
          <w:color w:val="auto"/>
          <w:highlight w:val="none"/>
        </w:rPr>
        <w:t>10.8</w:t>
      </w:r>
      <w:r>
        <w:rPr>
          <w:rFonts w:hint="eastAsia" w:hAnsi="宋体" w:cs="黑体"/>
          <w:color w:val="auto"/>
          <w:highlight w:val="none"/>
        </w:rPr>
        <w:t>暂列金额</w:t>
      </w:r>
      <w:bookmarkEnd w:id="936"/>
      <w:bookmarkEnd w:id="937"/>
      <w:bookmarkEnd w:id="938"/>
      <w:bookmarkEnd w:id="939"/>
      <w:bookmarkEnd w:id="940"/>
      <w:bookmarkEnd w:id="941"/>
      <w:bookmarkEnd w:id="942"/>
      <w:bookmarkEnd w:id="943"/>
    </w:p>
    <w:p w14:paraId="03224139">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合同当事人关于暂列金额使用的约定：</w:t>
      </w:r>
      <w:r>
        <w:rPr>
          <w:rFonts w:hint="eastAsia"/>
          <w:color w:val="auto"/>
          <w:sz w:val="21"/>
          <w:szCs w:val="21"/>
          <w:highlight w:val="none"/>
          <w:u w:val="single"/>
          <w:lang w:eastAsia="zh-CN"/>
        </w:rPr>
        <w:t>暂列金额是发包人为可能发生的合同价款调整而预先预留的资金，属发包人所有。暂列金额的使用须同时满足以下条件：（1）合同履行过程中确实发生了本专用合同条款约定的变更或工程量清单缺项等合同价款调整事件；（2）该事件已按本合同约定的变更程序取得发包人的书面批准；（3）相应工程量已由承包人实施完毕并经监理人和发包人验收合格。暂列金额由发包人依据工程变更指令和相关签证文件据实拨付，承包人不得自行使用。在竣工结算时，暂列金额余额归发包人所有，从合同总价中扣除。暂列金额不足的，应由发包人通过增加投资等合规渠道予以解决，在资金来源未落实前承包人有权拒绝实施相应的超出暂列金额部分的工程变更。涉及使用财政资金支付的暂列金额动用事项，须按崇左市及天等县政府投资项目管理的有关规定办理审批手续，在审批手续完成前不得擅自实施变更。</w:t>
      </w:r>
    </w:p>
    <w:p w14:paraId="38067705">
      <w:pPr>
        <w:pStyle w:val="4"/>
        <w:numPr>
          <w:ilvl w:val="0"/>
          <w:numId w:val="6"/>
        </w:numPr>
        <w:rPr>
          <w:color w:val="auto"/>
          <w:highlight w:val="none"/>
        </w:rPr>
      </w:pPr>
      <w:bookmarkStart w:id="944" w:name="_Toc1190723452"/>
      <w:bookmarkStart w:id="945" w:name="_Toc373227746"/>
      <w:bookmarkStart w:id="946" w:name="_Toc19388"/>
      <w:bookmarkStart w:id="947" w:name="_Toc407135249"/>
      <w:bookmarkStart w:id="948" w:name="_Toc351203643"/>
      <w:bookmarkStart w:id="949" w:name="_Toc389065312"/>
      <w:bookmarkStart w:id="950" w:name="_Toc78449835"/>
      <w:bookmarkStart w:id="951" w:name="_Toc373478393"/>
      <w:bookmarkStart w:id="952" w:name="_Toc136736539"/>
      <w:r>
        <w:rPr>
          <w:rFonts w:hint="eastAsia" w:hAnsi="宋体" w:cs="黑体"/>
          <w:color w:val="auto"/>
          <w:highlight w:val="none"/>
        </w:rPr>
        <w:t>价格调整</w:t>
      </w:r>
      <w:bookmarkEnd w:id="944"/>
      <w:bookmarkEnd w:id="945"/>
      <w:bookmarkEnd w:id="946"/>
      <w:bookmarkEnd w:id="947"/>
      <w:bookmarkEnd w:id="948"/>
      <w:bookmarkEnd w:id="949"/>
      <w:bookmarkEnd w:id="950"/>
      <w:bookmarkEnd w:id="951"/>
      <w:bookmarkEnd w:id="952"/>
    </w:p>
    <w:p w14:paraId="0DA0A920">
      <w:pPr>
        <w:pStyle w:val="5"/>
        <w:rPr>
          <w:color w:val="auto"/>
          <w:highlight w:val="none"/>
        </w:rPr>
      </w:pPr>
      <w:bookmarkStart w:id="953" w:name="_Toc1501386015"/>
      <w:bookmarkStart w:id="954" w:name="_Toc373478394"/>
      <w:bookmarkStart w:id="955" w:name="_Toc78449836"/>
      <w:bookmarkStart w:id="956" w:name="_Toc373227747"/>
      <w:bookmarkStart w:id="957" w:name="_Toc407135250"/>
      <w:bookmarkStart w:id="958" w:name="_Toc42268484"/>
      <w:bookmarkStart w:id="959" w:name="_Toc389065313"/>
      <w:bookmarkStart w:id="960" w:name="_Toc14359"/>
      <w:bookmarkStart w:id="961" w:name="_Toc292559911"/>
      <w:bookmarkStart w:id="962" w:name="_Toc297048387"/>
      <w:bookmarkStart w:id="963" w:name="_Toc297120501"/>
      <w:bookmarkStart w:id="964" w:name="_Toc297216209"/>
      <w:bookmarkStart w:id="965" w:name="_Toc292559406"/>
      <w:bookmarkStart w:id="966" w:name="_Toc303539157"/>
      <w:bookmarkStart w:id="967" w:name="_Toc304295577"/>
      <w:bookmarkStart w:id="968" w:name="_Toc312678039"/>
      <w:bookmarkStart w:id="969" w:name="_Toc296347200"/>
      <w:bookmarkStart w:id="970" w:name="_Toc296891241"/>
      <w:bookmarkStart w:id="971" w:name="_Toc296503201"/>
      <w:bookmarkStart w:id="972" w:name="_Toc300935000"/>
      <w:bookmarkStart w:id="973" w:name="_Toc296891029"/>
      <w:bookmarkStart w:id="974" w:name="_Toc296944540"/>
      <w:bookmarkStart w:id="975" w:name="_Toc296346702"/>
      <w:bookmarkStart w:id="976" w:name="_Toc297123550"/>
      <w:r>
        <w:rPr>
          <w:color w:val="auto"/>
          <w:highlight w:val="none"/>
        </w:rPr>
        <w:t>11.1</w:t>
      </w:r>
      <w:r>
        <w:rPr>
          <w:rFonts w:hint="eastAsia" w:cs="黑体"/>
          <w:color w:val="auto"/>
          <w:highlight w:val="none"/>
        </w:rPr>
        <w:t>市场价格波动引起的调整</w:t>
      </w:r>
      <w:bookmarkEnd w:id="953"/>
      <w:bookmarkEnd w:id="954"/>
      <w:bookmarkEnd w:id="955"/>
      <w:bookmarkEnd w:id="956"/>
      <w:bookmarkEnd w:id="957"/>
      <w:bookmarkEnd w:id="958"/>
      <w:bookmarkEnd w:id="959"/>
      <w:bookmarkEnd w:id="960"/>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14:paraId="47109C3C">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市场价格波动是否调整合同价格的约定：</w:t>
      </w:r>
      <w:r>
        <w:rPr>
          <w:rFonts w:hint="eastAsia"/>
          <w:color w:val="auto"/>
          <w:sz w:val="21"/>
          <w:szCs w:val="21"/>
          <w:highlight w:val="none"/>
          <w:u w:val="single"/>
        </w:rPr>
        <w:t>非施工单位原因造成的主要材料价差在5%以内（含5%）的，由施工单位承担；超过5%部分的价差，由建设单位承担</w:t>
      </w:r>
      <w:r>
        <w:rPr>
          <w:rFonts w:hint="eastAsia" w:hAnsi="宋体" w:cs="宋体"/>
          <w:color w:val="auto"/>
          <w:sz w:val="21"/>
          <w:szCs w:val="21"/>
          <w:highlight w:val="none"/>
        </w:rPr>
        <w:t>。</w:t>
      </w:r>
    </w:p>
    <w:p w14:paraId="0E8D5D3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因市场价格波动调整合同价格，采用以下第种方式对合同价格进行调整：</w:t>
      </w:r>
    </w:p>
    <w:p w14:paraId="747EDA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第</w:t>
      </w:r>
      <w:r>
        <w:rPr>
          <w:color w:val="auto"/>
          <w:sz w:val="21"/>
          <w:szCs w:val="21"/>
          <w:highlight w:val="none"/>
        </w:rPr>
        <w:t>1</w:t>
      </w:r>
      <w:r>
        <w:rPr>
          <w:rFonts w:hint="eastAsia" w:hAnsi="宋体" w:cs="宋体"/>
          <w:color w:val="auto"/>
          <w:sz w:val="21"/>
          <w:szCs w:val="21"/>
          <w:highlight w:val="none"/>
        </w:rPr>
        <w:t>种方式：采用价格指数进行价格调整。</w:t>
      </w:r>
    </w:p>
    <w:p w14:paraId="12E3C98D">
      <w:pPr>
        <w:spacing w:line="360" w:lineRule="auto"/>
        <w:ind w:firstLine="420" w:firstLineChars="200"/>
        <w:jc w:val="left"/>
        <w:rPr>
          <w:rFonts w:hint="eastAsia" w:eastAsia="宋体"/>
          <w:color w:val="auto"/>
          <w:sz w:val="21"/>
          <w:szCs w:val="21"/>
          <w:highlight w:val="none"/>
          <w:u w:val="single"/>
          <w:lang w:eastAsia="zh-CN"/>
        </w:rPr>
      </w:pPr>
      <w:r>
        <w:rPr>
          <w:rFonts w:hint="eastAsia" w:hAnsi="宋体" w:cs="宋体"/>
          <w:color w:val="auto"/>
          <w:sz w:val="21"/>
          <w:szCs w:val="21"/>
          <w:highlight w:val="none"/>
        </w:rPr>
        <w:t>关于各可调因子、定值和变值权重，以及基本价格指数及其来源的约定：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C1F87E2">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第</w:t>
      </w:r>
      <w:r>
        <w:rPr>
          <w:color w:val="auto"/>
          <w:sz w:val="21"/>
          <w:szCs w:val="21"/>
          <w:highlight w:val="none"/>
        </w:rPr>
        <w:t>2</w:t>
      </w:r>
      <w:r>
        <w:rPr>
          <w:rFonts w:hint="eastAsia" w:hAnsi="宋体" w:cs="宋体"/>
          <w:color w:val="auto"/>
          <w:sz w:val="21"/>
          <w:szCs w:val="21"/>
          <w:highlight w:val="none"/>
        </w:rPr>
        <w:t>种方式：采用造价信息进行价格调整。</w:t>
      </w:r>
    </w:p>
    <w:p w14:paraId="50E5411E">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）允许调整主要材料和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设备、基期价格、风险系数、投标报价详见《</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设备一览表》</w:t>
      </w:r>
      <w:r>
        <w:rPr>
          <w:rFonts w:hint="eastAsia" w:ascii="宋体" w:hAnsi="宋体"/>
          <w:color w:val="auto"/>
          <w:kern w:val="0"/>
          <w:sz w:val="21"/>
          <w:szCs w:val="21"/>
          <w:highlight w:val="none"/>
        </w:rPr>
        <w:t>（表</w:t>
      </w:r>
      <w:r>
        <w:rPr>
          <w:rFonts w:ascii="宋体" w:hAnsi="宋体"/>
          <w:color w:val="auto"/>
          <w:kern w:val="0"/>
          <w:sz w:val="21"/>
          <w:szCs w:val="21"/>
          <w:highlight w:val="none"/>
        </w:rPr>
        <w:t>-22</w:t>
      </w:r>
      <w:r>
        <w:rPr>
          <w:rFonts w:hint="eastAsia" w:ascii="宋体" w:hAnsi="宋体"/>
          <w:color w:val="auto"/>
          <w:kern w:val="0"/>
          <w:sz w:val="21"/>
          <w:szCs w:val="21"/>
          <w:highlight w:val="none"/>
        </w:rPr>
        <w:t>）</w:t>
      </w:r>
      <w:r>
        <w:rPr>
          <w:rFonts w:hint="eastAsia" w:hAnsi="宋体" w:cs="宋体"/>
          <w:color w:val="auto"/>
          <w:sz w:val="21"/>
          <w:szCs w:val="21"/>
          <w:highlight w:val="none"/>
        </w:rPr>
        <w:t>,价</w:t>
      </w:r>
      <w:r>
        <w:rPr>
          <w:rFonts w:hAnsi="宋体" w:cs="宋体"/>
          <w:color w:val="auto"/>
          <w:sz w:val="21"/>
          <w:szCs w:val="21"/>
          <w:highlight w:val="none"/>
        </w:rPr>
        <w:t>差</w:t>
      </w:r>
      <w:r>
        <w:rPr>
          <w:rFonts w:hint="eastAsia" w:ascii="Calibri" w:hAnsi="宋体" w:cs="宋体"/>
          <w:color w:val="auto"/>
          <w:sz w:val="21"/>
          <w:szCs w:val="21"/>
          <w:highlight w:val="none"/>
        </w:rPr>
        <w:t>调整部分仅计算税金，除此表列明的材料、设备外，其余材料设备价差原则上不予调整。</w:t>
      </w:r>
    </w:p>
    <w:p w14:paraId="55F8CD43">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设备确认价：</w:t>
      </w:r>
    </w:p>
    <w:p w14:paraId="753BC9A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按施工期间《</w:t>
      </w:r>
      <w:r>
        <w:rPr>
          <w:rFonts w:hint="eastAsia"/>
          <w:color w:val="auto"/>
          <w:sz w:val="21"/>
          <w:szCs w:val="21"/>
          <w:highlight w:val="none"/>
          <w:u w:val="single"/>
          <w:lang w:val="en-US" w:eastAsia="zh-CN"/>
        </w:rPr>
        <w:t>崇左</w:t>
      </w:r>
      <w:r>
        <w:rPr>
          <w:rFonts w:hint="eastAsia" w:hAnsi="宋体" w:cs="宋体"/>
          <w:color w:val="auto"/>
          <w:sz w:val="21"/>
          <w:szCs w:val="21"/>
          <w:highlight w:val="none"/>
        </w:rPr>
        <w:t>市建设工程造价信息》材料信息价的加权平均价计算，信息价没有的按通用条款规定确定。</w:t>
      </w:r>
    </w:p>
    <w:p w14:paraId="192E699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）价差计算方法：</w:t>
      </w:r>
    </w:p>
    <w:p w14:paraId="405B0F1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①《</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5F8D224">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②承包人在《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7E74B7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③承包人在《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7599806">
      <w:pPr>
        <w:spacing w:line="360" w:lineRule="auto"/>
        <w:ind w:firstLine="645"/>
        <w:jc w:val="left"/>
        <w:rPr>
          <w:color w:val="auto"/>
          <w:sz w:val="21"/>
          <w:szCs w:val="21"/>
          <w:highlight w:val="none"/>
        </w:rPr>
      </w:pPr>
      <w:r>
        <w:rPr>
          <w:rFonts w:hint="eastAsia" w:hAnsi="宋体" w:cs="宋体"/>
          <w:color w:val="auto"/>
          <w:sz w:val="21"/>
          <w:szCs w:val="21"/>
          <w:highlight w:val="none"/>
        </w:rPr>
        <w:t>第</w:t>
      </w:r>
      <w:r>
        <w:rPr>
          <w:rFonts w:hAnsi="宋体"/>
          <w:color w:val="auto"/>
          <w:sz w:val="21"/>
          <w:szCs w:val="21"/>
          <w:highlight w:val="none"/>
        </w:rPr>
        <w:t>3</w:t>
      </w:r>
      <w:r>
        <w:rPr>
          <w:rFonts w:hint="eastAsia" w:hAnsi="宋体" w:cs="宋体"/>
          <w:color w:val="auto"/>
          <w:sz w:val="21"/>
          <w:szCs w:val="21"/>
          <w:highlight w:val="none"/>
        </w:rPr>
        <w:t>种方式：</w:t>
      </w:r>
      <w:r>
        <w:rPr>
          <w:rFonts w:hint="eastAsia"/>
          <w:color w:val="auto"/>
          <w:sz w:val="21"/>
          <w:szCs w:val="21"/>
          <w:highlight w:val="none"/>
          <w:u w:val="single"/>
          <w:lang w:val="en-US" w:eastAsia="zh-CN"/>
        </w:rPr>
        <w:t>/</w:t>
      </w:r>
      <w:r>
        <w:rPr>
          <w:rFonts w:hint="eastAsia" w:cs="宋体"/>
          <w:color w:val="auto"/>
          <w:sz w:val="21"/>
          <w:szCs w:val="21"/>
          <w:highlight w:val="none"/>
        </w:rPr>
        <w:t>。</w:t>
      </w:r>
    </w:p>
    <w:bookmarkEnd w:id="799"/>
    <w:bookmarkEnd w:id="800"/>
    <w:bookmarkEnd w:id="801"/>
    <w:bookmarkEnd w:id="802"/>
    <w:bookmarkEnd w:id="803"/>
    <w:bookmarkEnd w:id="804"/>
    <w:p w14:paraId="5F7D5425">
      <w:pPr>
        <w:pStyle w:val="4"/>
        <w:rPr>
          <w:color w:val="auto"/>
          <w:highlight w:val="none"/>
        </w:rPr>
      </w:pPr>
      <w:bookmarkStart w:id="977" w:name="_Toc296346706"/>
      <w:bookmarkStart w:id="978" w:name="_Toc296891033"/>
      <w:bookmarkStart w:id="979" w:name="_Toc296944544"/>
      <w:bookmarkStart w:id="980" w:name="_Toc292559410"/>
      <w:bookmarkStart w:id="981" w:name="_Toc296891245"/>
      <w:bookmarkStart w:id="982" w:name="_Toc297048391"/>
      <w:bookmarkStart w:id="983" w:name="_Toc292559915"/>
      <w:bookmarkStart w:id="984" w:name="_Toc297120505"/>
      <w:bookmarkStart w:id="985" w:name="_Toc296503205"/>
      <w:bookmarkStart w:id="986" w:name="_Toc296347204"/>
      <w:bookmarkStart w:id="987" w:name="_Toc19601"/>
      <w:bookmarkStart w:id="988" w:name="_Toc351203644"/>
      <w:bookmarkStart w:id="989" w:name="_Toc1720046426"/>
      <w:bookmarkStart w:id="990" w:name="_Toc407135251"/>
      <w:bookmarkStart w:id="991" w:name="_Toc373478395"/>
      <w:bookmarkStart w:id="992" w:name="_Toc373227748"/>
      <w:bookmarkStart w:id="993" w:name="_Toc78449837"/>
      <w:bookmarkStart w:id="994" w:name="_Toc1935657796"/>
      <w:bookmarkStart w:id="995" w:name="_Toc297123552"/>
      <w:bookmarkStart w:id="996" w:name="_Toc303539159"/>
      <w:bookmarkStart w:id="997" w:name="_Toc304295579"/>
      <w:bookmarkStart w:id="998" w:name="_Toc297216211"/>
      <w:bookmarkStart w:id="999" w:name="_Toc300935002"/>
      <w:bookmarkStart w:id="1000" w:name="_Toc312678040"/>
      <w:r>
        <w:rPr>
          <w:color w:val="auto"/>
          <w:highlight w:val="none"/>
        </w:rPr>
        <w:t>12.</w:t>
      </w:r>
      <w:bookmarkEnd w:id="977"/>
      <w:bookmarkEnd w:id="978"/>
      <w:bookmarkEnd w:id="979"/>
      <w:bookmarkEnd w:id="980"/>
      <w:bookmarkEnd w:id="981"/>
      <w:bookmarkEnd w:id="982"/>
      <w:bookmarkEnd w:id="983"/>
      <w:bookmarkEnd w:id="984"/>
      <w:bookmarkEnd w:id="985"/>
      <w:bookmarkEnd w:id="986"/>
      <w:r>
        <w:rPr>
          <w:rFonts w:hint="eastAsia" w:cs="黑体"/>
          <w:color w:val="auto"/>
          <w:highlight w:val="none"/>
        </w:rPr>
        <w:t>合同价格、计量与支付</w:t>
      </w:r>
      <w:bookmarkEnd w:id="987"/>
      <w:bookmarkEnd w:id="988"/>
      <w:bookmarkEnd w:id="989"/>
      <w:bookmarkEnd w:id="990"/>
      <w:bookmarkEnd w:id="991"/>
      <w:bookmarkEnd w:id="992"/>
      <w:bookmarkEnd w:id="993"/>
      <w:bookmarkEnd w:id="994"/>
    </w:p>
    <w:bookmarkEnd w:id="995"/>
    <w:bookmarkEnd w:id="996"/>
    <w:bookmarkEnd w:id="997"/>
    <w:bookmarkEnd w:id="998"/>
    <w:bookmarkEnd w:id="999"/>
    <w:bookmarkEnd w:id="1000"/>
    <w:p w14:paraId="22855D64">
      <w:pPr>
        <w:pStyle w:val="5"/>
        <w:rPr>
          <w:color w:val="auto"/>
          <w:highlight w:val="none"/>
        </w:rPr>
      </w:pPr>
      <w:bookmarkStart w:id="1001" w:name="_Toc292559916"/>
      <w:bookmarkStart w:id="1002" w:name="_Toc267251461"/>
      <w:bookmarkStart w:id="1003" w:name="_Toc292559411"/>
      <w:bookmarkStart w:id="1004" w:name="_Toc297048392"/>
      <w:bookmarkStart w:id="1005" w:name="_Toc296503206"/>
      <w:bookmarkStart w:id="1006" w:name="_Toc296891246"/>
      <w:bookmarkStart w:id="1007" w:name="_Toc297120506"/>
      <w:bookmarkStart w:id="1008" w:name="_Toc296944545"/>
      <w:bookmarkStart w:id="1009" w:name="_Toc296347205"/>
      <w:bookmarkStart w:id="1010" w:name="_Toc296891034"/>
      <w:bookmarkStart w:id="1011" w:name="_Toc296346707"/>
      <w:bookmarkStart w:id="1012" w:name="_Toc373478396"/>
      <w:bookmarkStart w:id="1013" w:name="_Toc1395756356"/>
      <w:bookmarkStart w:id="1014" w:name="_Toc407135252"/>
      <w:bookmarkStart w:id="1015" w:name="_Toc78449838"/>
      <w:bookmarkStart w:id="1016" w:name="_Toc3567"/>
      <w:bookmarkStart w:id="1017" w:name="_Toc1894565429"/>
      <w:bookmarkStart w:id="1018" w:name="_Toc373227749"/>
      <w:bookmarkStart w:id="1019" w:name="_Toc389065314"/>
      <w:bookmarkStart w:id="1020" w:name="_Toc300935003"/>
      <w:bookmarkStart w:id="1021" w:name="_Toc297216212"/>
      <w:bookmarkStart w:id="1022" w:name="_Toc297123553"/>
      <w:bookmarkStart w:id="1023" w:name="_Toc304295580"/>
      <w:bookmarkStart w:id="1024" w:name="_Toc312678041"/>
      <w:bookmarkStart w:id="1025" w:name="_Toc303539160"/>
      <w:r>
        <w:rPr>
          <w:color w:val="auto"/>
          <w:highlight w:val="none"/>
        </w:rPr>
        <w:t>12.1</w:t>
      </w:r>
      <w:r>
        <w:rPr>
          <w:rFonts w:hint="eastAsia" w:hAnsi="宋体" w:cs="黑体"/>
          <w:color w:val="auto"/>
          <w:highlight w:val="none"/>
        </w:rPr>
        <w:t>合</w:t>
      </w:r>
      <w:bookmarkEnd w:id="1001"/>
      <w:bookmarkEnd w:id="1002"/>
      <w:bookmarkEnd w:id="1003"/>
      <w:r>
        <w:rPr>
          <w:rFonts w:hint="eastAsia" w:hAnsi="宋体" w:cs="黑体"/>
          <w:color w:val="auto"/>
          <w:highlight w:val="none"/>
        </w:rPr>
        <w:t>同价</w:t>
      </w:r>
      <w:bookmarkEnd w:id="1004"/>
      <w:bookmarkEnd w:id="1005"/>
      <w:bookmarkEnd w:id="1006"/>
      <w:bookmarkEnd w:id="1007"/>
      <w:bookmarkEnd w:id="1008"/>
      <w:bookmarkEnd w:id="1009"/>
      <w:bookmarkEnd w:id="1010"/>
      <w:bookmarkEnd w:id="1011"/>
      <w:r>
        <w:rPr>
          <w:rFonts w:hint="eastAsia" w:hAnsi="宋体" w:cs="黑体"/>
          <w:color w:val="auto"/>
          <w:highlight w:val="none"/>
        </w:rPr>
        <w:t>格形式</w:t>
      </w:r>
      <w:bookmarkEnd w:id="1012"/>
      <w:bookmarkEnd w:id="1013"/>
      <w:bookmarkEnd w:id="1014"/>
      <w:bookmarkEnd w:id="1015"/>
      <w:bookmarkEnd w:id="1016"/>
      <w:bookmarkEnd w:id="1017"/>
      <w:bookmarkEnd w:id="1018"/>
      <w:bookmarkEnd w:id="1019"/>
    </w:p>
    <w:bookmarkEnd w:id="1020"/>
    <w:bookmarkEnd w:id="1021"/>
    <w:bookmarkEnd w:id="1022"/>
    <w:bookmarkEnd w:id="1023"/>
    <w:bookmarkEnd w:id="1024"/>
    <w:bookmarkEnd w:id="1025"/>
    <w:p w14:paraId="650BE950">
      <w:pPr>
        <w:spacing w:line="360" w:lineRule="auto"/>
        <w:ind w:firstLine="420" w:firstLineChars="200"/>
        <w:jc w:val="left"/>
        <w:rPr>
          <w:rFonts w:hAnsi="宋体"/>
          <w:color w:val="auto"/>
          <w:sz w:val="21"/>
          <w:szCs w:val="21"/>
          <w:highlight w:val="none"/>
        </w:rPr>
      </w:pPr>
      <w:bookmarkStart w:id="1026" w:name="_Toc373227750"/>
      <w:bookmarkStart w:id="1027" w:name="_Toc389065315"/>
      <w:bookmarkStart w:id="1028" w:name="_Toc373478397"/>
      <w:bookmarkStart w:id="1029" w:name="_Toc312678042"/>
      <w:bookmarkStart w:id="1030" w:name="_Toc297216213"/>
      <w:bookmarkStart w:id="1031" w:name="_Toc304295581"/>
      <w:bookmarkStart w:id="1032" w:name="_Toc297123554"/>
      <w:bookmarkStart w:id="1033" w:name="_Toc303539161"/>
      <w:bookmarkStart w:id="1034" w:name="_Toc300935004"/>
      <w:bookmarkStart w:id="1035" w:name="_Toc296346708"/>
      <w:bookmarkStart w:id="1036" w:name="_Toc296891035"/>
      <w:bookmarkStart w:id="1037" w:name="_Toc296944546"/>
      <w:bookmarkStart w:id="1038" w:name="_Toc296347206"/>
      <w:bookmarkStart w:id="1039" w:name="_Toc296891247"/>
      <w:bookmarkStart w:id="1040" w:name="_Toc297048393"/>
      <w:bookmarkStart w:id="1041" w:name="_Toc296503207"/>
      <w:bookmarkStart w:id="1042" w:name="_Toc292559412"/>
      <w:bookmarkStart w:id="1043" w:name="_Toc292559917"/>
      <w:bookmarkStart w:id="1044" w:name="_Toc297120507"/>
      <w:r>
        <w:rPr>
          <w:rFonts w:hint="eastAsia" w:hAnsi="宋体" w:cs="宋体"/>
          <w:color w:val="auto"/>
          <w:sz w:val="21"/>
          <w:szCs w:val="21"/>
          <w:highlight w:val="none"/>
        </w:rPr>
        <w:t>本工程采用</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1</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单价合同</w:t>
      </w:r>
      <w:r>
        <w:rPr>
          <w:rFonts w:hint="eastAsia" w:hAnsi="宋体" w:cs="宋体"/>
          <w:color w:val="auto"/>
          <w:sz w:val="21"/>
          <w:szCs w:val="21"/>
          <w:highlight w:val="none"/>
        </w:rPr>
        <w:t>合同价格形式，合同价格包含增值税，本工程计价时采用的增值税计税方法为：</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一般计税法</w:t>
      </w:r>
      <w:r>
        <w:rPr>
          <w:rFonts w:hint="eastAsia" w:ascii="宋体" w:hAnsi="宋体" w:cs="宋体"/>
          <w:color w:val="auto"/>
          <w:sz w:val="21"/>
          <w:szCs w:val="21"/>
          <w:highlight w:val="none"/>
        </w:rPr>
        <w:t>□</w:t>
      </w:r>
      <w:r>
        <w:rPr>
          <w:rFonts w:hint="eastAsia" w:hAnsi="宋体" w:cs="宋体"/>
          <w:color w:val="auto"/>
          <w:sz w:val="21"/>
          <w:szCs w:val="21"/>
          <w:highlight w:val="none"/>
        </w:rPr>
        <w:t>简易计税法。</w:t>
      </w:r>
    </w:p>
    <w:p w14:paraId="2BFBD99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）单价合同。</w:t>
      </w:r>
    </w:p>
    <w:p w14:paraId="78741BB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采用综合单价合同方式时，工程量按建设单位、监理单位、施工单位三方确认的竣工图结算。</w:t>
      </w:r>
    </w:p>
    <w:p w14:paraId="4034615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综合单价包含的风险范围：</w:t>
      </w:r>
      <w:r>
        <w:rPr>
          <w:rFonts w:hint="eastAsia" w:hAnsi="宋体" w:cs="宋体"/>
          <w:color w:val="auto"/>
          <w:sz w:val="21"/>
          <w:szCs w:val="21"/>
          <w:highlight w:val="none"/>
          <w:u w:val="single"/>
        </w:rPr>
        <w:t>除工程变更、项目特征不符、工程量清单缺项、工程量偏差、政策性调整、市场价格波动。</w:t>
      </w:r>
    </w:p>
    <w:p w14:paraId="37057439">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3F7E373F">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①工程变更</w:t>
      </w:r>
      <w:r>
        <w:rPr>
          <w:rFonts w:hint="eastAsia" w:ascii="Calibri" w:hAnsi="宋体" w:cs="宋体"/>
          <w:color w:val="auto"/>
          <w:sz w:val="21"/>
          <w:szCs w:val="21"/>
          <w:highlight w:val="none"/>
        </w:rPr>
        <w:t>、项目特征不符、工程量清单缺项</w:t>
      </w:r>
      <w:r>
        <w:rPr>
          <w:rFonts w:hint="eastAsia" w:hAnsi="宋体" w:cs="宋体"/>
          <w:color w:val="auto"/>
          <w:sz w:val="21"/>
          <w:szCs w:val="21"/>
          <w:highlight w:val="none"/>
        </w:rPr>
        <w:t>：按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04248DA7">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②</w:t>
      </w:r>
      <w:r>
        <w:rPr>
          <w:rFonts w:hint="eastAsia" w:ascii="Calibri" w:hAnsi="宋体" w:cs="宋体"/>
          <w:color w:val="auto"/>
          <w:sz w:val="21"/>
          <w:szCs w:val="21"/>
          <w:highlight w:val="none"/>
        </w:rPr>
        <w:t>工程量偏差：按1.13工程量清单错误修正的约定调整。</w:t>
      </w:r>
    </w:p>
    <w:p w14:paraId="3B1C49FC">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③政策性调整：</w:t>
      </w:r>
      <w:r>
        <w:rPr>
          <w:rFonts w:hint="eastAsia" w:ascii="仿宋_GB2312" w:hAnsi="宋体"/>
          <w:color w:val="auto"/>
          <w:sz w:val="21"/>
          <w:szCs w:val="21"/>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sz w:val="21"/>
          <w:szCs w:val="21"/>
          <w:highlight w:val="none"/>
        </w:rPr>
        <w:t>住房城乡建设主管部门颁布的文件执行</w:t>
      </w:r>
      <w:r>
        <w:rPr>
          <w:rFonts w:hint="eastAsia" w:hAnsi="宋体" w:cs="宋体"/>
          <w:color w:val="auto"/>
          <w:sz w:val="21"/>
          <w:szCs w:val="21"/>
          <w:highlight w:val="none"/>
        </w:rPr>
        <w:t>。</w:t>
      </w:r>
    </w:p>
    <w:p w14:paraId="07F4BFC4">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④市场波动引起的调整：按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1AC6A3C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⑤其它：。</w:t>
      </w:r>
    </w:p>
    <w:p w14:paraId="080931A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2</w:t>
      </w:r>
      <w:r>
        <w:rPr>
          <w:rFonts w:hint="eastAsia" w:hAnsi="宋体" w:cs="宋体"/>
          <w:color w:val="auto"/>
          <w:sz w:val="21"/>
          <w:szCs w:val="21"/>
          <w:highlight w:val="none"/>
        </w:rPr>
        <w:t>）总价合同。</w:t>
      </w:r>
    </w:p>
    <w:p w14:paraId="701FDA1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总价包含的风险范围：包含除工程变更、政策性调整、</w:t>
      </w:r>
      <w:r>
        <w:rPr>
          <w:rFonts w:hint="eastAsia" w:hAnsi="宋体" w:cs="宋体"/>
          <w:color w:val="auto"/>
          <w:sz w:val="21"/>
          <w:szCs w:val="21"/>
          <w:highlight w:val="none"/>
          <w:u w:val="single"/>
        </w:rPr>
        <w:t>市场价格波动。除工程变更外，结算时不再对招标施工图对应的工程量重新计量</w:t>
      </w:r>
      <w:r>
        <w:rPr>
          <w:rFonts w:hint="eastAsia" w:hAnsi="宋体" w:cs="宋体"/>
          <w:color w:val="auto"/>
          <w:sz w:val="21"/>
          <w:szCs w:val="21"/>
          <w:highlight w:val="none"/>
        </w:rPr>
        <w:t>。</w:t>
      </w:r>
    </w:p>
    <w:p w14:paraId="7E626324">
      <w:pPr>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风险范围以外合同价格的调整方法：</w:t>
      </w:r>
    </w:p>
    <w:p w14:paraId="5F031D38">
      <w:pPr>
        <w:numPr>
          <w:ilvl w:val="0"/>
          <w:numId w:val="7"/>
        </w:numPr>
        <w:spacing w:line="360" w:lineRule="auto"/>
        <w:ind w:firstLine="420" w:firstLineChars="0"/>
        <w:jc w:val="left"/>
        <w:rPr>
          <w:rFonts w:hint="eastAsia" w:hAnsi="宋体" w:cs="宋体"/>
          <w:color w:val="auto"/>
          <w:sz w:val="21"/>
          <w:szCs w:val="21"/>
          <w:highlight w:val="none"/>
        </w:rPr>
      </w:pPr>
      <w:r>
        <w:rPr>
          <w:rFonts w:hint="eastAsia" w:hAnsi="宋体" w:cs="宋体"/>
          <w:color w:val="auto"/>
          <w:sz w:val="21"/>
          <w:szCs w:val="21"/>
          <w:highlight w:val="none"/>
        </w:rPr>
        <w:t>工程变更：按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54F018D2">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②政策性调整：</w:t>
      </w:r>
      <w:r>
        <w:rPr>
          <w:rFonts w:hint="eastAsia" w:ascii="仿宋_GB2312" w:hAnsi="宋体"/>
          <w:color w:val="auto"/>
          <w:sz w:val="21"/>
          <w:szCs w:val="21"/>
          <w:highlight w:val="none"/>
        </w:rPr>
        <w:t>按国</w:t>
      </w:r>
      <w:r>
        <w:rPr>
          <w:rFonts w:ascii="仿宋_GB2312" w:hAnsi="宋体"/>
          <w:color w:val="auto"/>
          <w:sz w:val="21"/>
          <w:szCs w:val="21"/>
          <w:highlight w:val="none"/>
        </w:rPr>
        <w:t>家、</w:t>
      </w:r>
      <w:r>
        <w:rPr>
          <w:rFonts w:hint="eastAsia" w:ascii="仿宋_GB2312" w:hAnsi="宋体"/>
          <w:color w:val="auto"/>
          <w:sz w:val="21"/>
          <w:szCs w:val="21"/>
          <w:highlight w:val="none"/>
        </w:rPr>
        <w:t>自治区住房城乡建设厅或工程所在地市级住房城乡建设主管部门颁布的文件执行</w:t>
      </w:r>
      <w:r>
        <w:rPr>
          <w:rFonts w:hint="eastAsia" w:hAnsi="宋体" w:cs="宋体"/>
          <w:color w:val="auto"/>
          <w:sz w:val="21"/>
          <w:szCs w:val="21"/>
          <w:highlight w:val="none"/>
        </w:rPr>
        <w:t>。</w:t>
      </w:r>
    </w:p>
    <w:p w14:paraId="404B2AE0">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41803DAA">
      <w:pPr>
        <w:spacing w:line="360" w:lineRule="auto"/>
        <w:ind w:firstLine="420" w:firstLineChars="200"/>
        <w:jc w:val="left"/>
        <w:rPr>
          <w:rFonts w:hAnsi="宋体"/>
          <w:color w:val="auto"/>
          <w:sz w:val="21"/>
          <w:szCs w:val="21"/>
          <w:highlight w:val="none"/>
        </w:rPr>
      </w:pPr>
      <w:r>
        <w:rPr>
          <w:rFonts w:hAnsi="宋体" w:cs="宋体"/>
          <w:color w:val="auto"/>
          <w:sz w:val="21"/>
          <w:szCs w:val="21"/>
          <w:highlight w:val="none"/>
        </w:rPr>
        <w:fldChar w:fldCharType="begin"/>
      </w:r>
      <w:r>
        <w:rPr>
          <w:rFonts w:hAnsi="宋体" w:cs="宋体"/>
          <w:color w:val="auto"/>
          <w:sz w:val="21"/>
          <w:szCs w:val="21"/>
          <w:highlight w:val="none"/>
        </w:rPr>
        <w:instrText xml:space="preserve"> </w:instrText>
      </w:r>
      <w:r>
        <w:rPr>
          <w:rFonts w:hint="eastAsia" w:hAnsi="宋体" w:cs="宋体"/>
          <w:color w:val="auto"/>
          <w:sz w:val="21"/>
          <w:szCs w:val="21"/>
          <w:highlight w:val="none"/>
        </w:rPr>
        <w:instrText xml:space="preserve">= 4 \* GB3</w:instrText>
      </w:r>
      <w:r>
        <w:rPr>
          <w:rFonts w:hAnsi="宋体" w:cs="宋体"/>
          <w:color w:val="auto"/>
          <w:sz w:val="21"/>
          <w:szCs w:val="21"/>
          <w:highlight w:val="none"/>
        </w:rPr>
        <w:instrText xml:space="preserve"> </w:instrText>
      </w:r>
      <w:r>
        <w:rPr>
          <w:rFonts w:hAnsi="宋体" w:cs="宋体"/>
          <w:color w:val="auto"/>
          <w:sz w:val="21"/>
          <w:szCs w:val="21"/>
          <w:highlight w:val="none"/>
        </w:rPr>
        <w:fldChar w:fldCharType="separate"/>
      </w:r>
      <w:r>
        <w:rPr>
          <w:rFonts w:hint="eastAsia" w:hAnsi="宋体" w:cs="宋体"/>
          <w:color w:val="auto"/>
          <w:sz w:val="21"/>
          <w:szCs w:val="21"/>
          <w:highlight w:val="none"/>
        </w:rPr>
        <w:t>④</w:t>
      </w:r>
      <w:r>
        <w:rPr>
          <w:rFonts w:hAnsi="宋体" w:cs="宋体"/>
          <w:color w:val="auto"/>
          <w:sz w:val="21"/>
          <w:szCs w:val="21"/>
          <w:highlight w:val="none"/>
        </w:rPr>
        <w:fldChar w:fldCharType="end"/>
      </w:r>
      <w:r>
        <w:rPr>
          <w:rFonts w:hint="eastAsia" w:hAnsi="宋体" w:cs="宋体"/>
          <w:color w:val="auto"/>
          <w:sz w:val="21"/>
          <w:szCs w:val="21"/>
          <w:highlight w:val="none"/>
        </w:rPr>
        <w:t>其它：</w:t>
      </w:r>
      <w:r>
        <w:rPr>
          <w:rFonts w:hint="eastAsia" w:hAnsi="宋体"/>
          <w:color w:val="auto"/>
          <w:sz w:val="21"/>
          <w:szCs w:val="21"/>
          <w:highlight w:val="none"/>
          <w:u w:val="single"/>
          <w:lang w:val="en-US" w:eastAsia="zh-CN"/>
        </w:rPr>
        <w:t>/</w:t>
      </w:r>
      <w:r>
        <w:rPr>
          <w:rFonts w:hint="eastAsia" w:hAnsi="宋体" w:cs="宋体"/>
          <w:color w:val="auto"/>
          <w:sz w:val="21"/>
          <w:szCs w:val="21"/>
          <w:highlight w:val="none"/>
        </w:rPr>
        <w:t>。</w:t>
      </w:r>
    </w:p>
    <w:p w14:paraId="4107BE76">
      <w:pPr>
        <w:spacing w:line="360" w:lineRule="auto"/>
        <w:ind w:firstLine="420" w:firstLineChars="200"/>
        <w:jc w:val="left"/>
        <w:rPr>
          <w:color w:val="auto"/>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）其他价格方式：</w:t>
      </w:r>
      <w:r>
        <w:rPr>
          <w:rFonts w:hint="eastAsia"/>
          <w:color w:val="auto"/>
          <w:sz w:val="21"/>
          <w:szCs w:val="21"/>
          <w:highlight w:val="none"/>
          <w:u w:val="single"/>
          <w:lang w:val="en-US" w:eastAsia="zh-CN"/>
        </w:rPr>
        <w:t>/</w:t>
      </w:r>
      <w:r>
        <w:rPr>
          <w:rFonts w:hint="eastAsia" w:cs="宋体"/>
          <w:color w:val="auto"/>
          <w:highlight w:val="none"/>
        </w:rPr>
        <w:t>。</w:t>
      </w:r>
    </w:p>
    <w:p w14:paraId="444A5AE7">
      <w:pPr>
        <w:pStyle w:val="5"/>
        <w:rPr>
          <w:color w:val="auto"/>
          <w:highlight w:val="none"/>
        </w:rPr>
      </w:pPr>
      <w:bookmarkStart w:id="1045" w:name="_Toc78449839"/>
      <w:bookmarkStart w:id="1046" w:name="_Toc27427"/>
      <w:bookmarkStart w:id="1047" w:name="_Toc1338560546"/>
      <w:bookmarkStart w:id="1048" w:name="_Toc407135253"/>
      <w:bookmarkStart w:id="1049" w:name="_Toc1681900246"/>
      <w:r>
        <w:rPr>
          <w:color w:val="auto"/>
          <w:highlight w:val="none"/>
        </w:rPr>
        <w:t>12.2</w:t>
      </w:r>
      <w:r>
        <w:rPr>
          <w:rFonts w:hint="eastAsia" w:hAnsi="宋体" w:cs="黑体"/>
          <w:color w:val="auto"/>
          <w:highlight w:val="none"/>
        </w:rPr>
        <w:t>预付款</w:t>
      </w:r>
      <w:bookmarkEnd w:id="1026"/>
      <w:bookmarkEnd w:id="1027"/>
      <w:bookmarkEnd w:id="1028"/>
      <w:bookmarkEnd w:id="1045"/>
      <w:bookmarkEnd w:id="1046"/>
      <w:bookmarkEnd w:id="1047"/>
      <w:bookmarkEnd w:id="1048"/>
      <w:bookmarkEnd w:id="1049"/>
    </w:p>
    <w:bookmarkEnd w:id="1029"/>
    <w:bookmarkEnd w:id="1030"/>
    <w:bookmarkEnd w:id="1031"/>
    <w:bookmarkEnd w:id="1032"/>
    <w:bookmarkEnd w:id="1033"/>
    <w:bookmarkEnd w:id="1034"/>
    <w:p w14:paraId="61EE396E">
      <w:pPr>
        <w:spacing w:line="360" w:lineRule="auto"/>
        <w:ind w:firstLine="420" w:firstLineChars="200"/>
        <w:jc w:val="left"/>
        <w:rPr>
          <w:color w:val="auto"/>
          <w:sz w:val="21"/>
          <w:szCs w:val="21"/>
          <w:highlight w:val="none"/>
        </w:rPr>
      </w:pPr>
      <w:r>
        <w:rPr>
          <w:color w:val="auto"/>
          <w:sz w:val="21"/>
          <w:szCs w:val="21"/>
          <w:highlight w:val="none"/>
        </w:rPr>
        <w:t>12.2.1</w:t>
      </w:r>
      <w:r>
        <w:rPr>
          <w:rFonts w:hint="eastAsia" w:hAnsi="宋体" w:cs="宋体"/>
          <w:color w:val="auto"/>
          <w:sz w:val="21"/>
          <w:szCs w:val="21"/>
          <w:highlight w:val="none"/>
        </w:rPr>
        <w:t>预付款的支付</w:t>
      </w:r>
    </w:p>
    <w:p w14:paraId="4F1A2F7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预付款支付比例或金额：</w:t>
      </w:r>
      <w:r>
        <w:rPr>
          <w:rStyle w:val="27"/>
          <w:rFonts w:ascii="Segoe UI" w:hAnsi="Segoe UI" w:eastAsia="Segoe UI" w:cs="Segoe UI"/>
          <w:b w:val="0"/>
          <w:bCs w:val="0"/>
          <w:i w:val="0"/>
          <w:iCs w:val="0"/>
          <w:caps w:val="0"/>
          <w:color w:val="0F1115"/>
          <w:spacing w:val="0"/>
          <w:sz w:val="21"/>
          <w:szCs w:val="21"/>
          <w:highlight w:val="none"/>
          <w:u w:val="single"/>
          <w:shd w:val="clear" w:fill="FFFFFF"/>
        </w:rPr>
        <w:t>合同价（扣除暂列金额及安全文明施工费后）的30%</w:t>
      </w:r>
      <w:r>
        <w:rPr>
          <w:rFonts w:hint="eastAsia" w:hAnsi="宋体" w:cs="宋体"/>
          <w:color w:val="auto"/>
          <w:sz w:val="21"/>
          <w:szCs w:val="21"/>
          <w:highlight w:val="none"/>
        </w:rPr>
        <w:t>。</w:t>
      </w:r>
    </w:p>
    <w:p w14:paraId="045A990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预付款支付期限：</w:t>
      </w:r>
      <w:r>
        <w:rPr>
          <w:rFonts w:hint="eastAsia"/>
          <w:color w:val="auto"/>
          <w:sz w:val="21"/>
          <w:szCs w:val="21"/>
          <w:highlight w:val="none"/>
          <w:u w:val="single"/>
          <w:lang w:eastAsia="zh-CN"/>
        </w:rPr>
        <w:t>合同签订生效后，在</w:t>
      </w:r>
      <w:r>
        <w:rPr>
          <w:rFonts w:hint="eastAsia" w:ascii="Times New Roman" w:hAnsi="宋体" w:eastAsia="宋体" w:cs="宋体"/>
          <w:color w:val="auto"/>
          <w:sz w:val="21"/>
          <w:szCs w:val="21"/>
          <w:highlight w:val="none"/>
          <w:u w:val="single"/>
          <w:lang w:eastAsia="zh-CN"/>
        </w:rPr>
        <w:t>承包方</w:t>
      </w:r>
      <w:r>
        <w:rPr>
          <w:rFonts w:hint="eastAsia" w:hAnsi="宋体" w:eastAsia="宋体" w:cs="宋体"/>
          <w:color w:val="auto"/>
          <w:sz w:val="21"/>
          <w:szCs w:val="21"/>
          <w:highlight w:val="none"/>
          <w:u w:val="single"/>
          <w:lang w:eastAsia="zh-CN"/>
        </w:rPr>
        <w:t>开具</w:t>
      </w:r>
      <w:r>
        <w:rPr>
          <w:rFonts w:hint="eastAsia" w:hAnsi="宋体" w:cs="宋体"/>
          <w:color w:val="auto"/>
          <w:sz w:val="21"/>
          <w:szCs w:val="21"/>
          <w:highlight w:val="none"/>
          <w:u w:val="single"/>
          <w:lang w:eastAsia="zh-CN"/>
        </w:rPr>
        <w:t>等额增值税发票</w:t>
      </w:r>
      <w:r>
        <w:rPr>
          <w:rFonts w:hint="eastAsia" w:hAnsi="宋体" w:cs="宋体"/>
          <w:color w:val="auto"/>
          <w:sz w:val="21"/>
          <w:szCs w:val="21"/>
          <w:highlight w:val="none"/>
          <w:u w:val="single"/>
          <w:lang w:val="en-US" w:eastAsia="zh-CN"/>
        </w:rPr>
        <w:t>10个工作日</w:t>
      </w:r>
      <w:r>
        <w:rPr>
          <w:rFonts w:hint="eastAsia" w:ascii="Times New Roman" w:hAnsi="宋体" w:eastAsia="宋体" w:cs="宋体"/>
          <w:color w:val="auto"/>
          <w:sz w:val="21"/>
          <w:szCs w:val="21"/>
          <w:highlight w:val="none"/>
          <w:u w:val="single"/>
        </w:rPr>
        <w:t>内</w:t>
      </w:r>
      <w:r>
        <w:rPr>
          <w:rFonts w:hint="eastAsia" w:hAnsi="宋体" w:cs="宋体"/>
          <w:color w:val="auto"/>
          <w:sz w:val="21"/>
          <w:szCs w:val="21"/>
          <w:highlight w:val="none"/>
        </w:rPr>
        <w:t>。</w:t>
      </w:r>
    </w:p>
    <w:p w14:paraId="5F68393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预付款扣回的方式：</w:t>
      </w:r>
      <w:r>
        <w:rPr>
          <w:rFonts w:hint="eastAsia"/>
          <w:color w:val="auto"/>
          <w:sz w:val="21"/>
          <w:szCs w:val="21"/>
          <w:highlight w:val="none"/>
          <w:u w:val="single"/>
          <w:lang w:eastAsia="zh-CN"/>
        </w:rPr>
        <w:t>进度款累计支付金额达到合同价（扣除暂列金额及安全文明施工费后）的30%时作为预付款起扣点，从此之后每期支付的进度款中按30%的预付款支付比例等比例扣回，至工程进度款累计支付金额达到合同价（扣除暂列金额及安全文明施工费后）的85%时，预付款应全部扣清。</w:t>
      </w:r>
    </w:p>
    <w:p w14:paraId="21C12C0A">
      <w:pPr>
        <w:spacing w:line="360" w:lineRule="auto"/>
        <w:ind w:firstLine="420" w:firstLineChars="200"/>
        <w:jc w:val="left"/>
        <w:rPr>
          <w:color w:val="auto"/>
          <w:sz w:val="21"/>
          <w:szCs w:val="21"/>
          <w:highlight w:val="none"/>
        </w:rPr>
      </w:pPr>
      <w:r>
        <w:rPr>
          <w:color w:val="auto"/>
          <w:sz w:val="21"/>
          <w:szCs w:val="21"/>
          <w:highlight w:val="none"/>
        </w:rPr>
        <w:t>12.2.2</w:t>
      </w:r>
      <w:r>
        <w:rPr>
          <w:rFonts w:hint="eastAsia" w:hAnsi="宋体" w:cs="宋体"/>
          <w:color w:val="auto"/>
          <w:sz w:val="21"/>
          <w:szCs w:val="21"/>
          <w:highlight w:val="none"/>
        </w:rPr>
        <w:t>预付款担保</w:t>
      </w:r>
    </w:p>
    <w:p w14:paraId="7B79EA6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承包人提交预付款担保的期限：</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50AC6421">
      <w:pPr>
        <w:spacing w:line="360" w:lineRule="auto"/>
        <w:ind w:firstLine="420" w:firstLineChars="200"/>
        <w:jc w:val="left"/>
        <w:rPr>
          <w:rFonts w:hint="eastAsia" w:ascii="Times New Roman" w:hAnsi="宋体" w:eastAsia="宋体" w:cs="宋体"/>
          <w:color w:val="auto"/>
          <w:sz w:val="21"/>
          <w:szCs w:val="21"/>
          <w:highlight w:val="none"/>
        </w:rPr>
      </w:pPr>
      <w:r>
        <w:rPr>
          <w:rFonts w:hint="eastAsia" w:hAnsi="宋体" w:cs="宋体"/>
          <w:color w:val="auto"/>
          <w:sz w:val="21"/>
          <w:szCs w:val="21"/>
          <w:highlight w:val="none"/>
        </w:rPr>
        <w:t>预付款担保的形式为：</w:t>
      </w:r>
      <w:r>
        <w:rPr>
          <w:rFonts w:hint="eastAsia"/>
          <w:color w:val="auto"/>
          <w:sz w:val="21"/>
          <w:szCs w:val="21"/>
          <w:highlight w:val="none"/>
          <w:u w:val="none"/>
          <w:lang w:eastAsia="zh-CN"/>
        </w:rPr>
        <w:t>可以是</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sz w:val="21"/>
          <w:szCs w:val="21"/>
          <w:highlight w:val="none"/>
          <w:lang w:eastAsia="zh-CN"/>
        </w:rPr>
        <w:t>。</w:t>
      </w:r>
    </w:p>
    <w:p w14:paraId="75210C64">
      <w:pPr>
        <w:spacing w:line="360" w:lineRule="auto"/>
        <w:ind w:firstLine="420" w:firstLineChars="200"/>
        <w:jc w:val="left"/>
        <w:rPr>
          <w:color w:val="auto"/>
          <w:sz w:val="21"/>
          <w:szCs w:val="21"/>
          <w:highlight w:val="none"/>
        </w:rPr>
      </w:pPr>
      <w:r>
        <w:rPr>
          <w:rFonts w:hint="eastAsia" w:ascii="宋体" w:hAnsi="宋体" w:cs="宋体"/>
          <w:color w:val="auto"/>
          <w:sz w:val="21"/>
          <w:szCs w:val="21"/>
          <w:highlight w:val="none"/>
        </w:rPr>
        <w:t>预付款担保格式见合同附件8。预付款支付申请（核准）表见合同附件10</w:t>
      </w:r>
    </w:p>
    <w:bookmarkEnd w:id="1035"/>
    <w:bookmarkEnd w:id="1036"/>
    <w:bookmarkEnd w:id="1037"/>
    <w:bookmarkEnd w:id="1038"/>
    <w:bookmarkEnd w:id="1039"/>
    <w:bookmarkEnd w:id="1040"/>
    <w:bookmarkEnd w:id="1041"/>
    <w:bookmarkEnd w:id="1042"/>
    <w:bookmarkEnd w:id="1043"/>
    <w:bookmarkEnd w:id="1044"/>
    <w:p w14:paraId="3B646398">
      <w:pPr>
        <w:pStyle w:val="5"/>
        <w:rPr>
          <w:color w:val="auto"/>
          <w:sz w:val="21"/>
          <w:szCs w:val="21"/>
          <w:highlight w:val="none"/>
        </w:rPr>
      </w:pPr>
      <w:bookmarkStart w:id="1050" w:name="_Toc1307224940"/>
      <w:bookmarkStart w:id="1051" w:name="_Toc373227751"/>
      <w:bookmarkStart w:id="1052" w:name="_Toc78449840"/>
      <w:bookmarkStart w:id="1053" w:name="_Toc1494831447"/>
      <w:bookmarkStart w:id="1054" w:name="_Toc22159"/>
      <w:bookmarkStart w:id="1055" w:name="_Toc373478398"/>
      <w:bookmarkStart w:id="1056" w:name="_Toc389065316"/>
      <w:bookmarkStart w:id="1057" w:name="_Toc407135254"/>
      <w:r>
        <w:rPr>
          <w:color w:val="auto"/>
          <w:sz w:val="21"/>
          <w:szCs w:val="21"/>
          <w:highlight w:val="none"/>
        </w:rPr>
        <w:t>12.3</w:t>
      </w:r>
      <w:r>
        <w:rPr>
          <w:rFonts w:hint="eastAsia" w:hAnsi="宋体" w:cs="黑体"/>
          <w:color w:val="auto"/>
          <w:sz w:val="21"/>
          <w:szCs w:val="21"/>
          <w:highlight w:val="none"/>
        </w:rPr>
        <w:t>计量</w:t>
      </w:r>
      <w:bookmarkEnd w:id="1050"/>
      <w:bookmarkEnd w:id="1051"/>
      <w:bookmarkEnd w:id="1052"/>
      <w:bookmarkEnd w:id="1053"/>
      <w:bookmarkEnd w:id="1054"/>
      <w:bookmarkEnd w:id="1055"/>
      <w:bookmarkEnd w:id="1056"/>
      <w:bookmarkEnd w:id="1057"/>
    </w:p>
    <w:p w14:paraId="1FF3929F">
      <w:pPr>
        <w:spacing w:line="360" w:lineRule="auto"/>
        <w:ind w:firstLine="420" w:firstLineChars="200"/>
        <w:jc w:val="left"/>
        <w:rPr>
          <w:color w:val="auto"/>
          <w:sz w:val="21"/>
          <w:szCs w:val="21"/>
          <w:highlight w:val="none"/>
        </w:rPr>
      </w:pPr>
      <w:r>
        <w:rPr>
          <w:color w:val="auto"/>
          <w:sz w:val="21"/>
          <w:szCs w:val="21"/>
          <w:highlight w:val="none"/>
        </w:rPr>
        <w:t>12.3.1</w:t>
      </w:r>
      <w:r>
        <w:rPr>
          <w:rFonts w:hint="eastAsia" w:hAnsi="宋体" w:cs="宋体"/>
          <w:color w:val="auto"/>
          <w:sz w:val="21"/>
          <w:szCs w:val="21"/>
          <w:highlight w:val="none"/>
        </w:rPr>
        <w:t>计量原则</w:t>
      </w:r>
    </w:p>
    <w:p w14:paraId="4C42542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工程量计算规则：</w:t>
      </w:r>
      <w:r>
        <w:rPr>
          <w:rFonts w:hint="eastAsia" w:hAnsi="宋体" w:cs="宋体"/>
          <w:color w:val="auto"/>
          <w:sz w:val="21"/>
          <w:szCs w:val="21"/>
          <w:highlight w:val="none"/>
          <w:u w:val="single"/>
        </w:rPr>
        <w:t>工程的计量均以《建设工程工程量清单计价规范》（</w:t>
      </w:r>
      <w:r>
        <w:rPr>
          <w:color w:val="auto"/>
          <w:sz w:val="21"/>
          <w:szCs w:val="21"/>
          <w:highlight w:val="none"/>
          <w:u w:val="single"/>
        </w:rPr>
        <w:t>GB50500</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）及广西壮族自治区实施细则、《建设工程工程量清单计算规范》（</w:t>
      </w:r>
      <w:r>
        <w:rPr>
          <w:color w:val="auto"/>
          <w:sz w:val="21"/>
          <w:szCs w:val="21"/>
          <w:highlight w:val="none"/>
          <w:u w:val="single"/>
        </w:rPr>
        <w:t>GB50854~50862</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）及广西实施细则、本工程补充项目清单为准。</w:t>
      </w:r>
    </w:p>
    <w:p w14:paraId="1E505369">
      <w:pPr>
        <w:spacing w:line="360" w:lineRule="auto"/>
        <w:ind w:firstLine="420" w:firstLineChars="200"/>
        <w:jc w:val="left"/>
        <w:rPr>
          <w:color w:val="auto"/>
          <w:sz w:val="21"/>
          <w:szCs w:val="21"/>
          <w:highlight w:val="none"/>
        </w:rPr>
      </w:pPr>
      <w:r>
        <w:rPr>
          <w:color w:val="auto"/>
          <w:sz w:val="21"/>
          <w:szCs w:val="21"/>
          <w:highlight w:val="none"/>
        </w:rPr>
        <w:t>12.3.2</w:t>
      </w:r>
      <w:r>
        <w:rPr>
          <w:rFonts w:hint="eastAsia" w:hAnsi="宋体" w:cs="宋体"/>
          <w:color w:val="auto"/>
          <w:sz w:val="21"/>
          <w:szCs w:val="21"/>
          <w:highlight w:val="none"/>
        </w:rPr>
        <w:t>计量周期</w:t>
      </w:r>
    </w:p>
    <w:p w14:paraId="49D4EDC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关于计量周期的约定：</w:t>
      </w:r>
      <w:r>
        <w:rPr>
          <w:rFonts w:hint="eastAsia" w:hAnsi="宋体" w:cs="宋体"/>
          <w:color w:val="auto"/>
          <w:sz w:val="21"/>
          <w:szCs w:val="21"/>
          <w:highlight w:val="none"/>
          <w:u w:val="single"/>
        </w:rPr>
        <w:t>每月</w:t>
      </w:r>
      <w:r>
        <w:rPr>
          <w:color w:val="auto"/>
          <w:sz w:val="21"/>
          <w:szCs w:val="21"/>
          <w:highlight w:val="none"/>
          <w:u w:val="single"/>
        </w:rPr>
        <w:t>25</w:t>
      </w:r>
      <w:r>
        <w:rPr>
          <w:rFonts w:hint="eastAsia" w:hAnsi="宋体" w:cs="宋体"/>
          <w:color w:val="auto"/>
          <w:sz w:val="21"/>
          <w:szCs w:val="21"/>
          <w:highlight w:val="none"/>
          <w:u w:val="single"/>
        </w:rPr>
        <w:t>日前</w:t>
      </w:r>
      <w:r>
        <w:rPr>
          <w:rFonts w:hint="eastAsia" w:hAnsi="宋体" w:cs="宋体"/>
          <w:color w:val="auto"/>
          <w:sz w:val="21"/>
          <w:szCs w:val="21"/>
          <w:highlight w:val="none"/>
        </w:rPr>
        <w:t>。</w:t>
      </w:r>
    </w:p>
    <w:p w14:paraId="56B30D00">
      <w:pPr>
        <w:spacing w:line="360" w:lineRule="auto"/>
        <w:ind w:firstLine="420" w:firstLineChars="200"/>
        <w:jc w:val="left"/>
        <w:outlineLvl w:val="0"/>
        <w:rPr>
          <w:color w:val="auto"/>
          <w:sz w:val="21"/>
          <w:szCs w:val="21"/>
          <w:highlight w:val="none"/>
        </w:rPr>
      </w:pPr>
      <w:bookmarkStart w:id="1058" w:name="_Toc5727"/>
      <w:r>
        <w:rPr>
          <w:color w:val="auto"/>
          <w:sz w:val="21"/>
          <w:szCs w:val="21"/>
          <w:highlight w:val="none"/>
        </w:rPr>
        <w:t>12.3.3</w:t>
      </w:r>
      <w:r>
        <w:rPr>
          <w:rFonts w:hint="eastAsia" w:hAnsi="宋体" w:cs="宋体"/>
          <w:color w:val="auto"/>
          <w:sz w:val="21"/>
          <w:szCs w:val="21"/>
          <w:highlight w:val="none"/>
        </w:rPr>
        <w:t>单价合同的计量</w:t>
      </w:r>
      <w:bookmarkEnd w:id="1058"/>
    </w:p>
    <w:p w14:paraId="7ABF3BD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关于单价合同计量的约定：</w:t>
      </w:r>
    </w:p>
    <w:p w14:paraId="4B149080">
      <w:pPr>
        <w:spacing w:line="360" w:lineRule="auto"/>
        <w:ind w:firstLine="441" w:firstLineChars="21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A5A52B8">
      <w:pPr>
        <w:spacing w:line="360" w:lineRule="auto"/>
        <w:ind w:firstLine="441" w:firstLineChars="210"/>
        <w:rPr>
          <w:color w:val="auto"/>
          <w:sz w:val="21"/>
          <w:szCs w:val="21"/>
          <w:highlight w:val="none"/>
        </w:rPr>
      </w:pPr>
      <w:r>
        <w:rPr>
          <w:color w:val="auto"/>
          <w:sz w:val="21"/>
          <w:szCs w:val="21"/>
          <w:highlight w:val="none"/>
        </w:rPr>
        <w:t>(2)</w:t>
      </w:r>
      <w:r>
        <w:rPr>
          <w:rFonts w:hint="eastAsia" w:hAnsi="宋体" w:cs="宋体"/>
          <w:color w:val="auto"/>
          <w:sz w:val="21"/>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98F32F2">
      <w:pPr>
        <w:spacing w:line="360" w:lineRule="auto"/>
        <w:ind w:firstLine="420" w:firstLineChars="200"/>
        <w:jc w:val="left"/>
        <w:rPr>
          <w:color w:val="auto"/>
          <w:sz w:val="21"/>
          <w:szCs w:val="21"/>
          <w:highlight w:val="none"/>
        </w:rPr>
      </w:pPr>
      <w:r>
        <w:rPr>
          <w:color w:val="auto"/>
          <w:sz w:val="21"/>
          <w:szCs w:val="21"/>
          <w:highlight w:val="none"/>
        </w:rPr>
        <w:t>12.3.4</w:t>
      </w:r>
      <w:r>
        <w:rPr>
          <w:rFonts w:hint="eastAsia" w:hAnsi="宋体" w:cs="宋体"/>
          <w:color w:val="auto"/>
          <w:sz w:val="21"/>
          <w:szCs w:val="21"/>
          <w:highlight w:val="none"/>
        </w:rPr>
        <w:t>总价合同的计量</w:t>
      </w:r>
    </w:p>
    <w:p w14:paraId="01C8CC34">
      <w:pPr>
        <w:spacing w:line="360" w:lineRule="auto"/>
        <w:ind w:firstLine="420" w:firstLineChars="200"/>
        <w:jc w:val="left"/>
        <w:rPr>
          <w:rFonts w:cs="宋体"/>
          <w:color w:val="auto"/>
          <w:sz w:val="21"/>
          <w:szCs w:val="21"/>
          <w:highlight w:val="none"/>
        </w:rPr>
      </w:pPr>
      <w:r>
        <w:rPr>
          <w:rFonts w:hint="eastAsia" w:ascii="Calibri" w:hAnsi="宋体" w:cs="宋体"/>
          <w:color w:val="auto"/>
          <w:sz w:val="21"/>
          <w:szCs w:val="21"/>
          <w:highlight w:val="none"/>
        </w:rPr>
        <w:t>（1）总价合同计量约定：</w:t>
      </w:r>
      <w:r>
        <w:rPr>
          <w:rFonts w:hint="eastAsia" w:hAnsi="宋体" w:cs="宋体"/>
          <w:color w:val="auto"/>
          <w:sz w:val="21"/>
          <w:szCs w:val="21"/>
          <w:highlight w:val="none"/>
        </w:rPr>
        <w:t>进度款按支付分解表支付</w:t>
      </w:r>
      <w:r>
        <w:rPr>
          <w:rFonts w:hint="eastAsia" w:ascii="宋体" w:hAnsi="宋体" w:cs="宋体"/>
          <w:color w:val="auto"/>
          <w:kern w:val="0"/>
          <w:sz w:val="21"/>
          <w:szCs w:val="21"/>
          <w:highlight w:val="none"/>
        </w:rPr>
        <w:t>，</w:t>
      </w:r>
      <w:r>
        <w:rPr>
          <w:rFonts w:hint="eastAsia" w:cs="宋体"/>
          <w:color w:val="auto"/>
          <w:sz w:val="21"/>
          <w:szCs w:val="21"/>
          <w:highlight w:val="none"/>
        </w:rPr>
        <w:t>支付分解表在招标完成后签合同之前制定，具体详见本专用合同条款12.4.6。</w:t>
      </w:r>
    </w:p>
    <w:p w14:paraId="613A784C">
      <w:pPr>
        <w:spacing w:line="360" w:lineRule="auto"/>
        <w:ind w:firstLine="420" w:firstLineChars="200"/>
        <w:jc w:val="left"/>
        <w:rPr>
          <w:color w:val="auto"/>
          <w:sz w:val="21"/>
          <w:szCs w:val="21"/>
          <w:highlight w:val="none"/>
        </w:rPr>
      </w:pPr>
      <w:r>
        <w:rPr>
          <w:color w:val="auto"/>
          <w:sz w:val="21"/>
          <w:szCs w:val="21"/>
          <w:highlight w:val="none"/>
        </w:rPr>
        <w:t>12.3.6</w:t>
      </w:r>
      <w:r>
        <w:rPr>
          <w:rFonts w:hint="eastAsia" w:hAnsi="宋体" w:cs="宋体"/>
          <w:color w:val="auto"/>
          <w:sz w:val="21"/>
          <w:szCs w:val="21"/>
          <w:highlight w:val="none"/>
        </w:rPr>
        <w:t>其他价格形式合同的计量</w:t>
      </w:r>
    </w:p>
    <w:p w14:paraId="4AC99461">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其他价格形式的计量方式和程序：。</w:t>
      </w:r>
    </w:p>
    <w:p w14:paraId="66CE9242">
      <w:pPr>
        <w:pStyle w:val="5"/>
        <w:rPr>
          <w:color w:val="auto"/>
          <w:highlight w:val="none"/>
        </w:rPr>
      </w:pPr>
      <w:bookmarkStart w:id="1059" w:name="_Toc373478399"/>
      <w:bookmarkStart w:id="1060" w:name="_Toc1155368667"/>
      <w:bookmarkStart w:id="1061" w:name="_Toc1711431123"/>
      <w:bookmarkStart w:id="1062" w:name="_Toc28450"/>
      <w:bookmarkStart w:id="1063" w:name="_Toc389065317"/>
      <w:bookmarkStart w:id="1064" w:name="_Toc407135255"/>
      <w:bookmarkStart w:id="1065" w:name="_Toc373227752"/>
      <w:bookmarkStart w:id="1066" w:name="_Toc78449841"/>
      <w:r>
        <w:rPr>
          <w:color w:val="auto"/>
          <w:highlight w:val="none"/>
        </w:rPr>
        <w:t>12.4</w:t>
      </w:r>
      <w:r>
        <w:rPr>
          <w:rFonts w:hint="eastAsia" w:cs="黑体"/>
          <w:color w:val="auto"/>
          <w:highlight w:val="none"/>
        </w:rPr>
        <w:t>工程进度款支付</w:t>
      </w:r>
      <w:bookmarkEnd w:id="1059"/>
      <w:bookmarkEnd w:id="1060"/>
      <w:bookmarkEnd w:id="1061"/>
      <w:bookmarkEnd w:id="1062"/>
      <w:bookmarkEnd w:id="1063"/>
      <w:bookmarkEnd w:id="1064"/>
      <w:bookmarkEnd w:id="1065"/>
      <w:bookmarkEnd w:id="1066"/>
    </w:p>
    <w:p w14:paraId="620590F6">
      <w:pPr>
        <w:spacing w:line="400" w:lineRule="exact"/>
        <w:ind w:firstLine="420" w:firstLineChars="200"/>
        <w:jc w:val="left"/>
        <w:rPr>
          <w:color w:val="auto"/>
          <w:sz w:val="21"/>
          <w:szCs w:val="21"/>
          <w:highlight w:val="none"/>
        </w:rPr>
      </w:pPr>
      <w:bookmarkStart w:id="1067" w:name="_Toc296503211"/>
      <w:bookmarkStart w:id="1068" w:name="_Toc296891251"/>
      <w:bookmarkStart w:id="1069" w:name="_Toc297120511"/>
      <w:bookmarkStart w:id="1070" w:name="_Toc292559921"/>
      <w:bookmarkStart w:id="1071" w:name="_Toc296944550"/>
      <w:bookmarkStart w:id="1072" w:name="_Toc296891039"/>
      <w:bookmarkStart w:id="1073" w:name="_Toc297048397"/>
      <w:bookmarkStart w:id="1074" w:name="_Toc303539163"/>
      <w:bookmarkStart w:id="1075" w:name="_Toc297123556"/>
      <w:bookmarkStart w:id="1076" w:name="_Toc296346712"/>
      <w:bookmarkStart w:id="1077" w:name="_Toc296347210"/>
      <w:bookmarkStart w:id="1078" w:name="_Toc292559416"/>
      <w:bookmarkStart w:id="1079" w:name="_Toc300935006"/>
      <w:bookmarkStart w:id="1080" w:name="_Toc297216215"/>
      <w:r>
        <w:rPr>
          <w:rFonts w:ascii="宋体" w:hAnsi="宋体" w:eastAsia="宋体" w:cs="宋体"/>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kern w:val="0"/>
          <w:sz w:val="21"/>
          <w:szCs w:val="21"/>
          <w:highlight w:val="none"/>
          <w:lang w:val="en-US" w:eastAsia="zh-CN" w:bidi="ar"/>
        </w:rPr>
        <w:t>。</w:t>
      </w:r>
    </w:p>
    <w:p w14:paraId="68AB2A46">
      <w:pPr>
        <w:spacing w:line="360" w:lineRule="auto"/>
        <w:ind w:firstLine="420" w:firstLineChars="200"/>
        <w:jc w:val="left"/>
        <w:rPr>
          <w:color w:val="auto"/>
          <w:sz w:val="21"/>
          <w:szCs w:val="21"/>
          <w:highlight w:val="none"/>
        </w:rPr>
      </w:pPr>
      <w:r>
        <w:rPr>
          <w:color w:val="auto"/>
          <w:sz w:val="21"/>
          <w:szCs w:val="21"/>
          <w:highlight w:val="none"/>
        </w:rPr>
        <w:t>12.4.1</w:t>
      </w:r>
      <w:r>
        <w:rPr>
          <w:rFonts w:hint="eastAsia" w:hAnsi="宋体" w:cs="宋体"/>
          <w:color w:val="auto"/>
          <w:sz w:val="21"/>
          <w:szCs w:val="21"/>
          <w:highlight w:val="none"/>
        </w:rPr>
        <w:t>付款周期</w:t>
      </w:r>
    </w:p>
    <w:p w14:paraId="60E3659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进度款按工程形象进度按月支付。承包人应在每月25日前向监理人及发包人提交已完成合格工程量的付款申请报告，经监理人及发包人审核确认后，发包人在收到承包人开具的等额增值税发票后10个工作日内支付工程进度款。付款比例如下：</w:t>
      </w:r>
    </w:p>
    <w:p w14:paraId="24513C1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（1）合同内项目，按经确认合格的已完工程量支付至80%；</w:t>
      </w:r>
    </w:p>
    <w:p w14:paraId="164D8BB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（2）合同外项目（含经发包人书面批准的工程变更、现场签证等），按经确认合格的已完工程量支付至 60%；</w:t>
      </w:r>
    </w:p>
    <w:p w14:paraId="1080EF9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（3）项目完工后，累计支付总额可达到合同总价的90%；</w:t>
      </w:r>
    </w:p>
    <w:p w14:paraId="0732DD0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（4）工程竣工验收合格，竣工结算经天等县财政评审中心审定，且承包人向发包人提交完整合格的竣工备案资料后，工程款可支付至结算总价的97%；</w:t>
      </w:r>
    </w:p>
    <w:p w14:paraId="306FB91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default" w:ascii="宋体" w:hAnsi="宋体" w:eastAsia="宋体" w:cs="宋体"/>
          <w:kern w:val="0"/>
          <w:sz w:val="21"/>
          <w:szCs w:val="21"/>
          <w:highlight w:val="none"/>
          <w:lang w:val="en-US" w:eastAsia="zh-CN" w:bidi="ar"/>
        </w:rPr>
      </w:pPr>
      <w:r>
        <w:rPr>
          <w:rFonts w:hint="default" w:ascii="宋体" w:hAnsi="宋体" w:eastAsia="宋体" w:cs="宋体"/>
          <w:kern w:val="0"/>
          <w:sz w:val="21"/>
          <w:szCs w:val="21"/>
          <w:highlight w:val="none"/>
          <w:lang w:val="en-US" w:eastAsia="zh-CN" w:bidi="ar"/>
        </w:rPr>
        <w:t>（5）余下结算总价的3%作为工程质量保证金，待缺陷责任期满后，经承包人申请，发包人核实无质量问题后无息返还。</w:t>
      </w:r>
    </w:p>
    <w:p w14:paraId="78842ED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注：</w:t>
      </w:r>
      <w:r>
        <w:rPr>
          <w:rFonts w:hint="eastAsia" w:ascii="Times New Roman" w:hAnsi="Times New Roman" w:eastAsia="宋体" w:cs="Times New Roman"/>
          <w:color w:val="auto"/>
          <w:sz w:val="21"/>
          <w:szCs w:val="21"/>
          <w:highlight w:val="none"/>
          <w:u w:val="single"/>
        </w:rPr>
        <w:t>合同约定的工程质量缺陷责任期（最长不超过2年）满后由承包人向发包人提出返还保证金的申请，</w:t>
      </w:r>
      <w:r>
        <w:rPr>
          <w:rFonts w:ascii="Times New Roman" w:hAnsi="Times New Roman" w:eastAsia="宋体" w:cs="Times New Roman"/>
          <w:color w:val="auto"/>
          <w:sz w:val="21"/>
          <w:szCs w:val="21"/>
          <w:highlight w:val="none"/>
          <w:u w:val="single"/>
        </w:rPr>
        <w:t>发包人</w:t>
      </w:r>
      <w:r>
        <w:rPr>
          <w:rFonts w:hint="eastAsia" w:ascii="Times New Roman" w:hAnsi="Times New Roman" w:eastAsia="宋体" w:cs="Times New Roman"/>
          <w:color w:val="auto"/>
          <w:sz w:val="21"/>
          <w:szCs w:val="21"/>
          <w:highlight w:val="none"/>
          <w:u w:val="single"/>
        </w:rPr>
        <w:t>在</w:t>
      </w:r>
      <w:r>
        <w:rPr>
          <w:rFonts w:ascii="Times New Roman" w:hAnsi="Times New Roman" w:eastAsia="宋体" w:cs="Times New Roman"/>
          <w:color w:val="auto"/>
          <w:sz w:val="21"/>
          <w:szCs w:val="21"/>
          <w:highlight w:val="none"/>
          <w:u w:val="single"/>
        </w:rPr>
        <w:t>接到承包人返还保证金申请后，于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内会同承包人按照合同约定的内容进行核实。如</w:t>
      </w:r>
      <w:r>
        <w:rPr>
          <w:rFonts w:hint="eastAsia" w:ascii="Times New Roman" w:hAnsi="Times New Roman" w:eastAsia="宋体" w:cs="Times New Roman"/>
          <w:color w:val="auto"/>
          <w:sz w:val="21"/>
          <w:szCs w:val="21"/>
          <w:highlight w:val="none"/>
          <w:u w:val="single"/>
        </w:rPr>
        <w:t>无异</w:t>
      </w:r>
      <w:r>
        <w:rPr>
          <w:rFonts w:ascii="Times New Roman" w:hAnsi="Times New Roman" w:eastAsia="宋体" w:cs="Times New Roman"/>
          <w:color w:val="auto"/>
          <w:sz w:val="21"/>
          <w:szCs w:val="21"/>
          <w:highlight w:val="none"/>
          <w:u w:val="single"/>
        </w:rPr>
        <w:t>议，发包人在核实后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内将保证金</w:t>
      </w:r>
      <w:r>
        <w:rPr>
          <w:rFonts w:hint="eastAsia" w:ascii="Times New Roman" w:hAnsi="Times New Roman" w:eastAsia="宋体" w:cs="Times New Roman"/>
          <w:color w:val="auto"/>
          <w:sz w:val="21"/>
          <w:szCs w:val="21"/>
          <w:highlight w:val="none"/>
          <w:u w:val="single"/>
        </w:rPr>
        <w:t>返还承包</w:t>
      </w:r>
      <w:r>
        <w:rPr>
          <w:rFonts w:ascii="Times New Roman" w:hAnsi="Times New Roman" w:eastAsia="宋体" w:cs="Times New Roman"/>
          <w:color w:val="auto"/>
          <w:sz w:val="21"/>
          <w:szCs w:val="21"/>
          <w:highlight w:val="none"/>
          <w:u w:val="single"/>
        </w:rPr>
        <w:t>人，逾期未返还的，依法承</w:t>
      </w:r>
      <w:r>
        <w:rPr>
          <w:rFonts w:hint="eastAsia" w:ascii="Times New Roman" w:hAnsi="Times New Roman" w:eastAsia="宋体" w:cs="Times New Roman"/>
          <w:color w:val="auto"/>
          <w:sz w:val="21"/>
          <w:szCs w:val="21"/>
          <w:highlight w:val="none"/>
          <w:u w:val="single"/>
        </w:rPr>
        <w:t>担</w:t>
      </w:r>
      <w:r>
        <w:rPr>
          <w:rFonts w:ascii="Times New Roman" w:hAnsi="Times New Roman" w:eastAsia="宋体" w:cs="Times New Roman"/>
          <w:color w:val="auto"/>
          <w:sz w:val="21"/>
          <w:szCs w:val="21"/>
          <w:highlight w:val="none"/>
          <w:u w:val="single"/>
        </w:rPr>
        <w:t>违约责任</w:t>
      </w:r>
      <w:r>
        <w:rPr>
          <w:rFonts w:hint="eastAsia" w:ascii="Times New Roman" w:hAnsi="Times New Roman" w:eastAsia="宋体" w:cs="Times New Roman"/>
          <w:color w:val="auto"/>
          <w:sz w:val="21"/>
          <w:szCs w:val="21"/>
          <w:highlight w:val="none"/>
          <w:u w:val="single"/>
        </w:rPr>
        <w:t>。发</w:t>
      </w:r>
      <w:r>
        <w:rPr>
          <w:rFonts w:ascii="Times New Roman" w:hAnsi="Times New Roman" w:eastAsia="宋体" w:cs="Times New Roman"/>
          <w:color w:val="auto"/>
          <w:sz w:val="21"/>
          <w:szCs w:val="21"/>
          <w:highlight w:val="none"/>
          <w:u w:val="single"/>
        </w:rPr>
        <w:t>包人在接到承包人返还保证金申请后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内不予答复，经催告后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内仍不</w:t>
      </w:r>
      <w:r>
        <w:rPr>
          <w:rFonts w:hint="eastAsia" w:ascii="Times New Roman" w:hAnsi="Times New Roman" w:eastAsia="宋体" w:cs="Times New Roman"/>
          <w:color w:val="auto"/>
          <w:sz w:val="21"/>
          <w:szCs w:val="21"/>
          <w:highlight w:val="none"/>
          <w:u w:val="single"/>
        </w:rPr>
        <w:t>予</w:t>
      </w:r>
      <w:r>
        <w:rPr>
          <w:rFonts w:ascii="Times New Roman" w:hAnsi="Times New Roman" w:eastAsia="宋体" w:cs="Times New Roman"/>
          <w:color w:val="auto"/>
          <w:sz w:val="21"/>
          <w:szCs w:val="21"/>
          <w:highlight w:val="none"/>
          <w:u w:val="single"/>
        </w:rPr>
        <w:t>答复，</w:t>
      </w:r>
      <w:r>
        <w:rPr>
          <w:rFonts w:hint="eastAsia" w:ascii="Times New Roman" w:hAnsi="Times New Roman" w:eastAsia="宋体" w:cs="Times New Roman"/>
          <w:color w:val="auto"/>
          <w:sz w:val="21"/>
          <w:szCs w:val="21"/>
          <w:highlight w:val="none"/>
          <w:u w:val="single"/>
        </w:rPr>
        <w:t>视</w:t>
      </w:r>
      <w:r>
        <w:rPr>
          <w:rFonts w:ascii="Times New Roman" w:hAnsi="Times New Roman" w:eastAsia="宋体" w:cs="Times New Roman"/>
          <w:color w:val="auto"/>
          <w:sz w:val="21"/>
          <w:szCs w:val="21"/>
          <w:highlight w:val="none"/>
          <w:u w:val="single"/>
        </w:rPr>
        <w:t>同认可承包人的返还保证金申请。</w:t>
      </w:r>
    </w:p>
    <w:p w14:paraId="1EF41C0C">
      <w:pPr>
        <w:spacing w:line="360" w:lineRule="auto"/>
        <w:ind w:firstLine="420" w:firstLineChars="200"/>
        <w:jc w:val="left"/>
        <w:rPr>
          <w:color w:val="auto"/>
          <w:sz w:val="21"/>
          <w:szCs w:val="21"/>
          <w:highlight w:val="none"/>
        </w:rPr>
      </w:pPr>
      <w:r>
        <w:rPr>
          <w:color w:val="auto"/>
          <w:sz w:val="21"/>
          <w:szCs w:val="21"/>
          <w:highlight w:val="none"/>
        </w:rPr>
        <w:t>12.4.2</w:t>
      </w:r>
      <w:r>
        <w:rPr>
          <w:rFonts w:hint="eastAsia" w:hAnsi="宋体" w:cs="宋体"/>
          <w:color w:val="auto"/>
          <w:sz w:val="21"/>
          <w:szCs w:val="21"/>
          <w:highlight w:val="none"/>
        </w:rPr>
        <w:t>进度付款申请单的编制</w:t>
      </w:r>
    </w:p>
    <w:p w14:paraId="344B2C4C">
      <w:pPr>
        <w:pStyle w:val="20"/>
        <w:keepNext w:val="0"/>
        <w:keepLines w:val="0"/>
        <w:widowControl/>
        <w:suppressLineNumbers w:val="0"/>
        <w:shd w:val="clear" w:fill="FFFFFF"/>
        <w:spacing w:before="240" w:beforeAutospacing="0" w:after="240" w:afterAutospacing="0"/>
        <w:ind w:left="0" w:right="0" w:firstLine="0"/>
        <w:rPr>
          <w:rFonts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关于进度付款申请单编制的约定：</w:t>
      </w:r>
      <w:r>
        <w:rPr>
          <w:rFonts w:hint="default" w:ascii="Times New Roman" w:hAnsi="宋体" w:eastAsia="宋体" w:cs="宋体"/>
          <w:color w:val="auto"/>
          <w:kern w:val="2"/>
          <w:sz w:val="21"/>
          <w:szCs w:val="21"/>
          <w:highlight w:val="none"/>
          <w:u w:val="single"/>
          <w:lang w:val="en-US" w:eastAsia="zh-CN" w:bidi="ar-SA"/>
        </w:rPr>
        <w:t>承包人应在每月25日前，向监理人提交当月已完工程量的进度付款申请单，一式肆份。进度付款申请单应包括以下内容：</w:t>
      </w:r>
    </w:p>
    <w:p w14:paraId="1513EB1B">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（1）《工程款支付申请表》；</w:t>
      </w:r>
    </w:p>
    <w:p w14:paraId="00107EF8">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（2）《已完工程量汇总表》（含合同内项目及经批准的变更项目），按照分部分项工程量清单计量规范的要求详细列明当期完成的各分部分项工程、措施项目及其他项目的工程量和计价；</w:t>
      </w:r>
    </w:p>
    <w:p w14:paraId="6324AB4F">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（3）经监理人和发包人签认的工程质量验收合格证明文件；</w:t>
      </w:r>
    </w:p>
    <w:p w14:paraId="0830DB33">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（4）主要材料进场验收单及复试报告（当月发生的）；</w:t>
      </w:r>
    </w:p>
    <w:p w14:paraId="66C36E11">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（5）已完工程量应支付金额、累计已支付金额、本期应扣回的预付款金额及质量保证金金额、本期应支付金额的详细计算表；</w:t>
      </w:r>
    </w:p>
    <w:p w14:paraId="68A3835E">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（6）当月农民工工资发放清单（应包含农民工姓名、身份证号、工种、出勤天数、月工资额、实发金额、银行代发转账凭证等内容）及工资支付公示照片；</w:t>
      </w:r>
    </w:p>
    <w:p w14:paraId="707C7BB7">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（7）安全文明施工费使用台账及月度检查记录；</w:t>
      </w:r>
    </w:p>
    <w:p w14:paraId="5B2C4480">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（8）本期应支付的发票或收据；</w:t>
      </w:r>
    </w:p>
    <w:p w14:paraId="03AB7B2C">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（9）发包人和监理人要求补充的其他说明材料。</w:t>
      </w:r>
    </w:p>
    <w:p w14:paraId="5D16C892">
      <w:pPr>
        <w:pStyle w:val="20"/>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上述资料不齐全或不符合要求的，监理人和发包人有权要求承包人在3日内补齐，补齐期间发包人支付进度款的期限相应顺延。</w:t>
      </w:r>
    </w:p>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14:paraId="24B50B70">
      <w:pPr>
        <w:spacing w:line="360" w:lineRule="auto"/>
        <w:ind w:firstLine="525" w:firstLineChars="250"/>
        <w:jc w:val="left"/>
        <w:rPr>
          <w:rFonts w:hAnsi="宋体" w:cs="宋体"/>
          <w:color w:val="auto"/>
          <w:sz w:val="21"/>
          <w:szCs w:val="21"/>
          <w:highlight w:val="none"/>
        </w:rPr>
      </w:pPr>
      <w:r>
        <w:rPr>
          <w:rFonts w:hint="eastAsia" w:hAnsi="宋体" w:cs="宋体"/>
          <w:color w:val="auto"/>
          <w:sz w:val="21"/>
          <w:szCs w:val="21"/>
          <w:highlight w:val="none"/>
        </w:rPr>
        <w:t>进度款支付方式：</w:t>
      </w:r>
      <w:r>
        <w:rPr>
          <w:rFonts w:hint="eastAsia" w:hAnsi="宋体" w:cs="宋体"/>
          <w:color w:val="auto"/>
          <w:sz w:val="21"/>
          <w:szCs w:val="21"/>
          <w:highlight w:val="none"/>
          <w:u w:val="single"/>
        </w:rPr>
        <w:t>银行转账</w:t>
      </w:r>
      <w:r>
        <w:rPr>
          <w:rFonts w:hint="eastAsia" w:hAnsi="宋体" w:cs="宋体"/>
          <w:color w:val="auto"/>
          <w:sz w:val="21"/>
          <w:szCs w:val="21"/>
          <w:highlight w:val="none"/>
        </w:rPr>
        <w:t>。</w:t>
      </w:r>
      <w:r>
        <w:rPr>
          <w:rFonts w:hint="eastAsia"/>
          <w:color w:val="auto"/>
          <w:sz w:val="21"/>
          <w:szCs w:val="21"/>
          <w:highlight w:val="none"/>
        </w:rPr>
        <w:t>进度款支付申请（核准）表见合同附件11。</w:t>
      </w:r>
    </w:p>
    <w:p w14:paraId="5EDF3EA7">
      <w:pPr>
        <w:spacing w:line="360" w:lineRule="auto"/>
        <w:ind w:firstLine="525" w:firstLineChars="250"/>
        <w:jc w:val="left"/>
        <w:rPr>
          <w:rFonts w:hint="eastAsia" w:hAnsi="宋体"/>
          <w:color w:val="auto"/>
          <w:sz w:val="21"/>
          <w:szCs w:val="21"/>
          <w:highlight w:val="none"/>
        </w:rPr>
      </w:pPr>
      <w:r>
        <w:rPr>
          <w:rFonts w:hint="eastAsia" w:hAnsi="宋体"/>
          <w:color w:val="auto"/>
          <w:sz w:val="21"/>
          <w:szCs w:val="21"/>
          <w:highlight w:val="none"/>
        </w:rPr>
        <w:t>（3）农民工工资支付</w:t>
      </w:r>
    </w:p>
    <w:p w14:paraId="574F59D8">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AD367F7">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04B0239">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3）发包人依据工程进度，审核承包人申报的工程进度款，按照与承包人约定的人工费支付比例</w:t>
      </w:r>
      <w:r>
        <w:rPr>
          <w:rFonts w:hint="eastAsia" w:hAnsi="宋体" w:cs="宋体"/>
          <w:color w:val="auto"/>
          <w:kern w:val="0"/>
          <w:sz w:val="21"/>
          <w:szCs w:val="21"/>
          <w:highlight w:val="none"/>
          <w:u w:val="single"/>
          <w:lang w:val="en-US" w:eastAsia="zh-CN"/>
        </w:rPr>
        <w:t>25</w:t>
      </w:r>
      <w:r>
        <w:rPr>
          <w:rFonts w:hint="eastAsia" w:hAnsi="宋体" w:cs="宋体"/>
          <w:color w:val="auto"/>
          <w:kern w:val="0"/>
          <w:sz w:val="21"/>
          <w:szCs w:val="21"/>
          <w:highlight w:val="none"/>
          <w:u w:val="single"/>
        </w:rPr>
        <w:t>%</w:t>
      </w:r>
      <w:r>
        <w:rPr>
          <w:rFonts w:hint="eastAsia" w:hAnsi="宋体" w:cs="宋体"/>
          <w:color w:val="auto"/>
          <w:kern w:val="0"/>
          <w:sz w:val="21"/>
          <w:szCs w:val="21"/>
          <w:highlight w:val="none"/>
        </w:rPr>
        <w:t>，将人工费及时足额拨付至承包人的农民工工资专用账户，其余工程进度款项由发包人支付到承包人的单位基本户。</w:t>
      </w:r>
    </w:p>
    <w:p w14:paraId="65E669AF">
      <w:pPr>
        <w:spacing w:line="360" w:lineRule="auto"/>
        <w:ind w:firstLine="525" w:firstLineChars="250"/>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62E6D4BD">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5）凡未向付款单位提供农民工工资专用账户的，或者请款单位在申请工程进度款时未将人工费单列的，付款单位有权拒绝支付工程进度款。</w:t>
      </w:r>
    </w:p>
    <w:p w14:paraId="436B204E">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6）人工费使用要求：专款专用，除发放农民工工资外，不得用于其他用途。</w:t>
      </w:r>
    </w:p>
    <w:p w14:paraId="3CAC2545">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7）承包人将人工费支付情况定期报告发包人和监理单位，并提供相应的材料接受建设行政主管部门和劳动保障行政主管部门对此事项监管。</w:t>
      </w:r>
    </w:p>
    <w:p w14:paraId="5EB762CE">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8）人工费支付专用账户：××××公司农民工工资支付专用账户。账号：</w:t>
      </w:r>
      <w:r>
        <w:rPr>
          <w:rFonts w:hAnsi="宋体" w:cs="宋体"/>
          <w:color w:val="auto"/>
          <w:kern w:val="0"/>
          <w:sz w:val="21"/>
          <w:szCs w:val="21"/>
          <w:highlight w:val="none"/>
          <w:u w:val="single"/>
        </w:rPr>
        <w:t></w:t>
      </w:r>
      <w:r>
        <w:rPr>
          <w:rFonts w:hAnsi="宋体" w:cs="宋体"/>
          <w:color w:val="auto"/>
          <w:kern w:val="0"/>
          <w:sz w:val="21"/>
          <w:szCs w:val="21"/>
          <w:highlight w:val="none"/>
        </w:rPr>
        <w:t>。</w:t>
      </w:r>
    </w:p>
    <w:p w14:paraId="71856AC3">
      <w:pPr>
        <w:spacing w:line="360" w:lineRule="auto"/>
        <w:ind w:firstLine="525" w:firstLineChars="250"/>
        <w:jc w:val="left"/>
        <w:rPr>
          <w:rFonts w:hAnsi="宋体"/>
          <w:color w:val="auto"/>
          <w:sz w:val="21"/>
          <w:szCs w:val="21"/>
          <w:highlight w:val="none"/>
        </w:rPr>
      </w:pPr>
      <w:r>
        <w:rPr>
          <w:color w:val="auto"/>
          <w:sz w:val="21"/>
          <w:szCs w:val="21"/>
          <w:highlight w:val="none"/>
        </w:rPr>
        <w:t>12.4.6</w:t>
      </w:r>
      <w:r>
        <w:rPr>
          <w:rFonts w:hint="eastAsia" w:hAnsi="宋体" w:cs="宋体"/>
          <w:color w:val="auto"/>
          <w:sz w:val="21"/>
          <w:szCs w:val="21"/>
          <w:highlight w:val="none"/>
        </w:rPr>
        <w:t>支付分解表的编制</w:t>
      </w:r>
    </w:p>
    <w:p w14:paraId="4B9C4B96">
      <w:pPr>
        <w:spacing w:line="360" w:lineRule="auto"/>
        <w:ind w:firstLine="525" w:firstLineChars="25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rFonts w:hint="eastAsia" w:hAnsi="宋体" w:cs="宋体"/>
          <w:color w:val="auto"/>
          <w:sz w:val="21"/>
          <w:szCs w:val="21"/>
          <w:highlight w:val="none"/>
        </w:rPr>
        <w:t>总价合同支付分解表的编制与审批：</w:t>
      </w:r>
      <w:r>
        <w:rPr>
          <w:rFonts w:hint="eastAsia"/>
          <w:color w:val="auto"/>
          <w:sz w:val="21"/>
          <w:szCs w:val="21"/>
          <w:highlight w:val="none"/>
          <w:u w:val="single"/>
          <w:lang w:val="en-US" w:eastAsia="zh-CN"/>
        </w:rPr>
        <w:t>无</w:t>
      </w:r>
      <w:r>
        <w:rPr>
          <w:rFonts w:hint="eastAsia"/>
          <w:color w:val="auto"/>
          <w:sz w:val="21"/>
          <w:szCs w:val="21"/>
          <w:highlight w:val="none"/>
          <w:u w:val="single"/>
        </w:rPr>
        <w:t>。</w:t>
      </w:r>
    </w:p>
    <w:p w14:paraId="4130E18D">
      <w:pPr>
        <w:spacing w:line="360" w:lineRule="auto"/>
        <w:ind w:firstLine="525" w:firstLineChars="250"/>
        <w:jc w:val="left"/>
        <w:rPr>
          <w:color w:val="auto"/>
          <w:sz w:val="21"/>
          <w:szCs w:val="21"/>
          <w:highlight w:val="none"/>
          <w:u w:val="single"/>
        </w:rPr>
      </w:pPr>
      <w:r>
        <w:rPr>
          <w:rFonts w:hint="eastAsia"/>
          <w:color w:val="auto"/>
          <w:sz w:val="21"/>
          <w:szCs w:val="21"/>
          <w:highlight w:val="none"/>
        </w:rPr>
        <w:t>（2）</w:t>
      </w:r>
      <w:r>
        <w:rPr>
          <w:rFonts w:hint="eastAsia" w:hAnsi="宋体" w:cs="宋体"/>
          <w:color w:val="auto"/>
          <w:sz w:val="21"/>
          <w:szCs w:val="21"/>
          <w:highlight w:val="none"/>
        </w:rPr>
        <w:t>单价合同的总价项目支付分解表的编制与审批：总价项目不采用支付分解表的方式计算，而按《建设工程工程量清单计价规范（</w:t>
      </w:r>
      <w:r>
        <w:rPr>
          <w:rFonts w:hAnsi="宋体"/>
          <w:color w:val="auto"/>
          <w:sz w:val="21"/>
          <w:szCs w:val="21"/>
          <w:highlight w:val="none"/>
        </w:rPr>
        <w:t>GB50500-2013</w:t>
      </w:r>
      <w:r>
        <w:rPr>
          <w:rFonts w:hint="eastAsia" w:hAnsi="宋体" w:cs="宋体"/>
          <w:color w:val="auto"/>
          <w:sz w:val="21"/>
          <w:szCs w:val="21"/>
          <w:highlight w:val="none"/>
        </w:rPr>
        <w:t>）广西壮族自治区实施细则》的规定执行。</w:t>
      </w:r>
    </w:p>
    <w:bookmarkEnd w:id="805"/>
    <w:p w14:paraId="2361BE1C">
      <w:pPr>
        <w:pStyle w:val="4"/>
        <w:rPr>
          <w:color w:val="auto"/>
          <w:highlight w:val="none"/>
        </w:rPr>
      </w:pPr>
      <w:bookmarkStart w:id="1081" w:name="_Toc373478400"/>
      <w:bookmarkStart w:id="1082" w:name="_Toc246"/>
      <w:bookmarkStart w:id="1083" w:name="_Toc2003466256"/>
      <w:bookmarkStart w:id="1084" w:name="_Toc351203645"/>
      <w:bookmarkStart w:id="1085" w:name="_Toc407135256"/>
      <w:bookmarkStart w:id="1086" w:name="_Toc373227753"/>
      <w:bookmarkStart w:id="1087" w:name="_Toc78449842"/>
      <w:bookmarkStart w:id="1088" w:name="_Toc389065318"/>
      <w:bookmarkStart w:id="1089" w:name="_Toc728899116"/>
      <w:bookmarkStart w:id="1090" w:name="_Toc300935015"/>
      <w:bookmarkStart w:id="1091" w:name="_Toc296346720"/>
      <w:bookmarkStart w:id="1092" w:name="_Toc296891047"/>
      <w:bookmarkStart w:id="1093" w:name="_Toc297048405"/>
      <w:bookmarkStart w:id="1094" w:name="_Toc297216223"/>
      <w:bookmarkStart w:id="1095" w:name="_Toc297123564"/>
      <w:bookmarkStart w:id="1096" w:name="_Toc296503219"/>
      <w:bookmarkStart w:id="1097" w:name="_Toc296891259"/>
      <w:bookmarkStart w:id="1098" w:name="_Toc296944558"/>
      <w:bookmarkStart w:id="1099" w:name="_Toc304295593"/>
      <w:bookmarkStart w:id="1100" w:name="_Toc297120519"/>
      <w:bookmarkStart w:id="1101" w:name="_Toc292559929"/>
      <w:bookmarkStart w:id="1102" w:name="_Toc296347218"/>
      <w:bookmarkStart w:id="1103" w:name="_Toc292559424"/>
      <w:bookmarkStart w:id="1104" w:name="_Toc303539172"/>
      <w:bookmarkStart w:id="1105" w:name="_Toc312678053"/>
      <w:r>
        <w:rPr>
          <w:color w:val="auto"/>
          <w:highlight w:val="none"/>
        </w:rPr>
        <w:t>13.</w:t>
      </w:r>
      <w:r>
        <w:rPr>
          <w:rFonts w:hint="eastAsia" w:cs="黑体"/>
          <w:color w:val="auto"/>
          <w:highlight w:val="none"/>
        </w:rPr>
        <w:t>验收和工程试车</w:t>
      </w:r>
      <w:bookmarkEnd w:id="1081"/>
      <w:bookmarkEnd w:id="1082"/>
      <w:bookmarkEnd w:id="1083"/>
      <w:bookmarkEnd w:id="1084"/>
      <w:bookmarkEnd w:id="1085"/>
      <w:bookmarkEnd w:id="1086"/>
      <w:bookmarkEnd w:id="1087"/>
      <w:bookmarkEnd w:id="1088"/>
      <w:bookmarkEnd w:id="1089"/>
    </w:p>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29DE0396">
      <w:pPr>
        <w:pStyle w:val="5"/>
        <w:rPr>
          <w:color w:val="auto"/>
          <w:highlight w:val="none"/>
        </w:rPr>
      </w:pPr>
      <w:bookmarkStart w:id="1106" w:name="_Toc407135257"/>
      <w:bookmarkStart w:id="1107" w:name="_Toc389065319"/>
      <w:bookmarkStart w:id="1108" w:name="_Toc2326"/>
      <w:bookmarkStart w:id="1109" w:name="_Toc78449843"/>
      <w:bookmarkStart w:id="1110" w:name="_Toc834489126"/>
      <w:bookmarkStart w:id="1111" w:name="_Toc373478401"/>
      <w:bookmarkStart w:id="1112" w:name="_Toc740353520"/>
      <w:bookmarkStart w:id="1113" w:name="_Toc373227754"/>
      <w:r>
        <w:rPr>
          <w:color w:val="auto"/>
          <w:highlight w:val="none"/>
        </w:rPr>
        <w:t>13.1</w:t>
      </w:r>
      <w:r>
        <w:rPr>
          <w:rFonts w:hint="eastAsia" w:cs="黑体"/>
          <w:color w:val="auto"/>
          <w:highlight w:val="none"/>
        </w:rPr>
        <w:t>分部分项工程验收</w:t>
      </w:r>
      <w:bookmarkEnd w:id="1106"/>
      <w:bookmarkEnd w:id="1107"/>
      <w:bookmarkEnd w:id="1108"/>
      <w:bookmarkEnd w:id="1109"/>
      <w:bookmarkEnd w:id="1110"/>
      <w:bookmarkEnd w:id="1111"/>
      <w:bookmarkEnd w:id="1112"/>
      <w:bookmarkEnd w:id="1113"/>
    </w:p>
    <w:p w14:paraId="55F2DD7F">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hAnsi="宋体" w:cs="宋体"/>
          <w:color w:val="auto"/>
          <w:sz w:val="21"/>
          <w:szCs w:val="21"/>
          <w:highlight w:val="none"/>
        </w:rPr>
        <w:t>监理人不能按时进行验收时，应提前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0DE5661">
      <w:pPr>
        <w:spacing w:line="360" w:lineRule="auto"/>
        <w:ind w:firstLine="420" w:firstLineChars="200"/>
        <w:jc w:val="left"/>
        <w:rPr>
          <w:b/>
          <w:bCs/>
          <w:color w:val="auto"/>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r>
        <w:rPr>
          <w:rFonts w:hint="eastAsia" w:hAnsi="宋体" w:cs="宋体"/>
          <w:color w:val="auto"/>
          <w:highlight w:val="none"/>
        </w:rPr>
        <w:t>。</w:t>
      </w:r>
    </w:p>
    <w:p w14:paraId="75163EE7">
      <w:pPr>
        <w:pStyle w:val="5"/>
        <w:rPr>
          <w:color w:val="auto"/>
          <w:highlight w:val="none"/>
        </w:rPr>
      </w:pPr>
      <w:bookmarkStart w:id="1114" w:name="_Toc407135258"/>
      <w:bookmarkStart w:id="1115" w:name="_Toc373478402"/>
      <w:bookmarkStart w:id="1116" w:name="_Toc78449844"/>
      <w:bookmarkStart w:id="1117" w:name="_Toc1062221039"/>
      <w:bookmarkStart w:id="1118" w:name="_Toc389065320"/>
      <w:bookmarkStart w:id="1119" w:name="_Toc1578431234"/>
      <w:bookmarkStart w:id="1120" w:name="_Toc16912"/>
      <w:bookmarkStart w:id="1121" w:name="_Toc373227755"/>
      <w:bookmarkStart w:id="1122" w:name="_Toc292559428"/>
      <w:bookmarkStart w:id="1123" w:name="_Toc297123565"/>
      <w:bookmarkStart w:id="1124" w:name="_Toc303539173"/>
      <w:bookmarkStart w:id="1125" w:name="_Toc296891263"/>
      <w:bookmarkStart w:id="1126" w:name="_Toc297048409"/>
      <w:bookmarkStart w:id="1127" w:name="_Toc296346724"/>
      <w:bookmarkStart w:id="1128" w:name="_Toc300935016"/>
      <w:bookmarkStart w:id="1129" w:name="_Toc312678056"/>
      <w:bookmarkStart w:id="1130" w:name="_Toc296944562"/>
      <w:bookmarkStart w:id="1131" w:name="_Toc297216224"/>
      <w:bookmarkStart w:id="1132" w:name="_Toc304295596"/>
      <w:bookmarkStart w:id="1133" w:name="_Toc296347222"/>
      <w:bookmarkStart w:id="1134" w:name="_Toc292559933"/>
      <w:bookmarkStart w:id="1135" w:name="_Toc296891051"/>
      <w:bookmarkStart w:id="1136" w:name="_Toc296503223"/>
      <w:bookmarkStart w:id="1137" w:name="_Toc297120523"/>
      <w:bookmarkStart w:id="1138" w:name="_Toc267251475"/>
      <w:bookmarkStart w:id="1139" w:name="_Toc267251476"/>
      <w:bookmarkStart w:id="1140" w:name="_Toc267251471"/>
      <w:bookmarkStart w:id="1141" w:name="_Toc267251470"/>
      <w:bookmarkStart w:id="1142" w:name="_Toc267251473"/>
      <w:bookmarkStart w:id="1143" w:name="_Toc267251474"/>
      <w:bookmarkStart w:id="1144" w:name="_Toc267251472"/>
      <w:r>
        <w:rPr>
          <w:color w:val="auto"/>
          <w:highlight w:val="none"/>
        </w:rPr>
        <w:t>13.2</w:t>
      </w:r>
      <w:r>
        <w:rPr>
          <w:rFonts w:hint="eastAsia" w:hAnsi="宋体" w:cs="黑体"/>
          <w:color w:val="auto"/>
          <w:highlight w:val="none"/>
        </w:rPr>
        <w:t>竣工验收</w:t>
      </w:r>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06F7942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bookmarkStart w:id="1145" w:name="_Toc280868708"/>
      <w:bookmarkStart w:id="1146" w:name="_Toc280868709"/>
      <w:r>
        <w:rPr>
          <w:rFonts w:hint="eastAsia" w:ascii="Times New Roman" w:hAnsi="Times New Roman" w:eastAsia="宋体" w:cs="Times New Roman"/>
          <w:b w:val="0"/>
          <w:bCs w:val="0"/>
          <w:color w:val="auto"/>
          <w:kern w:val="0"/>
          <w:sz w:val="21"/>
          <w:szCs w:val="21"/>
          <w:highlight w:val="none"/>
          <w:u w:val="none"/>
          <w:lang w:val="en-US" w:eastAsia="zh-CN" w:bidi="hi-IN"/>
        </w:rPr>
        <w:t>13.2.1竣工验收条件</w:t>
      </w:r>
    </w:p>
    <w:p w14:paraId="5DE143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工程具备以下条件的，承包人可以申请竣工验收：（</w:t>
      </w:r>
      <w:r>
        <w:rPr>
          <w:rFonts w:hint="eastAsia" w:ascii="Times New Roman" w:hAnsi="Times New Roman" w:eastAsia="宋体" w:cs="Times New Roman"/>
          <w:b w:val="0"/>
          <w:bCs w:val="0"/>
          <w:color w:val="auto"/>
          <w:kern w:val="0"/>
          <w:sz w:val="21"/>
          <w:szCs w:val="21"/>
          <w:highlight w:val="none"/>
          <w:u w:val="single"/>
          <w:lang w:val="en-US" w:eastAsia="zh-CN" w:bidi="hi-IN"/>
        </w:rPr>
        <w:t>1）已完成合同约定的全部施工内容，包括</w:t>
      </w:r>
      <w:r>
        <w:rPr>
          <w:rFonts w:hint="default" w:ascii="Times New Roman" w:hAnsi="Times New Roman" w:eastAsia="宋体" w:cs="Times New Roman"/>
          <w:b w:val="0"/>
          <w:bCs w:val="0"/>
          <w:color w:val="auto"/>
          <w:kern w:val="0"/>
          <w:sz w:val="21"/>
          <w:szCs w:val="21"/>
          <w:highlight w:val="none"/>
          <w:u w:val="single"/>
          <w:lang w:val="en-US" w:eastAsia="zh-CN" w:bidi="hi-IN"/>
        </w:rPr>
        <w:t>路基土石方工程、泥结碎石路面面层、级配碎石基层、浆砌片石挡土墙、混凝土边沟、钢筋混凝土圆管涵、灌溉PVC管线迁改、土方回填、场地清理等；（2）有完整的技术档案和施工管理资料；（3）有工程使用的主要建筑材料、建筑构配件和设备的进场试验报告及见证取样检测报告；（4）监理单位已签署质量合格文件；（5）承包人已签署工程质量保修书</w:t>
      </w:r>
      <w:r>
        <w:rPr>
          <w:rFonts w:hint="eastAsia" w:ascii="Times New Roman" w:hAnsi="Times New Roman" w:eastAsia="宋体" w:cs="Times New Roman"/>
          <w:b w:val="0"/>
          <w:bCs w:val="0"/>
          <w:color w:val="auto"/>
          <w:kern w:val="0"/>
          <w:sz w:val="21"/>
          <w:szCs w:val="21"/>
          <w:highlight w:val="none"/>
          <w:u w:val="single"/>
          <w:lang w:val="en-US" w:eastAsia="zh-CN" w:bidi="hi-IN"/>
        </w:rPr>
        <w:t>。</w:t>
      </w:r>
    </w:p>
    <w:p w14:paraId="1BF2F52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13.2.2竣工验收程序</w:t>
      </w:r>
    </w:p>
    <w:p w14:paraId="7FE0B6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承包人向监理人提交竣工验收申请报告，并附完整的竣工资料。（2）监理人应在收到竣工验收申请报告后14天内完成审查，认为具备验收条件的，报送发包人。（3）发包人应在收到监理人报送的竣工验收申请报告后28天内组织监理、承包人、设计等单位进行竣工验收。（4）竣工验收合格的，发包人在验收合格后14天内向承包人签发工程接收证书。（5）竣工验收不合格的，由承包人按验收意见整改后重新申请验收。</w:t>
      </w:r>
    </w:p>
    <w:p w14:paraId="7673A0E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13.2.5移交、接收全部与部分工程</w:t>
      </w:r>
    </w:p>
    <w:p w14:paraId="66209A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承包人应在收到工程接收证书后7日内完成工程移交，并在14日内完成施工现场清理、人员及机械设备退场，恢复场地原貌。</w:t>
      </w:r>
    </w:p>
    <w:p w14:paraId="1924C40F">
      <w:pPr>
        <w:pStyle w:val="5"/>
        <w:spacing w:line="360" w:lineRule="auto"/>
        <w:rPr>
          <w:color w:val="auto"/>
          <w:highlight w:val="none"/>
        </w:rPr>
      </w:pPr>
      <w:bookmarkStart w:id="1147" w:name="_Toc407135259"/>
      <w:bookmarkStart w:id="1148" w:name="_Toc17541"/>
      <w:bookmarkStart w:id="1149" w:name="_Toc1470255881"/>
      <w:bookmarkStart w:id="1150" w:name="_Toc373227756"/>
      <w:bookmarkStart w:id="1151" w:name="_Toc78449845"/>
      <w:bookmarkStart w:id="1152" w:name="_Toc389065321"/>
      <w:bookmarkStart w:id="1153" w:name="_Toc2090321864"/>
      <w:bookmarkStart w:id="1154" w:name="_Toc373478403"/>
      <w:r>
        <w:rPr>
          <w:color w:val="auto"/>
          <w:highlight w:val="none"/>
        </w:rPr>
        <w:t>13.3</w:t>
      </w:r>
      <w:r>
        <w:rPr>
          <w:rFonts w:hint="eastAsia" w:hAnsi="宋体" w:cs="黑体"/>
          <w:color w:val="auto"/>
          <w:highlight w:val="none"/>
        </w:rPr>
        <w:t>工程试车</w:t>
      </w:r>
      <w:bookmarkEnd w:id="1147"/>
      <w:bookmarkEnd w:id="1148"/>
      <w:bookmarkEnd w:id="1149"/>
      <w:bookmarkEnd w:id="1150"/>
      <w:bookmarkEnd w:id="1151"/>
      <w:bookmarkEnd w:id="1152"/>
      <w:bookmarkEnd w:id="1153"/>
      <w:bookmarkEnd w:id="1154"/>
    </w:p>
    <w:bookmarkEnd w:id="1145"/>
    <w:p w14:paraId="0CC52BE3">
      <w:pPr>
        <w:spacing w:line="360" w:lineRule="auto"/>
        <w:ind w:firstLine="420" w:firstLineChars="200"/>
        <w:jc w:val="left"/>
        <w:rPr>
          <w:color w:val="auto"/>
          <w:kern w:val="0"/>
          <w:sz w:val="21"/>
          <w:szCs w:val="21"/>
          <w:highlight w:val="none"/>
        </w:rPr>
      </w:pPr>
      <w:r>
        <w:rPr>
          <w:color w:val="auto"/>
          <w:kern w:val="0"/>
          <w:sz w:val="21"/>
          <w:szCs w:val="21"/>
          <w:highlight w:val="none"/>
        </w:rPr>
        <w:t>13.3.1</w:t>
      </w:r>
      <w:r>
        <w:rPr>
          <w:rFonts w:hint="eastAsia" w:hAnsi="宋体" w:cs="宋体"/>
          <w:color w:val="auto"/>
          <w:kern w:val="0"/>
          <w:sz w:val="21"/>
          <w:szCs w:val="21"/>
          <w:highlight w:val="none"/>
        </w:rPr>
        <w:t>试车程序</w:t>
      </w:r>
    </w:p>
    <w:p w14:paraId="40F5BB3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hAnsi="宋体" w:cs="宋体"/>
          <w:color w:val="auto"/>
          <w:kern w:val="0"/>
          <w:sz w:val="21"/>
          <w:szCs w:val="21"/>
          <w:highlight w:val="none"/>
        </w:rPr>
        <w:t>工程试车内容：</w:t>
      </w:r>
      <w:r>
        <w:rPr>
          <w:rFonts w:hint="eastAsia" w:ascii="Times New Roman" w:hAnsi="Times New Roman" w:cs="Times New Roman"/>
          <w:color w:val="auto"/>
          <w:kern w:val="2"/>
          <w:sz w:val="21"/>
          <w:szCs w:val="21"/>
          <w:highlight w:val="none"/>
          <w:u w:val="single"/>
          <w:lang w:val="en-US" w:eastAsia="zh-CN" w:bidi="ar-SA"/>
        </w:rPr>
        <w:t>无</w:t>
      </w:r>
      <w:r>
        <w:rPr>
          <w:rFonts w:hint="default" w:ascii="Times New Roman" w:hAnsi="Times New Roman" w:eastAsia="宋体" w:cs="Times New Roman"/>
          <w:color w:val="auto"/>
          <w:kern w:val="2"/>
          <w:sz w:val="21"/>
          <w:szCs w:val="21"/>
          <w:highlight w:val="none"/>
          <w:u w:val="single"/>
          <w:lang w:val="en-US" w:eastAsia="zh-CN" w:bidi="ar-SA"/>
        </w:rPr>
        <w:t>。</w:t>
      </w:r>
    </w:p>
    <w:p w14:paraId="335824B8">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（1）单机无负荷试车费用由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6A6F9D46">
      <w:pPr>
        <w:pStyle w:val="20"/>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（2）无负荷联动试车费用由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3ABBE5B8">
      <w:pPr>
        <w:spacing w:line="360" w:lineRule="auto"/>
        <w:ind w:firstLine="420" w:firstLineChars="200"/>
        <w:jc w:val="left"/>
        <w:rPr>
          <w:color w:val="auto"/>
          <w:kern w:val="0"/>
          <w:sz w:val="21"/>
          <w:szCs w:val="21"/>
          <w:highlight w:val="none"/>
        </w:rPr>
      </w:pPr>
      <w:r>
        <w:rPr>
          <w:color w:val="auto"/>
          <w:kern w:val="0"/>
          <w:sz w:val="21"/>
          <w:szCs w:val="21"/>
          <w:highlight w:val="none"/>
        </w:rPr>
        <w:t>13.3.3</w:t>
      </w:r>
      <w:r>
        <w:rPr>
          <w:rFonts w:hint="eastAsia" w:hAnsi="宋体" w:cs="宋体"/>
          <w:color w:val="auto"/>
          <w:kern w:val="0"/>
          <w:sz w:val="21"/>
          <w:szCs w:val="21"/>
          <w:highlight w:val="none"/>
        </w:rPr>
        <w:t>投料试车</w:t>
      </w:r>
    </w:p>
    <w:p w14:paraId="58C486F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关于投料试车相关事项的约定：</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ABD1C44">
      <w:pPr>
        <w:pStyle w:val="5"/>
        <w:rPr>
          <w:color w:val="auto"/>
          <w:highlight w:val="none"/>
        </w:rPr>
      </w:pPr>
      <w:bookmarkStart w:id="1155" w:name="_Toc407135260"/>
      <w:bookmarkStart w:id="1156" w:name="_Toc373227757"/>
      <w:bookmarkStart w:id="1157" w:name="_Toc373478404"/>
      <w:bookmarkStart w:id="1158" w:name="_Toc78449846"/>
      <w:bookmarkStart w:id="1159" w:name="_Toc10307455"/>
      <w:bookmarkStart w:id="1160" w:name="_Toc389065322"/>
      <w:bookmarkStart w:id="1161" w:name="_Toc4266"/>
      <w:bookmarkStart w:id="1162" w:name="_Toc550030550"/>
      <w:r>
        <w:rPr>
          <w:color w:val="auto"/>
          <w:highlight w:val="none"/>
        </w:rPr>
        <w:t>13.6</w:t>
      </w:r>
      <w:r>
        <w:rPr>
          <w:rFonts w:hint="eastAsia" w:hAnsi="宋体" w:cs="黑体"/>
          <w:color w:val="auto"/>
          <w:highlight w:val="none"/>
        </w:rPr>
        <w:t>竣工退场</w:t>
      </w:r>
      <w:bookmarkEnd w:id="1155"/>
      <w:bookmarkEnd w:id="1156"/>
      <w:bookmarkEnd w:id="1157"/>
      <w:bookmarkEnd w:id="1158"/>
      <w:bookmarkEnd w:id="1159"/>
      <w:bookmarkEnd w:id="1160"/>
      <w:bookmarkEnd w:id="1161"/>
      <w:bookmarkEnd w:id="1162"/>
    </w:p>
    <w:p w14:paraId="2F1C0DDB">
      <w:pPr>
        <w:spacing w:line="360" w:lineRule="auto"/>
        <w:ind w:firstLine="400" w:firstLineChars="200"/>
        <w:jc w:val="left"/>
        <w:outlineLvl w:val="0"/>
        <w:rPr>
          <w:color w:val="auto"/>
          <w:kern w:val="0"/>
          <w:highlight w:val="none"/>
        </w:rPr>
      </w:pPr>
      <w:bookmarkStart w:id="1163" w:name="_Toc24216"/>
      <w:r>
        <w:rPr>
          <w:color w:val="auto"/>
          <w:kern w:val="0"/>
          <w:highlight w:val="none"/>
        </w:rPr>
        <w:t>13.6.1</w:t>
      </w:r>
      <w:r>
        <w:rPr>
          <w:rFonts w:hint="eastAsia" w:hAnsi="宋体" w:cs="宋体"/>
          <w:color w:val="auto"/>
          <w:kern w:val="0"/>
          <w:highlight w:val="none"/>
        </w:rPr>
        <w:t>竣工退场</w:t>
      </w:r>
      <w:bookmarkEnd w:id="1163"/>
    </w:p>
    <w:p w14:paraId="6C3238BD">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ascii="Segoe UI" w:hAnsi="Segoe UI" w:eastAsia="Segoe UI" w:cs="Segoe UI"/>
          <w:b w:val="0"/>
          <w:bCs w:val="0"/>
          <w:i w:val="0"/>
          <w:iCs w:val="0"/>
          <w:caps w:val="0"/>
          <w:color w:val="0F1115"/>
          <w:spacing w:val="0"/>
          <w:sz w:val="21"/>
          <w:szCs w:val="21"/>
          <w:highlight w:val="none"/>
          <w:u w:val="single"/>
        </w:rPr>
      </w:pPr>
      <w:r>
        <w:rPr>
          <w:rFonts w:hint="eastAsia" w:hAnsi="宋体" w:cs="宋体"/>
          <w:b w:val="0"/>
          <w:bCs w:val="0"/>
          <w:color w:val="auto"/>
          <w:kern w:val="0"/>
          <w:sz w:val="21"/>
          <w:szCs w:val="18"/>
          <w:highlight w:val="none"/>
        </w:rPr>
        <w:t>承包人完成竣工退场的期限：</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承包人应在颁发工程接收证书后14日内完成施工人员、施工机械设备及临时设施的全部撤离，并按以下标准完成施工现场的清理和恢复工作：（1）拆除全部临时建筑物、构筑物及围挡，清除场地内所有建筑垃圾、废弃材料和渣土；（2）按发包人要求回填基坑、管沟及临时设施基础，并平整场地；（3）修复因施工损坏的道路、绿化及公共设施，恢复至不低于施工前标准；（4）清掏沉淀池及排水沟，确保场地排水畅通。承包人撤离时不得破坏已完工程实体，不得遗留任何施工废弃物。清理工作完成后须经发包人代表及总监理工程师现场检查验收。</w:t>
      </w:r>
    </w:p>
    <w:p w14:paraId="78775A8D">
      <w:pPr>
        <w:pStyle w:val="20"/>
        <w:keepNext w:val="0"/>
        <w:keepLines w:val="0"/>
        <w:widowControl/>
        <w:suppressLineNumbers w:val="0"/>
        <w:shd w:val="clear" w:fill="FFFFFF"/>
        <w:spacing w:before="240" w:beforeAutospacing="0" w:after="0" w:afterAutospacing="0" w:line="360" w:lineRule="auto"/>
        <w:ind w:left="0" w:right="0" w:firstLine="420" w:firstLineChars="200"/>
        <w:rPr>
          <w:color w:val="auto"/>
          <w:kern w:val="0"/>
          <w:highlight w:val="none"/>
        </w:rPr>
      </w:pP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如</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书面要求保留部分临时设施的，该部分临时设施的清理义务在保留期限届满后由承包人按上述约定继续履行，保留期间的日常维护及安全管理责任由发包人承担。因发包人原因导致承包人无法按期退场的，退场期限相应顺延</w:t>
      </w:r>
      <w:r>
        <w:rPr>
          <w:rStyle w:val="27"/>
          <w:rFonts w:hint="default" w:ascii="Segoe UI" w:hAnsi="Segoe UI" w:eastAsia="Segoe UI" w:cs="Segoe UI"/>
          <w:b w:val="0"/>
          <w:bCs w:val="0"/>
          <w:i w:val="0"/>
          <w:iCs w:val="0"/>
          <w:caps w:val="0"/>
          <w:color w:val="0F1115"/>
          <w:spacing w:val="0"/>
          <w:sz w:val="21"/>
          <w:szCs w:val="21"/>
          <w:highlight w:val="none"/>
          <w:shd w:val="clear" w:fill="FFFFFF"/>
        </w:rPr>
        <w:t>。</w:t>
      </w:r>
    </w:p>
    <w:p w14:paraId="429986AA">
      <w:pPr>
        <w:pStyle w:val="4"/>
        <w:rPr>
          <w:color w:val="auto"/>
          <w:highlight w:val="none"/>
        </w:rPr>
      </w:pPr>
      <w:bookmarkStart w:id="1164" w:name="_Toc1950258056"/>
      <w:bookmarkStart w:id="1165" w:name="_Toc407135261"/>
      <w:bookmarkStart w:id="1166" w:name="_Toc373478405"/>
      <w:bookmarkStart w:id="1167" w:name="_Toc373227758"/>
      <w:bookmarkStart w:id="1168" w:name="_Toc1385490858"/>
      <w:bookmarkStart w:id="1169" w:name="_Toc78449847"/>
      <w:bookmarkStart w:id="1170" w:name="_Toc389065323"/>
      <w:bookmarkStart w:id="1171" w:name="_Toc5865"/>
      <w:bookmarkStart w:id="1172" w:name="_Toc351203646"/>
      <w:r>
        <w:rPr>
          <w:color w:val="auto"/>
          <w:highlight w:val="none"/>
        </w:rPr>
        <w:t>14.</w:t>
      </w:r>
      <w:r>
        <w:rPr>
          <w:rFonts w:hint="eastAsia" w:hAnsi="宋体" w:cs="黑体"/>
          <w:color w:val="auto"/>
          <w:highlight w:val="none"/>
        </w:rPr>
        <w:t>竣工结算</w:t>
      </w:r>
      <w:bookmarkEnd w:id="1164"/>
      <w:bookmarkEnd w:id="1165"/>
      <w:bookmarkEnd w:id="1166"/>
      <w:bookmarkEnd w:id="1167"/>
      <w:bookmarkEnd w:id="1168"/>
      <w:bookmarkEnd w:id="1169"/>
      <w:bookmarkEnd w:id="1170"/>
      <w:bookmarkEnd w:id="1171"/>
      <w:bookmarkEnd w:id="1172"/>
    </w:p>
    <w:p w14:paraId="226170BE">
      <w:pPr>
        <w:pStyle w:val="5"/>
        <w:rPr>
          <w:color w:val="auto"/>
          <w:highlight w:val="none"/>
        </w:rPr>
      </w:pPr>
      <w:bookmarkStart w:id="1173" w:name="_Toc407135262"/>
      <w:bookmarkStart w:id="1174" w:name="_Toc1973954660"/>
      <w:bookmarkStart w:id="1175" w:name="_Toc174652718"/>
      <w:bookmarkStart w:id="1176" w:name="_Toc373478406"/>
      <w:bookmarkStart w:id="1177" w:name="_Toc78449848"/>
      <w:bookmarkStart w:id="1178" w:name="_Toc389065324"/>
      <w:bookmarkStart w:id="1179" w:name="_Toc7190"/>
      <w:bookmarkStart w:id="1180" w:name="_Toc373227759"/>
      <w:r>
        <w:rPr>
          <w:color w:val="auto"/>
          <w:highlight w:val="none"/>
        </w:rPr>
        <w:t>14.1</w:t>
      </w:r>
      <w:r>
        <w:rPr>
          <w:rFonts w:hint="eastAsia" w:hAnsi="宋体" w:cs="黑体"/>
          <w:color w:val="auto"/>
          <w:highlight w:val="none"/>
        </w:rPr>
        <w:t>竣工付款申请</w:t>
      </w:r>
      <w:bookmarkEnd w:id="1173"/>
      <w:bookmarkEnd w:id="1174"/>
      <w:bookmarkEnd w:id="1175"/>
      <w:bookmarkEnd w:id="1176"/>
      <w:bookmarkEnd w:id="1177"/>
      <w:bookmarkEnd w:id="1178"/>
      <w:bookmarkEnd w:id="1179"/>
      <w:bookmarkEnd w:id="1180"/>
    </w:p>
    <w:p w14:paraId="20A304A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承包人提交竣工付款申请单的期限：</w:t>
      </w:r>
      <w:r>
        <w:rPr>
          <w:rFonts w:hint="eastAsia" w:hAnsi="宋体" w:cs="宋体"/>
          <w:color w:val="auto"/>
          <w:sz w:val="21"/>
          <w:szCs w:val="21"/>
          <w:highlight w:val="none"/>
          <w:u w:val="single"/>
        </w:rPr>
        <w:t>承包人应在工程竣工验收合格之日起28日内，向监理人提交竣工结算申请单及完整的竣工结算资料。因承包人原因未能在约定期限内提交竣工结算申请单的，发包人有权依据本合同专用合同条款第7.5.2条的约定主张逾期竣工违约金，但承包人完成竣工结算资料的提交义务不免除。竣工结算申请单须经项目经理签字并加盖承包人单位公章。</w:t>
      </w:r>
    </w:p>
    <w:p w14:paraId="0439C43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hAnsi="宋体" w:cs="宋体"/>
          <w:color w:val="auto"/>
          <w:sz w:val="21"/>
          <w:szCs w:val="18"/>
          <w:highlight w:val="none"/>
        </w:rPr>
      </w:pPr>
      <w:r>
        <w:rPr>
          <w:rFonts w:hint="eastAsia" w:hAnsi="宋体" w:cs="宋体"/>
          <w:color w:val="auto"/>
          <w:sz w:val="21"/>
          <w:szCs w:val="18"/>
          <w:highlight w:val="none"/>
        </w:rPr>
        <w:t>竣工付款申请单应包括的内容：</w:t>
      </w:r>
    </w:p>
    <w:p w14:paraId="1FF3D8A8">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申请单应包括以下内容，具体格式详见合同附件12《竣工结算款支付申请（核准）表》：（1）竣工结算合同价款总额（即调整后的合同价款总额，含合同内已完工程价款、经批准的变更及签证价款、价格调整价款、费用索赔价款等）；（2）累计已实际支付的工程价款（含预付款、进度款及安全文明施工费预付款等）；（3）应扣留的质量保证金（按竣工结算合同价款总额的3%计算）；（4）应扣回的其他款项（如预付款未扣完部分、发包人代垫款项、逾期竣工违约金等）；（5）竣工付款申请金额（即第（1）项减去第（2）至（4）项后的实际应支付金额）。</w:t>
      </w:r>
    </w:p>
    <w:p w14:paraId="4AEEA7F7">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none"/>
          <w:lang w:val="en-US" w:eastAsia="zh-CN" w:bidi="ar-SA"/>
        </w:rPr>
        <w:t>竣工结算申请单须附完整的竣工结算资料，包括但不限于：</w:t>
      </w:r>
      <w:r>
        <w:rPr>
          <w:rFonts w:hint="default" w:ascii="Times New Roman" w:hAnsi="宋体" w:eastAsia="宋体" w:cs="宋体"/>
          <w:color w:val="auto"/>
          <w:kern w:val="2"/>
          <w:sz w:val="21"/>
          <w:szCs w:val="21"/>
          <w:highlight w:val="none"/>
          <w:u w:val="single"/>
          <w:lang w:val="en-US" w:eastAsia="zh-CN" w:bidi="ar-SA"/>
        </w:rPr>
        <w:t>①竣工结算编制说明；②竣工结算汇总表及各单位工程竣工结算明细表；③已标价工程量清单及投标报价文件；④经批准的施工图设计文件及竣工图；⑤经发包人、监理人签字确认的全部工程变更指令、现场签证单及技术核定单；⑥材料设备价格调整的计价依据（含合同约定的材料价差调整计算表）；⑦工程索赔文件及发包人批准文件（如有）；⑧工期延误的相关证明文件（如有）；⑨经监理人签认的工程计量报表及进度款支付证书；⑩安全文明施工费使用台账；⑪合同约定的其他结算依据文件。</w:t>
      </w:r>
    </w:p>
    <w:p w14:paraId="1D6AD13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竣工结算资料应装订成册并编制目录和页码，一式肆份，电子版一份。承包人应对所提交竣工结算资料的完整性、真实性和准确性负责。</w:t>
      </w:r>
    </w:p>
    <w:p w14:paraId="614FAA67">
      <w:pPr>
        <w:pStyle w:val="5"/>
        <w:rPr>
          <w:color w:val="auto"/>
          <w:highlight w:val="none"/>
        </w:rPr>
      </w:pPr>
      <w:bookmarkStart w:id="1181" w:name="_Toc373478407"/>
      <w:bookmarkStart w:id="1182" w:name="_Toc407135263"/>
      <w:bookmarkStart w:id="1183" w:name="_Toc667492935"/>
      <w:bookmarkStart w:id="1184" w:name="_Toc78449849"/>
      <w:bookmarkStart w:id="1185" w:name="_Toc389065325"/>
      <w:bookmarkStart w:id="1186" w:name="_Toc373227760"/>
      <w:bookmarkStart w:id="1187" w:name="_Toc489920513"/>
      <w:bookmarkStart w:id="1188" w:name="_Toc1245"/>
      <w:r>
        <w:rPr>
          <w:color w:val="auto"/>
          <w:highlight w:val="none"/>
        </w:rPr>
        <w:t>14.2</w:t>
      </w:r>
      <w:r>
        <w:rPr>
          <w:rFonts w:hint="eastAsia" w:hAnsi="宋体" w:cs="黑体"/>
          <w:color w:val="auto"/>
          <w:highlight w:val="none"/>
        </w:rPr>
        <w:t>竣工结算审核</w:t>
      </w:r>
      <w:bookmarkEnd w:id="1181"/>
      <w:bookmarkEnd w:id="1182"/>
      <w:bookmarkEnd w:id="1183"/>
      <w:bookmarkEnd w:id="1184"/>
      <w:bookmarkEnd w:id="1185"/>
      <w:bookmarkEnd w:id="1186"/>
      <w:bookmarkEnd w:id="1187"/>
      <w:bookmarkEnd w:id="1188"/>
    </w:p>
    <w:p w14:paraId="67B9F29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08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057A6B7">
            <w:pPr>
              <w:keepNext w:val="0"/>
              <w:keepLines w:val="0"/>
              <w:suppressLineNumbers w:val="0"/>
              <w:spacing w:before="0" w:beforeAutospacing="0" w:after="0" w:afterAutospacing="0" w:line="360" w:lineRule="auto"/>
              <w:ind w:left="0" w:right="0"/>
              <w:rPr>
                <w:rFonts w:hint="default"/>
                <w:color w:val="auto"/>
                <w:sz w:val="21"/>
                <w:szCs w:val="21"/>
                <w:highlight w:val="none"/>
              </w:rPr>
            </w:pPr>
          </w:p>
        </w:tc>
        <w:tc>
          <w:tcPr>
            <w:tcW w:w="2466" w:type="dxa"/>
            <w:noWrap w:val="0"/>
            <w:vAlign w:val="center"/>
          </w:tcPr>
          <w:p w14:paraId="7C0C195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hAnsi="宋体" w:cs="宋体"/>
                <w:color w:val="auto"/>
                <w:sz w:val="21"/>
                <w:szCs w:val="21"/>
                <w:highlight w:val="none"/>
              </w:rPr>
              <w:t>工程竣工结算报告金额</w:t>
            </w:r>
          </w:p>
        </w:tc>
        <w:tc>
          <w:tcPr>
            <w:tcW w:w="5967" w:type="dxa"/>
            <w:noWrap w:val="0"/>
            <w:vAlign w:val="center"/>
          </w:tcPr>
          <w:p w14:paraId="28C398A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发包人审查时间</w:t>
            </w: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C9E5EC3">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1</w:t>
            </w:r>
          </w:p>
        </w:tc>
        <w:tc>
          <w:tcPr>
            <w:tcW w:w="2466" w:type="dxa"/>
            <w:noWrap w:val="0"/>
            <w:vAlign w:val="center"/>
          </w:tcPr>
          <w:p w14:paraId="4D8376C0">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万元以下</w:t>
            </w:r>
          </w:p>
        </w:tc>
        <w:tc>
          <w:tcPr>
            <w:tcW w:w="5967" w:type="dxa"/>
            <w:noWrap w:val="0"/>
            <w:vAlign w:val="center"/>
          </w:tcPr>
          <w:p w14:paraId="0F373DAF">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20</w:t>
            </w:r>
            <w:r>
              <w:rPr>
                <w:rFonts w:hint="eastAsia" w:hAnsi="宋体" w:cs="宋体"/>
                <w:color w:val="auto"/>
                <w:sz w:val="21"/>
                <w:szCs w:val="21"/>
                <w:highlight w:val="none"/>
              </w:rPr>
              <w:t>天</w:t>
            </w:r>
          </w:p>
        </w:tc>
      </w:tr>
      <w:tr w14:paraId="56E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133A0AF">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2</w:t>
            </w:r>
          </w:p>
        </w:tc>
        <w:tc>
          <w:tcPr>
            <w:tcW w:w="2466" w:type="dxa"/>
            <w:noWrap w:val="0"/>
            <w:vAlign w:val="center"/>
          </w:tcPr>
          <w:p w14:paraId="3A76B4A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w:t>
            </w:r>
            <w:r>
              <w:rPr>
                <w:rFonts w:hint="default"/>
                <w:color w:val="auto"/>
                <w:sz w:val="21"/>
                <w:szCs w:val="21"/>
                <w:highlight w:val="none"/>
              </w:rPr>
              <w:t>-2000</w:t>
            </w:r>
            <w:r>
              <w:rPr>
                <w:rFonts w:hint="eastAsia" w:hAnsi="宋体" w:cs="宋体"/>
                <w:color w:val="auto"/>
                <w:sz w:val="21"/>
                <w:szCs w:val="21"/>
                <w:highlight w:val="none"/>
              </w:rPr>
              <w:t>万元</w:t>
            </w:r>
          </w:p>
        </w:tc>
        <w:tc>
          <w:tcPr>
            <w:tcW w:w="5967" w:type="dxa"/>
            <w:noWrap w:val="0"/>
            <w:vAlign w:val="center"/>
          </w:tcPr>
          <w:p w14:paraId="702B4D8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30</w:t>
            </w:r>
            <w:r>
              <w:rPr>
                <w:rFonts w:hint="eastAsia" w:hAnsi="宋体" w:cs="宋体"/>
                <w:color w:val="auto"/>
                <w:sz w:val="21"/>
                <w:szCs w:val="21"/>
                <w:highlight w:val="none"/>
              </w:rPr>
              <w:t>天</w:t>
            </w:r>
          </w:p>
        </w:tc>
      </w:tr>
      <w:tr w14:paraId="463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042BFA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3</w:t>
            </w:r>
          </w:p>
        </w:tc>
        <w:tc>
          <w:tcPr>
            <w:tcW w:w="2466" w:type="dxa"/>
            <w:noWrap w:val="0"/>
            <w:vAlign w:val="center"/>
          </w:tcPr>
          <w:p w14:paraId="326725C9">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2000</w:t>
            </w:r>
            <w:r>
              <w:rPr>
                <w:rFonts w:hint="eastAsia" w:hAnsi="宋体" w:cs="宋体"/>
                <w:color w:val="auto"/>
                <w:sz w:val="21"/>
                <w:szCs w:val="21"/>
                <w:highlight w:val="none"/>
              </w:rPr>
              <w:t>万元</w:t>
            </w:r>
            <w:r>
              <w:rPr>
                <w:rFonts w:hint="default"/>
                <w:color w:val="auto"/>
                <w:sz w:val="21"/>
                <w:szCs w:val="21"/>
                <w:highlight w:val="none"/>
              </w:rPr>
              <w:t>-5000</w:t>
            </w:r>
            <w:r>
              <w:rPr>
                <w:rFonts w:hint="eastAsia" w:hAnsi="宋体" w:cs="宋体"/>
                <w:color w:val="auto"/>
                <w:sz w:val="21"/>
                <w:szCs w:val="21"/>
                <w:highlight w:val="none"/>
              </w:rPr>
              <w:t>万元</w:t>
            </w:r>
          </w:p>
        </w:tc>
        <w:tc>
          <w:tcPr>
            <w:tcW w:w="5967" w:type="dxa"/>
            <w:noWrap w:val="0"/>
            <w:vAlign w:val="center"/>
          </w:tcPr>
          <w:p w14:paraId="6191227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45</w:t>
            </w:r>
            <w:r>
              <w:rPr>
                <w:rFonts w:hint="eastAsia" w:hAnsi="宋体" w:cs="宋体"/>
                <w:color w:val="auto"/>
                <w:sz w:val="21"/>
                <w:szCs w:val="21"/>
                <w:highlight w:val="none"/>
              </w:rPr>
              <w:t>天</w:t>
            </w:r>
          </w:p>
        </w:tc>
      </w:tr>
      <w:tr w14:paraId="14FB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E23F086">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4</w:t>
            </w:r>
          </w:p>
        </w:tc>
        <w:tc>
          <w:tcPr>
            <w:tcW w:w="2466" w:type="dxa"/>
            <w:noWrap w:val="0"/>
            <w:vAlign w:val="center"/>
          </w:tcPr>
          <w:p w14:paraId="57F55A6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5000</w:t>
            </w:r>
            <w:r>
              <w:rPr>
                <w:rFonts w:hint="eastAsia" w:hAnsi="宋体" w:cs="宋体"/>
                <w:color w:val="auto"/>
                <w:sz w:val="21"/>
                <w:szCs w:val="21"/>
                <w:highlight w:val="none"/>
              </w:rPr>
              <w:t>万元以上</w:t>
            </w:r>
          </w:p>
        </w:tc>
        <w:tc>
          <w:tcPr>
            <w:tcW w:w="5967" w:type="dxa"/>
            <w:noWrap w:val="0"/>
            <w:vAlign w:val="center"/>
          </w:tcPr>
          <w:p w14:paraId="6DCCF7E8">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60</w:t>
            </w:r>
            <w:r>
              <w:rPr>
                <w:rFonts w:hint="eastAsia" w:hAnsi="宋体" w:cs="宋体"/>
                <w:color w:val="auto"/>
                <w:sz w:val="21"/>
                <w:szCs w:val="21"/>
                <w:highlight w:val="none"/>
              </w:rPr>
              <w:t>天</w:t>
            </w:r>
          </w:p>
        </w:tc>
      </w:tr>
      <w:tr w14:paraId="6A09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31C12CC">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5</w:t>
            </w:r>
          </w:p>
        </w:tc>
        <w:tc>
          <w:tcPr>
            <w:tcW w:w="2466" w:type="dxa"/>
            <w:noWrap w:val="0"/>
            <w:vAlign w:val="center"/>
          </w:tcPr>
          <w:p w14:paraId="6ADD938A">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color w:val="auto"/>
                <w:sz w:val="21"/>
                <w:szCs w:val="21"/>
                <w:highlight w:val="none"/>
              </w:rPr>
              <w:t>5000万以上每增加</w:t>
            </w:r>
            <w:r>
              <w:rPr>
                <w:rFonts w:hint="default"/>
                <w:color w:val="auto"/>
                <w:sz w:val="21"/>
                <w:szCs w:val="21"/>
                <w:highlight w:val="none"/>
              </w:rPr>
              <w:t>0.5</w:t>
            </w:r>
            <w:r>
              <w:rPr>
                <w:rFonts w:hint="eastAsia"/>
                <w:color w:val="auto"/>
                <w:sz w:val="21"/>
                <w:szCs w:val="21"/>
                <w:highlight w:val="none"/>
              </w:rPr>
              <w:t>亿(不足0.5亿不增加)</w:t>
            </w:r>
          </w:p>
        </w:tc>
        <w:tc>
          <w:tcPr>
            <w:tcW w:w="5967" w:type="dxa"/>
            <w:noWrap w:val="0"/>
            <w:vAlign w:val="center"/>
          </w:tcPr>
          <w:p w14:paraId="471BA09E">
            <w:pPr>
              <w:keepNext w:val="0"/>
              <w:keepLines w:val="0"/>
              <w:suppressLineNumbers w:val="0"/>
              <w:spacing w:before="0" w:beforeAutospacing="0" w:after="0" w:afterAutospacing="0" w:line="360" w:lineRule="auto"/>
              <w:ind w:left="0" w:right="0" w:firstLine="441" w:firstLineChars="210"/>
              <w:jc w:val="center"/>
              <w:rPr>
                <w:rFonts w:hint="eastAsia" w:hAnsi="宋体" w:cs="宋体"/>
                <w:color w:val="auto"/>
                <w:sz w:val="21"/>
                <w:szCs w:val="21"/>
                <w:highlight w:val="none"/>
              </w:rPr>
            </w:pPr>
            <w:r>
              <w:rPr>
                <w:rFonts w:hint="eastAsia" w:hAnsi="宋体" w:cs="宋体"/>
                <w:color w:val="auto"/>
                <w:sz w:val="21"/>
                <w:szCs w:val="21"/>
                <w:highlight w:val="none"/>
              </w:rPr>
              <w:t>增加10天</w:t>
            </w:r>
          </w:p>
        </w:tc>
      </w:tr>
    </w:tbl>
    <w:p w14:paraId="50A0350C">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因承包人提供的结算资料不完整而需要补充或承包人不按时对账耽误时间时，审查时间应相应顺延。</w:t>
      </w:r>
    </w:p>
    <w:p w14:paraId="5FA6697A">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sz w:val="21"/>
          <w:szCs w:val="21"/>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01C5786">
      <w:pPr>
        <w:spacing w:line="400" w:lineRule="exact"/>
        <w:ind w:firstLine="411" w:firstLineChars="196"/>
        <w:rPr>
          <w:rFonts w:hint="eastAsia" w:ascii="Times New Roman" w:hAnsi="宋体" w:eastAsia="宋体" w:cs="宋体"/>
          <w:color w:val="auto"/>
          <w:sz w:val="21"/>
          <w:szCs w:val="21"/>
          <w:highlight w:val="none"/>
        </w:rPr>
      </w:pPr>
      <w:r>
        <w:rPr>
          <w:rFonts w:ascii="宋体" w:hAnsi="宋体" w:eastAsia="宋体" w:cs="宋体"/>
          <w:kern w:val="0"/>
          <w:sz w:val="21"/>
          <w:szCs w:val="21"/>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67D7643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1、工程竣工验收报告经发包人认可后28天内，承包人向发包人递交竣工验收合格资料及完整的结算资料和报告，双方按照本工程合同约定的价格形式及价款调整办法进行工程竣工结算。</w:t>
      </w:r>
    </w:p>
    <w:p w14:paraId="7FC11C0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2、发包人收到承包人递交的竣工结算报告及结算资料之日起30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30天内提出异议，必要时合同当事人要当面核对，直至完成工程竣工结算。除非有特殊情形，否则从承包人递交竣工结算报告到完成竣工结算的时间应控制在“发包人审核竣工付款申请单的期限”要求的时间范围内。</w:t>
      </w:r>
    </w:p>
    <w:p w14:paraId="706923B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3、自竣工结算完毕之日起14天内，发包人按审定后的竣工结算价款，通知经办银行向承包人支付结算价款。</w:t>
      </w:r>
    </w:p>
    <w:p w14:paraId="5A598EB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备注：对于国有投资项目结算审核约定，双方可结合各地政府或有关部门出台的管理规定进行局部调整</w:t>
      </w:r>
    </w:p>
    <w:p w14:paraId="0C678C11">
      <w:pPr>
        <w:pStyle w:val="5"/>
        <w:rPr>
          <w:color w:val="auto"/>
          <w:highlight w:val="none"/>
        </w:rPr>
      </w:pPr>
      <w:bookmarkStart w:id="1189" w:name="_Toc407135264"/>
      <w:bookmarkStart w:id="1190" w:name="_Toc373227761"/>
      <w:bookmarkStart w:id="1191" w:name="_Toc1203653078"/>
      <w:bookmarkStart w:id="1192" w:name="_Toc373478408"/>
      <w:bookmarkStart w:id="1193" w:name="_Toc389065326"/>
      <w:bookmarkStart w:id="1194" w:name="_Toc6545"/>
      <w:bookmarkStart w:id="1195" w:name="_Toc540165641"/>
      <w:bookmarkStart w:id="1196" w:name="_Toc78449850"/>
      <w:r>
        <w:rPr>
          <w:color w:val="auto"/>
          <w:highlight w:val="none"/>
        </w:rPr>
        <w:t>14.4</w:t>
      </w:r>
      <w:r>
        <w:rPr>
          <w:rFonts w:hint="eastAsia" w:hAnsi="宋体" w:cs="黑体"/>
          <w:color w:val="auto"/>
          <w:highlight w:val="none"/>
        </w:rPr>
        <w:t>最终结清</w:t>
      </w:r>
      <w:bookmarkEnd w:id="1189"/>
      <w:bookmarkEnd w:id="1190"/>
      <w:bookmarkEnd w:id="1191"/>
      <w:bookmarkEnd w:id="1192"/>
      <w:bookmarkEnd w:id="1193"/>
      <w:bookmarkEnd w:id="1194"/>
      <w:bookmarkEnd w:id="1195"/>
      <w:bookmarkEnd w:id="1196"/>
    </w:p>
    <w:p w14:paraId="47462B00">
      <w:pPr>
        <w:spacing w:line="360" w:lineRule="auto"/>
        <w:ind w:firstLine="420" w:firstLineChars="200"/>
        <w:jc w:val="left"/>
        <w:rPr>
          <w:color w:val="auto"/>
          <w:kern w:val="0"/>
          <w:sz w:val="21"/>
          <w:szCs w:val="21"/>
          <w:highlight w:val="none"/>
        </w:rPr>
      </w:pPr>
      <w:r>
        <w:rPr>
          <w:color w:val="auto"/>
          <w:kern w:val="0"/>
          <w:sz w:val="21"/>
          <w:szCs w:val="21"/>
          <w:highlight w:val="none"/>
        </w:rPr>
        <w:t>14.4.1</w:t>
      </w:r>
      <w:r>
        <w:rPr>
          <w:rFonts w:hint="eastAsia" w:hAnsi="宋体" w:cs="宋体"/>
          <w:color w:val="auto"/>
          <w:kern w:val="0"/>
          <w:sz w:val="21"/>
          <w:szCs w:val="21"/>
          <w:highlight w:val="none"/>
        </w:rPr>
        <w:t>最终结清申请单</w:t>
      </w:r>
    </w:p>
    <w:p w14:paraId="753A01FB">
      <w:pPr>
        <w:spacing w:line="360" w:lineRule="auto"/>
        <w:ind w:firstLine="420" w:firstLineChars="200"/>
        <w:jc w:val="left"/>
        <w:rPr>
          <w:b w:val="0"/>
          <w:bCs w:val="0"/>
          <w:color w:val="auto"/>
          <w:kern w:val="0"/>
          <w:sz w:val="21"/>
          <w:szCs w:val="21"/>
          <w:highlight w:val="none"/>
          <w:u w:val="single"/>
        </w:rPr>
      </w:pPr>
      <w:r>
        <w:rPr>
          <w:rFonts w:hint="eastAsia" w:hAnsi="宋体" w:cs="宋体"/>
          <w:color w:val="auto"/>
          <w:kern w:val="0"/>
          <w:sz w:val="21"/>
          <w:szCs w:val="21"/>
          <w:highlight w:val="none"/>
        </w:rPr>
        <w:t>承包人提交最终结清申请单</w:t>
      </w:r>
      <w:r>
        <w:rPr>
          <w:rFonts w:hint="eastAsia" w:hAnsi="宋体" w:cs="宋体"/>
          <w:b w:val="0"/>
          <w:bCs w:val="0"/>
          <w:color w:val="auto"/>
          <w:kern w:val="0"/>
          <w:sz w:val="21"/>
          <w:szCs w:val="21"/>
          <w:highlight w:val="none"/>
        </w:rPr>
        <w:t>的份数：</w:t>
      </w:r>
      <w:r>
        <w:rPr>
          <w:rStyle w:val="27"/>
          <w:rFonts w:ascii="Segoe UI" w:hAnsi="Segoe UI" w:eastAsia="Segoe UI" w:cs="Segoe UI"/>
          <w:b w:val="0"/>
          <w:bCs w:val="0"/>
          <w:i w:val="0"/>
          <w:iCs w:val="0"/>
          <w:caps w:val="0"/>
          <w:color w:val="0F1115"/>
          <w:spacing w:val="0"/>
          <w:sz w:val="21"/>
          <w:szCs w:val="21"/>
          <w:highlight w:val="none"/>
          <w:u w:val="single"/>
          <w:shd w:val="clear" w:fill="FFFFFF"/>
        </w:rPr>
        <w:t>一式肆份（发包人、监理人、承包人、审计部门各一份），并附电子版一份。</w:t>
      </w:r>
    </w:p>
    <w:p w14:paraId="688E53D9">
      <w:pPr>
        <w:spacing w:line="360" w:lineRule="auto"/>
        <w:ind w:firstLine="420" w:firstLineChars="200"/>
        <w:jc w:val="left"/>
        <w:rPr>
          <w:rFonts w:hint="eastAsia" w:eastAsia="宋体"/>
          <w:b w:val="0"/>
          <w:bCs w:val="0"/>
          <w:color w:val="auto"/>
          <w:sz w:val="21"/>
          <w:szCs w:val="21"/>
          <w:highlight w:val="none"/>
          <w:lang w:eastAsia="zh-CN"/>
        </w:rPr>
      </w:pPr>
      <w:r>
        <w:rPr>
          <w:rFonts w:hint="eastAsia" w:hAnsi="宋体" w:cs="宋体"/>
          <w:b w:val="0"/>
          <w:bCs w:val="0"/>
          <w:color w:val="auto"/>
          <w:kern w:val="0"/>
          <w:sz w:val="21"/>
          <w:szCs w:val="21"/>
          <w:highlight w:val="none"/>
        </w:rPr>
        <w:t>承包人提交最终结算申请单的期限：</w:t>
      </w:r>
      <w:r>
        <w:rPr>
          <w:rStyle w:val="27"/>
          <w:rFonts w:ascii="Segoe UI" w:hAnsi="Segoe UI" w:eastAsia="Segoe UI" w:cs="Segoe UI"/>
          <w:b w:val="0"/>
          <w:bCs w:val="0"/>
          <w:i w:val="0"/>
          <w:iCs w:val="0"/>
          <w:caps w:val="0"/>
          <w:color w:val="0F1115"/>
          <w:spacing w:val="0"/>
          <w:sz w:val="21"/>
          <w:szCs w:val="21"/>
          <w:highlight w:val="none"/>
          <w:u w:val="single"/>
          <w:shd w:val="clear" w:fill="FFFFFF"/>
        </w:rPr>
        <w:t>承包人应在缺陷责任期终止证书颁发后14日内，向监理人提交最终结清申请单。因承包人原因未能在约定期限内提交的，发包人有权顺延最终结清支付时间，但承包人提交最终结清申请单的义务不免除。</w:t>
      </w:r>
    </w:p>
    <w:p w14:paraId="1030D777">
      <w:pPr>
        <w:spacing w:line="360" w:lineRule="auto"/>
        <w:ind w:firstLine="420" w:firstLineChars="200"/>
        <w:jc w:val="left"/>
        <w:rPr>
          <w:color w:val="auto"/>
          <w:sz w:val="21"/>
          <w:szCs w:val="21"/>
          <w:highlight w:val="none"/>
        </w:rPr>
      </w:pPr>
      <w:r>
        <w:rPr>
          <w:rFonts w:hint="eastAsia"/>
          <w:color w:val="auto"/>
          <w:sz w:val="21"/>
          <w:szCs w:val="21"/>
          <w:highlight w:val="none"/>
        </w:rPr>
        <w:t>最终结算款支付申请（核准）表见合同附件13。</w:t>
      </w:r>
    </w:p>
    <w:p w14:paraId="6778E7D4">
      <w:pPr>
        <w:spacing w:line="360" w:lineRule="auto"/>
        <w:ind w:firstLine="420" w:firstLineChars="200"/>
        <w:jc w:val="left"/>
        <w:rPr>
          <w:color w:val="auto"/>
          <w:sz w:val="21"/>
          <w:szCs w:val="21"/>
          <w:highlight w:val="none"/>
        </w:rPr>
      </w:pPr>
      <w:r>
        <w:rPr>
          <w:color w:val="auto"/>
          <w:sz w:val="21"/>
          <w:szCs w:val="21"/>
          <w:highlight w:val="none"/>
        </w:rPr>
        <w:t>14.4.2</w:t>
      </w:r>
      <w:r>
        <w:rPr>
          <w:rFonts w:hint="eastAsia" w:hAnsi="宋体" w:cs="宋体"/>
          <w:color w:val="auto"/>
          <w:sz w:val="21"/>
          <w:szCs w:val="21"/>
          <w:highlight w:val="none"/>
        </w:rPr>
        <w:t>最终结清证书和支付</w:t>
      </w:r>
    </w:p>
    <w:bookmarkEnd w:id="1138"/>
    <w:bookmarkEnd w:id="1139"/>
    <w:bookmarkEnd w:id="1140"/>
    <w:bookmarkEnd w:id="1141"/>
    <w:bookmarkEnd w:id="1142"/>
    <w:bookmarkEnd w:id="1143"/>
    <w:bookmarkEnd w:id="1144"/>
    <w:bookmarkEnd w:id="1146"/>
    <w:p w14:paraId="702B9CA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bookmarkStart w:id="1197" w:name="_Toc1294213766"/>
      <w:bookmarkStart w:id="1198" w:name="_Toc78449851"/>
      <w:bookmarkStart w:id="1199" w:name="_Toc373478409"/>
      <w:bookmarkStart w:id="1200" w:name="_Toc407135265"/>
      <w:bookmarkStart w:id="1201" w:name="_Toc905081407"/>
      <w:bookmarkStart w:id="1202" w:name="_Toc351203647"/>
      <w:bookmarkStart w:id="1203" w:name="_Toc389065327"/>
      <w:bookmarkStart w:id="1204" w:name="_Toc373227762"/>
      <w:bookmarkStart w:id="1205" w:name="_Toc267251483"/>
      <w:bookmarkStart w:id="1206" w:name="_Toc267251484"/>
      <w:bookmarkStart w:id="1207" w:name="_Toc267251482"/>
      <w:bookmarkStart w:id="1208" w:name="_Toc267251485"/>
      <w:bookmarkStart w:id="1209" w:name="_Toc267251489"/>
      <w:bookmarkStart w:id="1210" w:name="_Toc267251488"/>
      <w:bookmarkStart w:id="1211" w:name="_Toc267251490"/>
      <w:bookmarkStart w:id="1212" w:name="_Toc267251486"/>
      <w:bookmarkStart w:id="1213" w:name="_Toc267251499"/>
      <w:bookmarkStart w:id="1214" w:name="_Toc267251494"/>
      <w:bookmarkStart w:id="1215" w:name="_Toc267251495"/>
      <w:bookmarkStart w:id="1216" w:name="_Toc267251496"/>
      <w:bookmarkStart w:id="1217" w:name="_Toc267251491"/>
      <w:bookmarkStart w:id="1218" w:name="_Toc267251492"/>
      <w:bookmarkStart w:id="1219" w:name="_Toc267251501"/>
      <w:bookmarkStart w:id="1220" w:name="_Toc267251493"/>
      <w:bookmarkStart w:id="1221" w:name="_Toc267251502"/>
      <w:bookmarkStart w:id="1222" w:name="_Toc267251497"/>
      <w:bookmarkStart w:id="1223" w:name="_Toc267251503"/>
      <w:bookmarkStart w:id="1224" w:name="_Toc267251498"/>
      <w:bookmarkStart w:id="1225" w:name="_Toc267251504"/>
      <w:bookmarkStart w:id="1226" w:name="_Toc267251506"/>
      <w:bookmarkStart w:id="1227" w:name="_Toc267251507"/>
      <w:bookmarkStart w:id="1228" w:name="_Toc267251508"/>
      <w:bookmarkStart w:id="1229" w:name="_Toc267251511"/>
      <w:bookmarkStart w:id="1230" w:name="_Toc267251509"/>
      <w:bookmarkStart w:id="1231" w:name="_Toc267251515"/>
      <w:bookmarkStart w:id="1232" w:name="_Toc267251510"/>
      <w:bookmarkStart w:id="1233" w:name="_Toc267251514"/>
      <w:bookmarkStart w:id="1234" w:name="_Toc267251513"/>
      <w:r>
        <w:rPr>
          <w:rFonts w:hint="default" w:ascii="Times New Roman" w:hAnsi="Times New Roman" w:eastAsia="宋体" w:cs="Times New Roman"/>
          <w:color w:val="auto"/>
          <w:kern w:val="2"/>
          <w:sz w:val="21"/>
          <w:szCs w:val="21"/>
          <w:highlight w:val="none"/>
          <w:lang w:val="en-US" w:eastAsia="zh-CN" w:bidi="ar-SA"/>
        </w:rPr>
        <w:t>（1）发包人完成最终结清申请单的审批并颁发最终结清证书的期限：</w:t>
      </w:r>
      <w:r>
        <w:rPr>
          <w:rFonts w:hint="default" w:ascii="Times New Roman" w:hAnsi="Times New Roman" w:eastAsia="宋体" w:cs="Times New Roman"/>
          <w:color w:val="auto"/>
          <w:kern w:val="2"/>
          <w:sz w:val="21"/>
          <w:szCs w:val="21"/>
          <w:highlight w:val="none"/>
          <w:u w:val="single"/>
          <w:lang w:val="en-US" w:eastAsia="zh-CN" w:bidi="ar-SA"/>
        </w:rPr>
        <w:t>发包人应在收到承包人提交的最终结清申请单且质量保证金返还条件已满足后14日内，完成审批并颁发最终结清证书。逾期未审批且未提出书面异议的，视为已认可最终结清申请单的内容并同意颁发最终结清证书。</w:t>
      </w:r>
    </w:p>
    <w:p w14:paraId="38309B9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（2）发包人完成支付的期限：</w:t>
      </w:r>
      <w:r>
        <w:rPr>
          <w:rFonts w:hint="eastAsia"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w:t>
      </w:r>
    </w:p>
    <w:p w14:paraId="01E59517">
      <w:pPr>
        <w:pStyle w:val="4"/>
        <w:rPr>
          <w:color w:val="auto"/>
          <w:highlight w:val="none"/>
        </w:rPr>
      </w:pPr>
      <w:bookmarkStart w:id="1235" w:name="_Toc1676"/>
      <w:r>
        <w:rPr>
          <w:color w:val="auto"/>
          <w:highlight w:val="none"/>
        </w:rPr>
        <w:t>15.</w:t>
      </w:r>
      <w:r>
        <w:rPr>
          <w:rFonts w:hint="eastAsia" w:cs="黑体"/>
          <w:color w:val="auto"/>
          <w:highlight w:val="none"/>
        </w:rPr>
        <w:t>缺陷责任期与保修</w:t>
      </w:r>
      <w:bookmarkEnd w:id="1197"/>
      <w:bookmarkEnd w:id="1198"/>
      <w:bookmarkEnd w:id="1199"/>
      <w:bookmarkEnd w:id="1200"/>
      <w:bookmarkEnd w:id="1201"/>
      <w:bookmarkEnd w:id="1202"/>
      <w:bookmarkEnd w:id="1203"/>
      <w:bookmarkEnd w:id="1204"/>
      <w:bookmarkEnd w:id="1235"/>
    </w:p>
    <w:p w14:paraId="5DF8A858">
      <w:pPr>
        <w:pStyle w:val="5"/>
        <w:rPr>
          <w:color w:val="auto"/>
          <w:highlight w:val="none"/>
        </w:rPr>
      </w:pPr>
      <w:bookmarkStart w:id="1236" w:name="_Toc389065328"/>
      <w:bookmarkStart w:id="1237" w:name="_Toc373227763"/>
      <w:bookmarkStart w:id="1238" w:name="_Toc407135266"/>
      <w:bookmarkStart w:id="1239" w:name="_Toc373478410"/>
      <w:bookmarkStart w:id="1240" w:name="_Toc1845278067"/>
      <w:bookmarkStart w:id="1241" w:name="_Toc1468458868"/>
      <w:bookmarkStart w:id="1242" w:name="_Toc13767"/>
      <w:bookmarkStart w:id="1243" w:name="_Toc78449852"/>
      <w:r>
        <w:rPr>
          <w:color w:val="auto"/>
          <w:highlight w:val="none"/>
        </w:rPr>
        <w:t>15.2</w:t>
      </w:r>
      <w:r>
        <w:rPr>
          <w:rFonts w:hint="eastAsia" w:hAnsi="宋体" w:cs="黑体"/>
          <w:color w:val="auto"/>
          <w:highlight w:val="none"/>
        </w:rPr>
        <w:t>缺陷责任期</w:t>
      </w:r>
      <w:bookmarkEnd w:id="1205"/>
      <w:bookmarkEnd w:id="1236"/>
      <w:bookmarkEnd w:id="1237"/>
      <w:bookmarkEnd w:id="1238"/>
      <w:bookmarkEnd w:id="1239"/>
      <w:bookmarkEnd w:id="1240"/>
      <w:bookmarkEnd w:id="1241"/>
      <w:bookmarkEnd w:id="1242"/>
      <w:bookmarkEnd w:id="1243"/>
    </w:p>
    <w:p w14:paraId="4DD959FB">
      <w:pPr>
        <w:pStyle w:val="5"/>
        <w:rPr>
          <w:rFonts w:hint="default" w:ascii="Times New Roman" w:hAnsi="Times New Roman" w:eastAsia="宋体" w:cs="Times New Roman"/>
          <w:b w:val="0"/>
          <w:bCs w:val="0"/>
          <w:color w:val="auto"/>
          <w:kern w:val="2"/>
          <w:sz w:val="21"/>
          <w:szCs w:val="21"/>
          <w:highlight w:val="none"/>
          <w:lang w:val="en-US" w:eastAsia="zh-CN" w:bidi="ar-SA"/>
        </w:rPr>
      </w:pPr>
      <w:bookmarkStart w:id="1244" w:name="_Toc373227764"/>
      <w:bookmarkStart w:id="1245" w:name="_Toc1004692311"/>
      <w:bookmarkStart w:id="1246" w:name="_Toc8004"/>
      <w:bookmarkStart w:id="1247" w:name="_Toc373478411"/>
      <w:bookmarkStart w:id="1248" w:name="_Toc666080472"/>
      <w:bookmarkStart w:id="1249" w:name="_Toc407135267"/>
      <w:bookmarkStart w:id="1250" w:name="_Toc389065329"/>
      <w:bookmarkStart w:id="1251" w:name="_Toc78449853"/>
      <w:r>
        <w:rPr>
          <w:rFonts w:hint="default" w:ascii="Times New Roman" w:hAnsi="Times New Roman" w:eastAsia="宋体" w:cs="Times New Roman"/>
          <w:b w:val="0"/>
          <w:bCs w:val="0"/>
          <w:color w:val="auto"/>
          <w:kern w:val="2"/>
          <w:sz w:val="21"/>
          <w:szCs w:val="21"/>
          <w:highlight w:val="none"/>
          <w:lang w:val="en-US" w:eastAsia="zh-CN" w:bidi="ar-SA"/>
        </w:rPr>
        <w:t>15.2缺陷责任期：24个月</w:t>
      </w:r>
    </w:p>
    <w:p w14:paraId="14F4092D">
      <w:pPr>
        <w:pStyle w:val="5"/>
        <w:rPr>
          <w:color w:val="auto"/>
          <w:highlight w:val="none"/>
        </w:rPr>
      </w:pPr>
      <w:r>
        <w:rPr>
          <w:color w:val="auto"/>
          <w:highlight w:val="none"/>
        </w:rPr>
        <w:t>15.3</w:t>
      </w:r>
      <w:r>
        <w:rPr>
          <w:rFonts w:hint="eastAsia" w:hAnsi="宋体" w:cs="黑体"/>
          <w:color w:val="auto"/>
          <w:highlight w:val="none"/>
        </w:rPr>
        <w:t>质量保证金</w:t>
      </w:r>
      <w:bookmarkEnd w:id="1244"/>
      <w:bookmarkEnd w:id="1245"/>
      <w:bookmarkEnd w:id="1246"/>
      <w:bookmarkEnd w:id="1247"/>
      <w:bookmarkEnd w:id="1248"/>
      <w:bookmarkEnd w:id="1249"/>
      <w:bookmarkEnd w:id="1250"/>
      <w:bookmarkEnd w:id="1251"/>
    </w:p>
    <w:p w14:paraId="1FBCAED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关于是否扣留质量保证金的约定：</w:t>
      </w:r>
      <w:r>
        <w:rPr>
          <w:rFonts w:hint="eastAsia"/>
          <w:color w:val="auto"/>
          <w:sz w:val="21"/>
          <w:szCs w:val="21"/>
          <w:highlight w:val="none"/>
          <w:u w:val="single"/>
          <w:lang w:eastAsia="zh-CN"/>
        </w:rPr>
        <w:t>是</w:t>
      </w:r>
      <w:r>
        <w:rPr>
          <w:rFonts w:hint="eastAsia" w:hAnsi="宋体" w:cs="宋体"/>
          <w:color w:val="auto"/>
          <w:sz w:val="21"/>
          <w:szCs w:val="21"/>
          <w:highlight w:val="none"/>
        </w:rPr>
        <w:t>。</w:t>
      </w:r>
    </w:p>
    <w:p w14:paraId="2860DAF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在工程项目竣工前，承包人按专用合同条款第3.7条提供履约担保的，发包人不得同时预留工程质量保证金。</w:t>
      </w:r>
    </w:p>
    <w:p w14:paraId="7E914C19">
      <w:pPr>
        <w:spacing w:line="360" w:lineRule="auto"/>
        <w:ind w:firstLine="420" w:firstLineChars="200"/>
        <w:jc w:val="left"/>
        <w:outlineLvl w:val="0"/>
        <w:rPr>
          <w:color w:val="auto"/>
          <w:sz w:val="21"/>
          <w:szCs w:val="21"/>
          <w:highlight w:val="none"/>
        </w:rPr>
      </w:pPr>
      <w:bookmarkStart w:id="1252" w:name="_Toc12334"/>
      <w:r>
        <w:rPr>
          <w:color w:val="auto"/>
          <w:sz w:val="21"/>
          <w:szCs w:val="21"/>
          <w:highlight w:val="none"/>
        </w:rPr>
        <w:t>15.3.1</w:t>
      </w:r>
      <w:r>
        <w:rPr>
          <w:rFonts w:hint="eastAsia" w:hAnsi="宋体" w:cs="宋体"/>
          <w:color w:val="auto"/>
          <w:sz w:val="21"/>
          <w:szCs w:val="21"/>
          <w:highlight w:val="none"/>
        </w:rPr>
        <w:t>承包人提供质量保证金的方式</w:t>
      </w:r>
      <w:bookmarkEnd w:id="1252"/>
    </w:p>
    <w:p w14:paraId="649E13B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质量保证金采用以下第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16B3377F">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）质量保证金保函</w:t>
      </w:r>
      <w:r>
        <w:rPr>
          <w:rFonts w:hint="eastAsia" w:ascii="Times New Roman" w:hAnsi="宋体" w:eastAsia="宋体" w:cs="宋体"/>
          <w:color w:val="auto"/>
          <w:sz w:val="21"/>
          <w:szCs w:val="21"/>
          <w:highlight w:val="none"/>
        </w:rPr>
        <w:t>（银行保函、电子保函、保证保险保函、工程担保保函</w:t>
      </w:r>
      <w:r>
        <w:rPr>
          <w:rFonts w:hint="eastAsia" w:ascii="Times New Roman" w:hAnsi="宋体" w:eastAsia="宋体" w:cs="宋体"/>
          <w:color w:val="auto"/>
          <w:sz w:val="21"/>
          <w:szCs w:val="21"/>
          <w:highlight w:val="none"/>
          <w:lang w:eastAsia="zh-CN"/>
        </w:rPr>
        <w:t>，</w:t>
      </w:r>
      <w:r>
        <w:rPr>
          <w:rFonts w:hint="eastAsia" w:hAnsi="宋体" w:cs="宋体"/>
          <w:color w:val="auto"/>
          <w:kern w:val="0"/>
          <w:sz w:val="21"/>
          <w:szCs w:val="21"/>
          <w:highlight w:val="none"/>
        </w:rPr>
        <w:t>工程担保保证人应将出具的保函相关信息录入“广西建筑市场监管云”平台（http://gxjzsc.caihcloud.com），以实现保函查询及验真功能</w:t>
      </w:r>
      <w:r>
        <w:rPr>
          <w:rFonts w:hint="eastAsia" w:hAnsi="宋体" w:cs="宋体"/>
          <w:color w:val="auto"/>
          <w:kern w:val="0"/>
          <w:sz w:val="21"/>
          <w:szCs w:val="21"/>
          <w:highlight w:val="none"/>
          <w:lang w:eastAsia="zh-CN"/>
        </w:rPr>
        <w:t>。</w:t>
      </w:r>
      <w:r>
        <w:rPr>
          <w:rFonts w:hint="eastAsia" w:ascii="Times New Roman" w:hAnsi="宋体" w:eastAsia="宋体" w:cs="宋体"/>
          <w:color w:val="auto"/>
          <w:sz w:val="21"/>
          <w:szCs w:val="21"/>
          <w:highlight w:val="none"/>
        </w:rPr>
        <w:t>）</w:t>
      </w:r>
      <w:r>
        <w:rPr>
          <w:rFonts w:hint="eastAsia" w:hAnsi="宋体" w:cs="宋体"/>
          <w:color w:val="auto"/>
          <w:kern w:val="0"/>
          <w:sz w:val="21"/>
          <w:szCs w:val="21"/>
          <w:highlight w:val="none"/>
        </w:rPr>
        <w:t>，保证金额为：；</w:t>
      </w:r>
    </w:p>
    <w:p w14:paraId="53500022">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rFonts w:hint="eastAsia" w:hAnsi="宋体" w:cs="宋体"/>
          <w:color w:val="auto"/>
          <w:sz w:val="21"/>
          <w:szCs w:val="21"/>
          <w:highlight w:val="none"/>
        </w:rPr>
        <w:t>发包人按工程价款结算总额的</w:t>
      </w:r>
      <w:r>
        <w:rPr>
          <w:rFonts w:hint="eastAsia" w:hAnsi="宋体"/>
          <w:color w:val="auto"/>
          <w:sz w:val="21"/>
          <w:szCs w:val="21"/>
          <w:highlight w:val="none"/>
          <w:u w:val="single"/>
          <w:lang w:val="en-US" w:eastAsia="zh-CN"/>
        </w:rPr>
        <w:t>3</w:t>
      </w:r>
      <w:r>
        <w:rPr>
          <w:color w:val="auto"/>
          <w:sz w:val="21"/>
          <w:szCs w:val="21"/>
          <w:highlight w:val="none"/>
        </w:rPr>
        <w:t>%</w:t>
      </w:r>
      <w:r>
        <w:rPr>
          <w:rFonts w:hint="eastAsia" w:cs="宋体"/>
          <w:color w:val="auto"/>
          <w:sz w:val="21"/>
          <w:szCs w:val="21"/>
          <w:highlight w:val="none"/>
        </w:rPr>
        <w:t>（不得超过</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预留工程质量保证金，待缺陷责任期满后返还，是否付息及利息计算方式为：</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79A6A9E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）其他方式</w:t>
      </w:r>
      <w:r>
        <w:rPr>
          <w:rFonts w:hint="eastAsia" w:cs="宋体"/>
          <w:color w:val="auto"/>
          <w:kern w:val="0"/>
          <w:sz w:val="21"/>
          <w:szCs w:val="21"/>
          <w:highlight w:val="none"/>
        </w:rPr>
        <w:t>：</w:t>
      </w:r>
      <w:r>
        <w:rPr>
          <w:rFonts w:hint="eastAsia" w:ascii="Times New Roman" w:hAnsi="宋体" w:eastAsia="宋体" w:cs="宋体"/>
          <w:color w:val="auto"/>
          <w:sz w:val="21"/>
          <w:szCs w:val="21"/>
          <w:highlight w:val="none"/>
        </w:rPr>
        <w:t>银行转账、电汇或网上支付等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sz w:val="21"/>
          <w:szCs w:val="21"/>
          <w:highlight w:val="none"/>
        </w:rPr>
        <w:t>。</w:t>
      </w:r>
    </w:p>
    <w:p w14:paraId="2FEAAAE9">
      <w:pPr>
        <w:spacing w:line="360" w:lineRule="auto"/>
        <w:ind w:firstLine="420" w:firstLineChars="200"/>
        <w:jc w:val="left"/>
        <w:rPr>
          <w:color w:val="auto"/>
          <w:sz w:val="21"/>
          <w:szCs w:val="21"/>
          <w:highlight w:val="none"/>
        </w:rPr>
      </w:pPr>
      <w:r>
        <w:rPr>
          <w:color w:val="auto"/>
          <w:sz w:val="21"/>
          <w:szCs w:val="21"/>
          <w:highlight w:val="none"/>
        </w:rPr>
        <w:t>15.3.2</w:t>
      </w:r>
      <w:r>
        <w:rPr>
          <w:rFonts w:hint="eastAsia" w:hAnsi="宋体" w:cs="宋体"/>
          <w:color w:val="auto"/>
          <w:sz w:val="21"/>
          <w:szCs w:val="21"/>
          <w:highlight w:val="none"/>
        </w:rPr>
        <w:t>质量保证金的扣留</w:t>
      </w:r>
    </w:p>
    <w:p w14:paraId="7FA4E35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质量保证金的扣留采取以下第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3FF2AF24">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）在</w:t>
      </w:r>
      <w:r>
        <w:rPr>
          <w:rFonts w:hAnsi="宋体" w:cs="宋体"/>
          <w:color w:val="auto"/>
          <w:kern w:val="0"/>
          <w:sz w:val="21"/>
          <w:szCs w:val="21"/>
          <w:highlight w:val="none"/>
        </w:rPr>
        <w:t>不缴纳履</w:t>
      </w:r>
      <w:r>
        <w:rPr>
          <w:rFonts w:hint="eastAsia" w:hAnsi="宋体" w:cs="宋体"/>
          <w:color w:val="auto"/>
          <w:kern w:val="0"/>
          <w:sz w:val="21"/>
          <w:szCs w:val="21"/>
          <w:highlight w:val="none"/>
        </w:rPr>
        <w:t>保</w:t>
      </w:r>
      <w:r>
        <w:rPr>
          <w:rFonts w:hAnsi="宋体" w:cs="宋体"/>
          <w:color w:val="auto"/>
          <w:kern w:val="0"/>
          <w:sz w:val="21"/>
          <w:szCs w:val="21"/>
          <w:highlight w:val="none"/>
        </w:rPr>
        <w:t>证金情况下</w:t>
      </w:r>
      <w:r>
        <w:rPr>
          <w:rFonts w:hint="eastAsia" w:hAnsi="宋体" w:cs="宋体"/>
          <w:color w:val="auto"/>
          <w:kern w:val="0"/>
          <w:sz w:val="21"/>
          <w:szCs w:val="21"/>
          <w:highlight w:val="none"/>
        </w:rPr>
        <w:t>，按支付工程进度款时逐次扣留，质量保证金的计算基数不包括预付款的支付、扣回以及价格调整的金额；</w:t>
      </w:r>
    </w:p>
    <w:p w14:paraId="68F559C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）工程竣工结算时，一次性扣留质量保证金，</w:t>
      </w:r>
      <w:r>
        <w:rPr>
          <w:rFonts w:hAnsi="宋体" w:cs="宋体"/>
          <w:color w:val="auto"/>
          <w:kern w:val="0"/>
          <w:sz w:val="21"/>
          <w:szCs w:val="21"/>
          <w:highlight w:val="none"/>
        </w:rPr>
        <w:t>由承包人以银行保函</w:t>
      </w:r>
      <w:r>
        <w:rPr>
          <w:rFonts w:hint="eastAsia" w:hAnsi="宋体" w:cs="宋体"/>
          <w:color w:val="auto"/>
          <w:kern w:val="0"/>
          <w:sz w:val="21"/>
          <w:szCs w:val="21"/>
          <w:highlight w:val="none"/>
        </w:rPr>
        <w:t>、保证保险</w:t>
      </w:r>
      <w:r>
        <w:rPr>
          <w:rFonts w:hAnsi="宋体" w:cs="宋体"/>
          <w:color w:val="auto"/>
          <w:kern w:val="0"/>
          <w:sz w:val="21"/>
          <w:szCs w:val="21"/>
          <w:highlight w:val="none"/>
        </w:rPr>
        <w:t>替代预留</w:t>
      </w:r>
      <w:r>
        <w:rPr>
          <w:rFonts w:hint="eastAsia" w:hAnsi="宋体" w:cs="宋体"/>
          <w:color w:val="auto"/>
          <w:kern w:val="0"/>
          <w:sz w:val="21"/>
          <w:szCs w:val="21"/>
          <w:highlight w:val="none"/>
        </w:rPr>
        <w:t>质量</w:t>
      </w:r>
      <w:r>
        <w:rPr>
          <w:rFonts w:hAnsi="宋体" w:cs="宋体"/>
          <w:color w:val="auto"/>
          <w:kern w:val="0"/>
          <w:sz w:val="21"/>
          <w:szCs w:val="21"/>
          <w:highlight w:val="none"/>
        </w:rPr>
        <w:t>保证金</w:t>
      </w:r>
      <w:r>
        <w:rPr>
          <w:rFonts w:hint="eastAsia" w:hAnsi="宋体" w:cs="宋体"/>
          <w:color w:val="auto"/>
          <w:kern w:val="0"/>
          <w:sz w:val="21"/>
          <w:szCs w:val="21"/>
          <w:highlight w:val="none"/>
        </w:rPr>
        <w:t>，</w:t>
      </w:r>
      <w:r>
        <w:rPr>
          <w:rFonts w:hAnsi="宋体" w:cs="宋体"/>
          <w:color w:val="auto"/>
          <w:kern w:val="0"/>
          <w:sz w:val="21"/>
          <w:szCs w:val="21"/>
          <w:highlight w:val="none"/>
        </w:rPr>
        <w:t>保函金额不得高</w:t>
      </w:r>
      <w:r>
        <w:rPr>
          <w:rFonts w:hint="eastAsia" w:hAnsi="宋体" w:cs="宋体"/>
          <w:color w:val="auto"/>
          <w:kern w:val="0"/>
          <w:sz w:val="21"/>
          <w:szCs w:val="21"/>
          <w:highlight w:val="none"/>
        </w:rPr>
        <w:t>于</w:t>
      </w:r>
      <w:r>
        <w:rPr>
          <w:rFonts w:hAnsi="宋体" w:cs="宋体"/>
          <w:color w:val="auto"/>
          <w:kern w:val="0"/>
          <w:sz w:val="21"/>
          <w:szCs w:val="21"/>
          <w:highlight w:val="none"/>
        </w:rPr>
        <w:t>工程价款结算总额的</w:t>
      </w:r>
      <w:r>
        <w:rPr>
          <w:rFonts w:hint="eastAsia" w:hAnsi="宋体" w:cs="宋体"/>
          <w:color w:val="auto"/>
          <w:kern w:val="0"/>
          <w:sz w:val="21"/>
          <w:szCs w:val="21"/>
          <w:highlight w:val="none"/>
        </w:rPr>
        <w:t>3</w:t>
      </w:r>
      <w:r>
        <w:rPr>
          <w:rFonts w:hAnsi="宋体" w:cs="宋体"/>
          <w:color w:val="auto"/>
          <w:kern w:val="0"/>
          <w:sz w:val="21"/>
          <w:szCs w:val="21"/>
          <w:highlight w:val="none"/>
        </w:rPr>
        <w:t>%</w:t>
      </w:r>
      <w:r>
        <w:rPr>
          <w:rFonts w:hint="eastAsia" w:hAnsi="宋体" w:cs="宋体"/>
          <w:color w:val="auto"/>
          <w:kern w:val="0"/>
          <w:sz w:val="21"/>
          <w:szCs w:val="21"/>
          <w:highlight w:val="none"/>
        </w:rPr>
        <w:t>；</w:t>
      </w:r>
    </w:p>
    <w:p w14:paraId="07B4F5D5">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）其他扣留方式</w:t>
      </w:r>
      <w:r>
        <w:rPr>
          <w:color w:val="auto"/>
          <w:kern w:val="0"/>
          <w:sz w:val="21"/>
          <w:szCs w:val="21"/>
          <w:highlight w:val="none"/>
        </w:rPr>
        <w:t>:</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kern w:val="0"/>
          <w:sz w:val="21"/>
          <w:szCs w:val="21"/>
          <w:highlight w:val="none"/>
        </w:rPr>
        <w:t>。</w:t>
      </w:r>
    </w:p>
    <w:p w14:paraId="6E83399A">
      <w:pPr>
        <w:spacing w:line="360" w:lineRule="auto"/>
        <w:ind w:firstLine="420" w:firstLineChars="200"/>
        <w:jc w:val="left"/>
        <w:rPr>
          <w:rFonts w:hint="eastAsia"/>
          <w:color w:val="auto"/>
          <w:sz w:val="21"/>
          <w:szCs w:val="21"/>
          <w:highlight w:val="none"/>
          <w:u w:val="single"/>
          <w:lang w:val="en-US" w:eastAsia="zh-CN"/>
        </w:rPr>
      </w:pPr>
      <w:r>
        <w:rPr>
          <w:rFonts w:hint="eastAsia" w:hAnsi="宋体" w:cs="宋体"/>
          <w:color w:val="auto"/>
          <w:sz w:val="21"/>
          <w:szCs w:val="21"/>
          <w:highlight w:val="none"/>
        </w:rPr>
        <w:t>关于质量保证金的补充约定：</w:t>
      </w:r>
      <w:r>
        <w:rPr>
          <w:rFonts w:hint="eastAsia"/>
          <w:color w:val="auto"/>
          <w:sz w:val="21"/>
          <w:szCs w:val="21"/>
          <w:highlight w:val="none"/>
          <w:u w:val="single"/>
          <w:lang w:val="en-US" w:eastAsia="zh-CN"/>
        </w:rPr>
        <w:t>质量保证金按竣工结算价款总额的3%在工程竣工结算时一次性扣留。缺陷责任期（24个月）满后，如无未处理的质量缺陷，发包人在收到承包人返还申请后14日内核实返还质量保证金，不计利息。承包人申请返还质量保证金时，应同时提交工程保修期内的保修服务完成情况说明及相关证明材料。如承包人以银行保函或保证保险替代预留质量保证金的，保函或保单金额应与预留金额一致，有效期不少于缺陷责任期，格式须经发包人认可。</w:t>
      </w:r>
    </w:p>
    <w:bookmarkEnd w:id="1206"/>
    <w:bookmarkEnd w:id="1207"/>
    <w:p w14:paraId="3CE6A7D4">
      <w:pPr>
        <w:pStyle w:val="5"/>
        <w:rPr>
          <w:color w:val="auto"/>
          <w:highlight w:val="none"/>
        </w:rPr>
      </w:pPr>
      <w:bookmarkStart w:id="1253" w:name="_Toc78449854"/>
      <w:bookmarkStart w:id="1254" w:name="_Toc407135268"/>
      <w:bookmarkStart w:id="1255" w:name="_Toc1902722111"/>
      <w:bookmarkStart w:id="1256" w:name="_Toc373478412"/>
      <w:bookmarkStart w:id="1257" w:name="_Toc389065330"/>
      <w:bookmarkStart w:id="1258" w:name="_Toc15489"/>
      <w:bookmarkStart w:id="1259" w:name="_Toc373227765"/>
      <w:bookmarkStart w:id="1260" w:name="_Toc196306762"/>
      <w:r>
        <w:rPr>
          <w:color w:val="auto"/>
          <w:highlight w:val="none"/>
        </w:rPr>
        <w:t>15.4</w:t>
      </w:r>
      <w:r>
        <w:rPr>
          <w:rFonts w:hint="eastAsia" w:hAnsi="宋体" w:cs="黑体"/>
          <w:color w:val="auto"/>
          <w:highlight w:val="none"/>
        </w:rPr>
        <w:t>保修</w:t>
      </w:r>
      <w:bookmarkEnd w:id="1253"/>
      <w:bookmarkEnd w:id="1254"/>
      <w:bookmarkEnd w:id="1255"/>
      <w:bookmarkEnd w:id="1256"/>
      <w:bookmarkEnd w:id="1257"/>
      <w:bookmarkEnd w:id="1258"/>
      <w:bookmarkEnd w:id="1259"/>
      <w:bookmarkEnd w:id="1260"/>
    </w:p>
    <w:bookmarkEnd w:id="1208"/>
    <w:p w14:paraId="57216826">
      <w:pPr>
        <w:spacing w:line="360" w:lineRule="auto"/>
        <w:ind w:firstLine="409" w:firstLineChars="195"/>
        <w:jc w:val="left"/>
        <w:outlineLvl w:val="0"/>
        <w:rPr>
          <w:color w:val="auto"/>
          <w:sz w:val="21"/>
          <w:szCs w:val="21"/>
          <w:highlight w:val="none"/>
        </w:rPr>
      </w:pPr>
      <w:bookmarkStart w:id="1261" w:name="_Toc9415"/>
      <w:r>
        <w:rPr>
          <w:color w:val="auto"/>
          <w:sz w:val="21"/>
          <w:szCs w:val="21"/>
          <w:highlight w:val="none"/>
        </w:rPr>
        <w:t>15.4.1</w:t>
      </w:r>
      <w:r>
        <w:rPr>
          <w:rFonts w:hint="eastAsia" w:hAnsi="宋体" w:cs="宋体"/>
          <w:color w:val="auto"/>
          <w:sz w:val="21"/>
          <w:szCs w:val="21"/>
          <w:highlight w:val="none"/>
        </w:rPr>
        <w:t>保修责任</w:t>
      </w:r>
      <w:bookmarkEnd w:id="1261"/>
    </w:p>
    <w:p w14:paraId="34BF2FD2">
      <w:pPr>
        <w:spacing w:line="360" w:lineRule="auto"/>
        <w:ind w:firstLine="409" w:firstLineChars="195"/>
        <w:jc w:val="left"/>
        <w:rPr>
          <w:rFonts w:hAnsi="宋体"/>
          <w:color w:val="auto"/>
          <w:kern w:val="0"/>
          <w:sz w:val="21"/>
          <w:szCs w:val="21"/>
          <w:highlight w:val="none"/>
        </w:rPr>
      </w:pPr>
      <w:r>
        <w:rPr>
          <w:rFonts w:hint="eastAsia" w:hAnsi="宋体" w:cs="宋体"/>
          <w:color w:val="auto"/>
          <w:sz w:val="21"/>
          <w:szCs w:val="21"/>
          <w:highlight w:val="none"/>
        </w:rPr>
        <w:t>工程保修期为：</w:t>
      </w:r>
      <w:r>
        <w:rPr>
          <w:rFonts w:hint="eastAsia"/>
          <w:color w:val="auto"/>
          <w:kern w:val="0"/>
          <w:sz w:val="21"/>
          <w:szCs w:val="21"/>
          <w:highlight w:val="none"/>
          <w:u w:val="single"/>
          <w:lang w:val="en-US" w:eastAsia="zh-CN"/>
        </w:rPr>
        <w:t>24个月</w:t>
      </w:r>
      <w:r>
        <w:rPr>
          <w:rFonts w:hint="eastAsia" w:hAnsi="宋体" w:cs="宋体"/>
          <w:color w:val="auto"/>
          <w:kern w:val="0"/>
          <w:sz w:val="21"/>
          <w:szCs w:val="21"/>
          <w:highlight w:val="none"/>
        </w:rPr>
        <w:t>。</w:t>
      </w:r>
    </w:p>
    <w:p w14:paraId="06E7AC6A">
      <w:pPr>
        <w:spacing w:line="360" w:lineRule="auto"/>
        <w:ind w:firstLine="409" w:firstLineChars="195"/>
        <w:jc w:val="left"/>
        <w:rPr>
          <w:color w:val="auto"/>
          <w:kern w:val="0"/>
          <w:sz w:val="21"/>
          <w:szCs w:val="21"/>
          <w:highlight w:val="none"/>
          <w:u w:val="single"/>
        </w:rPr>
      </w:pPr>
      <w:r>
        <w:rPr>
          <w:rFonts w:hint="eastAsia" w:ascii="宋体" w:hAnsi="宋体" w:cs="宋体"/>
          <w:color w:val="auto"/>
          <w:sz w:val="21"/>
          <w:szCs w:val="21"/>
          <w:highlight w:val="none"/>
        </w:rPr>
        <w:t>工程保修书具体内容见合同附件2。</w:t>
      </w:r>
    </w:p>
    <w:p w14:paraId="4D9E3770">
      <w:pPr>
        <w:spacing w:line="360" w:lineRule="auto"/>
        <w:ind w:firstLine="409" w:firstLineChars="195"/>
        <w:jc w:val="left"/>
        <w:rPr>
          <w:color w:val="auto"/>
          <w:sz w:val="21"/>
          <w:szCs w:val="21"/>
          <w:highlight w:val="none"/>
        </w:rPr>
      </w:pPr>
      <w:r>
        <w:rPr>
          <w:color w:val="auto"/>
          <w:sz w:val="21"/>
          <w:szCs w:val="21"/>
          <w:highlight w:val="none"/>
        </w:rPr>
        <w:t>15.4.3</w:t>
      </w:r>
      <w:r>
        <w:rPr>
          <w:rFonts w:hint="eastAsia" w:hAnsi="宋体" w:cs="宋体"/>
          <w:color w:val="auto"/>
          <w:sz w:val="21"/>
          <w:szCs w:val="21"/>
          <w:highlight w:val="none"/>
        </w:rPr>
        <w:t>修复通知</w:t>
      </w:r>
    </w:p>
    <w:p w14:paraId="0C053141">
      <w:pPr>
        <w:spacing w:line="360" w:lineRule="auto"/>
        <w:ind w:firstLine="409" w:firstLineChars="195"/>
        <w:jc w:val="left"/>
        <w:rPr>
          <w:color w:val="auto"/>
          <w:kern w:val="0"/>
          <w:sz w:val="20"/>
          <w:szCs w:val="20"/>
          <w:highlight w:val="none"/>
          <w:u w:val="single"/>
        </w:rPr>
      </w:pPr>
      <w:r>
        <w:rPr>
          <w:rFonts w:hint="eastAsia" w:hAnsi="宋体" w:cs="宋体"/>
          <w:color w:val="auto"/>
          <w:kern w:val="0"/>
          <w:sz w:val="21"/>
          <w:szCs w:val="21"/>
          <w:highlight w:val="none"/>
        </w:rPr>
        <w:t>承包人收到保修通知并到达工程现场的合理时间：</w:t>
      </w:r>
      <w:r>
        <w:rPr>
          <w:rFonts w:ascii="Segoe UI" w:hAnsi="Segoe UI" w:eastAsia="Segoe UI" w:cs="Segoe UI"/>
          <w:i w:val="0"/>
          <w:iCs w:val="0"/>
          <w:caps w:val="0"/>
          <w:color w:val="0F1115"/>
          <w:spacing w:val="0"/>
          <w:sz w:val="22"/>
          <w:szCs w:val="22"/>
          <w:highlight w:val="none"/>
          <w:u w:val="single"/>
          <w:shd w:val="clear" w:fill="FFFFFF"/>
        </w:rPr>
        <w:t>24小时内到达现场进行勘查，48小时内完成一般性缺陷修复</w:t>
      </w:r>
      <w:r>
        <w:rPr>
          <w:rFonts w:hint="eastAsia" w:hAnsi="宋体" w:cs="宋体"/>
          <w:color w:val="auto"/>
          <w:kern w:val="0"/>
          <w:sz w:val="20"/>
          <w:szCs w:val="20"/>
          <w:highlight w:val="none"/>
          <w:u w:val="single"/>
        </w:rPr>
        <w:t>。</w:t>
      </w:r>
    </w:p>
    <w:bookmarkEnd w:id="1209"/>
    <w:bookmarkEnd w:id="1210"/>
    <w:bookmarkEnd w:id="1211"/>
    <w:bookmarkEnd w:id="1212"/>
    <w:p w14:paraId="6E61EC30">
      <w:pPr>
        <w:pStyle w:val="4"/>
        <w:rPr>
          <w:color w:val="auto"/>
          <w:highlight w:val="none"/>
        </w:rPr>
      </w:pPr>
      <w:bookmarkStart w:id="1262" w:name="_Toc1725581915"/>
      <w:bookmarkStart w:id="1263" w:name="_Toc373227766"/>
      <w:bookmarkStart w:id="1264" w:name="_Toc373478413"/>
      <w:bookmarkStart w:id="1265" w:name="_Toc407135269"/>
      <w:bookmarkStart w:id="1266" w:name="_Toc1360137061"/>
      <w:bookmarkStart w:id="1267" w:name="_Toc351203648"/>
      <w:bookmarkStart w:id="1268" w:name="_Toc389065331"/>
      <w:bookmarkStart w:id="1269" w:name="_Toc9445"/>
      <w:bookmarkStart w:id="1270" w:name="_Toc78449855"/>
      <w:bookmarkStart w:id="1271" w:name="_Toc280868717"/>
      <w:bookmarkStart w:id="1272" w:name="_Toc280868718"/>
      <w:r>
        <w:rPr>
          <w:color w:val="auto"/>
          <w:highlight w:val="none"/>
        </w:rPr>
        <w:t>16.</w:t>
      </w:r>
      <w:r>
        <w:rPr>
          <w:rFonts w:hint="eastAsia" w:hAnsi="宋体" w:cs="黑体"/>
          <w:color w:val="auto"/>
          <w:highlight w:val="none"/>
        </w:rPr>
        <w:t>违约</w:t>
      </w:r>
      <w:bookmarkEnd w:id="1262"/>
      <w:bookmarkEnd w:id="1263"/>
      <w:bookmarkEnd w:id="1264"/>
      <w:bookmarkEnd w:id="1265"/>
      <w:bookmarkEnd w:id="1266"/>
      <w:bookmarkEnd w:id="1267"/>
      <w:bookmarkEnd w:id="1268"/>
      <w:bookmarkEnd w:id="1269"/>
      <w:bookmarkEnd w:id="1270"/>
    </w:p>
    <w:p w14:paraId="0AD3478C">
      <w:pPr>
        <w:pStyle w:val="5"/>
        <w:rPr>
          <w:color w:val="auto"/>
          <w:highlight w:val="none"/>
        </w:rPr>
      </w:pPr>
      <w:bookmarkStart w:id="1273" w:name="_Toc6063"/>
      <w:bookmarkStart w:id="1274" w:name="_Toc78449856"/>
      <w:bookmarkStart w:id="1275" w:name="_Toc373478414"/>
      <w:bookmarkStart w:id="1276" w:name="_Toc389065332"/>
      <w:bookmarkStart w:id="1277" w:name="_Toc1535389315"/>
      <w:bookmarkStart w:id="1278" w:name="_Toc1973395665"/>
      <w:bookmarkStart w:id="1279" w:name="_Toc373227767"/>
      <w:bookmarkStart w:id="1280" w:name="_Toc407135270"/>
      <w:r>
        <w:rPr>
          <w:color w:val="auto"/>
          <w:highlight w:val="none"/>
        </w:rPr>
        <w:t>16.1</w:t>
      </w:r>
      <w:r>
        <w:rPr>
          <w:rFonts w:hint="eastAsia" w:hAnsi="宋体" w:cs="黑体"/>
          <w:color w:val="auto"/>
          <w:highlight w:val="none"/>
        </w:rPr>
        <w:t>发包人违约</w:t>
      </w:r>
      <w:bookmarkEnd w:id="1273"/>
      <w:bookmarkEnd w:id="1274"/>
      <w:bookmarkEnd w:id="1275"/>
      <w:bookmarkEnd w:id="1276"/>
      <w:bookmarkEnd w:id="1277"/>
      <w:bookmarkEnd w:id="1278"/>
      <w:bookmarkEnd w:id="1279"/>
      <w:bookmarkEnd w:id="1280"/>
    </w:p>
    <w:p w14:paraId="7DB50316">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hAnsi="宋体" w:cs="宋体"/>
          <w:color w:val="auto"/>
          <w:sz w:val="21"/>
          <w:szCs w:val="21"/>
          <w:highlight w:val="none"/>
        </w:rPr>
        <w:t>发包人违约的情形</w:t>
      </w:r>
    </w:p>
    <w:p w14:paraId="496C9694">
      <w:pPr>
        <w:spacing w:line="360" w:lineRule="auto"/>
        <w:ind w:firstLine="420" w:firstLineChars="200"/>
        <w:jc w:val="left"/>
        <w:rPr>
          <w:rFonts w:hint="eastAsia"/>
          <w:color w:val="auto"/>
          <w:kern w:val="0"/>
          <w:sz w:val="21"/>
          <w:szCs w:val="21"/>
          <w:highlight w:val="none"/>
          <w:u w:val="single"/>
        </w:rPr>
      </w:pPr>
      <w:r>
        <w:rPr>
          <w:rFonts w:hint="eastAsia" w:hAnsi="宋体" w:cs="宋体"/>
          <w:color w:val="auto"/>
          <w:kern w:val="0"/>
          <w:sz w:val="21"/>
          <w:szCs w:val="21"/>
          <w:highlight w:val="none"/>
        </w:rPr>
        <w:t>发包人违约的其他情形：</w:t>
      </w:r>
      <w:r>
        <w:rPr>
          <w:rFonts w:hint="eastAsia"/>
          <w:color w:val="auto"/>
          <w:kern w:val="0"/>
          <w:sz w:val="21"/>
          <w:szCs w:val="21"/>
          <w:highlight w:val="none"/>
          <w:u w:val="single"/>
        </w:rPr>
        <w:t>除通用合同条款第16.1.1项约定的发包人违约情形外，发包人存在以下情形之一的，亦构成违约：（1）发包人违反专用合同条款第2.4.2条约定，未能按时提供施工用水电接口、工程地质资料、测量基准点等施工条件的；（2）发包人违反专用合同条款第2.5条约定，未能提供资金来源证明且未在开工前按约定提供支付担保的；（3）发包人违反专用合同条款第10.3.1条约定，未按规定程序批准工程变更或拖延审批超过约定期限的；（4）发包人违反专用合同条款第13.2.2条约定，无正当理由拖延组织竣工验收或颁发工程接收证书的；（5）发包人违反专用合同条款第13.2.5条约定，无正当理由拒不接收全部或部分工程的。</w:t>
      </w:r>
    </w:p>
    <w:p w14:paraId="4D7B7FDB">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违约责任承担</w:t>
      </w:r>
      <w:r>
        <w:rPr>
          <w:rFonts w:hint="default"/>
          <w:color w:val="auto"/>
          <w:kern w:val="0"/>
          <w:sz w:val="21"/>
          <w:szCs w:val="21"/>
          <w:highlight w:val="none"/>
          <w:u w:val="single"/>
        </w:rPr>
        <w:t>：发包人发生上述违约情形之一的，承包人有权书面通知发包人限期纠正。发包人逾期未纠正的，承包人有权按通用合同条款第16.1.2条的约定主张损害赔偿及工期顺延。因发包人违约导致承包人费用增加的，增加部分由发包人承担；导致工期延误的，工期相应顺延。</w:t>
      </w:r>
    </w:p>
    <w:p w14:paraId="20557CED">
      <w:pPr>
        <w:spacing w:line="360" w:lineRule="auto"/>
        <w:ind w:firstLine="420" w:firstLineChars="200"/>
        <w:jc w:val="left"/>
        <w:outlineLvl w:val="0"/>
        <w:rPr>
          <w:color w:val="auto"/>
          <w:kern w:val="0"/>
          <w:sz w:val="21"/>
          <w:szCs w:val="21"/>
          <w:highlight w:val="none"/>
        </w:rPr>
      </w:pPr>
      <w:bookmarkStart w:id="1281" w:name="_Toc19478"/>
      <w:r>
        <w:rPr>
          <w:color w:val="auto"/>
          <w:kern w:val="0"/>
          <w:sz w:val="21"/>
          <w:szCs w:val="21"/>
          <w:highlight w:val="none"/>
        </w:rPr>
        <w:t>16.1.2</w:t>
      </w:r>
      <w:r>
        <w:rPr>
          <w:rFonts w:hint="eastAsia" w:hAnsi="宋体" w:cs="宋体"/>
          <w:color w:val="auto"/>
          <w:kern w:val="0"/>
          <w:sz w:val="21"/>
          <w:szCs w:val="21"/>
          <w:highlight w:val="none"/>
        </w:rPr>
        <w:t>发包人违约的责任</w:t>
      </w:r>
      <w:bookmarkEnd w:id="1281"/>
    </w:p>
    <w:p w14:paraId="2A7427E6">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发包人违约责任的承担方式和计算方法：</w:t>
      </w:r>
    </w:p>
    <w:p w14:paraId="25BD4B8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（1）因发包人原因未能在计划开工日期前7天内下达开工通知的违约责任：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工期相应顺延。承包人因无法按时开工产生的实际损失，由双方根据实际情况协商确定。</w:t>
      </w:r>
    </w:p>
    <w:p w14:paraId="4E2BBA0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（2）因发包人原因未能按合同约定支付合同价款的违约责任：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因发包人原因且非因财政资金集中支付流程导致的延迟，未能按合同约定期限支付预付款、进度款或结算款的，从违约之日起，发包人每天按应付未付金额的万分之三向承包人支付违约金。因财政资金集中支付流程导致延迟的，发包人不承担违约责任。违约金累计金额不超过签约合同价的1%。</w:t>
      </w:r>
    </w:p>
    <w:p w14:paraId="5404AD7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（3）发包人违反第10.1款〔变更的范围〕第（2）项约定，自行实施被取消的工作或转由他人实施的违约责任：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发包人应与承包人协商补偿事宜，具体补偿金额由双方协商确定。</w:t>
      </w:r>
    </w:p>
    <w:p w14:paraId="4DD6579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（4）发包人提供的材料、工程设备的规格、数量或质量不符合合同约定，或因发包人原因导致交货日期延误或交货地点变更等情况的违约责任：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工期按延误天数相应顺延。发包人应负责更换不符合约定的材料设备。</w:t>
      </w:r>
    </w:p>
    <w:p w14:paraId="4B37879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（5）因发包人违反合同约定造成暂停施工的违约责任：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工期相应顺延。暂停施工持续超过56天的，承包人可向发包人发出书面催告通知。发包人在收到催告通知后30日内仍未恢复施工的，承包人有权解除合同。</w:t>
      </w:r>
    </w:p>
    <w:p w14:paraId="790497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（6）发包人无正当理由没有在约定期限内发出复工指示，导致承包人无法复工的违约责任：</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工期相应顺延。停工持续超过84天的，承包人有权解除合同。</w:t>
      </w:r>
    </w:p>
    <w:p w14:paraId="10CC000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（7）其他：</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发包人违反本专用合同条款约定的其他义务的，由双方协商解决，协商不成的，按本合同第20条约定的方式处理。</w:t>
      </w:r>
    </w:p>
    <w:p w14:paraId="62B6CCB6">
      <w:pPr>
        <w:spacing w:line="360" w:lineRule="auto"/>
        <w:ind w:firstLine="420" w:firstLineChars="200"/>
        <w:jc w:val="left"/>
        <w:rPr>
          <w:color w:val="auto"/>
          <w:sz w:val="21"/>
          <w:szCs w:val="21"/>
          <w:highlight w:val="none"/>
        </w:rPr>
      </w:pPr>
      <w:r>
        <w:rPr>
          <w:color w:val="auto"/>
          <w:sz w:val="21"/>
          <w:szCs w:val="21"/>
          <w:highlight w:val="none"/>
        </w:rPr>
        <w:t>16.1.3</w:t>
      </w:r>
      <w:r>
        <w:rPr>
          <w:rFonts w:hint="eastAsia" w:hAnsi="宋体" w:cs="宋体"/>
          <w:color w:val="auto"/>
          <w:sz w:val="21"/>
          <w:szCs w:val="21"/>
          <w:highlight w:val="none"/>
        </w:rPr>
        <w:t>因发包人违约解除合同</w:t>
      </w:r>
    </w:p>
    <w:p w14:paraId="199ACB8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承包人按</w:t>
      </w:r>
      <w:r>
        <w:rPr>
          <w:color w:val="auto"/>
          <w:kern w:val="0"/>
          <w:sz w:val="21"/>
          <w:szCs w:val="21"/>
          <w:highlight w:val="none"/>
        </w:rPr>
        <w:t>16.1.1</w:t>
      </w:r>
      <w:r>
        <w:rPr>
          <w:rFonts w:hint="eastAsia" w:hAnsi="宋体" w:cs="宋体"/>
          <w:color w:val="auto"/>
          <w:kern w:val="0"/>
          <w:sz w:val="21"/>
          <w:szCs w:val="21"/>
          <w:highlight w:val="none"/>
        </w:rPr>
        <w:t>项〔发包人违约的情形〕约定暂停施工满</w:t>
      </w:r>
      <w:r>
        <w:rPr>
          <w:rFonts w:hint="eastAsia"/>
          <w:color w:val="auto"/>
          <w:kern w:val="0"/>
          <w:sz w:val="21"/>
          <w:szCs w:val="21"/>
          <w:highlight w:val="none"/>
          <w:u w:val="single"/>
          <w:lang w:val="en-US" w:eastAsia="zh-CN"/>
        </w:rPr>
        <w:t>45</w:t>
      </w:r>
      <w:r>
        <w:rPr>
          <w:rFonts w:hint="eastAsia" w:hAnsi="宋体" w:cs="宋体"/>
          <w:color w:val="auto"/>
          <w:kern w:val="0"/>
          <w:sz w:val="21"/>
          <w:szCs w:val="21"/>
          <w:highlight w:val="none"/>
        </w:rPr>
        <w:t>天后发包人仍不纠正其违约行为并致使合同目的不能实现的，承包人有权解除合同。</w:t>
      </w:r>
    </w:p>
    <w:p w14:paraId="63696584">
      <w:pPr>
        <w:pStyle w:val="5"/>
        <w:rPr>
          <w:color w:val="auto"/>
          <w:highlight w:val="none"/>
        </w:rPr>
      </w:pPr>
      <w:bookmarkStart w:id="1282" w:name="_Toc373478415"/>
      <w:bookmarkStart w:id="1283" w:name="_Toc247586342"/>
      <w:bookmarkStart w:id="1284" w:name="_Toc78449857"/>
      <w:bookmarkStart w:id="1285" w:name="_Toc407135271"/>
      <w:bookmarkStart w:id="1286" w:name="_Toc389065333"/>
      <w:bookmarkStart w:id="1287" w:name="_Toc61078193"/>
      <w:bookmarkStart w:id="1288" w:name="_Toc373227768"/>
      <w:bookmarkStart w:id="1289" w:name="_Toc5634"/>
      <w:r>
        <w:rPr>
          <w:color w:val="auto"/>
          <w:highlight w:val="none"/>
        </w:rPr>
        <w:t>16.2</w:t>
      </w:r>
      <w:r>
        <w:rPr>
          <w:rFonts w:hint="eastAsia" w:hAnsi="宋体" w:cs="黑体"/>
          <w:color w:val="auto"/>
          <w:highlight w:val="none"/>
        </w:rPr>
        <w:t>承包人违约</w:t>
      </w:r>
      <w:bookmarkEnd w:id="1282"/>
      <w:bookmarkEnd w:id="1283"/>
      <w:bookmarkEnd w:id="1284"/>
      <w:bookmarkEnd w:id="1285"/>
      <w:bookmarkEnd w:id="1286"/>
      <w:bookmarkEnd w:id="1287"/>
      <w:bookmarkEnd w:id="1288"/>
      <w:bookmarkEnd w:id="1289"/>
    </w:p>
    <w:p w14:paraId="2E903CF8">
      <w:pPr>
        <w:spacing w:line="360" w:lineRule="auto"/>
        <w:ind w:firstLine="400" w:firstLineChars="200"/>
        <w:jc w:val="left"/>
        <w:rPr>
          <w:color w:val="auto"/>
          <w:kern w:val="0"/>
          <w:highlight w:val="none"/>
        </w:rPr>
      </w:pPr>
      <w:r>
        <w:rPr>
          <w:color w:val="auto"/>
          <w:kern w:val="0"/>
          <w:highlight w:val="none"/>
        </w:rPr>
        <w:t>16.2.1</w:t>
      </w:r>
      <w:r>
        <w:rPr>
          <w:rFonts w:hint="eastAsia" w:hAnsi="宋体" w:cs="宋体"/>
          <w:color w:val="auto"/>
          <w:kern w:val="0"/>
          <w:highlight w:val="none"/>
        </w:rPr>
        <w:t>承包人违约的情形</w:t>
      </w:r>
    </w:p>
    <w:p w14:paraId="3C2D185B">
      <w:pPr>
        <w:pStyle w:val="20"/>
        <w:keepNext w:val="0"/>
        <w:keepLines w:val="0"/>
        <w:widowControl/>
        <w:suppressLineNumbers w:val="0"/>
        <w:shd w:val="clear" w:fill="FFFFFF"/>
        <w:spacing w:before="240" w:beforeAutospacing="0" w:after="240" w:afterAutospacing="0" w:line="360" w:lineRule="auto"/>
        <w:ind w:left="0" w:right="0" w:firstLine="420" w:firstLineChars="200"/>
        <w:rPr>
          <w:rStyle w:val="27"/>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b w:val="0"/>
          <w:bCs w:val="0"/>
          <w:color w:val="auto"/>
          <w:kern w:val="0"/>
          <w:sz w:val="21"/>
          <w:szCs w:val="21"/>
          <w:highlight w:val="none"/>
        </w:rPr>
        <w:t>承包人违约的其他情形：</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16.2.1项约定的承包人违约情形外，承包人存在以下情形之一的，亦构成违约：（1）承包人违反专用合同条款第3.2.1条约定，项目经理每月在施工现场的出勤天数少于当月日历天数80%的；（2）承包人违反专用合同条款第3.2.3条约定，未经发包人书面同意擅自更换项目经理的；（3）承包人违反专用合同条款第3.3.5条约定，未经发包人书面同意擅自更换项目技术负责人或专职安全生产管理人员的；（4）承包人违反专用合同条款第3.5.1条约定，将本工程进行分包或转包的；（5）</w:t>
      </w:r>
      <w:r>
        <w:rPr>
          <w:rStyle w:val="27"/>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承包人违反专用合同条款第6.1.4条约定</w:t>
      </w:r>
      <w:r>
        <w:rPr>
          <w:rStyle w:val="27"/>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，未按要求在施工危险区域设置安全警示标志标牌或未安排专人进行现场安全巡查的</w:t>
      </w:r>
      <w:r>
        <w:rPr>
          <w:rStyle w:val="27"/>
          <w:rFonts w:hint="default" w:ascii="Segoe UI" w:hAnsi="Segoe UI" w:eastAsia="Segoe UI" w:cs="Segoe UI"/>
          <w:b w:val="0"/>
          <w:bCs w:val="0"/>
          <w:i w:val="0"/>
          <w:iCs w:val="0"/>
          <w:caps w:val="0"/>
          <w:color w:val="0F1115"/>
          <w:spacing w:val="0"/>
          <w:sz w:val="21"/>
          <w:szCs w:val="21"/>
          <w:highlight w:val="none"/>
          <w:u w:val="single"/>
          <w:shd w:val="clear" w:fill="FFFFFF"/>
        </w:rPr>
        <w:t>；（6）承包人违反专用合同条款第3.1条约定，未按时足额支付农民工工资或在施工现场发生农民工集体讨薪事件的；（7）承包人违反专用合同条款第6.1.5条约定，在村民夜间休息时段进行高噪音作业或未按要求落实扬尘防治措施，经监理人或发包人书面通知后仍不改正的；（8）承包人违反专用合同条款第6.1.6条约定，未将安全文明施工费专款专用的。</w:t>
      </w:r>
    </w:p>
    <w:p w14:paraId="0E2E1FD2">
      <w:pPr>
        <w:spacing w:line="360" w:lineRule="auto"/>
        <w:ind w:firstLine="420" w:firstLineChars="200"/>
        <w:jc w:val="left"/>
        <w:outlineLvl w:val="0"/>
        <w:rPr>
          <w:color w:val="auto"/>
          <w:kern w:val="0"/>
          <w:sz w:val="21"/>
          <w:szCs w:val="21"/>
          <w:highlight w:val="none"/>
        </w:rPr>
      </w:pPr>
      <w:bookmarkStart w:id="1290" w:name="_Toc6790"/>
      <w:r>
        <w:rPr>
          <w:color w:val="auto"/>
          <w:kern w:val="0"/>
          <w:sz w:val="21"/>
          <w:szCs w:val="21"/>
          <w:highlight w:val="none"/>
        </w:rPr>
        <w:t>16.2.2</w:t>
      </w:r>
      <w:r>
        <w:rPr>
          <w:rFonts w:hint="eastAsia" w:hAnsi="宋体" w:cs="宋体"/>
          <w:color w:val="auto"/>
          <w:kern w:val="0"/>
          <w:sz w:val="21"/>
          <w:szCs w:val="21"/>
          <w:highlight w:val="none"/>
        </w:rPr>
        <w:t>承包人违约的责任</w:t>
      </w:r>
      <w:bookmarkEnd w:id="1290"/>
    </w:p>
    <w:p w14:paraId="41F19584">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承包人违约责任的承担方式和计算方法：</w:t>
      </w:r>
    </w:p>
    <w:p w14:paraId="11CFBAD9">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）条内容情形的，承包人无条件返工处理，修复至工程质量要求并承担相关费用，并在发包人规定的时间内完成返工，否则发包人有权扣罚该分项工程</w:t>
      </w:r>
      <w:r>
        <w:rPr>
          <w:color w:val="auto"/>
          <w:kern w:val="0"/>
          <w:sz w:val="21"/>
          <w:szCs w:val="21"/>
          <w:highlight w:val="none"/>
        </w:rPr>
        <w:t>10%</w:t>
      </w:r>
      <w:r>
        <w:rPr>
          <w:rFonts w:hint="eastAsia" w:hAnsi="宋体" w:cs="宋体"/>
          <w:color w:val="auto"/>
          <w:kern w:val="0"/>
          <w:sz w:val="21"/>
          <w:szCs w:val="21"/>
          <w:highlight w:val="none"/>
        </w:rPr>
        <w:t>的工程款作为处罚。</w:t>
      </w:r>
    </w:p>
    <w:p w14:paraId="3FC334FD">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6</w:t>
      </w:r>
      <w:r>
        <w:rPr>
          <w:rFonts w:hint="eastAsia" w:hAnsi="宋体" w:cs="宋体"/>
          <w:color w:val="auto"/>
          <w:kern w:val="0"/>
          <w:sz w:val="21"/>
          <w:szCs w:val="21"/>
          <w:highlight w:val="none"/>
        </w:rPr>
        <w:t>）条情形的，或经监理人检验认为修复质量不合格而承包人拒绝再进行修补的，发包人将扣除承包人全部质量保证金。</w:t>
      </w:r>
    </w:p>
    <w:p w14:paraId="7570C015">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）承包人有本专用合同条款</w:t>
      </w:r>
      <w:r>
        <w:rPr>
          <w:color w:val="auto"/>
          <w:kern w:val="0"/>
          <w:sz w:val="21"/>
          <w:szCs w:val="21"/>
          <w:highlight w:val="none"/>
        </w:rPr>
        <w:t>3.2</w:t>
      </w:r>
      <w:r>
        <w:rPr>
          <w:rFonts w:hint="eastAsia" w:hAnsi="宋体" w:cs="宋体"/>
          <w:color w:val="auto"/>
          <w:kern w:val="0"/>
          <w:sz w:val="21"/>
          <w:szCs w:val="21"/>
          <w:highlight w:val="none"/>
        </w:rPr>
        <w:t>、</w:t>
      </w:r>
      <w:r>
        <w:rPr>
          <w:color w:val="auto"/>
          <w:kern w:val="0"/>
          <w:sz w:val="21"/>
          <w:szCs w:val="21"/>
          <w:highlight w:val="none"/>
        </w:rPr>
        <w:t>3.3</w:t>
      </w:r>
      <w:r>
        <w:rPr>
          <w:rFonts w:hint="eastAsia" w:hAnsi="宋体" w:cs="宋体"/>
          <w:color w:val="auto"/>
          <w:kern w:val="0"/>
          <w:sz w:val="21"/>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73A018EC">
      <w:pPr>
        <w:spacing w:line="360" w:lineRule="auto"/>
        <w:ind w:firstLine="420" w:firstLineChars="200"/>
        <w:jc w:val="left"/>
        <w:rPr>
          <w:rFonts w:hAnsi="宋体"/>
          <w:color w:val="auto"/>
          <w:sz w:val="21"/>
          <w:szCs w:val="21"/>
          <w:highlight w:val="none"/>
        </w:rPr>
      </w:pPr>
      <w:r>
        <w:rPr>
          <w:color w:val="auto"/>
          <w:sz w:val="21"/>
          <w:szCs w:val="21"/>
          <w:highlight w:val="none"/>
        </w:rPr>
        <w:t>16.2.3</w:t>
      </w:r>
      <w:r>
        <w:rPr>
          <w:rFonts w:hint="eastAsia" w:hAnsi="宋体" w:cs="宋体"/>
          <w:color w:val="auto"/>
          <w:sz w:val="21"/>
          <w:szCs w:val="21"/>
          <w:highlight w:val="none"/>
        </w:rPr>
        <w:t>因承包人违约解除合同</w:t>
      </w:r>
    </w:p>
    <w:p w14:paraId="3CA48880">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关于承包人违约解除合同的特别约定：</w:t>
      </w:r>
      <w:r>
        <w:rPr>
          <w:rFonts w:hint="eastAsia" w:hAnsi="宋体" w:cs="宋体"/>
          <w:color w:val="auto"/>
          <w:kern w:val="0"/>
          <w:sz w:val="21"/>
          <w:szCs w:val="21"/>
          <w:highlight w:val="none"/>
          <w:u w:val="single"/>
        </w:rPr>
        <w:t>承包人有违反以下情况之一的，发包人有权解除合同，并没收其全部履约保证金</w:t>
      </w:r>
      <w:r>
        <w:rPr>
          <w:rFonts w:hint="eastAsia" w:hAnsi="宋体" w:cs="宋体"/>
          <w:color w:val="auto"/>
          <w:kern w:val="0"/>
          <w:sz w:val="21"/>
          <w:szCs w:val="21"/>
          <w:highlight w:val="none"/>
        </w:rPr>
        <w:t>。</w:t>
      </w:r>
    </w:p>
    <w:p w14:paraId="77FB5975">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(1)</w:t>
      </w:r>
      <w:r>
        <w:rPr>
          <w:rFonts w:hint="eastAsia" w:hAnsi="宋体" w:cs="宋体"/>
          <w:color w:val="auto"/>
          <w:kern w:val="0"/>
          <w:sz w:val="21"/>
          <w:szCs w:val="21"/>
          <w:highlight w:val="none"/>
        </w:rPr>
        <w:t>承包人无正当理由不按开工通知的要求及时进场组织施工和不按签订协议书时商定的进度计划有效地开展施工准备，造成工期延误的；</w:t>
      </w:r>
    </w:p>
    <w:p w14:paraId="54D6F1F4">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(2)</w:t>
      </w:r>
      <w:r>
        <w:rPr>
          <w:rFonts w:hint="eastAsia" w:hAnsi="宋体" w:cs="宋体"/>
          <w:color w:val="auto"/>
          <w:kern w:val="0"/>
          <w:sz w:val="21"/>
          <w:szCs w:val="21"/>
          <w:highlight w:val="none"/>
        </w:rPr>
        <w:t>承包人违反本合同通用条款第</w:t>
      </w:r>
      <w:r>
        <w:rPr>
          <w:color w:val="auto"/>
          <w:kern w:val="0"/>
          <w:sz w:val="21"/>
          <w:szCs w:val="21"/>
          <w:highlight w:val="none"/>
        </w:rPr>
        <w:t>3.5</w:t>
      </w:r>
      <w:r>
        <w:rPr>
          <w:rFonts w:hint="eastAsia" w:hAnsi="宋体" w:cs="宋体"/>
          <w:color w:val="auto"/>
          <w:kern w:val="0"/>
          <w:sz w:val="21"/>
          <w:szCs w:val="21"/>
          <w:highlight w:val="none"/>
        </w:rPr>
        <w:t>条规定私自将合同或合同的任何部分或任何权利转让给其他人，或私自将工程或工程的一部分分包出去的；</w:t>
      </w:r>
    </w:p>
    <w:p w14:paraId="582E2449">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(3)</w:t>
      </w:r>
      <w:r>
        <w:rPr>
          <w:rFonts w:hint="eastAsia" w:hAnsi="宋体" w:cs="宋体"/>
          <w:color w:val="auto"/>
          <w:kern w:val="0"/>
          <w:sz w:val="21"/>
          <w:szCs w:val="21"/>
          <w:highlight w:val="none"/>
        </w:rPr>
        <w:t>未经监理人批准，承包人私自将已按投标文件承诺进入工地的工程设备、施工设备、临时工程或材料撤离工地的；</w:t>
      </w:r>
    </w:p>
    <w:p w14:paraId="047F33DE">
      <w:pPr>
        <w:spacing w:line="360" w:lineRule="auto"/>
        <w:ind w:firstLine="420" w:firstLineChars="200"/>
        <w:jc w:val="left"/>
        <w:rPr>
          <w:color w:val="auto"/>
          <w:kern w:val="0"/>
          <w:sz w:val="21"/>
          <w:szCs w:val="21"/>
          <w:highlight w:val="none"/>
        </w:rPr>
      </w:pPr>
      <w:r>
        <w:rPr>
          <w:color w:val="auto"/>
          <w:kern w:val="0"/>
          <w:sz w:val="21"/>
          <w:szCs w:val="21"/>
          <w:highlight w:val="none"/>
        </w:rPr>
        <w:t>(4)</w:t>
      </w:r>
      <w:r>
        <w:rPr>
          <w:rFonts w:hint="eastAsia" w:hAnsi="宋体" w:cs="宋体"/>
          <w:color w:val="auto"/>
          <w:kern w:val="0"/>
          <w:sz w:val="21"/>
          <w:szCs w:val="21"/>
          <w:highlight w:val="none"/>
        </w:rPr>
        <w:t>由于承包人原因拒绝按合同进度计划及时完成合同规定的工程，而又未采取有效措施赶上进度，造成工期严重延误的；</w:t>
      </w:r>
    </w:p>
    <w:p w14:paraId="1EA31348">
      <w:pPr>
        <w:spacing w:line="360" w:lineRule="auto"/>
        <w:ind w:firstLine="420" w:firstLineChars="200"/>
        <w:rPr>
          <w:color w:val="auto"/>
          <w:kern w:val="0"/>
          <w:sz w:val="21"/>
          <w:szCs w:val="21"/>
          <w:highlight w:val="none"/>
        </w:rPr>
      </w:pPr>
      <w:r>
        <w:rPr>
          <w:color w:val="auto"/>
          <w:kern w:val="0"/>
          <w:sz w:val="21"/>
          <w:szCs w:val="21"/>
          <w:highlight w:val="none"/>
        </w:rPr>
        <w:t>(5)</w:t>
      </w:r>
      <w:r>
        <w:rPr>
          <w:rFonts w:hint="eastAsia" w:hAnsi="宋体" w:cs="宋体"/>
          <w:color w:val="auto"/>
          <w:kern w:val="0"/>
          <w:sz w:val="21"/>
          <w:szCs w:val="21"/>
          <w:highlight w:val="none"/>
        </w:rPr>
        <w:t>承包人否认合同有效或拒绝履行合同规定的承包人义务，或由于法律、财务等原因导致承包人无法继续履行或实质上已停止履行合同的义务的；</w:t>
      </w:r>
    </w:p>
    <w:p w14:paraId="558492AC">
      <w:pPr>
        <w:spacing w:line="360" w:lineRule="auto"/>
        <w:ind w:firstLine="420" w:firstLineChars="200"/>
        <w:rPr>
          <w:color w:val="auto"/>
          <w:kern w:val="0"/>
          <w:sz w:val="21"/>
          <w:szCs w:val="21"/>
          <w:highlight w:val="none"/>
        </w:rPr>
      </w:pPr>
      <w:r>
        <w:rPr>
          <w:color w:val="auto"/>
          <w:kern w:val="0"/>
          <w:sz w:val="21"/>
          <w:szCs w:val="21"/>
          <w:highlight w:val="none"/>
        </w:rPr>
        <w:t>(6)</w:t>
      </w:r>
      <w:r>
        <w:rPr>
          <w:rFonts w:hint="eastAsia" w:hAnsi="宋体" w:cs="宋体"/>
          <w:color w:val="auto"/>
          <w:kern w:val="0"/>
          <w:sz w:val="21"/>
          <w:szCs w:val="21"/>
          <w:highlight w:val="none"/>
        </w:rPr>
        <w:t>合同签订</w:t>
      </w:r>
      <w:r>
        <w:rPr>
          <w:rFonts w:hint="eastAsia" w:ascii="仿宋_GB2312" w:hAnsi="宋体" w:cs="宋体"/>
          <w:color w:val="auto"/>
          <w:sz w:val="21"/>
          <w:szCs w:val="21"/>
          <w:highlight w:val="none"/>
        </w:rPr>
        <w:t>且具备法定开工条件后</w:t>
      </w:r>
      <w:r>
        <w:rPr>
          <w:rFonts w:hint="eastAsia" w:hAnsi="宋体" w:cs="宋体"/>
          <w:color w:val="auto"/>
          <w:kern w:val="0"/>
          <w:sz w:val="21"/>
          <w:szCs w:val="21"/>
          <w:highlight w:val="none"/>
        </w:rPr>
        <w:t>之日起十五日内，承包人无法按合同规定及投标文件的承诺进场经监理工程师认可的该</w:t>
      </w:r>
      <w:r>
        <w:rPr>
          <w:rFonts w:hAnsi="宋体" w:cs="宋体"/>
          <w:color w:val="auto"/>
          <w:kern w:val="0"/>
          <w:sz w:val="21"/>
          <w:szCs w:val="21"/>
          <w:highlight w:val="none"/>
        </w:rPr>
        <w:t>施工</w:t>
      </w:r>
      <w:r>
        <w:rPr>
          <w:rFonts w:hint="eastAsia" w:hAnsi="宋体" w:cs="宋体"/>
          <w:color w:val="auto"/>
          <w:kern w:val="0"/>
          <w:sz w:val="21"/>
          <w:szCs w:val="21"/>
          <w:highlight w:val="none"/>
        </w:rPr>
        <w:t>阶段</w:t>
      </w:r>
      <w:r>
        <w:rPr>
          <w:rFonts w:hAnsi="宋体" w:cs="宋体"/>
          <w:color w:val="auto"/>
          <w:kern w:val="0"/>
          <w:sz w:val="21"/>
          <w:szCs w:val="21"/>
          <w:highlight w:val="none"/>
        </w:rPr>
        <w:t>应有的</w:t>
      </w:r>
      <w:r>
        <w:rPr>
          <w:rFonts w:hint="eastAsia" w:hAnsi="宋体" w:cs="宋体"/>
          <w:color w:val="auto"/>
          <w:kern w:val="0"/>
          <w:sz w:val="21"/>
          <w:szCs w:val="21"/>
          <w:highlight w:val="none"/>
        </w:rPr>
        <w:t>全部人员和机械的。</w:t>
      </w:r>
    </w:p>
    <w:p w14:paraId="1D34E3E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lang w:val="en-US" w:eastAsia="zh-CN"/>
        </w:rPr>
        <w:t>无</w:t>
      </w:r>
      <w:r>
        <w:rPr>
          <w:rFonts w:hint="eastAsia" w:hAnsi="宋体" w:cs="宋体"/>
          <w:color w:val="auto"/>
          <w:kern w:val="0"/>
          <w:sz w:val="21"/>
          <w:szCs w:val="21"/>
          <w:highlight w:val="none"/>
        </w:rPr>
        <w:t>。</w:t>
      </w:r>
    </w:p>
    <w:p w14:paraId="5C081D9B">
      <w:pPr>
        <w:pStyle w:val="4"/>
        <w:rPr>
          <w:rFonts w:hint="eastAsia" w:eastAsia="黑体"/>
          <w:color w:val="auto"/>
          <w:highlight w:val="none"/>
          <w:lang w:eastAsia="zh-CN"/>
        </w:rPr>
      </w:pPr>
      <w:bookmarkStart w:id="1291" w:name="_Toc373478416"/>
      <w:bookmarkStart w:id="1292" w:name="_Toc1117922953"/>
      <w:bookmarkStart w:id="1293" w:name="_Toc389065334"/>
      <w:bookmarkStart w:id="1294" w:name="_Toc78449858"/>
      <w:bookmarkStart w:id="1295" w:name="_Toc407135272"/>
      <w:bookmarkStart w:id="1296" w:name="_Toc351203649"/>
      <w:bookmarkStart w:id="1297" w:name="_Toc24335"/>
      <w:bookmarkStart w:id="1298" w:name="_Toc373227769"/>
      <w:bookmarkStart w:id="1299" w:name="_Toc1753556740"/>
      <w:r>
        <w:rPr>
          <w:color w:val="auto"/>
          <w:highlight w:val="none"/>
        </w:rPr>
        <w:t>17.</w:t>
      </w:r>
      <w:r>
        <w:rPr>
          <w:rFonts w:hint="eastAsia" w:hAnsi="宋体" w:cs="黑体"/>
          <w:color w:val="auto"/>
          <w:highlight w:val="none"/>
        </w:rPr>
        <w:t>不可抗力</w:t>
      </w:r>
      <w:bookmarkEnd w:id="1271"/>
      <w:bookmarkEnd w:id="1291"/>
      <w:bookmarkEnd w:id="1292"/>
      <w:bookmarkEnd w:id="1293"/>
      <w:bookmarkEnd w:id="1294"/>
      <w:bookmarkEnd w:id="1295"/>
      <w:bookmarkEnd w:id="1296"/>
      <w:bookmarkEnd w:id="1297"/>
      <w:bookmarkEnd w:id="1298"/>
      <w:bookmarkEnd w:id="1299"/>
    </w:p>
    <w:p w14:paraId="61927C6F">
      <w:pPr>
        <w:pStyle w:val="5"/>
        <w:rPr>
          <w:color w:val="auto"/>
          <w:highlight w:val="none"/>
        </w:rPr>
      </w:pPr>
      <w:bookmarkStart w:id="1300" w:name="_Toc666312941"/>
      <w:bookmarkStart w:id="1301" w:name="_Toc78449859"/>
      <w:bookmarkStart w:id="1302" w:name="_Toc28777"/>
      <w:bookmarkStart w:id="1303" w:name="_Toc373478417"/>
      <w:bookmarkStart w:id="1304" w:name="_Toc373227770"/>
      <w:bookmarkStart w:id="1305" w:name="_Toc407135273"/>
      <w:bookmarkStart w:id="1306" w:name="_Toc389065335"/>
      <w:bookmarkStart w:id="1307" w:name="_Toc429574049"/>
      <w:r>
        <w:rPr>
          <w:color w:val="auto"/>
          <w:highlight w:val="none"/>
        </w:rPr>
        <w:t>17.1</w:t>
      </w:r>
      <w:r>
        <w:rPr>
          <w:rFonts w:hint="eastAsia" w:cs="黑体"/>
          <w:color w:val="auto"/>
          <w:highlight w:val="none"/>
        </w:rPr>
        <w:t>不可抗力的确认</w:t>
      </w:r>
      <w:bookmarkEnd w:id="1300"/>
      <w:bookmarkEnd w:id="1301"/>
      <w:bookmarkEnd w:id="1302"/>
      <w:bookmarkEnd w:id="1303"/>
      <w:bookmarkEnd w:id="1304"/>
      <w:bookmarkEnd w:id="1305"/>
      <w:bookmarkEnd w:id="1306"/>
      <w:bookmarkEnd w:id="1307"/>
    </w:p>
    <w:p w14:paraId="0DEB9EB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除通用合同条款约定的不可抗力事件之外，视为不可抗力的其他情形：</w:t>
      </w:r>
    </w:p>
    <w:p w14:paraId="39ABAF4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（1）6级及6级以上地震（以地震管理部门发布的数据为准）；</w:t>
      </w:r>
    </w:p>
    <w:p w14:paraId="678D55F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（2）8级及8级以上大风（以当地气象部门发布的预警信号或实测数据为准）；</w:t>
      </w:r>
    </w:p>
    <w:p w14:paraId="3AC6A639">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（3）暴雨红色预警信号生效期间（以当地气象部门发布的气象灾害预警信号为准）；</w:t>
      </w:r>
    </w:p>
    <w:p w14:paraId="61AED358">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color w:val="auto"/>
          <w:kern w:val="0"/>
          <w:sz w:val="21"/>
          <w:szCs w:val="21"/>
          <w:highlight w:val="none"/>
          <w:u w:val="single"/>
        </w:rPr>
        <w:t>（4）高温红色预警信号生效期间（以当地气象部门发布的气象灾害预警信号为准），即24小时内最高气温将升至40℃以上；</w:t>
      </w:r>
    </w:p>
    <w:p w14:paraId="0CBEC046">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（5）25年以上未发生过的洪水（以水文管理部门发布的数据为准）；</w:t>
      </w:r>
    </w:p>
    <w:p w14:paraId="68A2C8AF">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（6）政府指令性停工（以县级及以上人民政府或其行政主管部门发布的正式文件为准）；</w:t>
      </w:r>
    </w:p>
    <w:p w14:paraId="411699C0">
      <w:pPr>
        <w:spacing w:line="360" w:lineRule="auto"/>
        <w:ind w:firstLine="420" w:firstLineChars="200"/>
        <w:jc w:val="left"/>
        <w:rPr>
          <w:rFonts w:hint="eastAsia"/>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（7）在</w:t>
      </w:r>
      <w:r>
        <w:rPr>
          <w:rFonts w:hint="eastAsia" w:ascii="Times New Roman" w:hAnsi="Times New Roman" w:eastAsia="宋体" w:cs="Times New Roman"/>
          <w:color w:val="auto"/>
          <w:kern w:val="0"/>
          <w:sz w:val="21"/>
          <w:szCs w:val="21"/>
          <w:highlight w:val="none"/>
          <w:u w:val="single"/>
          <w:lang w:val="en-US" w:eastAsia="zh-CN"/>
        </w:rPr>
        <w:t>施工现场如</w:t>
      </w:r>
      <w:r>
        <w:rPr>
          <w:rFonts w:hint="default" w:ascii="Times New Roman" w:hAnsi="Times New Roman" w:eastAsia="宋体" w:cs="Times New Roman"/>
          <w:color w:val="auto"/>
          <w:kern w:val="0"/>
          <w:sz w:val="21"/>
          <w:szCs w:val="21"/>
          <w:highlight w:val="none"/>
          <w:u w:val="single"/>
        </w:rPr>
        <w:t>有重大活动或突发公共卫生</w:t>
      </w:r>
      <w:r>
        <w:rPr>
          <w:rFonts w:hint="default" w:eastAsia="宋体"/>
          <w:color w:val="auto"/>
          <w:kern w:val="0"/>
          <w:sz w:val="21"/>
          <w:szCs w:val="21"/>
          <w:highlight w:val="none"/>
          <w:u w:val="single"/>
        </w:rPr>
        <w:t>事件，经发包人书面同意须暂停施工的</w:t>
      </w:r>
      <w:r>
        <w:rPr>
          <w:rFonts w:hint="eastAsia"/>
          <w:color w:val="auto"/>
          <w:kern w:val="0"/>
          <w:sz w:val="21"/>
          <w:szCs w:val="21"/>
          <w:highlight w:val="none"/>
          <w:u w:val="single"/>
        </w:rPr>
        <w:t>。</w:t>
      </w:r>
    </w:p>
    <w:p w14:paraId="1B1ED157">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上述情形发生后，承包人应立即通知发包人和监理人，并在该情形发生后7日内提交书面确认报告及证明材料。因上述不可抗力造成的工期延误，应按本合同通用合同条款第17.3款的约定处理。</w:t>
      </w:r>
    </w:p>
    <w:p w14:paraId="6D4F3129">
      <w:pPr>
        <w:pStyle w:val="5"/>
        <w:rPr>
          <w:color w:val="auto"/>
          <w:highlight w:val="none"/>
        </w:rPr>
      </w:pPr>
      <w:bookmarkStart w:id="1308" w:name="_Toc78449860"/>
      <w:bookmarkStart w:id="1309" w:name="_Toc373478418"/>
      <w:bookmarkStart w:id="1310" w:name="_Toc1951449751"/>
      <w:bookmarkStart w:id="1311" w:name="_Toc24555"/>
      <w:bookmarkStart w:id="1312" w:name="_Toc658729758"/>
      <w:bookmarkStart w:id="1313" w:name="_Toc407135274"/>
      <w:bookmarkStart w:id="1314" w:name="_Toc373227771"/>
      <w:bookmarkStart w:id="1315" w:name="_Toc389065336"/>
      <w:r>
        <w:rPr>
          <w:color w:val="auto"/>
          <w:highlight w:val="none"/>
        </w:rPr>
        <w:t>17.4</w:t>
      </w:r>
      <w:r>
        <w:rPr>
          <w:rFonts w:hint="eastAsia" w:cs="黑体"/>
          <w:color w:val="auto"/>
          <w:highlight w:val="none"/>
        </w:rPr>
        <w:t>因不可抗力解除合同</w:t>
      </w:r>
      <w:bookmarkEnd w:id="1308"/>
      <w:bookmarkEnd w:id="1309"/>
      <w:bookmarkEnd w:id="1310"/>
      <w:bookmarkEnd w:id="1311"/>
      <w:bookmarkEnd w:id="1312"/>
      <w:bookmarkEnd w:id="1313"/>
      <w:bookmarkEnd w:id="1314"/>
      <w:bookmarkEnd w:id="1315"/>
    </w:p>
    <w:p w14:paraId="149275CD">
      <w:pPr>
        <w:spacing w:line="360" w:lineRule="auto"/>
        <w:ind w:firstLine="400" w:firstLineChars="200"/>
        <w:jc w:val="left"/>
        <w:rPr>
          <w:color w:val="auto"/>
          <w:highlight w:val="none"/>
        </w:rPr>
      </w:pPr>
      <w:r>
        <w:rPr>
          <w:rFonts w:hint="eastAsia" w:hAnsi="宋体" w:cs="宋体"/>
          <w:color w:val="auto"/>
          <w:highlight w:val="none"/>
        </w:rPr>
        <w:t>合同解除后，发包人应在商定或确定发包人应支付款项后</w:t>
      </w:r>
      <w:r>
        <w:rPr>
          <w:rFonts w:hint="eastAsia"/>
          <w:color w:val="auto"/>
          <w:highlight w:val="none"/>
          <w:u w:val="single"/>
          <w:lang w:val="en-US" w:eastAsia="zh-CN"/>
        </w:rPr>
        <w:t>28</w:t>
      </w:r>
      <w:r>
        <w:rPr>
          <w:rFonts w:hint="eastAsia" w:hAnsi="宋体" w:cs="宋体"/>
          <w:color w:val="auto"/>
          <w:highlight w:val="none"/>
        </w:rPr>
        <w:t>天内完成款项的支付。</w:t>
      </w:r>
    </w:p>
    <w:p w14:paraId="77643848">
      <w:pPr>
        <w:pStyle w:val="4"/>
        <w:rPr>
          <w:color w:val="auto"/>
          <w:highlight w:val="none"/>
        </w:rPr>
      </w:pPr>
      <w:bookmarkStart w:id="1316" w:name="_Toc373478419"/>
      <w:bookmarkStart w:id="1317" w:name="_Toc56822299"/>
      <w:bookmarkStart w:id="1318" w:name="_Toc407135275"/>
      <w:bookmarkStart w:id="1319" w:name="_Toc612072600"/>
      <w:bookmarkStart w:id="1320" w:name="_Toc389065337"/>
      <w:bookmarkStart w:id="1321" w:name="_Toc351203650"/>
      <w:bookmarkStart w:id="1322" w:name="_Toc373227772"/>
      <w:bookmarkStart w:id="1323" w:name="_Toc9573"/>
      <w:bookmarkStart w:id="1324" w:name="_Toc78449861"/>
      <w:r>
        <w:rPr>
          <w:color w:val="auto"/>
          <w:highlight w:val="none"/>
        </w:rPr>
        <w:t>18.</w:t>
      </w:r>
      <w:r>
        <w:rPr>
          <w:rFonts w:hint="eastAsia" w:hAnsi="宋体" w:cs="黑体"/>
          <w:color w:val="auto"/>
          <w:highlight w:val="none"/>
        </w:rPr>
        <w:t>保险</w:t>
      </w:r>
      <w:bookmarkEnd w:id="1316"/>
      <w:bookmarkEnd w:id="1317"/>
      <w:bookmarkEnd w:id="1318"/>
      <w:bookmarkEnd w:id="1319"/>
      <w:bookmarkEnd w:id="1320"/>
      <w:bookmarkEnd w:id="1321"/>
      <w:bookmarkEnd w:id="1322"/>
      <w:bookmarkEnd w:id="1323"/>
      <w:bookmarkEnd w:id="1324"/>
    </w:p>
    <w:bookmarkEnd w:id="1272"/>
    <w:p w14:paraId="657CF960">
      <w:pPr>
        <w:pStyle w:val="5"/>
        <w:rPr>
          <w:color w:val="auto"/>
          <w:highlight w:val="none"/>
        </w:rPr>
      </w:pPr>
      <w:bookmarkStart w:id="1325" w:name="_Toc78449862"/>
      <w:bookmarkStart w:id="1326" w:name="_Toc1446953302"/>
      <w:bookmarkStart w:id="1327" w:name="_Toc373478420"/>
      <w:bookmarkStart w:id="1328" w:name="_Toc2075285517"/>
      <w:bookmarkStart w:id="1329" w:name="_Toc373227773"/>
      <w:bookmarkStart w:id="1330" w:name="_Toc389065338"/>
      <w:bookmarkStart w:id="1331" w:name="_Toc407135276"/>
      <w:bookmarkStart w:id="1332" w:name="_Toc23783"/>
      <w:r>
        <w:rPr>
          <w:color w:val="auto"/>
          <w:highlight w:val="none"/>
        </w:rPr>
        <w:t>18.1</w:t>
      </w:r>
      <w:r>
        <w:rPr>
          <w:rFonts w:hint="eastAsia" w:hAnsi="宋体" w:cs="黑体"/>
          <w:color w:val="auto"/>
          <w:highlight w:val="none"/>
        </w:rPr>
        <w:t>工程保险</w:t>
      </w:r>
      <w:bookmarkEnd w:id="1325"/>
      <w:bookmarkEnd w:id="1326"/>
      <w:bookmarkEnd w:id="1327"/>
      <w:bookmarkEnd w:id="1328"/>
      <w:bookmarkEnd w:id="1329"/>
      <w:bookmarkEnd w:id="1330"/>
      <w:bookmarkEnd w:id="1331"/>
      <w:bookmarkEnd w:id="1332"/>
    </w:p>
    <w:p w14:paraId="421AE8E5">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关于工程保险的特别约定：</w:t>
      </w:r>
      <w:r>
        <w:rPr>
          <w:rFonts w:hint="default" w:ascii="Times New Roman" w:hAnsi="Times New Roman" w:eastAsia="宋体" w:cs="Times New Roman"/>
          <w:color w:val="auto"/>
          <w:kern w:val="2"/>
          <w:sz w:val="21"/>
          <w:szCs w:val="21"/>
          <w:highlight w:val="none"/>
          <w:u w:val="single"/>
          <w:lang w:val="en-US" w:eastAsia="zh-CN" w:bidi="ar-SA"/>
        </w:rPr>
        <w:t>发包人不另行支付。建筑工程一切险及第三者责任险的保险期限自开工之日起至工程竣工验收合格之日止（不少于本合同约定的工期总日历天数）。因承包人原因导致工期延误的，承包人应自行办理保险期限延展手续并承担相应费用；因非承包人原因导致工期延误的，保险期限延展费用由发包人承担。</w:t>
      </w:r>
    </w:p>
    <w:p w14:paraId="0C975D7D">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承包人应在开工前将已生效的保险单副本提交给发包人和监理人备案。保险单中的被保险人应为发包人和承包人，保险赔偿金应专项用于修复或重建受损工程，第三者责任险的赔偿金应首先用于赔偿受损的第三方。承包人未按约定投保或未维持保险有效的，发包人有权代其投保并从应付工程款中直接扣除相应费用。</w:t>
      </w:r>
    </w:p>
    <w:p w14:paraId="0702AD44">
      <w:pPr>
        <w:pStyle w:val="20"/>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建筑工程一切险及第三者责任险的免赔额由承包人承担。承包人应加强对分包人的保险管理，确保分包工程对应的保险范围无保障断档。</w:t>
      </w:r>
    </w:p>
    <w:p w14:paraId="70F92EA0">
      <w:pPr>
        <w:pStyle w:val="5"/>
        <w:rPr>
          <w:color w:val="auto"/>
          <w:highlight w:val="none"/>
        </w:rPr>
      </w:pPr>
      <w:bookmarkStart w:id="1333" w:name="_Toc407135277"/>
      <w:bookmarkStart w:id="1334" w:name="_Toc373227774"/>
      <w:bookmarkStart w:id="1335" w:name="_Toc454766369"/>
      <w:bookmarkStart w:id="1336" w:name="_Toc389065339"/>
      <w:bookmarkStart w:id="1337" w:name="_Toc4803"/>
      <w:bookmarkStart w:id="1338" w:name="_Toc78449863"/>
      <w:bookmarkStart w:id="1339" w:name="_Toc2001387503"/>
      <w:bookmarkStart w:id="1340" w:name="_Toc373478421"/>
      <w:r>
        <w:rPr>
          <w:color w:val="auto"/>
          <w:highlight w:val="none"/>
        </w:rPr>
        <w:t>18.3</w:t>
      </w:r>
      <w:r>
        <w:rPr>
          <w:rFonts w:hint="eastAsia" w:hAnsi="宋体" w:cs="黑体"/>
          <w:color w:val="auto"/>
          <w:highlight w:val="none"/>
        </w:rPr>
        <w:t>其他保险</w:t>
      </w:r>
      <w:bookmarkEnd w:id="1333"/>
      <w:bookmarkEnd w:id="1334"/>
      <w:bookmarkEnd w:id="1335"/>
      <w:bookmarkEnd w:id="1336"/>
      <w:bookmarkEnd w:id="1337"/>
      <w:bookmarkEnd w:id="1338"/>
      <w:bookmarkEnd w:id="1339"/>
      <w:bookmarkEnd w:id="1340"/>
    </w:p>
    <w:p w14:paraId="2C18B91D">
      <w:pPr>
        <w:spacing w:line="360" w:lineRule="auto"/>
        <w:ind w:firstLine="420" w:firstLineChars="200"/>
        <w:jc w:val="left"/>
        <w:rPr>
          <w:rFonts w:hint="eastAsia" w:hAnsi="宋体"/>
          <w:color w:val="auto"/>
          <w:sz w:val="21"/>
          <w:szCs w:val="21"/>
          <w:highlight w:val="none"/>
          <w:u w:val="single"/>
        </w:rPr>
      </w:pPr>
      <w:r>
        <w:rPr>
          <w:rFonts w:hint="eastAsia" w:hAnsi="宋体" w:cs="宋体"/>
          <w:color w:val="auto"/>
          <w:sz w:val="21"/>
          <w:szCs w:val="21"/>
          <w:highlight w:val="none"/>
        </w:rPr>
        <w:t>关于其他保险的约定：</w:t>
      </w:r>
      <w:r>
        <w:rPr>
          <w:rFonts w:hint="eastAsia" w:hAnsi="宋体"/>
          <w:color w:val="auto"/>
          <w:sz w:val="21"/>
          <w:szCs w:val="21"/>
          <w:highlight w:val="none"/>
          <w:u w:val="single"/>
        </w:rPr>
        <w:t>本工程除专用合同条款第18.1条约定的建筑工程一切险及第三者责任险外，承包人还应办理以下保险：</w:t>
      </w:r>
    </w:p>
    <w:p w14:paraId="41FD8CBF">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（1）工伤保险：承包人应依法为其派驻到本工程施工现场的全部管理人员及作业人员办理工伤保险，保险费由承包人承担，保险期限覆盖本合同施工期间。</w:t>
      </w:r>
    </w:p>
    <w:p w14:paraId="3E2DFC01">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（2）安全生产责任保险：</w:t>
      </w:r>
      <w:r>
        <w:rPr>
          <w:rFonts w:hint="eastAsia" w:hAnsi="宋体"/>
          <w:color w:val="auto"/>
          <w:sz w:val="21"/>
          <w:szCs w:val="21"/>
          <w:highlight w:val="none"/>
          <w:u w:val="single"/>
          <w:lang w:eastAsia="zh-CN"/>
        </w:rPr>
        <w:t>本项目安全生产责任险已列入工程量清单暂估价，具体金额以工程量清单为准，由承包人代为投保，费用按暂估价金额支付，结算时按实际保费支出据实调整</w:t>
      </w:r>
      <w:r>
        <w:rPr>
          <w:rFonts w:hint="eastAsia" w:hAnsi="宋体"/>
          <w:color w:val="auto"/>
          <w:sz w:val="21"/>
          <w:szCs w:val="21"/>
          <w:highlight w:val="none"/>
          <w:u w:val="single"/>
        </w:rPr>
        <w:t>。</w:t>
      </w:r>
    </w:p>
    <w:p w14:paraId="52C10504">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3）鼓励承包人根据自身风险管理需要，为其派驻到本工程施工现场的施工作业人员办理建筑施工人员团体意外伤害保险，该保险属于承包人的自愿商业保险行为，不免除承包人为其施工人员办理工伤保险的法定义务。</w:t>
      </w:r>
    </w:p>
    <w:p w14:paraId="08AF9E1D">
      <w:pPr>
        <w:spacing w:line="360" w:lineRule="auto"/>
        <w:ind w:firstLine="420" w:firstLineChars="200"/>
        <w:jc w:val="left"/>
        <w:rPr>
          <w:color w:val="auto"/>
          <w:kern w:val="0"/>
          <w:sz w:val="21"/>
          <w:szCs w:val="21"/>
          <w:highlight w:val="none"/>
        </w:rPr>
      </w:pPr>
      <w:r>
        <w:rPr>
          <w:rFonts w:hint="eastAsia" w:hAnsi="宋体"/>
          <w:color w:val="auto"/>
          <w:sz w:val="21"/>
          <w:szCs w:val="21"/>
          <w:highlight w:val="none"/>
          <w:u w:val="single"/>
        </w:rPr>
        <w:t>承包人应在开工前将上述保险的生效保单副本提交发包人和监理人备案。承包人未按约定投保或未维持保险有效的，发包人有权代其投保并从应付工程款中直接扣除相应费用。</w:t>
      </w:r>
    </w:p>
    <w:p w14:paraId="519F85FF">
      <w:pPr>
        <w:spacing w:line="360" w:lineRule="auto"/>
        <w:ind w:firstLine="420" w:firstLineChars="200"/>
        <w:jc w:val="left"/>
        <w:rPr>
          <w:color w:val="auto"/>
          <w:highlight w:val="none"/>
          <w:u w:val="single"/>
        </w:rPr>
      </w:pPr>
      <w:r>
        <w:rPr>
          <w:rFonts w:hint="eastAsia" w:hAnsi="宋体" w:cs="宋体"/>
          <w:color w:val="auto"/>
          <w:sz w:val="21"/>
          <w:szCs w:val="21"/>
          <w:highlight w:val="none"/>
        </w:rPr>
        <w:t>承包人是否应为其施工设备等办理财产保险：</w:t>
      </w:r>
      <w:r>
        <w:rPr>
          <w:rFonts w:hint="eastAsia"/>
          <w:color w:val="auto"/>
          <w:sz w:val="21"/>
          <w:szCs w:val="21"/>
          <w:highlight w:val="none"/>
          <w:u w:val="single"/>
        </w:rPr>
        <w:t>由承包人自行决定。本工程所需全部施工机械设备均由承包人自行配备（见专用合同条款第8.8.2条），施工设备的毁损灭失风险由承包人自行承担。承包人可根据自身风险管理需要，自行决定是否为其施工设备、周转材料等办理财产保险，费用由承包人自行承担。承包人未办理施工设备财产保险的，施工期间发生的施工设备毁损灭失及因施工设备事故造成的损失，由承包人自行承担。</w:t>
      </w:r>
      <w:r>
        <w:rPr>
          <w:rFonts w:hint="eastAsia" w:hAnsi="宋体" w:cs="宋体"/>
          <w:color w:val="auto"/>
          <w:highlight w:val="none"/>
        </w:rPr>
        <w:t>。</w:t>
      </w:r>
    </w:p>
    <w:p w14:paraId="1C6304B6">
      <w:pPr>
        <w:pStyle w:val="5"/>
        <w:rPr>
          <w:color w:val="auto"/>
          <w:highlight w:val="none"/>
        </w:rPr>
      </w:pPr>
      <w:bookmarkStart w:id="1341" w:name="_Toc373227775"/>
      <w:bookmarkStart w:id="1342" w:name="_Toc16249"/>
      <w:bookmarkStart w:id="1343" w:name="_Toc1114527236"/>
      <w:bookmarkStart w:id="1344" w:name="_Toc2102614655"/>
      <w:bookmarkStart w:id="1345" w:name="_Toc389065340"/>
      <w:bookmarkStart w:id="1346" w:name="_Toc78449864"/>
      <w:bookmarkStart w:id="1347" w:name="_Toc373478422"/>
      <w:bookmarkStart w:id="1348" w:name="_Toc407135278"/>
      <w:r>
        <w:rPr>
          <w:color w:val="auto"/>
          <w:highlight w:val="none"/>
        </w:rPr>
        <w:t>18.7</w:t>
      </w:r>
      <w:r>
        <w:rPr>
          <w:rFonts w:hint="eastAsia" w:hAnsi="宋体" w:cs="黑体"/>
          <w:color w:val="auto"/>
          <w:highlight w:val="none"/>
        </w:rPr>
        <w:t>通知义务</w:t>
      </w:r>
      <w:bookmarkEnd w:id="1341"/>
      <w:bookmarkEnd w:id="1342"/>
      <w:bookmarkEnd w:id="1343"/>
      <w:bookmarkEnd w:id="1344"/>
      <w:bookmarkEnd w:id="1345"/>
      <w:bookmarkEnd w:id="1346"/>
      <w:bookmarkEnd w:id="1347"/>
      <w:bookmarkEnd w:id="1348"/>
    </w:p>
    <w:p w14:paraId="0687A88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关于变更保险合同时的通知义务的约定：</w:t>
      </w:r>
      <w:r>
        <w:rPr>
          <w:rFonts w:hint="eastAsia"/>
          <w:color w:val="auto"/>
          <w:sz w:val="21"/>
          <w:szCs w:val="21"/>
          <w:highlight w:val="none"/>
          <w:u w:val="single"/>
        </w:rPr>
        <w:t>承包人变更或解除专用合同条款第18.1条及第18.3条约定的保险合同的，应在变更或解除前7日内书面通知发包人和监理人，并说明变更或解除的原因、拟调整的保险范围及替代保险方案（如有）。因承包人未按约定通知或未及时续保、变更导致保险断档或保障不足，由此产生的损失由承包人自行承担，发包人有权代其投保并从应付工程款中直接扣除相应费用。因非承包人原因导致保险合同变更或提前终止的，承包人应在接到保险人通知后3日内书面通知发包人和监理人，由此增加的合理保险费由发包人承担。</w:t>
      </w:r>
      <w:r>
        <w:rPr>
          <w:rFonts w:hint="eastAsia" w:hAnsi="宋体" w:cs="宋体"/>
          <w:color w:val="auto"/>
          <w:sz w:val="21"/>
          <w:szCs w:val="21"/>
          <w:highlight w:val="none"/>
        </w:rPr>
        <w:t>。</w:t>
      </w:r>
    </w:p>
    <w:bookmarkEnd w:id="1213"/>
    <w:bookmarkEnd w:id="1214"/>
    <w:bookmarkEnd w:id="1215"/>
    <w:bookmarkEnd w:id="1216"/>
    <w:bookmarkEnd w:id="1217"/>
    <w:bookmarkEnd w:id="1218"/>
    <w:bookmarkEnd w:id="1219"/>
    <w:bookmarkEnd w:id="1220"/>
    <w:bookmarkEnd w:id="1221"/>
    <w:bookmarkEnd w:id="1222"/>
    <w:bookmarkEnd w:id="1223"/>
    <w:bookmarkEnd w:id="1224"/>
    <w:p w14:paraId="69B62D93">
      <w:pPr>
        <w:pStyle w:val="4"/>
        <w:rPr>
          <w:color w:val="auto"/>
          <w:highlight w:val="none"/>
        </w:rPr>
      </w:pPr>
      <w:bookmarkStart w:id="1349" w:name="_Toc389065341"/>
      <w:bookmarkStart w:id="1350" w:name="_Toc351203651"/>
      <w:bookmarkStart w:id="1351" w:name="_Toc373478423"/>
      <w:bookmarkStart w:id="1352" w:name="_Toc1430568476"/>
      <w:bookmarkStart w:id="1353" w:name="_Toc1959910599"/>
      <w:bookmarkStart w:id="1354" w:name="_Toc78449865"/>
      <w:bookmarkStart w:id="1355" w:name="_Toc25641"/>
      <w:bookmarkStart w:id="1356" w:name="_Toc407135279"/>
      <w:bookmarkStart w:id="1357" w:name="_Toc373227776"/>
      <w:r>
        <w:rPr>
          <w:color w:val="auto"/>
          <w:highlight w:val="none"/>
        </w:rPr>
        <w:t>20.</w:t>
      </w:r>
      <w:r>
        <w:rPr>
          <w:rFonts w:hint="eastAsia" w:hAnsi="宋体" w:cs="黑体"/>
          <w:color w:val="auto"/>
          <w:highlight w:val="none"/>
        </w:rPr>
        <w:t>争议解决</w:t>
      </w:r>
      <w:bookmarkEnd w:id="1349"/>
      <w:bookmarkEnd w:id="1350"/>
      <w:bookmarkEnd w:id="1351"/>
      <w:bookmarkEnd w:id="1352"/>
      <w:bookmarkEnd w:id="1353"/>
      <w:bookmarkEnd w:id="1354"/>
      <w:bookmarkEnd w:id="1355"/>
      <w:bookmarkEnd w:id="1356"/>
      <w:bookmarkEnd w:id="1357"/>
    </w:p>
    <w:bookmarkEnd w:id="1225"/>
    <w:bookmarkEnd w:id="1226"/>
    <w:p w14:paraId="54C86B29">
      <w:pPr>
        <w:pStyle w:val="5"/>
        <w:rPr>
          <w:color w:val="auto"/>
          <w:highlight w:val="none"/>
        </w:rPr>
      </w:pPr>
      <w:bookmarkStart w:id="1358" w:name="_Toc373227777"/>
      <w:bookmarkStart w:id="1359" w:name="_Toc1645489822"/>
      <w:bookmarkStart w:id="1360" w:name="_Toc407135280"/>
      <w:bookmarkStart w:id="1361" w:name="_Toc2138124043"/>
      <w:bookmarkStart w:id="1362" w:name="_Toc389065342"/>
      <w:bookmarkStart w:id="1363" w:name="_Toc29840"/>
      <w:bookmarkStart w:id="1364" w:name="_Toc373478424"/>
      <w:bookmarkStart w:id="1365" w:name="_Toc78449866"/>
      <w:r>
        <w:rPr>
          <w:color w:val="auto"/>
          <w:highlight w:val="none"/>
        </w:rPr>
        <w:t>20.3</w:t>
      </w:r>
      <w:r>
        <w:rPr>
          <w:rFonts w:hint="eastAsia" w:hAnsi="宋体" w:cs="黑体"/>
          <w:color w:val="auto"/>
          <w:highlight w:val="none"/>
        </w:rPr>
        <w:t>争</w:t>
      </w:r>
      <w:bookmarkEnd w:id="1227"/>
      <w:r>
        <w:rPr>
          <w:rFonts w:hint="eastAsia" w:hAnsi="宋体" w:cs="黑体"/>
          <w:color w:val="auto"/>
          <w:highlight w:val="none"/>
        </w:rPr>
        <w:t>议评审</w:t>
      </w:r>
      <w:bookmarkEnd w:id="1358"/>
      <w:bookmarkEnd w:id="1359"/>
      <w:bookmarkEnd w:id="1360"/>
      <w:bookmarkEnd w:id="1361"/>
      <w:bookmarkEnd w:id="1362"/>
      <w:bookmarkEnd w:id="1363"/>
      <w:bookmarkEnd w:id="1364"/>
      <w:bookmarkEnd w:id="1365"/>
    </w:p>
    <w:p w14:paraId="72F784FE">
      <w:pPr>
        <w:spacing w:line="360" w:lineRule="auto"/>
        <w:ind w:left="142" w:leftChars="71" w:firstLine="315" w:firstLineChars="150"/>
        <w:jc w:val="left"/>
        <w:rPr>
          <w:color w:val="auto"/>
          <w:sz w:val="21"/>
          <w:szCs w:val="21"/>
          <w:highlight w:val="none"/>
          <w:u w:val="single"/>
        </w:rPr>
      </w:pPr>
      <w:r>
        <w:rPr>
          <w:rFonts w:hint="eastAsia" w:hAnsi="宋体" w:cs="宋体"/>
          <w:color w:val="auto"/>
          <w:sz w:val="21"/>
          <w:szCs w:val="21"/>
          <w:highlight w:val="none"/>
        </w:rPr>
        <w:t>合同当事人是否同意将工程争议提交争议评审小组决定：</w:t>
      </w:r>
      <w:r>
        <w:rPr>
          <w:rFonts w:hint="eastAsia"/>
          <w:color w:val="auto"/>
          <w:sz w:val="21"/>
          <w:szCs w:val="21"/>
          <w:highlight w:val="none"/>
          <w:u w:val="single"/>
          <w:lang w:val="en-US" w:eastAsia="zh-CN"/>
        </w:rPr>
        <w:t>不适用</w:t>
      </w:r>
      <w:r>
        <w:rPr>
          <w:rFonts w:hint="eastAsia" w:hAnsi="宋体" w:cs="宋体"/>
          <w:color w:val="auto"/>
          <w:sz w:val="21"/>
          <w:szCs w:val="21"/>
          <w:highlight w:val="none"/>
        </w:rPr>
        <w:t>。</w:t>
      </w:r>
    </w:p>
    <w:p w14:paraId="69334D23">
      <w:pPr>
        <w:pStyle w:val="5"/>
        <w:rPr>
          <w:color w:val="auto"/>
          <w:highlight w:val="none"/>
        </w:rPr>
      </w:pPr>
      <w:bookmarkStart w:id="1366" w:name="_Toc373227778"/>
      <w:bookmarkStart w:id="1367" w:name="_Toc1156795721"/>
      <w:bookmarkStart w:id="1368" w:name="_Toc1456517022"/>
      <w:bookmarkStart w:id="1369" w:name="_Toc389065343"/>
      <w:bookmarkStart w:id="1370" w:name="_Toc373478425"/>
      <w:bookmarkStart w:id="1371" w:name="_Toc26223"/>
      <w:bookmarkStart w:id="1372" w:name="_Toc78449867"/>
      <w:bookmarkStart w:id="1373" w:name="_Toc407135281"/>
      <w:r>
        <w:rPr>
          <w:color w:val="auto"/>
          <w:highlight w:val="none"/>
        </w:rPr>
        <w:t>20.4</w:t>
      </w:r>
      <w:r>
        <w:rPr>
          <w:rFonts w:hint="eastAsia" w:hAnsi="宋体" w:cs="黑体"/>
          <w:color w:val="auto"/>
          <w:highlight w:val="none"/>
        </w:rPr>
        <w:t>仲裁或诉讼</w:t>
      </w:r>
      <w:bookmarkEnd w:id="1228"/>
      <w:bookmarkEnd w:id="1366"/>
      <w:bookmarkEnd w:id="1367"/>
      <w:bookmarkEnd w:id="1368"/>
      <w:bookmarkEnd w:id="1369"/>
      <w:bookmarkEnd w:id="1370"/>
      <w:bookmarkEnd w:id="1371"/>
      <w:bookmarkEnd w:id="1372"/>
      <w:bookmarkEnd w:id="1373"/>
    </w:p>
    <w:p w14:paraId="3EE6CF21">
      <w:pPr>
        <w:spacing w:line="360" w:lineRule="auto"/>
        <w:ind w:firstLine="420" w:firstLineChars="200"/>
        <w:rPr>
          <w:color w:val="auto"/>
          <w:sz w:val="21"/>
          <w:szCs w:val="21"/>
          <w:highlight w:val="none"/>
        </w:rPr>
      </w:pPr>
      <w:r>
        <w:rPr>
          <w:rFonts w:hint="eastAsia" w:hAnsi="宋体" w:cs="宋体"/>
          <w:color w:val="auto"/>
          <w:sz w:val="21"/>
          <w:szCs w:val="21"/>
          <w:highlight w:val="none"/>
        </w:rPr>
        <w:t>因合同及合同有关事项发生的争议，按下列第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种方式解决：</w:t>
      </w:r>
    </w:p>
    <w:p w14:paraId="7472CB6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）提请仲裁委员会按照该会仲裁规则进行仲裁，仲裁裁决是终局的，对合同双方均有约束力。</w:t>
      </w:r>
    </w:p>
    <w:p w14:paraId="14CE4C7E">
      <w:pPr>
        <w:spacing w:line="360" w:lineRule="auto"/>
        <w:ind w:firstLine="420" w:firstLineChars="200"/>
        <w:jc w:val="left"/>
        <w:rPr>
          <w:color w:val="auto"/>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）向</w:t>
      </w:r>
      <w:r>
        <w:rPr>
          <w:rFonts w:hint="eastAsia" w:hAnsi="宋体" w:cs="宋体"/>
          <w:color w:val="auto"/>
          <w:sz w:val="21"/>
          <w:szCs w:val="21"/>
          <w:highlight w:val="none"/>
          <w:u w:val="single"/>
        </w:rPr>
        <w:t>工程所在地有管辖权的</w:t>
      </w:r>
      <w:r>
        <w:rPr>
          <w:rFonts w:hint="eastAsia" w:hAnsi="宋体" w:cs="宋体"/>
          <w:color w:val="auto"/>
          <w:sz w:val="21"/>
          <w:szCs w:val="21"/>
          <w:highlight w:val="none"/>
        </w:rPr>
        <w:t>人民法院</w:t>
      </w:r>
      <w:r>
        <w:rPr>
          <w:rFonts w:hint="default" w:hAnsi="宋体" w:cs="宋体"/>
          <w:color w:val="auto"/>
          <w:sz w:val="21"/>
          <w:szCs w:val="21"/>
          <w:highlight w:val="none"/>
        </w:rPr>
        <w:t>起诉</w:t>
      </w:r>
      <w:r>
        <w:rPr>
          <w:rFonts w:hint="eastAsia" w:hAnsi="宋体" w:cs="宋体"/>
          <w:color w:val="auto"/>
          <w:highlight w:val="none"/>
        </w:rPr>
        <w:t>。</w:t>
      </w:r>
      <w:bookmarkEnd w:id="1229"/>
      <w:bookmarkEnd w:id="1230"/>
      <w:bookmarkEnd w:id="1231"/>
      <w:bookmarkEnd w:id="1232"/>
      <w:bookmarkEnd w:id="1233"/>
      <w:bookmarkEnd w:id="1234"/>
    </w:p>
    <w:p w14:paraId="16A913E0">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21</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r>
        <w:rPr>
          <w:rFonts w:hint="eastAsia" w:ascii="宋体" w:hAnsi="宋体" w:cs="宋体"/>
          <w:b/>
          <w:bCs/>
          <w:color w:val="auto"/>
          <w:kern w:val="0"/>
          <w:sz w:val="21"/>
          <w:szCs w:val="21"/>
          <w:highlight w:val="none"/>
          <w:lang w:val="en-US" w:eastAsia="zh-CN" w:bidi="ar"/>
        </w:rPr>
        <w:t>。</w:t>
      </w:r>
    </w:p>
    <w:p w14:paraId="7337A28D">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46DE1D8A">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719D7343">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2F5CD92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4E2B54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60EDC39B">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4F35A37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3D36D892">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3E0475C">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50140E1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4D32FDDF">
      <w:pPr>
        <w:shd w:val="clear"/>
        <w:rPr>
          <w:rFonts w:hint="default" w:ascii="Times New Roman" w:hAnsi="Times New Roman" w:eastAsia="宋体" w:cs="Times New Roman"/>
          <w:color w:val="auto"/>
          <w:highlight w:val="none"/>
        </w:rPr>
        <w:sectPr>
          <w:pgSz w:w="11907" w:h="16840"/>
          <w:pgMar w:top="1440" w:right="1090" w:bottom="1440" w:left="1397" w:header="851" w:footer="851" w:gutter="0"/>
          <w:cols w:space="720" w:num="1"/>
          <w:formProt w:val="1"/>
          <w:docGrid w:type="lines" w:linePitch="312" w:charSpace="43007"/>
        </w:sectPr>
      </w:pPr>
    </w:p>
    <w:p w14:paraId="354F7205">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5B73786B">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6B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E0D17B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7B15B1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F0A80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w:t>
            </w:r>
            <w:r>
              <w:rPr>
                <w:rFonts w:hint="default" w:ascii="Times New Roman" w:hAnsi="Times New Roman" w:eastAsia="仿宋_GB2312" w:cs="Times New Roman"/>
                <w:color w:val="auto"/>
                <w:kern w:val="0"/>
                <w:sz w:val="28"/>
                <w:szCs w:val="28"/>
                <w:highlight w:val="none"/>
                <w:lang w:val="en-US" w:eastAsia="zh-CN" w:bidi="ar"/>
              </w:rPr>
              <w:t>(</w:t>
            </w:r>
            <w:r>
              <w:rPr>
                <w:rFonts w:hint="eastAsia" w:ascii="仿宋_GB2312" w:hAnsi="Times New Roman" w:eastAsia="仿宋_GB2312" w:cs="仿宋_GB2312"/>
                <w:color w:val="auto"/>
                <w:kern w:val="0"/>
                <w:sz w:val="28"/>
                <w:szCs w:val="28"/>
                <w:highlight w:val="none"/>
                <w:lang w:val="en-US" w:eastAsia="zh-CN" w:bidi="ar"/>
              </w:rPr>
              <w:t>平方米</w:t>
            </w:r>
            <w:r>
              <w:rPr>
                <w:rFonts w:hint="default" w:ascii="Times New Roman" w:hAnsi="Times New Roman" w:eastAsia="仿宋_GB2312" w:cs="Times New Roman"/>
                <w:color w:val="auto"/>
                <w:kern w:val="0"/>
                <w:sz w:val="28"/>
                <w:szCs w:val="28"/>
                <w:highlight w:val="none"/>
                <w:lang w:val="en-US" w:eastAsia="zh-CN" w:bidi="ar"/>
              </w:rPr>
              <w:t>)</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43D500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FFD8B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D815F5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B80BD7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FAB11D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852F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B4C46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495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E28972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F6F933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D7E541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63E45E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381E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3B9448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CECC7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80A6F4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C08D35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AEC24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545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9F38A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813E65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408976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58EDF4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10EDF8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627755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24D005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ABE31A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30B975B">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22D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24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047B6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48E16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9CDE7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9379A4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8C31D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E9ACE5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AC542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252272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9D8321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3D85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37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1C4E69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2B690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2A3934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6B3ABB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EF689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5BFB43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4F4AC1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FF19E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D6E22D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52BE9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93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E464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53B7E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94A3EE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EFC6A5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22249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52861F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44773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2F605D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8287E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97EB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477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574E1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F8586E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69307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57568B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6CCF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39EC92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5BAE8A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0F489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DC1FCB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87D63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DB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01675F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D37FDD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7A970C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85E7439">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2ECD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6A7AA4">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4F8A5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F7722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59784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01515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01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B3102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30B259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BAF0BE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E70C63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CECAC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7E556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D480BB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7CCCEF1">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070AA8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B26017">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26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A40E6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4937A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190194C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30BDCF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D2C6">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37B25E">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152176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4989FC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75010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EDA3B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49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391EDD">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F4F07E3">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8FB9BE0">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DD0564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D1DA558">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806F912">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9D76B4A">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B6C2EFF">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190565">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F8EEAC">
            <w:pPr>
              <w:pStyle w:val="20"/>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47B767FF">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121F8264">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6BE86F04">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1A3F11C4">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6232C225">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7E971841">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cs="宋体"/>
          <w:color w:val="auto"/>
          <w:kern w:val="0"/>
          <w:sz w:val="21"/>
          <w:szCs w:val="21"/>
          <w:highlight w:val="none"/>
          <w:u w:val="single"/>
          <w:lang w:val="en-US" w:eastAsia="zh-CN" w:bidi="ar"/>
        </w:rPr>
        <w:t>天等县林业局</w:t>
      </w:r>
    </w:p>
    <w:p w14:paraId="7D8FFB8D">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p>
    <w:p w14:paraId="30FE51DD">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p>
    <w:p w14:paraId="3563C59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天等县龙茗镇益山村八角低产林改造县级示范项目</w:t>
      </w:r>
      <w:r>
        <w:rPr>
          <w:rFonts w:hint="eastAsia" w:ascii="宋体" w:hAnsi="宋体" w:eastAsia="宋体" w:cs="宋体"/>
          <w:color w:val="auto"/>
          <w:kern w:val="0"/>
          <w:sz w:val="21"/>
          <w:szCs w:val="21"/>
          <w:highlight w:val="none"/>
          <w:lang w:val="en-US" w:eastAsia="zh-CN" w:bidi="ar"/>
        </w:rPr>
        <w:t>（工程全称）签订工程质量保修书。</w:t>
      </w:r>
    </w:p>
    <w:p w14:paraId="7B03B1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5B8878A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3733202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u w:val="single"/>
          <w:lang w:val="en-US"/>
        </w:rPr>
      </w:pPr>
      <w:r>
        <w:rPr>
          <w:rFonts w:hint="eastAsia" w:ascii="宋体" w:hAnsi="宋体" w:eastAsia="宋体" w:cs="宋体"/>
          <w:color w:val="auto"/>
          <w:kern w:val="0"/>
          <w:sz w:val="21"/>
          <w:szCs w:val="21"/>
          <w:highlight w:val="none"/>
          <w:lang w:val="en-US" w:eastAsia="zh-CN" w:bidi="ar"/>
        </w:rPr>
        <w:t>质量保修范围包括</w:t>
      </w:r>
      <w:r>
        <w:rPr>
          <w:rFonts w:hint="eastAsia" w:cs="Times New Roman"/>
          <w:b/>
          <w:bCs/>
          <w:color w:val="auto"/>
          <w:kern w:val="0"/>
          <w:sz w:val="21"/>
          <w:szCs w:val="21"/>
          <w:highlight w:val="none"/>
          <w:u w:val="single"/>
          <w:lang w:val="en-US" w:eastAsia="zh-CN" w:bidi="ar"/>
        </w:rPr>
        <w:t>4条产业道路路基、泥结碎石路面、</w:t>
      </w:r>
      <w:r>
        <w:rPr>
          <w:rFonts w:hint="eastAsia" w:ascii="Times New Roman" w:hAnsi="Times New Roman" w:eastAsia="宋体" w:cs="Times New Roman"/>
          <w:b/>
          <w:bCs/>
          <w:color w:val="auto"/>
          <w:kern w:val="0"/>
          <w:sz w:val="21"/>
          <w:szCs w:val="21"/>
          <w:highlight w:val="none"/>
          <w:u w:val="single"/>
          <w:lang w:val="en-US" w:eastAsia="zh-CN" w:bidi="ar"/>
        </w:rPr>
        <w:t>级配碎石基层、浆砌片石挡土墙、混凝土边沟、钢筋混凝土圆管涵、灌溉PVC管线迁改（DN100，238m）及所有附属</w:t>
      </w:r>
      <w:r>
        <w:rPr>
          <w:rFonts w:hint="eastAsia" w:cs="Times New Roman"/>
          <w:b/>
          <w:bCs/>
          <w:color w:val="auto"/>
          <w:kern w:val="0"/>
          <w:sz w:val="21"/>
          <w:szCs w:val="21"/>
          <w:highlight w:val="none"/>
          <w:u w:val="single"/>
          <w:lang w:val="en-US" w:eastAsia="zh-CN" w:bidi="ar"/>
        </w:rPr>
        <w:t>配套工程</w:t>
      </w:r>
      <w:r>
        <w:rPr>
          <w:rFonts w:hint="eastAsia" w:cs="Times New Roman"/>
          <w:b w:val="0"/>
          <w:bCs w:val="0"/>
          <w:color w:val="auto"/>
          <w:kern w:val="0"/>
          <w:sz w:val="21"/>
          <w:szCs w:val="21"/>
          <w:highlight w:val="none"/>
          <w:u w:val="single"/>
          <w:lang w:val="en-US" w:eastAsia="zh-CN" w:bidi="ar"/>
        </w:rPr>
        <w:t>。</w:t>
      </w:r>
    </w:p>
    <w:p w14:paraId="0EF76ED0">
      <w:pPr>
        <w:keepNext w:val="0"/>
        <w:keepLines w:val="0"/>
        <w:widowControl w:val="0"/>
        <w:numPr>
          <w:ilvl w:val="0"/>
          <w:numId w:val="8"/>
        </w:numPr>
        <w:suppressLineNumbers w:val="0"/>
        <w:shd w:val="clear"/>
        <w:spacing w:before="0" w:beforeAutospacing="0" w:after="0" w:afterAutospacing="0" w:line="360" w:lineRule="auto"/>
        <w:ind w:left="0" w:right="0" w:firstLine="420"/>
        <w:jc w:val="both"/>
        <w:rPr>
          <w:rFonts w:hint="eastAsia" w:ascii="黑体" w:hAnsi="宋体" w:eastAsia="黑体" w:cs="黑体"/>
          <w:color w:val="auto"/>
          <w:kern w:val="0"/>
          <w:sz w:val="21"/>
          <w:szCs w:val="21"/>
          <w:highlight w:val="none"/>
          <w:lang w:val="en-US" w:eastAsia="zh-CN" w:bidi="ar"/>
        </w:rPr>
      </w:pPr>
      <w:r>
        <w:rPr>
          <w:rFonts w:hint="eastAsia" w:ascii="黑体" w:hAnsi="宋体" w:eastAsia="黑体" w:cs="黑体"/>
          <w:color w:val="auto"/>
          <w:kern w:val="0"/>
          <w:sz w:val="21"/>
          <w:szCs w:val="21"/>
          <w:highlight w:val="none"/>
          <w:lang w:val="en-US" w:eastAsia="zh-CN" w:bidi="ar"/>
        </w:rPr>
        <w:t>工程质量保修范围和期限</w:t>
      </w:r>
    </w:p>
    <w:p w14:paraId="371BF78C">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双方根据《建设工程质量管理条例》及有关规定，约定本工程的质量保修期如下：</w:t>
      </w:r>
    </w:p>
    <w:p w14:paraId="7C9DFDE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地基基础工程和主体结构工程，为设计文件规定的该工程的合理使用年限；</w:t>
      </w:r>
    </w:p>
    <w:p w14:paraId="1CDD396D">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屋面防水工程、有防水要求的卫生间、房间和外墙面的防渗漏，为5年；</w:t>
      </w:r>
    </w:p>
    <w:p w14:paraId="607F1022">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装修工程为2年；</w:t>
      </w:r>
    </w:p>
    <w:p w14:paraId="194B9A0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电气管线、给排水管道、设备安装工程为2年；</w:t>
      </w:r>
    </w:p>
    <w:p w14:paraId="4658159F">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供热与供冷系统，为2个采暖期、供冷期；</w:t>
      </w:r>
    </w:p>
    <w:p w14:paraId="4D419976">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其他项目保修期限约定如下</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w:t>
      </w:r>
    </w:p>
    <w:p w14:paraId="76C1B58A">
      <w:pPr>
        <w:keepNext w:val="0"/>
        <w:keepLines w:val="0"/>
        <w:widowControl w:val="0"/>
        <w:numPr>
          <w:ilvl w:val="0"/>
          <w:numId w:val="0"/>
        </w:numPr>
        <w:suppressLineNumbers w:val="0"/>
        <w:shd w:val="clear"/>
        <w:spacing w:before="0" w:beforeAutospacing="0" w:after="0" w:afterAutospacing="0" w:line="360" w:lineRule="auto"/>
        <w:ind w:leftChars="200" w:right="0" w:rightChars="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质量保修期自工程竣工验收合格之日起计算。</w:t>
      </w:r>
    </w:p>
    <w:p w14:paraId="543EA76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6E871C85">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1015DCF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19206842">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322445D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31F3C78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687E82E4">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19DE534">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7A9278B8">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267AC8C">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212AE6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六、双方约定的其他工程质量保修事项：</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AA53DEB">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5"/>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5221D25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CE1615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发包人：（公章）</w:t>
            </w:r>
          </w:p>
        </w:tc>
        <w:tc>
          <w:tcPr>
            <w:tcW w:w="4261" w:type="dxa"/>
            <w:tcBorders>
              <w:top w:val="nil"/>
              <w:left w:val="nil"/>
              <w:bottom w:val="nil"/>
              <w:right w:val="nil"/>
            </w:tcBorders>
            <w:shd w:val="clear" w:color="auto" w:fill="auto"/>
            <w:vAlign w:val="top"/>
          </w:tcPr>
          <w:p w14:paraId="60A4C9D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承包人：（公章）</w:t>
            </w:r>
          </w:p>
        </w:tc>
      </w:tr>
      <w:tr w14:paraId="6BFAB0F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F6F1D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c>
          <w:tcPr>
            <w:tcW w:w="4261" w:type="dxa"/>
            <w:tcBorders>
              <w:top w:val="nil"/>
              <w:left w:val="nil"/>
              <w:bottom w:val="nil"/>
              <w:right w:val="nil"/>
            </w:tcBorders>
            <w:shd w:val="clear" w:color="auto" w:fill="auto"/>
            <w:vAlign w:val="top"/>
          </w:tcPr>
          <w:p w14:paraId="4ED6CC4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r>
      <w:tr w14:paraId="26338C1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00FF752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41ED089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531998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8B0585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77B145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0244DA1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47508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c>
          <w:tcPr>
            <w:tcW w:w="4261" w:type="dxa"/>
            <w:tcBorders>
              <w:top w:val="nil"/>
              <w:left w:val="nil"/>
              <w:bottom w:val="nil"/>
              <w:right w:val="nil"/>
            </w:tcBorders>
            <w:shd w:val="clear" w:color="auto" w:fill="auto"/>
            <w:vAlign w:val="top"/>
          </w:tcPr>
          <w:p w14:paraId="4D75183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r>
      <w:tr w14:paraId="61E0BE5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6203BEF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c>
          <w:tcPr>
            <w:tcW w:w="4261" w:type="dxa"/>
            <w:tcBorders>
              <w:top w:val="nil"/>
              <w:left w:val="nil"/>
              <w:bottom w:val="nil"/>
              <w:right w:val="nil"/>
            </w:tcBorders>
            <w:shd w:val="clear" w:color="auto" w:fill="auto"/>
            <w:vAlign w:val="top"/>
          </w:tcPr>
          <w:p w14:paraId="76B7D91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r>
      <w:tr w14:paraId="7F2A423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EB4C7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c>
          <w:tcPr>
            <w:tcW w:w="4261" w:type="dxa"/>
            <w:tcBorders>
              <w:top w:val="nil"/>
              <w:left w:val="nil"/>
              <w:bottom w:val="nil"/>
              <w:right w:val="nil"/>
            </w:tcBorders>
            <w:shd w:val="clear" w:color="auto" w:fill="auto"/>
            <w:vAlign w:val="top"/>
          </w:tcPr>
          <w:p w14:paraId="717428C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r>
      <w:tr w14:paraId="5ADE9DE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19D60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c>
          <w:tcPr>
            <w:tcW w:w="4261" w:type="dxa"/>
            <w:tcBorders>
              <w:top w:val="nil"/>
              <w:left w:val="nil"/>
              <w:bottom w:val="nil"/>
              <w:right w:val="nil"/>
            </w:tcBorders>
            <w:shd w:val="clear" w:color="auto" w:fill="auto"/>
            <w:vAlign w:val="top"/>
          </w:tcPr>
          <w:p w14:paraId="1978BB2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r>
      <w:tr w14:paraId="327E48D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2BBC1F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c>
          <w:tcPr>
            <w:tcW w:w="4261" w:type="dxa"/>
            <w:tcBorders>
              <w:top w:val="nil"/>
              <w:left w:val="nil"/>
              <w:bottom w:val="nil"/>
              <w:right w:val="nil"/>
            </w:tcBorders>
            <w:shd w:val="clear" w:color="auto" w:fill="auto"/>
            <w:vAlign w:val="top"/>
          </w:tcPr>
          <w:p w14:paraId="32D66C0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r>
    </w:tbl>
    <w:p w14:paraId="0C42E19D">
      <w:pPr>
        <w:shd w:val="clear"/>
        <w:rPr>
          <w:rFonts w:hint="eastAsia" w:ascii="宋体" w:hAnsi="宋体" w:eastAsia="宋体" w:cs="Times New Roman"/>
          <w:color w:val="auto"/>
          <w:kern w:val="0"/>
          <w:sz w:val="21"/>
          <w:szCs w:val="21"/>
          <w:highlight w:val="none"/>
          <w:u w:val="single"/>
          <w:lang w:val="en-US" w:eastAsia="zh-CN" w:bidi="ar"/>
        </w:rPr>
      </w:pPr>
    </w:p>
    <w:p w14:paraId="55AD3EBF">
      <w:pPr>
        <w:shd w:val="clear"/>
        <w:rPr>
          <w:rFonts w:hint="eastAsia" w:ascii="宋体" w:hAnsi="宋体" w:eastAsia="宋体" w:cs="Times New Roman"/>
          <w:color w:val="auto"/>
          <w:kern w:val="0"/>
          <w:sz w:val="21"/>
          <w:szCs w:val="21"/>
          <w:highlight w:val="none"/>
          <w:u w:val="single"/>
          <w:lang w:val="en-US" w:eastAsia="zh-CN" w:bidi="ar"/>
        </w:rPr>
      </w:pPr>
    </w:p>
    <w:p w14:paraId="37B78636">
      <w:pPr>
        <w:shd w:val="clear"/>
        <w:rPr>
          <w:rFonts w:hint="eastAsia" w:ascii="宋体" w:hAnsi="宋体" w:eastAsia="宋体" w:cs="Times New Roman"/>
          <w:color w:val="auto"/>
          <w:kern w:val="0"/>
          <w:sz w:val="21"/>
          <w:szCs w:val="21"/>
          <w:highlight w:val="none"/>
          <w:u w:val="single"/>
          <w:lang w:val="en-US" w:eastAsia="zh-CN" w:bidi="ar"/>
        </w:rPr>
      </w:pPr>
    </w:p>
    <w:p w14:paraId="7589F348">
      <w:pPr>
        <w:shd w:val="clear"/>
        <w:rPr>
          <w:rFonts w:hint="eastAsia" w:ascii="宋体" w:hAnsi="宋体" w:eastAsia="宋体" w:cs="Times New Roman"/>
          <w:color w:val="auto"/>
          <w:kern w:val="0"/>
          <w:sz w:val="21"/>
          <w:szCs w:val="21"/>
          <w:highlight w:val="none"/>
          <w:u w:val="single"/>
          <w:lang w:val="en-US" w:eastAsia="zh-CN" w:bidi="ar"/>
        </w:rPr>
      </w:pPr>
    </w:p>
    <w:p w14:paraId="34B15904">
      <w:pPr>
        <w:shd w:val="clear"/>
        <w:rPr>
          <w:rFonts w:hint="eastAsia" w:ascii="宋体" w:hAnsi="宋体" w:eastAsia="宋体" w:cs="Times New Roman"/>
          <w:color w:val="auto"/>
          <w:kern w:val="0"/>
          <w:sz w:val="21"/>
          <w:szCs w:val="21"/>
          <w:highlight w:val="none"/>
          <w:u w:val="single"/>
          <w:lang w:val="en-US" w:eastAsia="zh-CN" w:bidi="ar"/>
        </w:rPr>
      </w:pPr>
    </w:p>
    <w:p w14:paraId="40F1A1EA">
      <w:pPr>
        <w:shd w:val="clear"/>
        <w:rPr>
          <w:rFonts w:hint="eastAsia" w:ascii="宋体" w:hAnsi="宋体" w:eastAsia="宋体" w:cs="Times New Roman"/>
          <w:color w:val="auto"/>
          <w:kern w:val="0"/>
          <w:sz w:val="21"/>
          <w:szCs w:val="21"/>
          <w:highlight w:val="none"/>
          <w:u w:val="single"/>
          <w:lang w:val="en-US" w:eastAsia="zh-CN" w:bidi="ar"/>
        </w:rPr>
      </w:pPr>
    </w:p>
    <w:p w14:paraId="4BE6A1AC">
      <w:pPr>
        <w:shd w:val="clear"/>
        <w:rPr>
          <w:rFonts w:hint="eastAsia" w:ascii="宋体" w:hAnsi="宋体" w:eastAsia="宋体" w:cs="Times New Roman"/>
          <w:color w:val="auto"/>
          <w:kern w:val="0"/>
          <w:sz w:val="21"/>
          <w:szCs w:val="21"/>
          <w:highlight w:val="none"/>
          <w:u w:val="single"/>
          <w:lang w:val="en-US" w:eastAsia="zh-CN" w:bidi="ar"/>
        </w:rPr>
      </w:pPr>
    </w:p>
    <w:p w14:paraId="391F034E">
      <w:pPr>
        <w:shd w:val="clear"/>
        <w:rPr>
          <w:rFonts w:hint="eastAsia" w:ascii="宋体" w:hAnsi="宋体" w:eastAsia="宋体" w:cs="Times New Roman"/>
          <w:color w:val="auto"/>
          <w:kern w:val="0"/>
          <w:sz w:val="21"/>
          <w:szCs w:val="21"/>
          <w:highlight w:val="none"/>
          <w:u w:val="single"/>
          <w:lang w:val="en-US" w:eastAsia="zh-CN" w:bidi="ar"/>
        </w:rPr>
      </w:pPr>
    </w:p>
    <w:p w14:paraId="0CDE5627">
      <w:pPr>
        <w:shd w:val="clear"/>
        <w:rPr>
          <w:rFonts w:hint="eastAsia" w:ascii="宋体" w:hAnsi="宋体" w:eastAsia="宋体" w:cs="Times New Roman"/>
          <w:color w:val="auto"/>
          <w:kern w:val="0"/>
          <w:sz w:val="21"/>
          <w:szCs w:val="21"/>
          <w:highlight w:val="none"/>
          <w:u w:val="single"/>
          <w:lang w:val="en-US" w:eastAsia="zh-CN" w:bidi="ar"/>
        </w:rPr>
      </w:pPr>
    </w:p>
    <w:p w14:paraId="084D5EF7">
      <w:pPr>
        <w:shd w:val="clear"/>
        <w:rPr>
          <w:rFonts w:hint="eastAsia" w:ascii="宋体" w:hAnsi="宋体" w:eastAsia="宋体" w:cs="Times New Roman"/>
          <w:color w:val="auto"/>
          <w:kern w:val="0"/>
          <w:sz w:val="21"/>
          <w:szCs w:val="21"/>
          <w:highlight w:val="none"/>
          <w:u w:val="single"/>
          <w:lang w:val="en-US" w:eastAsia="zh-CN" w:bidi="ar"/>
        </w:rPr>
      </w:pPr>
    </w:p>
    <w:p w14:paraId="4DEBDA30">
      <w:pPr>
        <w:shd w:val="clear"/>
        <w:rPr>
          <w:rFonts w:hint="eastAsia" w:ascii="宋体" w:hAnsi="宋体" w:eastAsia="宋体" w:cs="Times New Roman"/>
          <w:color w:val="auto"/>
          <w:kern w:val="0"/>
          <w:sz w:val="21"/>
          <w:szCs w:val="21"/>
          <w:highlight w:val="none"/>
          <w:u w:val="single"/>
          <w:lang w:val="en-US" w:eastAsia="zh-CN" w:bidi="ar"/>
        </w:rPr>
      </w:pPr>
    </w:p>
    <w:p w14:paraId="7CB10B4D">
      <w:pPr>
        <w:shd w:val="clear"/>
        <w:rPr>
          <w:rFonts w:hint="eastAsia" w:ascii="宋体" w:hAnsi="宋体" w:eastAsia="宋体" w:cs="Times New Roman"/>
          <w:color w:val="auto"/>
          <w:kern w:val="0"/>
          <w:sz w:val="21"/>
          <w:szCs w:val="21"/>
          <w:highlight w:val="none"/>
          <w:u w:val="single"/>
          <w:lang w:val="en-US" w:eastAsia="zh-CN" w:bidi="ar"/>
        </w:rPr>
      </w:pPr>
    </w:p>
    <w:p w14:paraId="50C2E291">
      <w:pPr>
        <w:shd w:val="clear"/>
        <w:rPr>
          <w:rFonts w:hint="eastAsia" w:ascii="宋体" w:hAnsi="宋体" w:eastAsia="宋体" w:cs="Times New Roman"/>
          <w:color w:val="auto"/>
          <w:kern w:val="0"/>
          <w:sz w:val="21"/>
          <w:szCs w:val="21"/>
          <w:highlight w:val="none"/>
          <w:u w:val="single"/>
          <w:lang w:val="en-US" w:eastAsia="zh-CN" w:bidi="ar"/>
        </w:rPr>
      </w:pPr>
    </w:p>
    <w:p w14:paraId="1091798F">
      <w:pPr>
        <w:shd w:val="clear"/>
        <w:rPr>
          <w:rFonts w:hint="eastAsia" w:ascii="宋体" w:hAnsi="宋体" w:eastAsia="宋体" w:cs="Times New Roman"/>
          <w:color w:val="auto"/>
          <w:kern w:val="0"/>
          <w:sz w:val="21"/>
          <w:szCs w:val="21"/>
          <w:highlight w:val="none"/>
          <w:u w:val="single"/>
          <w:lang w:val="en-US" w:eastAsia="zh-CN" w:bidi="ar"/>
        </w:rPr>
      </w:pPr>
    </w:p>
    <w:p w14:paraId="0D245901">
      <w:pPr>
        <w:shd w:val="clear"/>
        <w:rPr>
          <w:rFonts w:hint="eastAsia" w:ascii="宋体" w:hAnsi="宋体" w:eastAsia="宋体" w:cs="Times New Roman"/>
          <w:color w:val="auto"/>
          <w:kern w:val="0"/>
          <w:sz w:val="21"/>
          <w:szCs w:val="21"/>
          <w:highlight w:val="none"/>
          <w:u w:val="single"/>
          <w:lang w:val="en-US" w:eastAsia="zh-CN" w:bidi="ar"/>
        </w:rPr>
      </w:pPr>
    </w:p>
    <w:p w14:paraId="1255FE0A">
      <w:pPr>
        <w:shd w:val="clear"/>
        <w:rPr>
          <w:rFonts w:hint="eastAsia" w:ascii="宋体" w:hAnsi="宋体" w:eastAsia="宋体" w:cs="Times New Roman"/>
          <w:color w:val="auto"/>
          <w:kern w:val="0"/>
          <w:sz w:val="21"/>
          <w:szCs w:val="21"/>
          <w:highlight w:val="none"/>
          <w:u w:val="single"/>
          <w:lang w:val="en-US" w:eastAsia="zh-CN" w:bidi="ar"/>
        </w:rPr>
      </w:pPr>
    </w:p>
    <w:p w14:paraId="7B0E4C0E">
      <w:pPr>
        <w:shd w:val="clear"/>
        <w:rPr>
          <w:rFonts w:hint="eastAsia" w:ascii="宋体" w:hAnsi="宋体" w:eastAsia="宋体" w:cs="Times New Roman"/>
          <w:color w:val="auto"/>
          <w:kern w:val="0"/>
          <w:sz w:val="21"/>
          <w:szCs w:val="21"/>
          <w:highlight w:val="none"/>
          <w:u w:val="single"/>
          <w:lang w:val="en-US" w:eastAsia="zh-CN" w:bidi="ar"/>
        </w:rPr>
      </w:pPr>
    </w:p>
    <w:p w14:paraId="263FEB3B">
      <w:pPr>
        <w:shd w:val="clear"/>
        <w:rPr>
          <w:rFonts w:hint="eastAsia" w:ascii="宋体" w:hAnsi="宋体" w:eastAsia="宋体" w:cs="Times New Roman"/>
          <w:color w:val="auto"/>
          <w:kern w:val="0"/>
          <w:sz w:val="21"/>
          <w:szCs w:val="21"/>
          <w:highlight w:val="none"/>
          <w:u w:val="single"/>
          <w:lang w:val="en-US" w:eastAsia="zh-CN" w:bidi="ar"/>
        </w:rPr>
      </w:pPr>
    </w:p>
    <w:p w14:paraId="4D926B39">
      <w:pPr>
        <w:shd w:val="clear"/>
        <w:rPr>
          <w:rFonts w:hint="eastAsia" w:ascii="宋体" w:hAnsi="宋体" w:eastAsia="宋体" w:cs="Times New Roman"/>
          <w:color w:val="auto"/>
          <w:kern w:val="0"/>
          <w:sz w:val="21"/>
          <w:szCs w:val="21"/>
          <w:highlight w:val="none"/>
          <w:u w:val="single"/>
          <w:lang w:val="en-US" w:eastAsia="zh-CN" w:bidi="ar"/>
        </w:rPr>
      </w:pPr>
    </w:p>
    <w:p w14:paraId="564A1FA7">
      <w:pPr>
        <w:shd w:val="clear"/>
        <w:rPr>
          <w:rFonts w:hint="eastAsia" w:ascii="宋体" w:hAnsi="宋体" w:eastAsia="宋体" w:cs="Times New Roman"/>
          <w:color w:val="auto"/>
          <w:kern w:val="0"/>
          <w:sz w:val="21"/>
          <w:szCs w:val="21"/>
          <w:highlight w:val="none"/>
          <w:u w:val="single"/>
          <w:lang w:val="en-US" w:eastAsia="zh-CN" w:bidi="ar"/>
        </w:rPr>
      </w:pPr>
    </w:p>
    <w:p w14:paraId="7087A6D7">
      <w:pPr>
        <w:shd w:val="clear"/>
        <w:rPr>
          <w:rFonts w:hint="eastAsia" w:ascii="宋体" w:hAnsi="宋体" w:eastAsia="宋体" w:cs="Times New Roman"/>
          <w:color w:val="auto"/>
          <w:kern w:val="0"/>
          <w:sz w:val="21"/>
          <w:szCs w:val="21"/>
          <w:highlight w:val="none"/>
          <w:u w:val="single"/>
          <w:lang w:val="en-US" w:eastAsia="zh-CN" w:bidi="ar"/>
        </w:rPr>
      </w:pPr>
    </w:p>
    <w:p w14:paraId="1A806CCA">
      <w:pPr>
        <w:shd w:val="clear"/>
        <w:rPr>
          <w:rFonts w:hint="eastAsia" w:ascii="宋体" w:hAnsi="宋体" w:eastAsia="宋体" w:cs="Times New Roman"/>
          <w:color w:val="auto"/>
          <w:kern w:val="0"/>
          <w:sz w:val="21"/>
          <w:szCs w:val="21"/>
          <w:highlight w:val="none"/>
          <w:u w:val="single"/>
          <w:lang w:val="en-US" w:eastAsia="zh-CN" w:bidi="ar"/>
        </w:rPr>
      </w:pPr>
    </w:p>
    <w:p w14:paraId="380C4631">
      <w:pPr>
        <w:shd w:val="clear"/>
        <w:rPr>
          <w:rFonts w:hint="eastAsia" w:ascii="宋体" w:hAnsi="宋体" w:eastAsia="宋体" w:cs="Times New Roman"/>
          <w:color w:val="auto"/>
          <w:kern w:val="0"/>
          <w:sz w:val="21"/>
          <w:szCs w:val="21"/>
          <w:highlight w:val="none"/>
          <w:u w:val="single"/>
          <w:lang w:val="en-US" w:eastAsia="zh-CN" w:bidi="ar"/>
        </w:rPr>
      </w:pPr>
    </w:p>
    <w:p w14:paraId="0A4CDC31">
      <w:pPr>
        <w:shd w:val="clear"/>
        <w:rPr>
          <w:rFonts w:hint="eastAsia" w:ascii="宋体" w:hAnsi="宋体" w:eastAsia="宋体" w:cs="Times New Roman"/>
          <w:color w:val="auto"/>
          <w:kern w:val="0"/>
          <w:sz w:val="21"/>
          <w:szCs w:val="21"/>
          <w:highlight w:val="none"/>
          <w:u w:val="single"/>
          <w:lang w:val="en-US" w:eastAsia="zh-CN" w:bidi="ar"/>
        </w:rPr>
      </w:pPr>
    </w:p>
    <w:p w14:paraId="04D1423E">
      <w:pPr>
        <w:shd w:val="clear"/>
        <w:rPr>
          <w:rFonts w:hint="eastAsia" w:ascii="宋体" w:hAnsi="宋体" w:eastAsia="宋体" w:cs="Times New Roman"/>
          <w:color w:val="auto"/>
          <w:kern w:val="0"/>
          <w:sz w:val="21"/>
          <w:szCs w:val="21"/>
          <w:highlight w:val="none"/>
          <w:u w:val="single"/>
          <w:lang w:val="en-US" w:eastAsia="zh-CN" w:bidi="ar"/>
        </w:rPr>
      </w:pPr>
    </w:p>
    <w:p w14:paraId="74781F42">
      <w:pPr>
        <w:shd w:val="clear"/>
        <w:rPr>
          <w:rFonts w:hint="eastAsia" w:ascii="宋体" w:hAnsi="宋体" w:eastAsia="宋体" w:cs="Times New Roman"/>
          <w:color w:val="auto"/>
          <w:kern w:val="0"/>
          <w:sz w:val="21"/>
          <w:szCs w:val="21"/>
          <w:highlight w:val="none"/>
          <w:u w:val="single"/>
          <w:lang w:val="en-US" w:eastAsia="zh-CN" w:bidi="ar"/>
        </w:rPr>
      </w:pPr>
    </w:p>
    <w:p w14:paraId="0360FB1A">
      <w:pPr>
        <w:shd w:val="clear"/>
        <w:rPr>
          <w:rFonts w:hint="eastAsia" w:ascii="宋体" w:hAnsi="宋体" w:eastAsia="宋体" w:cs="Times New Roman"/>
          <w:color w:val="auto"/>
          <w:kern w:val="0"/>
          <w:sz w:val="21"/>
          <w:szCs w:val="21"/>
          <w:highlight w:val="none"/>
          <w:u w:val="single"/>
          <w:lang w:val="en-US" w:eastAsia="zh-CN" w:bidi="ar"/>
        </w:rPr>
      </w:pPr>
    </w:p>
    <w:p w14:paraId="3FE372C9">
      <w:pPr>
        <w:shd w:val="clear"/>
        <w:rPr>
          <w:rFonts w:hint="eastAsia" w:ascii="宋体" w:hAnsi="宋体" w:eastAsia="宋体" w:cs="Times New Roman"/>
          <w:color w:val="auto"/>
          <w:kern w:val="0"/>
          <w:sz w:val="21"/>
          <w:szCs w:val="21"/>
          <w:highlight w:val="none"/>
          <w:u w:val="single"/>
          <w:lang w:val="en-US" w:eastAsia="zh-CN" w:bidi="ar"/>
        </w:rPr>
      </w:pPr>
    </w:p>
    <w:p w14:paraId="7D7758EA">
      <w:pPr>
        <w:shd w:val="clear"/>
        <w:rPr>
          <w:rFonts w:hint="eastAsia" w:ascii="宋体" w:hAnsi="宋体" w:eastAsia="宋体" w:cs="Times New Roman"/>
          <w:color w:val="auto"/>
          <w:kern w:val="0"/>
          <w:sz w:val="21"/>
          <w:szCs w:val="21"/>
          <w:highlight w:val="none"/>
          <w:u w:val="single"/>
          <w:lang w:val="en-US" w:eastAsia="zh-CN" w:bidi="ar"/>
        </w:rPr>
      </w:pPr>
    </w:p>
    <w:p w14:paraId="726889DA">
      <w:pPr>
        <w:shd w:val="clear"/>
        <w:rPr>
          <w:rFonts w:hint="eastAsia" w:ascii="宋体" w:hAnsi="宋体" w:eastAsia="宋体" w:cs="Times New Roman"/>
          <w:color w:val="auto"/>
          <w:kern w:val="0"/>
          <w:sz w:val="21"/>
          <w:szCs w:val="21"/>
          <w:highlight w:val="none"/>
          <w:u w:val="single"/>
          <w:lang w:val="en-US" w:eastAsia="zh-CN" w:bidi="ar"/>
        </w:rPr>
      </w:pPr>
    </w:p>
    <w:p w14:paraId="4FA825DC">
      <w:pPr>
        <w:shd w:val="clear"/>
        <w:rPr>
          <w:rFonts w:hint="eastAsia" w:ascii="宋体" w:hAnsi="宋体" w:eastAsia="宋体" w:cs="Times New Roman"/>
          <w:color w:val="auto"/>
          <w:kern w:val="0"/>
          <w:sz w:val="21"/>
          <w:szCs w:val="21"/>
          <w:highlight w:val="none"/>
          <w:u w:val="single"/>
          <w:lang w:val="en-US" w:eastAsia="zh-CN" w:bidi="ar"/>
        </w:rPr>
      </w:pPr>
    </w:p>
    <w:p w14:paraId="5A8ACE26">
      <w:pPr>
        <w:shd w:val="clear"/>
        <w:rPr>
          <w:rFonts w:hint="eastAsia" w:ascii="宋体" w:hAnsi="宋体" w:eastAsia="宋体" w:cs="Times New Roman"/>
          <w:color w:val="auto"/>
          <w:kern w:val="0"/>
          <w:sz w:val="21"/>
          <w:szCs w:val="21"/>
          <w:highlight w:val="none"/>
          <w:u w:val="single"/>
          <w:lang w:val="en-US" w:eastAsia="zh-CN" w:bidi="ar"/>
        </w:rPr>
      </w:pPr>
    </w:p>
    <w:p w14:paraId="5EDDEC05">
      <w:pPr>
        <w:shd w:val="clear"/>
        <w:rPr>
          <w:rFonts w:hint="eastAsia" w:ascii="宋体" w:hAnsi="宋体" w:eastAsia="宋体" w:cs="Times New Roman"/>
          <w:color w:val="auto"/>
          <w:kern w:val="0"/>
          <w:sz w:val="21"/>
          <w:szCs w:val="21"/>
          <w:highlight w:val="none"/>
          <w:u w:val="single"/>
          <w:lang w:val="en-US" w:eastAsia="zh-CN" w:bidi="ar"/>
        </w:rPr>
      </w:pPr>
    </w:p>
    <w:p w14:paraId="65EFD028">
      <w:pPr>
        <w:pStyle w:val="10"/>
        <w:shd w:val="clear"/>
        <w:rPr>
          <w:rFonts w:hint="eastAsia"/>
          <w:color w:val="auto"/>
          <w:highlight w:val="none"/>
          <w:lang w:val="en-US" w:eastAsia="zh-CN"/>
        </w:rPr>
      </w:pPr>
    </w:p>
    <w:p w14:paraId="5CF5BD88">
      <w:pPr>
        <w:rPr>
          <w:rFonts w:hint="eastAsia"/>
          <w:color w:val="auto"/>
          <w:highlight w:val="none"/>
          <w:lang w:val="en-US" w:eastAsia="zh-CN"/>
        </w:rPr>
      </w:pPr>
    </w:p>
    <w:p w14:paraId="38E0F2A3">
      <w:pPr>
        <w:rPr>
          <w:rFonts w:hint="eastAsia"/>
          <w:color w:val="auto"/>
          <w:highlight w:val="none"/>
          <w:lang w:val="en-US" w:eastAsia="zh-CN"/>
        </w:rPr>
      </w:pPr>
    </w:p>
    <w:p w14:paraId="55E05F3C">
      <w:pPr>
        <w:rPr>
          <w:rFonts w:hint="eastAsia"/>
          <w:color w:val="auto"/>
          <w:highlight w:val="none"/>
          <w:lang w:val="en-US" w:eastAsia="zh-CN"/>
        </w:rPr>
      </w:pPr>
    </w:p>
    <w:p w14:paraId="0E54B0F6">
      <w:pPr>
        <w:rPr>
          <w:rFonts w:hint="eastAsia"/>
          <w:color w:val="auto"/>
          <w:highlight w:val="none"/>
          <w:lang w:val="en-US" w:eastAsia="zh-CN"/>
        </w:rPr>
      </w:pPr>
    </w:p>
    <w:p w14:paraId="42DF4A05">
      <w:pPr>
        <w:rPr>
          <w:rFonts w:hint="eastAsia"/>
          <w:color w:val="auto"/>
          <w:highlight w:val="none"/>
          <w:lang w:val="en-US" w:eastAsia="zh-CN"/>
        </w:rPr>
      </w:pPr>
    </w:p>
    <w:p w14:paraId="4AA25104">
      <w:pPr>
        <w:rPr>
          <w:rFonts w:hint="eastAsia"/>
          <w:color w:val="auto"/>
          <w:highlight w:val="none"/>
          <w:lang w:val="en-US" w:eastAsia="zh-CN"/>
        </w:rPr>
      </w:pPr>
    </w:p>
    <w:p w14:paraId="7B435DC0">
      <w:pPr>
        <w:rPr>
          <w:rFonts w:hint="eastAsia"/>
          <w:color w:val="auto"/>
          <w:highlight w:val="none"/>
          <w:lang w:val="en-US" w:eastAsia="zh-CN"/>
        </w:rPr>
      </w:pPr>
    </w:p>
    <w:p w14:paraId="459259E2">
      <w:pPr>
        <w:shd w:val="clear"/>
        <w:rPr>
          <w:rFonts w:hint="eastAsia" w:ascii="宋体" w:hAnsi="宋体" w:eastAsia="宋体" w:cs="Times New Roman"/>
          <w:color w:val="auto"/>
          <w:kern w:val="0"/>
          <w:sz w:val="21"/>
          <w:szCs w:val="21"/>
          <w:highlight w:val="none"/>
          <w:u w:val="single"/>
          <w:lang w:val="en-US" w:eastAsia="zh-CN" w:bidi="ar"/>
        </w:rPr>
      </w:pPr>
    </w:p>
    <w:p w14:paraId="4C8239DB">
      <w:pPr>
        <w:pStyle w:val="10"/>
        <w:shd w:val="clear"/>
        <w:rPr>
          <w:rFonts w:hint="eastAsia"/>
          <w:color w:val="auto"/>
          <w:highlight w:val="none"/>
        </w:rPr>
      </w:pPr>
    </w:p>
    <w:p w14:paraId="0FBF099F">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3</w:t>
      </w:r>
      <w:r>
        <w:rPr>
          <w:rFonts w:hint="eastAsia" w:ascii="宋体" w:hAnsi="宋体" w:eastAsia="宋体" w:cs="宋体"/>
          <w:b/>
          <w:bCs w:val="0"/>
          <w:color w:val="auto"/>
          <w:kern w:val="0"/>
          <w:sz w:val="36"/>
          <w:szCs w:val="36"/>
          <w:highlight w:val="none"/>
          <w:lang w:val="en-US" w:eastAsia="zh-CN" w:bidi="ar"/>
        </w:rPr>
        <w:t>：预付款支付申请（核准）表</w:t>
      </w:r>
    </w:p>
    <w:p w14:paraId="38F6BA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79"/>
        <w:gridCol w:w="4606"/>
      </w:tblGrid>
      <w:tr w14:paraId="7B1B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AE497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27EFFDFF">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p>
          <w:p w14:paraId="06D7849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元，请予核准。</w:t>
            </w:r>
          </w:p>
          <w:tbl>
            <w:tblPr>
              <w:tblStyle w:val="24"/>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063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4D28D6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72185BD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15B169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25FFB7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C1FC0E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15FA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F7302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2C0AD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0BD54E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B6A22F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A5D53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D3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890058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0225A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995BDE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F7071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4924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2D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CFFF6D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404E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83A88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61843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668BD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D0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0BF1B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39A2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5EE1C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0838B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A2FCD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8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9061C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F6340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A800F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62E2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230EAD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67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FD261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7FA6DB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5C92D5D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0E722E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9671D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3EBC8DE9">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1722427E">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16DF2BDB">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77F6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B9A9959">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DB36F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625DA462">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5E56C9B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9E83E0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5848F4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294A9CA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CEC267C">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2365E92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w:t>
            </w:r>
          </w:p>
          <w:p w14:paraId="28C65C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3F407A2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F8FE9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FEC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C87CA78">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07E91831">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5C3F926">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0D7DA1A">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4B15A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12AB0B4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3900545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9ED8135">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65DD173">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p>
    <w:p w14:paraId="522A9BE7">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35A7DCAF">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13CA06B3">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4</w:t>
      </w:r>
      <w:r>
        <w:rPr>
          <w:rFonts w:hint="eastAsia" w:ascii="仿宋_GB2312" w:hAnsi="Times New Roman" w:eastAsia="仿宋_GB2312" w:cs="仿宋_GB2312"/>
          <w:color w:val="auto"/>
          <w:kern w:val="0"/>
          <w:sz w:val="30"/>
          <w:szCs w:val="30"/>
          <w:highlight w:val="none"/>
          <w:lang w:val="en-US" w:eastAsia="zh-CN" w:bidi="ar"/>
        </w:rPr>
        <w:t>：</w:t>
      </w:r>
    </w:p>
    <w:p w14:paraId="2B11D6A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53C718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5E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1AD8C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5B74F2F3">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我方于至期间已完成了工作，根据施工合同的约定，现申请支付本期的合同款额为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163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AC0BC1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143EED9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65DFBD5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0B4DC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E82198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483432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4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B01C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26C52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3B8FF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F3BFED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A45D3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FCFD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6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CF92D2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644F1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DA65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A05FD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2C7D0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646DA3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2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80C7B8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8C3CC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0574807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A65D5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233BC8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8027C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26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48A0C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9FA510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7D486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289A6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1C904D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CA825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B0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0C3F5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92F073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5A274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486AA2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799CA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A2036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E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0DDD4A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FCF94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59A123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9DD72F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6B30B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DB37D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60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3FDCA7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2672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4E3DC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E12E53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B45A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878A6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AB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CB26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24244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36C92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052DE3C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7F85C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0E5774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2C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D0379A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00FF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5FDE8A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9D94C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49D966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F035B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3B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C99CE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ABFC2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4B9E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0B19B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55E99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011D82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5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0B81CF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E3F5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7A565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7FD4F4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4AB34F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839EA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0DC6613">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06465B4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045FE107">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3A7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40FCD5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3C8F84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6EFB5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0AECA6D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39A991B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2805323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0CEF046">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93C0E0F">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30DADD1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元，本期间应支付金额为（大写）</w:t>
            </w:r>
          </w:p>
          <w:p w14:paraId="1D5B03D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元，（小写）元。</w:t>
            </w:r>
          </w:p>
          <w:p w14:paraId="08A9F08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0C4720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5AF4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A3F209">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28D8E9A">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343509B">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F3B3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4795E6B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79BD5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4E6B07E0">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688916C">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F31277B">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5</w:t>
      </w:r>
    </w:p>
    <w:p w14:paraId="33979D8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547A12C0">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3"/>
        <w:gridCol w:w="4529"/>
      </w:tblGrid>
      <w:tr w14:paraId="3E5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6C1C60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192657A5">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我方于至期间已完成了合同约定的工作，根据施工合同的约定，现申请支付竣工结算的工程款额为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5F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C0B69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2138D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E21EEC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0CA0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5B2103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0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F0A8C9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35F6A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C95D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DCED5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32141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74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A7781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ADC9E5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224AE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F56C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5D7619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B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9AE71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F4CA8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E3E08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AFC30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7860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F63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EAE30C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CE018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267B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9BC23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11742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4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5FB2F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877A76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BD75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092670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CF1DFF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E9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4D5EF5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96CE7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D784A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7C691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4406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AD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1AE68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1C696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E3CA25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93AD0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4D0C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79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F981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725440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F3CD01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588AC2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D9097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5EF98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9A5F7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E98D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C407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B5A6C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61174E0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6E11785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D7574AD">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4D0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AE9195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85FBB8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0DB4C5A">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7F917B66">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2A89A6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A60420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6C1B7B6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F7E7A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C7148EA">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6FD82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元，（小写）元，扣除前期支付以及质量保证金后应支付金额为（大写）元，（小写）元。</w:t>
            </w:r>
          </w:p>
          <w:p w14:paraId="28D87C3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1BA85F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6EABADE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8B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F6531F3">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3DD79A17">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9AF5A8">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0F2EB73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E5E078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BBAB5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2558EDED">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28DF1FC0">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44C12F3">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r>
        <w:rPr>
          <w:rFonts w:hint="eastAsia" w:ascii="宋体" w:hAnsi="宋体" w:eastAsia="宋体" w:cs="宋体"/>
          <w:color w:val="auto"/>
          <w:kern w:val="0"/>
          <w:sz w:val="30"/>
          <w:szCs w:val="30"/>
          <w:highlight w:val="none"/>
          <w:lang w:val="en-US" w:eastAsia="zh-CN" w:bidi="ar"/>
        </w:rPr>
        <w:t>：</w:t>
      </w:r>
    </w:p>
    <w:p w14:paraId="799496B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59385FDF">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4"/>
        <w:gridCol w:w="4528"/>
      </w:tblGrid>
      <w:tr w14:paraId="2AF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D0E8A8E">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40213274">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我方于至期间已完成了缺陷修复工作，根据施工合同的约定，现申请支付最终结清合同款额为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690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89C5FE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381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890C54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51BEC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494F8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6A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5F5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C8CF40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DB3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C62B6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07482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6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0ED07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E0837D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6C952D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6DF27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7428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1E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48A3DA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7E87D5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279C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FAF0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0515A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58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971CD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DE963E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E76FE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33C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00F4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0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EEA263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578C6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4606A8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0CC1E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370E7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34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A891B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D0B830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C3A0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317D88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8111EE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0E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03DC5B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8902B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E331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B4049A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7D35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05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804CA4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3EA3A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96CF4A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AFCBF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E6DF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B08287A">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7B3F3CC">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67E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6A4296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1228F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9C981B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480355E7">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4086427E">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0B878CF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5EE461B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B5C48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3C20911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A7599F8">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你方提出的支付申请经复核，最终应支付金额为（大写）元，（小写）元。</w:t>
            </w:r>
          </w:p>
          <w:p w14:paraId="72D5FF2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574977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170FF9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7F5322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475E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D5B85B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4AC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86E5EB4">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7517B9CD">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73A24E0">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E79CA9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9B5924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12DC8A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74B5B078">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在选择栏中的“□”内作标识“√”。如监理人已退场，监理工程师栏可空缺。</w:t>
      </w:r>
    </w:p>
    <w:p w14:paraId="57F39691">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0D579C84">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p>
    <w:p w14:paraId="38D2AAB1">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34583E8">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6900202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EDDB20E">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4FD535D5">
      <w:pPr>
        <w:pStyle w:val="20"/>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797F61C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Times New Roman"/>
          <w:color w:val="auto"/>
          <w:sz w:val="21"/>
          <w:szCs w:val="21"/>
          <w:highlight w:val="none"/>
          <w:u w:val="single"/>
        </w:rPr>
      </w:pPr>
    </w:p>
    <w:p w14:paraId="6900C4BC">
      <w:pPr>
        <w:pStyle w:val="2"/>
        <w:rPr>
          <w:rFonts w:hint="eastAsia" w:ascii="宋体" w:hAnsi="宋体" w:eastAsia="宋体" w:cs="Times New Roman"/>
          <w:color w:val="auto"/>
          <w:sz w:val="21"/>
          <w:szCs w:val="21"/>
          <w:highlight w:val="none"/>
          <w:u w:val="single"/>
        </w:rPr>
      </w:pPr>
    </w:p>
    <w:p w14:paraId="77BC8128">
      <w:pPr>
        <w:pStyle w:val="2"/>
        <w:rPr>
          <w:rFonts w:hint="eastAsia" w:ascii="宋体" w:hAnsi="宋体" w:eastAsia="宋体" w:cs="Times New Roman"/>
          <w:color w:val="auto"/>
          <w:sz w:val="21"/>
          <w:szCs w:val="21"/>
          <w:highlight w:val="none"/>
          <w:u w:val="single"/>
        </w:rPr>
      </w:pPr>
    </w:p>
    <w:p w14:paraId="507A5CAF">
      <w:pPr>
        <w:pStyle w:val="2"/>
        <w:rPr>
          <w:rFonts w:hint="eastAsia" w:ascii="宋体" w:hAnsi="宋体" w:eastAsia="宋体" w:cs="Times New Roman"/>
          <w:color w:val="auto"/>
          <w:sz w:val="21"/>
          <w:szCs w:val="21"/>
          <w:highlight w:val="none"/>
          <w:u w:val="single"/>
        </w:rPr>
      </w:pPr>
    </w:p>
    <w:p w14:paraId="69D522AB">
      <w:pPr>
        <w:pStyle w:val="2"/>
        <w:rPr>
          <w:rFonts w:hint="eastAsia" w:ascii="宋体" w:hAnsi="宋体" w:eastAsia="宋体" w:cs="Times New Roman"/>
          <w:color w:val="auto"/>
          <w:sz w:val="21"/>
          <w:szCs w:val="21"/>
          <w:highlight w:val="none"/>
          <w:u w:val="single"/>
        </w:rPr>
      </w:pPr>
    </w:p>
    <w:p w14:paraId="07FC07E8">
      <w:pPr>
        <w:pStyle w:val="2"/>
        <w:rPr>
          <w:rFonts w:hint="eastAsia" w:ascii="宋体" w:hAnsi="宋体" w:eastAsia="宋体" w:cs="Times New Roman"/>
          <w:color w:val="auto"/>
          <w:sz w:val="21"/>
          <w:szCs w:val="21"/>
          <w:highlight w:val="none"/>
          <w:u w:val="single"/>
        </w:rPr>
      </w:pPr>
    </w:p>
    <w:p w14:paraId="73CA4A06">
      <w:pPr>
        <w:pStyle w:val="2"/>
        <w:rPr>
          <w:rFonts w:hint="eastAsia" w:ascii="宋体" w:hAnsi="宋体" w:eastAsia="宋体" w:cs="Times New Roman"/>
          <w:color w:val="auto"/>
          <w:sz w:val="21"/>
          <w:szCs w:val="21"/>
          <w:highlight w:val="none"/>
          <w:u w:val="single"/>
        </w:rPr>
      </w:pPr>
    </w:p>
    <w:p w14:paraId="48BEF679">
      <w:pPr>
        <w:pStyle w:val="2"/>
        <w:rPr>
          <w:rFonts w:hint="eastAsia" w:ascii="宋体" w:hAnsi="宋体" w:eastAsia="宋体" w:cs="Times New Roman"/>
          <w:color w:val="auto"/>
          <w:sz w:val="21"/>
          <w:szCs w:val="21"/>
          <w:highlight w:val="none"/>
          <w:u w:val="single"/>
        </w:rPr>
      </w:pPr>
    </w:p>
    <w:p w14:paraId="4BE74FF7">
      <w:pPr>
        <w:pStyle w:val="2"/>
        <w:rPr>
          <w:rFonts w:hint="eastAsia" w:ascii="宋体" w:hAnsi="宋体" w:eastAsia="宋体" w:cs="Times New Roman"/>
          <w:color w:val="auto"/>
          <w:sz w:val="21"/>
          <w:szCs w:val="21"/>
          <w:highlight w:val="none"/>
          <w:u w:val="single"/>
        </w:rPr>
      </w:pPr>
    </w:p>
    <w:p w14:paraId="47BC373B">
      <w:pPr>
        <w:pStyle w:val="2"/>
        <w:rPr>
          <w:rFonts w:hint="eastAsia" w:ascii="宋体" w:hAnsi="宋体" w:eastAsia="宋体" w:cs="Times New Roman"/>
          <w:color w:val="auto"/>
          <w:sz w:val="21"/>
          <w:szCs w:val="21"/>
          <w:highlight w:val="none"/>
          <w:u w:val="single"/>
        </w:rPr>
      </w:pPr>
    </w:p>
    <w:p w14:paraId="69310DF4">
      <w:pPr>
        <w:pStyle w:val="2"/>
        <w:rPr>
          <w:rFonts w:hint="eastAsia" w:ascii="宋体" w:hAnsi="宋体" w:eastAsia="宋体" w:cs="Times New Roman"/>
          <w:color w:val="auto"/>
          <w:sz w:val="21"/>
          <w:szCs w:val="21"/>
          <w:highlight w:val="none"/>
          <w:u w:val="single"/>
        </w:rPr>
      </w:pPr>
    </w:p>
    <w:p w14:paraId="6D981B0E">
      <w:pPr>
        <w:pStyle w:val="2"/>
        <w:rPr>
          <w:rFonts w:hint="eastAsia" w:ascii="宋体" w:hAnsi="宋体" w:eastAsia="宋体" w:cs="Times New Roman"/>
          <w:color w:val="auto"/>
          <w:sz w:val="21"/>
          <w:szCs w:val="21"/>
          <w:highlight w:val="none"/>
          <w:u w:val="single"/>
        </w:rPr>
      </w:pPr>
    </w:p>
    <w:p w14:paraId="6A3B9EFD">
      <w:pPr>
        <w:pStyle w:val="2"/>
        <w:rPr>
          <w:rFonts w:hint="eastAsia" w:ascii="宋体" w:hAnsi="宋体" w:eastAsia="宋体" w:cs="Times New Roman"/>
          <w:color w:val="auto"/>
          <w:sz w:val="21"/>
          <w:szCs w:val="21"/>
          <w:highlight w:val="none"/>
          <w:u w:val="single"/>
        </w:rPr>
      </w:pPr>
    </w:p>
    <w:p w14:paraId="12781EF1">
      <w:pPr>
        <w:pStyle w:val="2"/>
        <w:rPr>
          <w:rFonts w:hint="eastAsia" w:ascii="宋体" w:hAnsi="宋体" w:eastAsia="宋体" w:cs="Times New Roman"/>
          <w:color w:val="auto"/>
          <w:sz w:val="21"/>
          <w:szCs w:val="21"/>
          <w:highlight w:val="none"/>
          <w:u w:val="single"/>
        </w:rPr>
      </w:pPr>
    </w:p>
    <w:p w14:paraId="2DD00B1C">
      <w:pPr>
        <w:pStyle w:val="2"/>
        <w:rPr>
          <w:rFonts w:hint="eastAsia" w:ascii="宋体" w:hAnsi="宋体" w:eastAsia="宋体" w:cs="Times New Roman"/>
          <w:color w:val="auto"/>
          <w:sz w:val="21"/>
          <w:szCs w:val="21"/>
          <w:highlight w:val="none"/>
          <w:u w:val="single"/>
        </w:rPr>
      </w:pPr>
    </w:p>
    <w:p w14:paraId="42158484">
      <w:pPr>
        <w:pStyle w:val="2"/>
        <w:rPr>
          <w:rFonts w:hint="eastAsia" w:ascii="宋体" w:hAnsi="宋体" w:eastAsia="宋体" w:cs="Times New Roman"/>
          <w:color w:val="auto"/>
          <w:sz w:val="21"/>
          <w:szCs w:val="21"/>
          <w:highlight w:val="none"/>
          <w:u w:val="single"/>
        </w:rPr>
      </w:pPr>
    </w:p>
    <w:p w14:paraId="62D9D5F9">
      <w:pPr>
        <w:pStyle w:val="2"/>
        <w:rPr>
          <w:rFonts w:hint="eastAsia" w:ascii="宋体" w:hAnsi="宋体" w:eastAsia="宋体" w:cs="Times New Roman"/>
          <w:color w:val="auto"/>
          <w:sz w:val="21"/>
          <w:szCs w:val="21"/>
          <w:highlight w:val="none"/>
          <w:u w:val="single"/>
        </w:rPr>
      </w:pPr>
    </w:p>
    <w:p w14:paraId="767223BE">
      <w:pPr>
        <w:pStyle w:val="2"/>
        <w:rPr>
          <w:rFonts w:hint="eastAsia" w:ascii="宋体" w:hAnsi="宋体" w:eastAsia="宋体" w:cs="Times New Roman"/>
          <w:color w:val="auto"/>
          <w:sz w:val="21"/>
          <w:szCs w:val="21"/>
          <w:highlight w:val="none"/>
          <w:u w:val="single"/>
        </w:rPr>
      </w:pPr>
    </w:p>
    <w:p w14:paraId="5DF2C1D1">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p>
    <w:p w14:paraId="64175EF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p>
    <w:p w14:paraId="3E2060DB">
      <w:pPr>
        <w:keepNext w:val="0"/>
        <w:keepLines w:val="0"/>
        <w:widowControl w:val="0"/>
        <w:suppressLineNumbers w:val="0"/>
        <w:shd w:val="clear"/>
        <w:spacing w:before="0" w:beforeAutospacing="0" w:after="0" w:afterAutospacing="0" w:line="360" w:lineRule="auto"/>
        <w:ind w:left="0" w:right="0"/>
        <w:jc w:val="left"/>
        <w:rPr>
          <w:rFonts w:ascii="宋体" w:hAnsi="宋体"/>
          <w:color w:val="auto"/>
          <w:highlight w:val="none"/>
        </w:rPr>
      </w:pPr>
    </w:p>
    <w:p w14:paraId="2F9AB843">
      <w:pPr>
        <w:pStyle w:val="34"/>
        <w:shd w:val="clear"/>
        <w:spacing w:line="360" w:lineRule="auto"/>
        <w:jc w:val="center"/>
        <w:outlineLvl w:val="0"/>
        <w:rPr>
          <w:rFonts w:hint="eastAsia" w:eastAsia="宋体"/>
          <w:color w:val="auto"/>
          <w:szCs w:val="21"/>
          <w:highlight w:val="none"/>
          <w:lang w:eastAsia="zh-CN"/>
        </w:rPr>
      </w:pPr>
      <w:bookmarkStart w:id="1374" w:name="_Toc14935"/>
      <w:r>
        <w:rPr>
          <w:rFonts w:ascii="宋体" w:hAnsi="宋体"/>
          <w:b/>
          <w:color w:val="auto"/>
          <w:sz w:val="32"/>
          <w:szCs w:val="32"/>
          <w:highlight w:val="none"/>
        </w:rPr>
        <w:t>第六章</w:t>
      </w:r>
      <w:bookmarkEnd w:id="1374"/>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lang w:eastAsia="zh-CN"/>
        </w:rPr>
        <w:t>评分办法和标准</w:t>
      </w:r>
    </w:p>
    <w:p w14:paraId="62A44828">
      <w:pPr>
        <w:pStyle w:val="6"/>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一、评审原则</w:t>
      </w:r>
    </w:p>
    <w:p w14:paraId="346C6A8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公平、公正、科学、择优原则</w:t>
      </w:r>
      <w:r>
        <w:rPr>
          <w:rFonts w:hint="default" w:ascii="Segoe UI" w:hAnsi="Segoe UI" w:eastAsia="Segoe UI" w:cs="Segoe UI"/>
          <w:i w:val="0"/>
          <w:iCs w:val="0"/>
          <w:caps w:val="0"/>
          <w:color w:val="0F1115"/>
          <w:spacing w:val="0"/>
          <w:sz w:val="21"/>
          <w:szCs w:val="21"/>
          <w:highlight w:val="none"/>
          <w:shd w:val="clear" w:fill="FFFFFF"/>
        </w:rPr>
        <w:t>：磋商小组将依法独立评审，仅依据响应文件、磋商情况及本评分办法，对供应商进行综合比较，不受任何外部因素干扰。</w:t>
      </w:r>
    </w:p>
    <w:p w14:paraId="3EE41DB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保密原则</w:t>
      </w:r>
      <w:r>
        <w:rPr>
          <w:rFonts w:hint="default" w:ascii="Segoe UI" w:hAnsi="Segoe UI" w:eastAsia="Segoe UI" w:cs="Segoe UI"/>
          <w:i w:val="0"/>
          <w:iCs w:val="0"/>
          <w:caps w:val="0"/>
          <w:color w:val="0F1115"/>
          <w:spacing w:val="0"/>
          <w:sz w:val="21"/>
          <w:szCs w:val="21"/>
          <w:highlight w:val="none"/>
          <w:shd w:val="clear" w:fill="FFFFFF"/>
        </w:rPr>
        <w:t>：评审活动在严格保密的情况下进行。磋商小组成员及相关工作人员</w:t>
      </w:r>
      <w:r>
        <w:rPr>
          <w:rFonts w:hint="eastAsia" w:ascii="Segoe UI" w:hAnsi="Segoe UI" w:eastAsia="宋体" w:cs="Segoe UI"/>
          <w:i w:val="0"/>
          <w:iCs w:val="0"/>
          <w:caps w:val="0"/>
          <w:color w:val="0F1115"/>
          <w:spacing w:val="0"/>
          <w:sz w:val="21"/>
          <w:szCs w:val="21"/>
          <w:highlight w:val="none"/>
          <w:shd w:val="clear" w:fill="FFFFFF"/>
          <w:lang w:eastAsia="zh-CN"/>
        </w:rPr>
        <w:t>不得透露评审情况、评审过程中获悉的商业秘密及与评审有关的其他信息。</w:t>
      </w:r>
      <w:r>
        <w:rPr>
          <w:rFonts w:hint="default" w:ascii="Segoe UI" w:hAnsi="Segoe UI" w:eastAsia="Segoe UI" w:cs="Segoe UI"/>
          <w:i w:val="0"/>
          <w:iCs w:val="0"/>
          <w:caps w:val="0"/>
          <w:color w:val="0F1115"/>
          <w:spacing w:val="0"/>
          <w:sz w:val="21"/>
          <w:szCs w:val="21"/>
          <w:highlight w:val="none"/>
          <w:shd w:val="clear" w:fill="FFFFFF"/>
        </w:rPr>
        <w:t>。</w:t>
      </w:r>
    </w:p>
    <w:p w14:paraId="5DEBD45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7"/>
          <w:rFonts w:hint="default" w:ascii="Segoe UI" w:hAnsi="Segoe UI" w:eastAsia="Segoe UI" w:cs="Segoe UI"/>
          <w:b/>
          <w:bCs/>
          <w:i w:val="0"/>
          <w:iCs w:val="0"/>
          <w:caps w:val="0"/>
          <w:color w:val="0F1115"/>
          <w:spacing w:val="0"/>
          <w:sz w:val="21"/>
          <w:szCs w:val="21"/>
          <w:highlight w:val="none"/>
          <w:shd w:val="clear" w:fill="FFFFFF"/>
        </w:rPr>
        <w:t>量化比较原则</w:t>
      </w:r>
      <w:r>
        <w:rPr>
          <w:rFonts w:hint="default" w:ascii="Segoe UI" w:hAnsi="Segoe UI" w:eastAsia="Segoe UI" w:cs="Segoe UI"/>
          <w:i w:val="0"/>
          <w:iCs w:val="0"/>
          <w:caps w:val="0"/>
          <w:color w:val="0F1115"/>
          <w:spacing w:val="0"/>
          <w:sz w:val="21"/>
          <w:szCs w:val="21"/>
          <w:highlight w:val="none"/>
          <w:shd w:val="clear" w:fill="FFFFFF"/>
        </w:rPr>
        <w:t>：评审采用综合评分法，对供应商的技术、商务、报价等进行量化打分，以总分高低排序推荐成交候选人。</w:t>
      </w:r>
    </w:p>
    <w:p w14:paraId="157EEF50">
      <w:pPr>
        <w:pStyle w:val="6"/>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二、评审组织与程序</w:t>
      </w:r>
    </w:p>
    <w:p w14:paraId="047434E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磋商小组组成</w:t>
      </w:r>
      <w:r>
        <w:rPr>
          <w:rFonts w:hint="default" w:ascii="Segoe UI" w:hAnsi="Segoe UI" w:eastAsia="Segoe UI" w:cs="Segoe UI"/>
          <w:i w:val="0"/>
          <w:iCs w:val="0"/>
          <w:caps w:val="0"/>
          <w:color w:val="0F1115"/>
          <w:spacing w:val="0"/>
          <w:sz w:val="21"/>
          <w:szCs w:val="21"/>
          <w:highlight w:val="none"/>
          <w:shd w:val="clear" w:fill="FFFFFF"/>
        </w:rPr>
        <w:t>：由采购人代表和从政府采购专家库中随机抽取的评审专家组成，成员总数为3人。</w:t>
      </w:r>
    </w:p>
    <w:p w14:paraId="3D34224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评审程序</w:t>
      </w:r>
      <w:r>
        <w:rPr>
          <w:rFonts w:hint="default" w:ascii="Segoe UI" w:hAnsi="Segoe UI" w:eastAsia="Segoe UI" w:cs="Segoe UI"/>
          <w:i w:val="0"/>
          <w:iCs w:val="0"/>
          <w:caps w:val="0"/>
          <w:color w:val="0F1115"/>
          <w:spacing w:val="0"/>
          <w:sz w:val="21"/>
          <w:szCs w:val="21"/>
          <w:highlight w:val="none"/>
          <w:shd w:val="clear" w:fill="FFFFFF"/>
        </w:rPr>
        <w:t>：整个评审过程分为</w:t>
      </w:r>
      <w:r>
        <w:rPr>
          <w:rStyle w:val="27"/>
          <w:rFonts w:hint="default" w:ascii="Segoe UI" w:hAnsi="Segoe UI" w:eastAsia="Segoe UI" w:cs="Segoe UI"/>
          <w:b/>
          <w:bCs/>
          <w:i w:val="0"/>
          <w:iCs w:val="0"/>
          <w:caps w:val="0"/>
          <w:color w:val="0F1115"/>
          <w:spacing w:val="0"/>
          <w:sz w:val="21"/>
          <w:szCs w:val="21"/>
          <w:highlight w:val="none"/>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highlight w:val="none"/>
          <w:shd w:val="clear" w:fill="FFFFFF"/>
        </w:rPr>
        <w:t>五个阶段。</w:t>
      </w:r>
    </w:p>
    <w:p w14:paraId="5D22A785">
      <w:pPr>
        <w:pStyle w:val="6"/>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三、详细评审步骤</w:t>
      </w:r>
    </w:p>
    <w:p w14:paraId="0C87F8D0">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第一阶段：资格性审查</w:t>
      </w:r>
    </w:p>
    <w:p w14:paraId="42635CB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：磋商小组依据竞争性磋商公告及供应商须知中的要求，对供应商的响应文件资格部分进行审查。</w:t>
      </w:r>
    </w:p>
    <w:p w14:paraId="7A127BE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：通过资格审查的供应商进入下一阶段。未通过的，其响应文件按无效处理，不再进入后续评审。</w:t>
      </w:r>
    </w:p>
    <w:p w14:paraId="480C93C6">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第二阶段：符合性审查</w:t>
      </w:r>
    </w:p>
    <w:p w14:paraId="3AA6718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审查内容</w:t>
      </w:r>
      <w:r>
        <w:rPr>
          <w:rFonts w:hint="default" w:ascii="Segoe UI" w:hAnsi="Segoe UI" w:eastAsia="Segoe UI" w:cs="Segoe UI"/>
          <w:i w:val="0"/>
          <w:iCs w:val="0"/>
          <w:caps w:val="0"/>
          <w:color w:val="0F1115"/>
          <w:spacing w:val="0"/>
          <w:sz w:val="21"/>
          <w:szCs w:val="21"/>
          <w:highlight w:val="none"/>
          <w:shd w:val="clear" w:fill="FFFFFF"/>
        </w:rPr>
        <w:t>：磋商小组审查通过资格审查的响应文件是否对竞争性磋商文件的实质性要求作出响应。</w:t>
      </w:r>
    </w:p>
    <w:p w14:paraId="06FFA1C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结果处理</w:t>
      </w:r>
      <w:r>
        <w:rPr>
          <w:rFonts w:hint="default" w:ascii="Segoe UI" w:hAnsi="Segoe UI" w:eastAsia="Segoe UI" w:cs="Segoe UI"/>
          <w:i w:val="0"/>
          <w:iCs w:val="0"/>
          <w:caps w:val="0"/>
          <w:color w:val="0F1115"/>
          <w:spacing w:val="0"/>
          <w:sz w:val="21"/>
          <w:szCs w:val="21"/>
          <w:highlight w:val="none"/>
          <w:shd w:val="clear" w:fill="FFFFFF"/>
        </w:rPr>
        <w:t>：通过符合性审查的供应商进入下一阶段（磋商）。未通过的，其响应文件按无效处理。</w:t>
      </w:r>
    </w:p>
    <w:p w14:paraId="1C3FB71B">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第三阶段：磋商环节</w:t>
      </w:r>
    </w:p>
    <w:p w14:paraId="3B9A2BF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磋商目的</w:t>
      </w:r>
      <w:r>
        <w:rPr>
          <w:rFonts w:hint="default" w:ascii="Segoe UI" w:hAnsi="Segoe UI" w:eastAsia="Segoe UI" w:cs="Segoe UI"/>
          <w:i w:val="0"/>
          <w:iCs w:val="0"/>
          <w:caps w:val="0"/>
          <w:color w:val="0F1115"/>
          <w:spacing w:val="0"/>
          <w:sz w:val="21"/>
          <w:szCs w:val="21"/>
          <w:highlight w:val="none"/>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磋商内容</w:t>
      </w:r>
      <w:r>
        <w:rPr>
          <w:rFonts w:hint="default" w:ascii="Segoe UI" w:hAnsi="Segoe UI" w:eastAsia="Segoe UI" w:cs="Segoe UI"/>
          <w:i w:val="0"/>
          <w:iCs w:val="0"/>
          <w:caps w:val="0"/>
          <w:color w:val="0F1115"/>
          <w:spacing w:val="0"/>
          <w:sz w:val="21"/>
          <w:szCs w:val="21"/>
          <w:highlight w:val="none"/>
          <w:shd w:val="clear" w:fill="FFFFFF"/>
        </w:rPr>
        <w:t>：</w:t>
      </w:r>
    </w:p>
    <w:p w14:paraId="50861451">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磋商小组将审阅供应商的《施工组织设计》等技术文件，可就其中的施工方法、重难点分析、进度计划等进行提问。</w:t>
      </w:r>
    </w:p>
    <w:p w14:paraId="7A68FEDF">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供应商应在线对相关问题进行澄清、说明或补充。</w:t>
      </w:r>
    </w:p>
    <w:p w14:paraId="37665EA3">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磋商小组可根据磋商情况，对技术需求、服务要求等进行实质性变动（不变动磋商文件的其他内容），并以书面形式通知所有参与磋商的供应商。</w:t>
      </w:r>
    </w:p>
    <w:p w14:paraId="66C1391A">
      <w:pPr>
        <w:pStyle w:val="20"/>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供应商应根据变动要求，在规定时间内重新提交修正后的技术响应文件。</w:t>
      </w:r>
    </w:p>
    <w:p w14:paraId="734411F2">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highlight w:val="none"/>
          <w:shd w:val="clear" w:fill="FFFFFF"/>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7"/>
          <w:rFonts w:hint="default" w:ascii="Segoe UI" w:hAnsi="Segoe UI" w:eastAsia="Segoe UI" w:cs="Segoe UI"/>
          <w:b/>
          <w:bCs/>
          <w:i w:val="0"/>
          <w:iCs w:val="0"/>
          <w:caps w:val="0"/>
          <w:color w:val="0F1115"/>
          <w:spacing w:val="0"/>
          <w:sz w:val="21"/>
          <w:szCs w:val="21"/>
          <w:highlight w:val="none"/>
          <w:shd w:val="clear" w:fill="FFFFFF"/>
        </w:rPr>
        <w:t>记录与确认</w:t>
      </w:r>
      <w:r>
        <w:rPr>
          <w:rFonts w:hint="default" w:ascii="Segoe UI" w:hAnsi="Segoe UI" w:eastAsia="Segoe UI" w:cs="Segoe UI"/>
          <w:i w:val="0"/>
          <w:iCs w:val="0"/>
          <w:caps w:val="0"/>
          <w:color w:val="0F1115"/>
          <w:spacing w:val="0"/>
          <w:sz w:val="21"/>
          <w:szCs w:val="21"/>
          <w:highlight w:val="none"/>
          <w:shd w:val="clear" w:fill="FFFFFF"/>
        </w:rPr>
        <w:t>：磋商过程及内容由</w:t>
      </w:r>
      <w:r>
        <w:rPr>
          <w:rFonts w:hint="eastAsia" w:ascii="Segoe UI" w:hAnsi="Segoe UI" w:eastAsia="宋体" w:cs="Segoe UI"/>
          <w:i w:val="0"/>
          <w:iCs w:val="0"/>
          <w:caps w:val="0"/>
          <w:color w:val="0F1115"/>
          <w:spacing w:val="0"/>
          <w:sz w:val="21"/>
          <w:szCs w:val="21"/>
          <w:highlight w:val="none"/>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highlight w:val="none"/>
          <w:shd w:val="clear" w:fill="FFFFFF"/>
        </w:rPr>
        <w:t>并经供应商在线确认。</w:t>
      </w:r>
    </w:p>
    <w:p w14:paraId="612E15C0">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第四阶段：</w:t>
      </w: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下一轮</w:t>
      </w:r>
      <w:r>
        <w:rPr>
          <w:rStyle w:val="27"/>
          <w:rFonts w:hint="default" w:ascii="Segoe UI" w:hAnsi="Segoe UI" w:eastAsia="Segoe UI" w:cs="Segoe UI"/>
          <w:b/>
          <w:bCs/>
          <w:i w:val="0"/>
          <w:iCs w:val="0"/>
          <w:caps w:val="0"/>
          <w:color w:val="0F1115"/>
          <w:spacing w:val="0"/>
          <w:sz w:val="21"/>
          <w:szCs w:val="21"/>
          <w:highlight w:val="none"/>
          <w:shd w:val="clear" w:fill="FFFFFF"/>
        </w:rPr>
        <w:t>报价</w:t>
      </w:r>
    </w:p>
    <w:p w14:paraId="7A6C66A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1.</w:t>
      </w:r>
      <w:r>
        <w:rPr>
          <w:rStyle w:val="27"/>
          <w:rFonts w:hint="default" w:ascii="Segoe UI" w:hAnsi="Segoe UI" w:eastAsia="Segoe UI" w:cs="Segoe UI"/>
          <w:b/>
          <w:bCs/>
          <w:i w:val="0"/>
          <w:iCs w:val="0"/>
          <w:caps w:val="0"/>
          <w:color w:val="0F1115"/>
          <w:spacing w:val="0"/>
          <w:sz w:val="21"/>
          <w:szCs w:val="21"/>
          <w:highlight w:val="none"/>
          <w:shd w:val="clear" w:fill="FFFFFF"/>
        </w:rPr>
        <w:t>报价要求</w:t>
      </w:r>
      <w:r>
        <w:rPr>
          <w:rFonts w:hint="default" w:ascii="Segoe UI" w:hAnsi="Segoe UI" w:eastAsia="Segoe UI" w:cs="Segoe UI"/>
          <w:i w:val="0"/>
          <w:iCs w:val="0"/>
          <w:caps w:val="0"/>
          <w:color w:val="0F1115"/>
          <w:spacing w:val="0"/>
          <w:sz w:val="21"/>
          <w:szCs w:val="21"/>
          <w:highlight w:val="none"/>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highlight w:val="none"/>
          <w:shd w:val="clear" w:fill="FFFFFF"/>
          <w:lang w:val="en-US" w:eastAsia="zh-CN"/>
        </w:rPr>
        <w:t>二次/</w:t>
      </w:r>
      <w:r>
        <w:rPr>
          <w:rStyle w:val="27"/>
          <w:rFonts w:hint="default" w:ascii="Segoe UI" w:hAnsi="Segoe UI" w:eastAsia="Segoe UI" w:cs="Segoe UI"/>
          <w:b/>
          <w:bCs/>
          <w:i w:val="0"/>
          <w:iCs w:val="0"/>
          <w:caps w:val="0"/>
          <w:color w:val="0F1115"/>
          <w:spacing w:val="0"/>
          <w:sz w:val="21"/>
          <w:szCs w:val="21"/>
          <w:highlight w:val="none"/>
          <w:shd w:val="clear" w:fill="FFFFFF"/>
        </w:rPr>
        <w:t>最终报价</w:t>
      </w:r>
      <w:r>
        <w:rPr>
          <w:rFonts w:hint="default" w:ascii="Segoe UI" w:hAnsi="Segoe UI" w:eastAsia="Segoe UI" w:cs="Segoe UI"/>
          <w:i w:val="0"/>
          <w:iCs w:val="0"/>
          <w:caps w:val="0"/>
          <w:color w:val="0F1115"/>
          <w:spacing w:val="0"/>
          <w:sz w:val="21"/>
          <w:szCs w:val="21"/>
          <w:highlight w:val="none"/>
          <w:shd w:val="clear" w:fill="FFFFFF"/>
        </w:rPr>
        <w:t>。</w:t>
      </w:r>
    </w:p>
    <w:p w14:paraId="7A20AC0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highlight w:val="none"/>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2.</w:t>
      </w:r>
      <w:r>
        <w:rPr>
          <w:rStyle w:val="27"/>
          <w:rFonts w:hint="default" w:ascii="Segoe UI" w:hAnsi="Segoe UI" w:eastAsia="Segoe UI" w:cs="Segoe UI"/>
          <w:b/>
          <w:bCs/>
          <w:i w:val="0"/>
          <w:iCs w:val="0"/>
          <w:caps w:val="0"/>
          <w:color w:val="0F1115"/>
          <w:spacing w:val="0"/>
          <w:sz w:val="21"/>
          <w:szCs w:val="21"/>
          <w:highlight w:val="none"/>
          <w:shd w:val="clear" w:fill="FFFFFF"/>
        </w:rPr>
        <w:t>报价规则</w:t>
      </w:r>
      <w:r>
        <w:rPr>
          <w:rFonts w:hint="default" w:ascii="Segoe UI" w:hAnsi="Segoe UI" w:eastAsia="Segoe UI" w:cs="Segoe UI"/>
          <w:i w:val="0"/>
          <w:iCs w:val="0"/>
          <w:caps w:val="0"/>
          <w:color w:val="0F1115"/>
          <w:spacing w:val="0"/>
          <w:sz w:val="21"/>
          <w:szCs w:val="21"/>
          <w:highlight w:val="none"/>
          <w:shd w:val="clear" w:fill="FFFFFF"/>
        </w:rPr>
        <w:t>：</w:t>
      </w:r>
    </w:p>
    <w:p w14:paraId="2869F6B6">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最终报价是响应文件的有效组成部分。</w:t>
      </w:r>
    </w:p>
    <w:p w14:paraId="2353E1E4">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最终报价不得高于本项目的采购预算（最高限价）。</w:t>
      </w:r>
    </w:p>
    <w:p w14:paraId="7B563C2D">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若磋商过程中磋商文件未作实质性变动，最终报价不得高于供应商的首次报价。</w:t>
      </w:r>
    </w:p>
    <w:p w14:paraId="015FF2EF">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最终报价需提交已标价的工程量清单。</w:t>
      </w:r>
    </w:p>
    <w:p w14:paraId="2DFB658F">
      <w:pPr>
        <w:pStyle w:val="20"/>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逾时未提交最终报价的，视为退出磋商。</w:t>
      </w:r>
    </w:p>
    <w:p w14:paraId="54968BB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highlight w:val="none"/>
          <w:shd w:val="clear" w:fill="FFFFFF"/>
        </w:rPr>
      </w:pP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3.</w:t>
      </w:r>
      <w:r>
        <w:rPr>
          <w:rStyle w:val="27"/>
          <w:rFonts w:hint="default" w:ascii="Segoe UI" w:hAnsi="Segoe UI" w:eastAsia="Segoe UI" w:cs="Segoe UI"/>
          <w:b/>
          <w:bCs/>
          <w:i w:val="0"/>
          <w:iCs w:val="0"/>
          <w:caps w:val="0"/>
          <w:color w:val="0F1115"/>
          <w:spacing w:val="0"/>
          <w:sz w:val="21"/>
          <w:szCs w:val="21"/>
          <w:highlight w:val="none"/>
          <w:shd w:val="clear" w:fill="FFFFFF"/>
        </w:rPr>
        <w:t>报价有效性</w:t>
      </w:r>
      <w:r>
        <w:rPr>
          <w:rFonts w:hint="default" w:ascii="Segoe UI" w:hAnsi="Segoe UI" w:eastAsia="Segoe UI" w:cs="Segoe UI"/>
          <w:i w:val="0"/>
          <w:iCs w:val="0"/>
          <w:caps w:val="0"/>
          <w:color w:val="0F1115"/>
          <w:spacing w:val="0"/>
          <w:sz w:val="21"/>
          <w:szCs w:val="21"/>
          <w:highlight w:val="none"/>
          <w:shd w:val="clear" w:fill="FFFFFF"/>
        </w:rPr>
        <w:t>：提交最终报价的供应商不得少于3家（政府购买服务项目或有特殊规定者除外），否则本次采购活动终止。</w:t>
      </w:r>
    </w:p>
    <w:p w14:paraId="0EBA3A86">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highlight w:val="none"/>
          <w:shd w:val="clear" w:fill="FFFFFF"/>
        </w:rPr>
      </w:pPr>
      <w:r>
        <w:rPr>
          <w:rFonts w:hint="eastAsia" w:ascii="Segoe UI" w:hAnsi="Segoe UI" w:eastAsia="宋体" w:cs="Segoe UI"/>
          <w:b/>
          <w:bCs/>
          <w:i w:val="0"/>
          <w:iCs w:val="0"/>
          <w:caps w:val="0"/>
          <w:color w:val="0F1115"/>
          <w:spacing w:val="0"/>
          <w:sz w:val="21"/>
          <w:szCs w:val="21"/>
          <w:highlight w:val="none"/>
          <w:shd w:val="clear" w:fill="FFFFFF"/>
          <w:lang w:val="en-US" w:eastAsia="zh-CN"/>
        </w:rPr>
        <w:t>4.</w:t>
      </w:r>
      <w:r>
        <w:rPr>
          <w:rFonts w:hint="eastAsia" w:ascii="Segoe UI" w:hAnsi="Segoe UI" w:cs="Segoe UI"/>
          <w:b/>
          <w:bCs/>
          <w:i w:val="0"/>
          <w:iCs w:val="0"/>
          <w:caps w:val="0"/>
          <w:color w:val="0F1115"/>
          <w:spacing w:val="0"/>
          <w:sz w:val="21"/>
          <w:szCs w:val="21"/>
          <w:highlight w:val="none"/>
          <w:shd w:val="clear" w:fill="FFFFFF"/>
          <w:lang w:val="en-US" w:eastAsia="zh-CN"/>
        </w:rPr>
        <w:t>异常低价启动情形</w:t>
      </w:r>
      <w:r>
        <w:rPr>
          <w:rFonts w:hint="default" w:ascii="Segoe UI" w:hAnsi="Segoe UI" w:eastAsia="宋体" w:cs="Segoe UI"/>
          <w:b/>
          <w:bCs/>
          <w:i w:val="0"/>
          <w:iCs w:val="0"/>
          <w:caps w:val="0"/>
          <w:color w:val="0F1115"/>
          <w:spacing w:val="0"/>
          <w:sz w:val="21"/>
          <w:szCs w:val="21"/>
          <w:highlight w:val="none"/>
          <w:shd w:val="clear" w:fill="FFFFFF"/>
          <w:lang w:val="en-US" w:eastAsia="zh-CN"/>
        </w:rPr>
        <w:t>：</w:t>
      </w:r>
      <w:r>
        <w:rPr>
          <w:rFonts w:hint="default" w:ascii="Segoe UI" w:hAnsi="Segoe UI" w:eastAsia="Segoe UI" w:cs="Segoe UI"/>
          <w:i w:val="0"/>
          <w:iCs w:val="0"/>
          <w:caps w:val="0"/>
          <w:color w:val="0F1115"/>
          <w:spacing w:val="0"/>
          <w:sz w:val="22"/>
          <w:szCs w:val="22"/>
          <w:highlight w:val="none"/>
          <w:shd w:val="clear" w:fill="FFFFFF"/>
        </w:rPr>
        <w:t>依据《关于推动解决政府采购异常低价问题的通知》（财库〔2026〕2号）规定，评审委员会在符合性审查后，若供应商的响应报价出现以下情形之一，评审委员会应当启动异常低价审查程序：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（1）响应报价低于全部通过符合性审查供应商响应报价平均值</w:t>
      </w:r>
      <w:r>
        <w:rPr>
          <w:rFonts w:hint="eastAsia" w:ascii="Segoe UI" w:hAnsi="Segoe UI" w:eastAsia="宋体" w:cs="Segoe UI"/>
          <w:i w:val="0"/>
          <w:iCs w:val="0"/>
          <w:caps w:val="0"/>
          <w:color w:val="0F1115"/>
          <w:spacing w:val="0"/>
          <w:sz w:val="22"/>
          <w:szCs w:val="22"/>
          <w:highlight w:val="none"/>
          <w:shd w:val="clear" w:fill="FFFFFF"/>
          <w:lang w:val="en-US" w:eastAsia="zh-CN"/>
        </w:rPr>
        <w:t>65</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（2）响应报价低于通过符合性审查的次低报价供应商响应报价</w:t>
      </w:r>
      <w:r>
        <w:rPr>
          <w:rFonts w:hint="eastAsia" w:ascii="Segoe UI" w:hAnsi="Segoe UI" w:eastAsia="宋体" w:cs="Segoe UI"/>
          <w:i w:val="0"/>
          <w:iCs w:val="0"/>
          <w:caps w:val="0"/>
          <w:color w:val="0F1115"/>
          <w:spacing w:val="0"/>
          <w:sz w:val="22"/>
          <w:szCs w:val="22"/>
          <w:highlight w:val="none"/>
          <w:shd w:val="clear" w:fill="FFFFFF"/>
          <w:lang w:val="en-US" w:eastAsia="zh-CN"/>
        </w:rPr>
        <w:t>65</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（3）响应报价低于采购项目最高限价</w:t>
      </w:r>
      <w:r>
        <w:rPr>
          <w:rFonts w:hint="eastAsia" w:ascii="Segoe UI" w:hAnsi="Segoe UI" w:eastAsia="宋体" w:cs="Segoe UI"/>
          <w:i w:val="0"/>
          <w:iCs w:val="0"/>
          <w:caps w:val="0"/>
          <w:color w:val="0F1115"/>
          <w:spacing w:val="0"/>
          <w:sz w:val="22"/>
          <w:szCs w:val="22"/>
          <w:highlight w:val="none"/>
          <w:shd w:val="clear" w:fill="FFFFFF"/>
          <w:lang w:val="en-US" w:eastAsia="zh-CN"/>
        </w:rPr>
        <w:t>6</w:t>
      </w:r>
      <w:r>
        <w:rPr>
          <w:rFonts w:hint="default" w:ascii="Segoe UI" w:hAnsi="Segoe UI" w:eastAsia="Segoe UI" w:cs="Segoe UI"/>
          <w:i w:val="0"/>
          <w:iCs w:val="0"/>
          <w:caps w:val="0"/>
          <w:color w:val="0F1115"/>
          <w:spacing w:val="0"/>
          <w:sz w:val="22"/>
          <w:szCs w:val="22"/>
          <w:highlight w:val="none"/>
          <w:shd w:val="clear" w:fill="FFFFFF"/>
        </w:rPr>
        <w:t>5%；</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（4）评审委员会基于专业判断，认为供应商报价过低，有可能影响产品质量或者不能诚信履约的其他情形。</w:t>
      </w:r>
    </w:p>
    <w:p w14:paraId="20DF740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highlight w:val="none"/>
          <w:shd w:val="clear" w:fill="FFFFFF"/>
          <w:lang w:val="en-US" w:eastAsia="zh-CN"/>
        </w:rPr>
      </w:pPr>
      <w:r>
        <w:rPr>
          <w:rFonts w:hint="eastAsia" w:ascii="Segoe UI" w:hAnsi="Segoe UI" w:eastAsia="宋体" w:cs="Segoe UI"/>
          <w:i w:val="0"/>
          <w:iCs w:val="0"/>
          <w:caps w:val="0"/>
          <w:color w:val="0F1115"/>
          <w:spacing w:val="0"/>
          <w:sz w:val="21"/>
          <w:szCs w:val="21"/>
          <w:highlight w:val="none"/>
          <w:shd w:val="clear" w:fill="FFFFFF"/>
          <w:lang w:val="en-US" w:eastAsia="zh-CN"/>
        </w:rPr>
        <w:t>5.</w:t>
      </w:r>
      <w:r>
        <w:rPr>
          <w:rStyle w:val="27"/>
          <w:rFonts w:ascii="Segoe UI" w:hAnsi="Segoe UI" w:eastAsia="Segoe UI" w:cs="Segoe UI"/>
          <w:b/>
          <w:bCs/>
          <w:i w:val="0"/>
          <w:iCs w:val="0"/>
          <w:caps w:val="0"/>
          <w:color w:val="0F1115"/>
          <w:spacing w:val="0"/>
          <w:sz w:val="22"/>
          <w:szCs w:val="22"/>
          <w:highlight w:val="none"/>
          <w:shd w:val="clear" w:fill="FFFFFF"/>
        </w:rPr>
        <w:t>审查程序</w:t>
      </w:r>
      <w:r>
        <w:rPr>
          <w:rFonts w:hint="default" w:ascii="Segoe UI" w:hAnsi="Segoe UI" w:eastAsia="Segoe UI" w:cs="Segoe UI"/>
          <w:i w:val="0"/>
          <w:iCs w:val="0"/>
          <w:caps w:val="0"/>
          <w:color w:val="0F1115"/>
          <w:spacing w:val="0"/>
          <w:sz w:val="22"/>
          <w:szCs w:val="22"/>
          <w:highlight w:val="none"/>
          <w:shd w:val="clear" w:fill="FFFFFF"/>
        </w:rPr>
        <w:t>：</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highlight w:val="none"/>
          <w:shd w:val="clear" w:fill="FFFFFF"/>
        </w:rPr>
        <w:br w:type="textWrapping"/>
      </w:r>
      <w:r>
        <w:rPr>
          <w:rFonts w:hint="default" w:ascii="Segoe UI" w:hAnsi="Segoe UI" w:eastAsia="Segoe UI" w:cs="Segoe UI"/>
          <w:i w:val="0"/>
          <w:iCs w:val="0"/>
          <w:caps w:val="0"/>
          <w:color w:val="0F1115"/>
          <w:spacing w:val="0"/>
          <w:sz w:val="22"/>
          <w:szCs w:val="22"/>
          <w:highlight w:val="none"/>
          <w:shd w:val="clear" w:fill="FFFFFF"/>
        </w:rPr>
        <w:t>（5）异常低价审查的启动原因、审查意见和审查结果应当在评审报告中详细记录，并随供应商提供的相关说明及证明材料一并归档。</w:t>
      </w:r>
    </w:p>
    <w:p w14:paraId="3E90D578">
      <w:pPr>
        <w:pStyle w:val="20"/>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第五阶段：综合评分与推荐</w:t>
      </w:r>
    </w:p>
    <w:p w14:paraId="669B210A">
      <w:pPr>
        <w:pStyle w:val="20"/>
        <w:keepNext w:val="0"/>
        <w:keepLines w:val="0"/>
        <w:widowControl/>
        <w:suppressLineNumbers w:val="0"/>
        <w:spacing w:before="0" w:beforeAutospacing="0" w:after="0" w:afterAutospacing="0" w:line="360" w:lineRule="auto"/>
        <w:ind w:left="0" w:right="0" w:firstLine="420" w:firstLineChars="200"/>
        <w:rPr>
          <w:sz w:val="21"/>
          <w:szCs w:val="21"/>
          <w:highlight w:val="none"/>
        </w:rPr>
      </w:pPr>
      <w:r>
        <w:rPr>
          <w:rStyle w:val="27"/>
          <w:rFonts w:hint="default" w:ascii="Segoe UI" w:hAnsi="Segoe UI" w:eastAsia="Segoe UI" w:cs="Segoe UI"/>
          <w:b/>
          <w:bCs/>
          <w:i w:val="0"/>
          <w:iCs w:val="0"/>
          <w:caps w:val="0"/>
          <w:color w:val="0F1115"/>
          <w:spacing w:val="0"/>
          <w:sz w:val="21"/>
          <w:szCs w:val="21"/>
          <w:highlight w:val="none"/>
          <w:shd w:val="clear" w:fill="FFFFFF"/>
        </w:rPr>
        <w:t>评分依据</w:t>
      </w:r>
      <w:r>
        <w:rPr>
          <w:rFonts w:hint="default" w:ascii="Segoe UI" w:hAnsi="Segoe UI" w:eastAsia="Segoe UI" w:cs="Segoe UI"/>
          <w:i w:val="0"/>
          <w:iCs w:val="0"/>
          <w:caps w:val="0"/>
          <w:color w:val="0F1115"/>
          <w:spacing w:val="0"/>
          <w:sz w:val="21"/>
          <w:szCs w:val="21"/>
          <w:highlight w:val="none"/>
          <w:shd w:val="clear" w:fill="FFFFFF"/>
        </w:rPr>
        <w:t>：磋商小组根据供应商提交的最终版响应文件（含技术文件和最终报价</w:t>
      </w:r>
      <w:r>
        <w:rPr>
          <w:rFonts w:hint="eastAsia" w:ascii="Segoe UI" w:hAnsi="Segoe UI" w:eastAsia="宋体" w:cs="Segoe UI"/>
          <w:i w:val="0"/>
          <w:iCs w:val="0"/>
          <w:caps w:val="0"/>
          <w:color w:val="0F1115"/>
          <w:spacing w:val="0"/>
          <w:sz w:val="21"/>
          <w:szCs w:val="21"/>
          <w:highlight w:val="none"/>
          <w:shd w:val="clear" w:fill="FFFFFF"/>
          <w:lang w:eastAsia="zh-CN"/>
        </w:rPr>
        <w:t>、</w:t>
      </w:r>
      <w:r>
        <w:rPr>
          <w:rFonts w:hint="eastAsia" w:ascii="Segoe UI" w:hAnsi="Segoe UI" w:eastAsia="宋体" w:cs="Segoe UI"/>
          <w:i w:val="0"/>
          <w:iCs w:val="0"/>
          <w:caps w:val="0"/>
          <w:color w:val="0F1115"/>
          <w:spacing w:val="0"/>
          <w:sz w:val="21"/>
          <w:szCs w:val="21"/>
          <w:highlight w:val="none"/>
          <w:shd w:val="clear" w:fill="FFFFFF"/>
          <w:lang w:val="en-US" w:eastAsia="zh-CN"/>
        </w:rPr>
        <w:t>业绩分</w:t>
      </w:r>
      <w:r>
        <w:rPr>
          <w:rFonts w:hint="default" w:ascii="Segoe UI" w:hAnsi="Segoe UI" w:eastAsia="Segoe UI" w:cs="Segoe UI"/>
          <w:i w:val="0"/>
          <w:iCs w:val="0"/>
          <w:caps w:val="0"/>
          <w:color w:val="0F1115"/>
          <w:spacing w:val="0"/>
          <w:sz w:val="21"/>
          <w:szCs w:val="21"/>
          <w:highlight w:val="none"/>
          <w:shd w:val="clear" w:fill="FFFFFF"/>
        </w:rPr>
        <w:t>）进行独立打分。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855"/>
        <w:gridCol w:w="4946"/>
      </w:tblGrid>
      <w:tr w14:paraId="1DBC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3E5F4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分值构成</w:t>
            </w:r>
          </w:p>
        </w:tc>
        <w:tc>
          <w:tcPr>
            <w:tcW w:w="0" w:type="auto"/>
            <w:vAlign w:val="center"/>
          </w:tcPr>
          <w:p w14:paraId="26B07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分值构成（总分100分）</w:t>
            </w:r>
          </w:p>
        </w:tc>
        <w:tc>
          <w:tcPr>
            <w:tcW w:w="0" w:type="auto"/>
            <w:vAlign w:val="top"/>
          </w:tcPr>
          <w:p w14:paraId="7736B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b w:val="0"/>
                <w:bCs w:val="0"/>
                <w:sz w:val="21"/>
                <w:szCs w:val="21"/>
                <w:highlight w:val="none"/>
                <w:lang w:val="en-US" w:eastAsia="zh-CN"/>
              </w:rPr>
            </w:pPr>
            <w:r>
              <w:rPr>
                <w:rFonts w:hint="eastAsia"/>
                <w:b w:val="0"/>
                <w:bCs w:val="0"/>
                <w:sz w:val="21"/>
                <w:szCs w:val="21"/>
                <w:highlight w:val="none"/>
                <w:lang w:eastAsia="zh-CN"/>
              </w:rPr>
              <w:t>施工组织设计：67分；报价得分：30分；业绩分：3分</w:t>
            </w:r>
          </w:p>
        </w:tc>
      </w:tr>
      <w:tr w14:paraId="7065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522" w:type="dxa"/>
            <w:gridSpan w:val="3"/>
            <w:vAlign w:val="center"/>
          </w:tcPr>
          <w:p w14:paraId="581DE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val="en-US" w:eastAsia="zh-CN"/>
              </w:rPr>
              <w:t>1、</w:t>
            </w:r>
            <w:r>
              <w:rPr>
                <w:rFonts w:hint="eastAsia"/>
                <w:b w:val="0"/>
                <w:bCs w:val="0"/>
                <w:sz w:val="21"/>
                <w:szCs w:val="21"/>
                <w:highlight w:val="none"/>
                <w:lang w:eastAsia="zh-CN"/>
              </w:rPr>
              <w:t>施工组织设计（满分</w:t>
            </w:r>
            <w:r>
              <w:rPr>
                <w:rFonts w:hint="eastAsia"/>
                <w:b w:val="0"/>
                <w:bCs w:val="0"/>
                <w:sz w:val="21"/>
                <w:szCs w:val="21"/>
                <w:highlight w:val="none"/>
                <w:lang w:val="en-US" w:eastAsia="zh-CN"/>
              </w:rPr>
              <w:t>67分</w:t>
            </w:r>
            <w:r>
              <w:rPr>
                <w:rFonts w:hint="eastAsia"/>
                <w:b w:val="0"/>
                <w:bCs w:val="0"/>
                <w:sz w:val="21"/>
                <w:szCs w:val="21"/>
                <w:highlight w:val="none"/>
                <w:lang w:eastAsia="zh-CN"/>
              </w:rPr>
              <w:t>）</w:t>
            </w:r>
          </w:p>
        </w:tc>
      </w:tr>
      <w:tr w14:paraId="2CCC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12CAC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eastAsia="zh-CN"/>
              </w:rPr>
              <w:t>评分项</w:t>
            </w:r>
          </w:p>
        </w:tc>
        <w:tc>
          <w:tcPr>
            <w:tcW w:w="0" w:type="auto"/>
            <w:gridSpan w:val="2"/>
            <w:vAlign w:val="center"/>
          </w:tcPr>
          <w:p w14:paraId="687ED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lang w:eastAsia="zh-CN"/>
              </w:rPr>
              <w:t>评分内容和标准</w:t>
            </w:r>
          </w:p>
        </w:tc>
      </w:tr>
      <w:tr w14:paraId="4B5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67958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eastAsia="zh-CN"/>
              </w:rPr>
            </w:pPr>
            <w:r>
              <w:rPr>
                <w:rFonts w:hint="eastAsia"/>
                <w:b w:val="0"/>
                <w:bCs w:val="0"/>
                <w:sz w:val="21"/>
                <w:szCs w:val="21"/>
                <w:highlight w:val="none"/>
              </w:rPr>
              <w:t>主要施工方法（</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0" w:type="auto"/>
            <w:gridSpan w:val="2"/>
            <w:vAlign w:val="center"/>
          </w:tcPr>
          <w:p w14:paraId="75604B3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路基开挖与填筑整形；②路基分层碾压施工；③10cm级配碎石基层铺筑碾压；④18cm泥结碎石面层摊铺碾压；⑤C20混凝土边沟施工；⑥浆砌片石挡土墙、钢筋混凝土圆管涵及管网迁移施工；⑦八角林改造：人工砍伐病树残树、矮化修枝；⑧施肥（穴施或沟施，施工期内2次）；⑨无人机飞播农药（施工期内2次）；⑩砍伐留桩高度、施肥深度、飞播均匀度等关键质量控制点。</w:t>
            </w:r>
          </w:p>
          <w:p w14:paraId="408900E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同时涵盖上述10项核心工序。具体写明每项工序的施工工艺（含施工顺序、操作方法、技术参数），明确列出关键质量控制要点及具体数值：砍伐留桩高度≤10cm、施肥深度≥20cm且覆土、飞播药液均匀无漏喷、路基压实度≥95%、砼路面抗弯拉强度≥4.0MPa、涵管接口密封。方案内容详实、可操作性强，可精准指导施工。得8分。</w:t>
            </w:r>
          </w:p>
          <w:p w14:paraId="30B5FEF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涵盖上述10项核心工序中的至少8项，每项均有施工工艺描述。方案内容较充实，但存在以下少量不足：缺少的工序不超过2项，或虽覆盖全部10项但其中有不超过2项工序缺少具体质量控制要点（如未写明砍伐留桩高度、施肥深度等量化指标），或个别工艺描述不够具体。方案整体可有效指导施工。得6分。</w:t>
            </w:r>
          </w:p>
          <w:p w14:paraId="196DB5D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涵盖上述10项核心工序中的6-7项；或虽覆盖8项及以上，但存在以下明显不足：有超过2项工序描述过于笼统（仅有工序名称而无具体施工方法），或缺少关键质量控制要点达到3处及以上，或部分工艺与本项目山区地形、八角林特点不符。方案仅能基本指导施工，存在一定技术缺陷。得4分。</w:t>
            </w:r>
          </w:p>
          <w:p w14:paraId="66905B6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（4）内容较差，涵盖的核心工序不足6项，或所涵盖的工序中大部分（超过50%）仅有名称而无任何施工工艺描述，或施工方法与本项目实际严重脱节，或方案内容空洞、无可操作性，无法有效指导施工。得1分。</w:t>
            </w:r>
          </w:p>
          <w:p w14:paraId="58DCB9C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（5）未提供主要施工方法。得0分。</w:t>
            </w:r>
          </w:p>
        </w:tc>
      </w:tr>
      <w:tr w14:paraId="64B3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3451B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拟投入的主要物资计划（</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0" w:type="auto"/>
            <w:gridSpan w:val="2"/>
            <w:vAlign w:val="center"/>
          </w:tcPr>
          <w:p w14:paraId="5E9B4D3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八角林改造物资：腐熟农家肥、磷肥、农药、毛竹、竹篾、无人机服务；②道路工程物资：水泥、砂、碎石、片石、预制钢筋砼管、PVC管、砌筑辅助耗材；③物资进场时间与施工进度匹配；④进场验收标准（水泥、涵管等核心材料）；⑤分品类保管措施。</w:t>
            </w:r>
          </w:p>
          <w:p w14:paraId="0CEBDFF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分品类物资采购计划表，明确以上全部13类物资。具体列明每类物资的品种、规格型号、总量、首批进场时间；详细写明水泥及涵管的进场验收标准（含验收内容、验收方法、验收责任人）；具体描述各品类物资的保管措施（如水泥防潮的具体做法、砂石防雨的覆盖方式等）。方案内容详实、可操作性强。得8分。</w:t>
            </w:r>
          </w:p>
          <w:p w14:paraId="385FF8D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覆盖上述全部物资品类（13种），且有进场验收要求。方案内容较充实，但存在以下少量不足：个别品类缺少采购总量或首批进场时间，或保管措施较齐全但个别品类缺少具体保管要求（如仅写“妥善保管”），或验收标准不够具体。整体计划能满足施工需要。得6分。</w:t>
            </w:r>
          </w:p>
          <w:p w14:paraId="5C156D6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物资品类的至少10种，有基本的进场时间安排，但存在以下明显不足：缺少专项验收标准（如未说明水泥、涵管如何验收），或保管措施过于笼统（仅写“注意防潮”而无具体方法），或缺少3种及以上物资的规格型号，或进场时间与施工进度脱节。得4分。</w:t>
            </w:r>
          </w:p>
          <w:p w14:paraId="2049479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物资品类不足8种，或核心材料（水泥、砂、涵管、肥料、农药中的任意3项）有缺失，或完全未明确任何进场验收要求，或未提供首批进场时间，或物资计划空洞无实质内容，无法保障施工物资供应。得1分。</w:t>
            </w:r>
          </w:p>
          <w:p w14:paraId="19E6328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（5）未提供物资计划。得0分。</w:t>
            </w:r>
          </w:p>
        </w:tc>
      </w:tr>
      <w:tr w14:paraId="55AC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4AD5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拟投入的主要施工机械、设备计划（</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7801" w:type="dxa"/>
            <w:gridSpan w:val="2"/>
            <w:vAlign w:val="center"/>
          </w:tcPr>
          <w:p w14:paraId="54DB165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林业设备：油锯、农用无人机、施肥器具、竹脚手架搭设工具；②道路机械：挖掘机、装载机、压路机、打夯机、砂浆搅拌机、混凝土拌合设备、水准仪、全站仪、压实度检测仪、抽水及临时用电设备；。</w:t>
            </w:r>
          </w:p>
          <w:p w14:paraId="3264E18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机械设备配置表，同时涵盖以上14项设备。具体列明每项设备的型号、数量、进退场时间及对应工序；明确写明关键机具（压路机、压实度检测仪）的检定证书编号或有效检定承诺。方案内容详实、可操作性强。得8分。</w:t>
            </w:r>
          </w:p>
          <w:p w14:paraId="39EB221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涵盖上述14项设备中的至少11项，数量及型号基本匹配施工需求。方案内容较充实，但存在以下少量不足：个别设备未写明型号或数量，或主要机具仅有检定计划但未提供承诺。整体配置能满足施工需要。得6分。</w:t>
            </w:r>
          </w:p>
          <w:p w14:paraId="3C762CB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涵盖上述14项设备中的至少8项，或虽覆盖11项以上但存在以下明显不足：缺少关键设备的检定说明（如压路机、压实度检测仪），或核心设备（压路机）齐全但数量明显不足且未说明调配方案，或超过3项设备未写明进退场时间，或设备型号与施工需求不匹配。得4分。</w:t>
            </w:r>
          </w:p>
          <w:p w14:paraId="200D692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（4）内容较差，涵盖设备不足8项，或缺少下列关键设备中的任意一项：压路机、无人机、油锯；或虽设备清单较全但完全未提供进退场时间、无检定说明，设备计划形同虚设，无法满足施工需要。得1分。</w:t>
            </w:r>
          </w:p>
          <w:p w14:paraId="2723A55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（5）未提供机械设备计划。得0分。</w:t>
            </w:r>
          </w:p>
        </w:tc>
      </w:tr>
      <w:tr w14:paraId="1EA6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76567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val="en-US" w:eastAsia="zh-CN"/>
              </w:rPr>
              <w:t>确保工程质量的技术组织措施（满分8分）</w:t>
            </w:r>
          </w:p>
        </w:tc>
        <w:tc>
          <w:tcPr>
            <w:tcW w:w="7801" w:type="dxa"/>
            <w:gridSpan w:val="2"/>
            <w:vAlign w:val="center"/>
          </w:tcPr>
          <w:p w14:paraId="628C759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质量保证体系及人员配备（含专职质量员、质检员等）；②八角林改造质量控制（砍伐留桩高度、修枝切口平整度、施肥深度及覆土、飞播均匀度）；③道路工程质量控制（路基压实度、碎石垫层压实度、砼路面强度、涵管接口密封）；④质量通病防治（路基沉降、路面裂缝、排水不畅）。</w:t>
            </w:r>
          </w:p>
          <w:p w14:paraId="42F71BC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建立质量保证体系，具体写明组织机构设置、各岗位质量职责分工，详细描述“三检制”的具体执行流程和记录方式，配备专职质检员（列明姓名或岗位）。全面、具体地覆盖以上8项质量控制点，每项明确写明内控标准（含具体数值）、检测方法（含检测工具、检测频次）及责任人（列明姓名或岗位）；详细提出3项质量通病防治方案（每项包括产生原因、预防措施、处理方法）。方案内容详实、可操作性强。得8分。</w:t>
            </w:r>
          </w:p>
          <w:p w14:paraId="5AF16A9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建立质量保证体系，写明组织机构及“三检制”流程，配备专职质检员。覆盖以上8项质量控制点中的至少6项，每项有具体质量控制措施；通病防治方案至少覆盖2项。方案内容较充实，但存在以下少量不足：个别控制点未明确检测方法或责任人，或通病防治方案缺少产生原因或处理方法。整体能有效预防质量通病。得6分。</w:t>
            </w:r>
          </w:p>
          <w:p w14:paraId="49E197A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有基本的质量保证体系描述（至少提及专职质检员和三检制），覆盖以上8项质量控制点中的至少4项，但措施较为笼统（如仅写“保证压实度达到规范要求”而无具体数值）；通病防治方案仅覆盖1项且内容简单。质量控制存在明显漏洞，但尚能基本满足要求。得4分。</w:t>
            </w:r>
          </w:p>
          <w:p w14:paraId="36320B9B">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质量控制点不足4项，或所覆盖的控制点中大部分仅有名称而无具体内控标准或检测方法；无通病防治方案；或质量保证体系缺失（无质检员、无三检制描述）；或方案空洞，无法保证工程质量。得1分。</w:t>
            </w:r>
          </w:p>
          <w:p w14:paraId="08EA227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（5）未提供质量技术组织措施。得0分。</w:t>
            </w:r>
          </w:p>
        </w:tc>
      </w:tr>
      <w:tr w14:paraId="133D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17A6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确保安全生产的技术组织措施（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8</w:t>
            </w:r>
            <w:r>
              <w:rPr>
                <w:rFonts w:hint="eastAsia"/>
                <w:b w:val="0"/>
                <w:bCs w:val="0"/>
                <w:sz w:val="21"/>
                <w:szCs w:val="21"/>
                <w:highlight w:val="none"/>
              </w:rPr>
              <w:t>分）</w:t>
            </w:r>
          </w:p>
        </w:tc>
        <w:tc>
          <w:tcPr>
            <w:tcW w:w="7801" w:type="dxa"/>
            <w:gridSpan w:val="2"/>
            <w:vAlign w:val="center"/>
          </w:tcPr>
          <w:p w14:paraId="40A809E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安全管理体系及责任制（含专职安全员）；②高处砍伐及脚手架安全；③油锯操作安全；④无人机飞播安全（警戒区、持证）；⑤机械作业安全；⑥路基开挖边坡防护；⑦临时用电安全；⑧乡村施工交通疏导；⑨林区防火。</w:t>
            </w:r>
          </w:p>
          <w:p w14:paraId="5559A08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建立安全管理体系，具体写明安全组织机构设置、各岗位安全职责分工，配备专职安全员（列明姓名、证书编号）。全面、具体地覆盖以上8项安全措施（从②至⑨中选8项核心措施），每项明确写明执行标准、检查频次及责任人；详细编写应急救援预案（明确写明应急组织架构、响应流程、救援物资清单、外部救援联系方式），明确写明演练计划（含演练时间、内容、参与人员）。方案内容详实、可操作性强。得8分。</w:t>
            </w:r>
          </w:p>
          <w:p w14:paraId="017BF273">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建立安全管理体系，写明安全组织机构及安全责任制，配备专职安全员。覆盖以上8项安全措施中的至少6项，每项有基本执行要求；应急救援预案覆盖至少2类风险。方案内容较充实，但存在以下少量不足：个别措施未明确责任人，或演练计划不够具体（未写明频次），或预案缺少救援物资清单。得6分。</w:t>
            </w:r>
          </w:p>
          <w:p w14:paraId="44CE378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有基本的安全管理制度（提及安全员），覆盖以上8项安全措施中的至少4项，但存在以下明显不足：缺少针对林业施工（如高空砍伐脚手架搭设要求、飞防警戒区设置）或森林防火的专项措施，或应急预案内容简单（仅列出应急联系人而无响应流程），或超过3项措施无执行标准。安全防护存在薄弱环节。得4分。</w:t>
            </w:r>
          </w:p>
          <w:p w14:paraId="53A02A0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安全措施不足4项，或所覆盖的措施仅有标题而无具体执行要求（如仅写“做好边坡防护”而无防护方式）；无应急预案；或未提及专职安全员配置，安全管理形同虚设，或方案空洞，无法保障施工安全。得1分。</w:t>
            </w:r>
          </w:p>
          <w:p w14:paraId="1290CEE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（5）未提供安全生产技术组织措施。得0分。</w:t>
            </w:r>
          </w:p>
        </w:tc>
      </w:tr>
      <w:tr w14:paraId="210C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24717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劳动力安排计划（</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3D0F732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林业工种：油锯手、伐木工、修枝工、施肥工、无人机飞手；②道路工种：路基工、碎石铺设工、砌筑工、涵管安装工、测量工及质检员；③特殊工种持证上岗；④劳动力与进度匹配；⑤农忙时段劳动力保障。</w:t>
            </w:r>
          </w:p>
          <w:p w14:paraId="70025E14">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按施工阶段划分的劳动力计划表，具体列明以上10类工种在各施工阶段的人数。明确写明特殊工种（油锯手、无人机飞手、电工）的持证情况（列明姓名、证书编号）；具体描述劳动力与施工进度的匹配关系（如各阶段所需人数与计划人数对照）；详细提出农忙等特殊时段的劳动力稳定保障措施（如储备临时工的具体人数、错峰施工的具体安排）。方案内容详实、可操作性强。得6分。</w:t>
            </w:r>
          </w:p>
          <w:p w14:paraId="09CCEE2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提供劳动力计划，覆盖以上10类工种中的至少8类，各工种人数较合理。特殊工种有持证承诺（但未逐项列出姓名证书），劳动力与进度较好呼应。方案内容较充实，但存在以下少量不足：对农忙等特殊时段仅有原则性说明（如“将采取措施保障”）而无具体操作方案，或个别工种人数明显不合理。得4分。</w:t>
            </w:r>
          </w:p>
          <w:p w14:paraId="541B8A5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工种中的至少6类，但存在以下明显不足：未按施工阶段区分人数（仅提供总人数），或未明确特殊工种持证要求（仅写“持证上岗”而未列出具体工种及证书信息），或缺少2类以上核心工种，或劳动力人数明显偏少。劳动力安排存在一定随意性。得2分。</w:t>
            </w:r>
          </w:p>
          <w:p w14:paraId="442373F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工种不足6类，或缺少下列核心工种中的任意两项：油锯手、无人机飞手、压路机操作工、砌筑工；或无任何持证说明；或劳动力人数严重不足（如总人数少于15人），或计划空洞无实质内容，无法满足施工需求。得1分。</w:t>
            </w:r>
          </w:p>
          <w:p w14:paraId="60DC6CA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（5）未提供劳动力安排计划。得0分。</w:t>
            </w:r>
          </w:p>
        </w:tc>
      </w:tr>
      <w:tr w14:paraId="0C4C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E48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确保工期的技术组织措施（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5D5E5E0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施工总进度计划（横道图/网络图）及关键线路识别；②工期风险应对预案（软土路基处理、阴雨天气、材料延迟、路面返工、林业作业季节性延误）；③进度滞后纠偏措施（不同滞后天数的处置方式）；④工期保障</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方案</w:t>
            </w:r>
            <w:r>
              <w:rPr>
                <w:rFonts w:hint="default" w:ascii="Segoe UI" w:hAnsi="Segoe UI" w:eastAsia="Segoe UI" w:cs="Segoe UI"/>
                <w:b w:val="0"/>
                <w:bCs w:val="0"/>
                <w:i w:val="0"/>
                <w:iCs w:val="0"/>
                <w:caps w:val="0"/>
                <w:color w:val="0F1115"/>
                <w:spacing w:val="0"/>
                <w:sz w:val="21"/>
                <w:szCs w:val="21"/>
                <w:highlight w:val="none"/>
                <w:shd w:val="clear" w:fill="FFFFFF"/>
              </w:rPr>
              <w:t>。</w:t>
            </w:r>
          </w:p>
          <w:p w14:paraId="48A2A20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施工总进度计划（横道图或网络图），明确标注关键线路（路基压实、路面铺设、林改造季节窗口），详细写明各工序衔接时间。针对以上5项工期风险，逐一详细制定应对预案（每项包括风险触发条件、具体应对措施、责任人）；详细列明进度滞后纠偏措施（明确写出增加班组的具体人数、平行作业的具体安排），明确写明不同滞后天数（3天、7天、15天）的处置方式。确保</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采购文件要求的</w:t>
            </w:r>
            <w:r>
              <w:rPr>
                <w:rFonts w:hint="default" w:ascii="Segoe UI" w:hAnsi="Segoe UI" w:eastAsia="Segoe UI" w:cs="Segoe UI"/>
                <w:b w:val="0"/>
                <w:bCs w:val="0"/>
                <w:i w:val="0"/>
                <w:iCs w:val="0"/>
                <w:caps w:val="0"/>
                <w:color w:val="0F1115"/>
                <w:spacing w:val="0"/>
                <w:sz w:val="21"/>
                <w:szCs w:val="21"/>
                <w:highlight w:val="none"/>
                <w:shd w:val="clear" w:fill="FFFFFF"/>
              </w:rPr>
              <w:t>工期目标实现。方案内容详实、可操作性强。得6分。</w:t>
            </w:r>
          </w:p>
          <w:p w14:paraId="58323F52">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提供进度计划（横道图或网络图），能识别关键线路（至少指出路基和路面是关键工序），有较清晰的工序衔接说明。针对上述5项工期风险中的至少4项制定了应对预案，有进度滞后纠偏措施（如增加班组）。方案内容较充实，但存在以下少量不足：未按不同滞后天数分层处置，或个别预案缺少责任人，或纠偏措施不够具体。整体能保障工期实现。得4分。</w:t>
            </w:r>
          </w:p>
          <w:p w14:paraId="1A84D50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提供基本进度计划（如横道图），但存在以下明显不足：未明确关键线路，或工序衔接时间不清晰，或针对工期风险的应对预案不足3项且内容笼统（如仅写“雨天停工”而无后续安排），或纠偏措施不具体（如仅写“采取措施赶工”）。工期保障能力较弱。得2分。</w:t>
            </w:r>
          </w:p>
          <w:p w14:paraId="52BD733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（4）内容较差，进度计划过于简单（仅有开竣工日期，无分项节点），或未考虑林业作业的季节性要求（如将施肥安排在旱季），或完全缺少针对工期风险的应对措施，或方案空洞，无法保障</w:t>
            </w:r>
            <w:r>
              <w:rPr>
                <w:rFonts w:hint="eastAsia" w:ascii="Segoe UI" w:hAnsi="Segoe UI" w:cs="Segoe UI"/>
                <w:b w:val="0"/>
                <w:bCs w:val="0"/>
                <w:i w:val="0"/>
                <w:iCs w:val="0"/>
                <w:caps w:val="0"/>
                <w:color w:val="0F1115"/>
                <w:spacing w:val="0"/>
                <w:sz w:val="21"/>
                <w:szCs w:val="21"/>
                <w:highlight w:val="none"/>
                <w:shd w:val="clear" w:fill="FFFFFF"/>
                <w:lang w:eastAsia="zh-CN"/>
              </w:rPr>
              <w:t>150日历天</w:t>
            </w:r>
            <w:r>
              <w:rPr>
                <w:rFonts w:hint="default" w:ascii="Segoe UI" w:hAnsi="Segoe UI" w:eastAsia="Segoe UI" w:cs="Segoe UI"/>
                <w:b w:val="0"/>
                <w:bCs w:val="0"/>
                <w:i w:val="0"/>
                <w:iCs w:val="0"/>
                <w:caps w:val="0"/>
                <w:color w:val="0F1115"/>
                <w:spacing w:val="0"/>
                <w:sz w:val="21"/>
                <w:szCs w:val="21"/>
                <w:highlight w:val="none"/>
                <w:shd w:val="clear" w:fill="FFFFFF"/>
              </w:rPr>
              <w:t>工期目标。得1分。</w:t>
            </w:r>
          </w:p>
          <w:p w14:paraId="238964D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（5）未提供工期技术组织措施。得0分。</w:t>
            </w:r>
          </w:p>
        </w:tc>
      </w:tr>
      <w:tr w14:paraId="240B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25A55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确保文明施工的技术组织措施（</w:t>
            </w:r>
            <w:r>
              <w:rPr>
                <w:rFonts w:hint="eastAsia"/>
                <w:b w:val="0"/>
                <w:bCs w:val="0"/>
                <w:sz w:val="21"/>
                <w:szCs w:val="21"/>
                <w:highlight w:val="none"/>
                <w:lang w:eastAsia="zh-CN"/>
              </w:rPr>
              <w:t>满分</w:t>
            </w:r>
            <w:r>
              <w:rPr>
                <w:rFonts w:hint="eastAsia"/>
                <w:b w:val="0"/>
                <w:bCs w:val="0"/>
                <w:sz w:val="21"/>
                <w:szCs w:val="21"/>
                <w:highlight w:val="none"/>
                <w:lang w:val="en-US" w:eastAsia="zh-CN"/>
              </w:rPr>
              <w:t>6</w:t>
            </w:r>
            <w:r>
              <w:rPr>
                <w:rFonts w:hint="eastAsia"/>
                <w:b w:val="0"/>
                <w:bCs w:val="0"/>
                <w:sz w:val="21"/>
                <w:szCs w:val="21"/>
                <w:highlight w:val="none"/>
              </w:rPr>
              <w:t>分）</w:t>
            </w:r>
          </w:p>
        </w:tc>
        <w:tc>
          <w:tcPr>
            <w:tcW w:w="7801" w:type="dxa"/>
            <w:gridSpan w:val="2"/>
            <w:vAlign w:val="center"/>
          </w:tcPr>
          <w:p w14:paraId="70C33FF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现场围挡、安全标识设置；②施工扬尘、噪音管控；③弃土废料处置；④周边八角树、甘蔗等农作物及原有灌溉设施保护；⑤飞播农药飘移控制（缓冲区）；⑥肥料袋、农药瓶等废弃物分类回收；⑦竣工场地恢复。</w:t>
            </w:r>
          </w:p>
          <w:p w14:paraId="494EE44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同时覆盖以上7项文明施工及环保措施，每项措施具体写明执行标准、检查频次、责任人。特别是：扬尘控制需写明洒水频次（如每日不少于3次）、覆盖方式；噪音控制需写明禁止施工的具体时段（如12：00-14：30、22：00-次日6：00）；农作物防护需写明具体方法（如飞播设置10米缓冲区、砍伐时铺垫保护）；废弃物分类回收需写明分类标准及处置去向；竣工清场需写明清运标准及场地恢复具体要求。方案内容详实、可操作性强。得6分。</w:t>
            </w:r>
          </w:p>
          <w:p w14:paraId="3EED976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覆盖上述7项中的至少5项，措施具体可行。方案内容较充实，但存在以下少量不足：扬尘控制未明确洒水频次，或噪音控制未明确禁止施工时段，或农作物防护仅有原则性说明（如“注意保护”）而无具体方法，或个别措施缺少责任人。整体能有效控制施工对周边环境及村民生活的影响。得4分。</w:t>
            </w:r>
          </w:p>
          <w:p w14:paraId="1223458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覆盖上述7项中的至少3项，但存在以下明显不足：措施较为笼统（如仅写“做好扬尘控制”而无具体方法），或缺少针对林业保护（如飞播缓冲区设置）或废弃物分类回收的专项要求，或超过3项措施无执行标准。文明施工措施存在明显遗漏。得2分。</w:t>
            </w:r>
          </w:p>
          <w:p w14:paraId="5517752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（4）内容较差，覆盖不足3项，或所覆盖的措施均为通用模板内容（如“遵守文明施工规定”）而无任何针对本项目的具体安排，或完全未提及对八角树、农作物的保护，或方案空洞，无法保障文明施工。得1分。</w:t>
            </w:r>
          </w:p>
          <w:p w14:paraId="0277FDDC">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ascii="Segoe UI" w:hAnsi="Segoe UI" w:eastAsia="Segoe UI" w:cs="Segoe UI"/>
                <w:b w:val="0"/>
                <w:bCs w:val="0"/>
                <w:i w:val="0"/>
                <w:iCs w:val="0"/>
                <w:caps w:val="0"/>
                <w:color w:val="0F1115"/>
                <w:spacing w:val="0"/>
                <w:sz w:val="21"/>
                <w:szCs w:val="21"/>
                <w:highlight w:val="none"/>
                <w:shd w:val="clear" w:fill="FFFFFF"/>
              </w:rPr>
              <w:t>（5）未提供文明施工技术组织措施。得0分。</w:t>
            </w:r>
          </w:p>
        </w:tc>
      </w:tr>
      <w:tr w14:paraId="714C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CDBE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工程施工的重点和难点及保证措施（</w:t>
            </w:r>
            <w:r>
              <w:rPr>
                <w:rFonts w:hint="eastAsia"/>
                <w:b w:val="0"/>
                <w:bCs w:val="0"/>
                <w:sz w:val="21"/>
                <w:szCs w:val="21"/>
                <w:highlight w:val="none"/>
                <w:lang w:eastAsia="zh-CN"/>
              </w:rPr>
              <w:t>满分</w:t>
            </w:r>
            <w:r>
              <w:rPr>
                <w:rFonts w:hint="eastAsia"/>
                <w:b w:val="0"/>
                <w:bCs w:val="0"/>
                <w:sz w:val="21"/>
                <w:szCs w:val="21"/>
                <w:highlight w:val="none"/>
                <w:lang w:val="en-US" w:eastAsia="zh-CN"/>
              </w:rPr>
              <w:t>5</w:t>
            </w:r>
            <w:r>
              <w:rPr>
                <w:rFonts w:hint="eastAsia"/>
                <w:b w:val="0"/>
                <w:bCs w:val="0"/>
                <w:sz w:val="21"/>
                <w:szCs w:val="21"/>
                <w:highlight w:val="none"/>
              </w:rPr>
              <w:t>分）</w:t>
            </w:r>
          </w:p>
        </w:tc>
        <w:tc>
          <w:tcPr>
            <w:tcW w:w="7801" w:type="dxa"/>
            <w:gridSpan w:val="2"/>
            <w:vAlign w:val="center"/>
          </w:tcPr>
          <w:p w14:paraId="0ACCB31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高空砍伐病树安全风险；②施肥效果保证（深度、覆土、用量）；③飞防农药均匀度及飘移控制；④乡村田间软基路基处理；⑤级配碎石及泥结碎石路面密实度、平整度控制；⑥浆砌片石挡墙及圆管涵施工；⑦原有灌溉PVC管迁移及水系保护。</w:t>
            </w:r>
          </w:p>
          <w:p w14:paraId="567F6FB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准确识别以上7项重点难点。针对每项难点，详细提出具体的、可操作的保证措施：明确写明措施的具体参数（如软土路基换填深度、飞防作业缓冲区宽度）、具体写明操作方法（如“换填法+分层压实，每层压实厚度不超过20cm”）、明确责任人。措施适配乡村施工条件。方案内容详实、可操作性强。得5分。</w:t>
            </w:r>
          </w:p>
          <w:p w14:paraId="7F1FF4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准确识别上述7项中的至少5项，每项均有较合理的保证措施。方案内容较充实，但存在以下少量不足：个别措施缺乏具体参数（如仅写“加强碾压”而未明确遍数或压实度），或措施未完全适配乡村条件（如提出需大型设备但场地无法进场），或个别措施未明确责任人。整体针对性强、可操作。得</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4</w:t>
            </w:r>
            <w:r>
              <w:rPr>
                <w:rFonts w:hint="default" w:ascii="Segoe UI" w:hAnsi="Segoe UI" w:eastAsia="Segoe UI" w:cs="Segoe UI"/>
                <w:b w:val="0"/>
                <w:bCs w:val="0"/>
                <w:i w:val="0"/>
                <w:iCs w:val="0"/>
                <w:caps w:val="0"/>
                <w:color w:val="0F1115"/>
                <w:spacing w:val="0"/>
                <w:sz w:val="21"/>
                <w:szCs w:val="21"/>
                <w:highlight w:val="none"/>
                <w:shd w:val="clear" w:fill="FFFFFF"/>
              </w:rPr>
              <w:t>分。</w:t>
            </w:r>
          </w:p>
          <w:p w14:paraId="22C45F9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识别上述7项中的至少3项，保证措施基本可行，但存在以下明显不足：缺乏针对性细节（如对软基处理仅写“换填”而未说明换填深度、材料要求），或部分难点未识别与措施不匹配，或超过2项措施无具体操作方法。得</w:t>
            </w:r>
            <w:r>
              <w:rPr>
                <w:rFonts w:hint="eastAsia" w:ascii="Segoe UI" w:hAnsi="Segoe UI" w:eastAsia="宋体" w:cs="Segoe UI"/>
                <w:b w:val="0"/>
                <w:bCs w:val="0"/>
                <w:i w:val="0"/>
                <w:iCs w:val="0"/>
                <w:caps w:val="0"/>
                <w:color w:val="0F1115"/>
                <w:spacing w:val="0"/>
                <w:sz w:val="21"/>
                <w:szCs w:val="21"/>
                <w:highlight w:val="none"/>
                <w:shd w:val="clear" w:fill="FFFFFF"/>
                <w:lang w:val="en-US" w:eastAsia="zh-CN"/>
              </w:rPr>
              <w:t>3</w:t>
            </w:r>
            <w:r>
              <w:rPr>
                <w:rFonts w:hint="default" w:ascii="Segoe UI" w:hAnsi="Segoe UI" w:eastAsia="Segoe UI" w:cs="Segoe UI"/>
                <w:b w:val="0"/>
                <w:bCs w:val="0"/>
                <w:i w:val="0"/>
                <w:iCs w:val="0"/>
                <w:caps w:val="0"/>
                <w:color w:val="0F1115"/>
                <w:spacing w:val="0"/>
                <w:sz w:val="21"/>
                <w:szCs w:val="21"/>
                <w:highlight w:val="none"/>
                <w:shd w:val="clear" w:fill="FFFFFF"/>
              </w:rPr>
              <w:t>分。</w:t>
            </w:r>
          </w:p>
          <w:p w14:paraId="19747EB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（4）内容较差，识别不足3项，或识别的难点与本项目乡村道路、八角林改造无关（如写“深基坑支护”等），或保证措施简单笼统（如“加强管理”“精心施工”）不可行，或方案空洞。得1分。</w:t>
            </w:r>
          </w:p>
          <w:p w14:paraId="08FE0E0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（5）未提供重点难点及保证措施。得0分。</w:t>
            </w:r>
          </w:p>
        </w:tc>
      </w:tr>
      <w:tr w14:paraId="31DB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5504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eastAsia="zh-CN"/>
              </w:rPr>
              <w:t>施工总平面布置图</w:t>
            </w:r>
            <w:r>
              <w:rPr>
                <w:rFonts w:hint="eastAsia"/>
                <w:b w:val="0"/>
                <w:bCs w:val="0"/>
                <w:sz w:val="21"/>
                <w:szCs w:val="21"/>
                <w:highlight w:val="none"/>
              </w:rPr>
              <w:t>（</w:t>
            </w:r>
            <w:r>
              <w:rPr>
                <w:rFonts w:hint="eastAsia"/>
                <w:b w:val="0"/>
                <w:bCs w:val="0"/>
                <w:sz w:val="21"/>
                <w:szCs w:val="21"/>
                <w:highlight w:val="none"/>
                <w:lang w:eastAsia="zh-CN"/>
              </w:rPr>
              <w:t>满分</w:t>
            </w:r>
            <w:r>
              <w:rPr>
                <w:rFonts w:hint="eastAsia"/>
                <w:b w:val="0"/>
                <w:bCs w:val="0"/>
                <w:sz w:val="21"/>
                <w:szCs w:val="21"/>
                <w:highlight w:val="none"/>
                <w:lang w:val="en-US" w:eastAsia="zh-CN"/>
              </w:rPr>
              <w:t>4</w:t>
            </w:r>
            <w:r>
              <w:rPr>
                <w:rFonts w:hint="eastAsia"/>
                <w:b w:val="0"/>
                <w:bCs w:val="0"/>
                <w:sz w:val="21"/>
                <w:szCs w:val="21"/>
                <w:highlight w:val="none"/>
              </w:rPr>
              <w:t>分）</w:t>
            </w:r>
          </w:p>
        </w:tc>
        <w:tc>
          <w:tcPr>
            <w:tcW w:w="7801" w:type="dxa"/>
            <w:gridSpan w:val="2"/>
            <w:vAlign w:val="center"/>
          </w:tcPr>
          <w:p w14:paraId="05563927">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评审内容：①施工临时便道及与乡村道路衔接点；②材料存放区（水泥、砂石、水稳料分开）；③施工机械停放区；④临时设施区（办公、住宿、工具房）；⑤废料/弃土堆放区；⑥林区作业分区；⑦道路分段施工区；⑧施工用水用电接口及线路走向；⑨图纸图例、比例尺，功能分区合理性。</w:t>
            </w:r>
          </w:p>
          <w:p w14:paraId="7B49437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1）详细、完整地提供施工总平面布置示意图（可用文字+简图说明），明确标注以上8个功能区。图纸必须有图例、比例尺，功能分区合理、无交叉施工冲突，明确标明各功能区的尺寸或面积，具体说明与乡村场地及线性施工特点的适配关系（如临时便道与乡村道路的衔接点位置、材料存放区与施工点的距离）。方案内容详实、可操作性强。得4分。</w:t>
            </w:r>
          </w:p>
          <w:p w14:paraId="50C9E3AD">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2）较为详细、较为完整地标注上述8个功能区中的至少6个，分区较合理。方案内容较充实，但存在以下少量不足：未使用图例或比例尺，或个别功能区位置不够合理（如材料存放区距施工点较远），或临时用电用水线路未标注，或未充分说明与乡村场地的适配关系。整体无明显错误。得3分。</w:t>
            </w:r>
          </w:p>
          <w:p w14:paraId="25DFE79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3）内容基本完整，标注上述8个功能区中的至少4个，但存在以下明显不足：功能分区划分不够精细（如将水泥、砂石混放），存在少量交叉施工问题（如机械停放区与材料堆放区重叠），或未标注尺寸面积，或图纸过于粗糙，无法清晰反映布置思路。得2分。</w:t>
            </w:r>
          </w:p>
          <w:p w14:paraId="3015A2EA">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（4）内容较差，标注不足4个功能区，或功能区设置严重混乱（如弃土场设在上风向、办公区紧邻高噪音设备），或与项目山区线性施工实际严重不符（如按集中式场区布置），或图纸完全无法识别。得1分。</w:t>
            </w:r>
          </w:p>
          <w:p w14:paraId="72FA3175">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b w:val="0"/>
                <w:bCs w:val="0"/>
                <w:sz w:val="21"/>
                <w:szCs w:val="21"/>
                <w:highlight w:val="none"/>
              </w:rPr>
            </w:pPr>
            <w:r>
              <w:rPr>
                <w:rFonts w:hint="default" w:ascii="Segoe UI" w:hAnsi="Segoe UI" w:eastAsia="Segoe UI" w:cs="Segoe UI"/>
                <w:b w:val="0"/>
                <w:bCs w:val="0"/>
                <w:i w:val="0"/>
                <w:iCs w:val="0"/>
                <w:caps w:val="0"/>
                <w:color w:val="0F1115"/>
                <w:spacing w:val="0"/>
                <w:sz w:val="21"/>
                <w:szCs w:val="21"/>
                <w:highlight w:val="none"/>
                <w:shd w:val="clear" w:fill="FFFFFF"/>
              </w:rPr>
              <w:t>（5）未提供施工总平面布置图。得0分。</w:t>
            </w:r>
          </w:p>
        </w:tc>
      </w:tr>
      <w:tr w14:paraId="582A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372E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lang w:val="en-US" w:eastAsia="zh-CN"/>
              </w:rPr>
              <w:t>2、报价文件</w:t>
            </w:r>
            <w:r>
              <w:rPr>
                <w:rFonts w:hint="eastAsia"/>
                <w:b w:val="0"/>
                <w:bCs w:val="0"/>
                <w:sz w:val="21"/>
                <w:szCs w:val="21"/>
                <w:highlight w:val="none"/>
              </w:rPr>
              <w:t>（满分</w:t>
            </w:r>
            <w:r>
              <w:rPr>
                <w:rFonts w:hint="eastAsia"/>
                <w:b w:val="0"/>
                <w:bCs w:val="0"/>
                <w:sz w:val="21"/>
                <w:szCs w:val="21"/>
                <w:highlight w:val="none"/>
                <w:lang w:val="en-US" w:eastAsia="zh-CN"/>
              </w:rPr>
              <w:t>3</w:t>
            </w:r>
            <w:r>
              <w:rPr>
                <w:rFonts w:hint="eastAsia"/>
                <w:b w:val="0"/>
                <w:bCs w:val="0"/>
                <w:sz w:val="21"/>
                <w:szCs w:val="21"/>
                <w:highlight w:val="none"/>
              </w:rPr>
              <w:t>0分）</w:t>
            </w:r>
          </w:p>
        </w:tc>
        <w:tc>
          <w:tcPr>
            <w:tcW w:w="0" w:type="auto"/>
            <w:gridSpan w:val="2"/>
            <w:vAlign w:val="top"/>
          </w:tcPr>
          <w:p w14:paraId="215DB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综合评分法中的价格分统一采用低价优先法计算，即满足磋商文件要求且</w:t>
            </w:r>
          </w:p>
          <w:p w14:paraId="22A43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rPr>
            </w:pPr>
            <w:r>
              <w:rPr>
                <w:rFonts w:hint="eastAsia"/>
                <w:b w:val="0"/>
                <w:bCs w:val="0"/>
                <w:sz w:val="21"/>
                <w:szCs w:val="21"/>
                <w:highlight w:val="none"/>
              </w:rPr>
              <w:t>最后报价最低的供应商的价格为磋商基准价，其价格分为满分30分。其他供应商的价格分统一按照下列公式计算：</w:t>
            </w:r>
          </w:p>
          <w:p w14:paraId="1832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val="0"/>
                <w:sz w:val="21"/>
                <w:szCs w:val="21"/>
                <w:highlight w:val="none"/>
                <w:lang w:val="en-US" w:eastAsia="zh-CN"/>
              </w:rPr>
            </w:pPr>
            <w:r>
              <w:rPr>
                <w:rFonts w:hint="default"/>
                <w:b w:val="0"/>
                <w:bCs w:val="0"/>
                <w:sz w:val="21"/>
                <w:szCs w:val="21"/>
                <w:highlight w:val="none"/>
              </w:rPr>
              <w:t>磋商报价得分=（磋商基准价/最后磋商报价）×30分（计算结果保留小数点后两位，第三位四舍五入）</w:t>
            </w:r>
          </w:p>
        </w:tc>
      </w:tr>
      <w:tr w14:paraId="7F3D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770" w:type="dxa"/>
            <w:vAlign w:val="center"/>
          </w:tcPr>
          <w:p w14:paraId="5089C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3、业绩分（满分3分）</w:t>
            </w:r>
          </w:p>
        </w:tc>
        <w:tc>
          <w:tcPr>
            <w:tcW w:w="7801" w:type="dxa"/>
            <w:gridSpan w:val="2"/>
            <w:vAlign w:val="top"/>
          </w:tcPr>
          <w:p w14:paraId="11BD6028">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（1）在投标截止时间前3年内（以合同签订时间</w:t>
            </w:r>
            <w:r>
              <w:rPr>
                <w:rFonts w:hint="eastAsia" w:ascii="Times New Roman" w:hAnsi="Times New Roman" w:cs="Times New Roman"/>
                <w:b w:val="0"/>
                <w:bCs w:val="0"/>
                <w:kern w:val="0"/>
                <w:sz w:val="21"/>
                <w:szCs w:val="21"/>
                <w:highlight w:val="none"/>
                <w:lang w:val="en-US" w:eastAsia="zh-CN" w:bidi="hi-IN"/>
              </w:rPr>
              <w:t>或中标通知书落款日期或验收证明的日期</w:t>
            </w:r>
            <w:r>
              <w:rPr>
                <w:rFonts w:hint="default" w:ascii="Times New Roman" w:hAnsi="Times New Roman" w:eastAsia="宋体" w:cs="Times New Roman"/>
                <w:b w:val="0"/>
                <w:bCs w:val="0"/>
                <w:kern w:val="0"/>
                <w:sz w:val="21"/>
                <w:szCs w:val="21"/>
                <w:highlight w:val="none"/>
                <w:lang w:val="en-US" w:eastAsia="zh-CN" w:bidi="hi-IN"/>
              </w:rPr>
              <w:t>为准，供应商承接过类似项目的，每个业绩得1分，满分3分。同一项目不重复计分。</w:t>
            </w:r>
          </w:p>
          <w:p w14:paraId="60D7C14F">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（2） 类似项目是指道路工程（包括乡村产业路、公路工程、市政道路工程</w:t>
            </w:r>
            <w:r>
              <w:rPr>
                <w:rFonts w:hint="eastAsia" w:ascii="Times New Roman" w:hAnsi="Times New Roman" w:cs="Times New Roman"/>
                <w:b w:val="0"/>
                <w:bCs w:val="0"/>
                <w:kern w:val="0"/>
                <w:sz w:val="21"/>
                <w:szCs w:val="21"/>
                <w:highlight w:val="none"/>
                <w:lang w:val="en-US" w:eastAsia="zh-CN" w:bidi="hi-IN"/>
              </w:rPr>
              <w:t>、田间道路工程等</w:t>
            </w:r>
            <w:r>
              <w:rPr>
                <w:rFonts w:hint="default" w:ascii="Times New Roman" w:hAnsi="Times New Roman" w:eastAsia="宋体" w:cs="Times New Roman"/>
                <w:b w:val="0"/>
                <w:bCs w:val="0"/>
                <w:kern w:val="0"/>
                <w:sz w:val="21"/>
                <w:szCs w:val="21"/>
                <w:highlight w:val="none"/>
                <w:lang w:val="en-US" w:eastAsia="zh-CN" w:bidi="hi-IN"/>
              </w:rPr>
              <w:t>）。</w:t>
            </w:r>
          </w:p>
          <w:p w14:paraId="308421AE">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（3）证明材料要求： 供应商须提供以下材料</w:t>
            </w:r>
            <w:r>
              <w:rPr>
                <w:rFonts w:hint="eastAsia" w:ascii="Times New Roman" w:hAnsi="Times New Roman" w:cs="Times New Roman"/>
                <w:b w:val="0"/>
                <w:bCs w:val="0"/>
                <w:kern w:val="0"/>
                <w:sz w:val="21"/>
                <w:szCs w:val="21"/>
                <w:highlight w:val="none"/>
                <w:lang w:val="en-US" w:eastAsia="zh-CN" w:bidi="hi-IN"/>
              </w:rPr>
              <w:t>之一</w:t>
            </w:r>
            <w:r>
              <w:rPr>
                <w:rFonts w:hint="default" w:ascii="Times New Roman" w:hAnsi="Times New Roman" w:eastAsia="宋体" w:cs="Times New Roman"/>
                <w:b w:val="0"/>
                <w:bCs w:val="0"/>
                <w:kern w:val="0"/>
                <w:sz w:val="21"/>
                <w:szCs w:val="21"/>
                <w:highlight w:val="none"/>
                <w:lang w:val="en-US" w:eastAsia="zh-CN" w:bidi="hi-IN"/>
              </w:rPr>
              <w:t>，否则不予计分：中标通知书复印件；施工合同复印件（须包含项目名称、工程内容、合同金额、双方盖章页，工程内容中应体现工程内容）；竣工验收证明文件或业主出具的完工证明复印件。上述材料模糊不清或关键信息缺失的，不予计分。</w:t>
            </w:r>
          </w:p>
          <w:p w14:paraId="4B2068E1">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ind w:left="0" w:leftChars="0" w:right="0" w:rightChars="0" w:firstLine="420" w:firstLineChars="200"/>
              <w:textAlignment w:val="auto"/>
              <w:rPr>
                <w:rFonts w:hint="default" w:ascii="Times New Roman" w:hAnsi="Times New Roman" w:eastAsia="宋体" w:cs="Times New Roman"/>
                <w:b w:val="0"/>
                <w:bCs w:val="0"/>
                <w:kern w:val="0"/>
                <w:sz w:val="21"/>
                <w:szCs w:val="21"/>
                <w:highlight w:val="none"/>
                <w:lang w:val="en-US" w:eastAsia="zh-CN" w:bidi="hi-IN"/>
              </w:rPr>
            </w:pPr>
            <w:r>
              <w:rPr>
                <w:rFonts w:hint="default" w:ascii="Times New Roman" w:hAnsi="Times New Roman" w:eastAsia="宋体" w:cs="Times New Roman"/>
                <w:b w:val="0"/>
                <w:bCs w:val="0"/>
                <w:kern w:val="0"/>
                <w:sz w:val="21"/>
                <w:szCs w:val="21"/>
                <w:highlight w:val="none"/>
                <w:lang w:val="en-US" w:eastAsia="zh-CN" w:bidi="hi-IN"/>
              </w:rPr>
              <w:t>（4）业绩归属： 供应商提供的业绩应为自身独立承揽并完成的项目。若为联合体业绩，须同时提供联合体协议（须明确供应商在联合体中的分工）及能证明供应商承担道路工程施工内容的证明材料。分包业绩或转包业绩不予计分。</w:t>
            </w:r>
          </w:p>
        </w:tc>
      </w:tr>
    </w:tbl>
    <w:p w14:paraId="367EB887">
      <w:pPr>
        <w:pStyle w:val="6"/>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四、成交候选人的确定</w:t>
      </w:r>
    </w:p>
    <w:p w14:paraId="53B96FA4">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w:t>
      </w:r>
      <w:r>
        <w:rPr>
          <w:rStyle w:val="27"/>
          <w:rFonts w:hint="default" w:ascii="Segoe UI" w:hAnsi="Segoe UI" w:eastAsia="Segoe UI" w:cs="Segoe UI"/>
          <w:b/>
          <w:bCs/>
          <w:i w:val="0"/>
          <w:iCs w:val="0"/>
          <w:caps w:val="0"/>
          <w:color w:val="0F1115"/>
          <w:spacing w:val="0"/>
          <w:sz w:val="21"/>
          <w:szCs w:val="21"/>
          <w:highlight w:val="none"/>
          <w:shd w:val="clear" w:fill="FFFFFF"/>
        </w:rPr>
        <w:t>汇总与排序</w:t>
      </w:r>
      <w:r>
        <w:rPr>
          <w:rFonts w:hint="default" w:ascii="Segoe UI" w:hAnsi="Segoe UI" w:eastAsia="Segoe UI" w:cs="Segoe UI"/>
          <w:i w:val="0"/>
          <w:iCs w:val="0"/>
          <w:caps w:val="0"/>
          <w:color w:val="0F1115"/>
          <w:spacing w:val="0"/>
          <w:sz w:val="21"/>
          <w:szCs w:val="21"/>
          <w:highlight w:val="none"/>
          <w:shd w:val="clear" w:fill="FFFFFF"/>
        </w:rPr>
        <w:t>：磋商小组将各供应商的</w:t>
      </w:r>
      <w:r>
        <w:rPr>
          <w:rStyle w:val="27"/>
          <w:rFonts w:hint="default" w:ascii="Segoe UI" w:hAnsi="Segoe UI" w:eastAsia="Segoe UI" w:cs="Segoe UI"/>
          <w:b/>
          <w:bCs/>
          <w:i w:val="0"/>
          <w:iCs w:val="0"/>
          <w:caps w:val="0"/>
          <w:color w:val="0F1115"/>
          <w:spacing w:val="0"/>
          <w:sz w:val="21"/>
          <w:szCs w:val="21"/>
          <w:highlight w:val="none"/>
          <w:shd w:val="clear" w:fill="FFFFFF"/>
        </w:rPr>
        <w:t>技术得分</w:t>
      </w:r>
      <w:r>
        <w:rPr>
          <w:rFonts w:hint="eastAsia" w:ascii="Segoe UI" w:hAnsi="Segoe UI" w:eastAsia="宋体" w:cs="Segoe UI"/>
          <w:i w:val="0"/>
          <w:iCs w:val="0"/>
          <w:caps w:val="0"/>
          <w:color w:val="0F1115"/>
          <w:spacing w:val="0"/>
          <w:sz w:val="21"/>
          <w:szCs w:val="21"/>
          <w:highlight w:val="none"/>
          <w:shd w:val="clear" w:fill="FFFFFF"/>
          <w:lang w:eastAsia="zh-CN"/>
        </w:rPr>
        <w:t>、</w:t>
      </w:r>
      <w:r>
        <w:rPr>
          <w:rStyle w:val="27"/>
          <w:rFonts w:hint="default" w:ascii="Segoe UI" w:hAnsi="Segoe UI" w:eastAsia="Segoe UI" w:cs="Segoe UI"/>
          <w:b/>
          <w:bCs/>
          <w:i w:val="0"/>
          <w:iCs w:val="0"/>
          <w:caps w:val="0"/>
          <w:color w:val="0F1115"/>
          <w:spacing w:val="0"/>
          <w:sz w:val="21"/>
          <w:szCs w:val="21"/>
          <w:highlight w:val="none"/>
          <w:shd w:val="clear" w:fill="FFFFFF"/>
        </w:rPr>
        <w:t>价格得分</w:t>
      </w:r>
      <w:r>
        <w:rPr>
          <w:rStyle w:val="27"/>
          <w:rFonts w:hint="eastAsia" w:ascii="Segoe UI" w:hAnsi="Segoe UI" w:eastAsia="宋体" w:cs="Segoe UI"/>
          <w:b/>
          <w:bCs/>
          <w:i w:val="0"/>
          <w:iCs w:val="0"/>
          <w:caps w:val="0"/>
          <w:color w:val="0F1115"/>
          <w:spacing w:val="0"/>
          <w:sz w:val="21"/>
          <w:szCs w:val="21"/>
          <w:highlight w:val="none"/>
          <w:shd w:val="clear" w:fill="FFFFFF"/>
          <w:lang w:val="en-US" w:eastAsia="zh-CN"/>
        </w:rPr>
        <w:t>和业绩分</w:t>
      </w:r>
      <w:r>
        <w:rPr>
          <w:rFonts w:hint="default" w:ascii="Segoe UI" w:hAnsi="Segoe UI" w:eastAsia="Segoe UI" w:cs="Segoe UI"/>
          <w:i w:val="0"/>
          <w:iCs w:val="0"/>
          <w:caps w:val="0"/>
          <w:color w:val="0F1115"/>
          <w:spacing w:val="0"/>
          <w:sz w:val="21"/>
          <w:szCs w:val="21"/>
          <w:highlight w:val="none"/>
          <w:shd w:val="clear" w:fill="FFFFFF"/>
        </w:rPr>
        <w:t>相加，得出</w:t>
      </w:r>
      <w:r>
        <w:rPr>
          <w:rStyle w:val="27"/>
          <w:rFonts w:hint="default" w:ascii="Segoe UI" w:hAnsi="Segoe UI" w:eastAsia="Segoe UI" w:cs="Segoe UI"/>
          <w:b/>
          <w:bCs/>
          <w:i w:val="0"/>
          <w:iCs w:val="0"/>
          <w:caps w:val="0"/>
          <w:color w:val="0F1115"/>
          <w:spacing w:val="0"/>
          <w:sz w:val="21"/>
          <w:szCs w:val="21"/>
          <w:highlight w:val="none"/>
          <w:shd w:val="clear" w:fill="FFFFFF"/>
        </w:rPr>
        <w:t>综合总得分</w:t>
      </w:r>
      <w:r>
        <w:rPr>
          <w:rFonts w:hint="default" w:ascii="Segoe UI" w:hAnsi="Segoe UI" w:eastAsia="Segoe UI" w:cs="Segoe UI"/>
          <w:i w:val="0"/>
          <w:iCs w:val="0"/>
          <w:caps w:val="0"/>
          <w:color w:val="0F1115"/>
          <w:spacing w:val="0"/>
          <w:sz w:val="21"/>
          <w:szCs w:val="21"/>
          <w:highlight w:val="none"/>
          <w:shd w:val="clear" w:fill="FFFFFF"/>
        </w:rPr>
        <w:t>。按综合总得分由高到低顺序推荐成交候选人。</w:t>
      </w:r>
    </w:p>
    <w:p w14:paraId="2A6D5775">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w:t>
      </w:r>
      <w:r>
        <w:rPr>
          <w:rStyle w:val="27"/>
          <w:rFonts w:hint="default" w:ascii="Segoe UI" w:hAnsi="Segoe UI" w:eastAsia="Segoe UI" w:cs="Segoe UI"/>
          <w:b/>
          <w:bCs/>
          <w:i w:val="0"/>
          <w:iCs w:val="0"/>
          <w:caps w:val="0"/>
          <w:color w:val="0F1115"/>
          <w:spacing w:val="0"/>
          <w:sz w:val="21"/>
          <w:szCs w:val="21"/>
          <w:highlight w:val="none"/>
          <w:shd w:val="clear" w:fill="FFFFFF"/>
        </w:rPr>
        <w:t>排序规则</w:t>
      </w:r>
      <w:r>
        <w:rPr>
          <w:rFonts w:hint="default" w:ascii="Segoe UI" w:hAnsi="Segoe UI" w:eastAsia="Segoe UI" w:cs="Segoe UI"/>
          <w:i w:val="0"/>
          <w:iCs w:val="0"/>
          <w:caps w:val="0"/>
          <w:color w:val="0F1115"/>
          <w:spacing w:val="0"/>
          <w:sz w:val="21"/>
          <w:szCs w:val="21"/>
          <w:highlight w:val="none"/>
          <w:shd w:val="clear" w:fill="FFFFFF"/>
        </w:rPr>
        <w:t>：</w:t>
      </w:r>
    </w:p>
    <w:p w14:paraId="1577ABAF">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首先，按综合总得分由高到低排序。</w:t>
      </w:r>
    </w:p>
    <w:p w14:paraId="2BA450CD">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若综合总得分相同，以最终报价低者优先。</w:t>
      </w:r>
    </w:p>
    <w:p w14:paraId="0183DF2D">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若综合总得分与最终报价均相同，以技术指标（施工组织设计）得分高者优先。</w:t>
      </w:r>
    </w:p>
    <w:p w14:paraId="0CA0D7D5">
      <w:pPr>
        <w:pStyle w:val="20"/>
        <w:keepNext w:val="0"/>
        <w:keepLines w:val="0"/>
        <w:widowControl/>
        <w:numPr>
          <w:ilvl w:val="0"/>
          <w:numId w:val="12"/>
        </w:numPr>
        <w:suppressLineNumbers w:val="0"/>
        <w:shd w:val="clear" w:fill="FFFFFF"/>
        <w:spacing w:before="240" w:beforeAutospacing="0" w:after="240" w:afterAutospacing="0" w:line="360" w:lineRule="auto"/>
        <w:ind w:left="0" w:leftChars="0" w:right="0" w:firstLine="420" w:firstLineChars="20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若上述三项均相同，由磋商小组现场采用随机抽取（抽签或摇号）方式确定排序，具体程序如下：</w:t>
      </w:r>
    </w:p>
    <w:p w14:paraId="3AE592BA">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（1）仅当综合总得分、最终报价、技术指标得分三项均完全相同时，方可启动随机抽取程序；</w:t>
      </w:r>
    </w:p>
    <w:p w14:paraId="23AC6C77">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（2）随机取由磋商小组组长执行，抽取过程须全程录音录像，并记入评审报告；</w:t>
      </w:r>
    </w:p>
    <w:p w14:paraId="49D61DF1">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（3）供应商代表可在线见证抽取过程；</w:t>
      </w:r>
    </w:p>
    <w:p w14:paraId="5445B10A">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shd w:val="clear" w:fill="FFFFFF"/>
        </w:rPr>
      </w:pPr>
      <w:r>
        <w:rPr>
          <w:rFonts w:hint="default" w:ascii="Segoe UI" w:hAnsi="Segoe UI" w:eastAsia="Segoe UI" w:cs="Segoe UI"/>
          <w:i w:val="0"/>
          <w:iCs w:val="0"/>
          <w:caps w:val="0"/>
          <w:color w:val="0F1115"/>
          <w:spacing w:val="0"/>
          <w:sz w:val="21"/>
          <w:szCs w:val="21"/>
          <w:highlight w:val="none"/>
          <w:shd w:val="clear" w:fill="FFFFFF"/>
        </w:rPr>
        <w:t>（4）抽取结果一经确定，即为磋商小组最终排序，采购人依据该排序确定成交供应商。</w:t>
      </w:r>
    </w:p>
    <w:p w14:paraId="71FDC908">
      <w:pPr>
        <w:pStyle w:val="20"/>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w:t>
      </w:r>
      <w:r>
        <w:rPr>
          <w:rStyle w:val="27"/>
          <w:rFonts w:hint="default" w:ascii="Segoe UI" w:hAnsi="Segoe UI" w:eastAsia="Segoe UI" w:cs="Segoe UI"/>
          <w:b/>
          <w:bCs/>
          <w:i w:val="0"/>
          <w:iCs w:val="0"/>
          <w:caps w:val="0"/>
          <w:color w:val="0F1115"/>
          <w:spacing w:val="0"/>
          <w:sz w:val="21"/>
          <w:szCs w:val="21"/>
          <w:highlight w:val="none"/>
          <w:shd w:val="clear" w:fill="FFFFFF"/>
        </w:rPr>
        <w:t>成交供应商确定</w:t>
      </w:r>
      <w:r>
        <w:rPr>
          <w:rFonts w:hint="default" w:ascii="Segoe UI" w:hAnsi="Segoe UI" w:eastAsia="Segoe UI" w:cs="Segoe UI"/>
          <w:i w:val="0"/>
          <w:iCs w:val="0"/>
          <w:caps w:val="0"/>
          <w:color w:val="0F1115"/>
          <w:spacing w:val="0"/>
          <w:sz w:val="21"/>
          <w:szCs w:val="21"/>
          <w:highlight w:val="none"/>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6"/>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highlight w:val="none"/>
        </w:rPr>
      </w:pPr>
      <w:r>
        <w:rPr>
          <w:rStyle w:val="27"/>
          <w:rFonts w:hint="default" w:ascii="Segoe UI" w:hAnsi="Segoe UI" w:eastAsia="Segoe UI" w:cs="Segoe UI"/>
          <w:b/>
          <w:i w:val="0"/>
          <w:iCs w:val="0"/>
          <w:caps w:val="0"/>
          <w:color w:val="0F1115"/>
          <w:spacing w:val="0"/>
          <w:sz w:val="21"/>
          <w:szCs w:val="21"/>
          <w:highlight w:val="none"/>
          <w:shd w:val="clear" w:fill="FFFFFF"/>
        </w:rPr>
        <w:t>五、评审报告</w:t>
      </w:r>
    </w:p>
    <w:p w14:paraId="1CAD5EDB">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（一）磋商小组完成评审后，应当起草电子评审报告，并由全体成员在线签字确认。</w:t>
      </w:r>
    </w:p>
    <w:p w14:paraId="25CE07D4">
      <w:pPr>
        <w:pStyle w:val="20"/>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（二）评审报告应当包括：</w:t>
      </w:r>
    </w:p>
    <w:p w14:paraId="5209B8C7">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项目基本情况；</w:t>
      </w:r>
    </w:p>
    <w:p w14:paraId="3B20B18A">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供应商名单和磋商小组成员名单；</w:t>
      </w:r>
    </w:p>
    <w:p w14:paraId="704FB08F">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评审方法和标准；</w:t>
      </w:r>
    </w:p>
    <w:p w14:paraId="57D3F8C2">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资格性、符合性审查情况；</w:t>
      </w:r>
    </w:p>
    <w:p w14:paraId="5FDC6580">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磋商情况及供应商提交的最终响应文件情况；</w:t>
      </w:r>
    </w:p>
    <w:p w14:paraId="3896C5AC">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最终报价情况；</w:t>
      </w:r>
    </w:p>
    <w:p w14:paraId="6F6D3BE4">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综合得分及排序情况；</w:t>
      </w:r>
    </w:p>
    <w:p w14:paraId="37476161">
      <w:pPr>
        <w:pStyle w:val="20"/>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推荐的成交候选人名单。</w:t>
      </w:r>
    </w:p>
    <w:p w14:paraId="68FA1621">
      <w:pPr>
        <w:pStyle w:val="20"/>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highlight w:val="none"/>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598E6433">
      <w:pPr>
        <w:pStyle w:val="4"/>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375" w:name="_Toc80886940"/>
      <w:bookmarkStart w:id="1376" w:name="_Toc80205936"/>
      <w:r>
        <w:rPr>
          <w:rFonts w:hint="eastAsia" w:ascii="宋体" w:hAnsi="宋体" w:eastAsia="宋体" w:cs="宋体"/>
          <w:b/>
          <w:bCs/>
          <w:color w:val="auto"/>
          <w:sz w:val="21"/>
          <w:szCs w:val="21"/>
          <w:highlight w:val="none"/>
          <w:lang w:val="en-US" w:eastAsia="zh-CN" w:bidi="hi-IN"/>
        </w:rPr>
        <w:t>六、评审过程的保密与录像</w:t>
      </w:r>
      <w:bookmarkEnd w:id="1375"/>
      <w:bookmarkEnd w:id="1376"/>
    </w:p>
    <w:p w14:paraId="1886C245">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DA0517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513E533F">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70249F9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32250B56">
      <w:pPr>
        <w:pStyle w:val="35"/>
        <w:shd w:val="clear"/>
        <w:rPr>
          <w:rFonts w:hint="eastAsia" w:ascii="宋体" w:hAnsi="宋体" w:cs="宋体"/>
          <w:bCs/>
          <w:color w:val="auto"/>
          <w:sz w:val="21"/>
          <w:szCs w:val="21"/>
          <w:highlight w:val="none"/>
        </w:rPr>
      </w:pPr>
    </w:p>
    <w:p w14:paraId="260214C8">
      <w:pPr>
        <w:pStyle w:val="34"/>
        <w:shd w:val="clear"/>
        <w:rPr>
          <w:rFonts w:hint="eastAsia"/>
          <w:color w:val="auto"/>
          <w:highlight w:val="none"/>
        </w:rPr>
      </w:pPr>
    </w:p>
    <w:p w14:paraId="3C29FAE1">
      <w:pPr>
        <w:pStyle w:val="35"/>
        <w:rPr>
          <w:rFonts w:hint="eastAsia"/>
          <w:color w:val="auto"/>
          <w:highlight w:val="none"/>
        </w:rPr>
      </w:pPr>
    </w:p>
    <w:p w14:paraId="30E9BE93">
      <w:pPr>
        <w:pStyle w:val="34"/>
        <w:rPr>
          <w:rFonts w:hint="eastAsia"/>
          <w:color w:val="auto"/>
          <w:highlight w:val="none"/>
        </w:rPr>
      </w:pPr>
    </w:p>
    <w:p w14:paraId="39DBE206">
      <w:pPr>
        <w:rPr>
          <w:rFonts w:hint="eastAsia" w:ascii="宋体" w:hAnsi="宋体"/>
          <w:b/>
          <w:bCs/>
          <w:color w:val="auto"/>
          <w:sz w:val="21"/>
          <w:szCs w:val="21"/>
          <w:highlight w:val="none"/>
        </w:rPr>
      </w:pPr>
    </w:p>
    <w:p w14:paraId="4BC852A5">
      <w:pPr>
        <w:pStyle w:val="34"/>
        <w:shd w:val="clear"/>
        <w:spacing w:line="360" w:lineRule="auto"/>
        <w:jc w:val="center"/>
        <w:outlineLvl w:val="0"/>
        <w:rPr>
          <w:rFonts w:hint="eastAsia" w:ascii="宋体" w:hAnsi="宋体"/>
          <w:b/>
          <w:color w:val="auto"/>
          <w:sz w:val="32"/>
          <w:szCs w:val="32"/>
          <w:highlight w:val="none"/>
        </w:rPr>
      </w:pPr>
      <w:bookmarkStart w:id="1377" w:name="_Toc5706"/>
      <w:r>
        <w:rPr>
          <w:rFonts w:hint="eastAsia" w:ascii="宋体" w:hAnsi="宋体"/>
          <w:b/>
          <w:color w:val="auto"/>
          <w:sz w:val="32"/>
          <w:szCs w:val="32"/>
          <w:highlight w:val="none"/>
        </w:rPr>
        <w:t>第七章</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施工图纸及工程量清单</w:t>
      </w:r>
      <w:bookmarkEnd w:id="1377"/>
    </w:p>
    <w:p w14:paraId="7A1E0B10">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一、施工图纸：本项目的施工图纸以电子文件形式提供，供应商登录广西政府采购云平台（</w: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begin"/>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instrText xml:space="preserve"> HYPERLINK "https://www.gcy.zfcg.gxzf.gov.cn/" \t "https://chat.deepseek.com/a/chat/s/_blank" </w:instrTex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separate"/>
      </w:r>
      <w:r>
        <w:rPr>
          <w:rStyle w:val="30"/>
          <w:rFonts w:hint="eastAsia" w:ascii="宋体" w:hAnsi="宋体" w:eastAsia="宋体" w:cs="宋体"/>
          <w:b w:val="0"/>
          <w:bCs w:val="0"/>
          <w:i w:val="0"/>
          <w:iCs w:val="0"/>
          <w:caps w:val="0"/>
          <w:color w:val="3964FE"/>
          <w:spacing w:val="0"/>
          <w:sz w:val="21"/>
          <w:szCs w:val="21"/>
          <w:highlight w:val="none"/>
          <w:u w:val="none"/>
          <w:shd w:val="clear" w:fill="FFFFFF"/>
        </w:rPr>
        <w:t>https://www.gcy.zfcg.gxzf.gov.cn/</w:t>
      </w:r>
      <w:r>
        <w:rPr>
          <w:rFonts w:hint="eastAsia" w:ascii="宋体" w:hAnsi="宋体" w:eastAsia="宋体" w:cs="宋体"/>
          <w:b w:val="0"/>
          <w:bCs w:val="0"/>
          <w:i w:val="0"/>
          <w:iCs w:val="0"/>
          <w:caps w:val="0"/>
          <w:color w:val="3964FE"/>
          <w:spacing w:val="0"/>
          <w:sz w:val="21"/>
          <w:szCs w:val="21"/>
          <w:highlight w:val="none"/>
          <w:u w:val="none"/>
          <w:bdr w:val="single" w:color="auto" w:sz="18" w:space="0"/>
          <w:shd w:val="clear" w:fill="FFFFFF"/>
        </w:rPr>
        <w:fldChar w:fldCharType="end"/>
      </w:r>
      <w:r>
        <w:rPr>
          <w:rFonts w:hint="eastAsia" w:ascii="宋体" w:hAnsi="宋体" w:eastAsia="宋体" w:cs="宋体"/>
          <w:b w:val="0"/>
          <w:bCs w:val="0"/>
          <w:i w:val="0"/>
          <w:iCs w:val="0"/>
          <w:caps w:val="0"/>
          <w:color w:val="0F1115"/>
          <w:spacing w:val="0"/>
          <w:sz w:val="21"/>
          <w:szCs w:val="21"/>
          <w:highlight w:val="none"/>
          <w:shd w:val="clear" w:fill="FFFFFF"/>
        </w:rPr>
        <w:t>）在线申请获取采购文件时，可同步下载PDF格式的施工图纸文件。</w:t>
      </w:r>
    </w:p>
    <w:p w14:paraId="2D10E996">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二、工程量清单：</w:t>
      </w:r>
    </w:p>
    <w:p w14:paraId="4218F533">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采购人提供的工程量清单文件，供应商可登录上述平台下载。该清单仅用于查阅工程数量、项目特征</w:t>
      </w:r>
      <w:r>
        <w:rPr>
          <w:rFonts w:hint="eastAsia" w:ascii="宋体" w:hAnsi="宋体" w:eastAsia="宋体" w:cs="宋体"/>
          <w:b w:val="0"/>
          <w:bCs w:val="0"/>
          <w:i w:val="0"/>
          <w:iCs w:val="0"/>
          <w:caps w:val="0"/>
          <w:color w:val="0F1115"/>
          <w:spacing w:val="0"/>
          <w:sz w:val="21"/>
          <w:szCs w:val="21"/>
          <w:highlight w:val="none"/>
          <w:shd w:val="clear" w:fill="FFFFFF"/>
          <w:lang w:val="en-US" w:eastAsia="zh-CN"/>
        </w:rPr>
        <w:t>等</w:t>
      </w:r>
      <w:r>
        <w:rPr>
          <w:rFonts w:hint="eastAsia" w:ascii="宋体" w:hAnsi="宋体" w:eastAsia="宋体" w:cs="宋体"/>
          <w:b w:val="0"/>
          <w:bCs w:val="0"/>
          <w:i w:val="0"/>
          <w:iCs w:val="0"/>
          <w:caps w:val="0"/>
          <w:color w:val="0F1115"/>
          <w:spacing w:val="0"/>
          <w:sz w:val="21"/>
          <w:szCs w:val="21"/>
          <w:highlight w:val="none"/>
          <w:shd w:val="clear" w:fill="FFFFFF"/>
        </w:rPr>
        <w:t>信息。</w:t>
      </w:r>
    </w:p>
    <w:p w14:paraId="420F4839">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报价要求：供应商应自行将工程量清单内容录入造价软件（如广联达、博奥、同望等），按照国家及广西现行计价依据、定额以及企业自身情况，进行综合单价组价（套用定额、调整材料价格、计取管理费、利润、风险费等），生成已标价工程量清单。</w:t>
      </w:r>
    </w:p>
    <w:p w14:paraId="197CDEDF">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提交格式：供应商应将已标价工程量清单导出为Excel或PDF格式，作为响应文件“商务报价文件”部分的附件上传至广西政府采购云平台。同时，供应商应保留完整的计价软件版原始文件，在中标后根据采购人要求提供。</w:t>
      </w:r>
    </w:p>
    <w:p w14:paraId="54BF9615">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不可竞争费用：安全文明施工费、暂列金额、专业工程暂估价、材料暂估价等不可竞争费用，必须按PDF清单中给定的金额原样填报，不得修改。供应商擅自调整不可竞争费用的，响应文件按无效处理。</w:t>
      </w:r>
    </w:p>
    <w:p w14:paraId="4CDF79E4">
      <w:pPr>
        <w:pStyle w:val="20"/>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sz w:val="21"/>
          <w:szCs w:val="16"/>
          <w:highlight w:val="none"/>
        </w:rPr>
      </w:pPr>
      <w:r>
        <w:rPr>
          <w:rFonts w:hint="eastAsia" w:ascii="宋体" w:hAnsi="宋体" w:eastAsia="宋体" w:cs="宋体"/>
          <w:b w:val="0"/>
          <w:bCs w:val="0"/>
          <w:i w:val="0"/>
          <w:iCs w:val="0"/>
          <w:caps w:val="0"/>
          <w:color w:val="0F1115"/>
          <w:spacing w:val="0"/>
          <w:sz w:val="21"/>
          <w:szCs w:val="21"/>
          <w:highlight w:val="none"/>
          <w:shd w:val="clear" w:fill="FFFFFF"/>
        </w:rPr>
        <w:t>报价说明：供应商应在已标价工程量清单中附上报价编制说明，包括采用的计价软件名称及版本、采用的定额版本、主要材料价格来源（如参考《崇左市建设工程造价信息》第几期）、管理费和利润率取费标准等。</w:t>
      </w:r>
    </w:p>
    <w:p w14:paraId="130F24A9">
      <w:pPr>
        <w:pStyle w:val="20"/>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0" w:afterAutospacing="0" w:line="360" w:lineRule="auto"/>
        <w:ind w:left="0" w:right="0" w:firstLine="420" w:firstLineChars="200"/>
        <w:textAlignment w:val="auto"/>
        <w:rPr>
          <w:rFonts w:hint="eastAsia" w:ascii="宋体" w:hAnsi="宋体" w:eastAsia="宋体" w:cs="宋体"/>
          <w:b w:val="0"/>
          <w:bCs w:val="0"/>
          <w:i w:val="0"/>
          <w:iCs w:val="0"/>
          <w:caps w:val="0"/>
          <w:color w:val="0F1115"/>
          <w:spacing w:val="0"/>
          <w:sz w:val="21"/>
          <w:szCs w:val="21"/>
          <w:highlight w:val="none"/>
        </w:rPr>
      </w:pPr>
      <w:r>
        <w:rPr>
          <w:rFonts w:hint="eastAsia" w:ascii="宋体" w:hAnsi="宋体" w:eastAsia="宋体" w:cs="宋体"/>
          <w:b w:val="0"/>
          <w:bCs w:val="0"/>
          <w:i w:val="0"/>
          <w:iCs w:val="0"/>
          <w:caps w:val="0"/>
          <w:color w:val="0F1115"/>
          <w:spacing w:val="0"/>
          <w:sz w:val="21"/>
          <w:szCs w:val="21"/>
          <w:highlight w:val="none"/>
          <w:shd w:val="clear" w:fill="FFFFFF"/>
        </w:rPr>
        <w:t>三、若供应商无法使用造价软件或对清单格式有疑问，应在响应文件提交截止时间前通过澄清方式向采购代理机构提出。</w:t>
      </w:r>
    </w:p>
    <w:p w14:paraId="6C8D0EEF">
      <w:pPr>
        <w:keepNext w:val="0"/>
        <w:keepLines w:val="0"/>
        <w:pageBreakBefore w:val="0"/>
        <w:shd w:val="clear"/>
        <w:kinsoku/>
        <w:wordWrap/>
        <w:overflowPunct/>
        <w:topLinePunct w:val="0"/>
        <w:autoSpaceDE/>
        <w:autoSpaceDN/>
        <w:bidi w:val="0"/>
        <w:adjustRightInd/>
        <w:snapToGrid/>
        <w:spacing w:line="360" w:lineRule="auto"/>
        <w:ind w:firstLine="400" w:firstLineChars="200"/>
        <w:textAlignment w:val="auto"/>
        <w:rPr>
          <w:rFonts w:hint="eastAsia" w:ascii="宋体" w:hAnsi="宋体" w:eastAsia="宋体" w:cs="宋体"/>
          <w:b w:val="0"/>
          <w:bCs w:val="0"/>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68E8DB-D3D3-42BA-AE1D-7135D801E78D}"/>
  </w:font>
  <w:font w:name="Courier New">
    <w:panose1 w:val="02070309020205020404"/>
    <w:charset w:val="01"/>
    <w:family w:val="modern"/>
    <w:pitch w:val="default"/>
    <w:sig w:usb0="E0002EFF" w:usb1="C0007843" w:usb2="00000009" w:usb3="00000000" w:csb0="400001FF" w:csb1="FFFF0000"/>
    <w:embedRegular r:id="rId2" w:fontKey="{10F1EC84-5D92-4EC4-93E6-01A8F9D4DEC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644C6D4-916A-4F25-A4D8-F260C859AACD}"/>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4" w:fontKey="{98A51D72-25F0-442A-93A2-7C78D829B680}"/>
  </w:font>
  <w:font w:name="仿宋_GB2312">
    <w:panose1 w:val="02010609030101010101"/>
    <w:charset w:val="86"/>
    <w:family w:val="modern"/>
    <w:pitch w:val="default"/>
    <w:sig w:usb0="00000001" w:usb1="080E0000" w:usb2="00000000" w:usb3="00000000" w:csb0="00040000" w:csb1="00000000"/>
    <w:embedRegular r:id="rId5" w:fontKey="{E118AADB-44D3-47AB-9A35-A11AD706746E}"/>
  </w:font>
  <w:font w:name="Segoe UI">
    <w:panose1 w:val="020B0502040204020203"/>
    <w:charset w:val="00"/>
    <w:family w:val="auto"/>
    <w:pitch w:val="default"/>
    <w:sig w:usb0="E4002EFF" w:usb1="C000E47F" w:usb2="00000009" w:usb3="00000000" w:csb0="200001FF" w:csb1="00000000"/>
    <w:embedRegular r:id="rId6" w:fontKey="{7DDEFA79-003D-4F14-872E-87F12884F308}"/>
  </w:font>
  <w:font w:name="方正隶书简体">
    <w:altName w:val="宋体"/>
    <w:panose1 w:val="00000000000000000000"/>
    <w:charset w:val="86"/>
    <w:family w:val="roman"/>
    <w:pitch w:val="default"/>
    <w:sig w:usb0="00000000" w:usb1="00000000" w:usb2="00000000" w:usb3="00000000" w:csb0="00040001" w:csb1="00000000"/>
    <w:embedRegular r:id="rId7" w:fontKey="{29B33C6F-EB3C-4DEE-8B2E-ED9CAB9C8986}"/>
  </w:font>
  <w:font w:name="楷体_GB2312">
    <w:panose1 w:val="02010609030101010101"/>
    <w:charset w:val="86"/>
    <w:family w:val="modern"/>
    <w:pitch w:val="default"/>
    <w:sig w:usb0="00000001" w:usb1="080E0000" w:usb2="00000000" w:usb3="00000000" w:csb0="00040000" w:csb1="00000000"/>
    <w:embedRegular r:id="rId8" w:fontKey="{DCDED95D-E20B-4920-B9EB-FD630178FD5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2D98">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0FC2">
    <w:pPr>
      <w:pStyle w:val="15"/>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Fonts w:hint="eastAsia"/>
      </w:rPr>
      <w:t>６</w:t>
    </w:r>
    <w:r>
      <w:rPr>
        <w:rStyle w:val="28"/>
      </w:rPr>
      <w:fldChar w:fldCharType="end"/>
    </w:r>
  </w:p>
  <w:p w14:paraId="32637BF6">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7E98">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E23F">
    <w:pPr>
      <w:pStyle w:val="4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F1B7A">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02F1B7A">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3A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6DB3">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5C6DB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D014">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0530">
    <w:pPr>
      <w:pStyle w:val="16"/>
      <w:pBdr>
        <w:bottom w:val="none" w:color="auto" w:sz="0" w:space="0"/>
      </w:pBdr>
    </w:pPr>
  </w:p>
  <w:p w14:paraId="5CCA760E">
    <w:pPr>
      <w:pStyle w:val="16"/>
      <w:pBdr>
        <w:bottom w:val="none" w:color="auto" w:sz="0" w:space="0"/>
      </w:pBdr>
    </w:pPr>
  </w:p>
  <w:p w14:paraId="48C1BBE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1EF6">
    <w:pPr>
      <w:pStyle w:val="43"/>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AC1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43A8A77"/>
    <w:multiLevelType w:val="singleLevel"/>
    <w:tmpl w:val="943A8A77"/>
    <w:lvl w:ilvl="0" w:tentative="0">
      <w:start w:val="1"/>
      <w:numFmt w:val="decimal"/>
      <w:suff w:val="nothing"/>
      <w:lvlText w:val="%1．"/>
      <w:lvlJc w:val="left"/>
      <w:pPr>
        <w:ind w:left="0" w:firstLine="400"/>
      </w:pPr>
      <w:rPr>
        <w:rFonts w:hint="default"/>
      </w:rPr>
    </w:lvl>
  </w:abstractNum>
  <w:abstractNum w:abstractNumId="2">
    <w:nsid w:val="9F4A3266"/>
    <w:multiLevelType w:val="singleLevel"/>
    <w:tmpl w:val="9F4A3266"/>
    <w:lvl w:ilvl="0" w:tentative="0">
      <w:start w:val="1"/>
      <w:numFmt w:val="decimal"/>
      <w:lvlText w:val="(%1)"/>
      <w:lvlJc w:val="left"/>
      <w:pPr>
        <w:ind w:left="425" w:hanging="425"/>
      </w:pPr>
      <w:rPr>
        <w:rFonts w:hint="default"/>
      </w:rPr>
    </w:lvl>
  </w:abstractNum>
  <w:abstractNum w:abstractNumId="3">
    <w:nsid w:val="AA34FD10"/>
    <w:multiLevelType w:val="singleLevel"/>
    <w:tmpl w:val="AA34FD10"/>
    <w:lvl w:ilvl="0" w:tentative="0">
      <w:start w:val="1"/>
      <w:numFmt w:val="chineseCounting"/>
      <w:suff w:val="space"/>
      <w:lvlText w:val="第%1章"/>
      <w:lvlJc w:val="left"/>
      <w:rPr>
        <w:rFonts w:hint="eastAsia"/>
      </w:rPr>
    </w:lvl>
  </w:abstractNum>
  <w:abstractNum w:abstractNumId="4">
    <w:nsid w:val="C4F5B75E"/>
    <w:multiLevelType w:val="singleLevel"/>
    <w:tmpl w:val="C4F5B75E"/>
    <w:lvl w:ilvl="0" w:tentative="0">
      <w:start w:val="1"/>
      <w:numFmt w:val="decimal"/>
      <w:suff w:val="nothing"/>
      <w:lvlText w:val="%1．"/>
      <w:lvlJc w:val="left"/>
      <w:pPr>
        <w:ind w:left="0" w:firstLine="400"/>
      </w:pPr>
      <w:rPr>
        <w:rFonts w:hint="default"/>
      </w:rPr>
    </w:lvl>
  </w:abstractNum>
  <w:abstractNum w:abstractNumId="5">
    <w:nsid w:val="0697C3B4"/>
    <w:multiLevelType w:val="singleLevel"/>
    <w:tmpl w:val="0697C3B4"/>
    <w:lvl w:ilvl="0" w:tentative="0">
      <w:start w:val="1"/>
      <w:numFmt w:val="decimal"/>
      <w:suff w:val="nothing"/>
      <w:lvlText w:val="%1．"/>
      <w:lvlJc w:val="left"/>
      <w:pPr>
        <w:ind w:left="0" w:firstLine="400"/>
      </w:pPr>
      <w:rPr>
        <w:rFonts w:hint="default"/>
      </w:rPr>
    </w:lvl>
  </w:abstractNum>
  <w:abstractNum w:abstractNumId="6">
    <w:nsid w:val="277AB9C0"/>
    <w:multiLevelType w:val="singleLevel"/>
    <w:tmpl w:val="277AB9C0"/>
    <w:lvl w:ilvl="0" w:tentative="0">
      <w:start w:val="2"/>
      <w:numFmt w:val="chineseCounting"/>
      <w:suff w:val="nothing"/>
      <w:lvlText w:val="%1、"/>
      <w:lvlJc w:val="left"/>
      <w:rPr>
        <w:rFonts w:hint="eastAsia"/>
      </w:rPr>
    </w:lvl>
  </w:abstractNum>
  <w:abstractNum w:abstractNumId="7">
    <w:nsid w:val="2D8A4FB5"/>
    <w:multiLevelType w:val="multilevel"/>
    <w:tmpl w:val="2D8A4FB5"/>
    <w:lvl w:ilvl="0" w:tentative="0">
      <w:start w:val="2"/>
      <w:numFmt w:val="decimalEnclosedCircle"/>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8">
    <w:nsid w:val="36D5AC9B"/>
    <w:multiLevelType w:val="singleLevel"/>
    <w:tmpl w:val="36D5AC9B"/>
    <w:lvl w:ilvl="0" w:tentative="0">
      <w:start w:val="1"/>
      <w:numFmt w:val="decimal"/>
      <w:lvlText w:val="(%1)"/>
      <w:lvlJc w:val="left"/>
      <w:pPr>
        <w:ind w:left="425" w:hanging="425"/>
      </w:pPr>
      <w:rPr>
        <w:rFonts w:hint="default"/>
      </w:rPr>
    </w:lvl>
  </w:abstractNum>
  <w:abstractNum w:abstractNumId="9">
    <w:nsid w:val="38278932"/>
    <w:multiLevelType w:val="singleLevel"/>
    <w:tmpl w:val="38278932"/>
    <w:lvl w:ilvl="0" w:tentative="0">
      <w:start w:val="1"/>
      <w:numFmt w:val="decimal"/>
      <w:lvlText w:val="(%1)"/>
      <w:lvlJc w:val="left"/>
      <w:pPr>
        <w:ind w:left="425" w:hanging="425"/>
      </w:pPr>
      <w:rPr>
        <w:rFonts w:hint="default"/>
      </w:rPr>
    </w:lvl>
  </w:abstractNum>
  <w:abstractNum w:abstractNumId="10">
    <w:nsid w:val="4B6D9751"/>
    <w:multiLevelType w:val="multilevel"/>
    <w:tmpl w:val="4B6D975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528F789D"/>
    <w:multiLevelType w:val="singleLevel"/>
    <w:tmpl w:val="528F789D"/>
    <w:lvl w:ilvl="0" w:tentative="0">
      <w:start w:val="1"/>
      <w:numFmt w:val="decimal"/>
      <w:suff w:val="space"/>
      <w:lvlText w:val="%1."/>
      <w:lvlJc w:val="left"/>
    </w:lvl>
  </w:abstractNum>
  <w:abstractNum w:abstractNumId="12">
    <w:nsid w:val="5498E193"/>
    <w:multiLevelType w:val="singleLevel"/>
    <w:tmpl w:val="5498E193"/>
    <w:lvl w:ilvl="0" w:tentative="0">
      <w:start w:val="11"/>
      <w:numFmt w:val="decimal"/>
      <w:suff w:val="space"/>
      <w:lvlText w:val="%1."/>
      <w:lvlJc w:val="left"/>
    </w:lvl>
  </w:abstractNum>
  <w:abstractNum w:abstractNumId="13">
    <w:nsid w:val="697E4BDF"/>
    <w:multiLevelType w:val="singleLevel"/>
    <w:tmpl w:val="697E4BDF"/>
    <w:lvl w:ilvl="0" w:tentative="0">
      <w:start w:val="5"/>
      <w:numFmt w:val="decimal"/>
      <w:suff w:val="nothing"/>
      <w:lvlText w:val="%1、"/>
      <w:lvlJc w:val="left"/>
    </w:lvl>
  </w:abstractNum>
  <w:num w:numId="1">
    <w:abstractNumId w:val="3"/>
  </w:num>
  <w:num w:numId="2">
    <w:abstractNumId w:val="10"/>
  </w:num>
  <w:num w:numId="3">
    <w:abstractNumId w:val="13"/>
  </w:num>
  <w:num w:numId="4">
    <w:abstractNumId w:val="5"/>
  </w:num>
  <w:num w:numId="5">
    <w:abstractNumId w:val="0"/>
  </w:num>
  <w:num w:numId="6">
    <w:abstractNumId w:val="12"/>
  </w:num>
  <w:num w:numId="7">
    <w:abstractNumId w:val="7"/>
  </w:num>
  <w:num w:numId="8">
    <w:abstractNumId w:val="6"/>
  </w:num>
  <w:num w:numId="9">
    <w:abstractNumId w:val="11"/>
  </w:num>
  <w:num w:numId="10">
    <w:abstractNumId w:val="9"/>
  </w:num>
  <w:num w:numId="11">
    <w:abstractNumId w:val="2"/>
  </w:num>
  <w:num w:numId="12">
    <w:abstractNumId w:val="1"/>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forms" w:formatting="1" w:enforcement="1" w:cryptProviderType="rsaFull" w:cryptAlgorithmClass="hash" w:cryptAlgorithmType="typeAny" w:cryptAlgorithmSid="4" w:cryptSpinCount="0" w:hash="8aE+abnhuf98ZfBAr2vC2RTKOro=" w:salt="1zT84r+lY3Faa/R38Il38g=="/>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02203B9"/>
    <w:rsid w:val="00BC57CD"/>
    <w:rsid w:val="01750F64"/>
    <w:rsid w:val="01B34312"/>
    <w:rsid w:val="01D86637"/>
    <w:rsid w:val="02E01C47"/>
    <w:rsid w:val="030C4C45"/>
    <w:rsid w:val="03A73866"/>
    <w:rsid w:val="03EC15E0"/>
    <w:rsid w:val="04483B5B"/>
    <w:rsid w:val="046C100E"/>
    <w:rsid w:val="05232D6F"/>
    <w:rsid w:val="053E0EA6"/>
    <w:rsid w:val="055F58C5"/>
    <w:rsid w:val="06243F22"/>
    <w:rsid w:val="06500FA6"/>
    <w:rsid w:val="06731F0E"/>
    <w:rsid w:val="06C9165F"/>
    <w:rsid w:val="06CB57BF"/>
    <w:rsid w:val="071F55C0"/>
    <w:rsid w:val="078D191A"/>
    <w:rsid w:val="090745A8"/>
    <w:rsid w:val="09176EE3"/>
    <w:rsid w:val="091E79DC"/>
    <w:rsid w:val="09383B80"/>
    <w:rsid w:val="09593447"/>
    <w:rsid w:val="09595CA6"/>
    <w:rsid w:val="09D744AE"/>
    <w:rsid w:val="09F62494"/>
    <w:rsid w:val="0A0F3206"/>
    <w:rsid w:val="0AAE0EC7"/>
    <w:rsid w:val="0AD457D5"/>
    <w:rsid w:val="0AEB5882"/>
    <w:rsid w:val="0B005F5D"/>
    <w:rsid w:val="0BB02781"/>
    <w:rsid w:val="0BB50C28"/>
    <w:rsid w:val="0BFB2792"/>
    <w:rsid w:val="0C3A0683"/>
    <w:rsid w:val="0C536B2D"/>
    <w:rsid w:val="0CC92D62"/>
    <w:rsid w:val="0D6D3FE9"/>
    <w:rsid w:val="0D867784"/>
    <w:rsid w:val="0DE421C4"/>
    <w:rsid w:val="0E3D4936"/>
    <w:rsid w:val="0E6049DB"/>
    <w:rsid w:val="0E8A0CB9"/>
    <w:rsid w:val="0F01138E"/>
    <w:rsid w:val="0F011424"/>
    <w:rsid w:val="0F293C18"/>
    <w:rsid w:val="0FB23EFD"/>
    <w:rsid w:val="0FF27563"/>
    <w:rsid w:val="101A7939"/>
    <w:rsid w:val="1050630F"/>
    <w:rsid w:val="10863B09"/>
    <w:rsid w:val="109F51B3"/>
    <w:rsid w:val="10BA3678"/>
    <w:rsid w:val="10D25C88"/>
    <w:rsid w:val="11440B1A"/>
    <w:rsid w:val="11545714"/>
    <w:rsid w:val="117429AC"/>
    <w:rsid w:val="11C11B68"/>
    <w:rsid w:val="12081C36"/>
    <w:rsid w:val="12123139"/>
    <w:rsid w:val="12165F7C"/>
    <w:rsid w:val="128424D9"/>
    <w:rsid w:val="128D4776"/>
    <w:rsid w:val="12B9274D"/>
    <w:rsid w:val="12F35C08"/>
    <w:rsid w:val="131D034D"/>
    <w:rsid w:val="1324110B"/>
    <w:rsid w:val="13500F2D"/>
    <w:rsid w:val="14142CE9"/>
    <w:rsid w:val="14A40C86"/>
    <w:rsid w:val="14FA380C"/>
    <w:rsid w:val="157F49CF"/>
    <w:rsid w:val="15E40F64"/>
    <w:rsid w:val="16024CD6"/>
    <w:rsid w:val="162271F9"/>
    <w:rsid w:val="162440F1"/>
    <w:rsid w:val="16592588"/>
    <w:rsid w:val="167223F0"/>
    <w:rsid w:val="16B965DF"/>
    <w:rsid w:val="16E8540C"/>
    <w:rsid w:val="173A448D"/>
    <w:rsid w:val="17716417"/>
    <w:rsid w:val="182030CC"/>
    <w:rsid w:val="19373E49"/>
    <w:rsid w:val="19A1391A"/>
    <w:rsid w:val="19B56C9A"/>
    <w:rsid w:val="1A2455D2"/>
    <w:rsid w:val="1A4051E0"/>
    <w:rsid w:val="1A9C7618"/>
    <w:rsid w:val="1ADA0506"/>
    <w:rsid w:val="1B4D187D"/>
    <w:rsid w:val="1B8914A7"/>
    <w:rsid w:val="1B9B51B5"/>
    <w:rsid w:val="1C1C4862"/>
    <w:rsid w:val="1C7E55CF"/>
    <w:rsid w:val="1CF00444"/>
    <w:rsid w:val="1D020B93"/>
    <w:rsid w:val="1D9864DE"/>
    <w:rsid w:val="1E5B4F24"/>
    <w:rsid w:val="1E641C9C"/>
    <w:rsid w:val="1FE77392"/>
    <w:rsid w:val="20833BCE"/>
    <w:rsid w:val="20CF3CE7"/>
    <w:rsid w:val="20DD2CF7"/>
    <w:rsid w:val="21EB5A51"/>
    <w:rsid w:val="22385AFF"/>
    <w:rsid w:val="223B0A51"/>
    <w:rsid w:val="225D7B60"/>
    <w:rsid w:val="22FA02FF"/>
    <w:rsid w:val="238021F7"/>
    <w:rsid w:val="23C3584E"/>
    <w:rsid w:val="24284DA4"/>
    <w:rsid w:val="243005EF"/>
    <w:rsid w:val="24DB3944"/>
    <w:rsid w:val="24FA112D"/>
    <w:rsid w:val="25170E91"/>
    <w:rsid w:val="253D2794"/>
    <w:rsid w:val="257E3626"/>
    <w:rsid w:val="261A1516"/>
    <w:rsid w:val="2628728A"/>
    <w:rsid w:val="26612BE0"/>
    <w:rsid w:val="284D6D68"/>
    <w:rsid w:val="29593C3B"/>
    <w:rsid w:val="29DD1C30"/>
    <w:rsid w:val="2A272532"/>
    <w:rsid w:val="2A28618B"/>
    <w:rsid w:val="2A37190A"/>
    <w:rsid w:val="2AA77BC3"/>
    <w:rsid w:val="2ABC734E"/>
    <w:rsid w:val="2B88422F"/>
    <w:rsid w:val="2B952D9C"/>
    <w:rsid w:val="2CCC0D34"/>
    <w:rsid w:val="2D1934DC"/>
    <w:rsid w:val="2D67115C"/>
    <w:rsid w:val="2D683E6D"/>
    <w:rsid w:val="2DA955AB"/>
    <w:rsid w:val="2DD4186B"/>
    <w:rsid w:val="2F1D6D82"/>
    <w:rsid w:val="2F494D9F"/>
    <w:rsid w:val="2FF73BA9"/>
    <w:rsid w:val="30D0400A"/>
    <w:rsid w:val="311F0661"/>
    <w:rsid w:val="32500B82"/>
    <w:rsid w:val="32D71062"/>
    <w:rsid w:val="3342616B"/>
    <w:rsid w:val="33B67FF6"/>
    <w:rsid w:val="352741EE"/>
    <w:rsid w:val="3550491B"/>
    <w:rsid w:val="355D19BD"/>
    <w:rsid w:val="35B83119"/>
    <w:rsid w:val="363634B7"/>
    <w:rsid w:val="36B22128"/>
    <w:rsid w:val="36EC0DEF"/>
    <w:rsid w:val="378676A1"/>
    <w:rsid w:val="37E8011B"/>
    <w:rsid w:val="38282C21"/>
    <w:rsid w:val="38BE13A1"/>
    <w:rsid w:val="39467D8B"/>
    <w:rsid w:val="39494261"/>
    <w:rsid w:val="395169EF"/>
    <w:rsid w:val="39BF6F5A"/>
    <w:rsid w:val="3A033549"/>
    <w:rsid w:val="3A477BE0"/>
    <w:rsid w:val="3A701685"/>
    <w:rsid w:val="3A9657FF"/>
    <w:rsid w:val="3BD85463"/>
    <w:rsid w:val="3C5502A8"/>
    <w:rsid w:val="3CAE03B6"/>
    <w:rsid w:val="3CC86CCC"/>
    <w:rsid w:val="3CD043D5"/>
    <w:rsid w:val="3D91058D"/>
    <w:rsid w:val="3D973F43"/>
    <w:rsid w:val="3E304B29"/>
    <w:rsid w:val="3E36702A"/>
    <w:rsid w:val="3E860F63"/>
    <w:rsid w:val="3EA862F6"/>
    <w:rsid w:val="3EB114AF"/>
    <w:rsid w:val="3EEA1A03"/>
    <w:rsid w:val="3EF43DA9"/>
    <w:rsid w:val="3F530122"/>
    <w:rsid w:val="3F9D6704"/>
    <w:rsid w:val="3FDD4AC1"/>
    <w:rsid w:val="3FDF1755"/>
    <w:rsid w:val="3FEF5E51"/>
    <w:rsid w:val="4064002A"/>
    <w:rsid w:val="40994C08"/>
    <w:rsid w:val="412F6DDF"/>
    <w:rsid w:val="413C678F"/>
    <w:rsid w:val="41517290"/>
    <w:rsid w:val="41952473"/>
    <w:rsid w:val="41B67CD7"/>
    <w:rsid w:val="420C5218"/>
    <w:rsid w:val="422057AC"/>
    <w:rsid w:val="429D4387"/>
    <w:rsid w:val="42EF6D61"/>
    <w:rsid w:val="42FB3958"/>
    <w:rsid w:val="432F233E"/>
    <w:rsid w:val="43496A57"/>
    <w:rsid w:val="437B5863"/>
    <w:rsid w:val="43C53DFE"/>
    <w:rsid w:val="43D7463E"/>
    <w:rsid w:val="4408426B"/>
    <w:rsid w:val="442E2B2D"/>
    <w:rsid w:val="449F74D0"/>
    <w:rsid w:val="44FA0B37"/>
    <w:rsid w:val="459E6943"/>
    <w:rsid w:val="45CC5F5C"/>
    <w:rsid w:val="46291052"/>
    <w:rsid w:val="46571466"/>
    <w:rsid w:val="468530D4"/>
    <w:rsid w:val="46964169"/>
    <w:rsid w:val="46A165C4"/>
    <w:rsid w:val="46A40FA9"/>
    <w:rsid w:val="46BD1F00"/>
    <w:rsid w:val="46E37CCC"/>
    <w:rsid w:val="46F62BCB"/>
    <w:rsid w:val="471368FC"/>
    <w:rsid w:val="4719745D"/>
    <w:rsid w:val="47202054"/>
    <w:rsid w:val="47212364"/>
    <w:rsid w:val="477D33BF"/>
    <w:rsid w:val="47A21449"/>
    <w:rsid w:val="483A6747"/>
    <w:rsid w:val="487E1A6D"/>
    <w:rsid w:val="489C2ECF"/>
    <w:rsid w:val="497C4C55"/>
    <w:rsid w:val="49AB775A"/>
    <w:rsid w:val="49B542D6"/>
    <w:rsid w:val="49D27F33"/>
    <w:rsid w:val="4A1009F7"/>
    <w:rsid w:val="4A3F3133"/>
    <w:rsid w:val="4AA2290B"/>
    <w:rsid w:val="4ABF5578"/>
    <w:rsid w:val="4B447E66"/>
    <w:rsid w:val="4B6127C6"/>
    <w:rsid w:val="4B650E36"/>
    <w:rsid w:val="4B80578B"/>
    <w:rsid w:val="4BF47E47"/>
    <w:rsid w:val="4BFE2ECA"/>
    <w:rsid w:val="4C0A4957"/>
    <w:rsid w:val="4C1A360D"/>
    <w:rsid w:val="4CF65AB9"/>
    <w:rsid w:val="4CF827F2"/>
    <w:rsid w:val="4D3B2BA3"/>
    <w:rsid w:val="4DE5001D"/>
    <w:rsid w:val="4F070E72"/>
    <w:rsid w:val="4F165675"/>
    <w:rsid w:val="4F422A08"/>
    <w:rsid w:val="4F52428A"/>
    <w:rsid w:val="4F5469EE"/>
    <w:rsid w:val="4F5F78A0"/>
    <w:rsid w:val="4FB5642B"/>
    <w:rsid w:val="4FD96636"/>
    <w:rsid w:val="4FD97F17"/>
    <w:rsid w:val="506E408B"/>
    <w:rsid w:val="50B548F3"/>
    <w:rsid w:val="50BE2A56"/>
    <w:rsid w:val="50EA2026"/>
    <w:rsid w:val="50FE4613"/>
    <w:rsid w:val="514A4455"/>
    <w:rsid w:val="5155508B"/>
    <w:rsid w:val="517D2C22"/>
    <w:rsid w:val="51885E41"/>
    <w:rsid w:val="51BA49DD"/>
    <w:rsid w:val="51C21AE4"/>
    <w:rsid w:val="52CC5B4A"/>
    <w:rsid w:val="52FC4970"/>
    <w:rsid w:val="538E0D55"/>
    <w:rsid w:val="539F5BD0"/>
    <w:rsid w:val="53E76A21"/>
    <w:rsid w:val="54342B51"/>
    <w:rsid w:val="54396EBA"/>
    <w:rsid w:val="54493109"/>
    <w:rsid w:val="54A7497D"/>
    <w:rsid w:val="54F246F3"/>
    <w:rsid w:val="552D4E0B"/>
    <w:rsid w:val="55604FD5"/>
    <w:rsid w:val="559E0172"/>
    <w:rsid w:val="55C7591B"/>
    <w:rsid w:val="55E7730D"/>
    <w:rsid w:val="5618081B"/>
    <w:rsid w:val="56C5399A"/>
    <w:rsid w:val="571D70FC"/>
    <w:rsid w:val="57511389"/>
    <w:rsid w:val="57B819BF"/>
    <w:rsid w:val="57CF589D"/>
    <w:rsid w:val="585A65D3"/>
    <w:rsid w:val="586E19AF"/>
    <w:rsid w:val="591C5F7E"/>
    <w:rsid w:val="592B7501"/>
    <w:rsid w:val="59B60656"/>
    <w:rsid w:val="5A232B92"/>
    <w:rsid w:val="5A3F1DEC"/>
    <w:rsid w:val="5A4D2FA3"/>
    <w:rsid w:val="5AFE55D9"/>
    <w:rsid w:val="5B334B73"/>
    <w:rsid w:val="5B823F90"/>
    <w:rsid w:val="5C4031EC"/>
    <w:rsid w:val="5C55629B"/>
    <w:rsid w:val="5CA31DF4"/>
    <w:rsid w:val="5CE63DA4"/>
    <w:rsid w:val="5CFC3B7E"/>
    <w:rsid w:val="5D137776"/>
    <w:rsid w:val="5D480DFC"/>
    <w:rsid w:val="5DDA108E"/>
    <w:rsid w:val="5EBA0F8E"/>
    <w:rsid w:val="5EC734CA"/>
    <w:rsid w:val="5EE476C6"/>
    <w:rsid w:val="5F011BCF"/>
    <w:rsid w:val="5F5B0B0A"/>
    <w:rsid w:val="5FC046E2"/>
    <w:rsid w:val="5FC71D2A"/>
    <w:rsid w:val="602E0357"/>
    <w:rsid w:val="60B92AA1"/>
    <w:rsid w:val="60D77618"/>
    <w:rsid w:val="61280E76"/>
    <w:rsid w:val="620A1069"/>
    <w:rsid w:val="622C7BD9"/>
    <w:rsid w:val="629B6165"/>
    <w:rsid w:val="62AD632D"/>
    <w:rsid w:val="63772175"/>
    <w:rsid w:val="63B82D47"/>
    <w:rsid w:val="641C6983"/>
    <w:rsid w:val="644B4AAF"/>
    <w:rsid w:val="64555026"/>
    <w:rsid w:val="64A930CD"/>
    <w:rsid w:val="652229C3"/>
    <w:rsid w:val="65887133"/>
    <w:rsid w:val="65B35CAB"/>
    <w:rsid w:val="65BF7472"/>
    <w:rsid w:val="65C538FA"/>
    <w:rsid w:val="65CD5006"/>
    <w:rsid w:val="66197962"/>
    <w:rsid w:val="662352EF"/>
    <w:rsid w:val="663544CE"/>
    <w:rsid w:val="663D50A5"/>
    <w:rsid w:val="667B60EF"/>
    <w:rsid w:val="673063C4"/>
    <w:rsid w:val="68920B0B"/>
    <w:rsid w:val="68B97345"/>
    <w:rsid w:val="68BC0BE4"/>
    <w:rsid w:val="691557A5"/>
    <w:rsid w:val="691D3B46"/>
    <w:rsid w:val="693469CC"/>
    <w:rsid w:val="69C82B4D"/>
    <w:rsid w:val="69D84234"/>
    <w:rsid w:val="69EB0AAC"/>
    <w:rsid w:val="6A2776DE"/>
    <w:rsid w:val="6A2829D5"/>
    <w:rsid w:val="6AF528AA"/>
    <w:rsid w:val="6AFB5BA3"/>
    <w:rsid w:val="6AFB6ED0"/>
    <w:rsid w:val="6C027255"/>
    <w:rsid w:val="6C070D0B"/>
    <w:rsid w:val="6C180827"/>
    <w:rsid w:val="6D5C18F8"/>
    <w:rsid w:val="6D8B497C"/>
    <w:rsid w:val="6DC13221"/>
    <w:rsid w:val="6DE06E27"/>
    <w:rsid w:val="6DE508F6"/>
    <w:rsid w:val="6E273A79"/>
    <w:rsid w:val="6E6762F6"/>
    <w:rsid w:val="6EBD2F41"/>
    <w:rsid w:val="6F0A4B1A"/>
    <w:rsid w:val="6FB21682"/>
    <w:rsid w:val="6FC25579"/>
    <w:rsid w:val="6FF07F5B"/>
    <w:rsid w:val="6FFF2A18"/>
    <w:rsid w:val="701C22BD"/>
    <w:rsid w:val="708C17E3"/>
    <w:rsid w:val="70E84778"/>
    <w:rsid w:val="70FA18C3"/>
    <w:rsid w:val="71420D0E"/>
    <w:rsid w:val="7169619C"/>
    <w:rsid w:val="71744516"/>
    <w:rsid w:val="717515A1"/>
    <w:rsid w:val="71781C4C"/>
    <w:rsid w:val="727644F9"/>
    <w:rsid w:val="72AA0252"/>
    <w:rsid w:val="72C46C87"/>
    <w:rsid w:val="72F943F2"/>
    <w:rsid w:val="731352DC"/>
    <w:rsid w:val="739E64DC"/>
    <w:rsid w:val="73C03FFE"/>
    <w:rsid w:val="73FC2B38"/>
    <w:rsid w:val="73FE7A11"/>
    <w:rsid w:val="741D4694"/>
    <w:rsid w:val="74377176"/>
    <w:rsid w:val="745F621A"/>
    <w:rsid w:val="74736BDD"/>
    <w:rsid w:val="74CB70BF"/>
    <w:rsid w:val="75660855"/>
    <w:rsid w:val="7599649C"/>
    <w:rsid w:val="76843DDC"/>
    <w:rsid w:val="768B4D49"/>
    <w:rsid w:val="768C3D6E"/>
    <w:rsid w:val="76CD6AFD"/>
    <w:rsid w:val="7727635A"/>
    <w:rsid w:val="77DF12DF"/>
    <w:rsid w:val="77E17995"/>
    <w:rsid w:val="78070D9C"/>
    <w:rsid w:val="7850375C"/>
    <w:rsid w:val="7855384B"/>
    <w:rsid w:val="7943435E"/>
    <w:rsid w:val="795443BD"/>
    <w:rsid w:val="797E22F7"/>
    <w:rsid w:val="79CF730C"/>
    <w:rsid w:val="79FB07DC"/>
    <w:rsid w:val="7A160FF1"/>
    <w:rsid w:val="7A4D7EA7"/>
    <w:rsid w:val="7AB85890"/>
    <w:rsid w:val="7ADC3C75"/>
    <w:rsid w:val="7AE91634"/>
    <w:rsid w:val="7B6F1D5A"/>
    <w:rsid w:val="7BA619AB"/>
    <w:rsid w:val="7CA51C63"/>
    <w:rsid w:val="7CCB2423"/>
    <w:rsid w:val="7CD253C3"/>
    <w:rsid w:val="7D9F041B"/>
    <w:rsid w:val="7DAA52D3"/>
    <w:rsid w:val="7DE42296"/>
    <w:rsid w:val="7E573F37"/>
    <w:rsid w:val="7E9C48E7"/>
    <w:rsid w:val="7EF51AA5"/>
    <w:rsid w:val="7F0F20D3"/>
    <w:rsid w:val="7F3D6848"/>
    <w:rsid w:val="7F5D730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lang w:val="en-US" w:eastAsia="zh-CN" w:bidi="hi-IN"/>
    </w:rPr>
  </w:style>
  <w:style w:type="paragraph" w:styleId="3">
    <w:name w:val="heading 1"/>
    <w:basedOn w:val="1"/>
    <w:next w:val="1"/>
    <w:autoRedefine/>
    <w:qFormat/>
    <w:uiPriority w:val="99"/>
    <w:pPr>
      <w:keepNext/>
      <w:keepLines/>
      <w:spacing w:line="400" w:lineRule="exact"/>
      <w:outlineLvl w:val="0"/>
    </w:pPr>
    <w:rPr>
      <w:b/>
      <w:kern w:val="0"/>
      <w:sz w:val="44"/>
    </w:rPr>
  </w:style>
  <w:style w:type="paragraph" w:styleId="4">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5">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6">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6">
    <w:name w:val="Default Paragraph Font"/>
    <w:autoRedefine/>
    <w:semiHidden/>
    <w:qFormat/>
    <w:uiPriority w:val="0"/>
  </w:style>
  <w:style w:type="table" w:default="1" w:styleId="24">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annotation text"/>
    <w:basedOn w:val="1"/>
    <w:autoRedefine/>
    <w:qFormat/>
    <w:uiPriority w:val="0"/>
    <w:pPr>
      <w:jc w:val="left"/>
    </w:pPr>
  </w:style>
  <w:style w:type="paragraph" w:styleId="9">
    <w:name w:val="index 6"/>
    <w:basedOn w:val="1"/>
    <w:next w:val="1"/>
    <w:autoRedefine/>
    <w:qFormat/>
    <w:uiPriority w:val="0"/>
    <w:pPr>
      <w:ind w:left="1000" w:leftChars="1000"/>
    </w:pPr>
  </w:style>
  <w:style w:type="paragraph" w:styleId="10">
    <w:name w:val="Body Text"/>
    <w:basedOn w:val="1"/>
    <w:next w:val="1"/>
    <w:autoRedefine/>
    <w:semiHidden/>
    <w:qFormat/>
    <w:uiPriority w:val="0"/>
    <w:pPr>
      <w:spacing w:after="120"/>
    </w:p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autoRedefine/>
    <w:qFormat/>
    <w:uiPriority w:val="0"/>
    <w:pPr>
      <w:tabs>
        <w:tab w:val="right" w:leader="dot" w:pos="9060"/>
      </w:tabs>
      <w:ind w:left="210"/>
      <w:jc w:val="left"/>
    </w:pPr>
    <w:rPr>
      <w:rFonts w:ascii="宋体" w:hAnsi="宋体"/>
      <w:smallCaps/>
      <w:kern w:val="0"/>
      <w:sz w:val="24"/>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1">
    <w:name w:val="index 1"/>
    <w:basedOn w:val="1"/>
    <w:next w:val="1"/>
    <w:autoRedefine/>
    <w:qFormat/>
    <w:uiPriority w:val="99"/>
  </w:style>
  <w:style w:type="paragraph" w:styleId="22">
    <w:name w:val="Title"/>
    <w:basedOn w:val="1"/>
    <w:next w:val="1"/>
    <w:autoRedefine/>
    <w:qFormat/>
    <w:uiPriority w:val="10"/>
    <w:pPr>
      <w:spacing w:before="240" w:after="60"/>
      <w:jc w:val="center"/>
      <w:outlineLvl w:val="0"/>
    </w:pPr>
    <w:rPr>
      <w:rFonts w:ascii="Cambria" w:hAnsi="Cambria"/>
      <w:b/>
      <w:bCs/>
      <w:sz w:val="32"/>
      <w:szCs w:val="32"/>
    </w:rPr>
  </w:style>
  <w:style w:type="paragraph" w:styleId="23">
    <w:name w:val="Body Text First Indent 2"/>
    <w:basedOn w:val="1"/>
    <w:autoRedefine/>
    <w:unhideWhenUsed/>
    <w:qFormat/>
    <w:uiPriority w:val="99"/>
    <w:pPr>
      <w:ind w:firstLine="420" w:firstLineChars="200"/>
    </w:pPr>
  </w:style>
  <w:style w:type="table" w:styleId="25">
    <w:name w:val="Table Grid"/>
    <w:basedOn w:val="24"/>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page number"/>
    <w:basedOn w:val="26"/>
    <w:autoRedefine/>
    <w:qFormat/>
    <w:uiPriority w:val="99"/>
    <w:rPr>
      <w:rFonts w:cs="Times New Roman"/>
    </w:rPr>
  </w:style>
  <w:style w:type="character" w:styleId="29">
    <w:name w:val="FollowedHyperlink"/>
    <w:basedOn w:val="26"/>
    <w:autoRedefine/>
    <w:qFormat/>
    <w:uiPriority w:val="0"/>
    <w:rPr>
      <w:color w:val="800080"/>
      <w:u w:val="none"/>
    </w:rPr>
  </w:style>
  <w:style w:type="character" w:styleId="30">
    <w:name w:val="Hyperlink"/>
    <w:basedOn w:val="26"/>
    <w:qFormat/>
    <w:uiPriority w:val="0"/>
    <w:rPr>
      <w:color w:val="0000FF"/>
      <w:u w:val="single"/>
    </w:rPr>
  </w:style>
  <w:style w:type="paragraph" w:customStyle="1" w:styleId="31">
    <w:name w:val="表格文字"/>
    <w:basedOn w:val="11"/>
    <w:autoRedefine/>
    <w:qFormat/>
    <w:uiPriority w:val="0"/>
    <w:pPr>
      <w:jc w:val="left"/>
    </w:pPr>
    <w:rPr>
      <w:bCs/>
      <w:spacing w:val="10"/>
      <w:sz w:val="24"/>
    </w:rPr>
  </w:style>
  <w:style w:type="paragraph" w:customStyle="1" w:styleId="32">
    <w:name w:val="BodyText1I2"/>
    <w:basedOn w:val="33"/>
    <w:autoRedefine/>
    <w:qFormat/>
    <w:uiPriority w:val="0"/>
    <w:pPr>
      <w:ind w:firstLine="200" w:firstLineChars="200"/>
    </w:pPr>
  </w:style>
  <w:style w:type="paragraph" w:customStyle="1" w:styleId="33">
    <w:name w:val="BodyTextIndent"/>
    <w:basedOn w:val="1"/>
    <w:autoRedefine/>
    <w:qFormat/>
    <w:uiPriority w:val="0"/>
    <w:pPr>
      <w:spacing w:after="120"/>
      <w:ind w:left="420" w:leftChars="200"/>
    </w:pPr>
  </w:style>
  <w:style w:type="paragraph" w:customStyle="1" w:styleId="34">
    <w:name w:val="正文1"/>
    <w:next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1"/>
    <w:basedOn w:val="34"/>
    <w:next w:val="34"/>
    <w:autoRedefine/>
    <w:qFormat/>
    <w:uiPriority w:val="0"/>
    <w:rPr>
      <w:rFonts w:ascii="金山简黑体" w:hAnsi="金山简黑体" w:eastAsia="金山简黑体"/>
      <w:b/>
      <w:spacing w:val="-8"/>
      <w:sz w:val="44"/>
      <w:szCs w:val="20"/>
    </w:rPr>
  </w:style>
  <w:style w:type="paragraph" w:customStyle="1" w:styleId="36">
    <w:name w:val="目录 11"/>
    <w:basedOn w:val="34"/>
    <w:next w:val="34"/>
    <w:autoRedefine/>
    <w:qFormat/>
    <w:uiPriority w:val="39"/>
    <w:pPr>
      <w:tabs>
        <w:tab w:val="right" w:leader="dot" w:pos="9628"/>
      </w:tabs>
    </w:pPr>
    <w:rPr>
      <w:rFonts w:ascii="宋体" w:hAnsi="宋体"/>
      <w:b/>
      <w:color w:val="000000"/>
      <w:sz w:val="32"/>
      <w:szCs w:val="32"/>
    </w:rPr>
  </w:style>
  <w:style w:type="paragraph" w:customStyle="1" w:styleId="37">
    <w:name w:val="正文缩进1"/>
    <w:basedOn w:val="34"/>
    <w:autoRedefine/>
    <w:qFormat/>
    <w:uiPriority w:val="0"/>
    <w:pPr>
      <w:spacing w:line="200" w:lineRule="exact"/>
      <w:ind w:firstLine="301"/>
    </w:pPr>
    <w:rPr>
      <w:rFonts w:ascii="宋体" w:hAnsi="宋体"/>
      <w:spacing w:val="-4"/>
      <w:sz w:val="18"/>
      <w:szCs w:val="20"/>
    </w:rPr>
  </w:style>
  <w:style w:type="paragraph" w:customStyle="1" w:styleId="38">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9">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标题 31"/>
    <w:basedOn w:val="34"/>
    <w:next w:val="34"/>
    <w:autoRedefine/>
    <w:qFormat/>
    <w:uiPriority w:val="0"/>
    <w:pPr>
      <w:keepNext/>
      <w:keepLines/>
      <w:spacing w:before="260" w:after="260" w:line="415" w:lineRule="auto"/>
      <w:outlineLvl w:val="2"/>
    </w:pPr>
    <w:rPr>
      <w:b/>
      <w:bCs/>
      <w:sz w:val="32"/>
      <w:szCs w:val="32"/>
    </w:rPr>
  </w:style>
  <w:style w:type="paragraph" w:customStyle="1" w:styleId="4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Table Paragraph"/>
    <w:basedOn w:val="34"/>
    <w:autoRedefine/>
    <w:qFormat/>
    <w:uiPriority w:val="1"/>
    <w:rPr>
      <w:rFonts w:ascii="宋体" w:hAnsi="宋体" w:eastAsia="宋体" w:cs="宋体"/>
      <w:lang w:val="zh-CN" w:eastAsia="zh-CN" w:bidi="zh-CN"/>
    </w:rPr>
  </w:style>
  <w:style w:type="paragraph" w:customStyle="1" w:styleId="43">
    <w:name w:val="页眉1"/>
    <w:basedOn w:val="34"/>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4">
    <w:name w:val="页脚1"/>
    <w:basedOn w:val="34"/>
    <w:autoRedefine/>
    <w:qFormat/>
    <w:uiPriority w:val="99"/>
    <w:pPr>
      <w:tabs>
        <w:tab w:val="center" w:pos="4153"/>
        <w:tab w:val="right" w:pos="8306"/>
      </w:tabs>
      <w:snapToGrid w:val="0"/>
      <w:jc w:val="left"/>
    </w:pPr>
    <w:rPr>
      <w:rFonts w:ascii="宋体" w:hAnsi="宋体"/>
      <w:sz w:val="18"/>
      <w:szCs w:val="20"/>
    </w:rPr>
  </w:style>
  <w:style w:type="paragraph" w:customStyle="1" w:styleId="45">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6">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7">
    <w:name w:val="目录 21"/>
    <w:basedOn w:val="34"/>
    <w:next w:val="34"/>
    <w:autoRedefine/>
    <w:qFormat/>
    <w:uiPriority w:val="0"/>
    <w:pPr>
      <w:ind w:left="420"/>
    </w:pPr>
  </w:style>
  <w:style w:type="paragraph" w:customStyle="1" w:styleId="4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24215</Words>
  <Characters>26484</Characters>
  <Lines>1</Lines>
  <Paragraphs>1</Paragraphs>
  <TotalTime>18</TotalTime>
  <ScaleCrop>false</ScaleCrop>
  <LinksUpToDate>false</LinksUpToDate>
  <CharactersWithSpaces>26554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2026-06-22T08:48:50Z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60FEB15225894667A7A0BA6E6A2417E5_13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