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r>
        <w:rPr>
          <w:rFonts w:hint="eastAsia" w:ascii="方正小标宋简体" w:hAnsi="方正小标宋简体" w:eastAsia="方正小标宋简体" w:cs="方正小标宋简体"/>
          <w:b/>
          <w:color w:val="auto"/>
          <w:sz w:val="44"/>
          <w:szCs w:val="44"/>
          <w:highlight w:val="none"/>
          <w:lang w:eastAsia="zh-CN"/>
        </w:rPr>
        <w:drawing>
          <wp:inline distT="0" distB="0" distL="114300" distR="114300">
            <wp:extent cx="5635625" cy="1050290"/>
            <wp:effectExtent l="0" t="0" r="0" b="0"/>
            <wp:docPr id="5" name="图片 1" descr="900b284d9d752616ddbde50079fc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900b284d9d752616ddbde50079fced2"/>
                    <pic:cNvPicPr>
                      <a:picLocks noChangeAspect="1"/>
                    </pic:cNvPicPr>
                  </pic:nvPicPr>
                  <pic:blipFill>
                    <a:blip r:embed="rId17"/>
                    <a:stretch>
                      <a:fillRect/>
                    </a:stretch>
                  </pic:blipFill>
                  <pic:spPr>
                    <a:xfrm>
                      <a:off x="0" y="0"/>
                      <a:ext cx="5635625" cy="1050290"/>
                    </a:xfrm>
                    <a:prstGeom prst="rect">
                      <a:avLst/>
                    </a:prstGeom>
                    <a:noFill/>
                    <a:ln>
                      <a:noFill/>
                    </a:ln>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4"/>
        <w:shd w:val="clear"/>
        <w:rPr>
          <w:rFonts w:hint="eastAsia" w:ascii="宋体" w:hAnsi="宋体" w:eastAsia="宋体" w:cs="宋体"/>
          <w:color w:val="auto"/>
          <w:kern w:val="0"/>
          <w:sz w:val="56"/>
          <w:szCs w:val="24"/>
          <w:highlight w:val="none"/>
        </w:rPr>
      </w:pPr>
    </w:p>
    <w:p w14:paraId="3440C553">
      <w:pPr>
        <w:pStyle w:val="34"/>
        <w:shd w:val="clear"/>
        <w:rPr>
          <w:rFonts w:hint="eastAsia" w:ascii="宋体" w:hAnsi="宋体" w:eastAsia="宋体" w:cs="宋体"/>
          <w:color w:val="auto"/>
          <w:kern w:val="0"/>
          <w:sz w:val="56"/>
          <w:szCs w:val="24"/>
          <w:highlight w:val="none"/>
        </w:rPr>
      </w:pPr>
    </w:p>
    <w:p w14:paraId="05C90A5A">
      <w:pPr>
        <w:pStyle w:val="34"/>
        <w:shd w:val="clear"/>
        <w:rPr>
          <w:rFonts w:hint="eastAsia" w:ascii="宋体" w:hAnsi="宋体" w:eastAsia="宋体" w:cs="宋体"/>
          <w:color w:val="auto"/>
          <w:kern w:val="0"/>
          <w:sz w:val="56"/>
          <w:szCs w:val="24"/>
          <w:highlight w:val="none"/>
        </w:rPr>
      </w:pPr>
    </w:p>
    <w:p w14:paraId="7E7F8AA8">
      <w:pPr>
        <w:pStyle w:val="34"/>
        <w:shd w:val="clear"/>
        <w:rPr>
          <w:rFonts w:hint="eastAsia" w:ascii="宋体" w:hAnsi="宋体" w:eastAsia="宋体" w:cs="宋体"/>
          <w:color w:val="auto"/>
          <w:kern w:val="0"/>
          <w:sz w:val="56"/>
          <w:szCs w:val="24"/>
          <w:highlight w:val="none"/>
        </w:rPr>
      </w:pPr>
    </w:p>
    <w:p w14:paraId="5EAE805E">
      <w:pPr>
        <w:pStyle w:val="34"/>
        <w:shd w:val="clear"/>
        <w:rPr>
          <w:rFonts w:hint="eastAsia" w:ascii="宋体" w:hAnsi="宋体" w:eastAsia="宋体" w:cs="宋体"/>
          <w:color w:val="auto"/>
          <w:kern w:val="0"/>
          <w:sz w:val="56"/>
          <w:szCs w:val="24"/>
          <w:highlight w:val="none"/>
        </w:rPr>
      </w:pPr>
    </w:p>
    <w:p w14:paraId="2F21963D">
      <w:pPr>
        <w:pStyle w:val="34"/>
        <w:shd w:val="clear"/>
        <w:rPr>
          <w:rFonts w:hint="eastAsia" w:ascii="宋体" w:hAnsi="宋体" w:eastAsia="宋体" w:cs="宋体"/>
          <w:color w:val="auto"/>
          <w:kern w:val="0"/>
          <w:sz w:val="56"/>
          <w:szCs w:val="24"/>
          <w:highlight w:val="none"/>
        </w:rPr>
      </w:pPr>
    </w:p>
    <w:p w14:paraId="7F9578FF">
      <w:pPr>
        <w:pStyle w:val="34"/>
        <w:shd w:val="clear"/>
        <w:rPr>
          <w:rFonts w:hint="eastAsia" w:ascii="宋体" w:hAnsi="宋体" w:eastAsia="宋体" w:cs="宋体"/>
          <w:color w:val="auto"/>
          <w:kern w:val="0"/>
          <w:sz w:val="56"/>
          <w:szCs w:val="24"/>
          <w:highlight w:val="none"/>
        </w:rPr>
      </w:pPr>
    </w:p>
    <w:p w14:paraId="39D05799">
      <w:pPr>
        <w:pStyle w:val="34"/>
        <w:shd w:val="clear"/>
        <w:rPr>
          <w:rFonts w:hint="eastAsia" w:ascii="宋体" w:hAnsi="宋体" w:eastAsia="宋体" w:cs="宋体"/>
          <w:color w:val="auto"/>
          <w:kern w:val="0"/>
          <w:sz w:val="56"/>
          <w:szCs w:val="24"/>
          <w:highlight w:val="none"/>
        </w:rPr>
      </w:pPr>
    </w:p>
    <w:p w14:paraId="63840A21">
      <w:pPr>
        <w:pStyle w:val="34"/>
        <w:shd w:val="clear"/>
        <w:rPr>
          <w:rFonts w:hint="eastAsia" w:ascii="宋体" w:hAnsi="宋体" w:eastAsia="宋体" w:cs="宋体"/>
          <w:color w:val="auto"/>
          <w:kern w:val="0"/>
          <w:sz w:val="56"/>
          <w:szCs w:val="24"/>
          <w:highlight w:val="none"/>
        </w:rPr>
      </w:pPr>
    </w:p>
    <w:p w14:paraId="20072E5F">
      <w:pPr>
        <w:pStyle w:val="34"/>
        <w:shd w:val="clear"/>
        <w:rPr>
          <w:rFonts w:hint="eastAsia" w:ascii="宋体" w:hAnsi="宋体" w:eastAsia="宋体" w:cs="宋体"/>
          <w:color w:val="auto"/>
          <w:kern w:val="0"/>
          <w:sz w:val="56"/>
          <w:szCs w:val="24"/>
          <w:highlight w:val="none"/>
        </w:rPr>
      </w:pPr>
    </w:p>
    <w:p w14:paraId="155D42FF">
      <w:pPr>
        <w:pStyle w:val="34"/>
        <w:shd w:val="clear"/>
        <w:rPr>
          <w:rFonts w:hint="eastAsia" w:ascii="宋体" w:hAnsi="宋体" w:eastAsia="宋体" w:cs="宋体"/>
          <w:color w:val="auto"/>
          <w:kern w:val="0"/>
          <w:sz w:val="56"/>
          <w:szCs w:val="24"/>
          <w:highlight w:val="none"/>
        </w:rPr>
      </w:pPr>
    </w:p>
    <w:p w14:paraId="11D93A2F">
      <w:pPr>
        <w:pStyle w:val="34"/>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4"/>
        <w:shd w:val="clear"/>
        <w:rPr>
          <w:rFonts w:hint="eastAsia" w:ascii="宋体" w:hAnsi="宋体" w:eastAsia="宋体" w:cs="宋体"/>
          <w:color w:val="auto"/>
          <w:kern w:val="0"/>
          <w:sz w:val="56"/>
          <w:szCs w:val="24"/>
          <w:highlight w:val="none"/>
        </w:rPr>
      </w:pPr>
    </w:p>
    <w:p w14:paraId="7089D3A6">
      <w:pPr>
        <w:pStyle w:val="34"/>
        <w:shd w:val="clear"/>
        <w:rPr>
          <w:rFonts w:hint="eastAsia" w:ascii="宋体" w:hAnsi="宋体" w:eastAsia="宋体" w:cs="宋体"/>
          <w:color w:val="auto"/>
          <w:kern w:val="0"/>
          <w:sz w:val="56"/>
          <w:szCs w:val="24"/>
          <w:highlight w:val="none"/>
        </w:rPr>
      </w:pPr>
    </w:p>
    <w:p w14:paraId="1DF8D1E4">
      <w:pPr>
        <w:pStyle w:val="34"/>
        <w:keepNext w:val="0"/>
        <w:keepLines w:val="0"/>
        <w:pageBreakBefore w:val="0"/>
        <w:widowControl w:val="0"/>
        <w:shd w:val="clear"/>
        <w:kinsoku/>
        <w:wordWrap/>
        <w:overflowPunct/>
        <w:topLinePunct w:val="0"/>
        <w:bidi w:val="0"/>
        <w:snapToGrid/>
        <w:spacing w:line="360" w:lineRule="auto"/>
        <w:ind w:firstLine="1050" w:firstLineChars="3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天等县宁干乡宁干村2026年“千村引领，万村提升”</w:t>
      </w:r>
    </w:p>
    <w:p w14:paraId="7841BB0D">
      <w:pPr>
        <w:pStyle w:val="34"/>
        <w:keepNext w:val="0"/>
        <w:keepLines w:val="0"/>
        <w:pageBreakBefore w:val="0"/>
        <w:widowControl w:val="0"/>
        <w:shd w:val="clear"/>
        <w:kinsoku/>
        <w:wordWrap/>
        <w:overflowPunct/>
        <w:topLinePunct w:val="0"/>
        <w:bidi w:val="0"/>
        <w:snapToGrid/>
        <w:spacing w:line="360" w:lineRule="auto"/>
        <w:ind w:firstLine="2550" w:firstLineChars="850"/>
        <w:textAlignment w:val="auto"/>
        <w:rPr>
          <w:rFonts w:hint="eastAsia" w:hAnsi="宋体" w:cs="宋体"/>
          <w:b w:val="0"/>
          <w:bCs w:val="0"/>
          <w:color w:val="auto"/>
          <w:kern w:val="0"/>
          <w:sz w:val="28"/>
          <w:szCs w:val="21"/>
          <w:highlight w:val="none"/>
          <w:lang w:eastAsia="zh-CN"/>
        </w:rPr>
      </w:pPr>
      <w:r>
        <w:rPr>
          <w:rFonts w:hint="eastAsia" w:hAnsi="宋体" w:cs="宋体"/>
          <w:b w:val="0"/>
          <w:bCs w:val="0"/>
          <w:color w:val="auto"/>
          <w:kern w:val="0"/>
          <w:sz w:val="28"/>
          <w:szCs w:val="21"/>
          <w:highlight w:val="none"/>
          <w:lang w:eastAsia="zh-CN"/>
        </w:rPr>
        <w:t>示范创建项目(宁干乡宁干村屯内道路硬化及配套工程)</w:t>
      </w:r>
    </w:p>
    <w:p w14:paraId="6240ECBF">
      <w:pPr>
        <w:pStyle w:val="34"/>
        <w:keepNext w:val="0"/>
        <w:keepLines w:val="0"/>
        <w:pageBreakBefore w:val="0"/>
        <w:widowControl w:val="0"/>
        <w:shd w:val="clear"/>
        <w:kinsoku/>
        <w:wordWrap/>
        <w:overflowPunct/>
        <w:topLinePunct w:val="0"/>
        <w:bidi w:val="0"/>
        <w:snapToGrid/>
        <w:spacing w:line="360" w:lineRule="auto"/>
        <w:ind w:firstLine="1050" w:firstLineChars="3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CZZC2026-C2-250109-GXCS</w:t>
      </w:r>
    </w:p>
    <w:p w14:paraId="19DCD503">
      <w:pPr>
        <w:pStyle w:val="34"/>
        <w:shd w:val="clear"/>
        <w:rPr>
          <w:rFonts w:hint="eastAsia" w:ascii="宋体" w:hAnsi="宋体" w:eastAsia="宋体" w:cs="宋体"/>
          <w:color w:val="auto"/>
          <w:highlight w:val="none"/>
        </w:rPr>
      </w:pPr>
    </w:p>
    <w:p w14:paraId="66B32579">
      <w:pPr>
        <w:pStyle w:val="34"/>
        <w:shd w:val="clear"/>
        <w:rPr>
          <w:rFonts w:hint="eastAsia" w:ascii="宋体" w:hAnsi="宋体" w:eastAsia="宋体" w:cs="宋体"/>
          <w:color w:val="auto"/>
          <w:highlight w:val="none"/>
        </w:rPr>
      </w:pPr>
    </w:p>
    <w:p w14:paraId="2F7CC738">
      <w:pPr>
        <w:pStyle w:val="34"/>
        <w:shd w:val="clear"/>
        <w:rPr>
          <w:rFonts w:hint="eastAsia" w:ascii="宋体" w:hAnsi="宋体" w:eastAsia="宋体" w:cs="宋体"/>
          <w:color w:val="auto"/>
          <w:highlight w:val="none"/>
        </w:rPr>
      </w:pPr>
    </w:p>
    <w:p w14:paraId="19CA78E1">
      <w:pPr>
        <w:pStyle w:val="34"/>
        <w:shd w:val="clear"/>
        <w:rPr>
          <w:rFonts w:hint="eastAsia" w:ascii="宋体" w:hAnsi="宋体" w:eastAsia="宋体" w:cs="宋体"/>
          <w:color w:val="auto"/>
          <w:highlight w:val="none"/>
        </w:rPr>
      </w:pPr>
    </w:p>
    <w:p w14:paraId="1B1ABC11">
      <w:pPr>
        <w:pStyle w:val="34"/>
        <w:shd w:val="clear"/>
        <w:rPr>
          <w:rFonts w:hint="eastAsia" w:ascii="宋体" w:hAnsi="宋体" w:eastAsia="宋体" w:cs="宋体"/>
          <w:color w:val="auto"/>
          <w:highlight w:val="none"/>
        </w:rPr>
      </w:pPr>
    </w:p>
    <w:p w14:paraId="4AF2E566">
      <w:pPr>
        <w:pStyle w:val="34"/>
        <w:shd w:val="clear"/>
        <w:rPr>
          <w:rFonts w:hint="eastAsia" w:ascii="宋体" w:hAnsi="宋体" w:eastAsia="宋体" w:cs="宋体"/>
          <w:color w:val="auto"/>
          <w:highlight w:val="none"/>
        </w:rPr>
      </w:pPr>
    </w:p>
    <w:p w14:paraId="5A40AC56">
      <w:pPr>
        <w:pStyle w:val="34"/>
        <w:shd w:val="clear"/>
        <w:rPr>
          <w:rFonts w:hint="eastAsia" w:ascii="宋体" w:hAnsi="宋体" w:eastAsia="宋体" w:cs="宋体"/>
          <w:color w:val="auto"/>
          <w:highlight w:val="none"/>
        </w:rPr>
      </w:pPr>
    </w:p>
    <w:p w14:paraId="1EEE7FB8">
      <w:pPr>
        <w:pStyle w:val="34"/>
        <w:shd w:val="clear"/>
        <w:rPr>
          <w:rFonts w:hint="eastAsia" w:ascii="宋体" w:hAnsi="宋体" w:eastAsia="宋体" w:cs="宋体"/>
          <w:color w:val="auto"/>
          <w:highlight w:val="none"/>
        </w:rPr>
      </w:pPr>
    </w:p>
    <w:p w14:paraId="22837BEF">
      <w:pPr>
        <w:pStyle w:val="34"/>
        <w:shd w:val="clear"/>
        <w:rPr>
          <w:rFonts w:hint="eastAsia" w:ascii="宋体" w:hAnsi="宋体" w:eastAsia="宋体" w:cs="宋体"/>
          <w:color w:val="auto"/>
          <w:highlight w:val="none"/>
        </w:rPr>
      </w:pPr>
    </w:p>
    <w:p w14:paraId="0CEFA26F">
      <w:pPr>
        <w:pStyle w:val="34"/>
        <w:shd w:val="clear"/>
        <w:rPr>
          <w:rFonts w:hint="eastAsia" w:ascii="宋体" w:hAnsi="宋体" w:eastAsia="宋体" w:cs="宋体"/>
          <w:color w:val="auto"/>
          <w:highlight w:val="none"/>
        </w:rPr>
      </w:pPr>
    </w:p>
    <w:p w14:paraId="4DF65FCA">
      <w:pPr>
        <w:pStyle w:val="34"/>
        <w:shd w:val="clear"/>
        <w:rPr>
          <w:rFonts w:hint="eastAsia" w:ascii="宋体" w:hAnsi="宋体" w:eastAsia="宋体" w:cs="宋体"/>
          <w:color w:val="auto"/>
          <w:highlight w:val="none"/>
        </w:rPr>
      </w:pPr>
    </w:p>
    <w:p w14:paraId="45DDFD86">
      <w:pPr>
        <w:pStyle w:val="34"/>
        <w:shd w:val="clear"/>
        <w:rPr>
          <w:rFonts w:hint="eastAsia" w:ascii="宋体" w:hAnsi="宋体" w:eastAsia="宋体" w:cs="宋体"/>
          <w:color w:val="auto"/>
          <w:highlight w:val="none"/>
        </w:rPr>
      </w:pPr>
    </w:p>
    <w:p w14:paraId="124AA72C">
      <w:pPr>
        <w:pStyle w:val="34"/>
        <w:shd w:val="clear"/>
        <w:rPr>
          <w:rFonts w:hint="eastAsia" w:ascii="宋体" w:hAnsi="宋体" w:eastAsia="宋体" w:cs="宋体"/>
          <w:color w:val="auto"/>
          <w:highlight w:val="none"/>
        </w:rPr>
      </w:pPr>
    </w:p>
    <w:p w14:paraId="29075631">
      <w:pPr>
        <w:pStyle w:val="34"/>
        <w:shd w:val="clear"/>
        <w:rPr>
          <w:rFonts w:hint="eastAsia" w:ascii="宋体" w:hAnsi="宋体" w:eastAsia="宋体" w:cs="宋体"/>
          <w:color w:val="auto"/>
          <w:highlight w:val="none"/>
        </w:rPr>
      </w:pPr>
    </w:p>
    <w:p w14:paraId="256F2A28">
      <w:pPr>
        <w:pStyle w:val="34"/>
        <w:shd w:val="clear"/>
        <w:rPr>
          <w:rFonts w:hint="eastAsia" w:ascii="宋体" w:hAnsi="宋体" w:eastAsia="宋体" w:cs="宋体"/>
          <w:color w:val="auto"/>
          <w:highlight w:val="none"/>
        </w:rPr>
      </w:pPr>
    </w:p>
    <w:p w14:paraId="77F1039B">
      <w:pPr>
        <w:pStyle w:val="34"/>
        <w:shd w:val="clear"/>
        <w:rPr>
          <w:rFonts w:hint="eastAsia" w:ascii="宋体" w:hAnsi="宋体" w:eastAsia="宋体" w:cs="宋体"/>
          <w:color w:val="auto"/>
          <w:highlight w:val="none"/>
        </w:rPr>
      </w:pPr>
    </w:p>
    <w:p w14:paraId="2A8D8356">
      <w:pPr>
        <w:pStyle w:val="34"/>
        <w:shd w:val="clear"/>
        <w:rPr>
          <w:rFonts w:hint="eastAsia" w:ascii="宋体" w:hAnsi="宋体" w:eastAsia="宋体" w:cs="宋体"/>
          <w:color w:val="auto"/>
          <w:highlight w:val="none"/>
        </w:rPr>
      </w:pPr>
    </w:p>
    <w:p w14:paraId="5950464A">
      <w:pPr>
        <w:pStyle w:val="34"/>
        <w:shd w:val="clear"/>
        <w:rPr>
          <w:rFonts w:hint="eastAsia" w:ascii="宋体" w:hAnsi="宋体" w:eastAsia="宋体" w:cs="宋体"/>
          <w:color w:val="auto"/>
          <w:highlight w:val="none"/>
        </w:rPr>
      </w:pPr>
    </w:p>
    <w:p w14:paraId="56419EEC">
      <w:pPr>
        <w:pStyle w:val="34"/>
        <w:shd w:val="clear"/>
        <w:rPr>
          <w:rFonts w:hint="eastAsia" w:ascii="宋体" w:hAnsi="宋体" w:eastAsia="宋体" w:cs="宋体"/>
          <w:color w:val="auto"/>
          <w:kern w:val="0"/>
          <w:sz w:val="36"/>
          <w:szCs w:val="24"/>
          <w:highlight w:val="none"/>
        </w:rPr>
      </w:pPr>
    </w:p>
    <w:p w14:paraId="632DACE9">
      <w:pPr>
        <w:pStyle w:val="34"/>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天等县交通运输局</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广西崇善项目咨询有限公司</w:t>
      </w:r>
    </w:p>
    <w:p w14:paraId="6E956AC0">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7"/>
        <w:shd w:val="clear"/>
        <w:spacing w:line="360" w:lineRule="auto"/>
        <w:jc w:val="center"/>
        <w:rPr>
          <w:rFonts w:ascii="宋体" w:hAnsi="宋体"/>
          <w:color w:val="auto"/>
          <w:highlight w:val="none"/>
        </w:rPr>
      </w:pPr>
    </w:p>
    <w:p w14:paraId="13CF973F">
      <w:pPr>
        <w:pStyle w:val="37"/>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w:t>
      </w:r>
      <w:r>
        <w:rPr>
          <w:rFonts w:hint="eastAsia" w:ascii="宋体" w:hAnsi="宋体"/>
          <w:b/>
          <w:color w:val="auto"/>
          <w:sz w:val="48"/>
          <w:szCs w:val="48"/>
          <w:highlight w:val="none"/>
          <w:lang w:val="en-US" w:eastAsia="zh-CN"/>
        </w:rPr>
        <w:t xml:space="preserve"> </w:t>
      </w:r>
      <w:r>
        <w:rPr>
          <w:rFonts w:ascii="宋体" w:hAnsi="宋体"/>
          <w:b/>
          <w:color w:val="auto"/>
          <w:sz w:val="48"/>
          <w:szCs w:val="48"/>
          <w:highlight w:val="none"/>
        </w:rPr>
        <w:t>录</w:t>
      </w:r>
    </w:p>
    <w:p w14:paraId="39282E0A">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w:t>
      </w:r>
      <w:r>
        <w:rPr>
          <w:rFonts w:hint="eastAsia"/>
          <w:color w:val="auto"/>
          <w:sz w:val="28"/>
          <w:szCs w:val="28"/>
          <w:highlight w:val="none"/>
          <w:lang w:val="en-US" w:eastAsia="zh-CN"/>
        </w:rPr>
        <w:t xml:space="preserve"> </w:t>
      </w:r>
      <w:r>
        <w:rPr>
          <w:color w:val="auto"/>
          <w:sz w:val="28"/>
          <w:szCs w:val="28"/>
          <w:highlight w:val="none"/>
        </w:rPr>
        <w:t>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color w:val="auto"/>
          <w:sz w:val="28"/>
          <w:szCs w:val="28"/>
          <w:highlight w:val="none"/>
        </w:rPr>
        <w:fldChar w:fldCharType="end"/>
      </w:r>
    </w:p>
    <w:p w14:paraId="11A8D669">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57</w:t>
      </w:r>
      <w:r>
        <w:rPr>
          <w:color w:val="auto"/>
          <w:sz w:val="28"/>
          <w:szCs w:val="28"/>
          <w:highlight w:val="none"/>
        </w:rPr>
        <w:fldChar w:fldCharType="end"/>
      </w:r>
      <w:r>
        <w:rPr>
          <w:color w:val="auto"/>
          <w:sz w:val="28"/>
          <w:szCs w:val="28"/>
          <w:highlight w:val="none"/>
        </w:rPr>
        <w:fldChar w:fldCharType="end"/>
      </w:r>
    </w:p>
    <w:p w14:paraId="6E5B8626">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83</w:t>
      </w:r>
      <w:r>
        <w:rPr>
          <w:color w:val="auto"/>
          <w:sz w:val="28"/>
          <w:szCs w:val="28"/>
          <w:highlight w:val="none"/>
        </w:rPr>
        <w:fldChar w:fldCharType="end"/>
      </w:r>
      <w:r>
        <w:rPr>
          <w:color w:val="auto"/>
          <w:sz w:val="28"/>
          <w:szCs w:val="28"/>
          <w:highlight w:val="none"/>
        </w:rPr>
        <w:fldChar w:fldCharType="end"/>
      </w:r>
    </w:p>
    <w:p w14:paraId="00DCB2A2">
      <w:pPr>
        <w:pStyle w:val="20"/>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94</w:t>
      </w:r>
      <w:r>
        <w:rPr>
          <w:color w:val="auto"/>
          <w:sz w:val="28"/>
          <w:szCs w:val="28"/>
          <w:highlight w:val="none"/>
        </w:rPr>
        <w:fldChar w:fldCharType="end"/>
      </w:r>
      <w:r>
        <w:rPr>
          <w:color w:val="auto"/>
          <w:sz w:val="28"/>
          <w:szCs w:val="28"/>
          <w:highlight w:val="none"/>
        </w:rPr>
        <w:fldChar w:fldCharType="end"/>
      </w:r>
    </w:p>
    <w:p w14:paraId="7BF06B5C">
      <w:pPr>
        <w:pStyle w:val="39"/>
        <w:shd w:val="clear"/>
        <w:spacing w:line="360" w:lineRule="auto"/>
        <w:rPr>
          <w:color w:val="auto"/>
          <w:highlight w:val="none"/>
        </w:rPr>
      </w:pPr>
      <w:r>
        <w:rPr>
          <w:color w:val="auto"/>
          <w:sz w:val="28"/>
          <w:szCs w:val="28"/>
          <w:highlight w:val="none"/>
        </w:rPr>
        <w:fldChar w:fldCharType="end"/>
      </w:r>
    </w:p>
    <w:p w14:paraId="138A3A96">
      <w:pPr>
        <w:pStyle w:val="37"/>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8"/>
        <w:shd w:val="clear"/>
        <w:rPr>
          <w:color w:val="auto"/>
          <w:highlight w:val="none"/>
        </w:rPr>
      </w:pPr>
    </w:p>
    <w:p w14:paraId="631ABBF9">
      <w:pPr>
        <w:pStyle w:val="37"/>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广西崇善项目咨询有限公司</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天等县宁干乡宁干村2026年“千村引领，万村提升”示范创建项目(宁干乡宁干村屯内道路硬化及配套工程)（项目编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CZZC2026-C2-250109-GXCS）</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天等县宁干乡宁干村2026年“千村引领，万村提升”示范创建项目(宁干乡宁干村屯内道路硬化及配套工程)</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2026年7月28日9时00分（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28359089"/>
      <w:bookmarkStart w:id="5" w:name="_Toc35393798"/>
      <w:bookmarkStart w:id="6" w:name="_Toc28359012"/>
      <w:bookmarkStart w:id="7" w:name="_Toc35393629"/>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CZZC2026-C2-250109-GXCS</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天等县宁干乡宁干村2026年“千村引领，万村提升”示范创建项目(宁干乡宁干村屯内道路硬化及配套工程)</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4"/>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人民币柒拾柒万壹仟肆佰玖拾柒元整（¥771497.00）</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4"/>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人民币柒拾柒万壹仟肆佰玖拾柒元整（¥771497.00）。</w:t>
      </w:r>
    </w:p>
    <w:p w14:paraId="7455E040">
      <w:pPr>
        <w:pStyle w:val="34"/>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本项目为天等县宁干乡宁干村2026年“千村引领，万村提升”示范创建项目，主要建设内容为屯内道路硬化工程，配套路基防护、排水系统及交通安全设施等，以施工图纸及工程量清单为准</w:t>
      </w:r>
      <w:r>
        <w:rPr>
          <w:rFonts w:hint="eastAsia"/>
          <w:color w:val="auto"/>
          <w:sz w:val="21"/>
          <w:szCs w:val="21"/>
          <w:highlight w:val="none"/>
          <w:lang w:val="en-US" w:eastAsia="zh-CN"/>
        </w:rPr>
        <w:t>。</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120日历天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28359013"/>
      <w:bookmarkStart w:id="9" w:name="_Toc35393799"/>
      <w:bookmarkStart w:id="10" w:name="_Toc35393630"/>
      <w:bookmarkStart w:id="11" w:name="_Toc2835909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14"/>
      <w:bookmarkStart w:id="13" w:name="_Toc28359091"/>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800"/>
      <w:bookmarkStart w:id="15" w:name="_Toc35393631"/>
      <w:r>
        <w:rPr>
          <w:rFonts w:hint="eastAsia" w:cs="Times New Roman"/>
          <w:color w:val="auto"/>
          <w:sz w:val="21"/>
          <w:szCs w:val="21"/>
          <w:highlight w:val="none"/>
          <w:lang w:eastAsia="zh-CN"/>
        </w:rPr>
        <w:t>具备公路工程施工总承包三级及以上资质，并在人员、设备、资金等方面具有相应施工能力；拟派驻项目经理须具备公路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 xml:space="preserve">16 </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lang w:eastAsia="zh-CN"/>
        </w:rPr>
        <w:t>日。</w:t>
      </w:r>
      <w:bookmarkStart w:id="185" w:name="_GoBack"/>
      <w:bookmarkEnd w:id="185"/>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28359015"/>
      <w:bookmarkStart w:id="17" w:name="_Toc28359092"/>
      <w:bookmarkStart w:id="18" w:name="_Toc35393801"/>
      <w:bookmarkStart w:id="19" w:name="_Toc3539363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2026年7月28日9时00分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28359016"/>
      <w:bookmarkStart w:id="21" w:name="_Toc28359093"/>
      <w:bookmarkStart w:id="22" w:name="_Toc35393802"/>
      <w:bookmarkStart w:id="23" w:name="_Toc3539363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2026年7月28日9时00分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本项目采用远程异地评审，主会场在</w:t>
      </w:r>
      <w:r>
        <w:rPr>
          <w:rFonts w:hint="eastAsia" w:ascii="宋体" w:hAnsi="宋体" w:cs="宋体"/>
          <w:color w:val="auto"/>
          <w:sz w:val="21"/>
          <w:szCs w:val="21"/>
          <w:highlight w:val="none"/>
          <w:lang w:eastAsia="zh-CN"/>
        </w:rPr>
        <w:t>广西崇善项目咨询有限公司</w:t>
      </w:r>
      <w:r>
        <w:rPr>
          <w:rFonts w:hint="eastAsia" w:ascii="Times New Roman" w:hAnsi="Times New Roman" w:eastAsia="宋体" w:cs="Times New Roman"/>
          <w:color w:val="auto"/>
          <w:sz w:val="21"/>
          <w:szCs w:val="21"/>
          <w:highlight w:val="none"/>
        </w:rPr>
        <w:t>【</w:t>
      </w:r>
      <w:r>
        <w:rPr>
          <w:rFonts w:hint="eastAsia" w:ascii="宋体" w:hAnsi="宋体" w:cs="宋体"/>
          <w:color w:val="auto"/>
          <w:sz w:val="21"/>
          <w:szCs w:val="21"/>
          <w:highlight w:val="none"/>
          <w:lang w:eastAsia="zh-CN"/>
        </w:rPr>
        <w:t>崇左市江州区城南区新城路西段南侧（阳光名邸）第C4栋103号</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28359017"/>
      <w:bookmarkStart w:id="25" w:name="_Toc28359094"/>
      <w:bookmarkStart w:id="26" w:name="_Toc35393634"/>
      <w:bookmarkStart w:id="27" w:name="_Toc35393803"/>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804"/>
      <w:bookmarkStart w:id="29" w:name="_Toc35393635"/>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35393636"/>
      <w:bookmarkStart w:id="31" w:name="_Toc28359018"/>
      <w:bookmarkStart w:id="32" w:name="_Toc35393805"/>
      <w:bookmarkStart w:id="33" w:name="_Toc2835909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4"/>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天等县</w:t>
      </w:r>
      <w:r>
        <w:rPr>
          <w:rFonts w:hint="eastAsia" w:ascii="宋体" w:hAnsi="宋体" w:cs="宋体"/>
          <w:color w:val="auto"/>
          <w:sz w:val="21"/>
          <w:szCs w:val="21"/>
          <w:highlight w:val="none"/>
          <w:lang w:eastAsia="zh-CN"/>
        </w:rPr>
        <w:t>财政局政府采购监督管理</w:t>
      </w:r>
      <w:r>
        <w:rPr>
          <w:rFonts w:hint="eastAsia" w:hAnsi="宋体" w:cs="宋体"/>
          <w:color w:val="auto"/>
          <w:sz w:val="21"/>
          <w:szCs w:val="21"/>
          <w:highlight w:val="none"/>
          <w:lang w:val="en-US" w:eastAsia="zh-CN"/>
        </w:rPr>
        <w:t>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0771-3530890 </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8812_WPSOffice_Level1"/>
      <w:bookmarkStart w:id="35" w:name="_Toc2920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天等县交通运输局</w:t>
      </w:r>
    </w:p>
    <w:p w14:paraId="50914398">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000000" w:themeColor="text1"/>
          <w:sz w:val="21"/>
          <w:szCs w:val="21"/>
          <w:highlight w:val="none"/>
          <w:lang w:eastAsia="zh-CN"/>
          <w14:textFill>
            <w14:solidFill>
              <w14:schemeClr w14:val="tx1"/>
            </w14:solidFill>
          </w14:textFill>
        </w:rPr>
        <w:t>天等县天等镇隆罕路6号6栋4楼</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言铭</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eastAsia="宋体" w:cs="宋体"/>
          <w:color w:val="000000" w:themeColor="text1"/>
          <w:sz w:val="21"/>
          <w:szCs w:val="21"/>
          <w:highlight w:val="none"/>
          <w:lang w:eastAsia="zh-CN"/>
          <w14:textFill>
            <w14:solidFill>
              <w14:schemeClr w14:val="tx1"/>
            </w14:solidFill>
          </w14:textFill>
        </w:rPr>
        <w:t>0771-3521179</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10"/>
      <w:bookmarkStart w:id="37" w:name="_Toc28359087"/>
      <w:r>
        <w:rPr>
          <w:rFonts w:hint="eastAsia" w:ascii="宋体" w:hAnsi="宋体" w:cs="宋体"/>
          <w:color w:val="auto"/>
          <w:sz w:val="21"/>
          <w:szCs w:val="21"/>
          <w:highlight w:val="none"/>
          <w:lang w:eastAsia="zh-CN"/>
        </w:rPr>
        <w:t>广西崇善项目咨询有限公司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崇左市江州区城南区新城路西段南侧（阳光名邸）第C4栋103号房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p>
    <w:p w14:paraId="6F031ECE">
      <w:pPr>
        <w:pStyle w:val="34"/>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天等县交通运输局</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广西崇善项目咨询有限公司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lang w:eastAsia="zh-CN"/>
        </w:rPr>
        <w:t>日</w:t>
      </w:r>
    </w:p>
    <w:p w14:paraId="29884ABB">
      <w:pPr>
        <w:pStyle w:val="38"/>
        <w:shd w:val="clear"/>
        <w:rPr>
          <w:color w:val="auto"/>
          <w:highlight w:val="none"/>
        </w:rPr>
      </w:pPr>
    </w:p>
    <w:p w14:paraId="1F6F47B5">
      <w:pPr>
        <w:pStyle w:val="37"/>
        <w:shd w:val="clear"/>
        <w:rPr>
          <w:color w:val="auto"/>
          <w:highlight w:val="none"/>
        </w:rPr>
      </w:pPr>
    </w:p>
    <w:p w14:paraId="5DB09B42">
      <w:pPr>
        <w:pStyle w:val="38"/>
        <w:rPr>
          <w:color w:val="auto"/>
          <w:highlight w:val="none"/>
        </w:rPr>
      </w:pPr>
    </w:p>
    <w:p w14:paraId="7E712607">
      <w:pPr>
        <w:pStyle w:val="37"/>
        <w:rPr>
          <w:color w:val="auto"/>
          <w:highlight w:val="none"/>
        </w:rPr>
      </w:pPr>
    </w:p>
    <w:p w14:paraId="16ECB211">
      <w:pPr>
        <w:pStyle w:val="38"/>
        <w:rPr>
          <w:color w:val="auto"/>
          <w:highlight w:val="none"/>
        </w:rPr>
      </w:pPr>
    </w:p>
    <w:p w14:paraId="7AEC1D78">
      <w:pPr>
        <w:pStyle w:val="37"/>
        <w:rPr>
          <w:color w:val="auto"/>
          <w:highlight w:val="none"/>
        </w:rPr>
      </w:pPr>
    </w:p>
    <w:p w14:paraId="47F4CCCF">
      <w:pPr>
        <w:pStyle w:val="38"/>
      </w:pPr>
    </w:p>
    <w:p w14:paraId="44EEC15C">
      <w:pPr>
        <w:pStyle w:val="37"/>
      </w:pPr>
    </w:p>
    <w:p w14:paraId="3F3DFF61">
      <w:pPr>
        <w:pStyle w:val="38"/>
      </w:pPr>
    </w:p>
    <w:p w14:paraId="64417937">
      <w:pPr>
        <w:pStyle w:val="37"/>
      </w:pPr>
    </w:p>
    <w:p w14:paraId="117579F6">
      <w:pPr>
        <w:pStyle w:val="38"/>
      </w:pPr>
    </w:p>
    <w:p w14:paraId="5ED0521B">
      <w:pPr>
        <w:pStyle w:val="37"/>
      </w:pPr>
    </w:p>
    <w:p w14:paraId="0C446C39">
      <w:pPr>
        <w:pStyle w:val="38"/>
      </w:pPr>
    </w:p>
    <w:p w14:paraId="1D22596E">
      <w:pPr>
        <w:pStyle w:val="37"/>
      </w:pPr>
    </w:p>
    <w:p w14:paraId="4C6E0194">
      <w:pPr>
        <w:pStyle w:val="37"/>
        <w:rPr>
          <w:color w:val="auto"/>
          <w:highlight w:val="none"/>
        </w:rPr>
      </w:pPr>
    </w:p>
    <w:p w14:paraId="1D33C113">
      <w:pPr>
        <w:pStyle w:val="37"/>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 供</w:t>
      </w:r>
      <w:r>
        <w:rPr>
          <w:rFonts w:ascii="宋体" w:hAnsi="宋体"/>
          <w:b/>
          <w:color w:val="auto"/>
          <w:sz w:val="32"/>
          <w:szCs w:val="32"/>
          <w:highlight w:val="none"/>
        </w:rPr>
        <w:t>应商须知</w:t>
      </w:r>
      <w:bookmarkEnd w:id="39"/>
    </w:p>
    <w:p w14:paraId="3082594D">
      <w:pPr>
        <w:pStyle w:val="37"/>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7"/>
        <w:shd w:val="clear"/>
        <w:rPr>
          <w:color w:val="auto"/>
          <w:highlight w:val="none"/>
        </w:rPr>
      </w:pPr>
    </w:p>
    <w:tbl>
      <w:tblPr>
        <w:tblStyle w:val="27"/>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833"/>
        <w:gridCol w:w="6309"/>
        <w:gridCol w:w="11"/>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4" w:type="dxa"/>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833" w:type="dxa"/>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6320" w:type="dxa"/>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85" w:hRule="exact"/>
          <w:jc w:val="center"/>
        </w:trPr>
        <w:tc>
          <w:tcPr>
            <w:tcW w:w="644" w:type="dxa"/>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833" w:type="dxa"/>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6320" w:type="dxa"/>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天等县宁干乡宁干村2026年“千村引领，万村提升”示范创建项目(宁干乡宁干村屯内道路硬化及配套工程)；</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CZZC2026-C2-250109-GXCS</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644" w:type="dxa"/>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833" w:type="dxa"/>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6320" w:type="dxa"/>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天等县宁干乡宁干村</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644" w:type="dxa"/>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833" w:type="dxa"/>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6320" w:type="dxa"/>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人民币柒拾柒万壹仟肆佰玖拾柒元整（¥771497.00）</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644" w:type="dxa"/>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833" w:type="dxa"/>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6320" w:type="dxa"/>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eastAsia="宋体" w:cs="宋体"/>
                <w:bCs/>
                <w:color w:val="auto"/>
                <w:sz w:val="21"/>
                <w:szCs w:val="21"/>
                <w:highlight w:val="none"/>
                <w:lang w:eastAsia="zh-CN"/>
              </w:rPr>
            </w:pPr>
            <w:r>
              <w:rPr>
                <w:rFonts w:hint="eastAsia" w:ascii="宋体" w:hAnsi="宋体" w:cs="宋体"/>
                <w:bCs/>
                <w:color w:val="auto"/>
                <w:sz w:val="21"/>
                <w:szCs w:val="21"/>
                <w:highlight w:val="none"/>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exact"/>
          <w:jc w:val="center"/>
        </w:trPr>
        <w:tc>
          <w:tcPr>
            <w:tcW w:w="644" w:type="dxa"/>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833" w:type="dxa"/>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6320" w:type="dxa"/>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达到国家施工验收规范合格标准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0" w:hRule="exact"/>
          <w:jc w:val="center"/>
        </w:trPr>
        <w:tc>
          <w:tcPr>
            <w:tcW w:w="644" w:type="dxa"/>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833" w:type="dxa"/>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6320" w:type="dxa"/>
            <w:gridSpan w:val="2"/>
            <w:vAlign w:val="center"/>
          </w:tcPr>
          <w:p w14:paraId="13DB65B3">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bCs/>
                <w:color w:val="auto"/>
                <w:sz w:val="21"/>
                <w:szCs w:val="21"/>
                <w:highlight w:val="none"/>
              </w:rPr>
            </w:pPr>
            <w:r>
              <w:rPr>
                <w:rFonts w:hint="eastAsia"/>
                <w:color w:val="auto"/>
                <w:sz w:val="21"/>
                <w:szCs w:val="21"/>
                <w:highlight w:val="none"/>
                <w:lang w:eastAsia="zh-CN"/>
              </w:rPr>
              <w:t>本项目为天等县宁干乡宁干村2026年“千村引领，万村提升”示范创建项目，主要建设内容为屯内道路硬化工程，配套路基防护、排水系统及交通安全设施等，以施工图纸及工程量清单为准</w:t>
            </w:r>
            <w:r>
              <w:rPr>
                <w:rFonts w:hint="eastAsia"/>
                <w:color w:val="auto"/>
                <w:sz w:val="21"/>
                <w:szCs w:val="21"/>
                <w:highlight w:val="none"/>
                <w:lang w:val="en-US" w:eastAsia="zh-CN"/>
              </w:rPr>
              <w:t>。</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644" w:type="dxa"/>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833" w:type="dxa"/>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2" w:firstLineChars="200"/>
              <w:textAlignment w:val="auto"/>
              <w:rPr>
                <w:rFonts w:hint="eastAsia" w:ascii="宋体" w:hAnsi="宋体" w:cs="宋体"/>
                <w:color w:val="auto"/>
                <w:sz w:val="21"/>
                <w:szCs w:val="21"/>
                <w:highlight w:val="none"/>
                <w:lang w:eastAsia="zh-CN"/>
              </w:rPr>
            </w:pPr>
            <w:r>
              <w:rPr>
                <w:rFonts w:hint="eastAsia" w:ascii="宋体" w:hAnsi="宋体" w:cs="宋体"/>
                <w:b/>
                <w:bCs/>
                <w:color w:val="auto"/>
                <w:kern w:val="0"/>
                <w:sz w:val="21"/>
                <w:szCs w:val="21"/>
                <w:highlight w:val="none"/>
                <w:lang w:eastAsia="zh-CN"/>
              </w:rPr>
              <w:t>工期要求</w:t>
            </w:r>
          </w:p>
        </w:tc>
        <w:tc>
          <w:tcPr>
            <w:tcW w:w="6320" w:type="dxa"/>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120日历天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exact"/>
          <w:jc w:val="center"/>
        </w:trPr>
        <w:tc>
          <w:tcPr>
            <w:tcW w:w="644" w:type="dxa"/>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833" w:type="dxa"/>
            <w:vAlign w:val="center"/>
          </w:tcPr>
          <w:p w14:paraId="37C0705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Cs/>
                <w:color w:val="auto"/>
                <w:sz w:val="21"/>
                <w:szCs w:val="21"/>
                <w:highlight w:val="none"/>
                <w:lang w:eastAsia="zh-CN"/>
              </w:rPr>
            </w:pPr>
            <w:r>
              <w:rPr>
                <w:rFonts w:hint="eastAsia" w:ascii="宋体" w:hAnsi="宋体" w:cs="宋体"/>
                <w:b/>
                <w:bCs w:val="0"/>
                <w:color w:val="auto"/>
                <w:sz w:val="21"/>
                <w:szCs w:val="21"/>
                <w:highlight w:val="none"/>
                <w:lang w:eastAsia="zh-CN"/>
              </w:rPr>
              <w:t>资金来源</w:t>
            </w:r>
          </w:p>
        </w:tc>
        <w:tc>
          <w:tcPr>
            <w:tcW w:w="6320" w:type="dxa"/>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天政函〔2025〕127号关于同意2026年提前批中央和自治区财政衔接推进乡村振兴补助资金项目计划的批复</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44" w:type="dxa"/>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833" w:type="dxa"/>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6320" w:type="dxa"/>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36"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公路工程施工总承包三级及以上资质，并在人员、设备、资金等方面具有相应施工能力；拟派驻项目经理须具备公路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644" w:type="dxa"/>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833" w:type="dxa"/>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6320" w:type="dxa"/>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644" w:type="dxa"/>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833" w:type="dxa"/>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6320" w:type="dxa"/>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rPr>
              <w:t>工程量清单报价。</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44" w:type="dxa"/>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833" w:type="dxa"/>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6320" w:type="dxa"/>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25" w:hRule="atLeast"/>
          <w:jc w:val="center"/>
        </w:trPr>
        <w:tc>
          <w:tcPr>
            <w:tcW w:w="644" w:type="dxa"/>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833" w:type="dxa"/>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6309" w:type="dxa"/>
          </w:tcPr>
          <w:p w14:paraId="24D6A8CC">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67" w:hRule="atLeast"/>
          <w:jc w:val="center"/>
        </w:trPr>
        <w:tc>
          <w:tcPr>
            <w:tcW w:w="644" w:type="dxa"/>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833" w:type="dxa"/>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6309" w:type="dxa"/>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rPr>
              <w:t>自行对工程现场及周围环境进行踏勘</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2" w:hRule="atLeast"/>
          <w:jc w:val="center"/>
        </w:trPr>
        <w:tc>
          <w:tcPr>
            <w:tcW w:w="644" w:type="dxa"/>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833" w:type="dxa"/>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6309" w:type="dxa"/>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5B16E0F6">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▲未传输递交电子响应文件的，竞标无效。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▲未按规定</w:t>
            </w:r>
            <w:r>
              <w:rPr>
                <w:rFonts w:hint="eastAsia" w:ascii="宋体" w:hAnsi="宋体" w:cs="宋体"/>
                <w:color w:val="auto"/>
                <w:kern w:val="0"/>
                <w:sz w:val="21"/>
                <w:szCs w:val="21"/>
                <w:highlight w:val="none"/>
                <w:lang w:val="en-US" w:eastAsia="zh-CN" w:bidi="ar"/>
              </w:rPr>
              <w:t>及时</w:t>
            </w:r>
            <w:r>
              <w:rPr>
                <w:rFonts w:hint="eastAsia" w:ascii="宋体" w:hAnsi="宋体" w:eastAsia="宋体" w:cs="宋体"/>
                <w:color w:val="auto"/>
                <w:kern w:val="0"/>
                <w:sz w:val="21"/>
                <w:szCs w:val="21"/>
                <w:highlight w:val="none"/>
                <w:lang w:val="en-US" w:eastAsia="zh-CN" w:bidi="ar"/>
              </w:rPr>
              <w:t>提供相应的备份响应文件，造成项目开评标活动无法进行下去的，竞标无效。</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072" w:hRule="atLeast"/>
          <w:jc w:val="center"/>
        </w:trPr>
        <w:tc>
          <w:tcPr>
            <w:tcW w:w="644" w:type="dxa"/>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833" w:type="dxa"/>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6309" w:type="dxa"/>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color w:val="auto"/>
                <w:sz w:val="21"/>
                <w:szCs w:val="21"/>
                <w:highlight w:val="none"/>
                <w:lang w:val="en-US" w:eastAsia="zh-CN"/>
              </w:rPr>
              <w:t>2026年7月28日9时00分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82" w:hRule="atLeast"/>
          <w:jc w:val="center"/>
        </w:trPr>
        <w:tc>
          <w:tcPr>
            <w:tcW w:w="644" w:type="dxa"/>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833" w:type="dxa"/>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6309" w:type="dxa"/>
            <w:vAlign w:val="center"/>
          </w:tcPr>
          <w:p w14:paraId="15EDBFF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地点：本项目采用远程异地评审，主会场在广西崇善项目咨询有限公司【崇左市江州区城南区新城路西段南侧（阳光名邸）第C4栋103号】通过广西政府采购云平台实行在线解密开启，副会场在百色市右江区新兴路体育广场“恒升酒店”19楼。</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时间：2026年7月28日9时00分后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lang w:val="en-US" w:eastAsia="zh-CN"/>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63" w:hRule="atLeast"/>
          <w:jc w:val="center"/>
        </w:trPr>
        <w:tc>
          <w:tcPr>
            <w:tcW w:w="644" w:type="dxa"/>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833" w:type="dxa"/>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6309" w:type="dxa"/>
            <w:vAlign w:val="center"/>
          </w:tcPr>
          <w:p w14:paraId="04B4827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lang w:val="en-US" w:eastAsia="zh-CN"/>
              </w:rPr>
            </w:pPr>
            <w:r>
              <w:rPr>
                <w:rFonts w:hint="eastAsia"/>
                <w:color w:val="auto"/>
                <w:sz w:val="21"/>
                <w:szCs w:val="21"/>
                <w:highlight w:val="none"/>
                <w:lang w:val="en-US" w:eastAsia="zh-CN"/>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29" w:hRule="atLeast"/>
          <w:jc w:val="center"/>
        </w:trPr>
        <w:tc>
          <w:tcPr>
            <w:tcW w:w="644" w:type="dxa"/>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833" w:type="dxa"/>
            <w:vAlign w:val="center"/>
          </w:tcPr>
          <w:p w14:paraId="2B3B985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20F5CC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309" w:type="dxa"/>
            <w:vAlign w:val="center"/>
          </w:tcPr>
          <w:p w14:paraId="24BDDF9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57B19E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73AEBE2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9930B6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427022D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51D9A6A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51" w:hRule="atLeast"/>
          <w:jc w:val="center"/>
        </w:trPr>
        <w:tc>
          <w:tcPr>
            <w:tcW w:w="644" w:type="dxa"/>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833" w:type="dxa"/>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6309" w:type="dxa"/>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8" w:hRule="atLeast"/>
          <w:jc w:val="center"/>
        </w:trPr>
        <w:tc>
          <w:tcPr>
            <w:tcW w:w="644" w:type="dxa"/>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833" w:type="dxa"/>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6309" w:type="dxa"/>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88" w:hRule="atLeast"/>
          <w:jc w:val="center"/>
        </w:trPr>
        <w:tc>
          <w:tcPr>
            <w:tcW w:w="644" w:type="dxa"/>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833"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309" w:type="dxa"/>
            <w:vAlign w:val="center"/>
          </w:tcPr>
          <w:p w14:paraId="3CF6D5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w:t>
            </w:r>
          </w:p>
          <w:p w14:paraId="446CDD4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default" w:ascii="宋体" w:hAnsi="宋体" w:cs="宋体"/>
                <w:color w:val="auto"/>
                <w:sz w:val="21"/>
                <w:szCs w:val="21"/>
                <w:highlight w:val="none"/>
                <w:lang w:eastAsia="zh-CN"/>
              </w:rPr>
              <w:t>收费标准：参照行业通行差额定率累进计费方式，本项目按工程类基准费率</w:t>
            </w:r>
            <w:r>
              <w:rPr>
                <w:rFonts w:hint="eastAsia" w:ascii="宋体" w:hAnsi="宋体" w:cs="宋体"/>
                <w:color w:val="auto"/>
                <w:sz w:val="21"/>
                <w:szCs w:val="21"/>
                <w:highlight w:val="none"/>
                <w:lang w:val="en-US" w:eastAsia="zh-CN"/>
              </w:rPr>
              <w:t>下浮25%进行计取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700F905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7"/>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754"/>
              <w:gridCol w:w="1379"/>
              <w:gridCol w:w="1424"/>
              <w:gridCol w:w="1523"/>
            </w:tblGrid>
            <w:tr w14:paraId="4EFC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6C55900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5A804D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18E20F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D8E8D3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22E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0DBAD3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0700A12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1929F83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0D6FDC9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6406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4AB0575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65DCE6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98B804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72B75F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2838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76F5EC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3898C24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759603E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031F581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3D83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FF0C0E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420DB9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0D045B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70686FE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158DBCF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72" w:hRule="atLeast"/>
          <w:jc w:val="center"/>
        </w:trPr>
        <w:tc>
          <w:tcPr>
            <w:tcW w:w="644" w:type="dxa"/>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833" w:type="dxa"/>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6309" w:type="dxa"/>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6"/>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6"/>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6"/>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24" w:hRule="atLeast"/>
          <w:jc w:val="center"/>
        </w:trPr>
        <w:tc>
          <w:tcPr>
            <w:tcW w:w="644" w:type="dxa"/>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833" w:type="dxa"/>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6309" w:type="dxa"/>
            <w:vAlign w:val="center"/>
          </w:tcPr>
          <w:p w14:paraId="24666ADB">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7"/>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844" w:hRule="atLeast"/>
          <w:jc w:val="center"/>
        </w:trPr>
        <w:tc>
          <w:tcPr>
            <w:tcW w:w="644" w:type="dxa"/>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833" w:type="dxa"/>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6309" w:type="dxa"/>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3"/>
                <w:rFonts w:hint="eastAsia" w:ascii="宋体" w:hAnsi="宋体" w:cs="宋体"/>
                <w:color w:val="0057FF"/>
                <w:sz w:val="21"/>
                <w:szCs w:val="21"/>
                <w:lang w:eastAsia="zh-CN"/>
              </w:rPr>
              <w:t>https://www.gcy.zfcg.gxzf.gov.cn</w:t>
            </w:r>
            <w:r>
              <w:rPr>
                <w:rStyle w:val="33"/>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74" w:hRule="atLeast"/>
          <w:jc w:val="center"/>
        </w:trPr>
        <w:tc>
          <w:tcPr>
            <w:tcW w:w="644" w:type="dxa"/>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833" w:type="dxa"/>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6309" w:type="dxa"/>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6A0363A9">
      <w:pPr>
        <w:pStyle w:val="37"/>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天等县交通运输局</w:t>
      </w:r>
    </w:p>
    <w:p w14:paraId="14EE0EF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广西崇善项目咨询有限公司</w:t>
      </w:r>
    </w:p>
    <w:p w14:paraId="45BF776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广西崇善项目咨询有限公司</w:t>
      </w:r>
      <w:r>
        <w:rPr>
          <w:rFonts w:ascii="宋体" w:hAnsi="宋体"/>
          <w:color w:val="auto"/>
          <w:szCs w:val="21"/>
          <w:highlight w:val="none"/>
        </w:rPr>
        <w:t>在任何情况下无义务和责任承担此类费用。</w:t>
      </w:r>
    </w:p>
    <w:p w14:paraId="4B1A8FA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40"/>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40"/>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40"/>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40"/>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40"/>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2A4EE09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41"/>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41"/>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41"/>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41"/>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8"/>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w:t>
      </w:r>
      <w:r>
        <w:rPr>
          <w:rFonts w:hint="default" w:ascii="宋体" w:hAnsi="宋体"/>
          <w:color w:val="auto"/>
          <w:szCs w:val="21"/>
          <w:highlight w:val="none"/>
        </w:rPr>
        <w:t>单价合同形式，工程量按实际完成并经发包人、监理人共同确认的合格工程量进行结算。供应商在响应文件中提交的已标价工程量清单中的综合单价为合同结算依据；供应商填报的工程量清单总价为磋商报价，仅作为评审阶段的报价得分依据</w:t>
      </w:r>
      <w:r>
        <w:rPr>
          <w:rFonts w:ascii="宋体" w:hAnsi="宋体"/>
          <w:color w:val="auto"/>
          <w:szCs w:val="21"/>
          <w:highlight w:val="none"/>
        </w:rPr>
        <w:t>。</w:t>
      </w:r>
    </w:p>
    <w:p w14:paraId="2327FDB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7"/>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则必须以工程量清单报价表（已标价工程量清单）的格式编制提交，供应商须提前做好相关准备并按时上传最终商务报价文件，否则磋商无效。</w:t>
      </w:r>
      <w:r>
        <w:rPr>
          <w:rFonts w:hint="eastAsia" w:ascii="宋体" w:hAnsi="宋体" w:eastAsia="宋体" w:cs="Times New Roman"/>
          <w:b/>
          <w:color w:val="auto"/>
          <w:szCs w:val="21"/>
          <w:highlight w:val="none"/>
        </w:rPr>
        <w:t>。</w:t>
      </w:r>
    </w:p>
    <w:p w14:paraId="34AEBE6D">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6"/>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6"/>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广西崇善项目咨询有限公司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7"/>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采购招投标专家库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供应商代表在响应文件提交当天实时登陆</w:t>
      </w:r>
      <w:r>
        <w:rPr>
          <w:rFonts w:hint="eastAsia" w:ascii="宋体" w:hAnsi="宋体" w:cs="宋体"/>
          <w:color w:val="auto"/>
          <w:sz w:val="21"/>
          <w:szCs w:val="21"/>
          <w:highlight w:val="none"/>
        </w:rPr>
        <w:t>登录</w:t>
      </w:r>
      <w:r>
        <w:rPr>
          <w:rFonts w:hint="eastAsia" w:ascii="宋体" w:hAnsi="宋体" w:cs="宋体"/>
          <w:bCs/>
          <w:color w:val="auto"/>
          <w:sz w:val="21"/>
          <w:szCs w:val="21"/>
          <w:highlight w:val="none"/>
          <w:lang w:eastAsia="zh-CN"/>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实时登陆</w:t>
      </w:r>
      <w:r>
        <w:rPr>
          <w:rFonts w:hint="eastAsia" w:ascii="宋体" w:hAnsi="宋体" w:cs="宋体"/>
          <w:color w:val="auto"/>
          <w:sz w:val="21"/>
          <w:szCs w:val="21"/>
          <w:highlight w:val="none"/>
        </w:rPr>
        <w:t>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6"/>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6"/>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6"/>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6"/>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6"/>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6"/>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7"/>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8"/>
        <w:rPr>
          <w:color w:val="auto"/>
          <w:highlight w:val="none"/>
        </w:rPr>
      </w:pPr>
    </w:p>
    <w:p w14:paraId="439FADCD">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7"/>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7"/>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09478DC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9"/>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2"/>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9"/>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9"/>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9"/>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9"/>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9"/>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9"/>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9"/>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8"/>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9"/>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9"/>
        <w:shd w:val="clear"/>
        <w:ind w:firstLine="480"/>
        <w:rPr>
          <w:color w:val="auto"/>
          <w:highlight w:val="none"/>
        </w:rPr>
      </w:pPr>
    </w:p>
    <w:p w14:paraId="465EAC83">
      <w:pPr>
        <w:pStyle w:val="49"/>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7"/>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8"/>
        <w:shd w:val="clear"/>
        <w:rPr>
          <w:color w:val="auto"/>
          <w:highlight w:val="none"/>
        </w:rPr>
      </w:pPr>
    </w:p>
    <w:p w14:paraId="3C3CEA88">
      <w:pPr>
        <w:pStyle w:val="37"/>
        <w:shd w:val="clear"/>
        <w:rPr>
          <w:color w:val="auto"/>
          <w:highlight w:val="none"/>
        </w:rPr>
      </w:pPr>
    </w:p>
    <w:p w14:paraId="340F451E">
      <w:pPr>
        <w:pStyle w:val="38"/>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7"/>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w:t>
      </w:r>
      <w:r>
        <w:rPr>
          <w:rFonts w:hint="eastAsia" w:ascii="宋体" w:hAnsi="宋体"/>
          <w:b/>
          <w:color w:val="auto"/>
          <w:sz w:val="32"/>
          <w:szCs w:val="32"/>
          <w:highlight w:val="none"/>
          <w:lang w:val="en-US" w:eastAsia="zh-CN"/>
        </w:rPr>
        <w:t xml:space="preserve"> </w:t>
      </w:r>
      <w:r>
        <w:rPr>
          <w:rFonts w:ascii="宋体" w:hAnsi="宋体"/>
          <w:b/>
          <w:color w:val="auto"/>
          <w:sz w:val="32"/>
          <w:szCs w:val="32"/>
          <w:highlight w:val="none"/>
        </w:rPr>
        <w:t>技术规范</w:t>
      </w:r>
      <w:bookmarkEnd w:id="40"/>
    </w:p>
    <w:p w14:paraId="1CFE4CD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bCs/>
          <w:caps w:val="0"/>
          <w:color w:val="0F1115"/>
          <w:spacing w:val="0"/>
          <w:sz w:val="21"/>
          <w:szCs w:val="21"/>
        </w:rPr>
      </w:pPr>
      <w:r>
        <w:rPr>
          <w:rFonts w:hint="default" w:ascii="Segoe UI" w:hAnsi="Segoe UI" w:eastAsia="Segoe UI" w:cs="Segoe UI"/>
          <w:b/>
          <w:bCs/>
          <w:caps w:val="0"/>
          <w:color w:val="0F1115"/>
          <w:spacing w:val="0"/>
          <w:sz w:val="21"/>
          <w:szCs w:val="21"/>
          <w:shd w:val="clear" w:fill="FFFFFF"/>
        </w:rPr>
        <w:t>一、工程概况</w:t>
      </w:r>
    </w:p>
    <w:p w14:paraId="2237E663">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本项目为天等县宁干乡宁干村2026年“千村引领，万村提升”示范创建项目，位于天等县宁干乡宁干村，主要建设内容为屯内道路硬化工程，配套路基防护、排水系统及交通安全设施等。</w:t>
      </w:r>
    </w:p>
    <w:p w14:paraId="6A980433">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项目路线分为新建段K线和连接线A线、B线，路基、路面实施范围为K0+130～K0+385，全长255m；交安设施实施范围为K0+000～K0+385及连接线A线。道路等级为城镇化四级公路，设计速度20km/h，路基宽度8.0m（0.5m路肩+2×3.5m行车道+0.5m路肩）。路面结构为20cm水泥混凝土面层（弯拉强度≥4.0MPa）+20cm级配碎石垫层。主要建设内容包括新建路面、路基防护及排水、钢筋混凝土圆管涵、交通安全设施等。具体以施工图纸及工程量清单为准。</w:t>
      </w:r>
    </w:p>
    <w:p w14:paraId="705E582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bCs/>
          <w:caps w:val="0"/>
          <w:color w:val="0F1115"/>
          <w:spacing w:val="0"/>
          <w:sz w:val="21"/>
          <w:szCs w:val="21"/>
        </w:rPr>
      </w:pPr>
      <w:r>
        <w:rPr>
          <w:rFonts w:hint="default" w:ascii="Segoe UI" w:hAnsi="Segoe UI" w:eastAsia="Segoe UI" w:cs="Segoe UI"/>
          <w:b/>
          <w:bCs/>
          <w:caps w:val="0"/>
          <w:color w:val="0F1115"/>
          <w:spacing w:val="0"/>
          <w:sz w:val="21"/>
          <w:szCs w:val="21"/>
          <w:shd w:val="clear" w:fill="FFFFFF"/>
        </w:rPr>
        <w:t>二、主要技术标准及规范</w:t>
      </w:r>
    </w:p>
    <w:p w14:paraId="6F94AA7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本工程施工及质量验收应遵循（但不限于）以下技术标准及规范：</w:t>
      </w:r>
    </w:p>
    <w:p w14:paraId="6E55B09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《城镇化地区公路工程技术标准》（JTG 2112—2021）</w:t>
      </w:r>
    </w:p>
    <w:p w14:paraId="053A33E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《公路工程技术标准》（JTG B01—2014）</w:t>
      </w:r>
    </w:p>
    <w:p w14:paraId="5576D42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《小交通量农村公路技术标准》（JTG 2111-2019）</w:t>
      </w:r>
    </w:p>
    <w:p w14:paraId="7537748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《公路路基设计规范》（JTG D30-2015）</w:t>
      </w:r>
    </w:p>
    <w:p w14:paraId="2CAE945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《公路水泥混凝土路面设计规范》（JTG D40-2011）</w:t>
      </w:r>
    </w:p>
    <w:p w14:paraId="64B66B9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《公路涵洞设计规范》（JTG/T 3365-02-2020）</w:t>
      </w:r>
    </w:p>
    <w:p w14:paraId="4F92B0D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《公路路基施工技术规范》（JTG/T 3610-2019）</w:t>
      </w:r>
    </w:p>
    <w:p w14:paraId="481CD55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《公路水泥混凝土路面施工技术细则》（JTG/T F30-2014）</w:t>
      </w:r>
    </w:p>
    <w:p w14:paraId="7F6FEE7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《公路桥涵施工技术规范》（JTG/T 3650-2020）</w:t>
      </w:r>
    </w:p>
    <w:p w14:paraId="736EE43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《公路工程质量检验评定标准 第一册 土建工程》（JTG F80/1-2017）</w:t>
      </w:r>
    </w:p>
    <w:p w14:paraId="115391B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《道路交通标志和标线》（GB 5768.2—2022、GB 5768.3-2009及其现行有效修订版）</w:t>
      </w:r>
    </w:p>
    <w:p w14:paraId="3C9746C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《道路交通反光膜》（GB/T 18833-2012）</w:t>
      </w:r>
    </w:p>
    <w:p w14:paraId="359B5CF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《路面标线涂料》（JT/T 280-2022）</w:t>
      </w:r>
    </w:p>
    <w:p w14:paraId="54BE8CA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广西壮族自治区及崇左市现行相关工程建设技术规程、强制性条文</w:t>
      </w:r>
    </w:p>
    <w:p w14:paraId="0269EBC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说明：凡施工图纸及设计说明中有明确规定的，以施工图纸及设计说明为准；图纸未明确的，执行上述标准及规范的现行有效版本。</w:t>
      </w:r>
    </w:p>
    <w:p w14:paraId="0B52F78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360" w:lineRule="auto"/>
        <w:ind w:left="0" w:right="0" w:firstLine="420" w:firstLineChars="200"/>
        <w:textAlignment w:val="auto"/>
        <w:rPr>
          <w:rFonts w:hint="default" w:ascii="Segoe UI" w:hAnsi="Segoe UI" w:eastAsia="Segoe UI" w:cs="Segoe UI"/>
          <w:b/>
          <w:bCs/>
          <w:caps w:val="0"/>
          <w:color w:val="0F1115"/>
          <w:spacing w:val="0"/>
          <w:sz w:val="21"/>
          <w:szCs w:val="21"/>
        </w:rPr>
      </w:pPr>
      <w:r>
        <w:rPr>
          <w:rFonts w:hint="default" w:ascii="Segoe UI" w:hAnsi="Segoe UI" w:eastAsia="Segoe UI" w:cs="Segoe UI"/>
          <w:b/>
          <w:bCs/>
          <w:caps w:val="0"/>
          <w:color w:val="0F1115"/>
          <w:spacing w:val="0"/>
          <w:sz w:val="21"/>
          <w:szCs w:val="21"/>
          <w:shd w:val="clear" w:fill="FFFFFF"/>
        </w:rPr>
        <w:t>三、技术及施工要求</w:t>
      </w:r>
    </w:p>
    <w:p w14:paraId="46634ECD">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路基工程</w:t>
      </w:r>
      <w:r>
        <w:rPr>
          <w:rFonts w:hint="default" w:ascii="Segoe UI" w:hAnsi="Segoe UI" w:eastAsia="Segoe UI" w:cs="Segoe UI"/>
          <w:i w:val="0"/>
          <w:iCs w:val="0"/>
          <w:caps w:val="0"/>
          <w:color w:val="0F1115"/>
          <w:spacing w:val="0"/>
          <w:sz w:val="21"/>
          <w:szCs w:val="21"/>
          <w:shd w:val="clear" w:fill="FFFFFF"/>
        </w:rPr>
        <w:t>：路基填筑应清除表层耕植土，压实度应满足设计图纸要求；软基处理按施工图设计执行；路基防护及排水工程的类型、位置、尺寸应严格按照施工图设计施工，现浇C30片石砼边沟强度等级应符合设计要求。</w:t>
      </w:r>
    </w:p>
    <w:p w14:paraId="263BC235">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路面工程</w:t>
      </w:r>
      <w:r>
        <w:rPr>
          <w:rFonts w:hint="default" w:ascii="Segoe UI" w:hAnsi="Segoe UI" w:eastAsia="Segoe UI" w:cs="Segoe UI"/>
          <w:i w:val="0"/>
          <w:iCs w:val="0"/>
          <w:caps w:val="0"/>
          <w:color w:val="0F1115"/>
          <w:spacing w:val="0"/>
          <w:sz w:val="21"/>
          <w:szCs w:val="21"/>
          <w:shd w:val="clear" w:fill="FFFFFF"/>
        </w:rPr>
        <w:t>：水泥混凝土面层28d弯拉强度标准值不低于4.0MPa；水泥、集料等原材料技术指标应满足施工图设计及《公路水泥混凝土路面施工技术细则》（JTG/T F30-2014）的要求；路面接缝构造应符合施工图纸要求。</w:t>
      </w:r>
    </w:p>
    <w:p w14:paraId="0B41645D">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桥涵工程</w:t>
      </w:r>
      <w:r>
        <w:rPr>
          <w:rFonts w:hint="default" w:ascii="Segoe UI" w:hAnsi="Segoe UI" w:eastAsia="Segoe UI" w:cs="Segoe UI"/>
          <w:i w:val="0"/>
          <w:iCs w:val="0"/>
          <w:caps w:val="0"/>
          <w:color w:val="0F1115"/>
          <w:spacing w:val="0"/>
          <w:sz w:val="21"/>
          <w:szCs w:val="21"/>
          <w:shd w:val="clear" w:fill="FFFFFF"/>
        </w:rPr>
        <w:t>：钢筋混凝土圆管涵施工应符合《公路桥涵施工技术规范》（JTG/T 3650-2020）及施工图纸要求，涵洞顶及涵身两侧填土须分层对称夯实。</w:t>
      </w:r>
    </w:p>
    <w:p w14:paraId="7C7C158E">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交通安全设施</w:t>
      </w:r>
      <w:r>
        <w:rPr>
          <w:rFonts w:hint="default" w:ascii="Segoe UI" w:hAnsi="Segoe UI" w:eastAsia="Segoe UI" w:cs="Segoe UI"/>
          <w:i w:val="0"/>
          <w:iCs w:val="0"/>
          <w:caps w:val="0"/>
          <w:color w:val="0F1115"/>
          <w:spacing w:val="0"/>
          <w:sz w:val="21"/>
          <w:szCs w:val="21"/>
          <w:shd w:val="clear" w:fill="FFFFFF"/>
        </w:rPr>
        <w:t>：交通标志的形状、图案、颜色应严格按照《道路交通标志和标线》（GB 5768.2-2022）及设计图的规定执行，反光膜采用IV类超强级反光膜；路面标线采用热熔反光型标线材料。</w:t>
      </w:r>
    </w:p>
    <w:p w14:paraId="5ADAEBF9">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拆除工程</w:t>
      </w:r>
      <w:r>
        <w:rPr>
          <w:rFonts w:hint="default" w:ascii="Segoe UI" w:hAnsi="Segoe UI" w:eastAsia="Segoe UI" w:cs="Segoe UI"/>
          <w:i w:val="0"/>
          <w:iCs w:val="0"/>
          <w:caps w:val="0"/>
          <w:color w:val="0F1115"/>
          <w:spacing w:val="0"/>
          <w:sz w:val="21"/>
          <w:szCs w:val="21"/>
          <w:shd w:val="clear" w:fill="FFFFFF"/>
        </w:rPr>
        <w:t>：拆除范围及工程量以施工图纸为准，拆除后废弃物应按规定清运。</w:t>
      </w:r>
    </w:p>
    <w:p w14:paraId="36061B94">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施工期间交通组织</w:t>
      </w:r>
      <w:r>
        <w:rPr>
          <w:rFonts w:hint="default" w:ascii="Segoe UI" w:hAnsi="Segoe UI" w:eastAsia="Segoe UI" w:cs="Segoe UI"/>
          <w:i w:val="0"/>
          <w:iCs w:val="0"/>
          <w:caps w:val="0"/>
          <w:color w:val="0F1115"/>
          <w:spacing w:val="0"/>
          <w:sz w:val="21"/>
          <w:szCs w:val="21"/>
          <w:shd w:val="clear" w:fill="FFFFFF"/>
        </w:rPr>
        <w:t>：本项目紧邻宁干乡中心幼儿园，施工期间应设立专门保通及安全部门，通过设置交通标志引导车辆出入，严禁施工机械、材料及人员占用道路，确保行人、车辆及施工人员安全。</w:t>
      </w:r>
    </w:p>
    <w:p w14:paraId="56D823AD">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b/>
          <w:bCs/>
          <w:i w:val="0"/>
          <w:iCs w:val="0"/>
          <w:caps w:val="0"/>
          <w:color w:val="0F1115"/>
          <w:spacing w:val="0"/>
          <w:sz w:val="21"/>
          <w:szCs w:val="21"/>
          <w:shd w:val="clear" w:fill="FFFFFF"/>
        </w:rPr>
        <w:t>雨季施工</w:t>
      </w:r>
      <w:r>
        <w:rPr>
          <w:rFonts w:hint="default" w:ascii="Segoe UI" w:hAnsi="Segoe UI" w:eastAsia="Segoe UI" w:cs="Segoe UI"/>
          <w:i w:val="0"/>
          <w:iCs w:val="0"/>
          <w:caps w:val="0"/>
          <w:color w:val="0F1115"/>
          <w:spacing w:val="0"/>
          <w:sz w:val="21"/>
          <w:szCs w:val="21"/>
          <w:shd w:val="clear" w:fill="FFFFFF"/>
        </w:rPr>
        <w:t>：应做好应急措施准备，提前做好材料、设备的储备和防水措施。</w:t>
      </w:r>
    </w:p>
    <w:p w14:paraId="560A7EEB">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所有工序及材料质量应符合设计图纸及上述标准规范要求，隐蔽工程须经建设单位及监理单位验收合格后方可进行下道工序施工。工程质量验收达到国家施工验收规范</w:t>
      </w:r>
      <w:r>
        <w:rPr>
          <w:rFonts w:hint="default" w:ascii="Segoe UI" w:hAnsi="Segoe UI" w:eastAsia="Segoe UI" w:cs="Segoe UI"/>
          <w:b/>
          <w:bCs/>
          <w:i w:val="0"/>
          <w:iCs w:val="0"/>
          <w:caps w:val="0"/>
          <w:color w:val="0F1115"/>
          <w:spacing w:val="0"/>
          <w:sz w:val="21"/>
          <w:szCs w:val="21"/>
          <w:shd w:val="clear" w:fill="FFFFFF"/>
        </w:rPr>
        <w:t>合格</w:t>
      </w:r>
      <w:r>
        <w:rPr>
          <w:rFonts w:hint="default" w:ascii="Segoe UI" w:hAnsi="Segoe UI" w:eastAsia="Segoe UI" w:cs="Segoe UI"/>
          <w:i w:val="0"/>
          <w:iCs w:val="0"/>
          <w:caps w:val="0"/>
          <w:color w:val="0F1115"/>
          <w:spacing w:val="0"/>
          <w:sz w:val="21"/>
          <w:szCs w:val="21"/>
          <w:shd w:val="clear" w:fill="FFFFFF"/>
        </w:rPr>
        <w:t>标准。</w:t>
      </w:r>
    </w:p>
    <w:p w14:paraId="55CEF5D0">
      <w:pPr>
        <w:pStyle w:val="23"/>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安全文明施工：承包人应规范现场作业，做好生态保护、安全文明施工，施工噪音、扬尘控制须符合相关规定要求。</w:t>
      </w:r>
    </w:p>
    <w:p w14:paraId="1D2659A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360" w:lineRule="auto"/>
        <w:ind w:left="0" w:right="0" w:firstLine="420" w:firstLineChars="200"/>
        <w:textAlignment w:val="auto"/>
        <w:rPr>
          <w:rFonts w:hint="default" w:ascii="Segoe UI" w:hAnsi="Segoe UI" w:eastAsia="Segoe UI" w:cs="Segoe UI"/>
          <w:b/>
          <w:bCs/>
          <w:caps w:val="0"/>
          <w:color w:val="0F1115"/>
          <w:spacing w:val="0"/>
          <w:sz w:val="21"/>
          <w:szCs w:val="21"/>
        </w:rPr>
      </w:pPr>
      <w:r>
        <w:rPr>
          <w:rFonts w:hint="default" w:ascii="Segoe UI" w:hAnsi="Segoe UI" w:eastAsia="Segoe UI" w:cs="Segoe UI"/>
          <w:b/>
          <w:bCs/>
          <w:caps w:val="0"/>
          <w:color w:val="0F1115"/>
          <w:spacing w:val="0"/>
          <w:sz w:val="21"/>
          <w:szCs w:val="21"/>
          <w:shd w:val="clear" w:fill="FFFFFF"/>
        </w:rPr>
        <w:t>四、其他要求</w:t>
      </w:r>
    </w:p>
    <w:p w14:paraId="4EA34C3B">
      <w:pPr>
        <w:pStyle w:val="23"/>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进场材料质量合格，各项工序符合行业技术标准，服从采购人及现场管理单位监督管理。</w:t>
      </w:r>
    </w:p>
    <w:p w14:paraId="359B06E6">
      <w:pPr>
        <w:pStyle w:val="23"/>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16"/>
        </w:rPr>
      </w:pPr>
      <w:r>
        <w:rPr>
          <w:rFonts w:hint="default" w:ascii="Segoe UI" w:hAnsi="Segoe UI" w:eastAsia="Segoe UI" w:cs="Segoe UI"/>
          <w:i w:val="0"/>
          <w:iCs w:val="0"/>
          <w:caps w:val="0"/>
          <w:color w:val="0F1115"/>
          <w:spacing w:val="0"/>
          <w:sz w:val="21"/>
          <w:szCs w:val="21"/>
          <w:shd w:val="clear" w:fill="FFFFFF"/>
        </w:rPr>
        <w:t>具体施工细节及工艺参数以施工图设计文件为准，施工图纸为合同文件的组成部分。</w:t>
      </w:r>
    </w:p>
    <w:p w14:paraId="5EC2AE17">
      <w:pPr>
        <w:pStyle w:val="16"/>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6"/>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2012B47A">
      <w:pPr>
        <w:pStyle w:val="16"/>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6"/>
        <w:shd w:val="clear"/>
        <w:spacing w:line="360" w:lineRule="auto"/>
        <w:jc w:val="center"/>
        <w:rPr>
          <w:b/>
          <w:color w:val="auto"/>
          <w:sz w:val="32"/>
          <w:szCs w:val="32"/>
          <w:highlight w:val="none"/>
        </w:rPr>
      </w:pPr>
    </w:p>
    <w:p w14:paraId="45EEDFDD">
      <w:pPr>
        <w:pStyle w:val="16"/>
        <w:shd w:val="clear"/>
        <w:spacing w:line="360" w:lineRule="auto"/>
        <w:jc w:val="center"/>
        <w:rPr>
          <w:b/>
          <w:color w:val="auto"/>
          <w:sz w:val="32"/>
          <w:szCs w:val="32"/>
          <w:highlight w:val="none"/>
        </w:rPr>
      </w:pPr>
    </w:p>
    <w:p w14:paraId="23AE8B8B">
      <w:pPr>
        <w:pStyle w:val="16"/>
        <w:shd w:val="clear"/>
        <w:spacing w:line="360" w:lineRule="auto"/>
        <w:jc w:val="center"/>
        <w:rPr>
          <w:b/>
          <w:color w:val="auto"/>
          <w:sz w:val="32"/>
          <w:szCs w:val="32"/>
          <w:highlight w:val="none"/>
        </w:rPr>
      </w:pPr>
    </w:p>
    <w:p w14:paraId="1D919481">
      <w:pPr>
        <w:pStyle w:val="16"/>
        <w:shd w:val="clear"/>
        <w:spacing w:line="360" w:lineRule="auto"/>
        <w:jc w:val="center"/>
        <w:rPr>
          <w:b/>
          <w:color w:val="auto"/>
          <w:sz w:val="32"/>
          <w:szCs w:val="32"/>
          <w:highlight w:val="none"/>
        </w:rPr>
      </w:pPr>
    </w:p>
    <w:p w14:paraId="060B36E0">
      <w:pPr>
        <w:pStyle w:val="16"/>
        <w:shd w:val="clear"/>
        <w:spacing w:line="360" w:lineRule="auto"/>
        <w:jc w:val="center"/>
        <w:rPr>
          <w:b/>
          <w:color w:val="auto"/>
          <w:sz w:val="32"/>
          <w:szCs w:val="32"/>
          <w:highlight w:val="none"/>
        </w:rPr>
      </w:pPr>
    </w:p>
    <w:p w14:paraId="593F6DDA">
      <w:pPr>
        <w:pStyle w:val="16"/>
        <w:shd w:val="clear"/>
        <w:spacing w:line="360" w:lineRule="auto"/>
        <w:jc w:val="center"/>
        <w:rPr>
          <w:b/>
          <w:color w:val="auto"/>
          <w:sz w:val="32"/>
          <w:szCs w:val="32"/>
          <w:highlight w:val="none"/>
        </w:rPr>
      </w:pPr>
    </w:p>
    <w:p w14:paraId="5975A98C">
      <w:pPr>
        <w:pStyle w:val="16"/>
        <w:shd w:val="clear"/>
        <w:spacing w:line="360" w:lineRule="auto"/>
        <w:jc w:val="center"/>
        <w:rPr>
          <w:b/>
          <w:color w:val="auto"/>
          <w:sz w:val="32"/>
          <w:szCs w:val="32"/>
          <w:highlight w:val="none"/>
        </w:rPr>
      </w:pPr>
    </w:p>
    <w:p w14:paraId="1635EC50">
      <w:pPr>
        <w:pStyle w:val="16"/>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6"/>
        <w:shd w:val="clear"/>
        <w:spacing w:line="360" w:lineRule="auto"/>
        <w:jc w:val="center"/>
        <w:rPr>
          <w:b/>
          <w:color w:val="auto"/>
          <w:sz w:val="32"/>
          <w:szCs w:val="32"/>
          <w:highlight w:val="none"/>
        </w:rPr>
      </w:pPr>
    </w:p>
    <w:p w14:paraId="14DA3B35">
      <w:pPr>
        <w:pStyle w:val="16"/>
        <w:shd w:val="clear"/>
        <w:spacing w:line="360" w:lineRule="auto"/>
        <w:jc w:val="center"/>
        <w:rPr>
          <w:b/>
          <w:color w:val="auto"/>
          <w:sz w:val="32"/>
          <w:szCs w:val="32"/>
          <w:highlight w:val="none"/>
        </w:rPr>
      </w:pPr>
    </w:p>
    <w:p w14:paraId="045592D3">
      <w:pPr>
        <w:pStyle w:val="37"/>
        <w:shd w:val="clear"/>
        <w:rPr>
          <w:b/>
          <w:color w:val="auto"/>
          <w:sz w:val="32"/>
          <w:szCs w:val="32"/>
          <w:highlight w:val="none"/>
        </w:rPr>
      </w:pPr>
    </w:p>
    <w:p w14:paraId="5CBB9F63">
      <w:pPr>
        <w:pStyle w:val="38"/>
        <w:shd w:val="clear"/>
        <w:rPr>
          <w:color w:val="auto"/>
          <w:highlight w:val="none"/>
        </w:rPr>
      </w:pPr>
    </w:p>
    <w:p w14:paraId="098A99C5">
      <w:pPr>
        <w:pStyle w:val="37"/>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7"/>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7"/>
        <w:shd w:val="clear"/>
        <w:spacing w:line="360" w:lineRule="auto"/>
        <w:ind w:left="413"/>
        <w:jc w:val="left"/>
        <w:rPr>
          <w:rFonts w:ascii="宋体" w:hAnsi="宋体"/>
          <w:color w:val="auto"/>
          <w:szCs w:val="21"/>
          <w:highlight w:val="none"/>
        </w:rPr>
      </w:pPr>
    </w:p>
    <w:p w14:paraId="32499D7B">
      <w:pPr>
        <w:pStyle w:val="16"/>
        <w:shd w:val="clear"/>
        <w:spacing w:line="360" w:lineRule="auto"/>
        <w:jc w:val="center"/>
        <w:rPr>
          <w:rFonts w:ascii="方正隶书简体" w:hAnsi="方正隶书简体" w:eastAsia="方正隶书简体"/>
          <w:b/>
          <w:color w:val="auto"/>
          <w:sz w:val="30"/>
          <w:szCs w:val="30"/>
          <w:highlight w:val="none"/>
        </w:rPr>
      </w:pPr>
    </w:p>
    <w:p w14:paraId="48DBC13E">
      <w:pPr>
        <w:pStyle w:val="16"/>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6"/>
        <w:shd w:val="clear"/>
        <w:spacing w:line="360" w:lineRule="auto"/>
        <w:rPr>
          <w:rFonts w:ascii="Times New Roman" w:hAnsi="Times New Roman" w:eastAsia="方正隶书简体"/>
          <w:b/>
          <w:color w:val="auto"/>
          <w:sz w:val="30"/>
          <w:szCs w:val="30"/>
          <w:highlight w:val="none"/>
        </w:rPr>
      </w:pPr>
    </w:p>
    <w:p w14:paraId="7F19788E">
      <w:pPr>
        <w:pStyle w:val="16"/>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6"/>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6"/>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6"/>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6"/>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6"/>
        <w:shd w:val="clear"/>
        <w:spacing w:line="360" w:lineRule="auto"/>
        <w:rPr>
          <w:color w:val="auto"/>
          <w:szCs w:val="21"/>
          <w:highlight w:val="none"/>
        </w:rPr>
      </w:pPr>
    </w:p>
    <w:p w14:paraId="1FA2FFC5">
      <w:pPr>
        <w:pStyle w:val="16"/>
        <w:shd w:val="clear"/>
        <w:spacing w:line="360" w:lineRule="auto"/>
        <w:rPr>
          <w:color w:val="auto"/>
          <w:szCs w:val="21"/>
          <w:highlight w:val="none"/>
        </w:rPr>
      </w:pPr>
    </w:p>
    <w:p w14:paraId="1802A1EC">
      <w:pPr>
        <w:pStyle w:val="16"/>
        <w:shd w:val="clear"/>
        <w:spacing w:line="360" w:lineRule="auto"/>
        <w:rPr>
          <w:color w:val="auto"/>
          <w:szCs w:val="21"/>
          <w:highlight w:val="none"/>
        </w:rPr>
      </w:pPr>
    </w:p>
    <w:p w14:paraId="7929422D">
      <w:pPr>
        <w:pStyle w:val="16"/>
        <w:shd w:val="clear"/>
        <w:spacing w:line="360" w:lineRule="auto"/>
        <w:rPr>
          <w:color w:val="auto"/>
          <w:szCs w:val="21"/>
          <w:highlight w:val="none"/>
        </w:rPr>
      </w:pPr>
    </w:p>
    <w:p w14:paraId="57B46879">
      <w:pPr>
        <w:pStyle w:val="16"/>
        <w:shd w:val="clear"/>
        <w:spacing w:line="360" w:lineRule="auto"/>
        <w:rPr>
          <w:color w:val="auto"/>
          <w:szCs w:val="21"/>
          <w:highlight w:val="none"/>
        </w:rPr>
      </w:pPr>
    </w:p>
    <w:p w14:paraId="567B9EF8">
      <w:pPr>
        <w:pStyle w:val="16"/>
        <w:shd w:val="clear"/>
        <w:spacing w:line="360" w:lineRule="auto"/>
        <w:rPr>
          <w:color w:val="auto"/>
          <w:szCs w:val="21"/>
          <w:highlight w:val="none"/>
        </w:rPr>
      </w:pPr>
    </w:p>
    <w:p w14:paraId="720ABB15">
      <w:pPr>
        <w:pStyle w:val="16"/>
        <w:shd w:val="clear"/>
        <w:spacing w:line="360" w:lineRule="auto"/>
        <w:rPr>
          <w:color w:val="auto"/>
          <w:szCs w:val="21"/>
          <w:highlight w:val="none"/>
        </w:rPr>
      </w:pPr>
    </w:p>
    <w:p w14:paraId="0EDC9133">
      <w:pPr>
        <w:pStyle w:val="37"/>
        <w:shd w:val="clear"/>
        <w:spacing w:line="360" w:lineRule="auto"/>
        <w:ind w:left="481"/>
        <w:jc w:val="center"/>
        <w:rPr>
          <w:rFonts w:ascii="宋体" w:hAnsi="宋体"/>
          <w:b/>
          <w:color w:val="auto"/>
          <w:sz w:val="48"/>
          <w:szCs w:val="48"/>
          <w:highlight w:val="none"/>
        </w:rPr>
      </w:pPr>
    </w:p>
    <w:p w14:paraId="5FBB8AA4">
      <w:pPr>
        <w:pStyle w:val="37"/>
        <w:shd w:val="clear"/>
        <w:spacing w:line="360" w:lineRule="auto"/>
        <w:rPr>
          <w:rFonts w:ascii="宋体" w:hAnsi="宋体"/>
          <w:b/>
          <w:color w:val="auto"/>
          <w:sz w:val="48"/>
          <w:szCs w:val="48"/>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29414"/>
      <w:bookmarkStart w:id="43" w:name="_Toc255977433"/>
      <w:bookmarkStart w:id="44" w:name="_Toc193089296"/>
      <w:bookmarkStart w:id="45" w:name="_Toc28199"/>
      <w:bookmarkStart w:id="46" w:name="_Toc247301829"/>
      <w:bookmarkStart w:id="47" w:name="_Toc247292436"/>
      <w:bookmarkStart w:id="48" w:name="_Toc18079"/>
      <w:bookmarkStart w:id="49" w:name="_Toc243630952"/>
      <w:bookmarkStart w:id="50" w:name="_Toc243584342"/>
      <w:bookmarkStart w:id="51" w:name="_Toc24704"/>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7"/>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4"/>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7"/>
        <w:shd w:val="clear"/>
        <w:spacing w:line="360" w:lineRule="auto"/>
        <w:jc w:val="center"/>
        <w:rPr>
          <w:rFonts w:ascii="宋体" w:hAnsi="宋体"/>
          <w:b/>
          <w:color w:val="auto"/>
          <w:sz w:val="28"/>
          <w:szCs w:val="28"/>
          <w:highlight w:val="none"/>
        </w:rPr>
      </w:pPr>
    </w:p>
    <w:p w14:paraId="5EC0CAB1">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03C1328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1043432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3FBA3474">
      <w:pPr>
        <w:pStyle w:val="37"/>
        <w:shd w:val="clear"/>
        <w:spacing w:line="360" w:lineRule="auto"/>
        <w:rPr>
          <w:rFonts w:ascii="宋体" w:hAnsi="宋体"/>
          <w:b/>
          <w:color w:val="auto"/>
          <w:sz w:val="28"/>
          <w:szCs w:val="28"/>
          <w:highlight w:val="none"/>
        </w:rPr>
      </w:pPr>
    </w:p>
    <w:p w14:paraId="0E8EB442">
      <w:pPr>
        <w:pStyle w:val="37"/>
        <w:shd w:val="clear"/>
        <w:spacing w:line="360" w:lineRule="auto"/>
        <w:rPr>
          <w:rFonts w:ascii="宋体" w:hAnsi="宋体"/>
          <w:b/>
          <w:color w:val="auto"/>
          <w:sz w:val="28"/>
          <w:szCs w:val="28"/>
          <w:highlight w:val="none"/>
        </w:rPr>
      </w:pPr>
    </w:p>
    <w:p w14:paraId="5F579A94">
      <w:pPr>
        <w:pStyle w:val="38"/>
        <w:shd w:val="clear"/>
        <w:rPr>
          <w:rFonts w:ascii="宋体" w:hAnsi="宋体"/>
          <w:b/>
          <w:color w:val="auto"/>
          <w:sz w:val="28"/>
          <w:szCs w:val="28"/>
          <w:highlight w:val="none"/>
        </w:rPr>
      </w:pPr>
    </w:p>
    <w:p w14:paraId="40736719">
      <w:pPr>
        <w:pStyle w:val="37"/>
        <w:shd w:val="clear"/>
        <w:rPr>
          <w:rFonts w:ascii="宋体" w:hAnsi="宋体"/>
          <w:b/>
          <w:color w:val="auto"/>
          <w:sz w:val="28"/>
          <w:szCs w:val="28"/>
          <w:highlight w:val="none"/>
        </w:rPr>
      </w:pPr>
    </w:p>
    <w:p w14:paraId="138136E4">
      <w:pPr>
        <w:pStyle w:val="38"/>
        <w:shd w:val="clear"/>
        <w:rPr>
          <w:rFonts w:ascii="宋体" w:hAnsi="宋体"/>
          <w:b/>
          <w:color w:val="auto"/>
          <w:sz w:val="28"/>
          <w:szCs w:val="28"/>
          <w:highlight w:val="none"/>
        </w:rPr>
      </w:pPr>
    </w:p>
    <w:p w14:paraId="283768A0">
      <w:pPr>
        <w:pStyle w:val="37"/>
        <w:shd w:val="clear"/>
        <w:rPr>
          <w:rFonts w:ascii="宋体" w:hAnsi="宋体"/>
          <w:b/>
          <w:color w:val="auto"/>
          <w:sz w:val="28"/>
          <w:szCs w:val="28"/>
          <w:highlight w:val="none"/>
        </w:rPr>
      </w:pPr>
    </w:p>
    <w:p w14:paraId="2791FE83">
      <w:pPr>
        <w:pStyle w:val="38"/>
        <w:shd w:val="clear"/>
        <w:rPr>
          <w:rFonts w:ascii="宋体" w:hAnsi="宋体"/>
          <w:b/>
          <w:color w:val="auto"/>
          <w:sz w:val="28"/>
          <w:szCs w:val="28"/>
          <w:highlight w:val="none"/>
        </w:rPr>
      </w:pPr>
    </w:p>
    <w:p w14:paraId="7BFA0414">
      <w:pPr>
        <w:pStyle w:val="37"/>
        <w:shd w:val="clear"/>
        <w:rPr>
          <w:rFonts w:ascii="宋体" w:hAnsi="宋体"/>
          <w:b/>
          <w:color w:val="auto"/>
          <w:sz w:val="28"/>
          <w:szCs w:val="28"/>
          <w:highlight w:val="none"/>
        </w:rPr>
      </w:pPr>
    </w:p>
    <w:p w14:paraId="664338B0">
      <w:pPr>
        <w:pStyle w:val="38"/>
        <w:shd w:val="clear"/>
        <w:rPr>
          <w:rFonts w:ascii="宋体" w:hAnsi="宋体"/>
          <w:b/>
          <w:color w:val="auto"/>
          <w:sz w:val="28"/>
          <w:szCs w:val="28"/>
          <w:highlight w:val="none"/>
        </w:rPr>
      </w:pPr>
    </w:p>
    <w:p w14:paraId="4BDFE597">
      <w:pPr>
        <w:pStyle w:val="37"/>
        <w:shd w:val="clear"/>
        <w:rPr>
          <w:rFonts w:ascii="宋体" w:hAnsi="宋体"/>
          <w:b/>
          <w:color w:val="auto"/>
          <w:sz w:val="28"/>
          <w:szCs w:val="28"/>
          <w:highlight w:val="none"/>
        </w:rPr>
      </w:pPr>
    </w:p>
    <w:p w14:paraId="1F6E49BF">
      <w:pPr>
        <w:pStyle w:val="38"/>
        <w:shd w:val="clear"/>
        <w:rPr>
          <w:rFonts w:ascii="宋体" w:hAnsi="宋体"/>
          <w:b/>
          <w:color w:val="auto"/>
          <w:sz w:val="28"/>
          <w:szCs w:val="28"/>
          <w:highlight w:val="none"/>
        </w:rPr>
      </w:pPr>
    </w:p>
    <w:p w14:paraId="7B549F68">
      <w:pPr>
        <w:pStyle w:val="37"/>
        <w:shd w:val="clear"/>
        <w:rPr>
          <w:rFonts w:ascii="宋体" w:hAnsi="宋体"/>
          <w:b/>
          <w:color w:val="auto"/>
          <w:sz w:val="28"/>
          <w:szCs w:val="28"/>
          <w:highlight w:val="none"/>
        </w:rPr>
      </w:pPr>
    </w:p>
    <w:p w14:paraId="3B4B0B99">
      <w:pPr>
        <w:pStyle w:val="38"/>
        <w:shd w:val="clear"/>
        <w:rPr>
          <w:rFonts w:ascii="宋体" w:hAnsi="宋体"/>
          <w:b/>
          <w:color w:val="auto"/>
          <w:sz w:val="28"/>
          <w:szCs w:val="28"/>
          <w:highlight w:val="none"/>
        </w:rPr>
      </w:pPr>
    </w:p>
    <w:p w14:paraId="6123C7C2">
      <w:pPr>
        <w:pStyle w:val="37"/>
        <w:shd w:val="clear"/>
        <w:rPr>
          <w:rFonts w:ascii="宋体" w:hAnsi="宋体"/>
          <w:b/>
          <w:color w:val="auto"/>
          <w:sz w:val="28"/>
          <w:szCs w:val="28"/>
          <w:highlight w:val="none"/>
        </w:rPr>
      </w:pPr>
    </w:p>
    <w:p w14:paraId="775D5DA6">
      <w:pPr>
        <w:pStyle w:val="38"/>
        <w:shd w:val="clear"/>
        <w:rPr>
          <w:rFonts w:ascii="宋体" w:hAnsi="宋体"/>
          <w:b/>
          <w:color w:val="auto"/>
          <w:sz w:val="28"/>
          <w:szCs w:val="28"/>
          <w:highlight w:val="none"/>
        </w:rPr>
      </w:pPr>
    </w:p>
    <w:p w14:paraId="3EF8D9C9">
      <w:pPr>
        <w:pStyle w:val="37"/>
        <w:shd w:val="clear"/>
        <w:rPr>
          <w:rFonts w:ascii="宋体" w:hAnsi="宋体"/>
          <w:b/>
          <w:color w:val="auto"/>
          <w:sz w:val="28"/>
          <w:szCs w:val="28"/>
          <w:highlight w:val="none"/>
        </w:rPr>
      </w:pPr>
    </w:p>
    <w:p w14:paraId="6ED0517F">
      <w:pPr>
        <w:pStyle w:val="38"/>
        <w:shd w:val="clear"/>
        <w:rPr>
          <w:rFonts w:ascii="宋体" w:hAnsi="宋体"/>
          <w:b/>
          <w:color w:val="auto"/>
          <w:sz w:val="28"/>
          <w:szCs w:val="28"/>
          <w:highlight w:val="none"/>
        </w:rPr>
      </w:pPr>
    </w:p>
    <w:p w14:paraId="7E66F73A">
      <w:pPr>
        <w:pStyle w:val="37"/>
        <w:shd w:val="clear"/>
        <w:rPr>
          <w:rFonts w:ascii="宋体" w:hAnsi="宋体"/>
          <w:b/>
          <w:color w:val="auto"/>
          <w:sz w:val="28"/>
          <w:szCs w:val="28"/>
          <w:highlight w:val="none"/>
        </w:rPr>
      </w:pPr>
    </w:p>
    <w:p w14:paraId="5D1B0F6C">
      <w:pPr>
        <w:pStyle w:val="38"/>
        <w:shd w:val="clear"/>
        <w:rPr>
          <w:rFonts w:ascii="宋体" w:hAnsi="宋体"/>
          <w:b/>
          <w:color w:val="auto"/>
          <w:sz w:val="28"/>
          <w:szCs w:val="28"/>
          <w:highlight w:val="none"/>
        </w:rPr>
      </w:pPr>
    </w:p>
    <w:p w14:paraId="75852A72">
      <w:pPr>
        <w:pStyle w:val="37"/>
        <w:shd w:val="clear"/>
        <w:rPr>
          <w:rFonts w:ascii="宋体" w:hAnsi="宋体"/>
          <w:b/>
          <w:color w:val="auto"/>
          <w:sz w:val="28"/>
          <w:szCs w:val="28"/>
          <w:highlight w:val="none"/>
        </w:rPr>
      </w:pPr>
    </w:p>
    <w:p w14:paraId="35F9B82A">
      <w:pPr>
        <w:pStyle w:val="38"/>
        <w:shd w:val="clear"/>
        <w:rPr>
          <w:color w:val="auto"/>
          <w:highlight w:val="none"/>
        </w:rPr>
      </w:pPr>
    </w:p>
    <w:p w14:paraId="200193E6">
      <w:pPr>
        <w:pStyle w:val="38"/>
        <w:shd w:val="clear"/>
        <w:rPr>
          <w:rFonts w:ascii="宋体" w:hAnsi="宋体"/>
          <w:b/>
          <w:color w:val="auto"/>
          <w:sz w:val="28"/>
          <w:szCs w:val="28"/>
          <w:highlight w:val="none"/>
        </w:rPr>
      </w:pPr>
    </w:p>
    <w:p w14:paraId="134C1A35">
      <w:pPr>
        <w:pStyle w:val="37"/>
        <w:shd w:val="clear"/>
        <w:rPr>
          <w:rFonts w:ascii="宋体" w:hAnsi="宋体"/>
          <w:b/>
          <w:color w:val="auto"/>
          <w:sz w:val="28"/>
          <w:szCs w:val="28"/>
          <w:highlight w:val="none"/>
        </w:rPr>
      </w:pPr>
    </w:p>
    <w:p w14:paraId="1A2146B5">
      <w:pPr>
        <w:pStyle w:val="37"/>
        <w:shd w:val="clear"/>
        <w:spacing w:line="360" w:lineRule="auto"/>
        <w:rPr>
          <w:rFonts w:hint="eastAsia" w:ascii="宋体" w:hAnsi="宋体" w:cs="Times New Roman"/>
          <w:b/>
          <w:color w:val="auto"/>
          <w:spacing w:val="0"/>
          <w:kern w:val="2"/>
          <w:sz w:val="24"/>
          <w:szCs w:val="24"/>
          <w:highlight w:val="none"/>
          <w:lang w:val="en-US" w:eastAsia="zh-CN" w:bidi="ar-SA"/>
        </w:rPr>
      </w:pPr>
    </w:p>
    <w:p w14:paraId="663BA687">
      <w:pPr>
        <w:pStyle w:val="37"/>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3"/>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3"/>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2"/>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7"/>
        <w:shd w:val="clear"/>
        <w:spacing w:line="360" w:lineRule="auto"/>
        <w:rPr>
          <w:rFonts w:ascii="宋体" w:hAnsi="宋体"/>
          <w:b/>
          <w:color w:val="auto"/>
          <w:sz w:val="28"/>
          <w:szCs w:val="28"/>
          <w:highlight w:val="none"/>
        </w:rPr>
      </w:pPr>
    </w:p>
    <w:p w14:paraId="02309AC3">
      <w:pPr>
        <w:pStyle w:val="38"/>
        <w:shd w:val="clear"/>
        <w:rPr>
          <w:rFonts w:ascii="宋体" w:hAnsi="宋体"/>
          <w:b/>
          <w:color w:val="auto"/>
          <w:sz w:val="28"/>
          <w:szCs w:val="28"/>
          <w:highlight w:val="none"/>
        </w:rPr>
      </w:pPr>
    </w:p>
    <w:p w14:paraId="1C6EBDDF">
      <w:pPr>
        <w:pStyle w:val="37"/>
        <w:shd w:val="clear"/>
        <w:rPr>
          <w:rFonts w:ascii="宋体" w:hAnsi="宋体"/>
          <w:b/>
          <w:color w:val="auto"/>
          <w:sz w:val="28"/>
          <w:szCs w:val="28"/>
          <w:highlight w:val="none"/>
        </w:rPr>
      </w:pPr>
    </w:p>
    <w:p w14:paraId="4F6013C7">
      <w:pPr>
        <w:pStyle w:val="38"/>
        <w:shd w:val="clear"/>
        <w:rPr>
          <w:rFonts w:ascii="宋体" w:hAnsi="宋体"/>
          <w:b/>
          <w:color w:val="auto"/>
          <w:sz w:val="28"/>
          <w:szCs w:val="28"/>
          <w:highlight w:val="none"/>
        </w:rPr>
      </w:pPr>
    </w:p>
    <w:p w14:paraId="30275D69">
      <w:pPr>
        <w:pStyle w:val="37"/>
        <w:shd w:val="clear"/>
        <w:rPr>
          <w:rFonts w:ascii="宋体" w:hAnsi="宋体"/>
          <w:b/>
          <w:color w:val="auto"/>
          <w:sz w:val="28"/>
          <w:szCs w:val="28"/>
          <w:highlight w:val="none"/>
        </w:rPr>
      </w:pPr>
    </w:p>
    <w:p w14:paraId="1C79F335">
      <w:pPr>
        <w:pStyle w:val="38"/>
        <w:shd w:val="clear"/>
        <w:rPr>
          <w:color w:val="auto"/>
          <w:highlight w:val="none"/>
        </w:rPr>
      </w:pPr>
    </w:p>
    <w:p w14:paraId="7946C475">
      <w:pPr>
        <w:pStyle w:val="37"/>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8"/>
        <w:shd w:val="clear"/>
        <w:rPr>
          <w:color w:val="auto"/>
          <w:highlight w:val="none"/>
        </w:rPr>
      </w:pPr>
    </w:p>
    <w:p w14:paraId="6FDA23BA">
      <w:pPr>
        <w:pStyle w:val="37"/>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8"/>
        <w:rPr>
          <w:rFonts w:hint="eastAsia" w:ascii="宋体" w:hAnsi="宋体"/>
          <w:b/>
          <w:color w:val="auto"/>
          <w:sz w:val="24"/>
          <w:highlight w:val="none"/>
          <w:lang w:eastAsia="zh-CN"/>
        </w:rPr>
      </w:pPr>
    </w:p>
    <w:p w14:paraId="720DE7ED">
      <w:pPr>
        <w:pStyle w:val="37"/>
        <w:rPr>
          <w:rFonts w:hint="eastAsia" w:ascii="宋体" w:hAnsi="宋体"/>
          <w:b/>
          <w:color w:val="auto"/>
          <w:sz w:val="24"/>
          <w:highlight w:val="none"/>
          <w:lang w:eastAsia="zh-CN"/>
        </w:rPr>
      </w:pPr>
    </w:p>
    <w:p w14:paraId="0B6D41A1">
      <w:pPr>
        <w:pStyle w:val="38"/>
        <w:rPr>
          <w:rFonts w:hint="eastAsia"/>
          <w:lang w:eastAsia="zh-CN"/>
        </w:rPr>
      </w:pPr>
    </w:p>
    <w:p w14:paraId="3908AC1F">
      <w:pPr>
        <w:pStyle w:val="38"/>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7"/>
        <w:rPr>
          <w:rFonts w:ascii="宋体" w:hAnsi="宋体" w:eastAsia="宋体" w:cs="宋体"/>
          <w:sz w:val="24"/>
          <w:szCs w:val="24"/>
        </w:rPr>
      </w:pPr>
    </w:p>
    <w:p w14:paraId="5B14B5B8">
      <w:pPr>
        <w:pStyle w:val="38"/>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u w:val="single"/>
        </w:rPr>
      </w:pPr>
      <w:r>
        <w:rPr>
          <w:rFonts w:hint="eastAsia" w:ascii="宋体" w:hAnsi="宋体" w:eastAsia="宋体" w:cs="宋体"/>
          <w:b w:val="0"/>
          <w:bCs/>
          <w:sz w:val="22"/>
          <w:szCs w:val="22"/>
        </w:rPr>
        <w:t>致：</w:t>
      </w:r>
      <w:r>
        <w:rPr>
          <w:rFonts w:hint="eastAsia" w:ascii="宋体" w:hAnsi="宋体" w:eastAsia="宋体" w:cs="宋体"/>
          <w:b w:val="0"/>
          <w:bCs/>
          <w:sz w:val="22"/>
          <w:szCs w:val="22"/>
          <w:u w:val="single"/>
          <w:lang w:eastAsia="zh-CN"/>
        </w:rPr>
        <w:t>天等县交通运输局</w:t>
      </w:r>
      <w:r>
        <w:rPr>
          <w:rFonts w:hint="eastAsia" w:ascii="宋体" w:hAnsi="宋体" w:eastAsia="宋体" w:cs="宋体"/>
          <w:b w:val="0"/>
          <w:bCs/>
          <w:sz w:val="22"/>
          <w:szCs w:val="22"/>
          <w:u w:val="single"/>
        </w:rPr>
        <w:t>、广西崇善项目咨询有限公司</w:t>
      </w:r>
    </w:p>
    <w:p w14:paraId="2CCBCD27">
      <w:pPr>
        <w:pStyle w:val="38"/>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8"/>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8"/>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7"/>
        <w:rPr>
          <w:rFonts w:hint="eastAsia"/>
          <w:sz w:val="22"/>
          <w:szCs w:val="28"/>
        </w:rPr>
      </w:pPr>
    </w:p>
    <w:p w14:paraId="7F3EDFF7">
      <w:pPr>
        <w:pStyle w:val="38"/>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8"/>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8"/>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7"/>
        <w:rPr>
          <w:rFonts w:hint="eastAsia" w:ascii="宋体" w:hAnsi="宋体" w:eastAsia="宋体" w:cs="宋体"/>
          <w:b w:val="0"/>
          <w:bCs/>
          <w:sz w:val="22"/>
          <w:szCs w:val="22"/>
        </w:rPr>
      </w:pPr>
    </w:p>
    <w:p w14:paraId="389D4C60">
      <w:pPr>
        <w:pStyle w:val="38"/>
        <w:rPr>
          <w:rFonts w:hint="eastAsia" w:ascii="宋体" w:hAnsi="宋体" w:eastAsia="宋体" w:cs="宋体"/>
          <w:b w:val="0"/>
          <w:bCs/>
          <w:sz w:val="22"/>
          <w:szCs w:val="22"/>
        </w:rPr>
      </w:pPr>
    </w:p>
    <w:p w14:paraId="61627351">
      <w:pPr>
        <w:pStyle w:val="37"/>
        <w:rPr>
          <w:rFonts w:hint="eastAsia" w:ascii="宋体" w:hAnsi="宋体" w:eastAsia="宋体" w:cs="宋体"/>
          <w:b w:val="0"/>
          <w:bCs/>
          <w:sz w:val="22"/>
          <w:szCs w:val="22"/>
        </w:rPr>
      </w:pPr>
    </w:p>
    <w:p w14:paraId="002A9D22">
      <w:pPr>
        <w:pStyle w:val="38"/>
        <w:rPr>
          <w:rFonts w:hint="eastAsia" w:ascii="宋体" w:hAnsi="宋体" w:eastAsia="宋体" w:cs="宋体"/>
          <w:b w:val="0"/>
          <w:bCs/>
          <w:sz w:val="22"/>
          <w:szCs w:val="22"/>
        </w:rPr>
      </w:pPr>
    </w:p>
    <w:p w14:paraId="04E5A362">
      <w:pPr>
        <w:pStyle w:val="37"/>
        <w:rPr>
          <w:rFonts w:hint="eastAsia" w:ascii="宋体" w:hAnsi="宋体" w:eastAsia="宋体" w:cs="宋体"/>
          <w:b w:val="0"/>
          <w:bCs/>
          <w:sz w:val="22"/>
          <w:szCs w:val="22"/>
        </w:rPr>
      </w:pPr>
    </w:p>
    <w:p w14:paraId="746644A9">
      <w:pPr>
        <w:pStyle w:val="38"/>
        <w:rPr>
          <w:rFonts w:hint="eastAsia"/>
        </w:rPr>
      </w:pPr>
    </w:p>
    <w:p w14:paraId="3E6CDD97">
      <w:pPr>
        <w:pStyle w:val="37"/>
        <w:rPr>
          <w:rFonts w:hint="eastAsia"/>
        </w:rPr>
      </w:pPr>
    </w:p>
    <w:p w14:paraId="15CDB20B">
      <w:pPr>
        <w:pStyle w:val="38"/>
        <w:rPr>
          <w:rFonts w:hint="eastAsia"/>
        </w:rPr>
      </w:pPr>
    </w:p>
    <w:p w14:paraId="3675C59A">
      <w:pPr>
        <w:pStyle w:val="37"/>
        <w:rPr>
          <w:rFonts w:hint="eastAsia"/>
        </w:rPr>
      </w:pPr>
    </w:p>
    <w:p w14:paraId="1F4F8C42">
      <w:pPr>
        <w:pStyle w:val="38"/>
        <w:rPr>
          <w:rFonts w:hint="eastAsia"/>
        </w:rPr>
      </w:pPr>
    </w:p>
    <w:p w14:paraId="621C2670">
      <w:pPr>
        <w:pStyle w:val="37"/>
        <w:shd w:val="clear"/>
        <w:rPr>
          <w:rFonts w:hint="eastAsia" w:ascii="宋体" w:hAnsi="宋体"/>
          <w:b/>
          <w:color w:val="auto"/>
          <w:sz w:val="24"/>
          <w:highlight w:val="none"/>
          <w:lang w:eastAsia="zh-CN"/>
        </w:rPr>
      </w:pPr>
    </w:p>
    <w:p w14:paraId="5BCB425E">
      <w:pPr>
        <w:pStyle w:val="38"/>
        <w:shd w:val="clear"/>
        <w:rPr>
          <w:rFonts w:hint="eastAsia" w:ascii="宋体" w:hAnsi="宋体"/>
          <w:b/>
          <w:color w:val="auto"/>
          <w:sz w:val="24"/>
          <w:highlight w:val="none"/>
          <w:lang w:eastAsia="zh-CN"/>
        </w:rPr>
      </w:pPr>
    </w:p>
    <w:p w14:paraId="3099B6CD">
      <w:pPr>
        <w:pStyle w:val="37"/>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7"/>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7"/>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7"/>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7"/>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7"/>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7"/>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6"/>
        <w:shd w:val="clear"/>
        <w:spacing w:line="460" w:lineRule="exact"/>
        <w:ind w:firstLine="420"/>
        <w:rPr>
          <w:rFonts w:hint="eastAsia"/>
          <w:color w:val="auto"/>
          <w:szCs w:val="21"/>
          <w:highlight w:val="none"/>
          <w:u w:val="single"/>
        </w:rPr>
      </w:pPr>
    </w:p>
    <w:p w14:paraId="20863476">
      <w:pPr>
        <w:pStyle w:val="38"/>
        <w:shd w:val="clear"/>
        <w:rPr>
          <w:rFonts w:hint="eastAsia"/>
          <w:color w:val="auto"/>
          <w:highlight w:val="none"/>
        </w:rPr>
      </w:pPr>
    </w:p>
    <w:p w14:paraId="2A83C65A">
      <w:pPr>
        <w:pStyle w:val="37"/>
        <w:shd w:val="clear"/>
        <w:rPr>
          <w:rFonts w:hint="eastAsia"/>
          <w:color w:val="auto"/>
          <w:highlight w:val="none"/>
        </w:rPr>
      </w:pPr>
    </w:p>
    <w:p w14:paraId="07F7F4D4">
      <w:pPr>
        <w:pStyle w:val="38"/>
        <w:shd w:val="clear"/>
        <w:rPr>
          <w:rFonts w:hint="eastAsia"/>
          <w:color w:val="auto"/>
          <w:highlight w:val="none"/>
        </w:rPr>
      </w:pPr>
    </w:p>
    <w:p w14:paraId="36818150">
      <w:pPr>
        <w:pStyle w:val="37"/>
        <w:shd w:val="clear"/>
        <w:rPr>
          <w:rFonts w:hint="eastAsia"/>
          <w:color w:val="auto"/>
          <w:highlight w:val="none"/>
        </w:rPr>
      </w:pPr>
    </w:p>
    <w:p w14:paraId="16829C47">
      <w:pPr>
        <w:pStyle w:val="38"/>
        <w:shd w:val="clear"/>
        <w:rPr>
          <w:rFonts w:hint="eastAsia"/>
          <w:color w:val="auto"/>
          <w:highlight w:val="none"/>
        </w:rPr>
      </w:pPr>
    </w:p>
    <w:p w14:paraId="18C58591">
      <w:pPr>
        <w:pStyle w:val="37"/>
        <w:shd w:val="clear"/>
        <w:rPr>
          <w:rFonts w:hint="eastAsia"/>
          <w:color w:val="auto"/>
          <w:highlight w:val="none"/>
        </w:rPr>
      </w:pPr>
    </w:p>
    <w:p w14:paraId="11627654">
      <w:pPr>
        <w:pStyle w:val="38"/>
        <w:shd w:val="clear"/>
        <w:rPr>
          <w:rFonts w:hint="eastAsia"/>
          <w:color w:val="auto"/>
          <w:highlight w:val="none"/>
        </w:rPr>
      </w:pPr>
    </w:p>
    <w:p w14:paraId="064A9EC1">
      <w:pPr>
        <w:pStyle w:val="37"/>
        <w:shd w:val="clear"/>
        <w:rPr>
          <w:rFonts w:hint="eastAsia"/>
          <w:color w:val="auto"/>
          <w:highlight w:val="none"/>
        </w:rPr>
      </w:pPr>
    </w:p>
    <w:p w14:paraId="6653F8E7">
      <w:pPr>
        <w:pStyle w:val="38"/>
        <w:shd w:val="clear"/>
        <w:rPr>
          <w:rFonts w:hint="eastAsia"/>
          <w:color w:val="auto"/>
          <w:highlight w:val="none"/>
        </w:rPr>
      </w:pPr>
    </w:p>
    <w:p w14:paraId="7B03AE7A">
      <w:pPr>
        <w:pStyle w:val="37"/>
        <w:shd w:val="clear"/>
        <w:rPr>
          <w:rFonts w:hint="eastAsia"/>
          <w:color w:val="auto"/>
          <w:highlight w:val="none"/>
        </w:rPr>
      </w:pPr>
    </w:p>
    <w:p w14:paraId="5ECAD958">
      <w:pPr>
        <w:pStyle w:val="38"/>
        <w:shd w:val="clear"/>
        <w:rPr>
          <w:rFonts w:hint="eastAsia"/>
          <w:color w:val="auto"/>
          <w:highlight w:val="none"/>
        </w:rPr>
      </w:pPr>
    </w:p>
    <w:p w14:paraId="30D65AC4">
      <w:pPr>
        <w:pStyle w:val="37"/>
        <w:shd w:val="clear"/>
        <w:rPr>
          <w:rFonts w:hint="eastAsia"/>
          <w:color w:val="auto"/>
          <w:highlight w:val="none"/>
        </w:rPr>
      </w:pPr>
    </w:p>
    <w:p w14:paraId="054D41BB">
      <w:pPr>
        <w:pStyle w:val="38"/>
        <w:shd w:val="clear"/>
        <w:rPr>
          <w:rFonts w:hint="eastAsia"/>
          <w:color w:val="auto"/>
          <w:highlight w:val="none"/>
        </w:rPr>
      </w:pPr>
    </w:p>
    <w:p w14:paraId="6EA25D1A">
      <w:pPr>
        <w:pStyle w:val="37"/>
        <w:shd w:val="clear"/>
        <w:rPr>
          <w:rFonts w:hint="eastAsia"/>
          <w:color w:val="auto"/>
          <w:highlight w:val="none"/>
        </w:rPr>
      </w:pPr>
    </w:p>
    <w:p w14:paraId="5371EA70">
      <w:pPr>
        <w:pStyle w:val="38"/>
        <w:shd w:val="clear"/>
        <w:rPr>
          <w:rFonts w:hint="eastAsia"/>
          <w:color w:val="auto"/>
          <w:highlight w:val="none"/>
        </w:rPr>
      </w:pPr>
    </w:p>
    <w:p w14:paraId="6FC40F0C">
      <w:pPr>
        <w:pStyle w:val="37"/>
        <w:shd w:val="clear"/>
        <w:rPr>
          <w:rFonts w:hint="eastAsia"/>
          <w:color w:val="auto"/>
          <w:highlight w:val="none"/>
        </w:rPr>
      </w:pPr>
    </w:p>
    <w:p w14:paraId="739DE811">
      <w:pPr>
        <w:pStyle w:val="37"/>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8"/>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3"/>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3"/>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天等县交通运输局</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天等县宁干乡宁干村2026年“千村引领，万村提升”示范创建项目(宁干乡宁干村屯内道路硬化及配套工程)</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3"/>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天等县宁干乡宁干村2026年“千村引领，万村提升”示范创建项目(宁干乡宁干村屯内道路硬化及配套工程)</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3"/>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3"/>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3"/>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3"/>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3"/>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3"/>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3"/>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3"/>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3"/>
        <w:shd w:val="clear" w:color="auto"/>
        <w:spacing w:before="0" w:beforeAutospacing="0" w:after="0" w:afterAutospacing="0" w:line="460" w:lineRule="exact"/>
        <w:ind w:firstLine="539"/>
        <w:rPr>
          <w:rFonts w:hint="eastAsia"/>
          <w:color w:val="auto"/>
          <w:sz w:val="21"/>
          <w:szCs w:val="21"/>
          <w:highlight w:val="none"/>
        </w:rPr>
      </w:pPr>
    </w:p>
    <w:p w14:paraId="0C14061C">
      <w:pPr>
        <w:pStyle w:val="23"/>
        <w:shd w:val="clear" w:color="auto"/>
        <w:spacing w:before="0" w:beforeAutospacing="0" w:after="0" w:afterAutospacing="0" w:line="460" w:lineRule="exact"/>
        <w:ind w:firstLine="539"/>
        <w:rPr>
          <w:rFonts w:hint="eastAsia"/>
          <w:color w:val="auto"/>
          <w:sz w:val="21"/>
          <w:szCs w:val="21"/>
          <w:highlight w:val="none"/>
        </w:rPr>
      </w:pPr>
    </w:p>
    <w:p w14:paraId="02E91627">
      <w:pPr>
        <w:pStyle w:val="23"/>
        <w:shd w:val="clear" w:color="auto"/>
        <w:spacing w:before="0" w:beforeAutospacing="0" w:after="0" w:afterAutospacing="0" w:line="460" w:lineRule="exact"/>
        <w:ind w:firstLine="539"/>
        <w:rPr>
          <w:rFonts w:hint="eastAsia"/>
          <w:color w:val="auto"/>
          <w:sz w:val="21"/>
          <w:szCs w:val="21"/>
          <w:highlight w:val="none"/>
        </w:rPr>
      </w:pPr>
    </w:p>
    <w:p w14:paraId="28851E83">
      <w:pPr>
        <w:pStyle w:val="23"/>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E5AC297">
      <w:pPr>
        <w:pStyle w:val="38"/>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2"/>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3"/>
        <w:shd w:val="clear" w:color="auto"/>
        <w:spacing w:before="0" w:beforeAutospacing="0" w:after="0" w:afterAutospacing="0" w:line="460" w:lineRule="exact"/>
        <w:ind w:firstLine="539"/>
        <w:rPr>
          <w:rFonts w:hint="eastAsia"/>
          <w:color w:val="auto"/>
          <w:highlight w:val="none"/>
        </w:rPr>
      </w:pPr>
    </w:p>
    <w:p w14:paraId="5C14E0C7">
      <w:pPr>
        <w:pStyle w:val="23"/>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3"/>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3"/>
        <w:shd w:val="clear" w:color="auto"/>
        <w:spacing w:before="0" w:beforeAutospacing="0" w:after="0" w:afterAutospacing="0" w:line="460" w:lineRule="exact"/>
        <w:ind w:firstLine="539"/>
        <w:rPr>
          <w:rFonts w:hint="eastAsia"/>
          <w:color w:val="auto"/>
          <w:sz w:val="21"/>
          <w:szCs w:val="21"/>
          <w:highlight w:val="none"/>
        </w:rPr>
      </w:pPr>
    </w:p>
    <w:p w14:paraId="0679A450">
      <w:pPr>
        <w:pStyle w:val="23"/>
        <w:shd w:val="clear" w:color="auto"/>
        <w:spacing w:before="0" w:beforeAutospacing="0" w:after="0" w:afterAutospacing="0" w:line="460" w:lineRule="exact"/>
        <w:ind w:firstLine="539"/>
        <w:rPr>
          <w:rFonts w:hint="eastAsia"/>
          <w:color w:val="auto"/>
          <w:sz w:val="21"/>
          <w:szCs w:val="21"/>
          <w:highlight w:val="none"/>
        </w:rPr>
      </w:pPr>
    </w:p>
    <w:p w14:paraId="1C38E12F">
      <w:pPr>
        <w:pStyle w:val="23"/>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3"/>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7"/>
        <w:shd w:val="clear"/>
        <w:spacing w:line="360" w:lineRule="auto"/>
        <w:rPr>
          <w:rFonts w:ascii="宋体" w:hAnsi="宋体"/>
          <w:b/>
          <w:color w:val="auto"/>
          <w:sz w:val="48"/>
          <w:szCs w:val="48"/>
          <w:highlight w:val="none"/>
        </w:rPr>
      </w:pPr>
    </w:p>
    <w:p w14:paraId="2EE9074B">
      <w:pPr>
        <w:pStyle w:val="38"/>
        <w:shd w:val="clear"/>
        <w:rPr>
          <w:rFonts w:ascii="宋体" w:hAnsi="宋体"/>
          <w:b/>
          <w:color w:val="auto"/>
          <w:sz w:val="48"/>
          <w:szCs w:val="48"/>
          <w:highlight w:val="none"/>
        </w:rPr>
      </w:pPr>
    </w:p>
    <w:p w14:paraId="6F0E87AA">
      <w:pPr>
        <w:pStyle w:val="37"/>
        <w:shd w:val="clear"/>
        <w:rPr>
          <w:rFonts w:ascii="宋体" w:hAnsi="宋体"/>
          <w:b/>
          <w:color w:val="auto"/>
          <w:sz w:val="48"/>
          <w:szCs w:val="48"/>
          <w:highlight w:val="none"/>
        </w:rPr>
      </w:pPr>
    </w:p>
    <w:p w14:paraId="4DB23995">
      <w:pPr>
        <w:pStyle w:val="38"/>
        <w:shd w:val="clear"/>
        <w:rPr>
          <w:rFonts w:ascii="宋体" w:hAnsi="宋体"/>
          <w:b/>
          <w:color w:val="auto"/>
          <w:sz w:val="48"/>
          <w:szCs w:val="48"/>
          <w:highlight w:val="none"/>
        </w:rPr>
      </w:pPr>
    </w:p>
    <w:p w14:paraId="576B8B8E">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7"/>
        <w:shd w:val="clear"/>
        <w:rPr>
          <w:rFonts w:ascii="宋体" w:hAnsi="宋体"/>
          <w:b/>
          <w:color w:val="auto"/>
          <w:sz w:val="48"/>
          <w:szCs w:val="48"/>
          <w:highlight w:val="none"/>
        </w:rPr>
      </w:pPr>
    </w:p>
    <w:p w14:paraId="6BC4D0CD">
      <w:pPr>
        <w:pStyle w:val="38"/>
        <w:shd w:val="clear"/>
        <w:rPr>
          <w:rFonts w:ascii="宋体" w:hAnsi="宋体"/>
          <w:b/>
          <w:color w:val="auto"/>
          <w:sz w:val="48"/>
          <w:szCs w:val="48"/>
          <w:highlight w:val="none"/>
        </w:rPr>
      </w:pPr>
    </w:p>
    <w:p w14:paraId="416EF8BD">
      <w:pPr>
        <w:pStyle w:val="37"/>
        <w:shd w:val="clear"/>
        <w:rPr>
          <w:rFonts w:ascii="宋体" w:hAnsi="宋体"/>
          <w:b/>
          <w:color w:val="auto"/>
          <w:sz w:val="48"/>
          <w:szCs w:val="48"/>
          <w:highlight w:val="none"/>
        </w:rPr>
      </w:pPr>
    </w:p>
    <w:p w14:paraId="5D44B880">
      <w:pPr>
        <w:pStyle w:val="38"/>
        <w:shd w:val="clear"/>
        <w:rPr>
          <w:rFonts w:ascii="宋体" w:hAnsi="宋体"/>
          <w:b/>
          <w:color w:val="auto"/>
          <w:sz w:val="48"/>
          <w:szCs w:val="48"/>
          <w:highlight w:val="none"/>
        </w:rPr>
      </w:pPr>
    </w:p>
    <w:p w14:paraId="7D3E6B6A">
      <w:pPr>
        <w:pStyle w:val="37"/>
        <w:shd w:val="clear"/>
        <w:rPr>
          <w:rFonts w:ascii="宋体" w:hAnsi="宋体"/>
          <w:b/>
          <w:color w:val="auto"/>
          <w:sz w:val="48"/>
          <w:szCs w:val="48"/>
          <w:highlight w:val="none"/>
        </w:rPr>
      </w:pPr>
    </w:p>
    <w:p w14:paraId="4D31B988">
      <w:pPr>
        <w:pStyle w:val="38"/>
        <w:shd w:val="clear"/>
        <w:rPr>
          <w:color w:val="auto"/>
          <w:highlight w:val="none"/>
        </w:rPr>
      </w:pPr>
    </w:p>
    <w:p w14:paraId="70B93C0A">
      <w:pPr>
        <w:pStyle w:val="38"/>
        <w:shd w:val="clear"/>
        <w:rPr>
          <w:rFonts w:ascii="宋体" w:hAnsi="宋体"/>
          <w:b/>
          <w:color w:val="auto"/>
          <w:sz w:val="48"/>
          <w:szCs w:val="48"/>
          <w:highlight w:val="none"/>
        </w:rPr>
      </w:pPr>
    </w:p>
    <w:p w14:paraId="5F262D29">
      <w:pPr>
        <w:pStyle w:val="37"/>
        <w:shd w:val="clear"/>
        <w:rPr>
          <w:color w:val="auto"/>
          <w:highlight w:val="none"/>
        </w:rPr>
      </w:pPr>
    </w:p>
    <w:p w14:paraId="1D241A09">
      <w:pPr>
        <w:pStyle w:val="38"/>
        <w:shd w:val="clear"/>
        <w:rPr>
          <w:rFonts w:hint="eastAsia" w:ascii="宋体" w:hAnsi="宋体" w:eastAsia="宋体" w:cs="宋体"/>
          <w:b/>
          <w:color w:val="auto"/>
          <w:sz w:val="32"/>
          <w:szCs w:val="32"/>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73DE522A">
      <w:pPr>
        <w:pStyle w:val="23"/>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致：天等县交通运输局</w:t>
      </w:r>
    </w:p>
    <w:p w14:paraId="5A06B10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653AA50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3C8D6B9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如我方成交，且符合桂人社规〔2021〕16号第七条规定的免存条件（施工合同额低于300万元且一年内无拖欠记录），我方将按规定办理免存手续。</w:t>
      </w:r>
    </w:p>
    <w:p w14:paraId="5C1BE4A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如我方成交但不满足免存条件，我方承诺在合同签订后按规定以</w:t>
      </w:r>
      <w:r>
        <w:rPr>
          <w:rFonts w:hint="default" w:ascii="Segoe UI" w:hAnsi="Segoe UI" w:eastAsia="Segoe UI" w:cs="Segoe UI"/>
          <w:b/>
          <w:bCs/>
          <w:i w:val="0"/>
          <w:iCs w:val="0"/>
          <w:caps w:val="0"/>
          <w:color w:val="0F1115"/>
          <w:spacing w:val="0"/>
          <w:sz w:val="21"/>
          <w:szCs w:val="21"/>
          <w:shd w:val="clear" w:fill="FFFFFF"/>
        </w:rPr>
        <w:t>现金存储、银行保函或农民工工资支付履约保证保险</w:t>
      </w:r>
      <w:r>
        <w:rPr>
          <w:rFonts w:hint="default" w:ascii="Segoe UI" w:hAnsi="Segoe UI" w:eastAsia="Segoe UI" w:cs="Segoe UI"/>
          <w:i w:val="0"/>
          <w:iCs w:val="0"/>
          <w:caps w:val="0"/>
          <w:color w:val="0F1115"/>
          <w:spacing w:val="0"/>
          <w:sz w:val="21"/>
          <w:szCs w:val="21"/>
          <w:shd w:val="clear" w:fill="FFFFFF"/>
        </w:rPr>
        <w:t>等方式之一履行农民工工资保证金义务。</w:t>
      </w:r>
    </w:p>
    <w:p w14:paraId="3FD689E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885BA6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8"/>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10DB3EEC">
      <w:pPr>
        <w:pStyle w:val="38"/>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7"/>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8"/>
        <w:shd w:val="clear"/>
        <w:rPr>
          <w:rFonts w:hint="eastAsia"/>
          <w:color w:val="auto"/>
          <w:highlight w:val="none"/>
          <w:lang w:eastAsia="zh-CN"/>
        </w:rPr>
      </w:pPr>
    </w:p>
    <w:p w14:paraId="757C5C1C">
      <w:pPr>
        <w:pStyle w:val="37"/>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7"/>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7"/>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7"/>
        <w:shd w:val="clear"/>
        <w:spacing w:line="360" w:lineRule="auto"/>
        <w:rPr>
          <w:rFonts w:hint="eastAsia" w:ascii="宋体" w:hAnsi="宋体" w:eastAsia="宋体" w:cs="宋体"/>
          <w:color w:val="auto"/>
          <w:sz w:val="21"/>
          <w:szCs w:val="21"/>
          <w:highlight w:val="none"/>
          <w:lang w:eastAsia="zh-CN"/>
        </w:rPr>
      </w:pPr>
    </w:p>
    <w:p w14:paraId="22F96656">
      <w:pPr>
        <w:pStyle w:val="50"/>
        <w:shd w:val="clear"/>
        <w:rPr>
          <w:color w:val="auto"/>
          <w:highlight w:val="none"/>
        </w:rPr>
      </w:pPr>
    </w:p>
    <w:p w14:paraId="2E7470EB">
      <w:pPr>
        <w:pStyle w:val="37"/>
        <w:shd w:val="clear"/>
        <w:rPr>
          <w:color w:val="auto"/>
          <w:highlight w:val="none"/>
        </w:rPr>
      </w:pPr>
    </w:p>
    <w:p w14:paraId="560FDC47">
      <w:pPr>
        <w:pStyle w:val="38"/>
        <w:shd w:val="clear"/>
        <w:rPr>
          <w:color w:val="auto"/>
          <w:highlight w:val="none"/>
        </w:rPr>
      </w:pPr>
    </w:p>
    <w:p w14:paraId="24D53AF6">
      <w:pPr>
        <w:pStyle w:val="37"/>
        <w:shd w:val="clear"/>
        <w:rPr>
          <w:color w:val="auto"/>
          <w:highlight w:val="none"/>
        </w:rPr>
      </w:pPr>
    </w:p>
    <w:p w14:paraId="4D3C83E6">
      <w:pPr>
        <w:pStyle w:val="38"/>
        <w:shd w:val="clear"/>
        <w:rPr>
          <w:color w:val="auto"/>
          <w:highlight w:val="none"/>
        </w:rPr>
      </w:pPr>
    </w:p>
    <w:p w14:paraId="3F8A32ED">
      <w:pPr>
        <w:pStyle w:val="37"/>
        <w:shd w:val="clear"/>
        <w:rPr>
          <w:color w:val="auto"/>
          <w:highlight w:val="none"/>
        </w:rPr>
      </w:pPr>
    </w:p>
    <w:p w14:paraId="05E493C0">
      <w:pPr>
        <w:pStyle w:val="38"/>
        <w:shd w:val="clear"/>
        <w:rPr>
          <w:color w:val="auto"/>
          <w:highlight w:val="none"/>
        </w:rPr>
      </w:pPr>
    </w:p>
    <w:p w14:paraId="44BA5B7F">
      <w:pPr>
        <w:pStyle w:val="37"/>
        <w:shd w:val="clear"/>
        <w:rPr>
          <w:color w:val="auto"/>
          <w:highlight w:val="none"/>
        </w:rPr>
      </w:pPr>
    </w:p>
    <w:p w14:paraId="052EE474">
      <w:pPr>
        <w:pStyle w:val="38"/>
        <w:shd w:val="clear"/>
        <w:rPr>
          <w:color w:val="auto"/>
          <w:highlight w:val="none"/>
        </w:rPr>
      </w:pPr>
    </w:p>
    <w:p w14:paraId="3C9B27AB">
      <w:pPr>
        <w:pStyle w:val="37"/>
        <w:shd w:val="clear"/>
        <w:rPr>
          <w:color w:val="auto"/>
          <w:highlight w:val="none"/>
        </w:rPr>
      </w:pPr>
    </w:p>
    <w:p w14:paraId="6A495387">
      <w:pPr>
        <w:pStyle w:val="38"/>
        <w:shd w:val="clear"/>
        <w:rPr>
          <w:color w:val="auto"/>
          <w:highlight w:val="none"/>
        </w:rPr>
      </w:pPr>
    </w:p>
    <w:p w14:paraId="59BDE0D6">
      <w:pPr>
        <w:pStyle w:val="37"/>
        <w:shd w:val="clear"/>
        <w:rPr>
          <w:color w:val="auto"/>
          <w:highlight w:val="none"/>
        </w:rPr>
      </w:pPr>
    </w:p>
    <w:p w14:paraId="5BB31B95">
      <w:pPr>
        <w:pStyle w:val="38"/>
        <w:shd w:val="clear"/>
        <w:rPr>
          <w:color w:val="auto"/>
          <w:highlight w:val="none"/>
        </w:rPr>
      </w:pPr>
    </w:p>
    <w:p w14:paraId="3D410195">
      <w:pPr>
        <w:pStyle w:val="37"/>
        <w:shd w:val="clear"/>
        <w:rPr>
          <w:color w:val="auto"/>
          <w:highlight w:val="none"/>
        </w:rPr>
      </w:pPr>
    </w:p>
    <w:p w14:paraId="0A7980E6">
      <w:pPr>
        <w:pStyle w:val="38"/>
        <w:shd w:val="clear"/>
        <w:rPr>
          <w:color w:val="auto"/>
          <w:highlight w:val="none"/>
        </w:rPr>
      </w:pPr>
    </w:p>
    <w:p w14:paraId="62D4C267">
      <w:pPr>
        <w:pStyle w:val="37"/>
        <w:shd w:val="clear"/>
        <w:rPr>
          <w:color w:val="auto"/>
          <w:highlight w:val="none"/>
        </w:rPr>
      </w:pPr>
    </w:p>
    <w:p w14:paraId="2B337A4E">
      <w:pPr>
        <w:pStyle w:val="38"/>
        <w:shd w:val="clear"/>
        <w:rPr>
          <w:color w:val="auto"/>
          <w:highlight w:val="none"/>
        </w:rPr>
      </w:pPr>
    </w:p>
    <w:p w14:paraId="382E68F0">
      <w:pPr>
        <w:pStyle w:val="37"/>
        <w:shd w:val="clear"/>
        <w:rPr>
          <w:color w:val="auto"/>
          <w:highlight w:val="none"/>
        </w:rPr>
      </w:pPr>
    </w:p>
    <w:p w14:paraId="17DDDCF5">
      <w:pPr>
        <w:pStyle w:val="38"/>
        <w:shd w:val="clear"/>
        <w:rPr>
          <w:color w:val="auto"/>
          <w:highlight w:val="none"/>
        </w:rPr>
      </w:pPr>
    </w:p>
    <w:p w14:paraId="370E9FBD">
      <w:pPr>
        <w:pStyle w:val="37"/>
        <w:shd w:val="clear"/>
        <w:rPr>
          <w:color w:val="auto"/>
          <w:highlight w:val="none"/>
        </w:rPr>
      </w:pPr>
    </w:p>
    <w:p w14:paraId="30EE853B">
      <w:pPr>
        <w:pStyle w:val="38"/>
        <w:shd w:val="clear"/>
        <w:rPr>
          <w:color w:val="auto"/>
          <w:highlight w:val="none"/>
        </w:rPr>
      </w:pPr>
    </w:p>
    <w:p w14:paraId="65D84A87">
      <w:pPr>
        <w:pStyle w:val="37"/>
        <w:shd w:val="clear"/>
        <w:rPr>
          <w:color w:val="auto"/>
          <w:highlight w:val="none"/>
        </w:rPr>
      </w:pPr>
    </w:p>
    <w:p w14:paraId="07B8144B">
      <w:pPr>
        <w:pStyle w:val="38"/>
        <w:shd w:val="clear"/>
        <w:rPr>
          <w:color w:val="auto"/>
          <w:highlight w:val="none"/>
        </w:rPr>
      </w:pPr>
    </w:p>
    <w:p w14:paraId="4088495A">
      <w:pPr>
        <w:pStyle w:val="37"/>
        <w:shd w:val="clear"/>
        <w:rPr>
          <w:color w:val="auto"/>
          <w:highlight w:val="none"/>
        </w:rPr>
      </w:pPr>
    </w:p>
    <w:p w14:paraId="4B5391D1">
      <w:pPr>
        <w:pStyle w:val="38"/>
        <w:shd w:val="clear"/>
        <w:rPr>
          <w:color w:val="auto"/>
          <w:highlight w:val="none"/>
        </w:rPr>
      </w:pPr>
    </w:p>
    <w:p w14:paraId="5878855C">
      <w:pPr>
        <w:pStyle w:val="37"/>
        <w:shd w:val="clear"/>
        <w:rPr>
          <w:color w:val="auto"/>
          <w:highlight w:val="none"/>
        </w:rPr>
      </w:pPr>
    </w:p>
    <w:p w14:paraId="78BFF042">
      <w:pPr>
        <w:pStyle w:val="38"/>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7292448"/>
      <w:bookmarkStart w:id="56" w:name="_Toc24872"/>
      <w:bookmarkStart w:id="57" w:name="_Toc24800"/>
      <w:bookmarkStart w:id="58" w:name="_Toc16635"/>
      <w:bookmarkStart w:id="59" w:name="_Toc247301841"/>
      <w:bookmarkStart w:id="60" w:name="_Toc243630963"/>
      <w:bookmarkStart w:id="61" w:name="_Toc243584363"/>
      <w:bookmarkStart w:id="62" w:name="_Toc255977446"/>
      <w:r>
        <w:rPr>
          <w:rFonts w:hint="eastAsia" w:ascii="宋体" w:hAnsi="宋体" w:cs="宋体"/>
          <w:color w:val="auto"/>
          <w:sz w:val="36"/>
          <w:highlight w:val="none"/>
          <w:lang w:val="en-US" w:eastAsia="zh-CN"/>
        </w:rPr>
        <w:t xml:space="preserve"> </w:t>
      </w:r>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247292449"/>
      <w:bookmarkStart w:id="64" w:name="_Toc27920"/>
      <w:bookmarkStart w:id="65" w:name="_Toc11962"/>
      <w:bookmarkStart w:id="66" w:name="_Toc32493"/>
      <w:bookmarkStart w:id="67" w:name="_Toc255977447"/>
      <w:bookmarkStart w:id="68" w:name="_Toc2585"/>
      <w:bookmarkStart w:id="69" w:name="_Toc247301842"/>
      <w:bookmarkStart w:id="70" w:name="_Toc27322"/>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8065"/>
            <w:bookmarkStart w:id="74" w:name="_Toc243584368"/>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4027"/>
            <w:bookmarkStart w:id="76" w:name="_Toc243584369"/>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7"/>
        <w:shd w:val="clear"/>
        <w:spacing w:line="360" w:lineRule="auto"/>
        <w:rPr>
          <w:rFonts w:ascii="宋体" w:hAnsi="宋体"/>
          <w:b/>
          <w:color w:val="auto"/>
          <w:sz w:val="28"/>
          <w:szCs w:val="28"/>
          <w:highlight w:val="none"/>
        </w:rPr>
      </w:pPr>
    </w:p>
    <w:p w14:paraId="3165E3CA">
      <w:pPr>
        <w:pStyle w:val="37"/>
        <w:shd w:val="clear"/>
        <w:spacing w:line="360" w:lineRule="auto"/>
        <w:rPr>
          <w:rFonts w:ascii="宋体" w:hAnsi="宋体"/>
          <w:b/>
          <w:color w:val="auto"/>
          <w:sz w:val="28"/>
          <w:szCs w:val="28"/>
          <w:highlight w:val="none"/>
        </w:rPr>
      </w:pPr>
    </w:p>
    <w:p w14:paraId="7B33D179">
      <w:pPr>
        <w:pStyle w:val="37"/>
        <w:shd w:val="clear"/>
        <w:spacing w:line="360" w:lineRule="auto"/>
        <w:rPr>
          <w:rFonts w:ascii="宋体" w:hAnsi="宋体"/>
          <w:b/>
          <w:color w:val="auto"/>
          <w:sz w:val="28"/>
          <w:szCs w:val="28"/>
          <w:highlight w:val="none"/>
        </w:rPr>
      </w:pPr>
    </w:p>
    <w:p w14:paraId="705A9B1B">
      <w:pPr>
        <w:pStyle w:val="37"/>
        <w:shd w:val="clear"/>
        <w:spacing w:line="360" w:lineRule="auto"/>
        <w:rPr>
          <w:rFonts w:ascii="宋体" w:hAnsi="宋体"/>
          <w:b/>
          <w:color w:val="auto"/>
          <w:sz w:val="28"/>
          <w:szCs w:val="28"/>
          <w:highlight w:val="none"/>
        </w:rPr>
      </w:pPr>
    </w:p>
    <w:p w14:paraId="1FDDCF4B">
      <w:pPr>
        <w:pStyle w:val="37"/>
        <w:shd w:val="clear"/>
        <w:spacing w:line="360" w:lineRule="auto"/>
        <w:rPr>
          <w:rFonts w:ascii="宋体" w:hAnsi="宋体"/>
          <w:b/>
          <w:color w:val="auto"/>
          <w:sz w:val="28"/>
          <w:szCs w:val="28"/>
          <w:highlight w:val="none"/>
        </w:rPr>
      </w:pPr>
    </w:p>
    <w:p w14:paraId="622CDD1C">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7"/>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8"/>
        <w:shd w:val="clear"/>
        <w:rPr>
          <w:color w:val="auto"/>
          <w:highlight w:val="none"/>
        </w:rPr>
      </w:pPr>
    </w:p>
    <w:p w14:paraId="03199C16">
      <w:pPr>
        <w:pStyle w:val="37"/>
        <w:shd w:val="clear"/>
        <w:spacing w:line="360" w:lineRule="auto"/>
        <w:rPr>
          <w:rFonts w:hint="eastAsia" w:ascii="宋体" w:hAnsi="宋体"/>
          <w:color w:val="auto"/>
          <w:szCs w:val="21"/>
          <w:highlight w:val="none"/>
        </w:rPr>
      </w:pPr>
    </w:p>
    <w:p w14:paraId="5F0A79DA">
      <w:pPr>
        <w:pStyle w:val="38"/>
        <w:shd w:val="clear"/>
        <w:rPr>
          <w:color w:val="auto"/>
          <w:highlight w:val="none"/>
        </w:rPr>
      </w:pPr>
    </w:p>
    <w:p w14:paraId="6746A5BE">
      <w:pPr>
        <w:pStyle w:val="37"/>
        <w:shd w:val="clear"/>
        <w:spacing w:line="360" w:lineRule="auto"/>
        <w:rPr>
          <w:rFonts w:ascii="宋体" w:hAnsi="宋体"/>
          <w:b/>
          <w:color w:val="auto"/>
          <w:sz w:val="28"/>
          <w:szCs w:val="28"/>
          <w:highlight w:val="none"/>
        </w:rPr>
      </w:pPr>
    </w:p>
    <w:p w14:paraId="6D7327BA">
      <w:pPr>
        <w:pStyle w:val="37"/>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7"/>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7"/>
        <w:shd w:val="clear"/>
        <w:snapToGrid w:val="0"/>
        <w:spacing w:line="360" w:lineRule="auto"/>
        <w:jc w:val="center"/>
        <w:rPr>
          <w:rFonts w:ascii="宋体" w:hAnsi="宋体"/>
          <w:b/>
          <w:color w:val="auto"/>
          <w:sz w:val="24"/>
          <w:highlight w:val="none"/>
        </w:rPr>
      </w:pPr>
    </w:p>
    <w:p w14:paraId="19C5BE39">
      <w:pPr>
        <w:pStyle w:val="37"/>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7"/>
        <w:shd w:val="clear"/>
        <w:spacing w:line="360" w:lineRule="auto"/>
        <w:ind w:right="97"/>
        <w:rPr>
          <w:rFonts w:ascii="宋体" w:hAnsi="宋体" w:cs="宋体"/>
          <w:color w:val="auto"/>
          <w:sz w:val="21"/>
          <w:szCs w:val="21"/>
          <w:highlight w:val="none"/>
        </w:rPr>
      </w:pPr>
    </w:p>
    <w:p w14:paraId="4CBBFDE5">
      <w:pPr>
        <w:pStyle w:val="37"/>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7"/>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7"/>
        <w:shd w:val="clear"/>
        <w:spacing w:line="360" w:lineRule="auto"/>
        <w:rPr>
          <w:rFonts w:ascii="宋体" w:hAnsi="宋体"/>
          <w:b/>
          <w:color w:val="auto"/>
          <w:sz w:val="28"/>
          <w:szCs w:val="28"/>
          <w:highlight w:val="none"/>
        </w:rPr>
      </w:pPr>
    </w:p>
    <w:p w14:paraId="48849C11">
      <w:pPr>
        <w:pStyle w:val="34"/>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2"/>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2"/>
        <w:shd w:val="clear"/>
        <w:rPr>
          <w:color w:val="auto"/>
          <w:highlight w:val="none"/>
        </w:rPr>
      </w:pPr>
    </w:p>
    <w:p w14:paraId="4F37B97C">
      <w:pPr>
        <w:shd w:val="clear"/>
        <w:rPr>
          <w:rFonts w:ascii="宋体" w:hAnsi="宋体" w:cs="宋体"/>
          <w:color w:val="auto"/>
          <w:sz w:val="36"/>
          <w:highlight w:val="none"/>
        </w:rPr>
      </w:pPr>
    </w:p>
    <w:p w14:paraId="311C53B5">
      <w:pPr>
        <w:pStyle w:val="37"/>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7"/>
        <w:shd w:val="clear"/>
        <w:snapToGrid w:val="0"/>
        <w:spacing w:line="360" w:lineRule="auto"/>
        <w:jc w:val="center"/>
        <w:rPr>
          <w:rFonts w:ascii="宋体" w:hAnsi="宋体"/>
          <w:b/>
          <w:color w:val="auto"/>
          <w:sz w:val="24"/>
          <w:highlight w:val="none"/>
        </w:rPr>
      </w:pPr>
    </w:p>
    <w:p w14:paraId="66EB8A44">
      <w:pPr>
        <w:pStyle w:val="38"/>
        <w:shd w:val="clear"/>
        <w:rPr>
          <w:color w:val="auto"/>
          <w:highlight w:val="none"/>
        </w:rPr>
      </w:pPr>
    </w:p>
    <w:p w14:paraId="65AF2699">
      <w:pPr>
        <w:pStyle w:val="37"/>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7"/>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7"/>
        <w:shd w:val="clear"/>
        <w:autoSpaceDE w:val="0"/>
        <w:autoSpaceDN w:val="0"/>
        <w:spacing w:line="360" w:lineRule="auto"/>
        <w:ind w:left="480" w:hanging="480"/>
        <w:rPr>
          <w:rFonts w:ascii="宋体" w:hAnsi="宋体"/>
          <w:color w:val="auto"/>
          <w:szCs w:val="21"/>
          <w:highlight w:val="none"/>
        </w:rPr>
      </w:pPr>
    </w:p>
    <w:p w14:paraId="5E7491DE">
      <w:pPr>
        <w:pStyle w:val="37"/>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2"/>
        <w:shd w:val="clear"/>
        <w:rPr>
          <w:color w:val="auto"/>
          <w:highlight w:val="none"/>
        </w:rPr>
      </w:pPr>
    </w:p>
    <w:p w14:paraId="7B127A3A">
      <w:pPr>
        <w:shd w:val="clear"/>
        <w:rPr>
          <w:rFonts w:ascii="宋体" w:hAnsi="宋体" w:cs="宋体"/>
          <w:color w:val="auto"/>
          <w:sz w:val="36"/>
          <w:highlight w:val="none"/>
        </w:rPr>
      </w:pPr>
    </w:p>
    <w:p w14:paraId="009D6769">
      <w:pPr>
        <w:pStyle w:val="37"/>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8"/>
        <w:numPr>
          <w:ilvl w:val="0"/>
          <w:numId w:val="0"/>
        </w:numPr>
        <w:shd w:val="clear"/>
        <w:ind w:leftChars="0"/>
        <w:rPr>
          <w:rFonts w:hint="eastAsia"/>
          <w:color w:val="auto"/>
          <w:highlight w:val="none"/>
          <w:lang w:val="en-US" w:eastAsia="zh-CN"/>
        </w:rPr>
      </w:pPr>
    </w:p>
    <w:p w14:paraId="45AD83A6">
      <w:pPr>
        <w:pStyle w:val="37"/>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7"/>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7"/>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7"/>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7"/>
        <w:shd w:val="clear"/>
        <w:spacing w:line="360" w:lineRule="auto"/>
        <w:rPr>
          <w:rFonts w:ascii="宋体" w:hAnsi="宋体" w:cs="仿宋_GB2312"/>
          <w:color w:val="auto"/>
          <w:sz w:val="21"/>
          <w:szCs w:val="21"/>
          <w:highlight w:val="none"/>
        </w:rPr>
      </w:pPr>
    </w:p>
    <w:p w14:paraId="7F024DA5">
      <w:pPr>
        <w:pStyle w:val="37"/>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7"/>
        <w:shd w:val="clear"/>
        <w:spacing w:line="360" w:lineRule="auto"/>
        <w:rPr>
          <w:rFonts w:ascii="宋体" w:hAnsi="宋体" w:cs="仿宋_GB2312"/>
          <w:color w:val="auto"/>
          <w:sz w:val="21"/>
          <w:szCs w:val="21"/>
          <w:highlight w:val="none"/>
        </w:rPr>
      </w:pPr>
    </w:p>
    <w:p w14:paraId="4289CC4A">
      <w:pPr>
        <w:pStyle w:val="37"/>
        <w:shd w:val="clear"/>
        <w:spacing w:line="360" w:lineRule="auto"/>
        <w:rPr>
          <w:rFonts w:ascii="宋体" w:hAnsi="宋体" w:cs="仿宋_GB2312"/>
          <w:color w:val="auto"/>
          <w:sz w:val="21"/>
          <w:szCs w:val="21"/>
          <w:highlight w:val="none"/>
        </w:rPr>
      </w:pPr>
    </w:p>
    <w:p w14:paraId="59441EBD">
      <w:pPr>
        <w:pStyle w:val="37"/>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7"/>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7"/>
        <w:shd w:val="clear"/>
        <w:spacing w:line="360" w:lineRule="auto"/>
        <w:jc w:val="left"/>
        <w:rPr>
          <w:rFonts w:hint="eastAsia" w:ascii="宋体" w:hAnsi="宋体"/>
          <w:b/>
          <w:color w:val="auto"/>
          <w:sz w:val="28"/>
          <w:szCs w:val="28"/>
          <w:highlight w:val="none"/>
          <w:lang w:val="en-US" w:eastAsia="zh-CN"/>
        </w:rPr>
      </w:pPr>
    </w:p>
    <w:p w14:paraId="76F8A1DC">
      <w:pPr>
        <w:pStyle w:val="37"/>
        <w:shd w:val="clear"/>
        <w:spacing w:line="360" w:lineRule="auto"/>
        <w:jc w:val="left"/>
        <w:rPr>
          <w:rFonts w:hint="eastAsia" w:ascii="宋体" w:hAnsi="宋体"/>
          <w:b/>
          <w:color w:val="auto"/>
          <w:sz w:val="28"/>
          <w:szCs w:val="28"/>
          <w:highlight w:val="none"/>
          <w:lang w:val="en-US" w:eastAsia="zh-CN"/>
        </w:rPr>
      </w:pPr>
    </w:p>
    <w:p w14:paraId="0E14FE8F">
      <w:pPr>
        <w:pStyle w:val="37"/>
        <w:shd w:val="clear"/>
        <w:spacing w:line="360" w:lineRule="auto"/>
        <w:jc w:val="left"/>
        <w:rPr>
          <w:rFonts w:hint="eastAsia" w:ascii="宋体" w:hAnsi="宋体"/>
          <w:b/>
          <w:color w:val="auto"/>
          <w:sz w:val="28"/>
          <w:szCs w:val="28"/>
          <w:highlight w:val="none"/>
          <w:lang w:val="en-US" w:eastAsia="zh-CN"/>
        </w:rPr>
      </w:pPr>
    </w:p>
    <w:p w14:paraId="2CD5B009">
      <w:pPr>
        <w:pStyle w:val="37"/>
        <w:shd w:val="clear"/>
        <w:spacing w:line="360" w:lineRule="auto"/>
        <w:jc w:val="left"/>
        <w:rPr>
          <w:rFonts w:hint="eastAsia" w:ascii="宋体" w:hAnsi="宋体"/>
          <w:b/>
          <w:color w:val="auto"/>
          <w:sz w:val="28"/>
          <w:szCs w:val="28"/>
          <w:highlight w:val="none"/>
          <w:lang w:val="en-US" w:eastAsia="zh-CN"/>
        </w:rPr>
      </w:pPr>
    </w:p>
    <w:p w14:paraId="39D3F826">
      <w:pPr>
        <w:pStyle w:val="37"/>
        <w:shd w:val="clear"/>
        <w:spacing w:line="360" w:lineRule="auto"/>
        <w:jc w:val="left"/>
        <w:rPr>
          <w:rFonts w:hint="eastAsia" w:ascii="宋体" w:hAnsi="宋体"/>
          <w:b/>
          <w:color w:val="auto"/>
          <w:sz w:val="28"/>
          <w:szCs w:val="28"/>
          <w:highlight w:val="none"/>
          <w:lang w:val="en-US" w:eastAsia="zh-CN"/>
        </w:rPr>
      </w:pPr>
    </w:p>
    <w:p w14:paraId="433082FA">
      <w:pPr>
        <w:pStyle w:val="37"/>
        <w:shd w:val="clear"/>
        <w:spacing w:line="360" w:lineRule="auto"/>
        <w:jc w:val="left"/>
        <w:rPr>
          <w:rFonts w:hint="eastAsia" w:ascii="宋体" w:hAnsi="宋体"/>
          <w:b/>
          <w:color w:val="auto"/>
          <w:sz w:val="28"/>
          <w:szCs w:val="28"/>
          <w:highlight w:val="none"/>
          <w:lang w:val="en-US" w:eastAsia="zh-CN"/>
        </w:rPr>
      </w:pPr>
    </w:p>
    <w:p w14:paraId="0D98FEEA">
      <w:pPr>
        <w:pStyle w:val="37"/>
        <w:shd w:val="clear"/>
        <w:spacing w:line="360" w:lineRule="auto"/>
        <w:jc w:val="left"/>
        <w:rPr>
          <w:rFonts w:hint="eastAsia" w:ascii="宋体" w:hAnsi="宋体"/>
          <w:b/>
          <w:color w:val="auto"/>
          <w:sz w:val="28"/>
          <w:szCs w:val="28"/>
          <w:highlight w:val="none"/>
          <w:lang w:val="en-US" w:eastAsia="zh-CN"/>
        </w:rPr>
      </w:pPr>
    </w:p>
    <w:p w14:paraId="279892A9">
      <w:pPr>
        <w:pStyle w:val="37"/>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7"/>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7"/>
        <w:shd w:val="clear"/>
        <w:spacing w:line="360" w:lineRule="auto"/>
        <w:ind w:right="97"/>
        <w:rPr>
          <w:rFonts w:ascii="宋体" w:hAnsi="宋体" w:cs="宋体"/>
          <w:color w:val="auto"/>
          <w:szCs w:val="21"/>
          <w:highlight w:val="none"/>
        </w:rPr>
      </w:pPr>
    </w:p>
    <w:p w14:paraId="4B461D89">
      <w:pPr>
        <w:pStyle w:val="37"/>
        <w:shd w:val="clear"/>
        <w:spacing w:line="360" w:lineRule="auto"/>
        <w:rPr>
          <w:rFonts w:ascii="宋体" w:hAnsi="宋体"/>
          <w:b/>
          <w:color w:val="auto"/>
          <w:sz w:val="28"/>
          <w:szCs w:val="28"/>
          <w:highlight w:val="none"/>
        </w:rPr>
      </w:pPr>
    </w:p>
    <w:p w14:paraId="2CE09C53">
      <w:pPr>
        <w:pStyle w:val="38"/>
        <w:shd w:val="clear"/>
        <w:rPr>
          <w:color w:val="auto"/>
          <w:highlight w:val="none"/>
        </w:rPr>
      </w:pPr>
    </w:p>
    <w:p w14:paraId="515E94BD">
      <w:pPr>
        <w:pStyle w:val="37"/>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7"/>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3"/>
        <w:shd w:val="clear"/>
        <w:spacing w:line="360" w:lineRule="auto"/>
        <w:jc w:val="center"/>
        <w:rPr>
          <w:color w:val="auto"/>
          <w:sz w:val="32"/>
          <w:szCs w:val="32"/>
          <w:highlight w:val="none"/>
        </w:rPr>
      </w:pPr>
      <w:bookmarkStart w:id="79" w:name="_Toc514605589"/>
      <w:bookmarkStart w:id="80" w:name="_Toc31318"/>
      <w:bookmarkStart w:id="81" w:name="_Toc1106"/>
      <w:bookmarkStart w:id="82" w:name="_Toc514605322"/>
      <w:bookmarkStart w:id="83" w:name="_Toc514607588"/>
      <w:bookmarkStart w:id="84" w:name="_Toc514606977"/>
      <w:r>
        <w:rPr>
          <w:color w:val="auto"/>
          <w:sz w:val="30"/>
          <w:szCs w:val="30"/>
          <w:highlight w:val="none"/>
        </w:rPr>
        <w:t>磋商函附录</w:t>
      </w:r>
      <w:bookmarkEnd w:id="79"/>
      <w:bookmarkEnd w:id="80"/>
      <w:bookmarkEnd w:id="81"/>
      <w:bookmarkEnd w:id="82"/>
      <w:bookmarkEnd w:id="83"/>
      <w:bookmarkEnd w:id="84"/>
    </w:p>
    <w:tbl>
      <w:tblPr>
        <w:tblStyle w:val="27"/>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7"/>
        <w:shd w:val="clear"/>
        <w:snapToGrid w:val="0"/>
        <w:spacing w:line="360" w:lineRule="auto"/>
        <w:rPr>
          <w:rFonts w:hint="eastAsia" w:ascii="宋体" w:hAnsi="宋体" w:eastAsia="宋体"/>
          <w:color w:val="auto"/>
          <w:sz w:val="22"/>
          <w:szCs w:val="22"/>
          <w:highlight w:val="none"/>
          <w:lang w:eastAsia="zh-CN"/>
        </w:rPr>
      </w:pPr>
    </w:p>
    <w:p w14:paraId="04C2E3D0">
      <w:pPr>
        <w:pStyle w:val="16"/>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6"/>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6"/>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6"/>
        <w:shd w:val="clear"/>
        <w:spacing w:line="360" w:lineRule="auto"/>
        <w:rPr>
          <w:b/>
          <w:color w:val="auto"/>
          <w:sz w:val="32"/>
          <w:szCs w:val="32"/>
          <w:highlight w:val="none"/>
        </w:rPr>
      </w:pPr>
    </w:p>
    <w:p w14:paraId="1B4D49A1">
      <w:pPr>
        <w:pStyle w:val="37"/>
        <w:shd w:val="clear"/>
        <w:rPr>
          <w:b/>
          <w:color w:val="auto"/>
          <w:sz w:val="28"/>
          <w:szCs w:val="28"/>
          <w:highlight w:val="none"/>
        </w:rPr>
      </w:pPr>
    </w:p>
    <w:p w14:paraId="0901CD8F">
      <w:pPr>
        <w:pStyle w:val="16"/>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6"/>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3"/>
        <w:shd w:val="clear"/>
        <w:spacing w:line="360" w:lineRule="auto"/>
        <w:jc w:val="center"/>
        <w:rPr>
          <w:rFonts w:ascii="宋体" w:hAnsi="宋体"/>
          <w:color w:val="auto"/>
          <w:sz w:val="36"/>
          <w:szCs w:val="22"/>
          <w:highlight w:val="none"/>
        </w:rPr>
      </w:pPr>
      <w:bookmarkStart w:id="85" w:name="_Toc435"/>
      <w:bookmarkStart w:id="86" w:name="_Toc514605323"/>
      <w:bookmarkStart w:id="87" w:name="_Toc514605590"/>
      <w:bookmarkStart w:id="88" w:name="_Toc514606978"/>
      <w:bookmarkStart w:id="89" w:name="_Toc32185"/>
      <w:bookmarkStart w:id="90" w:name="_Toc514607589"/>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7"/>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4"/>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2"/>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2"/>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2"/>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2"/>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2"/>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2"/>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2"/>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4"/>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458689680"/>
      <w:bookmarkEnd w:id="91"/>
      <w:bookmarkStart w:id="92" w:name="_Toc392941016"/>
      <w:bookmarkEnd w:id="92"/>
      <w:bookmarkStart w:id="93" w:name="_Toc502737803"/>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2"/>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7"/>
        <w:shd w:val="clear"/>
        <w:spacing w:line="360" w:lineRule="auto"/>
        <w:rPr>
          <w:rFonts w:ascii="宋体" w:hAnsi="宋体"/>
          <w:b/>
          <w:bCs/>
          <w:color w:val="auto"/>
          <w:sz w:val="24"/>
          <w:highlight w:val="none"/>
        </w:rPr>
      </w:pPr>
    </w:p>
    <w:p w14:paraId="7F3183A9">
      <w:pPr>
        <w:pStyle w:val="38"/>
        <w:shd w:val="clear"/>
        <w:rPr>
          <w:rFonts w:ascii="宋体" w:hAnsi="宋体"/>
          <w:b/>
          <w:bCs/>
          <w:color w:val="auto"/>
          <w:sz w:val="24"/>
          <w:highlight w:val="none"/>
        </w:rPr>
      </w:pPr>
    </w:p>
    <w:p w14:paraId="7B3B9CCD">
      <w:pPr>
        <w:pStyle w:val="37"/>
        <w:shd w:val="clear"/>
        <w:rPr>
          <w:rFonts w:ascii="宋体" w:hAnsi="宋体"/>
          <w:b/>
          <w:bCs/>
          <w:color w:val="auto"/>
          <w:sz w:val="24"/>
          <w:highlight w:val="none"/>
        </w:rPr>
      </w:pPr>
    </w:p>
    <w:p w14:paraId="26F90163">
      <w:pPr>
        <w:pStyle w:val="38"/>
        <w:shd w:val="clear"/>
        <w:rPr>
          <w:rFonts w:ascii="宋体" w:hAnsi="宋体"/>
          <w:b/>
          <w:bCs/>
          <w:color w:val="auto"/>
          <w:sz w:val="24"/>
          <w:highlight w:val="none"/>
        </w:rPr>
      </w:pPr>
    </w:p>
    <w:p w14:paraId="268A4AB8">
      <w:pPr>
        <w:pStyle w:val="37"/>
        <w:shd w:val="clear"/>
        <w:rPr>
          <w:rFonts w:ascii="宋体" w:hAnsi="宋体"/>
          <w:b/>
          <w:bCs/>
          <w:color w:val="auto"/>
          <w:sz w:val="24"/>
          <w:highlight w:val="none"/>
        </w:rPr>
      </w:pPr>
    </w:p>
    <w:p w14:paraId="2478B963">
      <w:pPr>
        <w:pStyle w:val="38"/>
        <w:shd w:val="clear"/>
        <w:rPr>
          <w:rFonts w:ascii="宋体" w:hAnsi="宋体"/>
          <w:b/>
          <w:bCs/>
          <w:color w:val="auto"/>
          <w:sz w:val="24"/>
          <w:highlight w:val="none"/>
        </w:rPr>
      </w:pPr>
    </w:p>
    <w:p w14:paraId="1065EE9C">
      <w:pPr>
        <w:pStyle w:val="37"/>
        <w:shd w:val="clear"/>
        <w:rPr>
          <w:rFonts w:ascii="宋体" w:hAnsi="宋体"/>
          <w:b/>
          <w:bCs/>
          <w:color w:val="auto"/>
          <w:sz w:val="24"/>
          <w:highlight w:val="none"/>
        </w:rPr>
      </w:pPr>
    </w:p>
    <w:p w14:paraId="3CBCF26C">
      <w:pPr>
        <w:pStyle w:val="38"/>
        <w:shd w:val="clear"/>
        <w:rPr>
          <w:rFonts w:ascii="宋体" w:hAnsi="宋体"/>
          <w:b/>
          <w:bCs/>
          <w:color w:val="auto"/>
          <w:sz w:val="24"/>
          <w:highlight w:val="none"/>
        </w:rPr>
      </w:pPr>
    </w:p>
    <w:p w14:paraId="721F88CB">
      <w:pPr>
        <w:pStyle w:val="37"/>
        <w:shd w:val="clear"/>
        <w:rPr>
          <w:rFonts w:ascii="宋体" w:hAnsi="宋体"/>
          <w:b/>
          <w:bCs/>
          <w:color w:val="auto"/>
          <w:sz w:val="24"/>
          <w:highlight w:val="none"/>
        </w:rPr>
      </w:pPr>
    </w:p>
    <w:p w14:paraId="2D9E7242">
      <w:pPr>
        <w:pStyle w:val="38"/>
        <w:shd w:val="clear"/>
        <w:rPr>
          <w:rFonts w:ascii="宋体" w:hAnsi="宋体"/>
          <w:b/>
          <w:bCs/>
          <w:color w:val="auto"/>
          <w:sz w:val="24"/>
          <w:highlight w:val="none"/>
        </w:rPr>
      </w:pPr>
    </w:p>
    <w:p w14:paraId="017AE808">
      <w:pPr>
        <w:pStyle w:val="37"/>
        <w:shd w:val="clear"/>
        <w:rPr>
          <w:rFonts w:ascii="宋体" w:hAnsi="宋体"/>
          <w:b/>
          <w:bCs/>
          <w:color w:val="auto"/>
          <w:sz w:val="24"/>
          <w:highlight w:val="none"/>
        </w:rPr>
      </w:pPr>
    </w:p>
    <w:p w14:paraId="7D60F99B">
      <w:pPr>
        <w:pStyle w:val="38"/>
        <w:shd w:val="clear"/>
        <w:rPr>
          <w:rFonts w:ascii="宋体" w:hAnsi="宋体"/>
          <w:b/>
          <w:bCs/>
          <w:color w:val="auto"/>
          <w:sz w:val="24"/>
          <w:highlight w:val="none"/>
        </w:rPr>
      </w:pPr>
    </w:p>
    <w:p w14:paraId="362999A5">
      <w:pPr>
        <w:pStyle w:val="37"/>
        <w:shd w:val="clear"/>
        <w:rPr>
          <w:rFonts w:ascii="宋体" w:hAnsi="宋体"/>
          <w:b/>
          <w:bCs/>
          <w:color w:val="auto"/>
          <w:sz w:val="24"/>
          <w:highlight w:val="none"/>
        </w:rPr>
      </w:pPr>
    </w:p>
    <w:p w14:paraId="7A21CCCC">
      <w:pPr>
        <w:pStyle w:val="38"/>
        <w:shd w:val="clear"/>
        <w:rPr>
          <w:rFonts w:ascii="宋体" w:hAnsi="宋体"/>
          <w:b/>
          <w:bCs/>
          <w:color w:val="auto"/>
          <w:sz w:val="24"/>
          <w:highlight w:val="none"/>
        </w:rPr>
      </w:pPr>
    </w:p>
    <w:p w14:paraId="7D13EBD1">
      <w:pPr>
        <w:pStyle w:val="37"/>
        <w:shd w:val="clear"/>
        <w:rPr>
          <w:rFonts w:ascii="宋体" w:hAnsi="宋体"/>
          <w:b/>
          <w:bCs/>
          <w:color w:val="auto"/>
          <w:sz w:val="24"/>
          <w:highlight w:val="none"/>
        </w:rPr>
      </w:pPr>
    </w:p>
    <w:p w14:paraId="05DF9CB8">
      <w:pPr>
        <w:pStyle w:val="38"/>
        <w:shd w:val="clear"/>
        <w:rPr>
          <w:rFonts w:ascii="宋体" w:hAnsi="宋体"/>
          <w:b/>
          <w:bCs/>
          <w:color w:val="auto"/>
          <w:sz w:val="24"/>
          <w:highlight w:val="none"/>
        </w:rPr>
      </w:pPr>
    </w:p>
    <w:p w14:paraId="0CE9DED3">
      <w:pPr>
        <w:pStyle w:val="37"/>
        <w:shd w:val="clear"/>
        <w:rPr>
          <w:rFonts w:ascii="宋体" w:hAnsi="宋体"/>
          <w:b/>
          <w:bCs/>
          <w:color w:val="auto"/>
          <w:sz w:val="24"/>
          <w:highlight w:val="none"/>
        </w:rPr>
      </w:pPr>
    </w:p>
    <w:p w14:paraId="4253DD5D">
      <w:pPr>
        <w:pStyle w:val="38"/>
        <w:shd w:val="clear"/>
        <w:rPr>
          <w:rFonts w:ascii="宋体" w:hAnsi="宋体"/>
          <w:b/>
          <w:bCs/>
          <w:color w:val="auto"/>
          <w:sz w:val="24"/>
          <w:highlight w:val="none"/>
        </w:rPr>
      </w:pPr>
    </w:p>
    <w:p w14:paraId="28966840">
      <w:pPr>
        <w:pStyle w:val="37"/>
        <w:shd w:val="clear"/>
        <w:rPr>
          <w:rFonts w:ascii="宋体" w:hAnsi="宋体"/>
          <w:b/>
          <w:bCs/>
          <w:color w:val="auto"/>
          <w:sz w:val="24"/>
          <w:highlight w:val="none"/>
        </w:rPr>
      </w:pPr>
    </w:p>
    <w:p w14:paraId="7EBC4B3C">
      <w:pPr>
        <w:pStyle w:val="38"/>
        <w:shd w:val="clear"/>
        <w:rPr>
          <w:rFonts w:ascii="宋体" w:hAnsi="宋体"/>
          <w:b/>
          <w:bCs/>
          <w:color w:val="auto"/>
          <w:sz w:val="24"/>
          <w:highlight w:val="none"/>
        </w:rPr>
      </w:pPr>
    </w:p>
    <w:p w14:paraId="60CC8816">
      <w:pPr>
        <w:pStyle w:val="37"/>
        <w:shd w:val="clear"/>
        <w:rPr>
          <w:rFonts w:ascii="宋体" w:hAnsi="宋体"/>
          <w:b/>
          <w:bCs/>
          <w:color w:val="auto"/>
          <w:sz w:val="24"/>
          <w:highlight w:val="none"/>
        </w:rPr>
      </w:pPr>
    </w:p>
    <w:p w14:paraId="02E1ED77">
      <w:pPr>
        <w:pStyle w:val="38"/>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16105"/>
      <w:bookmarkStart w:id="95" w:name="_Toc22137"/>
      <w:bookmarkStart w:id="96" w:name="_Toc23492"/>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9157"/>
      <w:bookmarkStart w:id="98" w:name="_Toc9540"/>
      <w:bookmarkStart w:id="99" w:name="_Toc13855"/>
      <w:r>
        <w:rPr>
          <w:rFonts w:hint="eastAsia" w:ascii="宋体" w:hAnsi="宋体" w:eastAsia="宋体" w:cs="宋体"/>
          <w:color w:val="auto"/>
          <w:kern w:val="0"/>
          <w:highlight w:val="none"/>
        </w:rPr>
        <w:t>封面格式</w:t>
      </w:r>
      <w:bookmarkEnd w:id="97"/>
      <w:bookmarkEnd w:id="98"/>
      <w:bookmarkEnd w:id="99"/>
    </w:p>
    <w:p w14:paraId="44738A42">
      <w:pPr>
        <w:pStyle w:val="37"/>
        <w:shd w:val="clear"/>
        <w:spacing w:line="360" w:lineRule="auto"/>
        <w:rPr>
          <w:rFonts w:ascii="宋体" w:hAnsi="宋体"/>
          <w:b/>
          <w:bCs/>
          <w:color w:val="auto"/>
          <w:sz w:val="24"/>
          <w:highlight w:val="none"/>
        </w:rPr>
      </w:pPr>
    </w:p>
    <w:p w14:paraId="7C5C4574">
      <w:pPr>
        <w:pStyle w:val="37"/>
        <w:shd w:val="clear"/>
        <w:rPr>
          <w:color w:val="auto"/>
          <w:highlight w:val="none"/>
        </w:rPr>
      </w:pPr>
    </w:p>
    <w:tbl>
      <w:tblPr>
        <w:tblStyle w:val="2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4"/>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4"/>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7"/>
        <w:shd w:val="clear"/>
        <w:spacing w:line="360" w:lineRule="auto"/>
        <w:rPr>
          <w:rFonts w:ascii="宋体" w:hAnsi="宋体" w:cs="宋体"/>
          <w:color w:val="auto"/>
          <w:sz w:val="24"/>
          <w:highlight w:val="none"/>
        </w:rPr>
      </w:pPr>
    </w:p>
    <w:p w14:paraId="30EBDCC8">
      <w:pPr>
        <w:pStyle w:val="37"/>
        <w:shd w:val="clear"/>
        <w:spacing w:line="360" w:lineRule="auto"/>
        <w:rPr>
          <w:rFonts w:ascii="宋体" w:hAnsi="宋体" w:cs="宋体"/>
          <w:color w:val="auto"/>
          <w:sz w:val="24"/>
          <w:highlight w:val="none"/>
        </w:rPr>
      </w:pPr>
    </w:p>
    <w:p w14:paraId="3123365A">
      <w:pPr>
        <w:pStyle w:val="37"/>
        <w:shd w:val="clear"/>
        <w:spacing w:line="360" w:lineRule="auto"/>
        <w:rPr>
          <w:rFonts w:ascii="宋体" w:hAnsi="宋体" w:cs="宋体"/>
          <w:color w:val="auto"/>
          <w:sz w:val="24"/>
          <w:highlight w:val="none"/>
        </w:rPr>
      </w:pPr>
    </w:p>
    <w:p w14:paraId="3F0BF10D">
      <w:pPr>
        <w:pStyle w:val="38"/>
        <w:shd w:val="clear"/>
        <w:rPr>
          <w:rFonts w:ascii="宋体" w:hAnsi="宋体" w:cs="宋体"/>
          <w:color w:val="auto"/>
          <w:sz w:val="24"/>
          <w:highlight w:val="none"/>
        </w:rPr>
      </w:pPr>
    </w:p>
    <w:p w14:paraId="2159AACF">
      <w:pPr>
        <w:pStyle w:val="37"/>
        <w:shd w:val="clear"/>
        <w:rPr>
          <w:rFonts w:ascii="宋体" w:hAnsi="宋体" w:cs="宋体"/>
          <w:color w:val="auto"/>
          <w:sz w:val="24"/>
          <w:highlight w:val="none"/>
        </w:rPr>
      </w:pPr>
    </w:p>
    <w:p w14:paraId="3CB85E86">
      <w:pPr>
        <w:pStyle w:val="37"/>
        <w:shd w:val="clear"/>
        <w:spacing w:line="360" w:lineRule="auto"/>
        <w:jc w:val="center"/>
        <w:rPr>
          <w:rFonts w:ascii="宋体" w:hAnsi="宋体" w:cs="宋体"/>
          <w:color w:val="auto"/>
          <w:sz w:val="24"/>
          <w:highlight w:val="none"/>
        </w:rPr>
      </w:pPr>
    </w:p>
    <w:p w14:paraId="0F60E3DE">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7"/>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7"/>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41"/>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41"/>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41"/>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41"/>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4"/>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2"/>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2"/>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2"/>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2"/>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7"/>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7"/>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2"/>
        <w:shd w:val="clear"/>
        <w:rPr>
          <w:color w:val="auto"/>
          <w:highlight w:val="none"/>
        </w:rPr>
      </w:pPr>
    </w:p>
    <w:p w14:paraId="78ED57CF">
      <w:pPr>
        <w:shd w:val="clear"/>
        <w:rPr>
          <w:color w:val="auto"/>
          <w:sz w:val="21"/>
          <w:szCs w:val="21"/>
          <w:highlight w:val="none"/>
        </w:rPr>
      </w:pPr>
    </w:p>
    <w:p w14:paraId="40E7FDE0">
      <w:pPr>
        <w:pStyle w:val="34"/>
        <w:shd w:val="clear"/>
        <w:rPr>
          <w:color w:val="auto"/>
          <w:sz w:val="21"/>
          <w:szCs w:val="21"/>
          <w:highlight w:val="none"/>
        </w:rPr>
      </w:pPr>
    </w:p>
    <w:p w14:paraId="3DADA72D">
      <w:pPr>
        <w:pStyle w:val="34"/>
        <w:shd w:val="clear"/>
        <w:rPr>
          <w:color w:val="auto"/>
          <w:sz w:val="21"/>
          <w:szCs w:val="21"/>
          <w:highlight w:val="none"/>
        </w:rPr>
      </w:pPr>
    </w:p>
    <w:p w14:paraId="61D404A3">
      <w:pPr>
        <w:pStyle w:val="34"/>
        <w:shd w:val="clear"/>
        <w:rPr>
          <w:color w:val="auto"/>
          <w:sz w:val="28"/>
          <w:szCs w:val="21"/>
          <w:highlight w:val="none"/>
        </w:rPr>
      </w:pPr>
    </w:p>
    <w:p w14:paraId="71487054">
      <w:pPr>
        <w:pStyle w:val="34"/>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7"/>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7"/>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6160CA18">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41"/>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41"/>
        <w:shd w:val="clear"/>
        <w:jc w:val="center"/>
        <w:rPr>
          <w:b/>
          <w:color w:val="auto"/>
          <w:sz w:val="28"/>
          <w:szCs w:val="28"/>
          <w:highlight w:val="none"/>
        </w:rPr>
      </w:pPr>
      <w:bookmarkStart w:id="105" w:name="_Toc153274947"/>
      <w:bookmarkStart w:id="106" w:name="_Toc251052184"/>
      <w:bookmarkStart w:id="107" w:name="_Toc173579005"/>
      <w:bookmarkStart w:id="108" w:name="_Toc172364025"/>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41"/>
        <w:shd w:val="clear"/>
        <w:rPr>
          <w:color w:val="auto"/>
          <w:sz w:val="22"/>
          <w:szCs w:val="22"/>
          <w:highlight w:val="none"/>
          <w:u w:val="single"/>
        </w:rPr>
      </w:pPr>
    </w:p>
    <w:p w14:paraId="05B1B458">
      <w:pPr>
        <w:pStyle w:val="41"/>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7"/>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993" w:type="dxa"/>
            <w:vAlign w:val="center"/>
          </w:tcPr>
          <w:p w14:paraId="4089251A">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993" w:type="dxa"/>
            <w:vAlign w:val="center"/>
          </w:tcPr>
          <w:p w14:paraId="2CEB182D">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993" w:type="dxa"/>
            <w:vAlign w:val="center"/>
          </w:tcPr>
          <w:p w14:paraId="688704FB">
            <w:pPr>
              <w:pStyle w:val="45"/>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D9501BE">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41"/>
        <w:shd w:val="clear"/>
        <w:jc w:val="center"/>
        <w:outlineLvl w:val="0"/>
        <w:rPr>
          <w:b/>
          <w:color w:val="auto"/>
          <w:sz w:val="24"/>
          <w:highlight w:val="none"/>
        </w:rPr>
      </w:pPr>
      <w:bookmarkStart w:id="122" w:name="_Toc153274948"/>
      <w:bookmarkStart w:id="123" w:name="_Toc172364026"/>
      <w:bookmarkStart w:id="124" w:name="_Toc251052200"/>
      <w:bookmarkStart w:id="125" w:name="_Toc7001"/>
      <w:bookmarkStart w:id="126" w:name="_Toc389065364"/>
      <w:bookmarkStart w:id="127" w:name="_Toc173579006"/>
      <w:r>
        <w:rPr>
          <w:b/>
          <w:color w:val="auto"/>
          <w:sz w:val="24"/>
          <w:highlight w:val="none"/>
        </w:rPr>
        <w:t>2、项目经理（注册建造师）简历表</w:t>
      </w:r>
      <w:bookmarkEnd w:id="122"/>
      <w:bookmarkEnd w:id="123"/>
      <w:bookmarkEnd w:id="124"/>
      <w:bookmarkEnd w:id="125"/>
      <w:bookmarkEnd w:id="126"/>
      <w:bookmarkEnd w:id="127"/>
    </w:p>
    <w:p w14:paraId="36375E18">
      <w:pPr>
        <w:pStyle w:val="41"/>
        <w:shd w:val="clear"/>
        <w:rPr>
          <w:color w:val="auto"/>
          <w:sz w:val="22"/>
          <w:szCs w:val="22"/>
          <w:highlight w:val="none"/>
          <w:u w:val="single"/>
        </w:rPr>
      </w:pPr>
    </w:p>
    <w:p w14:paraId="19537892">
      <w:pPr>
        <w:pStyle w:val="41"/>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7"/>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5F519B4">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41"/>
        <w:shd w:val="clear"/>
        <w:jc w:val="center"/>
        <w:outlineLvl w:val="0"/>
        <w:rPr>
          <w:b/>
          <w:color w:val="auto"/>
          <w:sz w:val="24"/>
          <w:highlight w:val="none"/>
        </w:rPr>
      </w:pPr>
      <w:bookmarkStart w:id="128" w:name="_Toc389065365"/>
      <w:bookmarkStart w:id="129" w:name="_Toc153274949"/>
      <w:bookmarkStart w:id="130" w:name="_Toc173579007"/>
      <w:bookmarkStart w:id="131" w:name="_Toc8504"/>
      <w:bookmarkStart w:id="132" w:name="_Toc172364027"/>
      <w:bookmarkStart w:id="133" w:name="_Toc251052219"/>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41"/>
        <w:shd w:val="clear"/>
        <w:rPr>
          <w:color w:val="auto"/>
          <w:highlight w:val="none"/>
          <w:u w:val="single"/>
        </w:rPr>
      </w:pPr>
    </w:p>
    <w:p w14:paraId="67E995A7">
      <w:pPr>
        <w:pStyle w:val="41"/>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7"/>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7"/>
        <w:shd w:val="clear"/>
        <w:spacing w:line="360" w:lineRule="auto"/>
        <w:rPr>
          <w:rFonts w:ascii="宋体" w:hAnsi="宋体"/>
          <w:b/>
          <w:color w:val="auto"/>
          <w:sz w:val="32"/>
          <w:szCs w:val="32"/>
          <w:highlight w:val="none"/>
        </w:rPr>
      </w:pPr>
    </w:p>
    <w:p w14:paraId="1C613618">
      <w:pPr>
        <w:pStyle w:val="38"/>
        <w:rPr>
          <w:rFonts w:ascii="宋体" w:hAnsi="宋体"/>
          <w:b/>
          <w:color w:val="auto"/>
          <w:sz w:val="32"/>
          <w:szCs w:val="32"/>
          <w:highlight w:val="none"/>
        </w:rPr>
      </w:pPr>
    </w:p>
    <w:p w14:paraId="4B42CD79">
      <w:pPr>
        <w:pStyle w:val="37"/>
        <w:rPr>
          <w:rFonts w:ascii="宋体" w:hAnsi="宋体"/>
          <w:b/>
          <w:color w:val="auto"/>
          <w:sz w:val="32"/>
          <w:szCs w:val="32"/>
          <w:highlight w:val="none"/>
        </w:rPr>
      </w:pPr>
    </w:p>
    <w:p w14:paraId="69E2C044">
      <w:pPr>
        <w:pStyle w:val="37"/>
        <w:rPr>
          <w:rFonts w:ascii="宋体" w:hAnsi="宋体"/>
          <w:b/>
          <w:color w:val="auto"/>
          <w:sz w:val="32"/>
          <w:szCs w:val="32"/>
          <w:highlight w:val="none"/>
        </w:rPr>
      </w:pPr>
    </w:p>
    <w:p w14:paraId="6865EBCB">
      <w:pPr>
        <w:pStyle w:val="38"/>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7"/>
        <w:shd w:val="clear"/>
        <w:spacing w:line="360" w:lineRule="auto"/>
        <w:jc w:val="center"/>
        <w:rPr>
          <w:rFonts w:ascii="宋体" w:hAnsi="宋体"/>
          <w:b/>
          <w:color w:val="auto"/>
          <w:sz w:val="32"/>
          <w:szCs w:val="32"/>
          <w:highlight w:val="none"/>
        </w:rPr>
      </w:pPr>
    </w:p>
    <w:p w14:paraId="058978AD">
      <w:pPr>
        <w:pStyle w:val="38"/>
        <w:shd w:val="clear"/>
        <w:rPr>
          <w:rFonts w:ascii="宋体" w:hAnsi="宋体"/>
          <w:b/>
          <w:color w:val="auto"/>
          <w:sz w:val="32"/>
          <w:szCs w:val="32"/>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8"/>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8"/>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8"/>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8"/>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8"/>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8"/>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8"/>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8"/>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8"/>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8"/>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8"/>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8"/>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8"/>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8"/>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4"/>
        <w:shd w:val="clear"/>
        <w:rPr>
          <w:rFonts w:hint="eastAsia" w:ascii="宋体" w:hAnsi="宋体" w:cs="宋体"/>
          <w:color w:val="auto"/>
          <w:highlight w:val="none"/>
        </w:rPr>
      </w:pPr>
    </w:p>
    <w:p w14:paraId="7FD41DA6">
      <w:pPr>
        <w:pStyle w:val="34"/>
        <w:shd w:val="clear"/>
        <w:rPr>
          <w:rFonts w:hint="eastAsia" w:ascii="宋体" w:hAnsi="宋体" w:cs="宋体"/>
          <w:color w:val="auto"/>
          <w:highlight w:val="none"/>
        </w:rPr>
      </w:pPr>
    </w:p>
    <w:p w14:paraId="7042C144">
      <w:pPr>
        <w:pStyle w:val="34"/>
        <w:shd w:val="clear"/>
        <w:rPr>
          <w:rFonts w:hint="eastAsia" w:ascii="宋体" w:hAnsi="宋体" w:cs="宋体"/>
          <w:color w:val="auto"/>
          <w:highlight w:val="none"/>
        </w:rPr>
      </w:pPr>
    </w:p>
    <w:p w14:paraId="3BB56EFD">
      <w:pPr>
        <w:pStyle w:val="34"/>
        <w:shd w:val="clear"/>
        <w:rPr>
          <w:rFonts w:hint="eastAsia" w:ascii="宋体" w:hAnsi="宋体" w:cs="宋体"/>
          <w:color w:val="auto"/>
          <w:highlight w:val="none"/>
        </w:rPr>
      </w:pPr>
    </w:p>
    <w:p w14:paraId="4009EB9E">
      <w:pPr>
        <w:pStyle w:val="34"/>
        <w:shd w:val="clear"/>
        <w:rPr>
          <w:rFonts w:hint="eastAsia" w:ascii="宋体" w:hAnsi="宋体" w:cs="宋体"/>
          <w:color w:val="auto"/>
          <w:highlight w:val="none"/>
        </w:rPr>
      </w:pPr>
    </w:p>
    <w:p w14:paraId="060D9102">
      <w:pPr>
        <w:pStyle w:val="34"/>
        <w:shd w:val="clear"/>
        <w:rPr>
          <w:rFonts w:hint="eastAsia" w:ascii="宋体" w:hAnsi="宋体" w:cs="宋体"/>
          <w:color w:val="auto"/>
          <w:highlight w:val="none"/>
        </w:rPr>
      </w:pPr>
    </w:p>
    <w:p w14:paraId="49E55C46">
      <w:pPr>
        <w:pStyle w:val="34"/>
        <w:shd w:val="clear"/>
        <w:rPr>
          <w:rFonts w:hint="eastAsia" w:ascii="宋体" w:hAnsi="宋体" w:cs="宋体"/>
          <w:color w:val="auto"/>
          <w:highlight w:val="none"/>
        </w:rPr>
      </w:pPr>
    </w:p>
    <w:p w14:paraId="740CAA92">
      <w:pPr>
        <w:pStyle w:val="34"/>
        <w:shd w:val="clear"/>
        <w:rPr>
          <w:rFonts w:hint="eastAsia" w:ascii="宋体" w:hAnsi="宋体" w:cs="宋体"/>
          <w:color w:val="auto"/>
          <w:highlight w:val="none"/>
        </w:rPr>
      </w:pPr>
    </w:p>
    <w:p w14:paraId="4047336A">
      <w:pPr>
        <w:pStyle w:val="34"/>
        <w:shd w:val="clear"/>
        <w:rPr>
          <w:rFonts w:hint="eastAsia" w:ascii="宋体" w:hAnsi="宋体" w:cs="宋体"/>
          <w:color w:val="auto"/>
          <w:highlight w:val="none"/>
        </w:rPr>
      </w:pPr>
    </w:p>
    <w:p w14:paraId="3DA2F1D8">
      <w:pPr>
        <w:pStyle w:val="34"/>
        <w:shd w:val="clear"/>
        <w:rPr>
          <w:rFonts w:hint="eastAsia" w:ascii="宋体" w:hAnsi="宋体" w:cs="宋体"/>
          <w:color w:val="auto"/>
          <w:highlight w:val="none"/>
        </w:rPr>
      </w:pPr>
    </w:p>
    <w:p w14:paraId="4BEC4221">
      <w:pPr>
        <w:pStyle w:val="34"/>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天等县宁干乡宁干村2026年“千村引领，万村提升”示范创建项目(宁干乡宁干村屯内道路硬化及配套工程)</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7F5EDD3">
      <w:pPr>
        <w:pStyle w:val="8"/>
        <w:rPr>
          <w:rFonts w:hint="eastAsia" w:ascii="宋体" w:hAnsi="宋体" w:eastAsia="宋体" w:cs="宋体"/>
          <w:b/>
          <w:bCs w:val="0"/>
          <w:color w:val="auto"/>
          <w:sz w:val="48"/>
          <w:szCs w:val="48"/>
          <w:highlight w:val="none"/>
        </w:rPr>
      </w:pPr>
    </w:p>
    <w:p w14:paraId="675601C3">
      <w:pPr>
        <w:pStyle w:val="8"/>
        <w:rPr>
          <w:rFonts w:hint="eastAsia" w:ascii="宋体" w:hAnsi="宋体" w:eastAsia="宋体" w:cs="宋体"/>
          <w:b/>
          <w:bCs w:val="0"/>
          <w:color w:val="auto"/>
          <w:sz w:val="48"/>
          <w:szCs w:val="48"/>
          <w:highlight w:val="none"/>
        </w:rPr>
      </w:pPr>
    </w:p>
    <w:p w14:paraId="24051A27">
      <w:pPr>
        <w:pStyle w:val="8"/>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3"/>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13DDC9FE">
      <w:pPr>
        <w:pStyle w:val="8"/>
        <w:rPr>
          <w:rFonts w:hint="eastAsia" w:ascii="宋体" w:hAnsi="宋体" w:eastAsia="宋体" w:cs="宋体"/>
          <w:color w:val="auto"/>
          <w:highlight w:val="none"/>
        </w:rPr>
      </w:pPr>
    </w:p>
    <w:p w14:paraId="761B57B1">
      <w:pPr>
        <w:pStyle w:val="8"/>
        <w:rPr>
          <w:rFonts w:hint="eastAsia" w:ascii="宋体" w:hAnsi="宋体" w:eastAsia="宋体" w:cs="宋体"/>
          <w:color w:val="auto"/>
          <w:highlight w:val="none"/>
        </w:rPr>
      </w:pPr>
    </w:p>
    <w:p w14:paraId="217F8919">
      <w:pPr>
        <w:pStyle w:val="8"/>
        <w:rPr>
          <w:rFonts w:hint="eastAsia" w:ascii="宋体" w:hAnsi="宋体" w:eastAsia="宋体" w:cs="宋体"/>
          <w:color w:val="auto"/>
          <w:highlight w:val="none"/>
        </w:rPr>
      </w:pPr>
    </w:p>
    <w:p w14:paraId="38322EF5">
      <w:pPr>
        <w:pStyle w:val="8"/>
        <w:rPr>
          <w:rFonts w:hint="eastAsia" w:ascii="宋体" w:hAnsi="宋体" w:eastAsia="宋体" w:cs="宋体"/>
          <w:color w:val="auto"/>
          <w:highlight w:val="none"/>
        </w:rPr>
      </w:pPr>
    </w:p>
    <w:p w14:paraId="35540226">
      <w:pPr>
        <w:pStyle w:val="8"/>
        <w:rPr>
          <w:rFonts w:hint="eastAsia" w:ascii="宋体" w:hAnsi="宋体" w:eastAsia="宋体" w:cs="宋体"/>
          <w:color w:val="auto"/>
          <w:highlight w:val="none"/>
        </w:rPr>
      </w:pPr>
    </w:p>
    <w:p w14:paraId="7A7AD586">
      <w:pPr>
        <w:pStyle w:val="8"/>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4D85535">
      <w:pPr>
        <w:pStyle w:val="51"/>
        <w:spacing w:line="360" w:lineRule="auto"/>
        <w:rPr>
          <w:b/>
          <w:bCs/>
          <w:color w:val="auto"/>
          <w:sz w:val="32"/>
          <w:szCs w:val="32"/>
          <w:highlight w:val="none"/>
          <w:u w:val="single"/>
        </w:rPr>
      </w:pPr>
      <w:r>
        <w:rPr>
          <w:rFonts w:hint="eastAsia" w:hAnsi="宋体" w:cs="宋体"/>
          <w:b/>
          <w:bCs/>
          <w:color w:val="auto"/>
          <w:sz w:val="32"/>
          <w:szCs w:val="32"/>
          <w:highlight w:val="none"/>
        </w:rPr>
        <w:t>发包人（全称）：</w:t>
      </w:r>
      <w:r>
        <w:rPr>
          <w:rFonts w:hint="eastAsia" w:hAnsi="宋体"/>
          <w:b/>
          <w:bCs/>
          <w:color w:val="auto"/>
          <w:sz w:val="32"/>
          <w:szCs w:val="32"/>
          <w:highlight w:val="none"/>
          <w:u w:val="single"/>
          <w:lang w:eastAsia="zh-CN"/>
        </w:rPr>
        <w:t>天等县交通运输局</w:t>
      </w:r>
    </w:p>
    <w:p w14:paraId="15D56E0D">
      <w:pPr>
        <w:spacing w:line="360" w:lineRule="auto"/>
        <w:rPr>
          <w:rFonts w:hint="default" w:eastAsia="宋体"/>
          <w:b/>
          <w:bCs/>
          <w:color w:val="auto"/>
          <w:sz w:val="32"/>
          <w:szCs w:val="32"/>
          <w:highlight w:val="none"/>
          <w:u w:val="single"/>
          <w:lang w:val="en-US" w:eastAsia="zh-CN"/>
        </w:rPr>
      </w:pPr>
      <w:r>
        <w:rPr>
          <w:rFonts w:hint="eastAsia" w:hAnsi="宋体" w:cs="宋体"/>
          <w:b/>
          <w:bCs/>
          <w:color w:val="auto"/>
          <w:sz w:val="32"/>
          <w:szCs w:val="32"/>
          <w:highlight w:val="none"/>
        </w:rPr>
        <w:t>承包人（全称）：</w:t>
      </w:r>
      <w:r>
        <w:rPr>
          <w:rFonts w:hint="eastAsia" w:hAnsi="宋体" w:cs="宋体"/>
          <w:b/>
          <w:bCs/>
          <w:color w:val="auto"/>
          <w:sz w:val="32"/>
          <w:szCs w:val="32"/>
          <w:highlight w:val="none"/>
          <w:u w:val="single"/>
          <w:lang w:val="en-US" w:eastAsia="zh-CN"/>
        </w:rPr>
        <w:t xml:space="preserve">                    </w:t>
      </w:r>
    </w:p>
    <w:p w14:paraId="25E51ABF">
      <w:pPr>
        <w:pStyle w:val="8"/>
        <w:ind w:left="0" w:leftChars="0" w:firstLine="0" w:firstLineChars="0"/>
        <w:rPr>
          <w:rFonts w:hint="default" w:eastAsia="宋体"/>
          <w:b/>
          <w:bCs/>
          <w:sz w:val="28"/>
          <w:szCs w:val="28"/>
          <w:lang w:val="en-US" w:eastAsia="zh-CN"/>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r>
        <w:rPr>
          <w:rFonts w:hint="eastAsia" w:cs="Times New Roman"/>
          <w:b/>
          <w:bCs/>
          <w:color w:val="auto"/>
          <w:sz w:val="28"/>
          <w:szCs w:val="28"/>
          <w:highlight w:val="none"/>
          <w:lang w:val="en-US" w:eastAsia="zh-CN"/>
        </w:rPr>
        <w:t>签订日期：2026年  月   日</w:t>
      </w: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合同格式</w:t>
      </w:r>
      <w:bookmarkEnd w:id="136"/>
    </w:p>
    <w:p w14:paraId="375A6FD5">
      <w:pPr>
        <w:spacing w:line="600" w:lineRule="auto"/>
        <w:jc w:val="center"/>
        <w:rPr>
          <w:rFonts w:hint="eastAsia" w:ascii="宋体" w:hAnsi="宋体" w:eastAsia="宋体" w:cs="宋体"/>
          <w:b/>
          <w:color w:val="000000" w:themeColor="text1"/>
          <w:w w:val="90"/>
          <w:sz w:val="36"/>
          <w:szCs w:val="36"/>
          <w:highlight w:val="none"/>
          <w14:textFill>
            <w14:solidFill>
              <w14:schemeClr w14:val="tx1"/>
            </w14:solidFill>
          </w14:textFill>
        </w:rPr>
      </w:pPr>
      <w:r>
        <w:rPr>
          <w:rFonts w:hint="eastAsia" w:ascii="宋体" w:hAnsi="宋体" w:cs="宋体"/>
          <w:b/>
          <w:color w:val="000000" w:themeColor="text1"/>
          <w:w w:val="90"/>
          <w:sz w:val="36"/>
          <w:szCs w:val="36"/>
          <w:highlight w:val="none"/>
          <w:lang w:eastAsia="zh-CN"/>
          <w14:textFill>
            <w14:solidFill>
              <w14:schemeClr w14:val="tx1"/>
            </w14:solidFill>
          </w14:textFill>
        </w:rPr>
        <w:t xml:space="preserve">天等县宁干乡宁干村2026年“千村引领，万村提升”示范创建项目(宁干乡宁干村屯内道路硬化及配套工程)  </w:t>
      </w:r>
      <w:r>
        <w:rPr>
          <w:rFonts w:hint="eastAsia" w:ascii="宋体" w:hAnsi="宋体" w:eastAsia="宋体" w:cs="宋体"/>
          <w:b/>
          <w:color w:val="000000" w:themeColor="text1"/>
          <w:w w:val="90"/>
          <w:sz w:val="36"/>
          <w:szCs w:val="36"/>
          <w:highlight w:val="none"/>
          <w14:textFill>
            <w14:solidFill>
              <w14:schemeClr w14:val="tx1"/>
            </w14:solidFill>
          </w14:textFill>
        </w:rPr>
        <w:t>施工合同</w:t>
      </w:r>
    </w:p>
    <w:p w14:paraId="63119317">
      <w:pPr>
        <w:jc w:val="center"/>
        <w:rPr>
          <w:rFonts w:hint="eastAsia" w:ascii="宋体" w:hAnsi="宋体" w:eastAsia="宋体" w:cs="宋体"/>
          <w:color w:val="000000" w:themeColor="text1"/>
          <w:w w:val="90"/>
          <w:sz w:val="28"/>
          <w:szCs w:val="28"/>
          <w:highlight w:val="none"/>
          <w14:textFill>
            <w14:solidFill>
              <w14:schemeClr w14:val="tx1"/>
            </w14:solidFill>
          </w14:textFill>
        </w:rPr>
      </w:pPr>
    </w:p>
    <w:p w14:paraId="0E6347F2">
      <w:pPr>
        <w:pStyle w:val="2"/>
        <w:rPr>
          <w:rFonts w:hint="eastAsia"/>
          <w:sz w:val="36"/>
          <w:szCs w:val="36"/>
        </w:rPr>
      </w:pPr>
      <w:r>
        <w:rPr>
          <w:rFonts w:hint="eastAsia" w:ascii="宋体" w:hAnsi="宋体" w:cs="宋体"/>
          <w:color w:val="000000" w:themeColor="text1"/>
          <w:w w:val="90"/>
          <w:sz w:val="36"/>
          <w:szCs w:val="36"/>
          <w:highlight w:val="none"/>
          <w:lang w:val="en-US" w:eastAsia="zh-CN"/>
          <w14:textFill>
            <w14:solidFill>
              <w14:schemeClr w14:val="tx1"/>
            </w14:solidFill>
          </w14:textFill>
        </w:rPr>
        <w:t xml:space="preserve">   合同编号： </w:t>
      </w:r>
    </w:p>
    <w:p w14:paraId="7F26A067">
      <w:pPr>
        <w:jc w:val="center"/>
        <w:rPr>
          <w:rFonts w:hint="eastAsia" w:ascii="宋体" w:hAnsi="宋体" w:cs="宋体"/>
          <w:color w:val="000000" w:themeColor="text1"/>
          <w:w w:val="90"/>
          <w:sz w:val="36"/>
          <w:szCs w:val="36"/>
          <w:highlight w:val="none"/>
          <w:lang w:val="en-US" w:eastAsia="zh-CN"/>
          <w14:textFill>
            <w14:solidFill>
              <w14:schemeClr w14:val="tx1"/>
            </w14:solidFill>
          </w14:textFill>
        </w:rPr>
      </w:pPr>
      <w:r>
        <w:rPr>
          <w:rFonts w:hint="eastAsia" w:ascii="宋体" w:hAnsi="宋体" w:cs="宋体"/>
          <w:color w:val="000000" w:themeColor="text1"/>
          <w:w w:val="90"/>
          <w:sz w:val="36"/>
          <w:szCs w:val="36"/>
          <w:highlight w:val="none"/>
          <w:lang w:val="en-US" w:eastAsia="zh-CN"/>
          <w14:textFill>
            <w14:solidFill>
              <w14:schemeClr w14:val="tx1"/>
            </w14:solidFill>
          </w14:textFill>
        </w:rPr>
        <w:t xml:space="preserve"> </w:t>
      </w:r>
    </w:p>
    <w:p w14:paraId="2F844843">
      <w:pPr>
        <w:pStyle w:val="6"/>
        <w:jc w:val="center"/>
        <w:rPr>
          <w:rFonts w:hint="eastAsia" w:ascii="宋体" w:hAnsi="宋体" w:cs="宋体"/>
          <w:color w:val="000000" w:themeColor="text1"/>
          <w:w w:val="90"/>
          <w:sz w:val="36"/>
          <w:szCs w:val="36"/>
          <w:highlight w:val="none"/>
          <w:lang w:val="en-US" w:eastAsia="zh-CN"/>
          <w14:textFill>
            <w14:solidFill>
              <w14:schemeClr w14:val="tx1"/>
            </w14:solidFill>
          </w14:textFill>
        </w:rPr>
      </w:pPr>
      <w:r>
        <w:rPr>
          <w:rFonts w:hint="eastAsia" w:ascii="宋体" w:hAnsi="宋体" w:cs="宋体"/>
          <w:color w:val="000000" w:themeColor="text1"/>
          <w:w w:val="90"/>
          <w:sz w:val="36"/>
          <w:szCs w:val="36"/>
          <w:highlight w:val="none"/>
          <w:lang w:val="en-US" w:eastAsia="zh-CN"/>
          <w14:textFill>
            <w14:solidFill>
              <w14:schemeClr w14:val="tx1"/>
            </w14:solidFill>
          </w14:textFill>
        </w:rPr>
        <w:t>（  本）</w:t>
      </w:r>
    </w:p>
    <w:p w14:paraId="78B86BCF">
      <w:pPr>
        <w:rPr>
          <w:rFonts w:hint="eastAsia" w:ascii="宋体" w:hAnsi="宋体" w:cs="宋体"/>
          <w:color w:val="000000" w:themeColor="text1"/>
          <w:w w:val="90"/>
          <w:sz w:val="36"/>
          <w:szCs w:val="36"/>
          <w:highlight w:val="none"/>
          <w:lang w:val="en-US" w:eastAsia="zh-CN"/>
          <w14:textFill>
            <w14:solidFill>
              <w14:schemeClr w14:val="tx1"/>
            </w14:solidFill>
          </w14:textFill>
        </w:rPr>
      </w:pPr>
    </w:p>
    <w:p w14:paraId="3DE0CDAB">
      <w:pPr>
        <w:autoSpaceDE w:val="0"/>
        <w:autoSpaceDN w:val="0"/>
        <w:adjustRightInd w:val="0"/>
        <w:spacing w:line="360" w:lineRule="auto"/>
        <w:ind w:firstLine="594" w:firstLineChars="300"/>
        <w:jc w:val="both"/>
        <w:rPr>
          <w:rFonts w:hint="eastAsia" w:ascii="宋体" w:hAnsi="宋体" w:eastAsia="宋体" w:cs="宋体"/>
          <w:color w:val="000000" w:themeColor="text1"/>
          <w:w w:val="90"/>
          <w:sz w:val="22"/>
          <w:szCs w:val="22"/>
          <w:highlight w:val="none"/>
          <w:lang w:val="en-US" w:eastAsia="zh-CN"/>
          <w14:textFill>
            <w14:solidFill>
              <w14:schemeClr w14:val="tx1"/>
            </w14:solidFill>
          </w14:textFill>
        </w:rPr>
      </w:pPr>
    </w:p>
    <w:p w14:paraId="6DA1A5E5">
      <w:pPr>
        <w:autoSpaceDE w:val="0"/>
        <w:autoSpaceDN w:val="0"/>
        <w:adjustRightInd w:val="0"/>
        <w:spacing w:line="360" w:lineRule="auto"/>
        <w:ind w:firstLine="594" w:firstLineChars="300"/>
        <w:jc w:val="both"/>
        <w:rPr>
          <w:rFonts w:hint="eastAsia" w:ascii="宋体" w:hAnsi="宋体" w:eastAsia="宋体" w:cs="宋体"/>
          <w:color w:val="000000" w:themeColor="text1"/>
          <w:w w:val="90"/>
          <w:sz w:val="22"/>
          <w:szCs w:val="22"/>
          <w:highlight w:val="none"/>
          <w:lang w:val="en-US" w:eastAsia="zh-CN"/>
          <w14:textFill>
            <w14:solidFill>
              <w14:schemeClr w14:val="tx1"/>
            </w14:solidFill>
          </w14:textFill>
        </w:rPr>
      </w:pPr>
    </w:p>
    <w:p w14:paraId="6B015CFF">
      <w:pPr>
        <w:autoSpaceDE w:val="0"/>
        <w:autoSpaceDN w:val="0"/>
        <w:adjustRightInd w:val="0"/>
        <w:spacing w:line="360" w:lineRule="auto"/>
        <w:ind w:firstLine="597" w:firstLineChars="300"/>
        <w:jc w:val="both"/>
        <w:rPr>
          <w:rFonts w:hint="eastAsia" w:ascii="宋体" w:hAnsi="宋体" w:eastAsia="宋体" w:cs="宋体"/>
          <w:b/>
          <w:bCs/>
          <w:color w:val="000000" w:themeColor="text1"/>
          <w:w w:val="90"/>
          <w:sz w:val="22"/>
          <w:szCs w:val="22"/>
          <w:highlight w:val="none"/>
          <w:lang w:val="en-US" w:eastAsia="zh-CN"/>
          <w14:textFill>
            <w14:solidFill>
              <w14:schemeClr w14:val="tx1"/>
            </w14:solidFill>
          </w14:textFill>
        </w:rPr>
      </w:pPr>
    </w:p>
    <w:p w14:paraId="6D1B2780">
      <w:pPr>
        <w:autoSpaceDE w:val="0"/>
        <w:autoSpaceDN w:val="0"/>
        <w:adjustRightInd w:val="0"/>
        <w:spacing w:line="600" w:lineRule="auto"/>
        <w:ind w:firstLine="843" w:firstLineChars="300"/>
        <w:jc w:val="both"/>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项目名称：</w:t>
      </w:r>
      <w:r>
        <w:rPr>
          <w:rFonts w:hint="eastAsia" w:ascii="宋体" w:hAnsi="宋体" w:cs="宋体"/>
          <w:b/>
          <w:bCs/>
          <w:color w:val="000000" w:themeColor="text1"/>
          <w:kern w:val="0"/>
          <w:sz w:val="28"/>
          <w:szCs w:val="28"/>
          <w:highlight w:val="none"/>
          <w:lang w:eastAsia="zh-CN"/>
          <w14:textFill>
            <w14:solidFill>
              <w14:schemeClr w14:val="tx1"/>
            </w14:solidFill>
          </w14:textFill>
        </w:rPr>
        <w:t xml:space="preserve">天等县宁干乡宁干村2026年“千村引领，万村提升”示范创建项目(宁干乡宁干村屯内道路硬化及配套工程) </w:t>
      </w:r>
    </w:p>
    <w:p w14:paraId="208C4708">
      <w:pPr>
        <w:autoSpaceDE w:val="0"/>
        <w:autoSpaceDN w:val="0"/>
        <w:adjustRightInd w:val="0"/>
        <w:spacing w:line="600" w:lineRule="auto"/>
        <w:ind w:firstLine="843" w:firstLineChars="300"/>
        <w:jc w:val="both"/>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发</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包</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人：</w:t>
      </w:r>
      <w:r>
        <w:rPr>
          <w:rFonts w:hint="eastAsia" w:ascii="宋体" w:hAnsi="宋体" w:cs="宋体"/>
          <w:b/>
          <w:bCs/>
          <w:color w:val="000000" w:themeColor="text1"/>
          <w:kern w:val="0"/>
          <w:sz w:val="28"/>
          <w:szCs w:val="28"/>
          <w:highlight w:val="none"/>
          <w:lang w:eastAsia="zh-CN"/>
          <w14:textFill>
            <w14:solidFill>
              <w14:schemeClr w14:val="tx1"/>
            </w14:solidFill>
          </w14:textFill>
        </w:rPr>
        <w:t>天等县交通运输局</w:t>
      </w:r>
    </w:p>
    <w:p w14:paraId="55D78933">
      <w:pPr>
        <w:autoSpaceDE w:val="0"/>
        <w:autoSpaceDN w:val="0"/>
        <w:adjustRightInd w:val="0"/>
        <w:spacing w:line="600" w:lineRule="auto"/>
        <w:ind w:firstLine="843" w:firstLineChars="300"/>
        <w:jc w:val="both"/>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承</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包</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人：</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p>
    <w:p w14:paraId="67D43E4F">
      <w:pPr>
        <w:autoSpaceDE w:val="0"/>
        <w:autoSpaceDN w:val="0"/>
        <w:adjustRightInd w:val="0"/>
        <w:spacing w:line="600" w:lineRule="auto"/>
        <w:ind w:firstLine="843" w:firstLineChars="300"/>
        <w:jc w:val="both"/>
        <w:rPr>
          <w:rFonts w:hint="eastAsia" w:ascii="宋体" w:hAnsi="宋体" w:eastAsia="宋体" w:cs="宋体"/>
          <w:b/>
          <w:bCs/>
          <w:color w:val="000000" w:themeColor="text1"/>
          <w:kern w:val="0"/>
          <w:sz w:val="28"/>
          <w:szCs w:val="28"/>
          <w:highlight w:val="none"/>
          <w:lang w:eastAsia="zh-CN"/>
          <w14:textFill>
            <w14:solidFill>
              <w14:schemeClr w14:val="tx1"/>
            </w14:solidFill>
          </w14:textFill>
        </w:rPr>
      </w:pP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 xml:space="preserve">日  </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期：</w:t>
      </w:r>
      <w:r>
        <w:rPr>
          <w:rFonts w:hint="eastAsia" w:ascii="宋体" w:hAnsi="宋体" w:cs="宋体"/>
          <w:b/>
          <w:bCs/>
          <w:color w:val="000000" w:themeColor="text1"/>
          <w:kern w:val="0"/>
          <w:sz w:val="28"/>
          <w:szCs w:val="28"/>
          <w:highlight w:val="none"/>
          <w:lang w:val="en-US" w:eastAsia="zh-CN"/>
          <w14:textFill>
            <w14:solidFill>
              <w14:schemeClr w14:val="tx1"/>
            </w14:solidFill>
          </w14:textFill>
        </w:rPr>
        <w:t xml:space="preserve">2026 年 </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月</w:t>
      </w:r>
      <w:r>
        <w:rPr>
          <w:rFonts w:hint="eastAsia" w:ascii="宋体" w:hAnsi="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8"/>
          <w:szCs w:val="28"/>
          <w:highlight w:val="none"/>
          <w:lang w:eastAsia="zh-CN"/>
          <w14:textFill>
            <w14:solidFill>
              <w14:schemeClr w14:val="tx1"/>
            </w14:solidFill>
          </w14:textFill>
        </w:rPr>
        <w:t>日</w:t>
      </w:r>
    </w:p>
    <w:p w14:paraId="6C753350">
      <w:pPr>
        <w:autoSpaceDE w:val="0"/>
        <w:autoSpaceDN w:val="0"/>
        <w:adjustRightInd w:val="0"/>
        <w:spacing w:line="360" w:lineRule="auto"/>
        <w:ind w:firstLine="840" w:firstLineChars="300"/>
        <w:jc w:val="both"/>
        <w:rPr>
          <w:rFonts w:hint="eastAsia" w:ascii="宋体" w:hAnsi="宋体" w:eastAsia="宋体" w:cs="宋体"/>
          <w:b w:val="0"/>
          <w:bCs w:val="0"/>
          <w:color w:val="000000" w:themeColor="text1"/>
          <w:kern w:val="0"/>
          <w:sz w:val="28"/>
          <w:szCs w:val="21"/>
          <w:highlight w:val="none"/>
          <w:lang w:eastAsia="zh-CN"/>
          <w14:textFill>
            <w14:solidFill>
              <w14:schemeClr w14:val="tx1"/>
            </w14:solidFill>
          </w14:textFill>
        </w:rPr>
      </w:pPr>
    </w:p>
    <w:p w14:paraId="4469752A">
      <w:pPr>
        <w:jc w:val="center"/>
        <w:rPr>
          <w:rFonts w:hint="eastAsia"/>
          <w:b/>
          <w:dstrike w:val="0"/>
          <w:color w:val="auto"/>
          <w:sz w:val="44"/>
          <w:szCs w:val="44"/>
        </w:rPr>
      </w:pPr>
    </w:p>
    <w:p w14:paraId="7CB1941F">
      <w:pPr>
        <w:jc w:val="center"/>
        <w:rPr>
          <w:b/>
          <w:dstrike w:val="0"/>
          <w:color w:val="auto"/>
          <w:sz w:val="44"/>
          <w:szCs w:val="44"/>
        </w:rPr>
      </w:pPr>
      <w:r>
        <w:rPr>
          <w:rFonts w:hint="eastAsia"/>
          <w:b/>
          <w:dstrike w:val="0"/>
          <w:color w:val="auto"/>
          <w:sz w:val="44"/>
          <w:szCs w:val="44"/>
        </w:rPr>
        <w:t>合同文件目录</w:t>
      </w:r>
    </w:p>
    <w:p w14:paraId="6BF0A4F3">
      <w:pPr>
        <w:rPr>
          <w:dstrike w:val="0"/>
          <w:color w:val="auto"/>
          <w:sz w:val="32"/>
          <w:szCs w:val="32"/>
        </w:rPr>
      </w:pPr>
    </w:p>
    <w:p w14:paraId="53DAB717">
      <w:pPr>
        <w:spacing w:line="600" w:lineRule="auto"/>
        <w:rPr>
          <w:dstrike w:val="0"/>
          <w:color w:val="auto"/>
          <w:sz w:val="28"/>
          <w:szCs w:val="28"/>
        </w:rPr>
      </w:pPr>
      <w:r>
        <w:rPr>
          <w:rFonts w:hint="eastAsia"/>
          <w:dstrike w:val="0"/>
          <w:color w:val="auto"/>
          <w:sz w:val="28"/>
          <w:szCs w:val="28"/>
        </w:rPr>
        <w:t>一、合同协议书</w:t>
      </w:r>
    </w:p>
    <w:p w14:paraId="4AA8957A">
      <w:pPr>
        <w:spacing w:line="600" w:lineRule="auto"/>
        <w:rPr>
          <w:dstrike w:val="0"/>
          <w:color w:val="auto"/>
          <w:sz w:val="28"/>
          <w:szCs w:val="28"/>
        </w:rPr>
      </w:pPr>
      <w:r>
        <w:rPr>
          <w:rFonts w:hint="eastAsia"/>
          <w:dstrike w:val="0"/>
          <w:color w:val="auto"/>
          <w:sz w:val="28"/>
          <w:szCs w:val="28"/>
        </w:rPr>
        <w:t>二、廉政合同</w:t>
      </w:r>
    </w:p>
    <w:p w14:paraId="3B085CE5">
      <w:pPr>
        <w:spacing w:line="600" w:lineRule="auto"/>
        <w:rPr>
          <w:rFonts w:hint="eastAsia"/>
          <w:dstrike w:val="0"/>
          <w:color w:val="auto"/>
          <w:sz w:val="28"/>
          <w:szCs w:val="28"/>
        </w:rPr>
      </w:pPr>
      <w:r>
        <w:rPr>
          <w:rFonts w:hint="eastAsia"/>
          <w:dstrike w:val="0"/>
          <w:color w:val="auto"/>
          <w:sz w:val="28"/>
          <w:szCs w:val="28"/>
        </w:rPr>
        <w:t>三、安全生产合同</w:t>
      </w:r>
    </w:p>
    <w:p w14:paraId="6F2B6BB5">
      <w:pPr>
        <w:spacing w:line="600" w:lineRule="auto"/>
        <w:rPr>
          <w:dstrike w:val="0"/>
          <w:color w:val="auto"/>
          <w:sz w:val="28"/>
          <w:szCs w:val="28"/>
        </w:rPr>
      </w:pPr>
      <w:r>
        <w:rPr>
          <w:rFonts w:hint="eastAsia"/>
          <w:dstrike w:val="0"/>
          <w:color w:val="auto"/>
          <w:sz w:val="28"/>
          <w:szCs w:val="28"/>
          <w:lang w:val="en-US" w:eastAsia="zh-CN"/>
        </w:rPr>
        <w:t>四</w:t>
      </w:r>
      <w:r>
        <w:rPr>
          <w:rFonts w:hint="eastAsia"/>
          <w:dstrike w:val="0"/>
          <w:color w:val="auto"/>
          <w:sz w:val="28"/>
          <w:szCs w:val="28"/>
        </w:rPr>
        <w:t>、</w:t>
      </w:r>
      <w:r>
        <w:rPr>
          <w:rFonts w:hint="eastAsia"/>
          <w:dstrike w:val="0"/>
          <w:color w:val="auto"/>
          <w:sz w:val="28"/>
          <w:szCs w:val="28"/>
          <w:lang w:val="en-US" w:eastAsia="zh-CN"/>
        </w:rPr>
        <w:t>成交</w:t>
      </w:r>
      <w:r>
        <w:rPr>
          <w:dstrike w:val="0"/>
          <w:color w:val="auto"/>
          <w:sz w:val="28"/>
          <w:szCs w:val="28"/>
        </w:rPr>
        <w:t>通知书复印件</w:t>
      </w:r>
    </w:p>
    <w:p w14:paraId="2344A415">
      <w:pPr>
        <w:spacing w:line="600" w:lineRule="auto"/>
        <w:rPr>
          <w:rFonts w:hint="eastAsia"/>
          <w:dstrike w:val="0"/>
          <w:color w:val="auto"/>
          <w:sz w:val="28"/>
          <w:szCs w:val="28"/>
          <w:lang w:val="en-US" w:eastAsia="zh-CN"/>
        </w:rPr>
      </w:pPr>
      <w:r>
        <w:rPr>
          <w:rFonts w:hint="eastAsia"/>
          <w:dstrike w:val="0"/>
          <w:color w:val="auto"/>
          <w:sz w:val="28"/>
          <w:szCs w:val="28"/>
          <w:lang w:val="en-US" w:eastAsia="zh-CN"/>
        </w:rPr>
        <w:t>五、工程量清单复印件</w:t>
      </w:r>
    </w:p>
    <w:p w14:paraId="06101D0C">
      <w:pPr>
        <w:spacing w:line="600" w:lineRule="auto"/>
      </w:pPr>
      <w:r>
        <w:rPr>
          <w:rFonts w:hint="eastAsia"/>
          <w:dstrike w:val="0"/>
          <w:color w:val="auto"/>
          <w:sz w:val="28"/>
          <w:szCs w:val="28"/>
        </w:rPr>
        <w:t>六、项目经理委任书</w:t>
      </w:r>
    </w:p>
    <w:p w14:paraId="26E30171">
      <w:pPr>
        <w:spacing w:line="600" w:lineRule="auto"/>
        <w:rPr>
          <w:dstrike w:val="0"/>
          <w:color w:val="auto"/>
          <w:sz w:val="28"/>
          <w:szCs w:val="28"/>
        </w:rPr>
      </w:pPr>
      <w:r>
        <w:rPr>
          <w:rFonts w:hint="eastAsia"/>
          <w:dstrike w:val="0"/>
          <w:color w:val="auto"/>
          <w:sz w:val="28"/>
          <w:szCs w:val="28"/>
          <w:lang w:val="en-US" w:eastAsia="zh-CN"/>
        </w:rPr>
        <w:t>七</w:t>
      </w:r>
      <w:r>
        <w:rPr>
          <w:rFonts w:hint="eastAsia"/>
          <w:dstrike w:val="0"/>
          <w:color w:val="auto"/>
          <w:sz w:val="28"/>
          <w:szCs w:val="28"/>
        </w:rPr>
        <w:t>、主要管理人员和技术人员</w:t>
      </w:r>
    </w:p>
    <w:p w14:paraId="719E0F62">
      <w:pPr>
        <w:spacing w:line="600" w:lineRule="auto"/>
        <w:rPr>
          <w:dstrike w:val="0"/>
          <w:color w:val="auto"/>
          <w:sz w:val="28"/>
          <w:szCs w:val="28"/>
        </w:rPr>
      </w:pPr>
      <w:r>
        <w:rPr>
          <w:rFonts w:hint="eastAsia"/>
          <w:dstrike w:val="0"/>
          <w:color w:val="auto"/>
          <w:sz w:val="28"/>
          <w:szCs w:val="28"/>
          <w:lang w:val="en-US" w:eastAsia="zh-CN"/>
        </w:rPr>
        <w:t>八</w:t>
      </w:r>
      <w:r>
        <w:rPr>
          <w:rFonts w:hint="eastAsia"/>
          <w:dstrike w:val="0"/>
          <w:color w:val="auto"/>
          <w:sz w:val="28"/>
          <w:szCs w:val="28"/>
        </w:rPr>
        <w:t>、主要机械设备和试验检测设备</w:t>
      </w:r>
    </w:p>
    <w:p w14:paraId="5EA59D0B">
      <w:pPr>
        <w:spacing w:line="600" w:lineRule="auto"/>
        <w:rPr>
          <w:rFonts w:hint="eastAsia" w:ascii="Times New Roman" w:hAnsi="Times New Roman" w:eastAsia="宋体" w:cs="Times New Roman"/>
          <w:b w:val="0"/>
          <w:bCs w:val="0"/>
          <w:dstrike w:val="0"/>
          <w:color w:val="auto"/>
          <w:kern w:val="0"/>
          <w:sz w:val="28"/>
          <w:szCs w:val="28"/>
          <w:lang w:val="en-US" w:eastAsia="zh-CN" w:bidi="hi-IN"/>
        </w:rPr>
      </w:pPr>
      <w:r>
        <w:rPr>
          <w:rFonts w:hint="eastAsia" w:ascii="Times New Roman" w:hAnsi="Times New Roman" w:eastAsia="宋体" w:cs="Times New Roman"/>
          <w:b w:val="0"/>
          <w:bCs w:val="0"/>
          <w:dstrike w:val="0"/>
          <w:color w:val="auto"/>
          <w:kern w:val="0"/>
          <w:sz w:val="28"/>
          <w:szCs w:val="28"/>
          <w:lang w:val="en-US" w:eastAsia="zh-CN" w:bidi="hi-IN"/>
        </w:rPr>
        <w:t>九、第一节通用合同条款</w:t>
      </w:r>
      <w:r>
        <w:rPr>
          <w:rFonts w:hint="eastAsia" w:cs="Times New Roman"/>
          <w:b w:val="0"/>
          <w:bCs w:val="0"/>
          <w:dstrike w:val="0"/>
          <w:color w:val="auto"/>
          <w:kern w:val="0"/>
          <w:sz w:val="28"/>
          <w:szCs w:val="28"/>
          <w:lang w:val="en-US" w:eastAsia="zh-CN" w:bidi="hi-IN"/>
        </w:rPr>
        <w:t>、</w:t>
      </w:r>
      <w:r>
        <w:rPr>
          <w:rFonts w:hint="eastAsia" w:ascii="Times New Roman" w:hAnsi="Times New Roman" w:eastAsia="宋体" w:cs="Times New Roman"/>
          <w:b w:val="0"/>
          <w:bCs w:val="0"/>
          <w:dstrike w:val="0"/>
          <w:color w:val="auto"/>
          <w:kern w:val="0"/>
          <w:sz w:val="28"/>
          <w:szCs w:val="28"/>
          <w:lang w:val="en-US" w:eastAsia="zh-CN" w:bidi="hi-IN"/>
        </w:rPr>
        <w:t>第二节专用合同条款</w:t>
      </w:r>
      <w:r>
        <w:rPr>
          <w:rFonts w:hint="eastAsia" w:cs="Times New Roman"/>
          <w:b w:val="0"/>
          <w:bCs w:val="0"/>
          <w:dstrike w:val="0"/>
          <w:color w:val="auto"/>
          <w:kern w:val="0"/>
          <w:sz w:val="28"/>
          <w:szCs w:val="28"/>
          <w:lang w:val="en-US" w:eastAsia="zh-CN" w:bidi="hi-IN"/>
        </w:rPr>
        <w:t>、</w:t>
      </w:r>
      <w:r>
        <w:rPr>
          <w:rFonts w:hint="eastAsia" w:ascii="Times New Roman" w:hAnsi="Times New Roman" w:eastAsia="宋体" w:cs="Times New Roman"/>
          <w:b w:val="0"/>
          <w:bCs w:val="0"/>
          <w:dstrike w:val="0"/>
          <w:color w:val="auto"/>
          <w:kern w:val="0"/>
          <w:sz w:val="28"/>
          <w:szCs w:val="28"/>
          <w:lang w:val="en-US" w:eastAsia="zh-CN" w:bidi="hi-IN"/>
        </w:rPr>
        <w:t>项目专用合同条款</w:t>
      </w:r>
    </w:p>
    <w:p w14:paraId="507113A6">
      <w:pPr>
        <w:rPr>
          <w:rFonts w:hint="eastAsia" w:ascii="Times New Roman" w:hAnsi="Times New Roman" w:eastAsia="宋体" w:cs="Times New Roman"/>
          <w:b w:val="0"/>
          <w:bCs w:val="0"/>
          <w:dstrike w:val="0"/>
          <w:color w:val="auto"/>
          <w:kern w:val="0"/>
          <w:sz w:val="32"/>
          <w:szCs w:val="32"/>
          <w:lang w:val="en-US" w:eastAsia="zh-CN" w:bidi="hi-IN"/>
        </w:rPr>
      </w:pPr>
    </w:p>
    <w:p w14:paraId="2CFFEC32">
      <w:pPr>
        <w:rPr>
          <w:rFonts w:hint="eastAsia" w:eastAsia="宋体"/>
          <w:dstrike w:val="0"/>
          <w:color w:val="auto"/>
          <w:sz w:val="32"/>
          <w:szCs w:val="32"/>
          <w:lang w:val="en-US" w:eastAsia="zh-CN"/>
        </w:rPr>
      </w:pPr>
    </w:p>
    <w:p w14:paraId="0E86184E">
      <w:pPr>
        <w:jc w:val="center"/>
        <w:rPr>
          <w:rFonts w:hint="eastAsia" w:ascii="宋体" w:hAnsi="宋体" w:eastAsia="宋体" w:cs="宋体"/>
          <w:b/>
          <w:color w:val="000000" w:themeColor="text1"/>
          <w:w w:val="90"/>
          <w:sz w:val="32"/>
          <w:szCs w:val="32"/>
          <w:highlight w:val="none"/>
          <w14:textFill>
            <w14:solidFill>
              <w14:schemeClr w14:val="tx1"/>
            </w14:solidFill>
          </w14:textFill>
        </w:rPr>
        <w:sectPr>
          <w:footerReference r:id="rId12" w:type="default"/>
          <w:pgSz w:w="11906" w:h="16838"/>
          <w:pgMar w:top="1134" w:right="1134" w:bottom="1134" w:left="1418" w:header="851" w:footer="992" w:gutter="0"/>
          <w:pgNumType w:fmt="decimal"/>
          <w:cols w:space="720" w:num="1"/>
          <w:docGrid w:type="lines" w:linePitch="312" w:charSpace="0"/>
        </w:sectPr>
      </w:pPr>
    </w:p>
    <w:p w14:paraId="09654CCD">
      <w:pPr>
        <w:pStyle w:val="6"/>
        <w:rPr>
          <w:rFonts w:hAnsi="宋体" w:cs="宋体"/>
          <w:color w:val="000000" w:themeColor="text1"/>
          <w:highlight w:val="none"/>
          <w14:textFill>
            <w14:solidFill>
              <w14:schemeClr w14:val="tx1"/>
            </w14:solidFill>
          </w14:textFill>
        </w:rPr>
      </w:pPr>
      <w:bookmarkStart w:id="137" w:name="_Toc508779709"/>
      <w:bookmarkStart w:id="138" w:name="_Toc514759053"/>
      <w:bookmarkStart w:id="139" w:name="_Toc394929416"/>
      <w:bookmarkStart w:id="140" w:name="_Toc6469"/>
      <w:bookmarkStart w:id="141" w:name="_Toc511595193"/>
      <w:r>
        <w:rPr>
          <w:rFonts w:hAnsi="宋体" w:cs="宋体"/>
          <w:color w:val="000000" w:themeColor="text1"/>
          <w:highlight w:val="none"/>
          <w14:textFill>
            <w14:solidFill>
              <w14:schemeClr w14:val="tx1"/>
            </w14:solidFill>
          </w14:textFill>
        </w:rPr>
        <w:t>一</w:t>
      </w:r>
      <w:r>
        <w:rPr>
          <w:rFonts w:hint="eastAsia" w:hAnsi="宋体" w:cs="宋体"/>
          <w:color w:val="000000" w:themeColor="text1"/>
          <w:highlight w:val="none"/>
          <w:lang w:eastAsia="zh-CN"/>
          <w14:textFill>
            <w14:solidFill>
              <w14:schemeClr w14:val="tx1"/>
            </w14:solidFill>
          </w14:textFill>
        </w:rPr>
        <w:t>、</w:t>
      </w:r>
      <w:r>
        <w:rPr>
          <w:rFonts w:hAnsi="宋体" w:cs="宋体"/>
          <w:color w:val="000000" w:themeColor="text1"/>
          <w:highlight w:val="none"/>
          <w14:textFill>
            <w14:solidFill>
              <w14:schemeClr w14:val="tx1"/>
            </w14:solidFill>
          </w14:textFill>
        </w:rPr>
        <w:t xml:space="preserve"> 合同协议书</w:t>
      </w:r>
      <w:bookmarkEnd w:id="137"/>
      <w:bookmarkEnd w:id="138"/>
      <w:bookmarkEnd w:id="139"/>
      <w:bookmarkEnd w:id="140"/>
      <w:bookmarkEnd w:id="141"/>
    </w:p>
    <w:p w14:paraId="763D1E4B">
      <w:pPr>
        <w:pStyle w:val="53"/>
        <w:keepNext/>
        <w:keepLines/>
        <w:shd w:val="clear" w:color="auto" w:fill="auto"/>
        <w:spacing w:after="408" w:line="240" w:lineRule="auto"/>
        <w:ind w:firstLine="562"/>
        <w:jc w:val="center"/>
        <w:outlineLvl w:val="9"/>
        <w:rPr>
          <w:rFonts w:hint="eastAsia" w:ascii="宋体" w:hAnsi="宋体" w:eastAsia="宋体" w:cs="宋体"/>
          <w:b/>
          <w:color w:val="000000" w:themeColor="text1"/>
          <w:sz w:val="21"/>
          <w:szCs w:val="21"/>
          <w:highlight w:val="none"/>
          <w14:textFill>
            <w14:solidFill>
              <w14:schemeClr w14:val="tx1"/>
            </w14:solidFill>
          </w14:textFill>
        </w:rPr>
      </w:pPr>
      <w:bookmarkStart w:id="142" w:name="_Toc514786907"/>
      <w:bookmarkStart w:id="143" w:name="bookmark186"/>
      <w:r>
        <w:rPr>
          <w:rStyle w:val="54"/>
          <w:rFonts w:hint="eastAsia" w:ascii="宋体" w:hAnsi="宋体" w:eastAsia="宋体" w:cs="宋体"/>
          <w:b/>
          <w:color w:val="000000" w:themeColor="text1"/>
          <w:spacing w:val="0"/>
          <w:sz w:val="21"/>
          <w:szCs w:val="21"/>
          <w:highlight w:val="none"/>
          <w14:textFill>
            <w14:solidFill>
              <w14:schemeClr w14:val="tx1"/>
            </w14:solidFill>
          </w14:textFill>
        </w:rPr>
        <w:t>合同协议书</w:t>
      </w:r>
      <w:bookmarkEnd w:id="142"/>
      <w:bookmarkEnd w:id="143"/>
    </w:p>
    <w:p w14:paraId="1B795A8C">
      <w:pPr>
        <w:pStyle w:val="55"/>
        <w:shd w:val="clear" w:color="auto" w:fill="auto"/>
        <w:spacing w:before="0"/>
        <w:ind w:firstLine="630" w:firstLineChars="300"/>
        <w:jc w:val="both"/>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u w:val="single"/>
          <w14:textFill>
            <w14:solidFill>
              <w14:schemeClr w14:val="tx1"/>
            </w14:solidFill>
          </w14:textFill>
        </w:rPr>
        <w:t>天等县交通运输局</w:t>
      </w:r>
      <w:r>
        <w:rPr>
          <w:rStyle w:val="56"/>
          <w:rFonts w:hint="eastAsia" w:ascii="宋体" w:hAnsi="宋体" w:eastAsia="宋体" w:cs="宋体"/>
          <w:color w:val="000000" w:themeColor="text1"/>
          <w:sz w:val="21"/>
          <w:szCs w:val="21"/>
          <w:highlight w:val="none"/>
          <w14:textFill>
            <w14:solidFill>
              <w14:schemeClr w14:val="tx1"/>
            </w14:solidFill>
          </w14:textFill>
        </w:rPr>
        <w:t>(发包人名称，以下简称“发包人”）为实施</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天等县宁干乡宁干村2026年“千村引领，万村提升”示范创建项目(宁干乡宁干村屯内道路硬化及配套工程) </w:t>
      </w:r>
      <w:r>
        <w:rPr>
          <w:rStyle w:val="56"/>
          <w:rFonts w:hint="eastAsia" w:ascii="宋体" w:hAnsi="宋体" w:eastAsia="宋体" w:cs="宋体"/>
          <w:color w:val="000000" w:themeColor="text1"/>
          <w:sz w:val="21"/>
          <w:szCs w:val="21"/>
          <w:highlight w:val="none"/>
          <w:u w:val="none"/>
          <w14:textFill>
            <w14:solidFill>
              <w14:schemeClr w14:val="tx1"/>
            </w14:solidFill>
          </w14:textFill>
        </w:rPr>
        <w:t>(项</w:t>
      </w:r>
      <w:r>
        <w:rPr>
          <w:rStyle w:val="56"/>
          <w:rFonts w:hint="eastAsia" w:ascii="宋体" w:hAnsi="宋体" w:eastAsia="宋体" w:cs="宋体"/>
          <w:color w:val="000000" w:themeColor="text1"/>
          <w:sz w:val="21"/>
          <w:szCs w:val="21"/>
          <w:highlight w:val="none"/>
          <w14:textFill>
            <w14:solidFill>
              <w14:schemeClr w14:val="tx1"/>
            </w14:solidFill>
          </w14:textFill>
        </w:rPr>
        <w:t>目名称)，己接受</w:t>
      </w:r>
      <w:r>
        <w:rPr>
          <w:rStyle w:val="56"/>
          <w:rFonts w:hint="eastAsia" w:ascii="宋体" w:hAnsi="宋体" w:eastAsia="宋体" w:cs="宋体"/>
          <w:color w:val="000000" w:themeColor="text1"/>
          <w:sz w:val="21"/>
          <w:szCs w:val="21"/>
          <w:highlight w:val="none"/>
          <w:u w:val="single"/>
          <w14:textFill>
            <w14:solidFill>
              <w14:schemeClr w14:val="tx1"/>
            </w14:solidFill>
          </w14:textFill>
        </w:rPr>
        <w:tab/>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(承包人名称，以下简称“承包人”）对该项目施工的投标。发包人和承包人共同达成如下协议。</w:t>
      </w:r>
    </w:p>
    <w:p w14:paraId="03B8518B">
      <w:pPr>
        <w:pStyle w:val="55"/>
        <w:keepNext w:val="0"/>
        <w:keepLines w:val="0"/>
        <w:pageBreakBefore w:val="0"/>
        <w:widowControl w:val="0"/>
        <w:shd w:val="clear" w:color="auto" w:fill="auto"/>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u w:val="singl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1．建设内容：</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本项目为天等县宁干乡宁干村2026年“千村引领，万村提升”示范创建项目，主要建设内容为屯内道路硬化工程，配套路基防护、排水系统及交通安全设施等，以施工图纸及工程量清单为准。</w:t>
      </w:r>
    </w:p>
    <w:p w14:paraId="44D14F5B">
      <w:pPr>
        <w:pStyle w:val="55"/>
        <w:keepNext w:val="0"/>
        <w:keepLines w:val="0"/>
        <w:pageBreakBefore w:val="0"/>
        <w:widowControl w:val="0"/>
        <w:shd w:val="clear" w:color="auto" w:fill="auto"/>
        <w:tabs>
          <w:tab w:val="left" w:pos="1098"/>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2．下列文件应视为构成合同文件的组成部分：</w:t>
      </w:r>
    </w:p>
    <w:p w14:paraId="30CDD46C">
      <w:pPr>
        <w:pStyle w:val="55"/>
        <w:keepNext w:val="0"/>
        <w:keepLines w:val="0"/>
        <w:pageBreakBefore w:val="0"/>
        <w:widowControl w:val="0"/>
        <w:shd w:val="clear" w:color="auto" w:fill="auto"/>
        <w:tabs>
          <w:tab w:val="left" w:pos="1373"/>
        </w:tabs>
        <w:kinsoku/>
        <w:wordWrap/>
        <w:overflowPunct/>
        <w:topLinePunct w:val="0"/>
        <w:autoSpaceDE/>
        <w:autoSpaceDN/>
        <w:bidi w:val="0"/>
        <w:adjustRightInd/>
        <w:snapToGrid/>
        <w:spacing w:before="0"/>
        <w:ind w:firstLine="420" w:firstLineChars="200"/>
        <w:jc w:val="left"/>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（1）本协议书及各种合同附件（含评标期间和合同谈判过程中的澄清文件和 补充资料）；</w:t>
      </w:r>
    </w:p>
    <w:p w14:paraId="672F522F">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（2）成交通知书；</w:t>
      </w:r>
    </w:p>
    <w:p w14:paraId="6A9DC113">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（3）投标函及投标函附录；</w:t>
      </w:r>
    </w:p>
    <w:p w14:paraId="7C976D2B">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（4）项目专用合同条款；</w:t>
      </w:r>
    </w:p>
    <w:p w14:paraId="7424F2A1">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（5）公路工程专用合同条款；</w:t>
      </w:r>
    </w:p>
    <w:p w14:paraId="34A1483A">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（6）通用合同条款；</w:t>
      </w:r>
    </w:p>
    <w:p w14:paraId="32CA665A">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（7）工程量清单计量规则；</w:t>
      </w:r>
    </w:p>
    <w:p w14:paraId="0A873F91">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（8）技术规范；</w:t>
      </w:r>
    </w:p>
    <w:p w14:paraId="44E73817">
      <w:pPr>
        <w:pStyle w:val="55"/>
        <w:keepNext w:val="0"/>
        <w:keepLines w:val="0"/>
        <w:pageBreakBefore w:val="0"/>
        <w:widowControl w:val="0"/>
        <w:shd w:val="clear" w:color="auto" w:fill="auto"/>
        <w:tabs>
          <w:tab w:val="left" w:pos="138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（9）图纸；</w:t>
      </w:r>
    </w:p>
    <w:p w14:paraId="040FAFF1">
      <w:pPr>
        <w:pStyle w:val="55"/>
        <w:keepNext w:val="0"/>
        <w:keepLines w:val="0"/>
        <w:pageBreakBefore w:val="0"/>
        <w:widowControl w:val="0"/>
        <w:shd w:val="clear" w:color="auto" w:fill="auto"/>
        <w:tabs>
          <w:tab w:val="left" w:pos="1506"/>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（10）己标价工程量清单；</w:t>
      </w:r>
    </w:p>
    <w:p w14:paraId="20F2F853">
      <w:pPr>
        <w:pStyle w:val="55"/>
        <w:keepNext w:val="0"/>
        <w:keepLines w:val="0"/>
        <w:pageBreakBefore w:val="0"/>
        <w:widowControl w:val="0"/>
        <w:shd w:val="clear" w:color="auto" w:fill="auto"/>
        <w:tabs>
          <w:tab w:val="left" w:pos="1506"/>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（11）承包人有关人员、设备投入的承诺及投标文件中的施工组织设计；</w:t>
      </w:r>
    </w:p>
    <w:p w14:paraId="086FDB88">
      <w:pPr>
        <w:pStyle w:val="55"/>
        <w:keepNext w:val="0"/>
        <w:keepLines w:val="0"/>
        <w:pageBreakBefore w:val="0"/>
        <w:widowControl w:val="0"/>
        <w:shd w:val="clear" w:color="auto" w:fill="auto"/>
        <w:tabs>
          <w:tab w:val="left" w:pos="1506"/>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（12）其他合同文件。</w:t>
      </w:r>
    </w:p>
    <w:p w14:paraId="601E3F89">
      <w:pPr>
        <w:pStyle w:val="55"/>
        <w:keepNext w:val="0"/>
        <w:keepLines w:val="0"/>
        <w:pageBreakBefore w:val="0"/>
        <w:widowControl w:val="0"/>
        <w:shd w:val="clear" w:color="auto" w:fill="auto"/>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上述合同文件互相补充和解释。如果合同文件之间存在矛盾或不一致之处，</w:t>
      </w:r>
    </w:p>
    <w:p w14:paraId="16D7E4BF">
      <w:pPr>
        <w:pStyle w:val="55"/>
        <w:keepNext w:val="0"/>
        <w:keepLines w:val="0"/>
        <w:pageBreakBefore w:val="0"/>
        <w:widowControl w:val="0"/>
        <w:shd w:val="clear" w:color="auto" w:fill="auto"/>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以上述文件的排列顺序在先者为准。</w:t>
      </w:r>
    </w:p>
    <w:p w14:paraId="37DBAC87">
      <w:pPr>
        <w:pStyle w:val="55"/>
        <w:keepNext w:val="0"/>
        <w:keepLines w:val="0"/>
        <w:pageBreakBefore w:val="0"/>
        <w:widowControl w:val="0"/>
        <w:shd w:val="clear" w:color="auto" w:fill="auto"/>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3．根据工程量清单所列的数量和单价签约合同价：</w:t>
      </w:r>
      <w:r>
        <w:rPr>
          <w:rStyle w:val="56"/>
          <w:rFonts w:hint="eastAsia" w:ascii="宋体" w:hAnsi="宋体" w:eastAsia="宋体" w:cs="宋体"/>
          <w:b/>
          <w:bCs/>
          <w:color w:val="000000" w:themeColor="text1"/>
          <w:sz w:val="21"/>
          <w:szCs w:val="21"/>
          <w:highlight w:val="none"/>
          <w:u w:val="single"/>
          <w14:textFill>
            <w14:solidFill>
              <w14:schemeClr w14:val="tx1"/>
            </w14:solidFill>
          </w14:textFill>
        </w:rPr>
        <w:t>人民币（大写）</w:t>
      </w:r>
      <w:r>
        <w:rPr>
          <w:rStyle w:val="56"/>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w:t>
      </w:r>
    </w:p>
    <w:p w14:paraId="36676391">
      <w:pPr>
        <w:pStyle w:val="55"/>
        <w:keepNext w:val="0"/>
        <w:keepLines w:val="0"/>
        <w:pageBreakBefore w:val="0"/>
        <w:widowControl w:val="0"/>
        <w:shd w:val="clear" w:color="auto" w:fill="auto"/>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u w:val="singl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 xml:space="preserve">4．承包人项目经理： </w:t>
      </w:r>
      <w:r>
        <w:rPr>
          <w:rStyle w:val="56"/>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。承包人项目总工</w:t>
      </w:r>
      <w:r>
        <w:rPr>
          <w:rStyle w:val="56"/>
          <w:rFonts w:hint="eastAsia" w:ascii="宋体" w:hAnsi="宋体" w:eastAsia="宋体" w:cs="宋体"/>
          <w:color w:val="000000" w:themeColor="text1"/>
          <w:sz w:val="21"/>
          <w:szCs w:val="21"/>
          <w:highlight w:val="none"/>
          <w:u w:val="none"/>
          <w14:textFill>
            <w14:solidFill>
              <w14:schemeClr w14:val="tx1"/>
            </w14:solidFill>
          </w14:textFill>
        </w:rPr>
        <w:t>：</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14:textFill>
            <w14:solidFill>
              <w14:schemeClr w14:val="tx1"/>
            </w14:solidFill>
          </w14:textFill>
        </w:rPr>
        <w:tab/>
      </w:r>
      <w:r>
        <w:rPr>
          <w:rStyle w:val="56"/>
          <w:rFonts w:hint="eastAsia" w:ascii="宋体" w:hAnsi="宋体" w:eastAsia="宋体" w:cs="宋体"/>
          <w:color w:val="000000" w:themeColor="text1"/>
          <w:sz w:val="21"/>
          <w:szCs w:val="21"/>
          <w:highlight w:val="none"/>
          <w:u w:val="none"/>
          <w14:textFill>
            <w14:solidFill>
              <w14:schemeClr w14:val="tx1"/>
            </w14:solidFill>
          </w14:textFill>
        </w:rPr>
        <w:t>。</w:t>
      </w:r>
    </w:p>
    <w:p w14:paraId="49740ECC">
      <w:pPr>
        <w:pStyle w:val="55"/>
        <w:keepNext w:val="0"/>
        <w:keepLines w:val="0"/>
        <w:pageBreakBefore w:val="0"/>
        <w:widowControl w:val="0"/>
        <w:shd w:val="clear" w:color="auto" w:fill="auto"/>
        <w:tabs>
          <w:tab w:val="left" w:pos="1098"/>
        </w:tabs>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5．工程质量符合</w:t>
      </w:r>
      <w:r>
        <w:rPr>
          <w:rStyle w:val="56"/>
          <w:rFonts w:hint="eastAsia" w:ascii="宋体" w:hAnsi="宋体" w:eastAsia="宋体" w:cs="宋体"/>
          <w:color w:val="000000" w:themeColor="text1"/>
          <w:sz w:val="21"/>
          <w:szCs w:val="21"/>
          <w:highlight w:val="none"/>
          <w:lang w:val="en-US" w:eastAsia="zh-CN"/>
          <w14:textFill>
            <w14:solidFill>
              <w14:schemeClr w14:val="tx1"/>
            </w14:solidFill>
          </w14:textFill>
        </w:rPr>
        <w:t>现行国家竣工验收规范的合格标准</w:t>
      </w:r>
      <w:r>
        <w:rPr>
          <w:rStyle w:val="56"/>
          <w:rFonts w:hint="eastAsia" w:ascii="宋体" w:hAnsi="宋体" w:eastAsia="宋体" w:cs="宋体"/>
          <w:color w:val="000000" w:themeColor="text1"/>
          <w:sz w:val="21"/>
          <w:szCs w:val="21"/>
          <w:highlight w:val="none"/>
          <w14:textFill>
            <w14:solidFill>
              <w14:schemeClr w14:val="tx1"/>
            </w14:solidFill>
          </w14:textFill>
        </w:rPr>
        <w:t>。工程安全目标</w:t>
      </w:r>
      <w:r>
        <w:rPr>
          <w:rStyle w:val="56"/>
          <w:rFonts w:hint="eastAsia" w:ascii="宋体" w:hAnsi="宋体" w:eastAsia="宋体" w:cs="宋体"/>
          <w:color w:val="000000" w:themeColor="text1"/>
          <w:sz w:val="21"/>
          <w:szCs w:val="21"/>
          <w:highlight w:val="none"/>
          <w:u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eastAsia="zh-CN"/>
          <w14:textFill>
            <w14:solidFill>
              <w14:schemeClr w14:val="tx1"/>
            </w14:solidFill>
          </w14:textFill>
        </w:rPr>
        <w:t>无安全生产事故</w:t>
      </w:r>
      <w:r>
        <w:rPr>
          <w:rStyle w:val="56"/>
          <w:rFonts w:hint="eastAsia" w:ascii="宋体" w:hAnsi="宋体" w:eastAsia="宋体" w:cs="宋体"/>
          <w:color w:val="000000" w:themeColor="text1"/>
          <w:sz w:val="21"/>
          <w:szCs w:val="21"/>
          <w:highlight w:val="none"/>
          <w14:textFill>
            <w14:solidFill>
              <w14:schemeClr w14:val="tx1"/>
            </w14:solidFill>
          </w14:textFill>
        </w:rPr>
        <w:t>。</w:t>
      </w:r>
    </w:p>
    <w:p w14:paraId="2A61AA3B">
      <w:pPr>
        <w:pStyle w:val="55"/>
        <w:keepNext w:val="0"/>
        <w:keepLines w:val="0"/>
        <w:pageBreakBefore w:val="0"/>
        <w:widowControl w:val="0"/>
        <w:shd w:val="clear" w:color="auto" w:fill="auto"/>
        <w:tabs>
          <w:tab w:val="left" w:pos="1098"/>
        </w:tabs>
        <w:kinsoku/>
        <w:wordWrap/>
        <w:overflowPunct/>
        <w:topLinePunct w:val="0"/>
        <w:autoSpaceDE/>
        <w:autoSpaceDN/>
        <w:bidi w:val="0"/>
        <w:adjustRightInd/>
        <w:snapToGrid/>
        <w:spacing w:before="0"/>
        <w:ind w:firstLine="420" w:firstLineChars="200"/>
        <w:jc w:val="both"/>
        <w:textAlignment w:val="auto"/>
        <w:rPr>
          <w:rStyle w:val="56"/>
          <w:rFonts w:hint="default" w:ascii="宋体" w:hAnsi="宋体" w:eastAsia="宋体" w:cs="宋体"/>
          <w:color w:val="000000" w:themeColor="text1"/>
          <w:sz w:val="21"/>
          <w:szCs w:val="21"/>
          <w:highlight w:val="none"/>
          <w:lang w:val="en-US"/>
          <w14:textFill>
            <w14:solidFill>
              <w14:schemeClr w14:val="tx1"/>
            </w14:solidFill>
          </w14:textFill>
        </w:rPr>
      </w:pPr>
      <w:r>
        <w:rPr>
          <w:rStyle w:val="56"/>
          <w:rFonts w:hint="eastAsia" w:ascii="宋体" w:hAnsi="宋体" w:eastAsia="宋体" w:cs="宋体"/>
          <w:color w:val="000000" w:themeColor="text1"/>
          <w:sz w:val="21"/>
          <w:szCs w:val="21"/>
          <w:highlight w:val="none"/>
          <w:lang w:val="en-US"/>
          <w14:textFill>
            <w14:solidFill>
              <w14:schemeClr w14:val="tx1"/>
            </w14:solidFill>
          </w14:textFill>
        </w:rPr>
        <w:t>工程结算方式：本合同价采用固定综合单价方式确定。</w:t>
      </w:r>
    </w:p>
    <w:p w14:paraId="16D3BC8A">
      <w:pPr>
        <w:pStyle w:val="55"/>
        <w:keepNext w:val="0"/>
        <w:keepLines w:val="0"/>
        <w:pageBreakBefore w:val="0"/>
        <w:widowControl w:val="0"/>
        <w:shd w:val="clear" w:color="auto" w:fill="auto"/>
        <w:tabs>
          <w:tab w:val="left" w:pos="1101"/>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6．承包人承诺按合同约定承担工程的实施、完成及缺陷修复。</w:t>
      </w:r>
    </w:p>
    <w:p w14:paraId="264F9406">
      <w:pPr>
        <w:pStyle w:val="55"/>
        <w:keepNext w:val="0"/>
        <w:keepLines w:val="0"/>
        <w:pageBreakBefore w:val="0"/>
        <w:widowControl w:val="0"/>
        <w:shd w:val="clear" w:color="auto" w:fill="auto"/>
        <w:tabs>
          <w:tab w:val="left" w:pos="1101"/>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7．发包人</w:t>
      </w:r>
      <w:r>
        <w:rPr>
          <w:rStyle w:val="56"/>
          <w:rFonts w:hint="eastAsia" w:ascii="宋体" w:hAnsi="宋体" w:eastAsia="宋体" w:cs="宋体"/>
          <w:color w:val="000000" w:themeColor="text1"/>
          <w:sz w:val="21"/>
          <w:szCs w:val="21"/>
          <w:highlight w:val="none"/>
          <w:lang w:val="en-US"/>
          <w14:textFill>
            <w14:solidFill>
              <w14:schemeClr w14:val="tx1"/>
            </w14:solidFill>
          </w14:textFill>
        </w:rPr>
        <w:t>应</w:t>
      </w:r>
      <w:r>
        <w:rPr>
          <w:rStyle w:val="56"/>
          <w:rFonts w:hint="eastAsia" w:ascii="宋体" w:hAnsi="宋体" w:eastAsia="宋体" w:cs="宋体"/>
          <w:color w:val="000000" w:themeColor="text1"/>
          <w:sz w:val="21"/>
          <w:szCs w:val="21"/>
          <w:highlight w:val="none"/>
          <w14:textFill>
            <w14:solidFill>
              <w14:schemeClr w14:val="tx1"/>
            </w14:solidFill>
          </w14:textFill>
        </w:rPr>
        <w:t>按合同约定的条件、时间和方式向承包人支付合同价款。</w:t>
      </w:r>
    </w:p>
    <w:p w14:paraId="5CDD7DD3">
      <w:pPr>
        <w:pStyle w:val="55"/>
        <w:keepNext w:val="0"/>
        <w:keepLines w:val="0"/>
        <w:pageBreakBefore w:val="0"/>
        <w:widowControl w:val="0"/>
        <w:shd w:val="clear" w:color="auto" w:fill="auto"/>
        <w:tabs>
          <w:tab w:val="left" w:pos="1109"/>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8．承包人应按照发包人指示开工，工期为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b/>
          <w:bCs/>
          <w:color w:val="000000" w:themeColor="text1"/>
          <w:sz w:val="21"/>
          <w:szCs w:val="21"/>
          <w:highlight w:val="none"/>
          <w:u w:val="single"/>
          <w:lang w:val="en-US"/>
          <w14:textFill>
            <w14:solidFill>
              <w14:schemeClr w14:val="tx1"/>
            </w14:solidFill>
          </w14:textFill>
        </w:rPr>
        <w:t>120</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日历天</w:t>
      </w:r>
      <w:r>
        <w:rPr>
          <w:rStyle w:val="56"/>
          <w:rFonts w:hint="eastAsia" w:ascii="宋体" w:hAnsi="宋体" w:eastAsia="宋体" w:cs="宋体"/>
          <w:color w:val="000000" w:themeColor="text1"/>
          <w:sz w:val="21"/>
          <w:szCs w:val="21"/>
          <w:highlight w:val="none"/>
          <w14:textFill>
            <w14:solidFill>
              <w14:schemeClr w14:val="tx1"/>
            </w14:solidFill>
          </w14:textFill>
        </w:rPr>
        <w:t>。</w:t>
      </w:r>
    </w:p>
    <w:p w14:paraId="4826CDE6">
      <w:pPr>
        <w:pStyle w:val="55"/>
        <w:keepNext w:val="0"/>
        <w:keepLines w:val="0"/>
        <w:pageBreakBefore w:val="0"/>
        <w:widowControl w:val="0"/>
        <w:shd w:val="clear" w:color="auto" w:fill="auto"/>
        <w:tabs>
          <w:tab w:val="left" w:pos="1043"/>
        </w:tabs>
        <w:kinsoku/>
        <w:wordWrap/>
        <w:overflowPunct/>
        <w:topLinePunct w:val="0"/>
        <w:autoSpaceDE/>
        <w:autoSpaceDN/>
        <w:bidi w:val="0"/>
        <w:adjustRightInd/>
        <w:snapToGrid/>
        <w:spacing w:before="0"/>
        <w:ind w:firstLine="420" w:firstLineChars="200"/>
        <w:jc w:val="both"/>
        <w:textAlignment w:val="auto"/>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9．本协议书在承包人</w:t>
      </w:r>
      <w:r>
        <w:rPr>
          <w:rStyle w:val="56"/>
          <w:rFonts w:hint="eastAsia" w:ascii="宋体" w:hAnsi="宋体" w:eastAsia="宋体" w:cs="宋体"/>
          <w:color w:val="000000" w:themeColor="text1"/>
          <w:sz w:val="21"/>
          <w:szCs w:val="21"/>
          <w:highlight w:val="none"/>
          <w:lang w:val="en-US"/>
          <w14:textFill>
            <w14:solidFill>
              <w14:schemeClr w14:val="tx1"/>
            </w14:solidFill>
          </w14:textFill>
        </w:rPr>
        <w:t>以保函（有效期至合同失效为止）的形式缴纳</w:t>
      </w:r>
      <w:r>
        <w:rPr>
          <w:rStyle w:val="56"/>
          <w:rFonts w:hint="eastAsia" w:ascii="宋体" w:hAnsi="宋体" w:eastAsia="宋体" w:cs="宋体"/>
          <w:color w:val="000000" w:themeColor="text1"/>
          <w:sz w:val="21"/>
          <w:szCs w:val="21"/>
          <w:highlight w:val="none"/>
          <w14:textFill>
            <w14:solidFill>
              <w14:schemeClr w14:val="tx1"/>
            </w14:solidFill>
          </w14:textFill>
        </w:rPr>
        <w:t>履约保证金后，由双方法定代表人或其委托代理人签署并加盖单位章后生效。全部工程完工后经交工验收合格、缺陷责任期满签发缺 陷责任终止证书后失效。</w:t>
      </w:r>
    </w:p>
    <w:p w14:paraId="645901B2">
      <w:pPr>
        <w:pStyle w:val="55"/>
        <w:keepNext w:val="0"/>
        <w:keepLines w:val="0"/>
        <w:pageBreakBefore w:val="0"/>
        <w:widowControl w:val="0"/>
        <w:shd w:val="clear" w:color="auto" w:fill="auto"/>
        <w:tabs>
          <w:tab w:val="left" w:pos="1043"/>
        </w:tabs>
        <w:kinsoku/>
        <w:wordWrap/>
        <w:overflowPunct/>
        <w:topLinePunct w:val="0"/>
        <w:autoSpaceDE/>
        <w:autoSpaceDN/>
        <w:bidi w:val="0"/>
        <w:adjustRightInd/>
        <w:snapToGrid/>
        <w:spacing w:before="0"/>
        <w:ind w:firstLine="420" w:firstLineChars="200"/>
        <w:jc w:val="both"/>
        <w:textAlignment w:val="auto"/>
        <w:rPr>
          <w:rStyle w:val="56"/>
          <w:rFonts w:hint="default" w:ascii="宋体" w:hAnsi="宋体" w:eastAsia="宋体" w:cs="宋体"/>
          <w:color w:val="000000" w:themeColor="text1"/>
          <w:sz w:val="21"/>
          <w:szCs w:val="21"/>
          <w:highlight w:val="none"/>
          <w:lang w:val="en-US"/>
          <w14:textFill>
            <w14:solidFill>
              <w14:schemeClr w14:val="tx1"/>
            </w14:solidFill>
          </w14:textFill>
        </w:rPr>
      </w:pPr>
      <w:r>
        <w:rPr>
          <w:rStyle w:val="56"/>
          <w:rFonts w:hint="eastAsia" w:ascii="宋体" w:hAnsi="宋体" w:eastAsia="宋体" w:cs="宋体"/>
          <w:color w:val="000000" w:themeColor="text1"/>
          <w:sz w:val="21"/>
          <w:szCs w:val="21"/>
          <w:highlight w:val="none"/>
          <w:lang w:val="en-US"/>
          <w14:textFill>
            <w14:solidFill>
              <w14:schemeClr w14:val="tx1"/>
            </w14:solidFill>
          </w14:textFill>
        </w:rPr>
        <w:t>10.农民工工资保证金：根据《广西壮族自治区工程建设领域农民工工资保证金规定实施办法》（桂人社规〔2021〕16号）第七条规定，本项目施工合同额低于300万元，如承包人在签订施工合同前一年内承建的工程项目未发生工资拖欠的，可免于存储工资保证金。如承包人不满足免存条件，须按合同价1%的比例存储工资保证金，或根据桂人社规〔2021〕16号第二条规定以银行保函替代，也可根据《广西壮族自治区工程建设领域农民工工资支付履约保证保险工作管理规定（试行）》（桂人社规〔2024〕8号）规定自愿选择农民工工资支付履约保证保险替代。承包人应在合同签订后按相关规定开立工资保证金专用账户或办理相关替代手续。</w:t>
      </w:r>
    </w:p>
    <w:p w14:paraId="53FB32D4">
      <w:pPr>
        <w:pStyle w:val="55"/>
        <w:keepNext w:val="0"/>
        <w:keepLines w:val="0"/>
        <w:pageBreakBefore w:val="0"/>
        <w:widowControl w:val="0"/>
        <w:shd w:val="clear" w:color="auto" w:fill="auto"/>
        <w:tabs>
          <w:tab w:val="left" w:leader="underscore" w:pos="4168"/>
          <w:tab w:val="left" w:leader="underscore" w:pos="8283"/>
        </w:tabs>
        <w:kinsoku/>
        <w:wordWrap/>
        <w:overflowPunct/>
        <w:topLinePunct w:val="0"/>
        <w:autoSpaceDE/>
        <w:autoSpaceDN/>
        <w:bidi w:val="0"/>
        <w:adjustRightInd/>
        <w:snapToGrid/>
        <w:spacing w:before="0"/>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．本协议书正本二份、副本</w:t>
      </w:r>
      <w:r>
        <w:rPr>
          <w:rStyle w:val="56"/>
          <w:rFonts w:hint="eastAsia" w:ascii="宋体" w:hAnsi="宋体" w:eastAsia="宋体" w:cs="宋体"/>
          <w:color w:val="000000" w:themeColor="text1"/>
          <w:sz w:val="21"/>
          <w:szCs w:val="21"/>
          <w:highlight w:val="none"/>
          <w:lang w:val="en-US"/>
          <w14:textFill>
            <w14:solidFill>
              <w14:schemeClr w14:val="tx1"/>
            </w14:solidFill>
          </w14:textFill>
        </w:rPr>
        <w:t>四</w:t>
      </w:r>
      <w:r>
        <w:rPr>
          <w:rStyle w:val="56"/>
          <w:rFonts w:hint="eastAsia" w:ascii="宋体" w:hAnsi="宋体" w:eastAsia="宋体" w:cs="宋体"/>
          <w:color w:val="000000" w:themeColor="text1"/>
          <w:sz w:val="21"/>
          <w:szCs w:val="21"/>
          <w:highlight w:val="none"/>
          <w14:textFill>
            <w14:solidFill>
              <w14:schemeClr w14:val="tx1"/>
            </w14:solidFill>
          </w14:textFill>
        </w:rPr>
        <w:t>份，合同双方各执正本一份，副本</w:t>
      </w:r>
      <w:r>
        <w:rPr>
          <w:rStyle w:val="56"/>
          <w:rFonts w:hint="eastAsia" w:ascii="宋体" w:hAnsi="宋体" w:eastAsia="宋体" w:cs="宋体"/>
          <w:color w:val="000000" w:themeColor="text1"/>
          <w:sz w:val="21"/>
          <w:szCs w:val="21"/>
          <w:highlight w:val="none"/>
          <w:lang w:val="en-US"/>
          <w14:textFill>
            <w14:solidFill>
              <w14:schemeClr w14:val="tx1"/>
            </w14:solidFill>
          </w14:textFill>
        </w:rPr>
        <w:t>贰</w:t>
      </w:r>
      <w:r>
        <w:rPr>
          <w:rStyle w:val="56"/>
          <w:rFonts w:hint="eastAsia" w:ascii="宋体" w:hAnsi="宋体" w:eastAsia="宋体" w:cs="宋体"/>
          <w:color w:val="000000" w:themeColor="text1"/>
          <w:sz w:val="21"/>
          <w:szCs w:val="21"/>
          <w:highlight w:val="none"/>
          <w14:textFill>
            <w14:solidFill>
              <w14:schemeClr w14:val="tx1"/>
            </w14:solidFill>
          </w14:textFill>
        </w:rPr>
        <w:t>份，当正本与副本的内容不一致时，以正本为准。</w:t>
      </w:r>
    </w:p>
    <w:p w14:paraId="5EED58D0">
      <w:pPr>
        <w:pStyle w:val="55"/>
        <w:keepNext w:val="0"/>
        <w:keepLines w:val="0"/>
        <w:pageBreakBefore w:val="0"/>
        <w:widowControl w:val="0"/>
        <w:shd w:val="clear" w:color="auto" w:fill="auto"/>
        <w:tabs>
          <w:tab w:val="left" w:pos="1214"/>
        </w:tabs>
        <w:kinsoku/>
        <w:wordWrap/>
        <w:overflowPunct/>
        <w:topLinePunct w:val="0"/>
        <w:autoSpaceDE/>
        <w:autoSpaceDN/>
        <w:bidi w:val="0"/>
        <w:adjustRightInd/>
        <w:snapToGrid/>
        <w:spacing w:before="0" w:after="418"/>
        <w:ind w:firstLine="420" w:firstLineChars="200"/>
        <w:jc w:val="both"/>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w:t>
      </w:r>
      <w:r>
        <w:rPr>
          <w:rStyle w:val="56"/>
          <w:rFonts w:hint="eastAsia" w:ascii="宋体" w:hAnsi="宋体" w:eastAsia="宋体" w:cs="宋体"/>
          <w:color w:val="000000" w:themeColor="text1"/>
          <w:sz w:val="21"/>
          <w:szCs w:val="21"/>
          <w:highlight w:val="none"/>
          <w:lang w:val="en-US"/>
          <w14:textFill>
            <w14:solidFill>
              <w14:schemeClr w14:val="tx1"/>
            </w14:solidFill>
          </w14:textFill>
        </w:rPr>
        <w:t>2</w:t>
      </w:r>
      <w:r>
        <w:rPr>
          <w:rStyle w:val="56"/>
          <w:rFonts w:hint="eastAsia" w:ascii="宋体" w:hAnsi="宋体" w:eastAsia="宋体" w:cs="宋体"/>
          <w:color w:val="000000" w:themeColor="text1"/>
          <w:sz w:val="21"/>
          <w:szCs w:val="21"/>
          <w:highlight w:val="none"/>
          <w14:textFill>
            <w14:solidFill>
              <w14:schemeClr w14:val="tx1"/>
            </w14:solidFill>
          </w14:textFill>
        </w:rPr>
        <w:t>．合同未尽事宜，双方另行签订补充协议。补充协议是合同的组成部分。</w:t>
      </w:r>
    </w:p>
    <w:tbl>
      <w:tblPr>
        <w:tblStyle w:val="28"/>
        <w:tblW w:w="9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91"/>
        <w:gridCol w:w="4668"/>
      </w:tblGrid>
      <w:tr w14:paraId="1EA6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7" w:hRule="atLeast"/>
        </w:trPr>
        <w:tc>
          <w:tcPr>
            <w:tcW w:w="4691" w:type="dxa"/>
          </w:tcPr>
          <w:p w14:paraId="4B79BFF0">
            <w:pPr>
              <w:pStyle w:val="55"/>
              <w:keepNext w:val="0"/>
              <w:keepLines w:val="0"/>
              <w:suppressLineNumbers w:val="0"/>
              <w:shd w:val="clear"/>
              <w:tabs>
                <w:tab w:val="left" w:leader="underscore" w:pos="2742"/>
                <w:tab w:val="left" w:leader="underscore" w:pos="7397"/>
              </w:tabs>
              <w:spacing w:before="0" w:beforeAutospacing="0" w:after="0" w:afterAutospacing="0" w:line="442" w:lineRule="exact"/>
              <w:ind w:left="0" w:right="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7"/>
                <w:rFonts w:hint="eastAsia" w:ascii="宋体" w:hAnsi="宋体" w:eastAsia="宋体" w:cs="宋体"/>
                <w:i w:val="0"/>
                <w:color w:val="000000" w:themeColor="text1"/>
                <w:spacing w:val="0"/>
                <w:sz w:val="21"/>
                <w:szCs w:val="21"/>
                <w:highlight w:val="none"/>
                <w14:textFill>
                  <w14:solidFill>
                    <w14:schemeClr w14:val="tx1"/>
                  </w14:solidFill>
                </w14:textFill>
              </w:rPr>
              <w:t>发包人:</w:t>
            </w:r>
            <w:r>
              <w:rPr>
                <w:rStyle w:val="57"/>
                <w:rFonts w:hint="eastAsia" w:ascii="宋体" w:hAnsi="宋体" w:eastAsia="宋体" w:cs="宋体"/>
                <w:i w:val="0"/>
                <w:color w:val="000000" w:themeColor="text1"/>
                <w:spacing w:val="0"/>
                <w:sz w:val="21"/>
                <w:szCs w:val="21"/>
                <w:highlight w:val="none"/>
                <w:u w:val="single"/>
                <w14:textFill>
                  <w14:solidFill>
                    <w14:schemeClr w14:val="tx1"/>
                  </w14:solidFill>
                </w14:textFill>
              </w:rPr>
              <w:t>天等县</w:t>
            </w:r>
            <w:r>
              <w:rPr>
                <w:rStyle w:val="57"/>
                <w:rFonts w:hint="eastAsia" w:ascii="宋体" w:hAnsi="宋体" w:eastAsia="宋体" w:cs="宋体"/>
                <w:i w:val="0"/>
                <w:color w:val="000000" w:themeColor="text1"/>
                <w:spacing w:val="0"/>
                <w:sz w:val="21"/>
                <w:szCs w:val="21"/>
                <w:highlight w:val="none"/>
                <w:u w:val="single"/>
                <w:lang w:eastAsia="zh-CN"/>
                <w14:textFill>
                  <w14:solidFill>
                    <w14:schemeClr w14:val="tx1"/>
                  </w14:solidFill>
                </w14:textFill>
              </w:rPr>
              <w:t>交通运输局</w:t>
            </w:r>
            <w:r>
              <w:rPr>
                <w:rStyle w:val="56"/>
                <w:rFonts w:hint="eastAsia" w:ascii="宋体" w:hAnsi="宋体" w:eastAsia="宋体" w:cs="宋体"/>
                <w:color w:val="000000" w:themeColor="text1"/>
                <w:sz w:val="21"/>
                <w:szCs w:val="21"/>
                <w:highlight w:val="none"/>
                <w14:textFill>
                  <w14:solidFill>
                    <w14:schemeClr w14:val="tx1"/>
                  </w14:solidFill>
                </w14:textFill>
              </w:rPr>
              <w:t xml:space="preserve"> (盖单位章）</w:t>
            </w:r>
          </w:p>
        </w:tc>
        <w:tc>
          <w:tcPr>
            <w:tcW w:w="4668" w:type="dxa"/>
          </w:tcPr>
          <w:p w14:paraId="3C583F5E">
            <w:pPr>
              <w:pStyle w:val="55"/>
              <w:keepNext w:val="0"/>
              <w:keepLines w:val="0"/>
              <w:suppressLineNumbers w:val="0"/>
              <w:shd w:val="clear" w:color="auto" w:fill="auto"/>
              <w:tabs>
                <w:tab w:val="left" w:leader="underscore" w:pos="2742"/>
                <w:tab w:val="left" w:leader="underscore" w:pos="7397"/>
              </w:tabs>
              <w:spacing w:before="0" w:beforeAutospacing="0" w:after="0" w:afterAutospacing="0" w:line="442" w:lineRule="exact"/>
              <w:ind w:left="0" w:right="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承包人：</w:t>
            </w:r>
            <w:r>
              <w:rPr>
                <w:rStyle w:val="56"/>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(盖单位章)</w:t>
            </w:r>
          </w:p>
        </w:tc>
      </w:tr>
      <w:tr w14:paraId="2B46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7" w:hRule="atLeast"/>
        </w:trPr>
        <w:tc>
          <w:tcPr>
            <w:tcW w:w="4691" w:type="dxa"/>
          </w:tcPr>
          <w:p w14:paraId="5E7140CD">
            <w:pPr>
              <w:pStyle w:val="55"/>
              <w:keepNext w:val="0"/>
              <w:keepLines w:val="0"/>
              <w:suppressLineNumbers w:val="0"/>
              <w:shd w:val="clear"/>
              <w:tabs>
                <w:tab w:val="left" w:leader="underscore" w:pos="2742"/>
                <w:tab w:val="left" w:leader="underscore" w:pos="7397"/>
              </w:tabs>
              <w:spacing w:before="0" w:beforeAutospacing="0" w:after="0" w:afterAutospacing="0" w:line="442" w:lineRule="exact"/>
              <w:ind w:left="0" w:right="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6"/>
                <w:rFonts w:ascii="宋体" w:hAnsi="宋体" w:eastAsia="宋体" w:cs="宋体"/>
                <w:color w:val="000000" w:themeColor="text1"/>
                <w:sz w:val="21"/>
                <w:szCs w:val="21"/>
                <w:highlight w:val="none"/>
                <w14:textFill>
                  <w14:solidFill>
                    <w14:schemeClr w14:val="tx1"/>
                  </w14:solidFill>
                </w14:textFill>
              </w:rPr>
              <w:t>法定代表人或其委托代理人：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(签字）</w:t>
            </w:r>
          </w:p>
        </w:tc>
        <w:tc>
          <w:tcPr>
            <w:tcW w:w="4668" w:type="dxa"/>
          </w:tcPr>
          <w:p w14:paraId="3F71BD03">
            <w:pPr>
              <w:pStyle w:val="55"/>
              <w:keepNext w:val="0"/>
              <w:keepLines w:val="0"/>
              <w:suppressLineNumbers w:val="0"/>
              <w:shd w:val="clear"/>
              <w:tabs>
                <w:tab w:val="left" w:leader="underscore" w:pos="2742"/>
                <w:tab w:val="left" w:leader="underscore" w:pos="7397"/>
              </w:tabs>
              <w:spacing w:before="0" w:beforeAutospacing="0" w:after="0" w:afterAutospacing="0" w:line="442" w:lineRule="exact"/>
              <w:ind w:left="0" w:right="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6"/>
                <w:rFonts w:ascii="宋体" w:hAnsi="宋体" w:eastAsia="宋体" w:cs="宋体"/>
                <w:color w:val="000000" w:themeColor="text1"/>
                <w:sz w:val="21"/>
                <w:szCs w:val="21"/>
                <w:highlight w:val="none"/>
                <w14:textFill>
                  <w14:solidFill>
                    <w14:schemeClr w14:val="tx1"/>
                  </w14:solidFill>
                </w14:textFill>
              </w:rPr>
              <w:t>法定代表人或其委托代理人：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(签字）</w:t>
            </w:r>
          </w:p>
        </w:tc>
      </w:tr>
      <w:tr w14:paraId="6C018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7" w:hRule="atLeast"/>
        </w:trPr>
        <w:tc>
          <w:tcPr>
            <w:tcW w:w="4691" w:type="dxa"/>
          </w:tcPr>
          <w:p w14:paraId="1BBE3A2F">
            <w:pPr>
              <w:pStyle w:val="55"/>
              <w:keepNext w:val="0"/>
              <w:keepLines w:val="0"/>
              <w:suppressLineNumbers w:val="0"/>
              <w:shd w:val="clear"/>
              <w:tabs>
                <w:tab w:val="left" w:leader="underscore" w:pos="2742"/>
                <w:tab w:val="left" w:leader="underscore" w:pos="7397"/>
              </w:tabs>
              <w:spacing w:before="0" w:beforeAutospacing="0" w:after="0" w:afterAutospacing="0" w:line="442" w:lineRule="exact"/>
              <w:ind w:left="0" w:right="0" w:firstLine="840" w:firstLineChars="40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6"/>
                <w:rFonts w:hint="eastAsia" w:ascii="宋体" w:hAnsi="宋体" w:eastAsia="宋体" w:cs="宋体"/>
                <w:color w:val="000000" w:themeColor="text1"/>
                <w:sz w:val="21"/>
                <w:szCs w:val="21"/>
                <w:highlight w:val="none"/>
                <w:lang w:val="en-US"/>
                <w14:textFill>
                  <w14:solidFill>
                    <w14:schemeClr w14:val="tx1"/>
                  </w14:solidFill>
                </w14:textFill>
              </w:rPr>
              <w:t>2026年</w:t>
            </w:r>
            <w:r>
              <w:rPr>
                <w:rStyle w:val="56"/>
                <w:rFonts w:ascii="宋体" w:hAnsi="宋体" w:eastAsia="宋体" w:cs="宋体"/>
                <w:color w:val="000000" w:themeColor="text1"/>
                <w:sz w:val="21"/>
                <w:szCs w:val="21"/>
                <w:highlight w:val="non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 xml:space="preserve"> 月</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日</w:t>
            </w:r>
          </w:p>
        </w:tc>
        <w:tc>
          <w:tcPr>
            <w:tcW w:w="4668" w:type="dxa"/>
          </w:tcPr>
          <w:p w14:paraId="2257F271">
            <w:pPr>
              <w:pStyle w:val="55"/>
              <w:keepNext w:val="0"/>
              <w:keepLines w:val="0"/>
              <w:suppressLineNumbers w:val="0"/>
              <w:shd w:val="clear"/>
              <w:tabs>
                <w:tab w:val="left" w:leader="underscore" w:pos="2742"/>
                <w:tab w:val="left" w:leader="underscore" w:pos="7397"/>
              </w:tabs>
              <w:spacing w:before="0" w:beforeAutospacing="0" w:after="0" w:afterAutospacing="0" w:line="442" w:lineRule="exact"/>
              <w:ind w:left="0" w:right="0" w:firstLine="1050" w:firstLineChars="500"/>
              <w:jc w:val="both"/>
              <w:rPr>
                <w:rStyle w:val="57"/>
                <w:rFonts w:hint="eastAsia" w:ascii="宋体" w:hAnsi="宋体" w:eastAsia="宋体" w:cs="宋体"/>
                <w:i w:val="0"/>
                <w:color w:val="000000" w:themeColor="text1"/>
                <w:spacing w:val="0"/>
                <w:sz w:val="21"/>
                <w:szCs w:val="21"/>
                <w:highlight w:val="none"/>
                <w:vertAlign w:val="baseline"/>
                <w14:textFill>
                  <w14:solidFill>
                    <w14:schemeClr w14:val="tx1"/>
                  </w14:solidFill>
                </w14:textFill>
              </w:rPr>
            </w:pPr>
            <w:r>
              <w:rPr>
                <w:rStyle w:val="56"/>
                <w:rFonts w:hint="eastAsia" w:ascii="宋体" w:hAnsi="宋体" w:eastAsia="宋体" w:cs="宋体"/>
                <w:color w:val="000000" w:themeColor="text1"/>
                <w:sz w:val="21"/>
                <w:szCs w:val="21"/>
                <w:highlight w:val="none"/>
                <w:lang w:val="en-US"/>
                <w14:textFill>
                  <w14:solidFill>
                    <w14:schemeClr w14:val="tx1"/>
                  </w14:solidFill>
                </w14:textFill>
              </w:rPr>
              <w:t>2026年</w:t>
            </w:r>
            <w:r>
              <w:rPr>
                <w:rStyle w:val="56"/>
                <w:rFonts w:ascii="宋体" w:hAnsi="宋体" w:eastAsia="宋体" w:cs="宋体"/>
                <w:color w:val="000000" w:themeColor="text1"/>
                <w:sz w:val="21"/>
                <w:szCs w:val="21"/>
                <w:highlight w:val="non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 xml:space="preserve"> 月</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ascii="宋体" w:hAnsi="宋体" w:eastAsia="宋体" w:cs="宋体"/>
                <w:color w:val="000000" w:themeColor="text1"/>
                <w:sz w:val="21"/>
                <w:szCs w:val="21"/>
                <w:highlight w:val="none"/>
                <w14:textFill>
                  <w14:solidFill>
                    <w14:schemeClr w14:val="tx1"/>
                  </w14:solidFill>
                </w14:textFill>
              </w:rPr>
              <w:t>日</w:t>
            </w:r>
          </w:p>
        </w:tc>
      </w:tr>
    </w:tbl>
    <w:p w14:paraId="44DBD671">
      <w:pPr>
        <w:ind w:firstLine="480"/>
        <w:rPr>
          <w:rStyle w:val="56"/>
          <w:rFonts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 xml:space="preserve">  </w:t>
      </w:r>
    </w:p>
    <w:p w14:paraId="31955A40">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4BDCD34B">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242282AD">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1DE9B983">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18FBE9F9">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575677D6">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2A91CF34">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58227332">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36219AF4">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205AC8BB">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17BE9561">
      <w:pPr>
        <w:ind w:firstLine="480"/>
        <w:rPr>
          <w:rStyle w:val="56"/>
          <w:rFonts w:ascii="宋体" w:hAnsi="宋体" w:eastAsia="宋体" w:cs="宋体"/>
          <w:color w:val="000000" w:themeColor="text1"/>
          <w:sz w:val="24"/>
          <w:szCs w:val="24"/>
          <w:highlight w:val="none"/>
          <w14:textFill>
            <w14:solidFill>
              <w14:schemeClr w14:val="tx1"/>
            </w14:solidFill>
          </w14:textFill>
        </w:rPr>
      </w:pPr>
    </w:p>
    <w:p w14:paraId="0911327E">
      <w:pPr>
        <w:ind w:firstLine="480"/>
        <w:rPr>
          <w:rFonts w:ascii="宋体" w:hAnsi="宋体" w:cs="宋体"/>
          <w:color w:val="000000" w:themeColor="text1"/>
          <w:szCs w:val="24"/>
          <w:highlight w:val="none"/>
          <w14:textFill>
            <w14:solidFill>
              <w14:schemeClr w14:val="tx1"/>
            </w14:solidFill>
          </w14:textFill>
        </w:rPr>
      </w:pPr>
    </w:p>
    <w:p w14:paraId="01E8561D">
      <w:pPr>
        <w:pStyle w:val="6"/>
        <w:rPr>
          <w:rFonts w:hAnsi="宋体" w:cs="宋体"/>
          <w:color w:val="000000" w:themeColor="text1"/>
          <w:highlight w:val="none"/>
          <w14:textFill>
            <w14:solidFill>
              <w14:schemeClr w14:val="tx1"/>
            </w14:solidFill>
          </w14:textFill>
        </w:rPr>
        <w:sectPr>
          <w:headerReference r:id="rId13" w:type="default"/>
          <w:footerReference r:id="rId14" w:type="default"/>
          <w:pgSz w:w="11906" w:h="16838"/>
          <w:pgMar w:top="1440" w:right="1800" w:bottom="1440" w:left="1800" w:header="851" w:footer="992" w:gutter="0"/>
          <w:pgNumType w:fmt="decimal"/>
          <w:cols w:space="720" w:num="1"/>
          <w:docGrid w:type="lines" w:linePitch="312" w:charSpace="0"/>
        </w:sectPr>
      </w:pPr>
      <w:bookmarkStart w:id="144" w:name="_Toc394929417"/>
      <w:bookmarkStart w:id="145" w:name="_Toc514759054"/>
      <w:bookmarkStart w:id="146" w:name="_Toc508779710"/>
      <w:bookmarkStart w:id="147" w:name="_Toc28168"/>
      <w:bookmarkStart w:id="148" w:name="_Toc511595194"/>
    </w:p>
    <w:p w14:paraId="30638B74">
      <w:pPr>
        <w:pStyle w:val="6"/>
        <w:rPr>
          <w:rFonts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二 </w:t>
      </w:r>
      <w:r>
        <w:rPr>
          <w:rFonts w:hint="eastAsia" w:hAnsi="宋体" w:cs="宋体"/>
          <w:color w:val="000000" w:themeColor="text1"/>
          <w:highlight w:val="none"/>
          <w:lang w:eastAsia="zh-CN"/>
          <w14:textFill>
            <w14:solidFill>
              <w14:schemeClr w14:val="tx1"/>
            </w14:solidFill>
          </w14:textFill>
        </w:rPr>
        <w:t>、</w:t>
      </w:r>
      <w:r>
        <w:rPr>
          <w:rFonts w:hAnsi="宋体" w:cs="宋体"/>
          <w:color w:val="000000" w:themeColor="text1"/>
          <w:highlight w:val="none"/>
          <w14:textFill>
            <w14:solidFill>
              <w14:schemeClr w14:val="tx1"/>
            </w14:solidFill>
          </w14:textFill>
        </w:rPr>
        <w:t xml:space="preserve"> 廉政合同</w:t>
      </w:r>
      <w:bookmarkEnd w:id="144"/>
      <w:bookmarkEnd w:id="145"/>
      <w:bookmarkEnd w:id="146"/>
      <w:bookmarkEnd w:id="147"/>
      <w:bookmarkEnd w:id="148"/>
    </w:p>
    <w:p w14:paraId="6A834777">
      <w:pPr>
        <w:jc w:val="center"/>
        <w:rPr>
          <w:rFonts w:hint="eastAsia"/>
          <w:b/>
          <w:bCs/>
          <w:sz w:val="24"/>
          <w:szCs w:val="24"/>
        </w:rPr>
      </w:pPr>
      <w:bookmarkStart w:id="149" w:name="_Toc394929418"/>
      <w:r>
        <w:rPr>
          <w:rFonts w:hint="eastAsia"/>
          <w:b/>
          <w:bCs/>
          <w:sz w:val="24"/>
          <w:szCs w:val="24"/>
        </w:rPr>
        <w:t>廉政合同</w:t>
      </w:r>
    </w:p>
    <w:p w14:paraId="519FD335">
      <w:pPr>
        <w:pStyle w:val="55"/>
        <w:shd w:val="clear" w:color="auto" w:fill="auto"/>
        <w:spacing w:before="0" w:line="398" w:lineRule="exact"/>
        <w:ind w:firstLine="420" w:firstLineChars="200"/>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天等县宁干乡宁干村2026年“千村引领，万村提升”示范创建项目(宁干乡宁干村屯内道路硬化及配套工程)  </w:t>
      </w:r>
      <w:r>
        <w:rPr>
          <w:rStyle w:val="56"/>
          <w:rFonts w:hint="eastAsia" w:ascii="宋体" w:hAnsi="宋体" w:eastAsia="宋体" w:cs="宋体"/>
          <w:color w:val="000000" w:themeColor="text1"/>
          <w:sz w:val="21"/>
          <w:szCs w:val="21"/>
          <w:highlight w:val="none"/>
          <w14:textFill>
            <w14:solidFill>
              <w14:schemeClr w14:val="tx1"/>
            </w14:solidFill>
          </w14:textFill>
        </w:rPr>
        <w:t>的项目法人(项目法人名称，以下简称“发包人”）与该项目标段的施工单位</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14:textFill>
            <w14:solidFill>
              <w14:schemeClr w14:val="tx1"/>
            </w14:solidFill>
          </w14:textFill>
        </w:rPr>
        <w:t>(施工单位名称，以下简称“承包人”)</w:t>
      </w:r>
      <w:r>
        <w:rPr>
          <w:rStyle w:val="56"/>
          <w:rFonts w:hint="eastAsia" w:ascii="宋体" w:hAnsi="宋体" w:eastAsia="宋体" w:cs="宋体"/>
          <w:color w:val="000000" w:themeColor="text1"/>
          <w:sz w:val="21"/>
          <w:szCs w:val="21"/>
          <w:highlight w:val="none"/>
          <w14:textFill>
            <w14:solidFill>
              <w14:schemeClr w14:val="tx1"/>
            </w14:solidFill>
          </w14:textFill>
        </w:rPr>
        <w:t>，特订立如下合同。</w:t>
      </w:r>
    </w:p>
    <w:p w14:paraId="12EC8A39">
      <w:pPr>
        <w:pStyle w:val="58"/>
        <w:keepNext/>
        <w:keepLines/>
        <w:shd w:val="clear" w:color="auto" w:fill="auto"/>
        <w:tabs>
          <w:tab w:val="left" w:pos="1178"/>
        </w:tabs>
        <w:spacing w:before="0" w:after="0" w:line="398" w:lineRule="exact"/>
        <w:jc w:val="both"/>
        <w:outlineLvl w:val="9"/>
        <w:rPr>
          <w:rFonts w:hint="eastAsia" w:ascii="宋体" w:hAnsi="宋体" w:eastAsia="宋体" w:cs="宋体"/>
          <w:color w:val="000000" w:themeColor="text1"/>
          <w:spacing w:val="0"/>
          <w:sz w:val="21"/>
          <w:szCs w:val="21"/>
          <w:highlight w:val="none"/>
          <w14:textFill>
            <w14:solidFill>
              <w14:schemeClr w14:val="tx1"/>
            </w14:solidFill>
          </w14:textFill>
        </w:rPr>
      </w:pPr>
      <w:bookmarkStart w:id="150" w:name="bookmark188"/>
      <w:bookmarkStart w:id="151" w:name="_Toc514786909"/>
      <w:r>
        <w:rPr>
          <w:rStyle w:val="59"/>
          <w:rFonts w:hint="eastAsia" w:ascii="宋体" w:hAnsi="宋体" w:eastAsia="宋体" w:cs="宋体"/>
          <w:b/>
          <w:bCs/>
          <w:color w:val="000000" w:themeColor="text1"/>
          <w:sz w:val="21"/>
          <w:szCs w:val="21"/>
          <w:highlight w:val="none"/>
          <w14:textFill>
            <w14:solidFill>
              <w14:schemeClr w14:val="tx1"/>
            </w14:solidFill>
          </w14:textFill>
        </w:rPr>
        <w:t>1．发包人和承包人双方的权利和义务</w:t>
      </w:r>
      <w:bookmarkEnd w:id="150"/>
      <w:bookmarkEnd w:id="151"/>
    </w:p>
    <w:p w14:paraId="0E18AB1E">
      <w:pPr>
        <w:pStyle w:val="55"/>
        <w:numPr>
          <w:ilvl w:val="0"/>
          <w:numId w:val="0"/>
        </w:numPr>
        <w:shd w:val="clear" w:color="auto" w:fill="auto"/>
        <w:tabs>
          <w:tab w:val="left" w:pos="1386"/>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）严格遵守党的政策规定和国家有关法律法规及交通运输部的有关规定。</w:t>
      </w:r>
    </w:p>
    <w:p w14:paraId="3617C901">
      <w:pPr>
        <w:pStyle w:val="55"/>
        <w:numPr>
          <w:ilvl w:val="0"/>
          <w:numId w:val="0"/>
        </w:numPr>
        <w:shd w:val="clear" w:color="auto" w:fill="auto"/>
        <w:tabs>
          <w:tab w:val="left" w:leader="underscore" w:pos="3406"/>
          <w:tab w:val="left" w:leader="underscore" w:pos="5420"/>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u w:val="none"/>
          <w:lang w:val="en-US"/>
          <w14:textFill>
            <w14:solidFill>
              <w14:schemeClr w14:val="tx1"/>
            </w14:solidFill>
          </w14:textFill>
        </w:rPr>
        <w:t>（2）</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承包人</w:t>
      </w:r>
      <w:r>
        <w:rPr>
          <w:rStyle w:val="56"/>
          <w:rFonts w:hint="eastAsia" w:ascii="宋体" w:hAnsi="宋体" w:eastAsia="宋体" w:cs="宋体"/>
          <w:color w:val="000000" w:themeColor="text1"/>
          <w:sz w:val="21"/>
          <w:szCs w:val="21"/>
          <w:highlight w:val="none"/>
          <w14:textFill>
            <w14:solidFill>
              <w14:schemeClr w14:val="tx1"/>
            </w14:solidFill>
          </w14:textFill>
        </w:rPr>
        <w:t xml:space="preserve"> 严格执行</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天等县宁干乡宁干村2026年“千村引领，万村提升”示范创建项目(宁干乡宁干村屯内道路硬化及配套工程) </w:t>
      </w:r>
      <w:r>
        <w:rPr>
          <w:rStyle w:val="56"/>
          <w:rFonts w:hint="eastAsia" w:ascii="宋体" w:hAnsi="宋体" w:eastAsia="宋体" w:cs="宋体"/>
          <w:color w:val="000000" w:themeColor="text1"/>
          <w:sz w:val="21"/>
          <w:szCs w:val="21"/>
          <w:highlight w:val="none"/>
          <w14:textFill>
            <w14:solidFill>
              <w14:schemeClr w14:val="tx1"/>
            </w14:solidFill>
          </w14:textFill>
        </w:rPr>
        <w:t>施工合同文件，自觉按合同办事。</w:t>
      </w:r>
    </w:p>
    <w:p w14:paraId="667EC608">
      <w:pPr>
        <w:pStyle w:val="55"/>
        <w:numPr>
          <w:ilvl w:val="0"/>
          <w:numId w:val="0"/>
        </w:numPr>
        <w:shd w:val="clear" w:color="auto" w:fill="auto"/>
        <w:tabs>
          <w:tab w:val="left" w:pos="1273"/>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3</w:t>
      </w:r>
      <w:r>
        <w:rPr>
          <w:rStyle w:val="56"/>
          <w:rFonts w:hint="eastAsia" w:ascii="宋体" w:hAnsi="宋体" w:eastAsia="宋体" w:cs="宋体"/>
          <w:color w:val="000000" w:themeColor="text1"/>
          <w:sz w:val="21"/>
          <w:szCs w:val="21"/>
          <w:highlight w:val="none"/>
          <w14:textFill>
            <w14:solidFill>
              <w14:schemeClr w14:val="tx1"/>
            </w14:solidFill>
          </w14:textFill>
        </w:rPr>
        <w:t>）双方的业务活动坚持公开、公正、诚信、透明的原则（法律认定的商业秘密和合同文件另有规定除外），不得损害国家和集体利益，不得违反工程建设管理规章制度。</w:t>
      </w:r>
    </w:p>
    <w:p w14:paraId="4A2674A2">
      <w:pPr>
        <w:pStyle w:val="55"/>
        <w:numPr>
          <w:ilvl w:val="0"/>
          <w:numId w:val="0"/>
        </w:numPr>
        <w:shd w:val="clear" w:color="auto" w:fill="auto"/>
        <w:tabs>
          <w:tab w:val="left" w:pos="1270"/>
        </w:tabs>
        <w:spacing w:before="0" w:line="398"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4</w:t>
      </w:r>
      <w:r>
        <w:rPr>
          <w:rStyle w:val="56"/>
          <w:rFonts w:hint="eastAsia" w:ascii="宋体" w:hAnsi="宋体" w:eastAsia="宋体" w:cs="宋体"/>
          <w:color w:val="000000" w:themeColor="text1"/>
          <w:sz w:val="21"/>
          <w:szCs w:val="21"/>
          <w:highlight w:val="none"/>
          <w14:textFill>
            <w14:solidFill>
              <w14:schemeClr w14:val="tx1"/>
            </w14:solidFill>
          </w14:textFill>
        </w:rPr>
        <w:t>）建立健全廉政制度，开展廉政教育，设立廉政告示牌，公布举报电话，监督并认真查处违法违纪行为。</w:t>
      </w:r>
    </w:p>
    <w:p w14:paraId="62750E9A">
      <w:pPr>
        <w:pStyle w:val="55"/>
        <w:numPr>
          <w:ilvl w:val="0"/>
          <w:numId w:val="0"/>
        </w:numPr>
        <w:shd w:val="clear" w:color="auto" w:fill="auto"/>
        <w:tabs>
          <w:tab w:val="left" w:pos="1273"/>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5</w:t>
      </w:r>
      <w:r>
        <w:rPr>
          <w:rStyle w:val="56"/>
          <w:rFonts w:hint="eastAsia" w:ascii="宋体" w:hAnsi="宋体" w:eastAsia="宋体" w:cs="宋体"/>
          <w:color w:val="000000" w:themeColor="text1"/>
          <w:sz w:val="21"/>
          <w:szCs w:val="21"/>
          <w:highlight w:val="none"/>
          <w14:textFill>
            <w14:solidFill>
              <w14:schemeClr w14:val="tx1"/>
            </w14:solidFill>
          </w14:textFill>
        </w:rPr>
        <w:t>）发现对方在业务活动中有违反廉政规定的行为，有及时提醒对方纠正的权利和义务。</w:t>
      </w:r>
    </w:p>
    <w:p w14:paraId="05745372">
      <w:pPr>
        <w:pStyle w:val="55"/>
        <w:numPr>
          <w:ilvl w:val="0"/>
          <w:numId w:val="0"/>
        </w:numPr>
        <w:shd w:val="clear" w:color="auto" w:fill="auto"/>
        <w:tabs>
          <w:tab w:val="left" w:pos="1270"/>
        </w:tabs>
        <w:spacing w:before="0" w:line="398"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6</w:t>
      </w:r>
      <w:r>
        <w:rPr>
          <w:rStyle w:val="56"/>
          <w:rFonts w:hint="eastAsia" w:ascii="宋体" w:hAnsi="宋体" w:eastAsia="宋体" w:cs="宋体"/>
          <w:color w:val="000000" w:themeColor="text1"/>
          <w:sz w:val="21"/>
          <w:szCs w:val="21"/>
          <w:highlight w:val="none"/>
          <w14:textFill>
            <w14:solidFill>
              <w14:schemeClr w14:val="tx1"/>
            </w14:solidFill>
          </w14:textFill>
        </w:rPr>
        <w:t>）发现对方严重违反本合同义务条款的行为，有向其上级有关部门举报、建议给予处理并要求告知处理结果的权利。</w:t>
      </w:r>
    </w:p>
    <w:p w14:paraId="5909BC48">
      <w:pPr>
        <w:pStyle w:val="58"/>
        <w:keepNext/>
        <w:keepLines/>
        <w:shd w:val="clear" w:color="auto" w:fill="auto"/>
        <w:tabs>
          <w:tab w:val="left" w:pos="1178"/>
        </w:tabs>
        <w:spacing w:before="0" w:after="0" w:line="398" w:lineRule="exact"/>
        <w:jc w:val="both"/>
        <w:outlineLvl w:val="9"/>
        <w:rPr>
          <w:rFonts w:hint="eastAsia" w:ascii="宋体" w:hAnsi="宋体" w:eastAsia="宋体" w:cs="宋体"/>
          <w:color w:val="000000" w:themeColor="text1"/>
          <w:spacing w:val="0"/>
          <w:sz w:val="21"/>
          <w:szCs w:val="21"/>
          <w:highlight w:val="none"/>
          <w14:textFill>
            <w14:solidFill>
              <w14:schemeClr w14:val="tx1"/>
            </w14:solidFill>
          </w14:textFill>
        </w:rPr>
      </w:pPr>
      <w:bookmarkStart w:id="152" w:name="bookmark189"/>
      <w:bookmarkStart w:id="153" w:name="_Toc514786910"/>
      <w:r>
        <w:rPr>
          <w:rStyle w:val="59"/>
          <w:rFonts w:hint="eastAsia" w:ascii="宋体" w:hAnsi="宋体" w:eastAsia="宋体" w:cs="宋体"/>
          <w:b/>
          <w:bCs/>
          <w:color w:val="000000" w:themeColor="text1"/>
          <w:sz w:val="21"/>
          <w:szCs w:val="21"/>
          <w:highlight w:val="none"/>
          <w14:textFill>
            <w14:solidFill>
              <w14:schemeClr w14:val="tx1"/>
            </w14:solidFill>
          </w14:textFill>
        </w:rPr>
        <w:t>2．发包人的义务</w:t>
      </w:r>
      <w:bookmarkEnd w:id="152"/>
      <w:bookmarkEnd w:id="153"/>
    </w:p>
    <w:p w14:paraId="7FFEE253">
      <w:pPr>
        <w:pStyle w:val="55"/>
        <w:shd w:val="clear" w:color="auto" w:fill="auto"/>
        <w:tabs>
          <w:tab w:val="left" w:pos="1251"/>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）发包人及其工作人员不得索要或接受承包人的礼金、有价证券和贵重物品，不得让承包人报销任何应由发包人或发包人工作人员个人支付的费用等。</w:t>
      </w:r>
    </w:p>
    <w:p w14:paraId="43E8B44E">
      <w:pPr>
        <w:pStyle w:val="55"/>
        <w:shd w:val="clear" w:color="auto" w:fill="auto"/>
        <w:tabs>
          <w:tab w:val="left" w:pos="1266"/>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（2）发包人工作人员不得参加承包人安排的超标准宴请和娱乐活动；不得接受承包人提供的通讯工具、交通工具和高档办公用品等。</w:t>
      </w:r>
    </w:p>
    <w:p w14:paraId="6B3EC16D">
      <w:pPr>
        <w:pStyle w:val="55"/>
        <w:shd w:val="clear" w:color="auto" w:fill="auto"/>
        <w:tabs>
          <w:tab w:val="left" w:pos="1268"/>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（3）发包人及其工作人员不得要求或者接受承包人为其住房装修、婚丧嫁娶活动、配偶子女的工作安排以及出国出境、旅游等提供方便等。</w:t>
      </w:r>
    </w:p>
    <w:p w14:paraId="50D2AFDE">
      <w:pPr>
        <w:pStyle w:val="55"/>
        <w:shd w:val="clear" w:color="auto" w:fill="auto"/>
        <w:tabs>
          <w:tab w:val="left" w:pos="1270"/>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（4）发包人工作人员及其配偶、子女不得从事与发包人工程有关的材料设备供应、工程分包、劳务等经济活动等。</w:t>
      </w:r>
    </w:p>
    <w:p w14:paraId="5DDD6CCE">
      <w:pPr>
        <w:pStyle w:val="55"/>
        <w:shd w:val="clear" w:color="auto" w:fill="auto"/>
        <w:tabs>
          <w:tab w:val="left" w:pos="1268"/>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（5）发包人及其工作人员不得以任何理由向承包人推荐分包单位或推销材料， 不得要求承包人购买合同规定外的材料和设备。</w:t>
      </w:r>
    </w:p>
    <w:p w14:paraId="4E2373C4">
      <w:pPr>
        <w:pStyle w:val="55"/>
        <w:shd w:val="clear" w:color="auto" w:fill="auto"/>
        <w:tabs>
          <w:tab w:val="left" w:pos="1268"/>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（6）发包人工作人员要秉公办事，不准营私舞弊，不准利用职权从事各种个人有偿中介活动和安排个人施工队伍。</w:t>
      </w:r>
    </w:p>
    <w:p w14:paraId="64EE505D">
      <w:pPr>
        <w:pStyle w:val="55"/>
        <w:shd w:val="clear" w:color="auto" w:fill="auto"/>
        <w:tabs>
          <w:tab w:val="left" w:pos="1268"/>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60"/>
          <w:rFonts w:hint="eastAsia" w:ascii="宋体" w:hAnsi="宋体" w:eastAsia="宋体" w:cs="宋体"/>
          <w:b w:val="0"/>
          <w:bCs w:val="0"/>
          <w:color w:val="000000" w:themeColor="text1"/>
          <w:sz w:val="21"/>
          <w:szCs w:val="21"/>
          <w:highlight w:val="none"/>
          <w14:textFill>
            <w14:solidFill>
              <w14:schemeClr w14:val="tx1"/>
            </w14:solidFill>
          </w14:textFill>
        </w:rPr>
        <w:t>3．承包人的义务</w:t>
      </w:r>
    </w:p>
    <w:p w14:paraId="1437EB95">
      <w:pPr>
        <w:pStyle w:val="55"/>
        <w:numPr>
          <w:ilvl w:val="0"/>
          <w:numId w:val="0"/>
        </w:numPr>
        <w:shd w:val="clear" w:color="auto" w:fill="auto"/>
        <w:tabs>
          <w:tab w:val="left" w:pos="1275"/>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）承包人不得以任何理由向发包人及其工作人员行贿或馈赠礼金、有价证券、贵重礼品。</w:t>
      </w:r>
    </w:p>
    <w:p w14:paraId="7E695C12">
      <w:pPr>
        <w:pStyle w:val="55"/>
        <w:numPr>
          <w:ilvl w:val="0"/>
          <w:numId w:val="0"/>
        </w:numPr>
        <w:shd w:val="clear" w:color="auto" w:fill="auto"/>
        <w:tabs>
          <w:tab w:val="left" w:pos="1270"/>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2</w:t>
      </w:r>
      <w:r>
        <w:rPr>
          <w:rStyle w:val="56"/>
          <w:rFonts w:hint="eastAsia" w:ascii="宋体" w:hAnsi="宋体" w:eastAsia="宋体" w:cs="宋体"/>
          <w:color w:val="000000" w:themeColor="text1"/>
          <w:sz w:val="21"/>
          <w:szCs w:val="21"/>
          <w:highlight w:val="none"/>
          <w14:textFill>
            <w14:solidFill>
              <w14:schemeClr w14:val="tx1"/>
            </w14:solidFill>
          </w14:textFill>
        </w:rPr>
        <w:t>）承包人不得以任何名义为发包人及其工作人员报销应由发包人单位或个人支付的任何费用。</w:t>
      </w:r>
    </w:p>
    <w:p w14:paraId="14FE845B">
      <w:pPr>
        <w:pStyle w:val="55"/>
        <w:numPr>
          <w:ilvl w:val="0"/>
          <w:numId w:val="0"/>
        </w:numPr>
        <w:shd w:val="clear" w:color="auto" w:fill="auto"/>
        <w:tabs>
          <w:tab w:val="left" w:pos="1389"/>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3</w:t>
      </w:r>
      <w:r>
        <w:rPr>
          <w:rStyle w:val="56"/>
          <w:rFonts w:hint="eastAsia" w:ascii="宋体" w:hAnsi="宋体" w:eastAsia="宋体" w:cs="宋体"/>
          <w:color w:val="000000" w:themeColor="text1"/>
          <w:sz w:val="21"/>
          <w:szCs w:val="21"/>
          <w:highlight w:val="none"/>
          <w14:textFill>
            <w14:solidFill>
              <w14:schemeClr w14:val="tx1"/>
            </w14:solidFill>
          </w14:textFill>
        </w:rPr>
        <w:t>）承包人不得以任何理由安排发包人工作人员参加超标准宴请及娱乐活动。</w:t>
      </w:r>
    </w:p>
    <w:p w14:paraId="5DA57D9E">
      <w:pPr>
        <w:pStyle w:val="55"/>
        <w:numPr>
          <w:ilvl w:val="0"/>
          <w:numId w:val="0"/>
        </w:numPr>
        <w:shd w:val="clear" w:color="auto" w:fill="auto"/>
        <w:tabs>
          <w:tab w:val="left" w:pos="1266"/>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4</w:t>
      </w:r>
      <w:r>
        <w:rPr>
          <w:rStyle w:val="56"/>
          <w:rFonts w:hint="eastAsia" w:ascii="宋体" w:hAnsi="宋体" w:eastAsia="宋体" w:cs="宋体"/>
          <w:color w:val="000000" w:themeColor="text1"/>
          <w:sz w:val="21"/>
          <w:szCs w:val="21"/>
          <w:highlight w:val="none"/>
          <w14:textFill>
            <w14:solidFill>
              <w14:schemeClr w14:val="tx1"/>
            </w14:solidFill>
          </w14:textFill>
        </w:rPr>
        <w:t>）承包人不得为发包人单位和个人购置或提供通信工具、交通工具和高档办公用品等。</w:t>
      </w:r>
    </w:p>
    <w:p w14:paraId="1E51F27A">
      <w:pPr>
        <w:pStyle w:val="61"/>
        <w:shd w:val="clear" w:color="auto" w:fill="auto"/>
        <w:tabs>
          <w:tab w:val="left" w:pos="1154"/>
        </w:tabs>
        <w:spacing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60"/>
          <w:rFonts w:hint="eastAsia" w:ascii="宋体" w:hAnsi="宋体" w:eastAsia="宋体" w:cs="宋体"/>
          <w:b/>
          <w:bCs/>
          <w:color w:val="000000" w:themeColor="text1"/>
          <w:sz w:val="21"/>
          <w:szCs w:val="21"/>
          <w:highlight w:val="none"/>
          <w14:textFill>
            <w14:solidFill>
              <w14:schemeClr w14:val="tx1"/>
            </w14:solidFill>
          </w14:textFill>
        </w:rPr>
        <w:t>4．违约责任</w:t>
      </w:r>
    </w:p>
    <w:p w14:paraId="14A0B47E">
      <w:pPr>
        <w:pStyle w:val="55"/>
        <w:shd w:val="clear" w:color="auto" w:fill="auto"/>
        <w:tabs>
          <w:tab w:val="left" w:pos="1270"/>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（1）发包人及其工作人员违反本合同第1、2条，按管理权限，依据有关规定给予党纪、政纪或组织处理；涉嫌犯罪的，移交司法机关追究刑事责任；给承包人单位造成经济损失的，应予以赔偿。</w:t>
      </w:r>
    </w:p>
    <w:p w14:paraId="30EB7EBF">
      <w:pPr>
        <w:pStyle w:val="55"/>
        <w:shd w:val="clear" w:color="auto" w:fill="auto"/>
        <w:tabs>
          <w:tab w:val="left" w:pos="1270"/>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 建设市场的处罚。</w:t>
      </w:r>
    </w:p>
    <w:p w14:paraId="49CA911F">
      <w:pPr>
        <w:pStyle w:val="55"/>
        <w:shd w:val="clear" w:color="auto" w:fill="auto"/>
        <w:tabs>
          <w:tab w:val="left" w:pos="975"/>
        </w:tabs>
        <w:spacing w:before="0" w:line="398"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EFE88C1">
      <w:pPr>
        <w:pStyle w:val="55"/>
        <w:shd w:val="clear" w:color="auto" w:fill="auto"/>
        <w:tabs>
          <w:tab w:val="left" w:pos="1154"/>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6．本合同有效期为发包人和承包人签署之日起至该工程项目竣工验收后止。</w:t>
      </w:r>
    </w:p>
    <w:p w14:paraId="6AFB7A1D">
      <w:pPr>
        <w:pStyle w:val="55"/>
        <w:shd w:val="clear" w:color="auto" w:fill="auto"/>
        <w:tabs>
          <w:tab w:val="left" w:leader="underscore" w:pos="3373"/>
          <w:tab w:val="left" w:leader="underscore" w:pos="5307"/>
        </w:tabs>
        <w:spacing w:before="0" w:line="398"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7． 本合同作为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天等县宁干乡宁干村2026年“千村引领，万村提升”示范创建项目(宁干乡宁干村屯内道路硬化及配套工程) </w:t>
      </w:r>
      <w:r>
        <w:rPr>
          <w:rStyle w:val="56"/>
          <w:rFonts w:hint="eastAsia" w:ascii="宋体" w:hAnsi="宋体" w:eastAsia="宋体" w:cs="宋体"/>
          <w:color w:val="000000" w:themeColor="text1"/>
          <w:sz w:val="21"/>
          <w:szCs w:val="21"/>
          <w:highlight w:val="none"/>
          <w14:textFill>
            <w14:solidFill>
              <w14:schemeClr w14:val="tx1"/>
            </w14:solidFill>
          </w14:textFill>
        </w:rPr>
        <w:t>施工合同的附件，与工程施工合同具有同等的法律效力，经合同双方签署后立即生效。</w:t>
      </w:r>
    </w:p>
    <w:p w14:paraId="1B532DDE">
      <w:pPr>
        <w:pStyle w:val="55"/>
        <w:shd w:val="clear" w:color="auto" w:fill="auto"/>
        <w:tabs>
          <w:tab w:val="left" w:pos="978"/>
        </w:tabs>
        <w:spacing w:before="0" w:line="398"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p>
    <w:p w14:paraId="4FC93604">
      <w:pPr>
        <w:pStyle w:val="55"/>
        <w:shd w:val="clear" w:color="auto" w:fill="auto"/>
        <w:tabs>
          <w:tab w:val="left" w:pos="978"/>
        </w:tabs>
        <w:spacing w:before="0" w:line="398"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p>
    <w:p w14:paraId="7855FA1A">
      <w:pPr>
        <w:pStyle w:val="55"/>
        <w:shd w:val="clear" w:color="auto" w:fill="auto"/>
        <w:tabs>
          <w:tab w:val="left" w:leader="underscore" w:pos="2860"/>
        </w:tabs>
        <w:spacing w:before="0" w:line="60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Style w:val="62"/>
          <w:rFonts w:hint="eastAsia" w:ascii="宋体" w:hAnsi="宋体" w:eastAsia="宋体" w:cs="宋体"/>
          <w:i w:val="0"/>
          <w:color w:val="000000" w:themeColor="text1"/>
          <w:sz w:val="21"/>
          <w:szCs w:val="21"/>
          <w:highlight w:val="none"/>
          <w14:textFill>
            <w14:solidFill>
              <w14:schemeClr w14:val="tx1"/>
            </w14:solidFill>
          </w14:textFill>
        </w:rPr>
        <w:t>发包人：</w:t>
      </w:r>
      <w:r>
        <w:rPr>
          <w:rStyle w:val="63"/>
          <w:rFonts w:hint="eastAsia" w:ascii="宋体" w:hAnsi="宋体" w:eastAsia="宋体" w:cs="宋体"/>
          <w:i/>
          <w:color w:val="000000" w:themeColor="text1"/>
          <w:sz w:val="21"/>
          <w:szCs w:val="21"/>
          <w:highlight w:val="none"/>
          <w:u w:val="single"/>
          <w14:textFill>
            <w14:solidFill>
              <w14:schemeClr w14:val="tx1"/>
            </w14:solidFill>
          </w14:textFill>
        </w:rPr>
        <w:t xml:space="preserve"> </w:t>
      </w:r>
      <w:r>
        <w:rPr>
          <w:rStyle w:val="62"/>
          <w:rFonts w:hint="eastAsia" w:ascii="宋体" w:hAnsi="宋体" w:eastAsia="宋体" w:cs="宋体"/>
          <w:i w:val="0"/>
          <w:color w:val="000000" w:themeColor="text1"/>
          <w:sz w:val="21"/>
          <w:szCs w:val="21"/>
          <w:highlight w:val="none"/>
          <w:u w:val="single"/>
          <w:lang w:val="en-US"/>
          <w14:textFill>
            <w14:solidFill>
              <w14:schemeClr w14:val="tx1"/>
            </w14:solidFill>
          </w14:textFill>
        </w:rPr>
        <w:t>天等县交通运输局</w:t>
      </w:r>
      <w:r>
        <w:rPr>
          <w:rStyle w:val="62"/>
          <w:rFonts w:hint="eastAsia" w:ascii="宋体" w:hAnsi="宋体" w:eastAsia="宋体" w:cs="宋体"/>
          <w:i w:val="0"/>
          <w:color w:val="000000" w:themeColor="text1"/>
          <w:sz w:val="21"/>
          <w:szCs w:val="21"/>
          <w:highlight w:val="none"/>
          <w:u w:val="single"/>
          <w14:textFill>
            <w14:solidFill>
              <w14:schemeClr w14:val="tx1"/>
            </w14:solidFill>
          </w14:textFill>
        </w:rPr>
        <w:t xml:space="preserve"> </w:t>
      </w:r>
      <w:r>
        <w:rPr>
          <w:rStyle w:val="62"/>
          <w:rFonts w:hint="eastAsia" w:ascii="宋体" w:hAnsi="宋体" w:eastAsia="宋体" w:cs="宋体"/>
          <w:i w:val="0"/>
          <w:color w:val="000000" w:themeColor="text1"/>
          <w:sz w:val="21"/>
          <w:szCs w:val="21"/>
          <w:highlight w:val="none"/>
          <w:u w:val="single"/>
          <w:lang w:val="en-US"/>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14:textFill>
            <w14:solidFill>
              <w14:schemeClr w14:val="tx1"/>
            </w14:solidFill>
          </w14:textFill>
        </w:rPr>
        <w:t>(盖单位章）     承包人：(盖单位章）</w:t>
      </w:r>
    </w:p>
    <w:p w14:paraId="06B19D84">
      <w:pPr>
        <w:pStyle w:val="55"/>
        <w:shd w:val="clear" w:color="auto" w:fill="auto"/>
        <w:tabs>
          <w:tab w:val="left" w:leader="underscore" w:pos="2153"/>
          <w:tab w:val="left" w:leader="underscore" w:pos="2993"/>
          <w:tab w:val="left" w:leader="underscore" w:pos="3833"/>
        </w:tabs>
        <w:spacing w:before="0" w:line="600" w:lineRule="auto"/>
        <w:jc w:val="left"/>
        <w:rPr>
          <w:rStyle w:val="63"/>
          <w:rFonts w:hint="eastAsia" w:ascii="宋体" w:hAnsi="宋体" w:eastAsia="宋体" w:cs="宋体"/>
          <w:color w:val="000000" w:themeColor="text1"/>
          <w:sz w:val="21"/>
          <w:szCs w:val="21"/>
          <w:highlight w:val="none"/>
          <w14:textFill>
            <w14:solidFill>
              <w14:schemeClr w14:val="tx1"/>
            </w14:solidFill>
          </w14:textFill>
        </w:rPr>
      </w:pPr>
      <w:r>
        <w:rPr>
          <w:rStyle w:val="63"/>
          <w:rFonts w:hint="eastAsia" w:ascii="宋体" w:hAnsi="宋体" w:eastAsia="宋体" w:cs="宋体"/>
          <w:color w:val="000000" w:themeColor="text1"/>
          <w:sz w:val="21"/>
          <w:szCs w:val="21"/>
          <w:highlight w:val="none"/>
          <w14:textFill>
            <w14:solidFill>
              <w14:schemeClr w14:val="tx1"/>
            </w14:solidFill>
          </w14:textFill>
        </w:rPr>
        <w:t>法定代表人或其委托代理人：</w:t>
      </w:r>
      <w:r>
        <w:rPr>
          <w:rStyle w:val="63"/>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14:textFill>
            <w14:solidFill>
              <w14:schemeClr w14:val="tx1"/>
            </w14:solidFill>
          </w14:textFill>
        </w:rPr>
        <w:t>(签字) 法定代表人或其委托代理人：</w:t>
      </w:r>
      <w:r>
        <w:rPr>
          <w:rStyle w:val="63"/>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14:textFill>
            <w14:solidFill>
              <w14:schemeClr w14:val="tx1"/>
            </w14:solidFill>
          </w14:textFill>
        </w:rPr>
        <w:t>(签字)</w:t>
      </w:r>
    </w:p>
    <w:p w14:paraId="396520AD">
      <w:pPr>
        <w:pStyle w:val="55"/>
        <w:shd w:val="clear" w:color="auto" w:fill="auto"/>
        <w:tabs>
          <w:tab w:val="left" w:leader="underscore" w:pos="2153"/>
          <w:tab w:val="left" w:leader="underscore" w:pos="2993"/>
          <w:tab w:val="left" w:leader="underscore" w:pos="3833"/>
        </w:tabs>
        <w:spacing w:before="0" w:line="600" w:lineRule="auto"/>
        <w:ind w:right="660" w:firstLine="210" w:firstLineChars="100"/>
        <w:jc w:val="left"/>
        <w:rPr>
          <w:rFonts w:hAnsi="宋体" w:cs="宋体"/>
          <w:color w:val="000000" w:themeColor="text1"/>
          <w:sz w:val="21"/>
          <w:szCs w:val="21"/>
          <w:highlight w:val="none"/>
          <w14:textFill>
            <w14:solidFill>
              <w14:schemeClr w14:val="tx1"/>
            </w14:solidFill>
          </w14:textFill>
        </w:rPr>
      </w:pPr>
      <w:r>
        <w:rPr>
          <w:rStyle w:val="63"/>
          <w:rFonts w:hint="eastAsia" w:ascii="宋体" w:hAnsi="宋体" w:eastAsia="宋体" w:cs="宋体"/>
          <w:color w:val="000000" w:themeColor="text1"/>
          <w:sz w:val="21"/>
          <w:szCs w:val="21"/>
          <w:highlight w:val="none"/>
          <w:lang w:val="en-US"/>
          <w14:textFill>
            <w14:solidFill>
              <w14:schemeClr w14:val="tx1"/>
            </w14:solidFill>
          </w14:textFill>
        </w:rPr>
        <w:t>2026年</w:t>
      </w:r>
      <w:r>
        <w:rPr>
          <w:rStyle w:val="63"/>
          <w:rFonts w:hint="eastAsia" w:ascii="宋体" w:hAnsi="宋体" w:eastAsia="宋体" w:cs="宋体"/>
          <w:color w:val="000000" w:themeColor="text1"/>
          <w:sz w:val="21"/>
          <w:szCs w:val="21"/>
          <w:highlight w:val="none"/>
          <w14:textFill>
            <w14:solidFill>
              <w14:schemeClr w14:val="tx1"/>
            </w14:solidFill>
          </w14:textFill>
        </w:rPr>
        <w:t xml:space="preserve">  月   日</w:t>
      </w:r>
      <w:r>
        <w:rPr>
          <w:rStyle w:val="63"/>
          <w:rFonts w:hint="eastAsia" w:ascii="宋体" w:hAnsi="宋体" w:eastAsia="宋体" w:cs="宋体"/>
          <w:color w:val="000000" w:themeColor="text1"/>
          <w:spacing w:val="20"/>
          <w:sz w:val="21"/>
          <w:szCs w:val="21"/>
          <w:highlight w:val="none"/>
          <w14:textFill>
            <w14:solidFill>
              <w14:schemeClr w14:val="tx1"/>
            </w14:solidFill>
          </w14:textFill>
        </w:rPr>
        <w:t xml:space="preserve">               </w:t>
      </w:r>
      <w:r>
        <w:rPr>
          <w:rStyle w:val="63"/>
          <w:rFonts w:hint="eastAsia" w:ascii="宋体" w:hAnsi="宋体" w:eastAsia="宋体" w:cs="宋体"/>
          <w:color w:val="000000" w:themeColor="text1"/>
          <w:spacing w:val="20"/>
          <w:sz w:val="21"/>
          <w:szCs w:val="21"/>
          <w:highlight w:val="none"/>
          <w:lang w:val="en-US"/>
          <w14:textFill>
            <w14:solidFill>
              <w14:schemeClr w14:val="tx1"/>
            </w14:solidFill>
          </w14:textFill>
        </w:rPr>
        <w:t>2026年</w:t>
      </w:r>
      <w:r>
        <w:rPr>
          <w:rStyle w:val="63"/>
          <w:rFonts w:hint="eastAsia" w:ascii="宋体" w:hAnsi="宋体" w:eastAsia="宋体" w:cs="宋体"/>
          <w:color w:val="000000" w:themeColor="text1"/>
          <w:sz w:val="21"/>
          <w:szCs w:val="21"/>
          <w:highlight w:val="none"/>
          <w14:textFill>
            <w14:solidFill>
              <w14:schemeClr w14:val="tx1"/>
            </w14:solidFill>
          </w14:textFill>
        </w:rPr>
        <w:tab/>
      </w:r>
      <w:r>
        <w:rPr>
          <w:rStyle w:val="63"/>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14:textFill>
            <w14:solidFill>
              <w14:schemeClr w14:val="tx1"/>
            </w14:solidFill>
          </w14:textFill>
        </w:rPr>
        <w:t xml:space="preserve">月 </w:t>
      </w:r>
      <w:r>
        <w:rPr>
          <w:rStyle w:val="63"/>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63"/>
          <w:rFonts w:hint="eastAsia" w:ascii="宋体" w:hAnsi="宋体" w:eastAsia="宋体" w:cs="宋体"/>
          <w:color w:val="000000" w:themeColor="text1"/>
          <w:sz w:val="21"/>
          <w:szCs w:val="21"/>
          <w:highlight w:val="none"/>
          <w14:textFill>
            <w14:solidFill>
              <w14:schemeClr w14:val="tx1"/>
            </w14:solidFill>
          </w14:textFill>
        </w:rPr>
        <w:t xml:space="preserve">  日</w:t>
      </w:r>
    </w:p>
    <w:p w14:paraId="7C12F024">
      <w:pPr>
        <w:pStyle w:val="6"/>
        <w:rPr>
          <w:rFonts w:hAnsi="宋体" w:cs="宋体"/>
          <w:color w:val="000000" w:themeColor="text1"/>
          <w:sz w:val="24"/>
          <w:szCs w:val="24"/>
          <w:highlight w:val="none"/>
          <w14:textFill>
            <w14:solidFill>
              <w14:schemeClr w14:val="tx1"/>
            </w14:solidFill>
          </w14:textFill>
        </w:rPr>
      </w:pPr>
      <w:bookmarkStart w:id="154" w:name="_Toc508779711"/>
      <w:bookmarkStart w:id="155" w:name="_Toc428"/>
      <w:bookmarkStart w:id="156" w:name="_Toc511595195"/>
      <w:r>
        <w:rPr>
          <w:rFonts w:hAnsi="宋体" w:cs="宋体"/>
          <w:color w:val="000000" w:themeColor="text1"/>
          <w:sz w:val="21"/>
          <w:szCs w:val="21"/>
          <w:highlight w:val="none"/>
          <w14:textFill>
            <w14:solidFill>
              <w14:schemeClr w14:val="tx1"/>
            </w14:solidFill>
          </w14:textFill>
        </w:rPr>
        <w:br w:type="page"/>
      </w:r>
      <w:bookmarkStart w:id="157" w:name="_Toc514759055"/>
      <w:r>
        <w:rPr>
          <w:rFonts w:hAnsi="宋体" w:cs="宋体"/>
          <w:color w:val="000000" w:themeColor="text1"/>
          <w:sz w:val="24"/>
          <w:szCs w:val="24"/>
          <w:highlight w:val="none"/>
          <w14:textFill>
            <w14:solidFill>
              <w14:schemeClr w14:val="tx1"/>
            </w14:solidFill>
          </w14:textFill>
        </w:rPr>
        <w:t xml:space="preserve">三 </w:t>
      </w:r>
      <w:r>
        <w:rPr>
          <w:rFonts w:hint="eastAsia" w:hAnsi="宋体" w:cs="宋体"/>
          <w:color w:val="000000" w:themeColor="text1"/>
          <w:sz w:val="24"/>
          <w:szCs w:val="24"/>
          <w:highlight w:val="none"/>
          <w:lang w:eastAsia="zh-CN"/>
          <w14:textFill>
            <w14:solidFill>
              <w14:schemeClr w14:val="tx1"/>
            </w14:solidFill>
          </w14:textFill>
        </w:rPr>
        <w:t>、</w:t>
      </w:r>
      <w:r>
        <w:rPr>
          <w:rFonts w:hAnsi="宋体" w:cs="宋体"/>
          <w:color w:val="000000" w:themeColor="text1"/>
          <w:sz w:val="24"/>
          <w:szCs w:val="24"/>
          <w:highlight w:val="none"/>
          <w14:textFill>
            <w14:solidFill>
              <w14:schemeClr w14:val="tx1"/>
            </w14:solidFill>
          </w14:textFill>
        </w:rPr>
        <w:t xml:space="preserve"> 安全生产合同</w:t>
      </w:r>
      <w:bookmarkEnd w:id="149"/>
      <w:bookmarkEnd w:id="154"/>
      <w:bookmarkEnd w:id="155"/>
      <w:bookmarkEnd w:id="156"/>
      <w:bookmarkEnd w:id="157"/>
    </w:p>
    <w:p w14:paraId="245F0DF0">
      <w:pPr>
        <w:pStyle w:val="64"/>
        <w:keepNext/>
        <w:keepLines/>
        <w:shd w:val="clear" w:color="auto" w:fill="auto"/>
        <w:spacing w:before="0" w:after="388" w:line="260" w:lineRule="exact"/>
        <w:ind w:firstLine="420"/>
        <w:outlineLvl w:val="9"/>
        <w:rPr>
          <w:rFonts w:hint="eastAsia" w:ascii="宋体" w:hAnsi="宋体" w:eastAsia="宋体" w:cs="宋体"/>
          <w:b/>
          <w:bCs/>
          <w:color w:val="000000" w:themeColor="text1"/>
          <w:spacing w:val="0"/>
          <w:highlight w:val="none"/>
          <w14:textFill>
            <w14:solidFill>
              <w14:schemeClr w14:val="tx1"/>
            </w14:solidFill>
          </w14:textFill>
        </w:rPr>
      </w:pPr>
      <w:bookmarkStart w:id="158" w:name="_Toc514786912"/>
      <w:bookmarkStart w:id="159" w:name="bookmark191"/>
      <w:r>
        <w:rPr>
          <w:rStyle w:val="65"/>
          <w:rFonts w:hint="eastAsia" w:ascii="宋体" w:hAnsi="宋体" w:eastAsia="宋体" w:cs="宋体"/>
          <w:b/>
          <w:bCs/>
          <w:color w:val="000000" w:themeColor="text1"/>
          <w:spacing w:val="0"/>
          <w:highlight w:val="none"/>
          <w14:textFill>
            <w14:solidFill>
              <w14:schemeClr w14:val="tx1"/>
            </w14:solidFill>
          </w14:textFill>
        </w:rPr>
        <w:t>安全生产合同</w:t>
      </w:r>
      <w:bookmarkEnd w:id="158"/>
      <w:bookmarkEnd w:id="159"/>
    </w:p>
    <w:p w14:paraId="62204408">
      <w:pPr>
        <w:pStyle w:val="55"/>
        <w:shd w:val="clear" w:color="auto" w:fill="auto"/>
        <w:tabs>
          <w:tab w:val="left" w:leader="underscore" w:pos="2726"/>
          <w:tab w:val="left" w:leader="underscore" w:pos="4730"/>
        </w:tabs>
        <w:spacing w:before="0" w:line="389" w:lineRule="exact"/>
        <w:ind w:firstLine="420" w:firstLineChars="200"/>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为在</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天等县宁干乡宁干村2026年“千村引领，万村提升”示范创建项目(宁干乡宁干村屯内道路硬化及配套工程)</w:t>
      </w:r>
      <w:r>
        <w:rPr>
          <w:rStyle w:val="56"/>
          <w:rFonts w:hint="eastAsia" w:ascii="宋体" w:hAnsi="宋体" w:eastAsia="宋体" w:cs="宋体"/>
          <w:color w:val="000000" w:themeColor="text1"/>
          <w:sz w:val="21"/>
          <w:szCs w:val="21"/>
          <w:highlight w:val="none"/>
          <w14:textFill>
            <w14:solidFill>
              <w14:schemeClr w14:val="tx1"/>
            </w14:solidFill>
          </w14:textFill>
        </w:rPr>
        <w:t>施工合同的实施过程中创造安全、高效的施工环境，切实搞好本项目的安全管理工作，本项目发包人</w:t>
      </w:r>
      <w:r>
        <w:rPr>
          <w:rStyle w:val="56"/>
          <w:rFonts w:hint="eastAsia" w:ascii="宋体" w:hAnsi="宋体" w:eastAsia="宋体" w:cs="宋体"/>
          <w:color w:val="000000" w:themeColor="text1"/>
          <w:sz w:val="21"/>
          <w:szCs w:val="21"/>
          <w:highlight w:val="none"/>
          <w:u w:val="single"/>
          <w14:textFill>
            <w14:solidFill>
              <w14:schemeClr w14:val="tx1"/>
            </w14:solidFill>
          </w14:textFill>
        </w:rPr>
        <w:t>天等县交通运输局</w:t>
      </w:r>
      <w:r>
        <w:rPr>
          <w:rStyle w:val="56"/>
          <w:rFonts w:hint="eastAsia" w:ascii="宋体" w:hAnsi="宋体" w:eastAsia="宋体" w:cs="宋体"/>
          <w:color w:val="000000" w:themeColor="text1"/>
          <w:sz w:val="21"/>
          <w:szCs w:val="21"/>
          <w:highlight w:val="none"/>
          <w14:textFill>
            <w14:solidFill>
              <w14:schemeClr w14:val="tx1"/>
            </w14:solidFill>
          </w14:textFill>
        </w:rPr>
        <w:t>(发包人名称，以下简称“发包人”）与承包人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(承包人名称，以下简称“承包人”）特此签订安全生产合同：</w:t>
      </w:r>
    </w:p>
    <w:p w14:paraId="4A1CC21A">
      <w:pPr>
        <w:pStyle w:val="58"/>
        <w:keepNext/>
        <w:keepLines/>
        <w:shd w:val="clear" w:color="auto" w:fill="auto"/>
        <w:tabs>
          <w:tab w:val="left" w:pos="994"/>
        </w:tabs>
        <w:spacing w:before="0" w:after="0" w:line="389" w:lineRule="exact"/>
        <w:jc w:val="both"/>
        <w:outlineLvl w:val="9"/>
        <w:rPr>
          <w:rFonts w:hint="eastAsia" w:ascii="宋体" w:hAnsi="宋体" w:eastAsia="宋体" w:cs="宋体"/>
          <w:color w:val="000000" w:themeColor="text1"/>
          <w:spacing w:val="0"/>
          <w:sz w:val="21"/>
          <w:szCs w:val="21"/>
          <w:highlight w:val="none"/>
          <w14:textFill>
            <w14:solidFill>
              <w14:schemeClr w14:val="tx1"/>
            </w14:solidFill>
          </w14:textFill>
        </w:rPr>
      </w:pPr>
      <w:bookmarkStart w:id="160" w:name="bookmark192"/>
      <w:bookmarkStart w:id="161" w:name="_Toc514786913"/>
      <w:r>
        <w:rPr>
          <w:rStyle w:val="59"/>
          <w:rFonts w:hint="eastAsia" w:ascii="宋体" w:hAnsi="宋体" w:eastAsia="宋体" w:cs="宋体"/>
          <w:b/>
          <w:bCs/>
          <w:color w:val="000000" w:themeColor="text1"/>
          <w:sz w:val="21"/>
          <w:szCs w:val="21"/>
          <w:highlight w:val="none"/>
          <w14:textFill>
            <w14:solidFill>
              <w14:schemeClr w14:val="tx1"/>
            </w14:solidFill>
          </w14:textFill>
        </w:rPr>
        <w:t>1．发包人职责</w:t>
      </w:r>
      <w:bookmarkEnd w:id="160"/>
      <w:bookmarkEnd w:id="161"/>
    </w:p>
    <w:p w14:paraId="7485D508">
      <w:pPr>
        <w:pStyle w:val="55"/>
        <w:numPr>
          <w:ilvl w:val="0"/>
          <w:numId w:val="0"/>
        </w:numPr>
        <w:shd w:val="clear" w:color="auto" w:fill="auto"/>
        <w:tabs>
          <w:tab w:val="left" w:pos="1268"/>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）严格遵守国家有关安全生产的法律法规，认真执行工程承包合同中的有关安全要求。</w:t>
      </w:r>
    </w:p>
    <w:p w14:paraId="377C7ED4">
      <w:pPr>
        <w:pStyle w:val="55"/>
        <w:numPr>
          <w:ilvl w:val="0"/>
          <w:numId w:val="0"/>
        </w:numPr>
        <w:shd w:val="clear" w:color="auto" w:fill="auto"/>
        <w:tabs>
          <w:tab w:val="left" w:pos="1273"/>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2</w:t>
      </w:r>
      <w:r>
        <w:rPr>
          <w:rStyle w:val="56"/>
          <w:rFonts w:hint="eastAsia" w:ascii="宋体" w:hAnsi="宋体" w:eastAsia="宋体" w:cs="宋体"/>
          <w:color w:val="000000" w:themeColor="text1"/>
          <w:sz w:val="21"/>
          <w:szCs w:val="21"/>
          <w:highlight w:val="none"/>
          <w14:textFill>
            <w14:solidFill>
              <w14:schemeClr w14:val="tx1"/>
            </w14:solidFill>
          </w14:textFill>
        </w:rPr>
        <w:t>）按照“安全第一、预防为主”和坚持“管生产必须管安全”的原则进行安全生产管理，做到生产与安全工作同时计划、布置、检查、总结和评比。</w:t>
      </w:r>
    </w:p>
    <w:p w14:paraId="552C45C7">
      <w:pPr>
        <w:pStyle w:val="55"/>
        <w:numPr>
          <w:ilvl w:val="0"/>
          <w:numId w:val="0"/>
        </w:numPr>
        <w:shd w:val="clear" w:color="auto" w:fill="auto"/>
        <w:tabs>
          <w:tab w:val="left" w:pos="1263"/>
        </w:tabs>
        <w:spacing w:before="0" w:line="389"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3</w:t>
      </w:r>
      <w:r>
        <w:rPr>
          <w:rStyle w:val="56"/>
          <w:rFonts w:hint="eastAsia" w:ascii="宋体" w:hAnsi="宋体" w:eastAsia="宋体" w:cs="宋体"/>
          <w:color w:val="000000" w:themeColor="text1"/>
          <w:sz w:val="21"/>
          <w:szCs w:val="21"/>
          <w:highlight w:val="none"/>
          <w14:textFill>
            <w14:solidFill>
              <w14:schemeClr w14:val="tx1"/>
            </w14:solidFill>
          </w14:textFill>
        </w:rPr>
        <w:t>）重要的安全设施必须坚持与主体工程“三同时”的原则：同时设计、 审批，同时施工，同时验收，投入使用。</w:t>
      </w:r>
    </w:p>
    <w:p w14:paraId="57DAA380">
      <w:pPr>
        <w:pStyle w:val="55"/>
        <w:numPr>
          <w:ilvl w:val="0"/>
          <w:numId w:val="0"/>
        </w:numPr>
        <w:shd w:val="clear" w:color="auto" w:fill="auto"/>
        <w:tabs>
          <w:tab w:val="left" w:pos="1311"/>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4</w:t>
      </w:r>
      <w:r>
        <w:rPr>
          <w:rStyle w:val="56"/>
          <w:rFonts w:hint="eastAsia" w:ascii="宋体" w:hAnsi="宋体" w:eastAsia="宋体" w:cs="宋体"/>
          <w:color w:val="000000" w:themeColor="text1"/>
          <w:sz w:val="21"/>
          <w:szCs w:val="21"/>
          <w:highlight w:val="none"/>
          <w14:textFill>
            <w14:solidFill>
              <w14:schemeClr w14:val="tx1"/>
            </w14:solidFill>
          </w14:textFill>
        </w:rPr>
        <w:t>）定期召开安全生产调度会，及时传达中央及地方有关安全生产的精神。</w:t>
      </w:r>
    </w:p>
    <w:p w14:paraId="794955D0">
      <w:pPr>
        <w:pStyle w:val="55"/>
        <w:numPr>
          <w:ilvl w:val="0"/>
          <w:numId w:val="0"/>
        </w:numPr>
        <w:shd w:val="clear" w:color="auto" w:fill="auto"/>
        <w:tabs>
          <w:tab w:val="left" w:pos="1273"/>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5</w:t>
      </w:r>
      <w:r>
        <w:rPr>
          <w:rStyle w:val="56"/>
          <w:rFonts w:hint="eastAsia" w:ascii="宋体" w:hAnsi="宋体" w:eastAsia="宋体" w:cs="宋体"/>
          <w:color w:val="000000" w:themeColor="text1"/>
          <w:sz w:val="21"/>
          <w:szCs w:val="21"/>
          <w:highlight w:val="none"/>
          <w14:textFill>
            <w14:solidFill>
              <w14:schemeClr w14:val="tx1"/>
            </w14:solidFill>
          </w14:textFill>
        </w:rPr>
        <w:t>）组织对承包人施工现场进行安全生产检查，监督承包人及时处理发现的各种安全隐患。</w:t>
      </w:r>
    </w:p>
    <w:p w14:paraId="0D718E2E">
      <w:pPr>
        <w:pStyle w:val="58"/>
        <w:keepNext/>
        <w:keepLines/>
        <w:shd w:val="clear" w:color="auto" w:fill="auto"/>
        <w:tabs>
          <w:tab w:val="left" w:pos="1018"/>
        </w:tabs>
        <w:spacing w:before="0" w:after="0" w:line="389" w:lineRule="exact"/>
        <w:jc w:val="both"/>
        <w:outlineLvl w:val="9"/>
        <w:rPr>
          <w:rFonts w:hint="eastAsia" w:ascii="宋体" w:hAnsi="宋体" w:eastAsia="宋体" w:cs="宋体"/>
          <w:color w:val="000000" w:themeColor="text1"/>
          <w:spacing w:val="0"/>
          <w:sz w:val="21"/>
          <w:szCs w:val="21"/>
          <w:highlight w:val="none"/>
          <w14:textFill>
            <w14:solidFill>
              <w14:schemeClr w14:val="tx1"/>
            </w14:solidFill>
          </w14:textFill>
        </w:rPr>
      </w:pPr>
      <w:bookmarkStart w:id="162" w:name="_Toc514786914"/>
      <w:bookmarkStart w:id="163" w:name="bookmark193"/>
      <w:r>
        <w:rPr>
          <w:rStyle w:val="59"/>
          <w:rFonts w:hint="eastAsia" w:ascii="宋体" w:hAnsi="宋体" w:eastAsia="宋体" w:cs="宋体"/>
          <w:b/>
          <w:bCs/>
          <w:color w:val="000000" w:themeColor="text1"/>
          <w:sz w:val="21"/>
          <w:szCs w:val="21"/>
          <w:highlight w:val="none"/>
          <w14:textFill>
            <w14:solidFill>
              <w14:schemeClr w14:val="tx1"/>
            </w14:solidFill>
          </w14:textFill>
        </w:rPr>
        <w:t>2．承包人职责</w:t>
      </w:r>
      <w:bookmarkEnd w:id="162"/>
      <w:bookmarkEnd w:id="163"/>
    </w:p>
    <w:p w14:paraId="5BBE3115">
      <w:pPr>
        <w:pStyle w:val="55"/>
        <w:numPr>
          <w:ilvl w:val="0"/>
          <w:numId w:val="0"/>
        </w:numPr>
        <w:shd w:val="clear" w:color="auto" w:fill="auto"/>
        <w:tabs>
          <w:tab w:val="left" w:pos="1270"/>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w:t>
      </w:r>
      <w:r>
        <w:rPr>
          <w:rStyle w:val="56"/>
          <w:rFonts w:hint="eastAsia" w:ascii="宋体" w:hAnsi="宋体" w:eastAsia="宋体" w:cs="宋体"/>
          <w:color w:val="000000" w:themeColor="text1"/>
          <w:sz w:val="21"/>
          <w:szCs w:val="21"/>
          <w:highlight w:val="none"/>
          <w14:textFill>
            <w14:solidFill>
              <w14:schemeClr w14:val="tx1"/>
            </w14:solidFill>
          </w14:textFill>
        </w:rPr>
        <w:t>）严格遵守《中华人民共和国安全生产法》、《建设工程安全生产管理条例》 等国家有关安全生产的法律法规、《公路水运工程安全生产监督管理办法》和《公路工程施工安全技术规范》等有关安全生产的规定。认真执行工程承包合同中的有关安全要求。</w:t>
      </w:r>
    </w:p>
    <w:p w14:paraId="0E43A0C1">
      <w:pPr>
        <w:pStyle w:val="55"/>
        <w:numPr>
          <w:ilvl w:val="0"/>
          <w:numId w:val="0"/>
        </w:numPr>
        <w:shd w:val="clear" w:color="auto" w:fill="auto"/>
        <w:tabs>
          <w:tab w:val="left" w:pos="1275"/>
        </w:tabs>
        <w:spacing w:before="0" w:line="389"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2</w:t>
      </w:r>
      <w:r>
        <w:rPr>
          <w:rStyle w:val="56"/>
          <w:rFonts w:hint="eastAsia" w:ascii="宋体" w:hAnsi="宋体" w:eastAsia="宋体" w:cs="宋体"/>
          <w:color w:val="000000" w:themeColor="text1"/>
          <w:sz w:val="21"/>
          <w:szCs w:val="21"/>
          <w:highlight w:val="none"/>
          <w14:textFill>
            <w14:solidFill>
              <w14:schemeClr w14:val="tx1"/>
            </w14:solidFill>
          </w14:textFill>
        </w:rPr>
        <w:t>）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 各级领导、工程技术人员、生产管理人员和具体操作人员，必须熟悉和遵守本合同的各项规定，做到生产与安全工作同时计划、布置、检查、总结和评比。</w:t>
      </w:r>
    </w:p>
    <w:p w14:paraId="5FAC2890">
      <w:pPr>
        <w:pStyle w:val="55"/>
        <w:numPr>
          <w:ilvl w:val="0"/>
          <w:numId w:val="0"/>
        </w:numPr>
        <w:shd w:val="clear" w:color="auto" w:fill="auto"/>
        <w:tabs>
          <w:tab w:val="left" w:pos="1275"/>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3</w:t>
      </w:r>
      <w:r>
        <w:rPr>
          <w:rStyle w:val="56"/>
          <w:rFonts w:hint="eastAsia" w:ascii="宋体" w:hAnsi="宋体" w:eastAsia="宋体" w:cs="宋体"/>
          <w:color w:val="000000" w:themeColor="text1"/>
          <w:sz w:val="21"/>
          <w:szCs w:val="21"/>
          <w:highlight w:val="none"/>
          <w14:textFill>
            <w14:solidFill>
              <w14:schemeClr w14:val="tx1"/>
            </w14:solidFill>
          </w14:textFill>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 护性措施防止事故发生。</w:t>
      </w:r>
    </w:p>
    <w:p w14:paraId="4A991503">
      <w:pPr>
        <w:pStyle w:val="55"/>
        <w:numPr>
          <w:ilvl w:val="0"/>
          <w:numId w:val="0"/>
        </w:numPr>
        <w:shd w:val="clear" w:color="auto" w:fill="auto"/>
        <w:tabs>
          <w:tab w:val="left" w:pos="531"/>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5</w:t>
      </w:r>
      <w:r>
        <w:rPr>
          <w:rStyle w:val="56"/>
          <w:rFonts w:hint="eastAsia" w:ascii="宋体" w:hAnsi="宋体" w:eastAsia="宋体" w:cs="宋体"/>
          <w:color w:val="000000" w:themeColor="text1"/>
          <w:sz w:val="21"/>
          <w:szCs w:val="21"/>
          <w:highlight w:val="none"/>
          <w14:textFill>
            <w14:solidFill>
              <w14:schemeClr w14:val="tx1"/>
            </w14:solidFill>
          </w14:textFill>
        </w:rPr>
        <w:t>）承包人在任何时候都应采取各种合理的预防措施，防止其员工发生任何违法、违禁、暴力或妨碍治安的行为。</w:t>
      </w:r>
    </w:p>
    <w:p w14:paraId="71BA19BD">
      <w:pPr>
        <w:pStyle w:val="55"/>
        <w:numPr>
          <w:ilvl w:val="0"/>
          <w:numId w:val="0"/>
        </w:numPr>
        <w:shd w:val="clear" w:color="auto" w:fill="auto"/>
        <w:tabs>
          <w:tab w:val="left" w:pos="1273"/>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6</w:t>
      </w:r>
      <w:r>
        <w:rPr>
          <w:rStyle w:val="56"/>
          <w:rFonts w:hint="eastAsia" w:ascii="宋体" w:hAnsi="宋体" w:eastAsia="宋体" w:cs="宋体"/>
          <w:color w:val="000000" w:themeColor="text1"/>
          <w:sz w:val="21"/>
          <w:szCs w:val="21"/>
          <w:highlight w:val="none"/>
          <w14:textFill>
            <w14:solidFill>
              <w14:schemeClr w14:val="tx1"/>
            </w14:solidFill>
          </w14:textFill>
        </w:rPr>
        <w:t>）承包人必须具有劳动安全管理部门颁发的安全生产考核合格证书，参加施工的人员，必须接受安全技术教育，熟知和遵守本工种的各项安全技术操作规程，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2B5B561">
      <w:pPr>
        <w:pStyle w:val="55"/>
        <w:numPr>
          <w:ilvl w:val="0"/>
          <w:numId w:val="0"/>
        </w:numPr>
        <w:shd w:val="clear" w:color="auto" w:fill="auto"/>
        <w:tabs>
          <w:tab w:val="left" w:pos="1273"/>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7</w:t>
      </w:r>
      <w:r>
        <w:rPr>
          <w:rStyle w:val="56"/>
          <w:rFonts w:hint="eastAsia" w:ascii="宋体" w:hAnsi="宋体" w:eastAsia="宋体" w:cs="宋体"/>
          <w:color w:val="000000" w:themeColor="text1"/>
          <w:sz w:val="21"/>
          <w:szCs w:val="21"/>
          <w:highlight w:val="none"/>
          <w14:textFill>
            <w14:solidFill>
              <w14:schemeClr w14:val="tx1"/>
            </w14:solidFill>
          </w14:textFill>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22843A9">
      <w:pPr>
        <w:pStyle w:val="55"/>
        <w:numPr>
          <w:ilvl w:val="0"/>
          <w:numId w:val="0"/>
        </w:numPr>
        <w:shd w:val="clear" w:color="auto" w:fill="auto"/>
        <w:tabs>
          <w:tab w:val="left" w:pos="1261"/>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8</w:t>
      </w:r>
      <w:r>
        <w:rPr>
          <w:rStyle w:val="56"/>
          <w:rFonts w:hint="eastAsia" w:ascii="宋体" w:hAnsi="宋体" w:eastAsia="宋体" w:cs="宋体"/>
          <w:color w:val="000000" w:themeColor="text1"/>
          <w:sz w:val="21"/>
          <w:szCs w:val="21"/>
          <w:highlight w:val="none"/>
          <w14:textFill>
            <w14:solidFill>
              <w14:schemeClr w14:val="tx1"/>
            </w14:solidFill>
          </w14:textFill>
        </w:rPr>
        <w:t>）操作人员上岗，必须按规定穿戴防护用品。施工负责人和安全检查员应随时检查劳动防护用品的穿戴情况，不按规定穿戴防护用品的人员不得上岗。</w:t>
      </w:r>
    </w:p>
    <w:p w14:paraId="10959A88">
      <w:pPr>
        <w:pStyle w:val="55"/>
        <w:numPr>
          <w:ilvl w:val="0"/>
          <w:numId w:val="0"/>
        </w:numPr>
        <w:shd w:val="clear" w:color="auto" w:fill="auto"/>
        <w:tabs>
          <w:tab w:val="left" w:pos="1273"/>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9</w:t>
      </w:r>
      <w:r>
        <w:rPr>
          <w:rStyle w:val="56"/>
          <w:rFonts w:hint="eastAsia" w:ascii="宋体" w:hAnsi="宋体" w:eastAsia="宋体" w:cs="宋体"/>
          <w:color w:val="000000" w:themeColor="text1"/>
          <w:sz w:val="21"/>
          <w:szCs w:val="21"/>
          <w:highlight w:val="none"/>
          <w14:textFill>
            <w14:solidFill>
              <w14:schemeClr w14:val="tx1"/>
            </w14:solidFill>
          </w14:textFill>
        </w:rPr>
        <w:t>）所有施工机具设备和高空作业的设备均应定期检查，并有安全员的签字记录，保证其经常处于完好状态；不合格的机具、设备和劳动保护用品严禁使用。</w:t>
      </w:r>
    </w:p>
    <w:p w14:paraId="7259CF7C">
      <w:pPr>
        <w:pStyle w:val="55"/>
        <w:numPr>
          <w:ilvl w:val="0"/>
          <w:numId w:val="0"/>
        </w:numPr>
        <w:shd w:val="clear" w:color="auto" w:fill="auto"/>
        <w:tabs>
          <w:tab w:val="left" w:pos="1270"/>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10</w:t>
      </w:r>
      <w:r>
        <w:rPr>
          <w:rStyle w:val="56"/>
          <w:rFonts w:hint="eastAsia" w:ascii="宋体" w:hAnsi="宋体" w:eastAsia="宋体" w:cs="宋体"/>
          <w:color w:val="000000" w:themeColor="text1"/>
          <w:sz w:val="21"/>
          <w:szCs w:val="21"/>
          <w:highlight w:val="none"/>
          <w14:textFill>
            <w14:solidFill>
              <w14:schemeClr w14:val="tx1"/>
            </w14:solidFill>
          </w14:textFill>
        </w:rPr>
        <w:t>）施工中采用新技术、新工艺、新设备、新材料时，必须制定相应的安全技术措施，施工现场必须具有相关的安全标志牌。</w:t>
      </w:r>
    </w:p>
    <w:p w14:paraId="59F46C6A">
      <w:pPr>
        <w:pStyle w:val="55"/>
        <w:numPr>
          <w:ilvl w:val="0"/>
          <w:numId w:val="0"/>
        </w:numPr>
        <w:shd w:val="clear" w:color="auto" w:fill="auto"/>
        <w:tabs>
          <w:tab w:val="left" w:pos="1390"/>
        </w:tabs>
        <w:spacing w:before="0" w:line="389"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11</w:t>
      </w:r>
      <w:r>
        <w:rPr>
          <w:rStyle w:val="56"/>
          <w:rFonts w:hint="eastAsia" w:ascii="宋体" w:hAnsi="宋体" w:eastAsia="宋体" w:cs="宋体"/>
          <w:color w:val="000000" w:themeColor="text1"/>
          <w:sz w:val="21"/>
          <w:szCs w:val="21"/>
          <w:highlight w:val="none"/>
          <w14:textFill>
            <w14:solidFill>
              <w14:schemeClr w14:val="tx1"/>
            </w14:solidFill>
          </w14:textFill>
        </w:rPr>
        <w:t>）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 严肃处理相关责任人。</w:t>
      </w:r>
    </w:p>
    <w:p w14:paraId="1A35B2C7">
      <w:pPr>
        <w:pStyle w:val="55"/>
        <w:numPr>
          <w:ilvl w:val="0"/>
          <w:numId w:val="0"/>
        </w:numPr>
        <w:shd w:val="clear" w:color="auto" w:fill="auto"/>
        <w:tabs>
          <w:tab w:val="left" w:pos="1390"/>
        </w:tabs>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w:t>
      </w:r>
      <w:r>
        <w:rPr>
          <w:rStyle w:val="56"/>
          <w:rFonts w:hint="eastAsia" w:ascii="宋体" w:hAnsi="宋体" w:eastAsia="宋体" w:cs="宋体"/>
          <w:color w:val="000000" w:themeColor="text1"/>
          <w:sz w:val="21"/>
          <w:szCs w:val="21"/>
          <w:highlight w:val="none"/>
          <w:lang w:val="en-US"/>
          <w14:textFill>
            <w14:solidFill>
              <w14:schemeClr w14:val="tx1"/>
            </w14:solidFill>
          </w14:textFill>
        </w:rPr>
        <w:t>12</w:t>
      </w:r>
      <w:r>
        <w:rPr>
          <w:rStyle w:val="56"/>
          <w:rFonts w:hint="eastAsia" w:ascii="宋体" w:hAnsi="宋体" w:eastAsia="宋体" w:cs="宋体"/>
          <w:color w:val="000000" w:themeColor="text1"/>
          <w:sz w:val="21"/>
          <w:szCs w:val="21"/>
          <w:highlight w:val="none"/>
          <w14:textFill>
            <w14:solidFill>
              <w14:schemeClr w14:val="tx1"/>
            </w14:solidFill>
          </w14:textFill>
        </w:rPr>
        <w:t>）安全生产费用按照《公路水运工程安全生产监督管理办法》的相关规定使用和管理。</w:t>
      </w:r>
    </w:p>
    <w:p w14:paraId="7BD98AF9">
      <w:pPr>
        <w:pStyle w:val="61"/>
        <w:shd w:val="clear" w:color="auto" w:fill="auto"/>
        <w:tabs>
          <w:tab w:val="left" w:pos="994"/>
        </w:tabs>
        <w:spacing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60"/>
          <w:rFonts w:hint="eastAsia" w:ascii="宋体" w:hAnsi="宋体" w:eastAsia="宋体" w:cs="宋体"/>
          <w:b/>
          <w:bCs/>
          <w:color w:val="000000" w:themeColor="text1"/>
          <w:sz w:val="21"/>
          <w:szCs w:val="21"/>
          <w:highlight w:val="none"/>
          <w14:textFill>
            <w14:solidFill>
              <w14:schemeClr w14:val="tx1"/>
            </w14:solidFill>
          </w14:textFill>
        </w:rPr>
        <w:t>3．违约责任</w:t>
      </w:r>
    </w:p>
    <w:p w14:paraId="5EED1014">
      <w:pPr>
        <w:pStyle w:val="55"/>
        <w:shd w:val="clear" w:color="auto" w:fill="auto"/>
        <w:spacing w:before="0" w:line="389" w:lineRule="exact"/>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如因发包人或承包人违约造成安全事故，将依法追究责任。</w:t>
      </w:r>
    </w:p>
    <w:p w14:paraId="1AFAFC92">
      <w:pPr>
        <w:pStyle w:val="55"/>
        <w:shd w:val="clear" w:color="auto" w:fill="auto"/>
        <w:tabs>
          <w:tab w:val="left" w:pos="966"/>
        </w:tabs>
        <w:spacing w:before="0" w:line="389" w:lineRule="exact"/>
        <w:jc w:val="left"/>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4．本合同由双方法定代表人或其授权的代理人签署并加盖单位章后生效，全部工程竣工验收后失效。</w:t>
      </w:r>
    </w:p>
    <w:p w14:paraId="078EF1CF">
      <w:pPr>
        <w:pStyle w:val="55"/>
        <w:shd w:val="clear" w:color="auto" w:fill="auto"/>
        <w:tabs>
          <w:tab w:val="left" w:leader="underscore" w:pos="2747"/>
          <w:tab w:val="left" w:pos="4634"/>
          <w:tab w:val="left" w:leader="underscore" w:pos="7408"/>
        </w:tabs>
        <w:spacing w:before="0" w:line="720" w:lineRule="auto"/>
        <w:jc w:val="both"/>
        <w:rPr>
          <w:rStyle w:val="57"/>
          <w:rFonts w:hint="eastAsia" w:ascii="宋体" w:hAnsi="宋体" w:eastAsia="宋体" w:cs="宋体"/>
          <w:i w:val="0"/>
          <w:color w:val="000000" w:themeColor="text1"/>
          <w:spacing w:val="0"/>
          <w:sz w:val="21"/>
          <w:szCs w:val="21"/>
          <w:highlight w:val="none"/>
          <w14:textFill>
            <w14:solidFill>
              <w14:schemeClr w14:val="tx1"/>
            </w14:solidFill>
          </w14:textFill>
        </w:rPr>
      </w:pPr>
    </w:p>
    <w:p w14:paraId="7E71B1FF">
      <w:pPr>
        <w:pStyle w:val="55"/>
        <w:shd w:val="clear" w:color="auto" w:fill="auto"/>
        <w:tabs>
          <w:tab w:val="left" w:leader="underscore" w:pos="2747"/>
          <w:tab w:val="left" w:pos="4634"/>
          <w:tab w:val="left" w:leader="underscore" w:pos="7408"/>
        </w:tabs>
        <w:spacing w:before="0" w:line="720" w:lineRule="auto"/>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7"/>
          <w:rFonts w:hint="eastAsia" w:ascii="宋体" w:hAnsi="宋体" w:eastAsia="宋体" w:cs="宋体"/>
          <w:i w:val="0"/>
          <w:color w:val="000000" w:themeColor="text1"/>
          <w:spacing w:val="0"/>
          <w:sz w:val="21"/>
          <w:szCs w:val="21"/>
          <w:highlight w:val="none"/>
          <w14:textFill>
            <w14:solidFill>
              <w14:schemeClr w14:val="tx1"/>
            </w14:solidFill>
          </w14:textFill>
        </w:rPr>
        <w:t>发包人</w:t>
      </w:r>
      <w:r>
        <w:rPr>
          <w:rStyle w:val="57"/>
          <w:rFonts w:hint="eastAsia" w:ascii="宋体" w:hAnsi="宋体" w:eastAsia="宋体" w:cs="宋体"/>
          <w:color w:val="000000" w:themeColor="text1"/>
          <w:spacing w:val="0"/>
          <w:sz w:val="21"/>
          <w:szCs w:val="21"/>
          <w:highlight w:val="none"/>
          <w14:textFill>
            <w14:solidFill>
              <w14:schemeClr w14:val="tx1"/>
            </w14:solidFill>
          </w14:textFill>
        </w:rPr>
        <w:t>:</w:t>
      </w:r>
      <w:r>
        <w:rPr>
          <w:rStyle w:val="57"/>
          <w:rFonts w:hint="eastAsia" w:ascii="宋体" w:hAnsi="宋体" w:eastAsia="宋体" w:cs="宋体"/>
          <w:color w:val="000000" w:themeColor="text1"/>
          <w:spacing w:val="0"/>
          <w:sz w:val="21"/>
          <w:szCs w:val="21"/>
          <w:highlight w:val="non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天等县交通运输局 </w:t>
      </w:r>
      <w:r>
        <w:rPr>
          <w:rStyle w:val="56"/>
          <w:rFonts w:hint="eastAsia" w:ascii="宋体" w:hAnsi="宋体" w:eastAsia="宋体" w:cs="宋体"/>
          <w:color w:val="000000" w:themeColor="text1"/>
          <w:sz w:val="21"/>
          <w:szCs w:val="21"/>
          <w:highlight w:val="none"/>
          <w14:textFill>
            <w14:solidFill>
              <w14:schemeClr w14:val="tx1"/>
            </w14:solidFill>
          </w14:textFill>
        </w:rPr>
        <w:t xml:space="preserve"> (盖单位章）承包人：(盖单位章)</w:t>
      </w:r>
    </w:p>
    <w:p w14:paraId="4E922514">
      <w:pPr>
        <w:pStyle w:val="55"/>
        <w:shd w:val="clear" w:color="auto" w:fill="auto"/>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before="0" w:line="720" w:lineRule="auto"/>
        <w:jc w:val="left"/>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法定代表人或其委托代理人：</w:t>
      </w:r>
      <w:r>
        <w:rPr>
          <w:rStyle w:val="56"/>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u w:val="single"/>
          <w14:textFill>
            <w14:solidFill>
              <w14:schemeClr w14:val="tx1"/>
            </w14:solidFill>
          </w14:textFill>
        </w:rPr>
        <w:t>（</w:t>
      </w:r>
      <w:r>
        <w:rPr>
          <w:rStyle w:val="56"/>
          <w:rFonts w:hint="eastAsia" w:ascii="宋体" w:hAnsi="宋体" w:eastAsia="宋体" w:cs="宋体"/>
          <w:color w:val="000000" w:themeColor="text1"/>
          <w:sz w:val="21"/>
          <w:szCs w:val="21"/>
          <w:highlight w:val="none"/>
          <w14:textFill>
            <w14:solidFill>
              <w14:schemeClr w14:val="tx1"/>
            </w14:solidFill>
          </w14:textFill>
        </w:rPr>
        <w:t>签字）    法定代表人或其委托代理人：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 xml:space="preserve">(签字) </w:t>
      </w:r>
    </w:p>
    <w:p w14:paraId="5B035FE3">
      <w:pPr>
        <w:pStyle w:val="55"/>
        <w:shd w:val="clear" w:color="auto" w:fill="auto"/>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before="0" w:line="720" w:lineRule="auto"/>
        <w:ind w:firstLine="884" w:firstLineChars="421"/>
        <w:jc w:val="left"/>
        <w:rPr>
          <w:rStyle w:val="56"/>
          <w:rFonts w:hint="eastAsia" w:ascii="宋体" w:hAnsi="宋体" w:eastAsia="宋体" w:cs="宋体"/>
          <w:color w:val="000000" w:themeColor="text1"/>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2026年   </w:t>
      </w:r>
      <w:r>
        <w:rPr>
          <w:rStyle w:val="56"/>
          <w:rFonts w:hint="eastAsia" w:ascii="宋体" w:hAnsi="宋体" w:eastAsia="宋体" w:cs="宋体"/>
          <w:color w:val="000000" w:themeColor="text1"/>
          <w:sz w:val="21"/>
          <w:szCs w:val="21"/>
          <w:highlight w:val="none"/>
          <w14:textFill>
            <w14:solidFill>
              <w14:schemeClr w14:val="tx1"/>
            </w14:solidFill>
          </w14:textFill>
        </w:rPr>
        <w:t>月</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日</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2026年   </w:t>
      </w:r>
      <w:r>
        <w:rPr>
          <w:rStyle w:val="56"/>
          <w:rFonts w:hint="eastAsia" w:ascii="宋体" w:hAnsi="宋体" w:eastAsia="宋体" w:cs="宋体"/>
          <w:color w:val="000000" w:themeColor="text1"/>
          <w:sz w:val="21"/>
          <w:szCs w:val="21"/>
          <w:highlight w:val="none"/>
          <w14:textFill>
            <w14:solidFill>
              <w14:schemeClr w14:val="tx1"/>
            </w14:solidFill>
          </w14:textFill>
        </w:rPr>
        <w:t>月</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日</w:t>
      </w:r>
      <w:bookmarkStart w:id="164" w:name="_Toc511595196"/>
      <w:bookmarkStart w:id="165" w:name="_Toc508779712"/>
      <w:bookmarkStart w:id="166" w:name="_Toc394929419"/>
      <w:bookmarkStart w:id="167" w:name="_Toc4646"/>
    </w:p>
    <w:p w14:paraId="3DE05353">
      <w:pPr>
        <w:pStyle w:val="55"/>
        <w:shd w:val="clear" w:color="auto" w:fill="auto"/>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before="0" w:line="720" w:lineRule="auto"/>
        <w:ind w:firstLine="884" w:firstLineChars="421"/>
        <w:jc w:val="left"/>
        <w:rPr>
          <w:rStyle w:val="56"/>
          <w:rFonts w:hint="eastAsia" w:ascii="宋体" w:hAnsi="宋体" w:eastAsia="宋体" w:cs="宋体"/>
          <w:color w:val="000000" w:themeColor="text1"/>
          <w:sz w:val="21"/>
          <w:szCs w:val="21"/>
          <w:highlight w:val="none"/>
          <w14:textFill>
            <w14:solidFill>
              <w14:schemeClr w14:val="tx1"/>
            </w14:solidFill>
          </w14:textFill>
        </w:rPr>
      </w:pPr>
    </w:p>
    <w:p w14:paraId="1D655565">
      <w:pPr>
        <w:pStyle w:val="55"/>
        <w:shd w:val="clear" w:color="auto" w:fill="auto"/>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before="0" w:line="720" w:lineRule="auto"/>
        <w:ind w:firstLine="884" w:firstLineChars="421"/>
        <w:jc w:val="left"/>
        <w:rPr>
          <w:rStyle w:val="56"/>
          <w:rFonts w:hint="eastAsia" w:ascii="宋体" w:hAnsi="宋体" w:eastAsia="宋体" w:cs="宋体"/>
          <w:color w:val="000000" w:themeColor="text1"/>
          <w:sz w:val="21"/>
          <w:szCs w:val="21"/>
          <w:highlight w:val="none"/>
          <w14:textFill>
            <w14:solidFill>
              <w14:schemeClr w14:val="tx1"/>
            </w14:solidFill>
          </w14:textFill>
        </w:rPr>
      </w:pPr>
    </w:p>
    <w:p w14:paraId="283567D0">
      <w:pPr>
        <w:widowControl w:val="0"/>
        <w:numPr>
          <w:ilvl w:val="0"/>
          <w:numId w:val="0"/>
        </w:numPr>
        <w:jc w:val="both"/>
        <w:rPr>
          <w:rFonts w:hint="default" w:eastAsia="宋体"/>
          <w:b/>
          <w:bCs/>
          <w:sz w:val="22"/>
          <w:szCs w:val="22"/>
          <w:lang w:val="en-US" w:eastAsia="zh-CN"/>
        </w:rPr>
      </w:pPr>
      <w:r>
        <w:rPr>
          <w:rFonts w:hint="eastAsia"/>
          <w:b/>
          <w:bCs/>
          <w:sz w:val="22"/>
          <w:szCs w:val="22"/>
          <w:lang w:val="en-US" w:eastAsia="zh-CN"/>
        </w:rPr>
        <w:t>四、成交通知书复印件</w:t>
      </w:r>
    </w:p>
    <w:p w14:paraId="4EEDD160">
      <w:pPr>
        <w:pStyle w:val="2"/>
        <w:rPr>
          <w:rFonts w:hint="eastAsia" w:ascii="Times New Roman" w:hAnsi="Times New Roman" w:eastAsia="宋体" w:cs="Times New Roman"/>
          <w:b/>
          <w:bCs/>
          <w:sz w:val="22"/>
          <w:szCs w:val="22"/>
          <w:lang w:val="en-US" w:eastAsia="zh-CN" w:bidi="hi-IN"/>
        </w:rPr>
      </w:pPr>
    </w:p>
    <w:p w14:paraId="108DDDD2">
      <w:pPr>
        <w:rPr>
          <w:rFonts w:hint="eastAsia" w:ascii="Times New Roman" w:hAnsi="Times New Roman" w:eastAsia="宋体" w:cs="Times New Roman"/>
          <w:b/>
          <w:bCs/>
          <w:sz w:val="22"/>
          <w:szCs w:val="22"/>
          <w:lang w:val="en-US" w:eastAsia="zh-CN" w:bidi="hi-IN"/>
        </w:rPr>
      </w:pPr>
    </w:p>
    <w:p w14:paraId="182EDAE4">
      <w:pPr>
        <w:pStyle w:val="6"/>
        <w:numPr>
          <w:ilvl w:val="0"/>
          <w:numId w:val="8"/>
        </w:numPr>
        <w:rPr>
          <w:rFonts w:hint="eastAsia" w:ascii="Times New Roman" w:hAnsi="Times New Roman" w:eastAsia="宋体" w:cs="Times New Roman"/>
          <w:b/>
          <w:bCs/>
          <w:sz w:val="22"/>
          <w:szCs w:val="22"/>
          <w:lang w:val="en-US" w:eastAsia="zh-CN" w:bidi="hi-IN"/>
        </w:rPr>
      </w:pPr>
      <w:r>
        <w:rPr>
          <w:rFonts w:hint="eastAsia" w:ascii="Times New Roman" w:hAnsi="Times New Roman" w:eastAsia="宋体" w:cs="Times New Roman"/>
          <w:b/>
          <w:bCs/>
          <w:sz w:val="22"/>
          <w:szCs w:val="22"/>
          <w:lang w:val="en-US" w:eastAsia="zh-CN" w:bidi="hi-IN"/>
        </w:rPr>
        <w:t>工程量清单复印件</w:t>
      </w:r>
    </w:p>
    <w:p w14:paraId="0E0A949D">
      <w:pPr>
        <w:rPr>
          <w:rFonts w:hint="eastAsia" w:hAnsi="宋体" w:cs="宋体"/>
          <w:color w:val="000000" w:themeColor="text1"/>
          <w:sz w:val="24"/>
          <w:szCs w:val="24"/>
          <w:highlight w:val="none"/>
          <w:lang w:val="en-US" w:eastAsia="zh-CN"/>
          <w14:textFill>
            <w14:solidFill>
              <w14:schemeClr w14:val="tx1"/>
            </w14:solidFill>
          </w14:textFill>
        </w:rPr>
      </w:pPr>
    </w:p>
    <w:p w14:paraId="7E55359A">
      <w:pPr>
        <w:pStyle w:val="2"/>
        <w:rPr>
          <w:rFonts w:hint="eastAsia"/>
          <w:lang w:val="en-US" w:eastAsia="zh-CN"/>
        </w:rPr>
      </w:pPr>
    </w:p>
    <w:p w14:paraId="70A91CF5">
      <w:pPr>
        <w:rPr>
          <w:rFonts w:hint="eastAsia" w:hAnsi="宋体" w:cs="宋体"/>
          <w:color w:val="000000" w:themeColor="text1"/>
          <w:sz w:val="21"/>
          <w:szCs w:val="21"/>
          <w:highlight w:val="none"/>
          <w:lang w:val="en-US" w:eastAsia="zh-CN"/>
          <w14:textFill>
            <w14:solidFill>
              <w14:schemeClr w14:val="tx1"/>
            </w14:solidFill>
          </w14:textFill>
        </w:rPr>
      </w:pPr>
    </w:p>
    <w:p w14:paraId="369F3E30">
      <w:pPr>
        <w:pStyle w:val="2"/>
        <w:rPr>
          <w:rFonts w:hint="eastAsia"/>
          <w:lang w:val="en-US" w:eastAsia="zh-CN"/>
        </w:rPr>
      </w:pPr>
    </w:p>
    <w:p w14:paraId="5A113B22">
      <w:pPr>
        <w:rPr>
          <w:rFonts w:hint="eastAsia" w:hAnsi="宋体" w:cs="宋体"/>
          <w:color w:val="000000" w:themeColor="text1"/>
          <w:sz w:val="21"/>
          <w:szCs w:val="21"/>
          <w:highlight w:val="none"/>
          <w:lang w:val="en-US" w:eastAsia="zh-CN"/>
          <w14:textFill>
            <w14:solidFill>
              <w14:schemeClr w14:val="tx1"/>
            </w14:solidFill>
          </w14:textFill>
        </w:rPr>
      </w:pPr>
    </w:p>
    <w:p w14:paraId="15A52105">
      <w:pPr>
        <w:pStyle w:val="2"/>
        <w:rPr>
          <w:rFonts w:hint="eastAsia"/>
          <w:lang w:val="en-US" w:eastAsia="zh-CN"/>
        </w:rPr>
      </w:pPr>
    </w:p>
    <w:p w14:paraId="1107CE7D">
      <w:pPr>
        <w:rPr>
          <w:rFonts w:hint="eastAsia" w:hAnsi="宋体" w:cs="宋体"/>
          <w:color w:val="000000" w:themeColor="text1"/>
          <w:sz w:val="21"/>
          <w:szCs w:val="21"/>
          <w:highlight w:val="none"/>
          <w:lang w:val="en-US" w:eastAsia="zh-CN"/>
          <w14:textFill>
            <w14:solidFill>
              <w14:schemeClr w14:val="tx1"/>
            </w14:solidFill>
          </w14:textFill>
        </w:rPr>
      </w:pPr>
    </w:p>
    <w:p w14:paraId="17F66121">
      <w:pPr>
        <w:pStyle w:val="2"/>
        <w:rPr>
          <w:rFonts w:hint="eastAsia"/>
          <w:lang w:val="en-US" w:eastAsia="zh-CN"/>
        </w:rPr>
      </w:pPr>
    </w:p>
    <w:p w14:paraId="13865978">
      <w:pPr>
        <w:rPr>
          <w:rFonts w:hint="eastAsia" w:hAnsi="宋体" w:cs="宋体"/>
          <w:color w:val="000000" w:themeColor="text1"/>
          <w:sz w:val="21"/>
          <w:szCs w:val="21"/>
          <w:highlight w:val="none"/>
          <w:lang w:val="en-US" w:eastAsia="zh-CN"/>
          <w14:textFill>
            <w14:solidFill>
              <w14:schemeClr w14:val="tx1"/>
            </w14:solidFill>
          </w14:textFill>
        </w:rPr>
      </w:pPr>
    </w:p>
    <w:p w14:paraId="129BC98C">
      <w:pPr>
        <w:pStyle w:val="2"/>
        <w:rPr>
          <w:rFonts w:hint="eastAsia"/>
          <w:lang w:val="en-US" w:eastAsia="zh-CN"/>
        </w:rPr>
      </w:pPr>
    </w:p>
    <w:p w14:paraId="08CDD62B">
      <w:pPr>
        <w:rPr>
          <w:rFonts w:hint="eastAsia" w:hAnsi="宋体" w:cs="宋体"/>
          <w:color w:val="000000" w:themeColor="text1"/>
          <w:sz w:val="21"/>
          <w:szCs w:val="21"/>
          <w:highlight w:val="none"/>
          <w:lang w:val="en-US" w:eastAsia="zh-CN"/>
          <w14:textFill>
            <w14:solidFill>
              <w14:schemeClr w14:val="tx1"/>
            </w14:solidFill>
          </w14:textFill>
        </w:rPr>
      </w:pPr>
    </w:p>
    <w:p w14:paraId="615CFF36">
      <w:pPr>
        <w:pStyle w:val="2"/>
        <w:rPr>
          <w:rFonts w:hint="eastAsia"/>
          <w:lang w:val="en-US" w:eastAsia="zh-CN"/>
        </w:rPr>
      </w:pPr>
    </w:p>
    <w:p w14:paraId="0A6CBE2A">
      <w:pPr>
        <w:rPr>
          <w:rFonts w:hint="eastAsia" w:hAnsi="宋体" w:cs="宋体"/>
          <w:color w:val="000000" w:themeColor="text1"/>
          <w:sz w:val="21"/>
          <w:szCs w:val="21"/>
          <w:highlight w:val="none"/>
          <w:lang w:val="en-US" w:eastAsia="zh-CN"/>
          <w14:textFill>
            <w14:solidFill>
              <w14:schemeClr w14:val="tx1"/>
            </w14:solidFill>
          </w14:textFill>
        </w:rPr>
      </w:pPr>
    </w:p>
    <w:p w14:paraId="63B4BD35">
      <w:pPr>
        <w:pStyle w:val="2"/>
        <w:rPr>
          <w:rFonts w:hint="eastAsia"/>
          <w:lang w:val="en-US" w:eastAsia="zh-CN"/>
        </w:rPr>
      </w:pPr>
    </w:p>
    <w:p w14:paraId="4FAF4E35">
      <w:pPr>
        <w:rPr>
          <w:rFonts w:hint="eastAsia"/>
          <w:lang w:val="en-US" w:eastAsia="zh-CN"/>
        </w:rPr>
      </w:pPr>
    </w:p>
    <w:p w14:paraId="2A1289E6">
      <w:pPr>
        <w:widowControl w:val="0"/>
        <w:numPr>
          <w:ilvl w:val="0"/>
          <w:numId w:val="0"/>
        </w:numPr>
        <w:jc w:val="both"/>
        <w:rPr>
          <w:rFonts w:hint="default"/>
          <w:lang w:val="en-US" w:eastAsia="zh-CN"/>
        </w:rPr>
      </w:pPr>
    </w:p>
    <w:p w14:paraId="5217A9C0">
      <w:pPr>
        <w:pStyle w:val="6"/>
        <w:jc w:val="left"/>
        <w:rPr>
          <w:rFonts w:hAnsi="宋体" w:cs="宋体"/>
          <w:color w:val="000000" w:themeColor="text1"/>
          <w:sz w:val="21"/>
          <w:szCs w:val="21"/>
          <w:highlight w:val="none"/>
          <w14:textFill>
            <w14:solidFill>
              <w14:schemeClr w14:val="tx1"/>
            </w14:solidFill>
          </w14:textFill>
        </w:rPr>
      </w:pPr>
      <w:bookmarkStart w:id="168" w:name="_Toc514759058"/>
      <w:bookmarkStart w:id="169" w:name="_Toc394929421"/>
      <w:bookmarkStart w:id="170" w:name="_Toc511595198"/>
      <w:bookmarkStart w:id="171" w:name="_Toc15459"/>
      <w:bookmarkStart w:id="172" w:name="_Toc508779714"/>
      <w:bookmarkStart w:id="173" w:name="_Toc514759056"/>
      <w:r>
        <w:rPr>
          <w:rFonts w:hAnsi="宋体" w:cs="宋体"/>
          <w:color w:val="000000" w:themeColor="text1"/>
          <w:sz w:val="21"/>
          <w:szCs w:val="21"/>
          <w:highlight w:val="none"/>
          <w14:textFill>
            <w14:solidFill>
              <w14:schemeClr w14:val="tx1"/>
            </w14:solidFill>
          </w14:textFill>
        </w:rPr>
        <w:t xml:space="preserve">六 </w:t>
      </w:r>
      <w:r>
        <w:rPr>
          <w:rFonts w:hint="eastAsia" w:hAnsi="宋体" w:cs="宋体"/>
          <w:color w:val="000000" w:themeColor="text1"/>
          <w:sz w:val="21"/>
          <w:szCs w:val="21"/>
          <w:highlight w:val="none"/>
          <w:lang w:eastAsia="zh-CN"/>
          <w14:textFill>
            <w14:solidFill>
              <w14:schemeClr w14:val="tx1"/>
            </w14:solidFill>
          </w14:textFill>
        </w:rPr>
        <w:t>、</w:t>
      </w:r>
      <w:r>
        <w:rPr>
          <w:rFonts w:hAnsi="宋体" w:cs="宋体"/>
          <w:color w:val="000000" w:themeColor="text1"/>
          <w:sz w:val="21"/>
          <w:szCs w:val="21"/>
          <w:highlight w:val="none"/>
          <w14:textFill>
            <w14:solidFill>
              <w14:schemeClr w14:val="tx1"/>
            </w14:solidFill>
          </w14:textFill>
        </w:rPr>
        <w:t xml:space="preserve"> 项目经理委任书</w:t>
      </w:r>
      <w:bookmarkEnd w:id="168"/>
      <w:bookmarkEnd w:id="169"/>
      <w:bookmarkEnd w:id="170"/>
      <w:bookmarkEnd w:id="171"/>
      <w:bookmarkEnd w:id="172"/>
    </w:p>
    <w:p w14:paraId="5BB8AD3A">
      <w:pPr>
        <w:pStyle w:val="6"/>
        <w:jc w:val="center"/>
        <w:rPr>
          <w:rFonts w:hint="eastAsia" w:hAnsi="宋体" w:eastAsia="黑体" w:cs="宋体"/>
          <w:color w:val="000000" w:themeColor="text1"/>
          <w:sz w:val="21"/>
          <w:szCs w:val="21"/>
          <w:highlight w:val="none"/>
          <w:lang w:val="en-US" w:eastAsia="zh-CN"/>
          <w14:textFill>
            <w14:solidFill>
              <w14:schemeClr w14:val="tx1"/>
            </w14:solidFill>
          </w14:textFill>
        </w:rPr>
      </w:pPr>
      <w:bookmarkStart w:id="174" w:name="_Toc514786919"/>
      <w:bookmarkStart w:id="175" w:name="bookmark198"/>
    </w:p>
    <w:p w14:paraId="053093AE">
      <w:pPr>
        <w:pStyle w:val="6"/>
        <w:jc w:val="center"/>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lang w:eastAsia="zh-CN"/>
          <w14:textFill>
            <w14:solidFill>
              <w14:schemeClr w14:val="tx1"/>
            </w14:solidFill>
          </w14:textFill>
        </w:rPr>
        <w:t>天等县宁干乡宁干村2026年“千村引领，万村提升”示范创建项目(宁干乡宁干村屯内道路硬化及配套工程)</w:t>
      </w:r>
      <w:r>
        <w:rPr>
          <w:rFonts w:hint="eastAsia" w:hAnsi="宋体" w:cs="宋体"/>
          <w:color w:val="000000" w:themeColor="text1"/>
          <w:sz w:val="21"/>
          <w:szCs w:val="21"/>
          <w:highlight w:val="none"/>
          <w14:textFill>
            <w14:solidFill>
              <w14:schemeClr w14:val="tx1"/>
            </w14:solidFill>
          </w14:textFill>
        </w:rPr>
        <w:t>项目经理委任书</w:t>
      </w:r>
      <w:bookmarkEnd w:id="174"/>
      <w:bookmarkEnd w:id="175"/>
    </w:p>
    <w:p w14:paraId="02F0A21E">
      <w:pPr>
        <w:pStyle w:val="55"/>
        <w:shd w:val="clear" w:color="auto" w:fill="auto"/>
        <w:spacing w:before="0" w:line="600" w:lineRule="auto"/>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致：</w:t>
      </w:r>
      <w:r>
        <w:rPr>
          <w:rStyle w:val="66"/>
          <w:rFonts w:hint="eastAsia" w:ascii="宋体" w:hAnsi="宋体" w:eastAsia="宋体" w:cs="宋体"/>
          <w:color w:val="000000" w:themeColor="text1"/>
          <w:sz w:val="21"/>
          <w:szCs w:val="21"/>
          <w:highlight w:val="none"/>
          <w14:textFill>
            <w14:solidFill>
              <w14:schemeClr w14:val="tx1"/>
            </w14:solidFill>
          </w14:textFill>
        </w:rPr>
        <w:t>天等县交通运输局</w:t>
      </w:r>
    </w:p>
    <w:p w14:paraId="57FF8C6A">
      <w:pPr>
        <w:pStyle w:val="55"/>
        <w:shd w:val="clear" w:color="auto" w:fill="auto"/>
        <w:spacing w:before="0" w:after="360" w:line="600" w:lineRule="auto"/>
        <w:ind w:firstLine="630" w:firstLineChars="300"/>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66"/>
          <w:rFonts w:hint="eastAsia" w:ascii="宋体" w:hAnsi="宋体" w:eastAsia="宋体" w:cs="宋体"/>
          <w:color w:val="000000" w:themeColor="text1"/>
          <w:sz w:val="21"/>
          <w:szCs w:val="21"/>
          <w:highlight w:val="none"/>
          <w:lang w:val="en-US"/>
          <w14:textFill>
            <w14:solidFill>
              <w14:schemeClr w14:val="tx1"/>
            </w14:solidFill>
          </w14:textFill>
        </w:rPr>
        <w:t xml:space="preserve"> （成交供应商 ）</w:t>
      </w:r>
      <w:r>
        <w:rPr>
          <w:rStyle w:val="56"/>
          <w:rFonts w:hint="eastAsia" w:ascii="宋体" w:hAnsi="宋体" w:eastAsia="宋体" w:cs="宋体"/>
          <w:color w:val="000000" w:themeColor="text1"/>
          <w:sz w:val="21"/>
          <w:szCs w:val="21"/>
          <w:highlight w:val="none"/>
          <w14:textFill>
            <w14:solidFill>
              <w14:schemeClr w14:val="tx1"/>
            </w14:solidFill>
          </w14:textFill>
        </w:rPr>
        <w:t>法定代表人</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代表本单位委任</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66"/>
          <w:rFonts w:hint="eastAsia" w:ascii="宋体" w:hAnsi="宋体" w:eastAsia="宋体" w:cs="宋体"/>
          <w:color w:val="000000" w:themeColor="text1"/>
          <w:sz w:val="21"/>
          <w:szCs w:val="21"/>
          <w:highlight w:val="none"/>
          <w:u w:val="none"/>
          <w14:textFill>
            <w14:solidFill>
              <w14:schemeClr w14:val="tx1"/>
            </w14:solidFill>
          </w14:textFill>
        </w:rPr>
        <w:t>（</w:t>
      </w:r>
      <w:r>
        <w:rPr>
          <w:rStyle w:val="56"/>
          <w:rFonts w:hint="eastAsia" w:ascii="宋体" w:hAnsi="宋体" w:eastAsia="宋体" w:cs="宋体"/>
          <w:color w:val="000000" w:themeColor="text1"/>
          <w:sz w:val="21"/>
          <w:szCs w:val="21"/>
          <w:highlight w:val="none"/>
          <w14:textFill>
            <w14:solidFill>
              <w14:schemeClr w14:val="tx1"/>
            </w14:solidFill>
          </w14:textFill>
        </w:rPr>
        <w:t>为</w:t>
      </w:r>
      <w:r>
        <w:rPr>
          <w:rStyle w:val="56"/>
          <w:rFonts w:hint="eastAsia" w:ascii="宋体" w:hAnsi="宋体" w:eastAsia="宋体" w:cs="宋体"/>
          <w:color w:val="000000" w:themeColor="text1"/>
          <w:sz w:val="21"/>
          <w:szCs w:val="21"/>
          <w:highlight w:val="none"/>
          <w:u w:val="single"/>
          <w:lang w:eastAsia="zh-CN"/>
          <w14:textFill>
            <w14:solidFill>
              <w14:schemeClr w14:val="tx1"/>
            </w14:solidFill>
          </w14:textFill>
        </w:rPr>
        <w:t>天等县宁干乡宁干村2026年“千村引领，万村提升”示范创建项目(宁干乡宁干村屯内道路硬化及配套工程)</w:t>
      </w:r>
      <w:r>
        <w:rPr>
          <w:rStyle w:val="56"/>
          <w:rFonts w:hint="eastAsia" w:ascii="宋体" w:hAnsi="宋体" w:eastAsia="宋体" w:cs="宋体"/>
          <w:color w:val="000000" w:themeColor="text1"/>
          <w:sz w:val="21"/>
          <w:szCs w:val="21"/>
          <w:highlight w:val="none"/>
          <w14:textFill>
            <w14:solidFill>
              <w14:schemeClr w14:val="tx1"/>
            </w14:solidFill>
          </w14:textFill>
        </w:rPr>
        <w:t>的项目经理。凡本合同执行中的有关技术、工程进度、现场管理、质量检验、结算与支付等方面工作，由</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代表本单位全面负责。</w:t>
      </w:r>
    </w:p>
    <w:p w14:paraId="65E06F91">
      <w:pPr>
        <w:pStyle w:val="55"/>
        <w:shd w:val="clear" w:color="auto" w:fill="auto"/>
        <w:tabs>
          <w:tab w:val="left" w:leader="underscore" w:pos="7348"/>
        </w:tabs>
        <w:spacing w:before="0" w:line="600" w:lineRule="auto"/>
        <w:jc w:val="both"/>
        <w:rPr>
          <w:rFonts w:hint="eastAsia" w:ascii="宋体" w:hAnsi="宋体" w:eastAsia="宋体" w:cs="宋体"/>
          <w:color w:val="000000" w:themeColor="text1"/>
          <w:spacing w:val="0"/>
          <w:sz w:val="21"/>
          <w:szCs w:val="21"/>
          <w:highlight w:val="none"/>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承包人：(盖单位章）</w:t>
      </w:r>
    </w:p>
    <w:p w14:paraId="3064BB64">
      <w:pPr>
        <w:pStyle w:val="55"/>
        <w:shd w:val="clear" w:color="auto" w:fill="auto"/>
        <w:tabs>
          <w:tab w:val="center" w:pos="7411"/>
        </w:tabs>
        <w:spacing w:before="0" w:line="600" w:lineRule="auto"/>
        <w:jc w:val="both"/>
        <w:rPr>
          <w:rFonts w:hint="default" w:ascii="宋体" w:hAnsi="宋体" w:eastAsia="宋体" w:cs="宋体"/>
          <w:color w:val="000000" w:themeColor="text1"/>
          <w:spacing w:val="0"/>
          <w:sz w:val="21"/>
          <w:szCs w:val="21"/>
          <w:highlight w:val="none"/>
          <w:lang w:val="en-US"/>
          <w14:textFill>
            <w14:solidFill>
              <w14:schemeClr w14:val="tx1"/>
            </w14:solidFill>
          </w14:textFill>
        </w:rPr>
      </w:pPr>
      <w:r>
        <w:rPr>
          <w:rStyle w:val="56"/>
          <w:rFonts w:hint="eastAsia" w:ascii="宋体" w:hAnsi="宋体" w:eastAsia="宋体" w:cs="宋体"/>
          <w:color w:val="000000" w:themeColor="text1"/>
          <w:sz w:val="21"/>
          <w:szCs w:val="21"/>
          <w:highlight w:val="none"/>
          <w14:textFill>
            <w14:solidFill>
              <w14:schemeClr w14:val="tx1"/>
            </w14:solidFill>
          </w14:textFill>
        </w:rPr>
        <w:t>法定代表人：</w:t>
      </w:r>
      <w:r>
        <w:rPr>
          <w:rStyle w:val="66"/>
          <w:rFonts w:hint="eastAsia" w:ascii="宋体" w:hAnsi="宋体" w:eastAsia="宋体" w:cs="宋体"/>
          <w:color w:val="000000" w:themeColor="text1"/>
          <w:sz w:val="21"/>
          <w:szCs w:val="21"/>
          <w:highlight w:val="none"/>
          <w:lang w:val="en-US"/>
          <w14:textFill>
            <w14:solidFill>
              <w14:schemeClr w14:val="tx1"/>
            </w14:solidFill>
          </w14:textFill>
        </w:rPr>
        <w:t xml:space="preserve">                   </w:t>
      </w:r>
    </w:p>
    <w:p w14:paraId="4D29FB10">
      <w:pPr>
        <w:pStyle w:val="55"/>
        <w:shd w:val="clear" w:color="auto" w:fill="auto"/>
        <w:tabs>
          <w:tab w:val="left" w:leader="underscore" w:pos="6502"/>
          <w:tab w:val="left" w:leader="underscore" w:pos="7348"/>
          <w:tab w:val="left" w:leader="underscore" w:pos="8182"/>
        </w:tabs>
        <w:spacing w:before="0" w:after="1283" w:line="600" w:lineRule="auto"/>
        <w:ind w:firstLine="1488" w:firstLineChars="709"/>
        <w:jc w:val="both"/>
        <w:rPr>
          <w:rStyle w:val="56"/>
          <w:rFonts w:hint="eastAsia" w:ascii="宋体" w:hAnsi="宋体" w:eastAsia="宋体" w:cs="宋体"/>
          <w:color w:val="000000" w:themeColor="text1"/>
          <w:sz w:val="21"/>
          <w:szCs w:val="21"/>
          <w:highlight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2026年   </w:t>
      </w:r>
      <w:r>
        <w:rPr>
          <w:rStyle w:val="56"/>
          <w:rFonts w:hint="eastAsia" w:ascii="宋体" w:hAnsi="宋体" w:eastAsia="宋体" w:cs="宋体"/>
          <w:color w:val="000000" w:themeColor="text1"/>
          <w:sz w:val="21"/>
          <w:szCs w:val="21"/>
          <w:highlight w:val="none"/>
          <w14:textFill>
            <w14:solidFill>
              <w14:schemeClr w14:val="tx1"/>
            </w14:solidFill>
          </w14:textFill>
        </w:rPr>
        <w:t>月</w:t>
      </w:r>
      <w:r>
        <w:rPr>
          <w:rStyle w:val="56"/>
          <w:rFonts w:hint="eastAsia" w:ascii="宋体" w:hAnsi="宋体" w:eastAsia="宋体" w:cs="宋体"/>
          <w:color w:val="000000" w:themeColor="text1"/>
          <w:sz w:val="21"/>
          <w:szCs w:val="21"/>
          <w:highlight w:val="none"/>
          <w:lang w:val="en-US"/>
          <w14:textFill>
            <w14:solidFill>
              <w14:schemeClr w14:val="tx1"/>
            </w14:solidFill>
          </w14:textFill>
        </w:rPr>
        <w:t xml:space="preserve">   </w:t>
      </w:r>
      <w:r>
        <w:rPr>
          <w:rStyle w:val="56"/>
          <w:rFonts w:hint="eastAsia" w:ascii="宋体" w:hAnsi="宋体" w:eastAsia="宋体" w:cs="宋体"/>
          <w:color w:val="000000" w:themeColor="text1"/>
          <w:sz w:val="21"/>
          <w:szCs w:val="21"/>
          <w:highlight w:val="none"/>
          <w14:textFill>
            <w14:solidFill>
              <w14:schemeClr w14:val="tx1"/>
            </w14:solidFill>
          </w14:textFill>
        </w:rPr>
        <w:t>日</w:t>
      </w:r>
    </w:p>
    <w:p w14:paraId="1AC148A5">
      <w:pPr>
        <w:pStyle w:val="55"/>
        <w:shd w:val="clear" w:color="auto" w:fill="auto"/>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before="0" w:line="720" w:lineRule="auto"/>
        <w:jc w:val="left"/>
        <w:rPr>
          <w:rFonts w:hAnsi="宋体" w:cs="宋体"/>
          <w:color w:val="000000" w:themeColor="text1"/>
          <w:sz w:val="21"/>
          <w:szCs w:val="21"/>
          <w:highlight w:val="none"/>
          <w14:textFill>
            <w14:solidFill>
              <w14:schemeClr w14:val="tx1"/>
            </w14:solidFill>
          </w14:textFill>
        </w:rPr>
      </w:pPr>
      <w:r>
        <w:rPr>
          <w:rFonts w:hint="eastAsia" w:ascii="Arial" w:hAnsi="宋体" w:eastAsia="黑体" w:cs="宋体"/>
          <w:b/>
          <w:bCs/>
          <w:color w:val="000000" w:themeColor="text1"/>
          <w:spacing w:val="0"/>
          <w:sz w:val="24"/>
          <w:szCs w:val="24"/>
          <w:highlight w:val="none"/>
          <w:shd w:val="clear"/>
          <w:lang w:val="en-US" w:eastAsia="zh-CN" w:bidi="hi-IN"/>
          <w14:textFill>
            <w14:solidFill>
              <w14:schemeClr w14:val="tx1"/>
            </w14:solidFill>
          </w14:textFill>
        </w:rPr>
        <w:t>七、</w:t>
      </w:r>
      <w:r>
        <w:rPr>
          <w:rFonts w:hint="default" w:ascii="Arial" w:hAnsi="宋体" w:eastAsia="黑体" w:cs="宋体"/>
          <w:b/>
          <w:bCs/>
          <w:color w:val="000000" w:themeColor="text1"/>
          <w:spacing w:val="0"/>
          <w:sz w:val="24"/>
          <w:szCs w:val="24"/>
          <w:highlight w:val="none"/>
          <w:shd w:val="clear"/>
          <w:lang w:val="en-US" w:eastAsia="zh-CN" w:bidi="hi-IN"/>
          <w14:textFill>
            <w14:solidFill>
              <w14:schemeClr w14:val="tx1"/>
            </w14:solidFill>
          </w14:textFill>
        </w:rPr>
        <w:t>其他主要管理人员和技术人员</w:t>
      </w:r>
      <w:bookmarkEnd w:id="164"/>
      <w:bookmarkEnd w:id="165"/>
      <w:bookmarkEnd w:id="166"/>
      <w:bookmarkEnd w:id="167"/>
      <w:bookmarkEnd w:id="173"/>
      <w:r>
        <w:rPr>
          <w:rFonts w:hint="eastAsia" w:ascii="Arial" w:hAnsi="宋体" w:eastAsia="黑体" w:cs="宋体"/>
          <w:b/>
          <w:bCs/>
          <w:color w:val="000000" w:themeColor="text1"/>
          <w:spacing w:val="0"/>
          <w:sz w:val="24"/>
          <w:szCs w:val="24"/>
          <w:highlight w:val="none"/>
          <w:shd w:val="clear"/>
          <w:lang w:val="en-US" w:eastAsia="zh-CN" w:bidi="hi-IN"/>
          <w14:textFill>
            <w14:solidFill>
              <w14:schemeClr w14:val="tx1"/>
            </w14:solidFill>
          </w14:textFill>
        </w:rPr>
        <w:t>投入情况</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84"/>
        <w:gridCol w:w="7410"/>
      </w:tblGrid>
      <w:tr w14:paraId="2B3B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tcBorders>
              <w:top w:val="single" w:color="auto" w:sz="4" w:space="0"/>
            </w:tcBorders>
            <w:noWrap w:val="0"/>
            <w:vAlign w:val="center"/>
          </w:tcPr>
          <w:p w14:paraId="1CF58638">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rPr>
              <w:t>人  员</w:t>
            </w:r>
          </w:p>
        </w:tc>
        <w:tc>
          <w:tcPr>
            <w:tcW w:w="884" w:type="dxa"/>
            <w:tcBorders>
              <w:top w:val="single" w:color="auto" w:sz="4" w:space="0"/>
              <w:right w:val="nil"/>
            </w:tcBorders>
            <w:noWrap w:val="0"/>
            <w:vAlign w:val="center"/>
          </w:tcPr>
          <w:p w14:paraId="35639854">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rPr>
              <w:t>数量</w:t>
            </w:r>
          </w:p>
        </w:tc>
        <w:tc>
          <w:tcPr>
            <w:tcW w:w="7410" w:type="dxa"/>
            <w:tcBorders>
              <w:top w:val="single" w:color="auto" w:sz="4" w:space="0"/>
              <w:right w:val="single" w:color="auto" w:sz="4" w:space="0"/>
            </w:tcBorders>
            <w:noWrap w:val="0"/>
            <w:vAlign w:val="center"/>
          </w:tcPr>
          <w:p w14:paraId="156A7381">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rPr>
              <w:t>资格要求</w:t>
            </w:r>
          </w:p>
        </w:tc>
      </w:tr>
      <w:tr w14:paraId="4C0D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58B1BF67">
            <w:pPr>
              <w:keepNext w:val="0"/>
              <w:keepLines w:val="0"/>
              <w:suppressLineNumbers w:val="0"/>
              <w:spacing w:before="0" w:beforeAutospacing="0" w:after="0" w:afterAutospacing="0"/>
              <w:ind w:left="0" w:right="0"/>
              <w:jc w:val="center"/>
              <w:rPr>
                <w:rFonts w:hint="eastAsia" w:ascii="宋体" w:hAnsi="宋体" w:eastAsia="宋体" w:cs="宋体"/>
                <w:sz w:val="22"/>
                <w:szCs w:val="22"/>
                <w:lang w:val="en-US" w:eastAsia="zh-CN"/>
              </w:rPr>
            </w:pPr>
            <w:r>
              <w:rPr>
                <w:rFonts w:hint="eastAsia" w:ascii="宋体" w:hAnsi="宋体" w:eastAsia="宋体" w:cs="宋体"/>
                <w:color w:val="auto"/>
                <w:sz w:val="22"/>
                <w:szCs w:val="22"/>
                <w:lang w:val="en-US" w:eastAsia="zh-CN"/>
              </w:rPr>
              <w:t>项目经理</w:t>
            </w:r>
          </w:p>
        </w:tc>
        <w:tc>
          <w:tcPr>
            <w:tcW w:w="884" w:type="dxa"/>
            <w:noWrap w:val="0"/>
            <w:vAlign w:val="center"/>
          </w:tcPr>
          <w:p w14:paraId="3CCB23EC">
            <w:pPr>
              <w:keepNext w:val="0"/>
              <w:keepLines w:val="0"/>
              <w:suppressLineNumbers w:val="0"/>
              <w:spacing w:before="0" w:beforeAutospacing="0" w:after="0" w:afterAutospacing="0"/>
              <w:ind w:left="0" w:right="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7410" w:type="dxa"/>
            <w:noWrap w:val="0"/>
            <w:vAlign w:val="center"/>
          </w:tcPr>
          <w:p w14:paraId="65817AB1">
            <w:pPr>
              <w:keepNext w:val="0"/>
              <w:keepLines w:val="0"/>
              <w:suppressLineNumbers w:val="0"/>
              <w:spacing w:before="0" w:beforeAutospacing="0" w:after="0" w:afterAutospacing="0"/>
              <w:ind w:left="0" w:right="0"/>
              <w:rPr>
                <w:rFonts w:hint="eastAsia" w:ascii="宋体" w:hAnsi="宋体" w:eastAsia="宋体" w:cs="宋体"/>
                <w:sz w:val="22"/>
                <w:szCs w:val="22"/>
                <w:lang w:val="en-US" w:eastAsia="zh-CN"/>
              </w:rPr>
            </w:pPr>
          </w:p>
        </w:tc>
      </w:tr>
      <w:tr w14:paraId="11D2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7CDA21DA">
            <w:pPr>
              <w:keepNext w:val="0"/>
              <w:keepLines w:val="0"/>
              <w:suppressLineNumbers w:val="0"/>
              <w:spacing w:before="0" w:beforeAutospacing="0" w:after="0" w:afterAutospacing="0"/>
              <w:ind w:left="0" w:right="0"/>
              <w:jc w:val="center"/>
              <w:rPr>
                <w:rFonts w:hint="eastAsia" w:ascii="宋体" w:hAnsi="宋体" w:eastAsia="宋体" w:cs="宋体"/>
                <w:sz w:val="22"/>
                <w:szCs w:val="22"/>
                <w:lang w:val="en-US" w:eastAsia="zh-CN"/>
              </w:rPr>
            </w:pPr>
            <w:r>
              <w:rPr>
                <w:rFonts w:hint="eastAsia" w:ascii="宋体" w:hAnsi="宋体" w:eastAsia="宋体" w:cs="宋体"/>
                <w:color w:val="auto"/>
                <w:sz w:val="22"/>
                <w:szCs w:val="22"/>
                <w:lang w:val="en-US" w:eastAsia="zh-CN"/>
              </w:rPr>
              <w:t>总工</w:t>
            </w:r>
          </w:p>
        </w:tc>
        <w:tc>
          <w:tcPr>
            <w:tcW w:w="884" w:type="dxa"/>
            <w:noWrap w:val="0"/>
            <w:vAlign w:val="center"/>
          </w:tcPr>
          <w:p w14:paraId="0C113CD5">
            <w:pPr>
              <w:keepNext w:val="0"/>
              <w:keepLines w:val="0"/>
              <w:suppressLineNumbers w:val="0"/>
              <w:spacing w:before="0" w:beforeAutospacing="0" w:after="0" w:afterAutospacing="0"/>
              <w:ind w:left="0" w:right="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7410" w:type="dxa"/>
            <w:noWrap w:val="0"/>
            <w:vAlign w:val="center"/>
          </w:tcPr>
          <w:p w14:paraId="7F7B8F13">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2267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18F7336C">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color w:val="auto"/>
                <w:sz w:val="22"/>
                <w:szCs w:val="22"/>
                <w:highlight w:val="none"/>
                <w:lang w:eastAsia="zh-CN"/>
              </w:rPr>
              <w:t>质量员</w:t>
            </w:r>
          </w:p>
        </w:tc>
        <w:tc>
          <w:tcPr>
            <w:tcW w:w="884" w:type="dxa"/>
            <w:noWrap w:val="0"/>
            <w:vAlign w:val="center"/>
          </w:tcPr>
          <w:p w14:paraId="56F90B10">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4CC2AA72">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112B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6EE4E079">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color w:val="auto"/>
                <w:sz w:val="22"/>
                <w:szCs w:val="22"/>
                <w:highlight w:val="none"/>
                <w:lang w:eastAsia="zh-CN"/>
              </w:rPr>
              <w:t>材料员</w:t>
            </w:r>
          </w:p>
        </w:tc>
        <w:tc>
          <w:tcPr>
            <w:tcW w:w="884" w:type="dxa"/>
            <w:noWrap w:val="0"/>
            <w:vAlign w:val="center"/>
          </w:tcPr>
          <w:p w14:paraId="33A49463">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4BB0A35C">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3C26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731DBD95">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bCs/>
                <w:color w:val="auto"/>
                <w:sz w:val="22"/>
                <w:szCs w:val="22"/>
                <w:highlight w:val="none"/>
              </w:rPr>
              <w:t>专职安全员</w:t>
            </w:r>
          </w:p>
        </w:tc>
        <w:tc>
          <w:tcPr>
            <w:tcW w:w="884" w:type="dxa"/>
            <w:noWrap w:val="0"/>
            <w:vAlign w:val="center"/>
          </w:tcPr>
          <w:p w14:paraId="3D5888E2">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006B066F">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2D74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1772A02C">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color w:val="auto"/>
                <w:kern w:val="2"/>
                <w:sz w:val="22"/>
                <w:szCs w:val="22"/>
                <w:highlight w:val="none"/>
                <w:lang w:val="zh-CN" w:eastAsia="zh-CN" w:bidi="zh-CN"/>
              </w:rPr>
              <w:t>施工员</w:t>
            </w:r>
          </w:p>
        </w:tc>
        <w:tc>
          <w:tcPr>
            <w:tcW w:w="884" w:type="dxa"/>
            <w:noWrap w:val="0"/>
            <w:vAlign w:val="center"/>
          </w:tcPr>
          <w:p w14:paraId="120520A0">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67F4B02D">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1FA7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5216BDD2">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color w:val="auto"/>
                <w:sz w:val="22"/>
                <w:szCs w:val="22"/>
                <w:highlight w:val="none"/>
                <w:lang w:eastAsia="zh-CN"/>
              </w:rPr>
              <w:t>造价员</w:t>
            </w:r>
          </w:p>
        </w:tc>
        <w:tc>
          <w:tcPr>
            <w:tcW w:w="884" w:type="dxa"/>
            <w:noWrap w:val="0"/>
            <w:vAlign w:val="center"/>
          </w:tcPr>
          <w:p w14:paraId="60A75B85">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68EABAB8">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r w14:paraId="425B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noWrap w:val="0"/>
            <w:vAlign w:val="center"/>
          </w:tcPr>
          <w:p w14:paraId="76496BB8">
            <w:pPr>
              <w:keepNext w:val="0"/>
              <w:keepLines w:val="0"/>
              <w:widowControl/>
              <w:suppressLineNumbers w:val="0"/>
              <w:spacing w:before="0" w:beforeAutospacing="0" w:after="0" w:afterAutospacing="0"/>
              <w:ind w:left="0" w:right="0"/>
              <w:jc w:val="center"/>
              <w:rPr>
                <w:rFonts w:hint="eastAsia" w:ascii="宋体" w:hAnsi="宋体" w:eastAsia="宋体" w:cs="宋体"/>
                <w:color w:val="0000FF"/>
                <w:sz w:val="22"/>
                <w:szCs w:val="22"/>
              </w:rPr>
            </w:pPr>
          </w:p>
        </w:tc>
        <w:tc>
          <w:tcPr>
            <w:tcW w:w="884" w:type="dxa"/>
            <w:noWrap w:val="0"/>
            <w:vAlign w:val="center"/>
          </w:tcPr>
          <w:p w14:paraId="4DB8E0D9">
            <w:pPr>
              <w:keepNext w:val="0"/>
              <w:keepLines w:val="0"/>
              <w:suppressLineNumbers w:val="0"/>
              <w:spacing w:before="0" w:beforeAutospacing="0" w:after="0" w:afterAutospacing="0"/>
              <w:ind w:left="0" w:right="0"/>
              <w:jc w:val="center"/>
              <w:rPr>
                <w:rFonts w:hint="eastAsia" w:ascii="宋体" w:hAnsi="宋体" w:eastAsia="宋体" w:cs="宋体"/>
                <w:sz w:val="22"/>
                <w:szCs w:val="22"/>
              </w:rPr>
            </w:pPr>
            <w:r>
              <w:rPr>
                <w:rFonts w:hint="eastAsia" w:ascii="宋体" w:hAnsi="宋体" w:eastAsia="宋体" w:cs="宋体"/>
                <w:sz w:val="22"/>
                <w:szCs w:val="22"/>
                <w:lang w:val="en-US" w:eastAsia="zh-CN"/>
              </w:rPr>
              <w:t>1</w:t>
            </w:r>
          </w:p>
        </w:tc>
        <w:tc>
          <w:tcPr>
            <w:tcW w:w="7410" w:type="dxa"/>
            <w:noWrap w:val="0"/>
            <w:vAlign w:val="center"/>
          </w:tcPr>
          <w:p w14:paraId="377D61B5">
            <w:pPr>
              <w:keepNext w:val="0"/>
              <w:keepLines w:val="0"/>
              <w:suppressLineNumbers w:val="0"/>
              <w:spacing w:before="0" w:beforeAutospacing="0" w:after="0" w:afterAutospacing="0"/>
              <w:ind w:left="0" w:right="0"/>
              <w:rPr>
                <w:rFonts w:hint="eastAsia" w:ascii="宋体" w:hAnsi="宋体" w:eastAsia="宋体" w:cs="宋体"/>
                <w:color w:val="auto"/>
                <w:kern w:val="2"/>
                <w:sz w:val="22"/>
                <w:szCs w:val="22"/>
                <w:lang w:val="en-US" w:eastAsia="zh-CN" w:bidi="ar-SA"/>
              </w:rPr>
            </w:pPr>
          </w:p>
        </w:tc>
      </w:tr>
    </w:tbl>
    <w:p w14:paraId="0B5DC174">
      <w:pPr>
        <w:rPr>
          <w:rFonts w:ascii="宋体" w:hAnsi="宋体" w:cs="宋体"/>
          <w:color w:val="000000" w:themeColor="text1"/>
          <w:sz w:val="21"/>
          <w:szCs w:val="21"/>
          <w:highlight w:val="none"/>
          <w14:textFill>
            <w14:solidFill>
              <w14:schemeClr w14:val="tx1"/>
            </w14:solidFill>
          </w14:textFill>
        </w:rPr>
      </w:pPr>
    </w:p>
    <w:p w14:paraId="06F8BEA1">
      <w:pPr>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注：</w:t>
      </w:r>
      <w:r>
        <w:rPr>
          <w:rFonts w:hint="eastAsia" w:ascii="宋体" w:hAnsi="宋体" w:cs="宋体"/>
          <w:color w:val="000000" w:themeColor="text1"/>
          <w:sz w:val="21"/>
          <w:szCs w:val="21"/>
          <w:highlight w:val="none"/>
          <w:lang w:val="en-US" w:eastAsia="zh-CN"/>
          <w14:textFill>
            <w14:solidFill>
              <w14:schemeClr w14:val="tx1"/>
            </w14:solidFill>
          </w14:textFill>
        </w:rPr>
        <w:t>发包</w:t>
      </w:r>
      <w:r>
        <w:rPr>
          <w:rFonts w:ascii="宋体" w:hAnsi="宋体" w:cs="宋体"/>
          <w:color w:val="000000" w:themeColor="text1"/>
          <w:sz w:val="21"/>
          <w:szCs w:val="21"/>
          <w:highlight w:val="none"/>
          <w14:textFill>
            <w14:solidFill>
              <w14:schemeClr w14:val="tx1"/>
            </w14:solidFill>
          </w14:textFill>
        </w:rPr>
        <w:t>人将在发出成交通知书之前要求成交人按照本表填报派驻本标段的其他主要管理人员和技术人员</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可根据实际情况调整</w:t>
      </w:r>
      <w:r>
        <w:rPr>
          <w:rFonts w:hint="eastAsia" w:ascii="宋体" w:hAnsi="宋体" w:cs="宋体"/>
          <w:color w:val="000000" w:themeColor="text1"/>
          <w:sz w:val="21"/>
          <w:szCs w:val="21"/>
          <w:highlight w:val="none"/>
          <w:lang w:eastAsia="zh-CN"/>
          <w14:textFill>
            <w14:solidFill>
              <w14:schemeClr w14:val="tx1"/>
            </w14:solidFill>
          </w14:textFill>
        </w:rPr>
        <w:t>）</w:t>
      </w:r>
      <w:r>
        <w:rPr>
          <w:rFonts w:ascii="宋体" w:hAnsi="宋体" w:cs="宋体"/>
          <w:color w:val="000000" w:themeColor="text1"/>
          <w:sz w:val="21"/>
          <w:szCs w:val="21"/>
          <w:highlight w:val="none"/>
          <w14:textFill>
            <w14:solidFill>
              <w14:schemeClr w14:val="tx1"/>
            </w14:solidFill>
          </w14:textFill>
        </w:rPr>
        <w:t>，在经</w:t>
      </w:r>
      <w:r>
        <w:rPr>
          <w:rFonts w:hint="eastAsia" w:ascii="宋体" w:hAnsi="宋体" w:cs="宋体"/>
          <w:color w:val="000000" w:themeColor="text1"/>
          <w:sz w:val="21"/>
          <w:szCs w:val="21"/>
          <w:highlight w:val="none"/>
          <w:lang w:val="en-US" w:eastAsia="zh-CN"/>
          <w14:textFill>
            <w14:solidFill>
              <w14:schemeClr w14:val="tx1"/>
            </w14:solidFill>
          </w14:textFill>
        </w:rPr>
        <w:t>发包</w:t>
      </w:r>
      <w:r>
        <w:rPr>
          <w:rFonts w:ascii="宋体" w:hAnsi="宋体" w:cs="宋体"/>
          <w:color w:val="000000" w:themeColor="text1"/>
          <w:sz w:val="21"/>
          <w:szCs w:val="21"/>
          <w:highlight w:val="none"/>
          <w14:textFill>
            <w14:solidFill>
              <w14:schemeClr w14:val="tx1"/>
            </w14:solidFill>
          </w14:textFill>
        </w:rPr>
        <w:t>人审批后，作为派驻本标段的项目管理机构主要人员且不允许更换。</w:t>
      </w:r>
    </w:p>
    <w:p w14:paraId="4F32BBAA">
      <w:pPr>
        <w:pStyle w:val="41"/>
        <w:jc w:val="center"/>
        <w:outlineLvl w:val="1"/>
        <w:rPr>
          <w:rFonts w:hint="eastAsia" w:ascii="宋体" w:hAnsi="宋体" w:eastAsia="宋体" w:cs="宋体"/>
          <w:b/>
          <w:color w:val="auto"/>
          <w:sz w:val="28"/>
          <w:szCs w:val="28"/>
          <w:lang w:val="en-US" w:eastAsia="zh-CN"/>
        </w:rPr>
      </w:pPr>
      <w:r>
        <w:rPr>
          <w:rFonts w:ascii="宋体" w:hAnsi="宋体" w:cs="宋体"/>
          <w:color w:val="000000" w:themeColor="text1"/>
          <w:sz w:val="21"/>
          <w:szCs w:val="21"/>
          <w:highlight w:val="none"/>
          <w14:textFill>
            <w14:solidFill>
              <w14:schemeClr w14:val="tx1"/>
            </w14:solidFill>
          </w14:textFill>
        </w:rPr>
        <w:br w:type="page"/>
      </w:r>
    </w:p>
    <w:p w14:paraId="09B66E26">
      <w:pPr>
        <w:pStyle w:val="34"/>
        <w:ind w:left="0" w:leftChars="0" w:firstLine="0" w:firstLineChars="0"/>
        <w:jc w:val="center"/>
        <w:rPr>
          <w:rFonts w:hint="eastAsia" w:ascii="宋体" w:hAnsi="宋体" w:eastAsia="宋体" w:cs="Times New Roman"/>
          <w:b/>
          <w:bCs/>
          <w:color w:val="auto"/>
          <w:sz w:val="28"/>
          <w:szCs w:val="28"/>
          <w:lang w:val="en-US" w:eastAsia="zh-CN"/>
        </w:rPr>
        <w:sectPr>
          <w:footerReference r:id="rId15" w:type="default"/>
          <w:pgSz w:w="11906" w:h="16838"/>
          <w:pgMar w:top="1100" w:right="1488" w:bottom="919" w:left="1298" w:header="851" w:footer="851" w:gutter="0"/>
          <w:pgNumType w:fmt="decimal"/>
          <w:cols w:space="720" w:num="1"/>
          <w:docGrid w:linePitch="312" w:charSpace="0"/>
        </w:sectPr>
      </w:pPr>
    </w:p>
    <w:p w14:paraId="22D3BEF5">
      <w:pPr>
        <w:pStyle w:val="6"/>
        <w:rPr>
          <w:rFonts w:hint="eastAsia" w:ascii="Arial" w:hAnsi="宋体" w:eastAsia="黑体" w:cs="宋体"/>
          <w:b/>
          <w:bCs/>
          <w:color w:val="000000" w:themeColor="text1"/>
          <w:spacing w:val="0"/>
          <w:sz w:val="24"/>
          <w:szCs w:val="24"/>
          <w:highlight w:val="none"/>
          <w:shd w:val="clear" w:color="auto" w:fill="FFFFFF"/>
          <w:lang w:val="en-US" w:eastAsia="zh-CN" w:bidi="hi-IN"/>
          <w14:textFill>
            <w14:solidFill>
              <w14:schemeClr w14:val="tx1"/>
            </w14:solidFill>
          </w14:textFill>
        </w:rPr>
      </w:pPr>
      <w:bookmarkStart w:id="176" w:name="_Toc394929420"/>
      <w:bookmarkStart w:id="177" w:name="_Toc511595197"/>
      <w:bookmarkStart w:id="178" w:name="_Toc508779713"/>
      <w:bookmarkStart w:id="179" w:name="_Toc514759057"/>
      <w:bookmarkStart w:id="180" w:name="_Toc15099"/>
      <w:r>
        <w:rPr>
          <w:rFonts w:hint="eastAsia" w:hAnsi="宋体" w:cs="宋体"/>
          <w:b/>
          <w:bCs/>
          <w:color w:val="000000" w:themeColor="text1"/>
          <w:spacing w:val="0"/>
          <w:sz w:val="24"/>
          <w:szCs w:val="24"/>
          <w:highlight w:val="none"/>
          <w:shd w:val="clear" w:color="auto" w:fill="FFFFFF"/>
          <w:lang w:val="en-US" w:eastAsia="zh-CN" w:bidi="hi-IN"/>
          <w14:textFill>
            <w14:solidFill>
              <w14:schemeClr w14:val="tx1"/>
            </w14:solidFill>
          </w14:textFill>
        </w:rPr>
        <w:t>八、</w:t>
      </w:r>
      <w:r>
        <w:rPr>
          <w:rFonts w:hint="default" w:ascii="Arial" w:hAnsi="宋体" w:eastAsia="黑体" w:cs="宋体"/>
          <w:b/>
          <w:bCs/>
          <w:color w:val="000000" w:themeColor="text1"/>
          <w:spacing w:val="0"/>
          <w:sz w:val="24"/>
          <w:szCs w:val="24"/>
          <w:highlight w:val="none"/>
          <w:shd w:val="clear" w:color="auto" w:fill="FFFFFF"/>
          <w:lang w:val="en-US" w:eastAsia="zh-CN" w:bidi="hi-IN"/>
          <w14:textFill>
            <w14:solidFill>
              <w14:schemeClr w14:val="tx1"/>
            </w14:solidFill>
          </w14:textFill>
        </w:rPr>
        <w:t>主要机械设备和试验检测设备</w:t>
      </w:r>
      <w:bookmarkEnd w:id="176"/>
      <w:bookmarkEnd w:id="177"/>
      <w:bookmarkEnd w:id="178"/>
      <w:bookmarkEnd w:id="179"/>
      <w:bookmarkEnd w:id="180"/>
      <w:r>
        <w:rPr>
          <w:rFonts w:hint="eastAsia" w:ascii="Arial" w:hAnsi="宋体" w:eastAsia="黑体" w:cs="宋体"/>
          <w:b/>
          <w:bCs/>
          <w:color w:val="000000" w:themeColor="text1"/>
          <w:spacing w:val="0"/>
          <w:sz w:val="24"/>
          <w:szCs w:val="24"/>
          <w:highlight w:val="none"/>
          <w:shd w:val="clear" w:color="auto" w:fill="FFFFFF"/>
          <w:lang w:val="en-US" w:eastAsia="zh-CN" w:bidi="hi-IN"/>
          <w14:textFill>
            <w14:solidFill>
              <w14:schemeClr w14:val="tx1"/>
            </w14:solidFill>
          </w14:textFill>
        </w:rPr>
        <w:t>投入情况</w:t>
      </w:r>
    </w:p>
    <w:tbl>
      <w:tblPr>
        <w:tblStyle w:val="27"/>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897"/>
        <w:gridCol w:w="1227"/>
        <w:gridCol w:w="694"/>
        <w:gridCol w:w="695"/>
        <w:gridCol w:w="1114"/>
        <w:gridCol w:w="1252"/>
        <w:gridCol w:w="1114"/>
        <w:gridCol w:w="1530"/>
      </w:tblGrid>
      <w:tr w14:paraId="02BA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306A4DB6">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序号</w:t>
            </w:r>
          </w:p>
        </w:tc>
        <w:tc>
          <w:tcPr>
            <w:tcW w:w="1897" w:type="dxa"/>
            <w:noWrap w:val="0"/>
            <w:vAlign w:val="center"/>
          </w:tcPr>
          <w:p w14:paraId="74069B5B">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仪器设备名称</w:t>
            </w:r>
          </w:p>
        </w:tc>
        <w:tc>
          <w:tcPr>
            <w:tcW w:w="1227" w:type="dxa"/>
            <w:noWrap w:val="0"/>
            <w:vAlign w:val="center"/>
          </w:tcPr>
          <w:p w14:paraId="633C433D">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型号</w:t>
            </w:r>
          </w:p>
          <w:p w14:paraId="0C407A68">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规格</w:t>
            </w:r>
          </w:p>
        </w:tc>
        <w:tc>
          <w:tcPr>
            <w:tcW w:w="694" w:type="dxa"/>
            <w:noWrap w:val="0"/>
            <w:vAlign w:val="center"/>
          </w:tcPr>
          <w:p w14:paraId="13027607">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数量</w:t>
            </w:r>
          </w:p>
        </w:tc>
        <w:tc>
          <w:tcPr>
            <w:tcW w:w="695" w:type="dxa"/>
            <w:noWrap w:val="0"/>
            <w:vAlign w:val="center"/>
          </w:tcPr>
          <w:p w14:paraId="0CC405D3">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国别</w:t>
            </w:r>
          </w:p>
          <w:p w14:paraId="416F6573">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产地</w:t>
            </w:r>
          </w:p>
        </w:tc>
        <w:tc>
          <w:tcPr>
            <w:tcW w:w="1114" w:type="dxa"/>
            <w:noWrap w:val="0"/>
            <w:vAlign w:val="center"/>
          </w:tcPr>
          <w:p w14:paraId="18E142B4">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制造年份</w:t>
            </w:r>
          </w:p>
        </w:tc>
        <w:tc>
          <w:tcPr>
            <w:tcW w:w="1252" w:type="dxa"/>
            <w:noWrap w:val="0"/>
            <w:vAlign w:val="center"/>
          </w:tcPr>
          <w:p w14:paraId="412A2C88">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已使用</w:t>
            </w:r>
          </w:p>
          <w:p w14:paraId="7AF5B7EC">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台时数</w:t>
            </w:r>
          </w:p>
        </w:tc>
        <w:tc>
          <w:tcPr>
            <w:tcW w:w="1114" w:type="dxa"/>
            <w:noWrap w:val="0"/>
            <w:vAlign w:val="center"/>
          </w:tcPr>
          <w:p w14:paraId="158AD5C7">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用途</w:t>
            </w:r>
          </w:p>
        </w:tc>
        <w:tc>
          <w:tcPr>
            <w:tcW w:w="1530" w:type="dxa"/>
            <w:noWrap w:val="0"/>
            <w:vAlign w:val="center"/>
          </w:tcPr>
          <w:p w14:paraId="6A3E3BB0">
            <w:pPr>
              <w:keepNext w:val="0"/>
              <w:keepLines w:val="0"/>
              <w:suppressLineNumbers w:val="0"/>
              <w:spacing w:before="0" w:beforeAutospacing="0" w:after="0" w:afterAutospacing="0"/>
              <w:ind w:left="0" w:right="0"/>
              <w:jc w:val="center"/>
              <w:rPr>
                <w:rFonts w:hint="default"/>
                <w:color w:val="auto"/>
                <w:sz w:val="22"/>
                <w:szCs w:val="22"/>
                <w:highlight w:val="none"/>
              </w:rPr>
            </w:pPr>
            <w:r>
              <w:rPr>
                <w:rFonts w:hint="default"/>
                <w:color w:val="auto"/>
                <w:sz w:val="22"/>
                <w:szCs w:val="22"/>
                <w:highlight w:val="none"/>
              </w:rPr>
              <w:t>备注</w:t>
            </w:r>
          </w:p>
        </w:tc>
      </w:tr>
      <w:tr w14:paraId="3752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004E5BEA">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1</w:t>
            </w:r>
          </w:p>
        </w:tc>
        <w:tc>
          <w:tcPr>
            <w:tcW w:w="1897" w:type="dxa"/>
            <w:noWrap w:val="0"/>
            <w:vAlign w:val="center"/>
          </w:tcPr>
          <w:p w14:paraId="70BD7769">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51101666">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4C67F28B">
            <w:pPr>
              <w:keepNext w:val="0"/>
              <w:keepLines w:val="0"/>
              <w:suppressLineNumbers w:val="0"/>
              <w:spacing w:before="0" w:beforeAutospacing="0" w:after="0" w:afterAutospacing="0"/>
              <w:ind w:left="0" w:right="0"/>
              <w:jc w:val="center"/>
              <w:rPr>
                <w:rFonts w:hint="eastAsia" w:eastAsia="宋体"/>
                <w:color w:val="auto"/>
                <w:sz w:val="22"/>
                <w:szCs w:val="22"/>
                <w:highlight w:val="none"/>
                <w:lang w:eastAsia="zh-CN"/>
              </w:rPr>
            </w:pPr>
          </w:p>
        </w:tc>
        <w:tc>
          <w:tcPr>
            <w:tcW w:w="695" w:type="dxa"/>
            <w:noWrap w:val="0"/>
            <w:vAlign w:val="center"/>
          </w:tcPr>
          <w:p w14:paraId="79B9C903">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47B9F042">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5369B3BE">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44B531E3">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6C8571F6">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4E67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65F76764">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2</w:t>
            </w:r>
          </w:p>
        </w:tc>
        <w:tc>
          <w:tcPr>
            <w:tcW w:w="1897" w:type="dxa"/>
            <w:noWrap w:val="0"/>
            <w:vAlign w:val="center"/>
          </w:tcPr>
          <w:p w14:paraId="46F44361">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1A39FBA7">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1131FADD">
            <w:pPr>
              <w:keepNext w:val="0"/>
              <w:keepLines w:val="0"/>
              <w:suppressLineNumbers w:val="0"/>
              <w:spacing w:before="0" w:beforeAutospacing="0" w:after="0" w:afterAutospacing="0"/>
              <w:ind w:left="0" w:right="0"/>
              <w:jc w:val="center"/>
              <w:rPr>
                <w:rFonts w:hint="eastAsia" w:eastAsia="宋体"/>
                <w:color w:val="auto"/>
                <w:sz w:val="22"/>
                <w:szCs w:val="22"/>
                <w:highlight w:val="none"/>
                <w:lang w:eastAsia="zh-CN"/>
              </w:rPr>
            </w:pPr>
          </w:p>
        </w:tc>
        <w:tc>
          <w:tcPr>
            <w:tcW w:w="695" w:type="dxa"/>
            <w:noWrap w:val="0"/>
            <w:vAlign w:val="center"/>
          </w:tcPr>
          <w:p w14:paraId="113DAD1B">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643ECCC5">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56FB0EF7">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2530765F">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4423C407">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6D0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5A7A31EC">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3</w:t>
            </w:r>
          </w:p>
        </w:tc>
        <w:tc>
          <w:tcPr>
            <w:tcW w:w="1897" w:type="dxa"/>
            <w:noWrap w:val="0"/>
            <w:vAlign w:val="center"/>
          </w:tcPr>
          <w:p w14:paraId="0491901A">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3187D00A">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31E16600">
            <w:pPr>
              <w:keepNext w:val="0"/>
              <w:keepLines w:val="0"/>
              <w:suppressLineNumbers w:val="0"/>
              <w:spacing w:before="0" w:beforeAutospacing="0" w:after="0" w:afterAutospacing="0"/>
              <w:ind w:left="0" w:right="0"/>
              <w:jc w:val="center"/>
              <w:rPr>
                <w:rFonts w:hint="eastAsia" w:eastAsia="宋体"/>
                <w:color w:val="auto"/>
                <w:sz w:val="22"/>
                <w:szCs w:val="22"/>
                <w:highlight w:val="none"/>
                <w:lang w:eastAsia="zh-CN"/>
              </w:rPr>
            </w:pPr>
          </w:p>
        </w:tc>
        <w:tc>
          <w:tcPr>
            <w:tcW w:w="695" w:type="dxa"/>
            <w:noWrap w:val="0"/>
            <w:vAlign w:val="center"/>
          </w:tcPr>
          <w:p w14:paraId="4DE4D98B">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14C2C9BA">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0CAB4935">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59702833">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68C5BAC6">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4103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0002159E">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4</w:t>
            </w:r>
          </w:p>
        </w:tc>
        <w:tc>
          <w:tcPr>
            <w:tcW w:w="1897" w:type="dxa"/>
            <w:noWrap w:val="0"/>
            <w:vAlign w:val="center"/>
          </w:tcPr>
          <w:p w14:paraId="2ABC7850">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39B47617">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745137A2">
            <w:pPr>
              <w:keepNext w:val="0"/>
              <w:keepLines w:val="0"/>
              <w:suppressLineNumbers w:val="0"/>
              <w:spacing w:before="0" w:beforeAutospacing="0" w:after="0" w:afterAutospacing="0"/>
              <w:ind w:left="0" w:right="0"/>
              <w:jc w:val="center"/>
              <w:rPr>
                <w:rFonts w:hint="eastAsia" w:eastAsia="宋体"/>
                <w:color w:val="auto"/>
                <w:sz w:val="22"/>
                <w:szCs w:val="22"/>
                <w:highlight w:val="none"/>
                <w:lang w:eastAsia="zh-CN"/>
              </w:rPr>
            </w:pPr>
          </w:p>
        </w:tc>
        <w:tc>
          <w:tcPr>
            <w:tcW w:w="695" w:type="dxa"/>
            <w:noWrap w:val="0"/>
            <w:vAlign w:val="center"/>
          </w:tcPr>
          <w:p w14:paraId="09E64B92">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60D421D0">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6B6C391F">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1861BB38">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5EB143F2">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49E2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74" w:type="dxa"/>
            <w:noWrap w:val="0"/>
            <w:vAlign w:val="center"/>
          </w:tcPr>
          <w:p w14:paraId="084202B8">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5</w:t>
            </w:r>
          </w:p>
        </w:tc>
        <w:tc>
          <w:tcPr>
            <w:tcW w:w="1897" w:type="dxa"/>
            <w:noWrap w:val="0"/>
            <w:vAlign w:val="center"/>
          </w:tcPr>
          <w:p w14:paraId="575D13FD">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5343415F">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2CD28803">
            <w:pPr>
              <w:keepNext w:val="0"/>
              <w:keepLines w:val="0"/>
              <w:suppressLineNumbers w:val="0"/>
              <w:spacing w:before="0" w:beforeAutospacing="0" w:after="0" w:afterAutospacing="0"/>
              <w:ind w:left="0" w:right="0"/>
              <w:jc w:val="center"/>
              <w:rPr>
                <w:rFonts w:hint="eastAsia" w:eastAsia="宋体"/>
                <w:color w:val="auto"/>
                <w:sz w:val="22"/>
                <w:szCs w:val="22"/>
                <w:highlight w:val="none"/>
                <w:lang w:eastAsia="zh-CN"/>
              </w:rPr>
            </w:pPr>
          </w:p>
        </w:tc>
        <w:tc>
          <w:tcPr>
            <w:tcW w:w="695" w:type="dxa"/>
            <w:noWrap w:val="0"/>
            <w:vAlign w:val="center"/>
          </w:tcPr>
          <w:p w14:paraId="505B0BE4">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5DA0C3ED">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011C2882">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5AC180DA">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1F3BAB1F">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3594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74" w:type="dxa"/>
            <w:noWrap w:val="0"/>
            <w:vAlign w:val="center"/>
          </w:tcPr>
          <w:p w14:paraId="73EC8748">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6</w:t>
            </w:r>
          </w:p>
        </w:tc>
        <w:tc>
          <w:tcPr>
            <w:tcW w:w="1897" w:type="dxa"/>
            <w:noWrap w:val="0"/>
            <w:vAlign w:val="center"/>
          </w:tcPr>
          <w:p w14:paraId="3AB23FFB">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56DCE9FC">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69A930BC">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5" w:type="dxa"/>
            <w:noWrap w:val="0"/>
            <w:vAlign w:val="center"/>
          </w:tcPr>
          <w:p w14:paraId="775299DB">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1484A416">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03867FD4">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36397FE1">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10B55625">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082D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174" w:type="dxa"/>
            <w:noWrap w:val="0"/>
            <w:vAlign w:val="center"/>
          </w:tcPr>
          <w:p w14:paraId="41C9666C">
            <w:pPr>
              <w:keepNext w:val="0"/>
              <w:keepLines w:val="0"/>
              <w:suppressLineNumbers w:val="0"/>
              <w:spacing w:before="0" w:beforeAutospacing="0" w:after="0" w:afterAutospacing="0"/>
              <w:ind w:left="0" w:right="0"/>
              <w:jc w:val="center"/>
              <w:rPr>
                <w:rFonts w:hint="eastAsia" w:eastAsia="宋体"/>
                <w:color w:val="auto"/>
                <w:sz w:val="22"/>
                <w:szCs w:val="22"/>
                <w:highlight w:val="none"/>
                <w:lang w:val="en-US" w:eastAsia="zh-CN"/>
              </w:rPr>
            </w:pPr>
            <w:r>
              <w:rPr>
                <w:rFonts w:hint="default" w:ascii="宋体" w:hAnsi="宋体"/>
                <w:color w:val="auto"/>
                <w:sz w:val="24"/>
                <w:szCs w:val="20"/>
              </w:rPr>
              <w:t>7</w:t>
            </w:r>
          </w:p>
        </w:tc>
        <w:tc>
          <w:tcPr>
            <w:tcW w:w="1897" w:type="dxa"/>
            <w:noWrap w:val="0"/>
            <w:vAlign w:val="center"/>
          </w:tcPr>
          <w:p w14:paraId="37BB251C">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1F1F0639">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5C773537">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5" w:type="dxa"/>
            <w:noWrap w:val="0"/>
            <w:vAlign w:val="center"/>
          </w:tcPr>
          <w:p w14:paraId="0665CE79">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0564F1F4">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2C8AFD77">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43C13A5E">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58EC6D81">
            <w:pPr>
              <w:keepNext w:val="0"/>
              <w:keepLines w:val="0"/>
              <w:suppressLineNumbers w:val="0"/>
              <w:spacing w:before="0" w:beforeAutospacing="0" w:after="0" w:afterAutospacing="0"/>
              <w:ind w:left="0" w:right="0"/>
              <w:jc w:val="center"/>
              <w:rPr>
                <w:rFonts w:hint="default"/>
                <w:color w:val="auto"/>
                <w:sz w:val="22"/>
                <w:szCs w:val="22"/>
                <w:highlight w:val="none"/>
              </w:rPr>
            </w:pPr>
          </w:p>
        </w:tc>
      </w:tr>
      <w:tr w14:paraId="215E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174" w:type="dxa"/>
            <w:noWrap w:val="0"/>
            <w:vAlign w:val="center"/>
          </w:tcPr>
          <w:p w14:paraId="58D4AA6E">
            <w:pPr>
              <w:keepNext w:val="0"/>
              <w:keepLines w:val="0"/>
              <w:suppressLineNumbers w:val="0"/>
              <w:spacing w:before="0" w:beforeAutospacing="0" w:after="0" w:afterAutospacing="0"/>
              <w:ind w:left="0" w:right="0"/>
              <w:jc w:val="center"/>
              <w:rPr>
                <w:rFonts w:hint="default" w:eastAsia="宋体"/>
                <w:color w:val="auto"/>
                <w:sz w:val="22"/>
                <w:szCs w:val="22"/>
                <w:highlight w:val="none"/>
                <w:lang w:val="en-US" w:eastAsia="zh-CN"/>
              </w:rPr>
            </w:pPr>
            <w:r>
              <w:rPr>
                <w:rFonts w:hint="eastAsia"/>
                <w:color w:val="auto"/>
                <w:sz w:val="22"/>
                <w:szCs w:val="22"/>
                <w:highlight w:val="none"/>
                <w:lang w:val="en-US" w:eastAsia="zh-CN"/>
              </w:rPr>
              <w:t>8</w:t>
            </w:r>
          </w:p>
        </w:tc>
        <w:tc>
          <w:tcPr>
            <w:tcW w:w="1897" w:type="dxa"/>
            <w:noWrap w:val="0"/>
            <w:vAlign w:val="center"/>
          </w:tcPr>
          <w:p w14:paraId="67439CB3">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27" w:type="dxa"/>
            <w:noWrap w:val="0"/>
            <w:vAlign w:val="center"/>
          </w:tcPr>
          <w:p w14:paraId="538CEA78">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4" w:type="dxa"/>
            <w:noWrap w:val="0"/>
            <w:vAlign w:val="center"/>
          </w:tcPr>
          <w:p w14:paraId="5FC72C28">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695" w:type="dxa"/>
            <w:noWrap w:val="0"/>
            <w:vAlign w:val="center"/>
          </w:tcPr>
          <w:p w14:paraId="05A45A2D">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0F8F08B4">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252" w:type="dxa"/>
            <w:noWrap w:val="0"/>
            <w:vAlign w:val="center"/>
          </w:tcPr>
          <w:p w14:paraId="74D733D1">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114" w:type="dxa"/>
            <w:noWrap w:val="0"/>
            <w:vAlign w:val="center"/>
          </w:tcPr>
          <w:p w14:paraId="74FF0261">
            <w:pPr>
              <w:keepNext w:val="0"/>
              <w:keepLines w:val="0"/>
              <w:suppressLineNumbers w:val="0"/>
              <w:spacing w:before="0" w:beforeAutospacing="0" w:after="0" w:afterAutospacing="0"/>
              <w:ind w:left="0" w:right="0"/>
              <w:jc w:val="center"/>
              <w:rPr>
                <w:rFonts w:hint="default"/>
                <w:color w:val="auto"/>
                <w:sz w:val="22"/>
                <w:szCs w:val="22"/>
                <w:highlight w:val="none"/>
              </w:rPr>
            </w:pPr>
          </w:p>
        </w:tc>
        <w:tc>
          <w:tcPr>
            <w:tcW w:w="1530" w:type="dxa"/>
            <w:noWrap w:val="0"/>
            <w:vAlign w:val="center"/>
          </w:tcPr>
          <w:p w14:paraId="7B09657D">
            <w:pPr>
              <w:keepNext w:val="0"/>
              <w:keepLines w:val="0"/>
              <w:suppressLineNumbers w:val="0"/>
              <w:spacing w:before="0" w:beforeAutospacing="0" w:after="0" w:afterAutospacing="0"/>
              <w:ind w:left="0" w:right="0"/>
              <w:jc w:val="center"/>
              <w:rPr>
                <w:rFonts w:hint="default"/>
                <w:color w:val="auto"/>
                <w:sz w:val="22"/>
                <w:szCs w:val="22"/>
                <w:highlight w:val="none"/>
              </w:rPr>
            </w:pPr>
          </w:p>
        </w:tc>
      </w:tr>
    </w:tbl>
    <w:p w14:paraId="09E85521">
      <w:pPr>
        <w:ind w:firstLine="420"/>
        <w:rPr>
          <w:rFonts w:ascii="宋体" w:hAnsi="宋体" w:cs="宋体"/>
          <w:color w:val="000000" w:themeColor="text1"/>
          <w:sz w:val="21"/>
          <w:szCs w:val="21"/>
          <w:highlight w:val="none"/>
          <w14:textFill>
            <w14:solidFill>
              <w14:schemeClr w14:val="tx1"/>
            </w14:solidFill>
          </w14:textFill>
        </w:rPr>
      </w:pPr>
    </w:p>
    <w:p w14:paraId="78F9A24B">
      <w:pPr>
        <w:ind w:firstLine="411" w:firstLineChars="196"/>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注：</w:t>
      </w:r>
      <w:r>
        <w:rPr>
          <w:rFonts w:hint="eastAsia" w:ascii="宋体" w:hAnsi="宋体" w:cs="宋体"/>
          <w:color w:val="000000" w:themeColor="text1"/>
          <w:sz w:val="21"/>
          <w:szCs w:val="21"/>
          <w:highlight w:val="none"/>
          <w:lang w:val="en-US" w:eastAsia="zh-CN"/>
          <w14:textFill>
            <w14:solidFill>
              <w14:schemeClr w14:val="tx1"/>
            </w14:solidFill>
          </w14:textFill>
        </w:rPr>
        <w:t>发包</w:t>
      </w:r>
      <w:r>
        <w:rPr>
          <w:rFonts w:ascii="宋体" w:hAnsi="宋体" w:cs="宋体"/>
          <w:color w:val="000000" w:themeColor="text1"/>
          <w:sz w:val="21"/>
          <w:szCs w:val="21"/>
          <w:highlight w:val="none"/>
          <w14:textFill>
            <w14:solidFill>
              <w14:schemeClr w14:val="tx1"/>
            </w14:solidFill>
          </w14:textFill>
        </w:rPr>
        <w:t>人将在发出成交通知书之前要求成交人按照本表填报为本标段配备的主要设备，在经</w:t>
      </w:r>
      <w:r>
        <w:rPr>
          <w:rFonts w:hint="eastAsia" w:ascii="宋体" w:hAnsi="宋体" w:cs="宋体"/>
          <w:color w:val="000000" w:themeColor="text1"/>
          <w:sz w:val="21"/>
          <w:szCs w:val="21"/>
          <w:highlight w:val="none"/>
          <w:lang w:val="en-US" w:eastAsia="zh-CN"/>
          <w14:textFill>
            <w14:solidFill>
              <w14:schemeClr w14:val="tx1"/>
            </w14:solidFill>
          </w14:textFill>
        </w:rPr>
        <w:t>发包</w:t>
      </w:r>
      <w:r>
        <w:rPr>
          <w:rFonts w:ascii="宋体" w:hAnsi="宋体" w:cs="宋体"/>
          <w:color w:val="000000" w:themeColor="text1"/>
          <w:sz w:val="21"/>
          <w:szCs w:val="21"/>
          <w:highlight w:val="none"/>
          <w14:textFill>
            <w14:solidFill>
              <w14:schemeClr w14:val="tx1"/>
            </w14:solidFill>
          </w14:textFill>
        </w:rPr>
        <w:t>人审批后作为投入本标段的主要设备且不允许更换。</w:t>
      </w:r>
    </w:p>
    <w:p w14:paraId="53177A20">
      <w:pPr>
        <w:ind w:firstLine="411" w:firstLineChars="196"/>
        <w:rPr>
          <w:rFonts w:ascii="宋体" w:hAnsi="宋体" w:cs="宋体"/>
          <w:color w:val="000000" w:themeColor="text1"/>
          <w:sz w:val="21"/>
          <w:szCs w:val="21"/>
          <w:highlight w:val="none"/>
          <w14:textFill>
            <w14:solidFill>
              <w14:schemeClr w14:val="tx1"/>
            </w14:solidFill>
          </w14:textFill>
        </w:rPr>
      </w:pPr>
    </w:p>
    <w:p w14:paraId="1459B86B">
      <w:pPr>
        <w:ind w:firstLine="411" w:firstLineChars="196"/>
        <w:rPr>
          <w:rFonts w:hint="default" w:ascii="宋体" w:hAnsi="宋体" w:eastAsia="宋体" w:cs="宋体"/>
          <w:color w:val="000000" w:themeColor="text1"/>
          <w:sz w:val="21"/>
          <w:szCs w:val="21"/>
          <w:highlight w:val="none"/>
          <w:lang w:val="en-US" w:eastAsia="zh-CN"/>
          <w14:textFill>
            <w14:solidFill>
              <w14:schemeClr w14:val="tx1"/>
            </w14:solidFill>
          </w14:textFill>
        </w:rPr>
        <w:sectPr>
          <w:pgSz w:w="11906" w:h="16838"/>
          <w:pgMar w:top="1100" w:right="1488" w:bottom="919" w:left="1298" w:header="851" w:footer="851" w:gutter="0"/>
          <w:pgNumType w:fmt="decimal"/>
          <w:cols w:space="720" w:num="1"/>
          <w:docGrid w:linePitch="312" w:charSpace="0"/>
        </w:sectPr>
      </w:pPr>
    </w:p>
    <w:p w14:paraId="47CD9E88">
      <w:pPr>
        <w:pStyle w:val="5"/>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九、</w:t>
      </w:r>
      <w:r>
        <w:rPr>
          <w:rFonts w:ascii="宋体" w:hAnsi="宋体" w:eastAsia="宋体" w:cs="宋体"/>
          <w:color w:val="000000" w:themeColor="text1"/>
          <w:highlight w:val="none"/>
          <w14:textFill>
            <w14:solidFill>
              <w14:schemeClr w14:val="tx1"/>
            </w14:solidFill>
          </w14:textFill>
        </w:rPr>
        <w:t>第一节  通用合同条款</w:t>
      </w:r>
    </w:p>
    <w:p w14:paraId="43E3080E">
      <w:pPr>
        <w:tabs>
          <w:tab w:val="left" w:pos="1080"/>
        </w:tabs>
        <w:spacing w:line="400" w:lineRule="exact"/>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w:t>
      </w:r>
      <w:r>
        <w:rPr>
          <w:rStyle w:val="67"/>
          <w:rFonts w:cs="宋体"/>
          <w:color w:val="000000" w:themeColor="text1"/>
          <w:sz w:val="21"/>
          <w:szCs w:val="21"/>
          <w:highlight w:val="none"/>
          <w14:textFill>
            <w14:solidFill>
              <w14:schemeClr w14:val="tx1"/>
            </w14:solidFill>
          </w14:textFill>
        </w:rPr>
        <w:t>通用合同条款”采用中华人民共和国交通运输部《公路工程标准施工招标文件》（2018年版）的“通用合同条款”</w:t>
      </w:r>
    </w:p>
    <w:p w14:paraId="3DBB6739">
      <w:pPr>
        <w:pStyle w:val="5"/>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第二节  专用合同条款</w:t>
      </w:r>
    </w:p>
    <w:p w14:paraId="22436A3E">
      <w:pPr>
        <w:pStyle w:val="6"/>
        <w:spacing w:line="360" w:lineRule="auto"/>
        <w:jc w:val="center"/>
        <w:rPr>
          <w:rFonts w:hAnsi="宋体" w:cs="宋体"/>
          <w:color w:val="000000" w:themeColor="text1"/>
          <w:sz w:val="21"/>
          <w:szCs w:val="21"/>
          <w:highlight w:val="none"/>
          <w14:textFill>
            <w14:solidFill>
              <w14:schemeClr w14:val="tx1"/>
            </w14:solidFill>
          </w14:textFill>
        </w:rPr>
      </w:pPr>
      <w:r>
        <w:rPr>
          <w:rFonts w:hAnsi="宋体" w:cs="宋体"/>
          <w:color w:val="000000" w:themeColor="text1"/>
          <w:sz w:val="21"/>
          <w:szCs w:val="21"/>
          <w:highlight w:val="none"/>
          <w14:textFill>
            <w14:solidFill>
              <w14:schemeClr w14:val="tx1"/>
            </w14:solidFill>
          </w14:textFill>
        </w:rPr>
        <w:t>A.公路工程专用合同条款</w:t>
      </w:r>
    </w:p>
    <w:p w14:paraId="6F3A3D33">
      <w:pPr>
        <w:tabs>
          <w:tab w:val="left" w:pos="1080"/>
        </w:tabs>
        <w:spacing w:line="360" w:lineRule="auto"/>
        <w:ind w:firstLine="480"/>
        <w:rPr>
          <w:rFonts w:ascii="宋体" w:hAnsi="宋体" w:cs="宋体"/>
          <w:color w:val="000000" w:themeColor="text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w:t>
      </w:r>
      <w:r>
        <w:rPr>
          <w:rStyle w:val="67"/>
          <w:rFonts w:cs="宋体"/>
          <w:color w:val="000000" w:themeColor="text1"/>
          <w:sz w:val="21"/>
          <w:szCs w:val="21"/>
          <w:highlight w:val="none"/>
          <w14:textFill>
            <w14:solidFill>
              <w14:schemeClr w14:val="tx1"/>
            </w14:solidFill>
          </w14:textFill>
        </w:rPr>
        <w:t>公路工程专用合同条款”采用交通运输部《公路工程标准施工招标文件》（2018年版）的“公路工程专用合同条款”</w:t>
      </w:r>
    </w:p>
    <w:p w14:paraId="0348D009">
      <w:pPr>
        <w:jc w:val="center"/>
        <w:rPr>
          <w:rFonts w:hint="eastAsia" w:ascii="宋体" w:hAnsi="宋体" w:eastAsia="宋体" w:cs="宋体"/>
          <w:b/>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sz w:val="21"/>
          <w:szCs w:val="21"/>
          <w:highlight w:val="none"/>
          <w:lang w:val="en-US" w:eastAsia="zh-CN" w:bidi="ar-SA"/>
          <w14:textFill>
            <w14:solidFill>
              <w14:schemeClr w14:val="tx1"/>
            </w14:solidFill>
          </w14:textFill>
        </w:rPr>
        <w:t>B.项目专用合同条款</w:t>
      </w:r>
    </w:p>
    <w:p w14:paraId="4F4F6F0A">
      <w:pPr>
        <w:tabs>
          <w:tab w:val="left" w:pos="1080"/>
        </w:tabs>
        <w:spacing w:line="360" w:lineRule="auto"/>
        <w:ind w:firstLine="482"/>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说明：</w:t>
      </w:r>
    </w:p>
    <w:p w14:paraId="20F87137">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采购人在根据《公路工程标准施工招标文件》编制项目谈判文件中的“项目专用合同条款”时，可根据招标项目的具体特点和实际需要，对“通用合同条款”及“公路工程专用合同条款”进行补充和细化，除“通用合同条款”明确“专用合同条款”可做出不同约定以及“公路工程专用合同条款”明确“项目专用合同条款” 可做出不同约定外，补充和细化的内容不得与“通用合同条款”及“公路工程专用合同条款”强制性规定相抵触。同时，补充、细化或约定的不同内容，不得违反法律、行政法规的强制性规定和平等、自愿、公平和诚实信用原则。</w:t>
      </w:r>
    </w:p>
    <w:p w14:paraId="7333ADC0">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2.项目专用合同条款的编号应与通用合同条款和公路工程专用合同条款一致。</w:t>
      </w:r>
    </w:p>
    <w:p w14:paraId="224838C1">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3.项目专用合同条款可对下列内容进行补充和细化：</w:t>
      </w:r>
    </w:p>
    <w:p w14:paraId="25F48CE2">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2BABD353">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25FEEC8D">
      <w:pPr>
        <w:tabs>
          <w:tab w:val="left" w:pos="1080"/>
        </w:tabs>
        <w:spacing w:line="360" w:lineRule="auto"/>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(3)其他需要补充、细化的内容。</w:t>
      </w:r>
    </w:p>
    <w:p w14:paraId="4CEBBDEC">
      <w:pPr>
        <w:pStyle w:val="6"/>
        <w:jc w:val="center"/>
        <w:rPr>
          <w:rFonts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项目专用合同条款数据表</w:t>
      </w:r>
    </w:p>
    <w:p w14:paraId="7560D901">
      <w:pPr>
        <w:tabs>
          <w:tab w:val="left" w:pos="1080"/>
        </w:tabs>
        <w:spacing w:line="400" w:lineRule="exact"/>
        <w:ind w:firstLine="422"/>
        <w:rPr>
          <w:rFonts w:ascii="宋体" w:hAnsi="宋体" w:cs="宋体"/>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说明：</w:t>
      </w:r>
      <w:r>
        <w:rPr>
          <w:rFonts w:ascii="宋体" w:hAnsi="宋体" w:cs="宋体"/>
          <w:color w:val="000000" w:themeColor="text1"/>
          <w:sz w:val="21"/>
          <w:szCs w:val="21"/>
          <w:highlight w:val="none"/>
          <w14:textFill>
            <w14:solidFill>
              <w14:schemeClr w14:val="tx1"/>
            </w14:solidFill>
          </w14:textFill>
        </w:rPr>
        <w:t>本数据表是项目专用合同条款中适用于本项目的信息和数据的归纳与提示，是项目专用合同条款的组成部分。第七章“响应文件格式”的竞标函附录中的数据（</w:t>
      </w:r>
      <w:r>
        <w:rPr>
          <w:rFonts w:hint="eastAsia" w:ascii="宋体" w:hAnsi="宋体" w:cs="宋体"/>
          <w:color w:val="000000" w:themeColor="text1"/>
          <w:sz w:val="21"/>
          <w:szCs w:val="21"/>
          <w:highlight w:val="none"/>
          <w:lang w:eastAsia="zh-CN"/>
          <w14:textFill>
            <w14:solidFill>
              <w14:schemeClr w14:val="tx1"/>
            </w14:solidFill>
          </w14:textFill>
        </w:rPr>
        <w:t>投标人</w:t>
      </w:r>
      <w:r>
        <w:rPr>
          <w:rFonts w:ascii="宋体" w:hAnsi="宋体" w:cs="宋体"/>
          <w:color w:val="000000" w:themeColor="text1"/>
          <w:sz w:val="21"/>
          <w:szCs w:val="21"/>
          <w:highlight w:val="none"/>
          <w14:textFill>
            <w14:solidFill>
              <w14:schemeClr w14:val="tx1"/>
            </w14:solidFill>
          </w14:textFill>
        </w:rPr>
        <w:t>确认）与本表所列有重复。编写采购文件的单位应仔细校核，不使数据出现差错或不一致。</w:t>
      </w:r>
    </w:p>
    <w:tbl>
      <w:tblPr>
        <w:tblStyle w:val="27"/>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2"/>
        <w:gridCol w:w="7205"/>
      </w:tblGrid>
      <w:tr w14:paraId="2448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trPr>
        <w:tc>
          <w:tcPr>
            <w:tcW w:w="818" w:type="dxa"/>
            <w:noWrap w:val="0"/>
            <w:vAlign w:val="center"/>
          </w:tcPr>
          <w:p w14:paraId="43C0A03D">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序号</w:t>
            </w:r>
          </w:p>
        </w:tc>
        <w:tc>
          <w:tcPr>
            <w:tcW w:w="1272" w:type="dxa"/>
            <w:noWrap w:val="0"/>
            <w:vAlign w:val="center"/>
          </w:tcPr>
          <w:p w14:paraId="4A99BA8D">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条目号</w:t>
            </w:r>
          </w:p>
        </w:tc>
        <w:tc>
          <w:tcPr>
            <w:tcW w:w="7205" w:type="dxa"/>
            <w:noWrap w:val="0"/>
            <w:vAlign w:val="center"/>
          </w:tcPr>
          <w:p w14:paraId="7D11EC6A">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信 息 或 数 据</w:t>
            </w:r>
          </w:p>
        </w:tc>
      </w:tr>
      <w:tr w14:paraId="0DD8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18" w:type="dxa"/>
            <w:noWrap w:val="0"/>
            <w:vAlign w:val="center"/>
          </w:tcPr>
          <w:p w14:paraId="10B1CC05">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p>
        </w:tc>
        <w:tc>
          <w:tcPr>
            <w:tcW w:w="1272" w:type="dxa"/>
            <w:noWrap w:val="0"/>
            <w:vAlign w:val="center"/>
          </w:tcPr>
          <w:p w14:paraId="52EEE785">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1.1.2.2</w:t>
            </w:r>
          </w:p>
        </w:tc>
        <w:tc>
          <w:tcPr>
            <w:tcW w:w="7205" w:type="dxa"/>
            <w:noWrap w:val="0"/>
            <w:vAlign w:val="center"/>
          </w:tcPr>
          <w:p w14:paraId="03D9490A">
            <w:pPr>
              <w:keepNext w:val="0"/>
              <w:keepLines w:val="0"/>
              <w:suppressLineNumbers w:val="0"/>
              <w:spacing w:before="0" w:beforeAutospacing="0" w:after="0" w:afterAutospacing="0" w:line="300" w:lineRule="exact"/>
              <w:ind w:left="0" w:right="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发包人：</w:t>
            </w:r>
            <w:r>
              <w:rPr>
                <w:rFonts w:hint="eastAsia" w:ascii="宋体" w:hAnsi="宋体" w:cs="宋体"/>
                <w:color w:val="000000" w:themeColor="text1"/>
                <w:sz w:val="21"/>
                <w:szCs w:val="21"/>
                <w:highlight w:val="none"/>
                <w:lang w:eastAsia="zh-CN"/>
                <w14:textFill>
                  <w14:solidFill>
                    <w14:schemeClr w14:val="tx1"/>
                  </w14:solidFill>
                </w14:textFill>
              </w:rPr>
              <w:t>天等县交通运输局</w:t>
            </w:r>
          </w:p>
          <w:p w14:paraId="49466C66">
            <w:pPr>
              <w:keepNext w:val="0"/>
              <w:keepLines w:val="0"/>
              <w:suppressLineNumbers w:val="0"/>
              <w:tabs>
                <w:tab w:val="left" w:pos="1080"/>
              </w:tabs>
              <w:spacing w:before="0" w:beforeAutospacing="0" w:after="0" w:afterAutospacing="0" w:line="300" w:lineRule="exact"/>
              <w:ind w:left="0" w:right="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地址：</w:t>
            </w:r>
            <w:r>
              <w:rPr>
                <w:rFonts w:hint="eastAsia" w:ascii="宋体" w:hAnsi="宋体" w:cs="宋体"/>
                <w:color w:val="000000" w:themeColor="text1"/>
                <w:sz w:val="21"/>
                <w:szCs w:val="21"/>
                <w:highlight w:val="none"/>
                <w:lang w:eastAsia="zh-CN"/>
                <w14:textFill>
                  <w14:solidFill>
                    <w14:schemeClr w14:val="tx1"/>
                  </w14:solidFill>
                </w14:textFill>
              </w:rPr>
              <w:t>天等县天等镇隆罕路6号6栋</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cs="宋体"/>
                <w:color w:val="000000" w:themeColor="text1"/>
                <w:sz w:val="21"/>
                <w:szCs w:val="21"/>
                <w:highlight w:val="none"/>
                <w:lang w:eastAsia="zh-CN"/>
                <w14:textFill>
                  <w14:solidFill>
                    <w14:schemeClr w14:val="tx1"/>
                  </w14:solidFill>
                </w14:textFill>
              </w:rPr>
              <w:t>楼</w:t>
            </w:r>
            <w:r>
              <w:rPr>
                <w:rFonts w:hint="default" w:ascii="宋体" w:hAnsi="宋体" w:cs="宋体"/>
                <w:color w:val="000000" w:themeColor="text1"/>
                <w:sz w:val="21"/>
                <w:szCs w:val="21"/>
                <w:highlight w:val="none"/>
                <w14:textFill>
                  <w14:solidFill>
                    <w14:schemeClr w14:val="tx1"/>
                  </w14:solidFill>
                </w14:textFill>
              </w:rPr>
              <w:t xml:space="preserve">      </w:t>
            </w:r>
          </w:p>
        </w:tc>
      </w:tr>
      <w:tr w14:paraId="0A09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8" w:type="dxa"/>
            <w:noWrap w:val="0"/>
            <w:vAlign w:val="center"/>
          </w:tcPr>
          <w:p w14:paraId="5BC04E31">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p>
        </w:tc>
        <w:tc>
          <w:tcPr>
            <w:tcW w:w="1272" w:type="dxa"/>
            <w:noWrap w:val="0"/>
            <w:vAlign w:val="center"/>
          </w:tcPr>
          <w:p w14:paraId="037ABB4A">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1.1.4.5</w:t>
            </w:r>
          </w:p>
        </w:tc>
        <w:tc>
          <w:tcPr>
            <w:tcW w:w="7205" w:type="dxa"/>
            <w:noWrap w:val="0"/>
            <w:vAlign w:val="center"/>
          </w:tcPr>
          <w:p w14:paraId="3B76FE63">
            <w:pPr>
              <w:keepNext w:val="0"/>
              <w:keepLines w:val="0"/>
              <w:suppressLineNumbers w:val="0"/>
              <w:tabs>
                <w:tab w:val="left" w:pos="1080"/>
              </w:tabs>
              <w:spacing w:before="0" w:beforeAutospacing="0" w:after="0" w:afterAutospacing="0" w:line="300" w:lineRule="exact"/>
              <w:ind w:left="0" w:right="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缺陷责任期：自实际交工</w:t>
            </w:r>
            <w:r>
              <w:rPr>
                <w:rFonts w:hint="eastAsia" w:ascii="宋体" w:hAnsi="宋体" w:cs="宋体"/>
                <w:color w:val="000000" w:themeColor="text1"/>
                <w:sz w:val="21"/>
                <w:szCs w:val="21"/>
                <w:highlight w:val="none"/>
                <w:lang w:val="en-US" w:eastAsia="zh-CN"/>
                <w14:textFill>
                  <w14:solidFill>
                    <w14:schemeClr w14:val="tx1"/>
                  </w14:solidFill>
                </w14:textFill>
              </w:rPr>
              <w:t>验收合格</w:t>
            </w:r>
            <w:r>
              <w:rPr>
                <w:rFonts w:hint="default" w:ascii="宋体" w:hAnsi="宋体" w:cs="宋体"/>
                <w:color w:val="000000" w:themeColor="text1"/>
                <w:sz w:val="21"/>
                <w:szCs w:val="21"/>
                <w:highlight w:val="none"/>
                <w14:textFill>
                  <w14:solidFill>
                    <w14:schemeClr w14:val="tx1"/>
                  </w14:solidFill>
                </w14:textFill>
              </w:rPr>
              <w:t>日期起计算</w:t>
            </w:r>
            <w:r>
              <w:rPr>
                <w:rStyle w:val="56"/>
                <w:rFonts w:hint="eastAsia" w:ascii="宋体" w:hAnsi="宋体" w:eastAsia="宋体" w:cs="宋体"/>
                <w:b/>
                <w:bCs/>
                <w:color w:val="000000" w:themeColor="text1"/>
                <w:sz w:val="21"/>
                <w:szCs w:val="21"/>
                <w:highlight w:val="none"/>
                <w:u w:val="single"/>
                <w:lang w:val="en-US"/>
                <w14:textFill>
                  <w14:solidFill>
                    <w14:schemeClr w14:val="tx1"/>
                  </w14:solidFill>
                </w14:textFill>
              </w:rPr>
              <w:t>365</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日历天</w:t>
            </w:r>
          </w:p>
        </w:tc>
      </w:tr>
      <w:tr w14:paraId="01C0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18" w:type="dxa"/>
            <w:noWrap w:val="0"/>
            <w:vAlign w:val="center"/>
          </w:tcPr>
          <w:p w14:paraId="063E989B">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3</w:t>
            </w:r>
          </w:p>
        </w:tc>
        <w:tc>
          <w:tcPr>
            <w:tcW w:w="1272" w:type="dxa"/>
            <w:noWrap w:val="0"/>
            <w:vAlign w:val="center"/>
          </w:tcPr>
          <w:p w14:paraId="4EA969BF">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1.6.3</w:t>
            </w:r>
          </w:p>
        </w:tc>
        <w:tc>
          <w:tcPr>
            <w:tcW w:w="7205" w:type="dxa"/>
            <w:noWrap w:val="0"/>
            <w:vAlign w:val="center"/>
          </w:tcPr>
          <w:p w14:paraId="19BBC6DD">
            <w:pPr>
              <w:keepNext w:val="0"/>
              <w:keepLines w:val="0"/>
              <w:suppressLineNumbers w:val="0"/>
              <w:tabs>
                <w:tab w:val="left" w:pos="1080"/>
              </w:tabs>
              <w:spacing w:before="0" w:beforeAutospacing="0" w:after="0" w:afterAutospacing="0" w:line="300" w:lineRule="exact"/>
              <w:ind w:left="0" w:right="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图纸需要修改和补充的，应取得发包人同意后，在该工程或工程相应部位施工前</w:t>
            </w:r>
            <w:r>
              <w:rPr>
                <w:rFonts w:hint="default" w:ascii="宋体" w:hAnsi="宋体" w:cs="宋体"/>
                <w:color w:val="000000" w:themeColor="text1"/>
                <w:sz w:val="21"/>
                <w:szCs w:val="21"/>
                <w:highlight w:val="none"/>
                <w:u w:val="single"/>
                <w14:textFill>
                  <w14:solidFill>
                    <w14:schemeClr w14:val="tx1"/>
                  </w14:solidFill>
                </w14:textFill>
              </w:rPr>
              <w:t xml:space="preserve"> </w:t>
            </w:r>
            <w:r>
              <w:rPr>
                <w:rFonts w:hint="default" w:ascii="宋体" w:hAnsi="宋体" w:cs="宋体"/>
                <w:b/>
                <w:color w:val="000000" w:themeColor="text1"/>
                <w:sz w:val="21"/>
                <w:szCs w:val="21"/>
                <w:highlight w:val="none"/>
                <w:u w:val="single"/>
                <w14:textFill>
                  <w14:solidFill>
                    <w14:schemeClr w14:val="tx1"/>
                  </w14:solidFill>
                </w14:textFill>
              </w:rPr>
              <w:t xml:space="preserve">15 </w:t>
            </w:r>
            <w:r>
              <w:rPr>
                <w:rFonts w:hint="default" w:ascii="宋体" w:hAnsi="宋体" w:cs="宋体"/>
                <w:color w:val="000000" w:themeColor="text1"/>
                <w:sz w:val="21"/>
                <w:szCs w:val="21"/>
                <w:highlight w:val="none"/>
                <w14:textFill>
                  <w14:solidFill>
                    <w14:schemeClr w14:val="tx1"/>
                  </w14:solidFill>
                </w14:textFill>
              </w:rPr>
              <w:t>天签发图纸修改图给承包人</w:t>
            </w:r>
          </w:p>
        </w:tc>
      </w:tr>
      <w:tr w14:paraId="264A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18" w:type="dxa"/>
            <w:noWrap w:val="0"/>
            <w:vAlign w:val="center"/>
          </w:tcPr>
          <w:p w14:paraId="14D7FBAE">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4</w:t>
            </w:r>
          </w:p>
        </w:tc>
        <w:tc>
          <w:tcPr>
            <w:tcW w:w="1272" w:type="dxa"/>
            <w:noWrap w:val="0"/>
            <w:vAlign w:val="center"/>
          </w:tcPr>
          <w:p w14:paraId="2D154603">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5.2.1</w:t>
            </w:r>
          </w:p>
        </w:tc>
        <w:tc>
          <w:tcPr>
            <w:tcW w:w="7205" w:type="dxa"/>
            <w:noWrap w:val="0"/>
            <w:vAlign w:val="center"/>
          </w:tcPr>
          <w:p w14:paraId="0B8F8957">
            <w:pPr>
              <w:keepNext w:val="0"/>
              <w:keepLines w:val="0"/>
              <w:suppressLineNumbers w:val="0"/>
              <w:spacing w:before="0" w:beforeAutospacing="0" w:after="0" w:afterAutospacing="0" w:line="30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发包人是否提供材料或施工设备：否</w:t>
            </w:r>
          </w:p>
        </w:tc>
      </w:tr>
      <w:tr w14:paraId="6197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18" w:type="dxa"/>
            <w:noWrap w:val="0"/>
            <w:vAlign w:val="center"/>
          </w:tcPr>
          <w:p w14:paraId="51A6D607">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5</w:t>
            </w:r>
          </w:p>
        </w:tc>
        <w:tc>
          <w:tcPr>
            <w:tcW w:w="1272" w:type="dxa"/>
            <w:noWrap w:val="0"/>
            <w:vAlign w:val="center"/>
          </w:tcPr>
          <w:p w14:paraId="3FC7E598">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6.2</w:t>
            </w:r>
          </w:p>
        </w:tc>
        <w:tc>
          <w:tcPr>
            <w:tcW w:w="7205" w:type="dxa"/>
            <w:noWrap w:val="0"/>
            <w:vAlign w:val="center"/>
          </w:tcPr>
          <w:p w14:paraId="32046A88">
            <w:pPr>
              <w:keepNext w:val="0"/>
              <w:keepLines w:val="0"/>
              <w:suppressLineNumbers w:val="0"/>
              <w:tabs>
                <w:tab w:val="left" w:pos="1080"/>
              </w:tabs>
              <w:spacing w:before="0" w:beforeAutospacing="0" w:after="0" w:afterAutospacing="0" w:line="300" w:lineRule="exact"/>
              <w:ind w:left="0" w:right="0" w:firstLine="420"/>
              <w:rPr>
                <w:rFonts w:hint="default" w:ascii="宋体" w:hAnsi="宋体" w:cs="宋体"/>
                <w:color w:val="000000" w:themeColor="text1"/>
                <w:sz w:val="21"/>
                <w:szCs w:val="21"/>
                <w:highlight w:val="none"/>
                <w:u w:val="singl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发包人是否提供施工设备和临时设施：否</w:t>
            </w:r>
          </w:p>
        </w:tc>
      </w:tr>
      <w:tr w14:paraId="2131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8" w:type="dxa"/>
            <w:noWrap w:val="0"/>
            <w:vAlign w:val="center"/>
          </w:tcPr>
          <w:p w14:paraId="760C71C7">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6</w:t>
            </w:r>
          </w:p>
        </w:tc>
        <w:tc>
          <w:tcPr>
            <w:tcW w:w="1272" w:type="dxa"/>
            <w:noWrap w:val="0"/>
            <w:vAlign w:val="center"/>
          </w:tcPr>
          <w:p w14:paraId="45EC36FF">
            <w:pPr>
              <w:keepNext w:val="0"/>
              <w:keepLines w:val="0"/>
              <w:suppressLineNumbers w:val="0"/>
              <w:tabs>
                <w:tab w:val="left" w:pos="1080"/>
              </w:tabs>
              <w:spacing w:before="0" w:beforeAutospacing="0" w:after="0" w:afterAutospacing="0" w:line="4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0"/>
                <w:szCs w:val="21"/>
                <w14:textFill>
                  <w14:solidFill>
                    <w14:schemeClr w14:val="tx1"/>
                  </w14:solidFill>
                </w14:textFill>
              </w:rPr>
              <w:t>8.1.1</w:t>
            </w:r>
          </w:p>
        </w:tc>
        <w:tc>
          <w:tcPr>
            <w:tcW w:w="7205" w:type="dxa"/>
            <w:noWrap w:val="0"/>
            <w:vAlign w:val="top"/>
          </w:tcPr>
          <w:p w14:paraId="31AA319A">
            <w:pPr>
              <w:keepNext w:val="0"/>
              <w:keepLines w:val="0"/>
              <w:suppressLineNumbers w:val="0"/>
              <w:tabs>
                <w:tab w:val="left" w:pos="1080"/>
              </w:tabs>
              <w:spacing w:before="0" w:beforeAutospacing="0" w:after="0" w:afterAutospacing="0" w:line="400" w:lineRule="exact"/>
              <w:ind w:left="0" w:right="0" w:firstLine="210" w:firstLineChars="100"/>
              <w:rPr>
                <w:rFonts w:hint="eastAsia" w:ascii="宋体" w:hAnsi="宋体" w:cs="宋体"/>
                <w:color w:val="000000" w:themeColor="text1"/>
                <w:sz w:val="21"/>
                <w:szCs w:val="21"/>
                <w:highlight w:val="none"/>
                <w:u w:val="singl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发包人提供测量基准点、基准线和水准点及其书面资料的期限：</w:t>
            </w:r>
            <w:r>
              <w:rPr>
                <w:rFonts w:hint="eastAsia" w:ascii="宋体" w:hAnsi="宋体" w:cs="宋体"/>
                <w:color w:val="000000" w:themeColor="text1"/>
                <w:sz w:val="21"/>
                <w:szCs w:val="21"/>
                <w:highlight w:val="none"/>
                <w:u w:val="single"/>
                <w14:textFill>
                  <w14:solidFill>
                    <w14:schemeClr w14:val="tx1"/>
                  </w14:solidFill>
                </w14:textFill>
              </w:rPr>
              <w:t>承包人接到开工通知书后14天内。</w:t>
            </w:r>
          </w:p>
          <w:p w14:paraId="0E9A6024">
            <w:pPr>
              <w:keepNext w:val="0"/>
              <w:keepLines w:val="0"/>
              <w:suppressLineNumbers w:val="0"/>
              <w:tabs>
                <w:tab w:val="left" w:pos="1080"/>
              </w:tabs>
              <w:spacing w:before="0" w:beforeAutospacing="0" w:after="0" w:afterAutospacing="0" w:line="400" w:lineRule="exact"/>
              <w:ind w:left="0" w:right="0" w:firstLine="210" w:firstLineChars="100"/>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承包人将施工控制网资料报送监理人审批的期限：</w:t>
            </w:r>
            <w:r>
              <w:rPr>
                <w:rFonts w:hint="eastAsia" w:ascii="宋体" w:hAnsi="宋体" w:cs="宋体"/>
                <w:color w:val="000000" w:themeColor="text1"/>
                <w:sz w:val="21"/>
                <w:szCs w:val="21"/>
                <w:highlight w:val="none"/>
                <w:u w:val="single"/>
                <w14:textFill>
                  <w14:solidFill>
                    <w14:schemeClr w14:val="tx1"/>
                  </w14:solidFill>
                </w14:textFill>
              </w:rPr>
              <w:t>工程（单项工程）开工7天前</w:t>
            </w:r>
          </w:p>
        </w:tc>
      </w:tr>
      <w:tr w14:paraId="4639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18" w:type="dxa"/>
            <w:noWrap w:val="0"/>
            <w:vAlign w:val="center"/>
          </w:tcPr>
          <w:p w14:paraId="17E950C4">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7</w:t>
            </w:r>
          </w:p>
        </w:tc>
        <w:tc>
          <w:tcPr>
            <w:tcW w:w="1272" w:type="dxa"/>
            <w:noWrap w:val="0"/>
            <w:vAlign w:val="center"/>
          </w:tcPr>
          <w:p w14:paraId="78F94A5E">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11.5</w:t>
            </w:r>
          </w:p>
        </w:tc>
        <w:tc>
          <w:tcPr>
            <w:tcW w:w="7205" w:type="dxa"/>
            <w:noWrap w:val="0"/>
            <w:vAlign w:val="center"/>
          </w:tcPr>
          <w:p w14:paraId="15907CEB">
            <w:pPr>
              <w:keepNext w:val="0"/>
              <w:keepLines w:val="0"/>
              <w:suppressLineNumbers w:val="0"/>
              <w:tabs>
                <w:tab w:val="left" w:pos="1080"/>
              </w:tabs>
              <w:spacing w:before="0" w:beforeAutospacing="0" w:after="0" w:afterAutospacing="0" w:line="300" w:lineRule="exact"/>
              <w:ind w:left="0" w:right="0" w:firstLine="420" w:firstLineChars="0"/>
              <w:rPr>
                <w:rFonts w:hint="default" w:ascii="宋体" w:hAnsi="宋体" w:cs="宋体"/>
                <w:color w:val="FF0000"/>
                <w:sz w:val="21"/>
                <w:szCs w:val="21"/>
                <w:highlight w:val="none"/>
              </w:rPr>
            </w:pPr>
            <w:r>
              <w:rPr>
                <w:rFonts w:hint="default" w:ascii="宋体" w:hAnsi="宋体" w:cs="宋体"/>
                <w:color w:val="000000" w:themeColor="text1"/>
                <w:sz w:val="21"/>
                <w:szCs w:val="21"/>
                <w:highlight w:val="none"/>
                <w14:textFill>
                  <w14:solidFill>
                    <w14:schemeClr w14:val="tx1"/>
                  </w14:solidFill>
                </w14:textFill>
              </w:rPr>
              <w:t>逾期交工违约金：</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cs="宋体"/>
                <w:color w:val="000000" w:themeColor="text1"/>
                <w:sz w:val="21"/>
                <w:szCs w:val="21"/>
                <w:highlight w:val="none"/>
                <w14:textFill>
                  <w14:solidFill>
                    <w14:schemeClr w14:val="tx1"/>
                  </w14:solidFill>
                </w14:textFill>
              </w:rPr>
              <w:t>元/天</w:t>
            </w:r>
          </w:p>
        </w:tc>
      </w:tr>
      <w:tr w14:paraId="4A60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18" w:type="dxa"/>
            <w:noWrap w:val="0"/>
            <w:vAlign w:val="center"/>
          </w:tcPr>
          <w:p w14:paraId="3902A175">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8</w:t>
            </w:r>
          </w:p>
        </w:tc>
        <w:tc>
          <w:tcPr>
            <w:tcW w:w="1272" w:type="dxa"/>
            <w:noWrap w:val="0"/>
            <w:vAlign w:val="center"/>
          </w:tcPr>
          <w:p w14:paraId="791D9AC0">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11.5</w:t>
            </w:r>
          </w:p>
        </w:tc>
        <w:tc>
          <w:tcPr>
            <w:tcW w:w="7205" w:type="dxa"/>
            <w:noWrap w:val="0"/>
            <w:vAlign w:val="center"/>
          </w:tcPr>
          <w:p w14:paraId="23CC8247">
            <w:pPr>
              <w:keepNext w:val="0"/>
              <w:keepLines w:val="0"/>
              <w:suppressLineNumbers w:val="0"/>
              <w:tabs>
                <w:tab w:val="left" w:pos="1080"/>
              </w:tabs>
              <w:spacing w:before="0" w:beforeAutospacing="0" w:after="0" w:afterAutospacing="0" w:line="300" w:lineRule="exact"/>
              <w:ind w:left="0" w:right="0" w:firstLine="420" w:firstLineChars="0"/>
              <w:rPr>
                <w:rFonts w:hint="default" w:ascii="宋体" w:hAnsi="宋体" w:cs="宋体"/>
                <w:color w:val="FF0000"/>
                <w:sz w:val="21"/>
                <w:szCs w:val="21"/>
                <w:highlight w:val="none"/>
              </w:rPr>
            </w:pPr>
            <w:r>
              <w:rPr>
                <w:rFonts w:hint="default" w:ascii="宋体" w:hAnsi="宋体" w:cs="宋体"/>
                <w:color w:val="000000" w:themeColor="text1"/>
                <w:sz w:val="21"/>
                <w:szCs w:val="21"/>
                <w:highlight w:val="none"/>
                <w14:textFill>
                  <w14:solidFill>
                    <w14:schemeClr w14:val="tx1"/>
                  </w14:solidFill>
                </w14:textFill>
              </w:rPr>
              <w:t>逾期交工违约金限额：</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cs="宋体"/>
                <w:color w:val="000000" w:themeColor="text1"/>
                <w:sz w:val="21"/>
                <w:szCs w:val="21"/>
                <w:highlight w:val="none"/>
                <w14:textFill>
                  <w14:solidFill>
                    <w14:schemeClr w14:val="tx1"/>
                  </w14:solidFill>
                </w14:textFill>
              </w:rPr>
              <w:t>%签约合同价</w:t>
            </w:r>
          </w:p>
        </w:tc>
      </w:tr>
      <w:tr w14:paraId="7DF4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18" w:type="dxa"/>
            <w:noWrap w:val="0"/>
            <w:vAlign w:val="center"/>
          </w:tcPr>
          <w:p w14:paraId="3377FCF0">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9</w:t>
            </w:r>
          </w:p>
        </w:tc>
        <w:tc>
          <w:tcPr>
            <w:tcW w:w="1272" w:type="dxa"/>
            <w:noWrap w:val="0"/>
            <w:vAlign w:val="center"/>
          </w:tcPr>
          <w:p w14:paraId="4041590C">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11.6</w:t>
            </w:r>
          </w:p>
        </w:tc>
        <w:tc>
          <w:tcPr>
            <w:tcW w:w="7205" w:type="dxa"/>
            <w:noWrap w:val="0"/>
            <w:vAlign w:val="center"/>
          </w:tcPr>
          <w:p w14:paraId="52ABF98D">
            <w:pPr>
              <w:keepNext w:val="0"/>
              <w:keepLines w:val="0"/>
              <w:suppressLineNumbers w:val="0"/>
              <w:tabs>
                <w:tab w:val="left" w:pos="1080"/>
              </w:tabs>
              <w:spacing w:before="0" w:beforeAutospacing="0" w:after="0" w:afterAutospacing="0" w:line="300" w:lineRule="exact"/>
              <w:ind w:left="0" w:right="0" w:firstLine="420" w:firstLineChars="0"/>
              <w:rPr>
                <w:rFonts w:hint="default" w:ascii="宋体" w:hAnsi="宋体" w:cs="宋体"/>
                <w:color w:val="FF0000"/>
                <w:sz w:val="21"/>
                <w:szCs w:val="21"/>
                <w:highlight w:val="none"/>
                <w:vertAlign w:val="superscript"/>
              </w:rPr>
            </w:pPr>
            <w:r>
              <w:rPr>
                <w:rFonts w:hint="default" w:ascii="宋体" w:hAnsi="宋体" w:cs="宋体"/>
                <w:color w:val="000000" w:themeColor="text1"/>
                <w:sz w:val="21"/>
                <w:szCs w:val="21"/>
                <w:highlight w:val="none"/>
                <w14:textFill>
                  <w14:solidFill>
                    <w14:schemeClr w14:val="tx1"/>
                  </w14:solidFill>
                </w14:textFill>
              </w:rPr>
              <w:t>提前交工的奖金：</w:t>
            </w:r>
            <w:r>
              <w:rPr>
                <w:rFonts w:hint="default" w:ascii="宋体" w:hAnsi="宋体" w:cs="宋体"/>
                <w:color w:val="000000" w:themeColor="text1"/>
                <w:sz w:val="21"/>
                <w:szCs w:val="21"/>
                <w:highlight w:val="none"/>
                <w:u w:val="single"/>
                <w14:textFill>
                  <w14:solidFill>
                    <w14:schemeClr w14:val="tx1"/>
                  </w14:solidFill>
                </w14:textFill>
              </w:rPr>
              <w:t xml:space="preserve"> / </w:t>
            </w:r>
            <w:r>
              <w:rPr>
                <w:rFonts w:hint="default" w:ascii="宋体" w:hAnsi="宋体" w:cs="宋体"/>
                <w:color w:val="000000" w:themeColor="text1"/>
                <w:sz w:val="21"/>
                <w:szCs w:val="21"/>
                <w:highlight w:val="none"/>
                <w14:textFill>
                  <w14:solidFill>
                    <w14:schemeClr w14:val="tx1"/>
                  </w14:solidFill>
                </w14:textFill>
              </w:rPr>
              <w:t>元/天</w:t>
            </w:r>
          </w:p>
        </w:tc>
      </w:tr>
      <w:tr w14:paraId="1718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18" w:type="dxa"/>
            <w:noWrap w:val="0"/>
            <w:vAlign w:val="center"/>
          </w:tcPr>
          <w:p w14:paraId="57CCBB97">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10</w:t>
            </w:r>
          </w:p>
        </w:tc>
        <w:tc>
          <w:tcPr>
            <w:tcW w:w="1272" w:type="dxa"/>
            <w:noWrap w:val="0"/>
            <w:vAlign w:val="center"/>
          </w:tcPr>
          <w:p w14:paraId="2C6AB923">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11.6</w:t>
            </w:r>
          </w:p>
        </w:tc>
        <w:tc>
          <w:tcPr>
            <w:tcW w:w="7205" w:type="dxa"/>
            <w:noWrap w:val="0"/>
            <w:vAlign w:val="center"/>
          </w:tcPr>
          <w:p w14:paraId="304BD1D5">
            <w:pPr>
              <w:keepNext w:val="0"/>
              <w:keepLines w:val="0"/>
              <w:suppressLineNumbers w:val="0"/>
              <w:tabs>
                <w:tab w:val="left" w:pos="1080"/>
              </w:tabs>
              <w:spacing w:before="0" w:beforeAutospacing="0" w:after="0" w:afterAutospacing="0" w:line="300" w:lineRule="exact"/>
              <w:ind w:left="0" w:right="0" w:firstLine="420" w:firstLineChars="0"/>
              <w:rPr>
                <w:rFonts w:hint="default" w:ascii="宋体" w:hAnsi="宋体" w:cs="宋体"/>
                <w:color w:val="FF0000"/>
                <w:sz w:val="21"/>
                <w:szCs w:val="21"/>
                <w:highlight w:val="none"/>
              </w:rPr>
            </w:pPr>
            <w:r>
              <w:rPr>
                <w:rFonts w:hint="default" w:ascii="宋体" w:hAnsi="宋体" w:cs="宋体"/>
                <w:color w:val="000000" w:themeColor="text1"/>
                <w:sz w:val="21"/>
                <w:szCs w:val="21"/>
                <w:highlight w:val="none"/>
                <w14:textFill>
                  <w14:solidFill>
                    <w14:schemeClr w14:val="tx1"/>
                  </w14:solidFill>
                </w14:textFill>
              </w:rPr>
              <w:t>提前交工的奖金限额：</w:t>
            </w:r>
            <w:r>
              <w:rPr>
                <w:rFonts w:hint="default" w:ascii="宋体" w:hAnsi="宋体" w:cs="宋体"/>
                <w:color w:val="000000" w:themeColor="text1"/>
                <w:sz w:val="21"/>
                <w:szCs w:val="21"/>
                <w:highlight w:val="none"/>
                <w:u w:val="single"/>
                <w14:textFill>
                  <w14:solidFill>
                    <w14:schemeClr w14:val="tx1"/>
                  </w14:solidFill>
                </w14:textFill>
              </w:rPr>
              <w:t xml:space="preserve"> / </w:t>
            </w:r>
            <w:r>
              <w:rPr>
                <w:rFonts w:hint="default" w:ascii="宋体" w:hAnsi="宋体" w:cs="宋体"/>
                <w:color w:val="000000" w:themeColor="text1"/>
                <w:sz w:val="21"/>
                <w:szCs w:val="21"/>
                <w:highlight w:val="none"/>
                <w14:textFill>
                  <w14:solidFill>
                    <w14:schemeClr w14:val="tx1"/>
                  </w14:solidFill>
                </w14:textFill>
              </w:rPr>
              <w:t>元/天</w:t>
            </w:r>
          </w:p>
        </w:tc>
      </w:tr>
      <w:tr w14:paraId="106A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818" w:type="dxa"/>
            <w:noWrap w:val="0"/>
            <w:vAlign w:val="center"/>
          </w:tcPr>
          <w:p w14:paraId="177E4110">
            <w:pPr>
              <w:keepNext w:val="0"/>
              <w:keepLines w:val="0"/>
              <w:suppressLineNumbers w:val="0"/>
              <w:tabs>
                <w:tab w:val="left" w:pos="1080"/>
              </w:tabs>
              <w:spacing w:before="0" w:beforeAutospacing="0" w:after="0" w:afterAutospacing="0" w:line="30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1</w:t>
            </w:r>
          </w:p>
        </w:tc>
        <w:tc>
          <w:tcPr>
            <w:tcW w:w="1272" w:type="dxa"/>
            <w:noWrap w:val="0"/>
            <w:vAlign w:val="center"/>
          </w:tcPr>
          <w:p w14:paraId="0DEB2318">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16.1</w:t>
            </w:r>
          </w:p>
        </w:tc>
        <w:tc>
          <w:tcPr>
            <w:tcW w:w="7205" w:type="dxa"/>
            <w:noWrap w:val="0"/>
            <w:vAlign w:val="center"/>
          </w:tcPr>
          <w:p w14:paraId="39001D5C">
            <w:pPr>
              <w:pStyle w:val="7"/>
              <w:keepNext w:val="0"/>
              <w:keepLines w:val="0"/>
              <w:suppressLineNumbers w:val="0"/>
              <w:spacing w:before="120" w:beforeAutospacing="0" w:after="120" w:afterAutospacing="0" w:line="300" w:lineRule="auto"/>
              <w:ind w:left="0" w:right="0" w:firstLine="56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(1)单价合同。</w:t>
            </w:r>
          </w:p>
          <w:p w14:paraId="0138D9A0">
            <w:pPr>
              <w:pStyle w:val="7"/>
              <w:keepNext w:val="0"/>
              <w:keepLines w:val="0"/>
              <w:suppressLineNumbers w:val="0"/>
              <w:spacing w:before="120" w:beforeAutospacing="0" w:after="120" w:afterAutospacing="0" w:line="300" w:lineRule="auto"/>
              <w:ind w:left="0" w:right="0" w:firstLine="56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本合同价款采用固定综合单价方式确定。</w:t>
            </w:r>
          </w:p>
          <w:p w14:paraId="50D59D94">
            <w:pPr>
              <w:pStyle w:val="7"/>
              <w:keepNext w:val="0"/>
              <w:keepLines w:val="0"/>
              <w:suppressLineNumbers w:val="0"/>
              <w:spacing w:before="120" w:beforeAutospacing="0" w:after="120" w:afterAutospacing="0" w:line="300" w:lineRule="auto"/>
              <w:ind w:left="0" w:right="0" w:firstLine="562"/>
              <w:rPr>
                <w:rFonts w:hint="eastAsia" w:ascii="宋体" w:hAnsi="宋体" w:eastAsia="宋体" w:cs="宋体"/>
                <w:color w:val="000000" w:themeColor="text1"/>
                <w:sz w:val="21"/>
                <w:szCs w:val="21"/>
                <w:highlight w:val="none"/>
                <w:u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综合单价包含的风险范围:</w:t>
            </w:r>
            <w:r>
              <w:rPr>
                <w:rFonts w:hint="eastAsia" w:ascii="宋体" w:hAnsi="宋体" w:eastAsia="宋体" w:cs="宋体"/>
                <w:color w:val="000000" w:themeColor="text1"/>
                <w:sz w:val="21"/>
                <w:szCs w:val="21"/>
                <w:highlight w:val="none"/>
                <w:u w:val="single"/>
                <w14:textFill>
                  <w14:solidFill>
                    <w14:schemeClr w14:val="tx1"/>
                  </w14:solidFill>
                </w14:textFill>
              </w:rPr>
              <w:t>除工程变更、政策性调整、《承包人提供主要材料和设备一览表》约定的材料、设备价格变动风险以外因素</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p>
          <w:p w14:paraId="577DA23D">
            <w:pPr>
              <w:keepNext w:val="0"/>
              <w:keepLines w:val="0"/>
              <w:suppressLineNumbers w:val="0"/>
              <w:spacing w:before="0" w:beforeAutospacing="0" w:after="0" w:afterAutospacing="0"/>
              <w:ind w:left="0" w:right="0" w:firstLine="420" w:firstLineChars="200"/>
              <w:rPr>
                <w:rFonts w:hint="eastAsia"/>
                <w:sz w:val="20"/>
                <w:szCs w:val="20"/>
                <w:lang w:eastAsia="zh-CN"/>
              </w:rPr>
            </w:pPr>
            <w:r>
              <w:rPr>
                <w:rFonts w:hint="eastAsia" w:ascii="宋体" w:hAnsi="宋体" w:eastAsia="宋体" w:cs="宋体"/>
                <w:color w:val="000000" w:themeColor="text1"/>
                <w:sz w:val="21"/>
                <w:szCs w:val="21"/>
                <w:highlight w:val="none"/>
                <w:lang w:val="en-US" w:eastAsia="zh-CN" w:bidi="hi-IN"/>
                <w14:textFill>
                  <w14:solidFill>
                    <w14:schemeClr w14:val="tx1"/>
                  </w14:solidFill>
                </w14:textFill>
              </w:rPr>
              <w:t>本合同除政策性调整外，合同单价不作调整。</w:t>
            </w:r>
          </w:p>
        </w:tc>
      </w:tr>
      <w:tr w14:paraId="60D4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18" w:type="dxa"/>
            <w:noWrap w:val="0"/>
            <w:vAlign w:val="center"/>
          </w:tcPr>
          <w:p w14:paraId="077A3DCD">
            <w:pPr>
              <w:keepNext w:val="0"/>
              <w:keepLines w:val="0"/>
              <w:suppressLineNumbers w:val="0"/>
              <w:tabs>
                <w:tab w:val="left" w:pos="1080"/>
              </w:tabs>
              <w:spacing w:before="0" w:beforeAutospacing="0" w:after="0" w:afterAutospacing="0" w:line="30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2</w:t>
            </w:r>
          </w:p>
        </w:tc>
        <w:tc>
          <w:tcPr>
            <w:tcW w:w="1272" w:type="dxa"/>
            <w:noWrap w:val="0"/>
            <w:vAlign w:val="center"/>
          </w:tcPr>
          <w:p w14:paraId="56768689">
            <w:pPr>
              <w:keepNext w:val="0"/>
              <w:keepLines w:val="0"/>
              <w:suppressLineNumbers w:val="0"/>
              <w:tabs>
                <w:tab w:val="left" w:pos="1080"/>
              </w:tabs>
              <w:spacing w:before="0" w:beforeAutospacing="0" w:after="0" w:afterAutospacing="0" w:line="30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17.2.1</w:t>
            </w:r>
          </w:p>
        </w:tc>
        <w:tc>
          <w:tcPr>
            <w:tcW w:w="7205" w:type="dxa"/>
            <w:noWrap w:val="0"/>
            <w:vAlign w:val="center"/>
          </w:tcPr>
          <w:p w14:paraId="79349FFD">
            <w:pPr>
              <w:keepNext w:val="0"/>
              <w:keepLines w:val="0"/>
              <w:suppressLineNumbers w:val="0"/>
              <w:tabs>
                <w:tab w:val="left" w:pos="1080"/>
              </w:tabs>
              <w:spacing w:before="0" w:beforeAutospacing="0" w:after="0" w:afterAutospacing="0" w:line="30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开工预付款金额：</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default" w:ascii="宋体" w:hAnsi="宋体" w:cs="宋体"/>
                <w:color w:val="000000" w:themeColor="text1"/>
                <w:sz w:val="21"/>
                <w:szCs w:val="21"/>
                <w:highlight w:val="none"/>
                <w14:textFill>
                  <w14:solidFill>
                    <w14:schemeClr w14:val="tx1"/>
                  </w14:solidFill>
                </w14:textFill>
              </w:rPr>
              <w:t>%签约合同价</w:t>
            </w:r>
          </w:p>
        </w:tc>
      </w:tr>
    </w:tbl>
    <w:p w14:paraId="590E11BF">
      <w:pPr>
        <w:tabs>
          <w:tab w:val="left" w:pos="1080"/>
        </w:tabs>
        <w:spacing w:line="100" w:lineRule="exact"/>
        <w:ind w:firstLine="360"/>
        <w:jc w:val="center"/>
        <w:rPr>
          <w:rFonts w:ascii="宋体" w:hAnsi="宋体" w:cs="宋体"/>
          <w:color w:val="000000" w:themeColor="text1"/>
          <w:sz w:val="21"/>
          <w:szCs w:val="21"/>
          <w:highlight w:val="none"/>
          <w14:textFill>
            <w14:solidFill>
              <w14:schemeClr w14:val="tx1"/>
            </w14:solidFill>
          </w14:textFill>
        </w:rPr>
      </w:pPr>
    </w:p>
    <w:p w14:paraId="3009D47F">
      <w:pPr>
        <w:tabs>
          <w:tab w:val="left" w:pos="1080"/>
        </w:tabs>
        <w:spacing w:line="100" w:lineRule="exact"/>
        <w:ind w:firstLine="360"/>
        <w:jc w:val="center"/>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br w:type="page"/>
      </w:r>
    </w:p>
    <w:p w14:paraId="4D429A44">
      <w:pPr>
        <w:tabs>
          <w:tab w:val="left" w:pos="1080"/>
        </w:tabs>
        <w:spacing w:before="120" w:beforeLines="50" w:after="120" w:afterLines="50" w:line="280" w:lineRule="exact"/>
        <w:ind w:firstLine="480"/>
        <w:jc w:val="right"/>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续上表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7207"/>
        <w:gridCol w:w="8"/>
      </w:tblGrid>
      <w:tr w14:paraId="70C5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8" w:type="dxa"/>
            <w:noWrap w:val="0"/>
            <w:vAlign w:val="center"/>
          </w:tcPr>
          <w:p w14:paraId="7CE8F441">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序号</w:t>
            </w:r>
          </w:p>
        </w:tc>
        <w:tc>
          <w:tcPr>
            <w:tcW w:w="1260" w:type="dxa"/>
            <w:noWrap w:val="0"/>
            <w:vAlign w:val="center"/>
          </w:tcPr>
          <w:p w14:paraId="1D6D21B0">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条目号</w:t>
            </w:r>
          </w:p>
        </w:tc>
        <w:tc>
          <w:tcPr>
            <w:tcW w:w="7215" w:type="dxa"/>
            <w:gridSpan w:val="2"/>
            <w:noWrap w:val="0"/>
            <w:vAlign w:val="center"/>
          </w:tcPr>
          <w:p w14:paraId="640E7177">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b/>
                <w:color w:val="000000" w:themeColor="text1"/>
                <w:sz w:val="21"/>
                <w:szCs w:val="21"/>
                <w:highlight w:val="none"/>
                <w14:textFill>
                  <w14:solidFill>
                    <w14:schemeClr w14:val="tx1"/>
                  </w14:solidFill>
                </w14:textFill>
              </w:rPr>
            </w:pPr>
            <w:r>
              <w:rPr>
                <w:rFonts w:hint="default" w:ascii="宋体" w:hAnsi="宋体" w:cs="宋体"/>
                <w:b/>
                <w:color w:val="000000" w:themeColor="text1"/>
                <w:sz w:val="21"/>
                <w:szCs w:val="21"/>
                <w:highlight w:val="none"/>
                <w14:textFill>
                  <w14:solidFill>
                    <w14:schemeClr w14:val="tx1"/>
                  </w14:solidFill>
                </w14:textFill>
              </w:rPr>
              <w:t>信 息 或 数 据</w:t>
            </w:r>
          </w:p>
        </w:tc>
      </w:tr>
      <w:tr w14:paraId="3601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42FEA557">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260" w:type="dxa"/>
            <w:noWrap w:val="0"/>
            <w:vAlign w:val="center"/>
          </w:tcPr>
          <w:p w14:paraId="42127DD1">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17.2.1</w:t>
            </w:r>
          </w:p>
        </w:tc>
        <w:tc>
          <w:tcPr>
            <w:tcW w:w="7215" w:type="dxa"/>
            <w:gridSpan w:val="2"/>
            <w:noWrap w:val="0"/>
            <w:vAlign w:val="center"/>
          </w:tcPr>
          <w:p w14:paraId="2003E12A">
            <w:pPr>
              <w:keepNext w:val="0"/>
              <w:keepLines w:val="0"/>
              <w:suppressLineNumbers w:val="0"/>
              <w:tabs>
                <w:tab w:val="left" w:pos="1080"/>
              </w:tabs>
              <w:spacing w:before="0" w:beforeAutospacing="0" w:after="0" w:afterAutospacing="0" w:line="440" w:lineRule="exact"/>
              <w:ind w:left="0" w:right="0" w:firstLine="42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材料、设备预付款比例：</w:t>
            </w:r>
            <w:r>
              <w:rPr>
                <w:rFonts w:hint="default"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p>
        </w:tc>
      </w:tr>
      <w:tr w14:paraId="78DF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828" w:type="dxa"/>
            <w:noWrap w:val="0"/>
            <w:vAlign w:val="center"/>
          </w:tcPr>
          <w:p w14:paraId="2B624133">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260" w:type="dxa"/>
            <w:noWrap w:val="0"/>
            <w:vAlign w:val="center"/>
          </w:tcPr>
          <w:p w14:paraId="759019CC">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17.3.2</w:t>
            </w:r>
          </w:p>
        </w:tc>
        <w:tc>
          <w:tcPr>
            <w:tcW w:w="7215" w:type="dxa"/>
            <w:gridSpan w:val="2"/>
            <w:noWrap w:val="0"/>
            <w:vAlign w:val="center"/>
          </w:tcPr>
          <w:p w14:paraId="6F9B9D58">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承包人在每个付款周期末向发包人提交进度付款申请单的份</w:t>
            </w:r>
          </w:p>
          <w:p w14:paraId="61985236">
            <w:pPr>
              <w:keepNext w:val="0"/>
              <w:keepLines w:val="0"/>
              <w:suppressLineNumbers w:val="0"/>
              <w:tabs>
                <w:tab w:val="left" w:pos="1080"/>
              </w:tabs>
              <w:spacing w:before="0" w:beforeAutospacing="0" w:after="0" w:afterAutospacing="0" w:line="440" w:lineRule="exact"/>
              <w:ind w:left="0" w:right="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数：4份</w:t>
            </w:r>
          </w:p>
        </w:tc>
      </w:tr>
      <w:tr w14:paraId="0F36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8" w:type="dxa"/>
            <w:noWrap w:val="0"/>
            <w:vAlign w:val="center"/>
          </w:tcPr>
          <w:p w14:paraId="54C7170C">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260" w:type="dxa"/>
            <w:noWrap w:val="0"/>
            <w:vAlign w:val="center"/>
          </w:tcPr>
          <w:p w14:paraId="6220F14D">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17.3.3</w:t>
            </w:r>
          </w:p>
          <w:p w14:paraId="12F89868">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p>
        </w:tc>
        <w:tc>
          <w:tcPr>
            <w:tcW w:w="7215" w:type="dxa"/>
            <w:gridSpan w:val="2"/>
            <w:noWrap w:val="0"/>
            <w:vAlign w:val="center"/>
          </w:tcPr>
          <w:p w14:paraId="5E4E1610">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进度付款证书最低限额：</w:t>
            </w:r>
            <w:r>
              <w:rPr>
                <w:rFonts w:hint="default" w:ascii="宋体" w:hAnsi="宋体" w:cs="宋体"/>
                <w:b/>
                <w:color w:val="000000" w:themeColor="text1"/>
                <w:sz w:val="21"/>
                <w:szCs w:val="21"/>
                <w:highlight w:val="none"/>
                <w14:textFill>
                  <w14:solidFill>
                    <w14:schemeClr w14:val="tx1"/>
                  </w14:solidFill>
                </w14:textFill>
              </w:rPr>
              <w:t>5%</w:t>
            </w:r>
            <w:r>
              <w:rPr>
                <w:rFonts w:hint="default" w:ascii="宋体" w:hAnsi="宋体" w:cs="宋体"/>
                <w:color w:val="000000" w:themeColor="text1"/>
                <w:sz w:val="21"/>
                <w:szCs w:val="21"/>
                <w:highlight w:val="none"/>
                <w14:textFill>
                  <w14:solidFill>
                    <w14:schemeClr w14:val="tx1"/>
                  </w14:solidFill>
                </w14:textFill>
              </w:rPr>
              <w:t>签约合同价</w:t>
            </w:r>
          </w:p>
        </w:tc>
      </w:tr>
      <w:tr w14:paraId="2E69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828" w:type="dxa"/>
            <w:noWrap w:val="0"/>
            <w:vAlign w:val="center"/>
          </w:tcPr>
          <w:p w14:paraId="3CAF38FB">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1260" w:type="dxa"/>
            <w:noWrap w:val="0"/>
            <w:vAlign w:val="center"/>
          </w:tcPr>
          <w:p w14:paraId="2C6C348F">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17.3.3</w:t>
            </w:r>
          </w:p>
          <w:p w14:paraId="2A3FA10A">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p>
        </w:tc>
        <w:tc>
          <w:tcPr>
            <w:tcW w:w="7215" w:type="dxa"/>
            <w:gridSpan w:val="2"/>
            <w:noWrap w:val="0"/>
            <w:vAlign w:val="center"/>
          </w:tcPr>
          <w:p w14:paraId="1F4B598E">
            <w:pPr>
              <w:keepNext w:val="0"/>
              <w:keepLines w:val="0"/>
              <w:suppressLineNumbers w:val="0"/>
              <w:tabs>
                <w:tab w:val="left" w:pos="1080"/>
              </w:tabs>
              <w:spacing w:before="0" w:beforeAutospacing="0" w:after="0" w:afterAutospacing="0" w:line="440" w:lineRule="exact"/>
              <w:ind w:left="0" w:right="0" w:firstLine="420" w:firstLineChars="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逾期付款违约金的的利率：</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cs="宋体"/>
                <w:color w:val="000000" w:themeColor="text1"/>
                <w:sz w:val="21"/>
                <w:szCs w:val="21"/>
                <w:highlight w:val="none"/>
                <w14:textFill>
                  <w14:solidFill>
                    <w14:schemeClr w14:val="tx1"/>
                  </w14:solidFill>
                </w14:textFill>
              </w:rPr>
              <w:t>‰/天</w:t>
            </w:r>
          </w:p>
        </w:tc>
      </w:tr>
      <w:tr w14:paraId="41DD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28" w:type="dxa"/>
            <w:noWrap w:val="0"/>
            <w:vAlign w:val="center"/>
          </w:tcPr>
          <w:p w14:paraId="5DE28BF7">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7</w:t>
            </w:r>
          </w:p>
        </w:tc>
        <w:tc>
          <w:tcPr>
            <w:tcW w:w="1260" w:type="dxa"/>
            <w:noWrap w:val="0"/>
            <w:vAlign w:val="center"/>
          </w:tcPr>
          <w:p w14:paraId="429EDD91">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17.4.1</w:t>
            </w:r>
          </w:p>
        </w:tc>
        <w:tc>
          <w:tcPr>
            <w:tcW w:w="7215" w:type="dxa"/>
            <w:gridSpan w:val="2"/>
            <w:noWrap w:val="0"/>
            <w:vAlign w:val="center"/>
          </w:tcPr>
          <w:p w14:paraId="3E716BBC">
            <w:pPr>
              <w:keepNext w:val="0"/>
              <w:keepLines w:val="0"/>
              <w:suppressLineNumbers w:val="0"/>
              <w:tabs>
                <w:tab w:val="left" w:pos="1080"/>
              </w:tabs>
              <w:spacing w:before="0" w:beforeAutospacing="0" w:after="0" w:afterAutospacing="0"/>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质量保证金限额：3%</w:t>
            </w:r>
            <w:r>
              <w:rPr>
                <w:rFonts w:hint="eastAsia" w:ascii="宋体" w:hAnsi="宋体" w:cs="宋体"/>
                <w:color w:val="000000" w:themeColor="text1"/>
                <w:sz w:val="21"/>
                <w:szCs w:val="21"/>
                <w:highlight w:val="none"/>
                <w:lang w:val="en-US" w:eastAsia="zh-CN"/>
                <w14:textFill>
                  <w14:solidFill>
                    <w14:schemeClr w14:val="tx1"/>
                  </w14:solidFill>
                </w14:textFill>
              </w:rPr>
              <w:t>按审计部门审定的结算造价金额</w:t>
            </w:r>
            <w:r>
              <w:rPr>
                <w:rFonts w:hint="default" w:ascii="宋体" w:hAnsi="宋体" w:cs="宋体"/>
                <w:color w:val="000000" w:themeColor="text1"/>
                <w:sz w:val="21"/>
                <w:szCs w:val="21"/>
                <w:highlight w:val="none"/>
                <w14:textFill>
                  <w14:solidFill>
                    <w14:schemeClr w14:val="tx1"/>
                  </w14:solidFill>
                </w14:textFill>
              </w:rPr>
              <w:t>。</w:t>
            </w:r>
          </w:p>
          <w:p w14:paraId="006EFAE6">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u w:val="single"/>
                <w14:textFill>
                  <w14:solidFill>
                    <w14:schemeClr w14:val="tx1"/>
                  </w14:solidFill>
                </w14:textFill>
              </w:rPr>
              <w:t>质量保证金的利息计算方式：</w:t>
            </w:r>
            <w:r>
              <w:rPr>
                <w:rFonts w:hint="eastAsia" w:ascii="宋体" w:hAnsi="宋体" w:eastAsia="宋体" w:cs="宋体"/>
                <w:color w:val="000000" w:themeColor="text1"/>
                <w:sz w:val="20"/>
                <w:szCs w:val="21"/>
                <w:highlight w:val="none"/>
                <w:u w:val="single"/>
                <w:lang w:eastAsia="zh-CN"/>
                <w14:textFill>
                  <w14:solidFill>
                    <w14:schemeClr w14:val="tx1"/>
                  </w14:solidFill>
                </w14:textFill>
              </w:rPr>
              <w:t>不计息</w:t>
            </w:r>
            <w:r>
              <w:rPr>
                <w:rFonts w:hint="eastAsia" w:ascii="宋体" w:hAnsi="宋体" w:eastAsia="宋体" w:cs="宋体"/>
                <w:color w:val="000000" w:themeColor="text1"/>
                <w:sz w:val="20"/>
                <w:szCs w:val="21"/>
                <w:highlight w:val="none"/>
                <w:u w:val="single"/>
                <w14:textFill>
                  <w14:solidFill>
                    <w14:schemeClr w14:val="tx1"/>
                  </w14:solidFill>
                </w14:textFill>
              </w:rPr>
              <w:t xml:space="preserve"> </w:t>
            </w:r>
          </w:p>
        </w:tc>
      </w:tr>
      <w:tr w14:paraId="44E1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8" w:type="dxa"/>
            <w:noWrap w:val="0"/>
            <w:vAlign w:val="center"/>
          </w:tcPr>
          <w:p w14:paraId="5839354E">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8</w:t>
            </w:r>
          </w:p>
        </w:tc>
        <w:tc>
          <w:tcPr>
            <w:tcW w:w="1260" w:type="dxa"/>
            <w:noWrap w:val="0"/>
            <w:vAlign w:val="center"/>
          </w:tcPr>
          <w:p w14:paraId="7A7CFFC1">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18.2</w:t>
            </w:r>
          </w:p>
        </w:tc>
        <w:tc>
          <w:tcPr>
            <w:tcW w:w="7215" w:type="dxa"/>
            <w:gridSpan w:val="2"/>
            <w:noWrap w:val="0"/>
            <w:vAlign w:val="center"/>
          </w:tcPr>
          <w:p w14:paraId="7FC083B6">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竣工资料的份数：</w:t>
            </w:r>
            <w:r>
              <w:rPr>
                <w:rFonts w:hint="default" w:ascii="宋体" w:hAnsi="宋体" w:cs="宋体"/>
                <w:b/>
                <w:color w:val="000000" w:themeColor="text1"/>
                <w:sz w:val="21"/>
                <w:szCs w:val="21"/>
                <w:highlight w:val="none"/>
                <w14:textFill>
                  <w14:solidFill>
                    <w14:schemeClr w14:val="tx1"/>
                  </w14:solidFill>
                </w14:textFill>
              </w:rPr>
              <w:t>3份</w:t>
            </w:r>
          </w:p>
        </w:tc>
      </w:tr>
      <w:tr w14:paraId="76F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828" w:type="dxa"/>
            <w:noWrap w:val="0"/>
            <w:vAlign w:val="center"/>
          </w:tcPr>
          <w:p w14:paraId="34B13DC8">
            <w:pPr>
              <w:keepNext w:val="0"/>
              <w:keepLines w:val="0"/>
              <w:suppressLineNumbers w:val="0"/>
              <w:tabs>
                <w:tab w:val="left" w:pos="1080"/>
              </w:tabs>
              <w:spacing w:before="0" w:beforeAutospacing="0" w:after="0" w:afterAutospacing="0" w:line="280" w:lineRule="exact"/>
              <w:ind w:left="0" w:right="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w:t>
            </w:r>
          </w:p>
        </w:tc>
        <w:tc>
          <w:tcPr>
            <w:tcW w:w="1260" w:type="dxa"/>
            <w:noWrap w:val="0"/>
            <w:vAlign w:val="center"/>
          </w:tcPr>
          <w:p w14:paraId="67FE3E9C">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18.5.1</w:t>
            </w:r>
          </w:p>
        </w:tc>
        <w:tc>
          <w:tcPr>
            <w:tcW w:w="7215" w:type="dxa"/>
            <w:gridSpan w:val="2"/>
            <w:noWrap w:val="0"/>
            <w:vAlign w:val="center"/>
          </w:tcPr>
          <w:p w14:paraId="4F423BAB">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u w:val="singl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单位工程或工程设备是否需投入施工期运行：是</w:t>
            </w:r>
          </w:p>
          <w:p w14:paraId="22FDEA8C">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本项目属于旧路改建，需要在施工期间维持交通畅通。</w:t>
            </w:r>
          </w:p>
        </w:tc>
      </w:tr>
      <w:tr w14:paraId="2E92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8" w:type="dxa"/>
            <w:noWrap w:val="0"/>
            <w:vAlign w:val="center"/>
          </w:tcPr>
          <w:p w14:paraId="011C0CBD">
            <w:pPr>
              <w:keepNext w:val="0"/>
              <w:keepLines w:val="0"/>
              <w:suppressLineNumbers w:val="0"/>
              <w:tabs>
                <w:tab w:val="left" w:pos="1080"/>
              </w:tabs>
              <w:spacing w:before="0" w:beforeAutospacing="0" w:after="0" w:afterAutospacing="0" w:line="280" w:lineRule="exact"/>
              <w:ind w:left="0" w:right="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w:t>
            </w:r>
          </w:p>
        </w:tc>
        <w:tc>
          <w:tcPr>
            <w:tcW w:w="1260" w:type="dxa"/>
            <w:noWrap w:val="0"/>
            <w:vAlign w:val="center"/>
          </w:tcPr>
          <w:p w14:paraId="1B8AE6D9">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18.6.1</w:t>
            </w:r>
          </w:p>
        </w:tc>
        <w:tc>
          <w:tcPr>
            <w:tcW w:w="7215" w:type="dxa"/>
            <w:gridSpan w:val="2"/>
            <w:noWrap w:val="0"/>
            <w:vAlign w:val="center"/>
          </w:tcPr>
          <w:p w14:paraId="30406411">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u w:val="singl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本工程及工程设备是否进行试运行：否</w:t>
            </w:r>
          </w:p>
        </w:tc>
      </w:tr>
      <w:tr w14:paraId="3B4A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exact"/>
          <w:jc w:val="center"/>
        </w:trPr>
        <w:tc>
          <w:tcPr>
            <w:tcW w:w="828" w:type="dxa"/>
            <w:noWrap w:val="0"/>
            <w:vAlign w:val="center"/>
          </w:tcPr>
          <w:p w14:paraId="4982C474">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1</w:t>
            </w:r>
          </w:p>
        </w:tc>
        <w:tc>
          <w:tcPr>
            <w:tcW w:w="1260" w:type="dxa"/>
            <w:noWrap w:val="0"/>
            <w:vAlign w:val="center"/>
          </w:tcPr>
          <w:p w14:paraId="109A5AB2">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19.7</w:t>
            </w:r>
          </w:p>
        </w:tc>
        <w:tc>
          <w:tcPr>
            <w:tcW w:w="7207" w:type="dxa"/>
            <w:noWrap w:val="0"/>
            <w:vAlign w:val="center"/>
          </w:tcPr>
          <w:p w14:paraId="07FCDAB9">
            <w:pPr>
              <w:keepNext w:val="0"/>
              <w:keepLines w:val="0"/>
              <w:suppressLineNumbers w:val="0"/>
              <w:tabs>
                <w:tab w:val="left" w:pos="1080"/>
              </w:tabs>
              <w:spacing w:before="0" w:beforeAutospacing="0" w:after="0" w:afterAutospacing="0" w:line="440" w:lineRule="exact"/>
              <w:ind w:left="0" w:right="0" w:firstLine="42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保修期：自实际交工</w:t>
            </w:r>
            <w:r>
              <w:rPr>
                <w:rFonts w:hint="eastAsia" w:ascii="宋体" w:hAnsi="宋体" w:cs="宋体"/>
                <w:color w:val="000000" w:themeColor="text1"/>
                <w:sz w:val="21"/>
                <w:szCs w:val="21"/>
                <w:highlight w:val="none"/>
                <w:lang w:val="en-US" w:eastAsia="zh-CN"/>
                <w14:textFill>
                  <w14:solidFill>
                    <w14:schemeClr w14:val="tx1"/>
                  </w14:solidFill>
                </w14:textFill>
              </w:rPr>
              <w:t>验收合格</w:t>
            </w:r>
            <w:r>
              <w:rPr>
                <w:rFonts w:hint="default" w:ascii="宋体" w:hAnsi="宋体" w:cs="宋体"/>
                <w:color w:val="000000" w:themeColor="text1"/>
                <w:sz w:val="21"/>
                <w:szCs w:val="21"/>
                <w:highlight w:val="none"/>
                <w14:textFill>
                  <w14:solidFill>
                    <w14:schemeClr w14:val="tx1"/>
                  </w14:solidFill>
                </w14:textFill>
              </w:rPr>
              <w:t>日期起计算</w:t>
            </w:r>
            <w:r>
              <w:rPr>
                <w:rStyle w:val="56"/>
                <w:rFonts w:hint="eastAsia" w:ascii="宋体" w:hAnsi="宋体" w:eastAsia="宋体" w:cs="宋体"/>
                <w:b/>
                <w:bCs/>
                <w:color w:val="000000" w:themeColor="text1"/>
                <w:sz w:val="21"/>
                <w:szCs w:val="21"/>
                <w:highlight w:val="none"/>
                <w:u w:val="single"/>
                <w:lang w:val="en-US"/>
                <w14:textFill>
                  <w14:solidFill>
                    <w14:schemeClr w14:val="tx1"/>
                  </w14:solidFill>
                </w14:textFill>
              </w:rPr>
              <w:t>365</w:t>
            </w:r>
            <w:r>
              <w:rPr>
                <w:rStyle w:val="56"/>
                <w:rFonts w:hint="eastAsia" w:ascii="宋体" w:hAnsi="宋体" w:eastAsia="宋体" w:cs="宋体"/>
                <w:color w:val="000000" w:themeColor="text1"/>
                <w:sz w:val="21"/>
                <w:szCs w:val="21"/>
                <w:highlight w:val="none"/>
                <w:u w:val="single"/>
                <w:lang w:val="en-US"/>
                <w14:textFill>
                  <w14:solidFill>
                    <w14:schemeClr w14:val="tx1"/>
                  </w14:solidFill>
                </w14:textFill>
              </w:rPr>
              <w:t>日历天</w:t>
            </w:r>
          </w:p>
        </w:tc>
      </w:tr>
      <w:tr w14:paraId="6479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85" w:hRule="exact"/>
          <w:jc w:val="center"/>
        </w:trPr>
        <w:tc>
          <w:tcPr>
            <w:tcW w:w="828" w:type="dxa"/>
            <w:noWrap w:val="0"/>
            <w:vAlign w:val="center"/>
          </w:tcPr>
          <w:p w14:paraId="3EBF2CC2">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2</w:t>
            </w:r>
          </w:p>
        </w:tc>
        <w:tc>
          <w:tcPr>
            <w:tcW w:w="1260" w:type="dxa"/>
            <w:noWrap w:val="0"/>
            <w:vAlign w:val="center"/>
          </w:tcPr>
          <w:p w14:paraId="647A0358">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20.1</w:t>
            </w:r>
          </w:p>
        </w:tc>
        <w:tc>
          <w:tcPr>
            <w:tcW w:w="7207" w:type="dxa"/>
            <w:noWrap w:val="0"/>
            <w:vAlign w:val="center"/>
          </w:tcPr>
          <w:p w14:paraId="6D872061">
            <w:pPr>
              <w:keepNext w:val="0"/>
              <w:keepLines w:val="0"/>
              <w:suppressLineNumbers w:val="0"/>
              <w:tabs>
                <w:tab w:val="left" w:pos="1080"/>
              </w:tabs>
              <w:spacing w:before="0" w:beforeAutospacing="0" w:after="0" w:afterAutospacing="0" w:line="440" w:lineRule="exact"/>
              <w:ind w:left="0" w:right="0" w:firstLine="42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建筑工程一切险的投保内容：为本合同工程的永久工程、临时工程和设备及已运至施工工地用于永久工程的材料和设备所投的保险。</w:t>
            </w:r>
          </w:p>
        </w:tc>
      </w:tr>
      <w:tr w14:paraId="7866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51" w:hRule="atLeast"/>
          <w:jc w:val="center"/>
        </w:trPr>
        <w:tc>
          <w:tcPr>
            <w:tcW w:w="828" w:type="dxa"/>
            <w:noWrap w:val="0"/>
            <w:vAlign w:val="center"/>
          </w:tcPr>
          <w:p w14:paraId="046682C8">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260" w:type="dxa"/>
            <w:noWrap w:val="0"/>
            <w:vAlign w:val="center"/>
          </w:tcPr>
          <w:p w14:paraId="4C5D47EA">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20.4.2</w:t>
            </w:r>
          </w:p>
        </w:tc>
        <w:tc>
          <w:tcPr>
            <w:tcW w:w="7207" w:type="dxa"/>
            <w:noWrap w:val="0"/>
            <w:vAlign w:val="center"/>
          </w:tcPr>
          <w:p w14:paraId="4E2E4BA9">
            <w:pPr>
              <w:keepNext w:val="0"/>
              <w:keepLines w:val="0"/>
              <w:suppressLineNumbers w:val="0"/>
              <w:tabs>
                <w:tab w:val="left" w:pos="1080"/>
              </w:tabs>
              <w:spacing w:before="0" w:beforeAutospacing="0" w:after="0" w:afterAutospacing="0" w:line="440" w:lineRule="exact"/>
              <w:ind w:left="0" w:right="0" w:firstLine="42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第三者责任险由承包人以承包人与项目法人的名义联名投保，保险费由承包人承担并支付</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009E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70" w:hRule="atLeast"/>
          <w:jc w:val="center"/>
        </w:trPr>
        <w:tc>
          <w:tcPr>
            <w:tcW w:w="828" w:type="dxa"/>
            <w:noWrap w:val="0"/>
            <w:vAlign w:val="center"/>
          </w:tcPr>
          <w:p w14:paraId="414142D6">
            <w:pPr>
              <w:keepNext w:val="0"/>
              <w:keepLines w:val="0"/>
              <w:suppressLineNumbers w:val="0"/>
              <w:tabs>
                <w:tab w:val="left" w:pos="1080"/>
              </w:tabs>
              <w:spacing w:before="0" w:beforeAutospacing="0" w:after="0" w:afterAutospacing="0" w:line="280" w:lineRule="exact"/>
              <w:ind w:left="0" w:righ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260" w:type="dxa"/>
            <w:noWrap w:val="0"/>
            <w:vAlign w:val="center"/>
          </w:tcPr>
          <w:p w14:paraId="635CC964">
            <w:pPr>
              <w:keepNext w:val="0"/>
              <w:keepLines w:val="0"/>
              <w:suppressLineNumbers w:val="0"/>
              <w:tabs>
                <w:tab w:val="left" w:pos="1080"/>
              </w:tabs>
              <w:spacing w:before="0" w:beforeAutospacing="0" w:after="0" w:afterAutospacing="0" w:line="280" w:lineRule="exact"/>
              <w:ind w:left="0" w:right="0"/>
              <w:jc w:val="center"/>
              <w:rPr>
                <w:rFonts w:hint="default" w:ascii="宋体" w:hAnsi="宋体" w:cs="宋体"/>
                <w:color w:val="000000" w:themeColor="text1"/>
                <w:sz w:val="21"/>
                <w:szCs w:val="21"/>
                <w:highlight w:val="none"/>
                <w14:textFill>
                  <w14:solidFill>
                    <w14:schemeClr w14:val="tx1"/>
                  </w14:solidFill>
                </w14:textFill>
              </w:rPr>
            </w:pPr>
            <w:r>
              <w:rPr>
                <w:rFonts w:hint="default" w:ascii="宋体" w:hAnsi="宋体" w:cs="宋体"/>
                <w:color w:val="000000" w:themeColor="text1"/>
                <w:sz w:val="21"/>
                <w:szCs w:val="21"/>
                <w:highlight w:val="none"/>
                <w14:textFill>
                  <w14:solidFill>
                    <w14:schemeClr w14:val="tx1"/>
                  </w14:solidFill>
                </w14:textFill>
              </w:rPr>
              <w:t>24.1</w:t>
            </w:r>
          </w:p>
        </w:tc>
        <w:tc>
          <w:tcPr>
            <w:tcW w:w="7207" w:type="dxa"/>
            <w:noWrap w:val="0"/>
            <w:vAlign w:val="center"/>
          </w:tcPr>
          <w:p w14:paraId="50421A17">
            <w:pPr>
              <w:keepNext w:val="0"/>
              <w:keepLines w:val="0"/>
              <w:suppressLineNumbers w:val="0"/>
              <w:tabs>
                <w:tab w:val="left" w:pos="1080"/>
              </w:tabs>
              <w:spacing w:before="0" w:beforeAutospacing="0" w:after="0" w:afterAutospacing="0" w:line="440" w:lineRule="exact"/>
              <w:ind w:left="0" w:right="0" w:firstLine="420"/>
              <w:rPr>
                <w:rFonts w:hint="default" w:ascii="宋体" w:hAnsi="宋体" w:cs="宋体"/>
                <w:color w:val="000000" w:themeColor="text1"/>
                <w:sz w:val="21"/>
                <w:szCs w:val="21"/>
                <w:highlight w:val="none"/>
                <w:u w:val="single"/>
                <w14:textFill>
                  <w14:solidFill>
                    <w14:schemeClr w14:val="tx1"/>
                  </w14:solidFill>
                </w14:textFill>
              </w:rPr>
            </w:pPr>
            <w:r>
              <w:rPr>
                <w:rFonts w:hint="default" w:ascii="宋体" w:hAnsi="宋体" w:cs="宋体"/>
                <w:color w:val="000000" w:themeColor="text1"/>
                <w:spacing w:val="8"/>
                <w:sz w:val="21"/>
                <w:szCs w:val="21"/>
                <w:highlight w:val="none"/>
                <w14:textFill>
                  <w14:solidFill>
                    <w14:schemeClr w14:val="tx1"/>
                  </w14:solidFill>
                </w14:textFill>
              </w:rPr>
              <w:t>争议的最终解决方式</w:t>
            </w:r>
            <w:r>
              <w:rPr>
                <w:rFonts w:hint="default" w:ascii="宋体" w:hAnsi="宋体" w:cs="宋体"/>
                <w:color w:val="000000" w:themeColor="text1"/>
                <w:sz w:val="21"/>
                <w:szCs w:val="21"/>
                <w:highlight w:val="none"/>
                <w14:textFill>
                  <w14:solidFill>
                    <w14:schemeClr w14:val="tx1"/>
                  </w14:solidFill>
                </w14:textFill>
              </w:rPr>
              <w:t>：向工程所在地人民法院起诉。</w:t>
            </w:r>
          </w:p>
        </w:tc>
      </w:tr>
    </w:tbl>
    <w:p w14:paraId="701287F0">
      <w:pPr>
        <w:tabs>
          <w:tab w:val="left" w:pos="1080"/>
        </w:tabs>
        <w:spacing w:line="280" w:lineRule="exact"/>
        <w:ind w:firstLine="420"/>
        <w:rPr>
          <w:rFonts w:ascii="宋体" w:hAnsi="宋体" w:cs="宋体"/>
          <w:color w:val="000000" w:themeColor="text1"/>
          <w:sz w:val="21"/>
          <w:szCs w:val="21"/>
          <w:highlight w:val="none"/>
          <w14:textFill>
            <w14:solidFill>
              <w14:schemeClr w14:val="tx1"/>
            </w14:solidFill>
          </w14:textFill>
        </w:rPr>
      </w:pPr>
    </w:p>
    <w:p w14:paraId="74D83980">
      <w:pPr>
        <w:tabs>
          <w:tab w:val="left" w:pos="1080"/>
        </w:tabs>
        <w:spacing w:line="280" w:lineRule="exact"/>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br w:type="page"/>
      </w:r>
    </w:p>
    <w:p w14:paraId="4BB473D7">
      <w:pPr>
        <w:pStyle w:val="6"/>
        <w:spacing w:line="300" w:lineRule="auto"/>
        <w:jc w:val="center"/>
        <w:rPr>
          <w:rFonts w:hAnsi="宋体" w:cs="宋体"/>
          <w:color w:val="000000" w:themeColor="text1"/>
          <w:szCs w:val="21"/>
          <w:highlight w:val="none"/>
          <w14:textFill>
            <w14:solidFill>
              <w14:schemeClr w14:val="tx1"/>
            </w14:solidFill>
          </w14:textFill>
        </w:rPr>
      </w:pPr>
      <w:r>
        <w:rPr>
          <w:rFonts w:hAnsi="宋体" w:cs="宋体"/>
          <w:color w:val="000000" w:themeColor="text1"/>
          <w:highlight w:val="none"/>
          <w14:textFill>
            <w14:solidFill>
              <w14:schemeClr w14:val="tx1"/>
            </w14:solidFill>
          </w14:textFill>
        </w:rPr>
        <w:t>项目专用合同条款</w:t>
      </w:r>
    </w:p>
    <w:p w14:paraId="5B738262">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4.1  承包人的一般义务</w:t>
      </w:r>
    </w:p>
    <w:p w14:paraId="79FE7457">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4.1.10  其他义务</w:t>
      </w:r>
    </w:p>
    <w:p w14:paraId="1B90AC6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修改为：承包人应承担并支付为获得合同工程所需的石料、砂、砾石等其他当地材料所发生的料场使用费、资源费（税）及其他开支或补偿费。发包人应尽可能协助该项目部办理料场租用手续及解决使用过程中的有关问题。发包人协助办理的成功与否，不免除根据合同文件规定的承包人的一切责任。</w:t>
      </w:r>
    </w:p>
    <w:p w14:paraId="600A45FF">
      <w:pPr>
        <w:tabs>
          <w:tab w:val="left" w:pos="1080"/>
        </w:tabs>
        <w:spacing w:line="300" w:lineRule="auto"/>
        <w:ind w:firstLine="480"/>
        <w:rPr>
          <w:rFonts w:ascii="宋体" w:hAnsi="宋体" w:cs="宋体"/>
          <w:color w:val="auto"/>
          <w:sz w:val="21"/>
          <w:szCs w:val="21"/>
          <w:highlight w:val="none"/>
        </w:rPr>
      </w:pPr>
      <w:r>
        <w:rPr>
          <w:rFonts w:ascii="宋体" w:hAnsi="宋体" w:cs="宋体"/>
          <w:color w:val="auto"/>
          <w:sz w:val="21"/>
          <w:szCs w:val="21"/>
          <w:highlight w:val="none"/>
        </w:rPr>
        <w:t>（3）（增加）承包人应执行《广西壮族自治区工程建设领域农民工工资保证金规定实施办法》（桂人社规〔2021〕16号）及《广西壮族自治区工程建设领域农民工工资支付履约保证保险工作管理规定（试行）》（桂人社规〔2024〕8号）的相关规定</w:t>
      </w:r>
      <w:r>
        <w:rPr>
          <w:rFonts w:hint="default" w:ascii="宋体" w:hAnsi="宋体" w:cs="宋体"/>
          <w:color w:val="auto"/>
          <w:sz w:val="21"/>
          <w:szCs w:val="21"/>
          <w:highlight w:val="none"/>
        </w:rPr>
        <w:fldChar w:fldCharType="begin"/>
      </w:r>
      <w:r>
        <w:rPr>
          <w:rFonts w:hint="default" w:ascii="宋体" w:hAnsi="宋体" w:cs="宋体"/>
          <w:color w:val="auto"/>
          <w:sz w:val="21"/>
          <w:szCs w:val="21"/>
          <w:highlight w:val="none"/>
        </w:rPr>
        <w:instrText xml:space="preserve"> HYPERLINK "http://rst.gxzf.gov.cn//zwgk/xxgkzcfg/xxgkgfxwj/t11043207.shtml" \t "https://chat.deepseek.com/a/chat/s/_blank" </w:instrText>
      </w:r>
      <w:r>
        <w:rPr>
          <w:rFonts w:hint="default" w:ascii="宋体" w:hAnsi="宋体" w:cs="宋体"/>
          <w:color w:val="auto"/>
          <w:sz w:val="21"/>
          <w:szCs w:val="21"/>
          <w:highlight w:val="none"/>
        </w:rPr>
        <w:fldChar w:fldCharType="separate"/>
      </w:r>
      <w:r>
        <w:rPr>
          <w:rFonts w:hint="default" w:ascii="宋体" w:hAnsi="宋体" w:cs="宋体"/>
          <w:color w:val="auto"/>
          <w:sz w:val="21"/>
          <w:szCs w:val="21"/>
          <w:highlight w:val="none"/>
        </w:rPr>
        <w:fldChar w:fldCharType="end"/>
      </w:r>
      <w:r>
        <w:rPr>
          <w:rFonts w:hint="default" w:ascii="宋体" w:hAnsi="宋体" w:cs="宋体"/>
          <w:color w:val="auto"/>
          <w:sz w:val="21"/>
          <w:szCs w:val="21"/>
          <w:highlight w:val="none"/>
        </w:rPr>
        <w:fldChar w:fldCharType="begin"/>
      </w:r>
      <w:r>
        <w:rPr>
          <w:rFonts w:hint="default" w:ascii="宋体" w:hAnsi="宋体" w:cs="宋体"/>
          <w:color w:val="auto"/>
          <w:sz w:val="21"/>
          <w:szCs w:val="21"/>
          <w:highlight w:val="none"/>
        </w:rPr>
        <w:instrText xml:space="preserve"> HYPERLINK "http://rst.gxzf.gov.cn/ztjj/ztjjztzq/gzqx/zcfg/t26129910.shtml" \t "https://chat.deepseek.com/a/chat/s/_blank" </w:instrText>
      </w:r>
      <w:r>
        <w:rPr>
          <w:rFonts w:hint="default" w:ascii="宋体" w:hAnsi="宋体" w:cs="宋体"/>
          <w:color w:val="auto"/>
          <w:sz w:val="21"/>
          <w:szCs w:val="21"/>
          <w:highlight w:val="none"/>
        </w:rPr>
        <w:fldChar w:fldCharType="separate"/>
      </w:r>
      <w:r>
        <w:rPr>
          <w:rFonts w:hint="default" w:ascii="宋体" w:hAnsi="宋体" w:cs="宋体"/>
          <w:color w:val="auto"/>
          <w:sz w:val="21"/>
          <w:szCs w:val="21"/>
          <w:highlight w:val="none"/>
        </w:rPr>
        <w:fldChar w:fldCharType="end"/>
      </w:r>
      <w:r>
        <w:rPr>
          <w:rFonts w:hint="default" w:ascii="宋体" w:hAnsi="宋体" w:cs="宋体"/>
          <w:color w:val="auto"/>
          <w:sz w:val="21"/>
          <w:szCs w:val="21"/>
          <w:highlight w:val="none"/>
        </w:rPr>
        <w:t>。本项目施工合同额低于300万元，如承包人在签订施工合同前一年内承建的工程项目未发生工资拖欠的，可免于存储工资保证金</w:t>
      </w:r>
      <w:r>
        <w:rPr>
          <w:rFonts w:hint="default" w:ascii="宋体" w:hAnsi="宋体" w:cs="宋体"/>
          <w:color w:val="auto"/>
          <w:sz w:val="21"/>
          <w:szCs w:val="21"/>
          <w:highlight w:val="none"/>
        </w:rPr>
        <w:fldChar w:fldCharType="begin"/>
      </w:r>
      <w:r>
        <w:rPr>
          <w:rFonts w:hint="default" w:ascii="宋体" w:hAnsi="宋体" w:cs="宋体"/>
          <w:color w:val="auto"/>
          <w:sz w:val="21"/>
          <w:szCs w:val="21"/>
          <w:highlight w:val="none"/>
        </w:rPr>
        <w:instrText xml:space="preserve"> HYPERLINK "http://rst.gxzf.gov.cn//zwgk/xxgkzcfg/xxgkgfxwj/t11043207.shtml" \t "https://chat.deepseek.com/a/chat/s/_blank" </w:instrText>
      </w:r>
      <w:r>
        <w:rPr>
          <w:rFonts w:hint="default" w:ascii="宋体" w:hAnsi="宋体" w:cs="宋体"/>
          <w:color w:val="auto"/>
          <w:sz w:val="21"/>
          <w:szCs w:val="21"/>
          <w:highlight w:val="none"/>
        </w:rPr>
        <w:fldChar w:fldCharType="separate"/>
      </w:r>
      <w:r>
        <w:rPr>
          <w:rFonts w:hint="default" w:ascii="宋体" w:hAnsi="宋体" w:cs="宋体"/>
          <w:color w:val="auto"/>
          <w:sz w:val="21"/>
          <w:szCs w:val="21"/>
          <w:highlight w:val="none"/>
        </w:rPr>
        <w:fldChar w:fldCharType="end"/>
      </w:r>
      <w:r>
        <w:rPr>
          <w:rFonts w:hint="default" w:ascii="宋体" w:hAnsi="宋体" w:cs="宋体"/>
          <w:color w:val="auto"/>
          <w:sz w:val="21"/>
          <w:szCs w:val="21"/>
          <w:highlight w:val="none"/>
        </w:rPr>
        <w:t>。如承包人不满足免存条件，可选择现金存储、银行保函或农民工工资支付履约保证保险等方式履行义务</w:t>
      </w:r>
      <w:r>
        <w:rPr>
          <w:rFonts w:hint="default" w:ascii="宋体" w:hAnsi="宋体" w:cs="宋体"/>
          <w:color w:val="auto"/>
          <w:sz w:val="21"/>
          <w:szCs w:val="21"/>
          <w:highlight w:val="none"/>
        </w:rPr>
        <w:fldChar w:fldCharType="begin"/>
      </w:r>
      <w:r>
        <w:rPr>
          <w:rFonts w:hint="default" w:ascii="宋体" w:hAnsi="宋体" w:cs="宋体"/>
          <w:color w:val="auto"/>
          <w:sz w:val="21"/>
          <w:szCs w:val="21"/>
          <w:highlight w:val="none"/>
        </w:rPr>
        <w:instrText xml:space="preserve"> HYPERLINK "http://rst.gxzf.gov.cn/ztjj/ztjjztzq/gzqx/zcfg/t26129910.shtml" \t "https://chat.deepseek.com/a/chat/s/_blank" </w:instrText>
      </w:r>
      <w:r>
        <w:rPr>
          <w:rFonts w:hint="default" w:ascii="宋体" w:hAnsi="宋体" w:cs="宋体"/>
          <w:color w:val="auto"/>
          <w:sz w:val="21"/>
          <w:szCs w:val="21"/>
          <w:highlight w:val="none"/>
        </w:rPr>
        <w:fldChar w:fldCharType="separate"/>
      </w:r>
      <w:r>
        <w:rPr>
          <w:rFonts w:hint="default" w:ascii="宋体" w:hAnsi="宋体" w:cs="宋体"/>
          <w:color w:val="auto"/>
          <w:sz w:val="21"/>
          <w:szCs w:val="21"/>
          <w:highlight w:val="none"/>
        </w:rPr>
        <w:fldChar w:fldCharType="end"/>
      </w:r>
      <w:r>
        <w:rPr>
          <w:rFonts w:hint="default" w:ascii="宋体" w:hAnsi="宋体" w:cs="宋体"/>
          <w:color w:val="auto"/>
          <w:sz w:val="21"/>
          <w:szCs w:val="21"/>
          <w:highlight w:val="none"/>
        </w:rPr>
        <w:t>。各供应商须对农民工工资保证金相关事宜作出承诺，文件格式详见“农民工工资保证金承诺书</w:t>
      </w:r>
      <w:r>
        <w:rPr>
          <w:rFonts w:ascii="宋体" w:hAnsi="宋体" w:cs="宋体"/>
          <w:color w:val="auto"/>
          <w:sz w:val="21"/>
          <w:szCs w:val="21"/>
          <w:highlight w:val="none"/>
        </w:rPr>
        <w:t>”。</w:t>
      </w:r>
    </w:p>
    <w:p w14:paraId="0CD51BD0">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（4）（增加）承包人应履行的其他义务：</w:t>
      </w:r>
    </w:p>
    <w:p w14:paraId="285EAD3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a.与本工程项目相关的审计和稽查、检查、视察等活动，承包人应高度重视并有义务委派专人积极予以配合。</w:t>
      </w:r>
    </w:p>
    <w:p w14:paraId="2A1EB140">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b.发包人有权监督检查承包人的供货合同。</w:t>
      </w:r>
    </w:p>
    <w:p w14:paraId="149FC49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c.对项目使用的原有道路的维护和管理，以确保正常通行。</w:t>
      </w:r>
    </w:p>
    <w:p w14:paraId="650B1DE1">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d.维护社会稳定，避免发生因承包人原因引起施工队伍或施工引起周边群众等群体性上访事件</w:t>
      </w:r>
    </w:p>
    <w:p w14:paraId="61A35C85">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e.承包人应自觉接受交通主管部门、质量监督单位、公路管理机构的监督，对指出的问题进行认真的整改，及时报告处理结果。</w:t>
      </w:r>
    </w:p>
    <w:p w14:paraId="3B0D62DB">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5）合同实施时承包人应投入足够的技术和管理人员以满足工程施工需要，发包人要求承包人应投入本合同的最低人员要求见合同附件四（含相应要求的备选人员），在不少于合同附件四要求前提下，为确保工程进度，发包人有权要求承包人增加相应技术和管理人员以满足施工需要。</w:t>
      </w:r>
    </w:p>
    <w:p w14:paraId="43184525">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4.1.11(增加) 承包人响应“美丽广西·清洁乡村”行动</w:t>
      </w:r>
    </w:p>
    <w:p w14:paraId="3754C2B2">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 承包人应根据《中共广西壮族自治区交通厅党组关于印发自治区交通运输系统“美丽广西·清洁乡村”交通行动实施方案的通知》（桂交党宣[2013]15号）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p>
    <w:p w14:paraId="58F3F83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具体要求：在建公路项目要文明施工，强化施工路段的环境整治，施工车辆要避免扬尘洒漏，避免对原有公路的破坏，做好水土保持、环境保护工作；旧路改建项目要保证施工期间维持良好通车秩序；承包人应高度重视，有义务积极配合并委派专人参加“美丽广西·清洁乡村”的相关活动。</w:t>
      </w:r>
    </w:p>
    <w:p w14:paraId="17888CD2">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4.6  承包人人员的管理</w:t>
      </w:r>
    </w:p>
    <w:p w14:paraId="6F7799B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（增加）4.6.5  项目经理、总工及主要管理人员每月驻工地现场时间不应少于22天，项目经理、总工及主要管理人员，技术骨干离开工地必须向招标人书面请假，并经项目建设管理机构相关负责人书面同意方能离开，否则视为违约并按22.1款执行。</w:t>
      </w:r>
    </w:p>
    <w:p w14:paraId="4F8A08F4">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4.9工程价款应专款专用</w:t>
      </w:r>
    </w:p>
    <w:p w14:paraId="6B076489">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在原条款末增加：项目法人向承包人支付的预付款、工程进度款等为本工程的专款专用资金，承包人违反下述规定的，项目法人将中止其任何款项的支付。</w:t>
      </w:r>
    </w:p>
    <w:p w14:paraId="168DC67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（1）凡不在项目法人指定银行开户的承包人，项目法人将不对其支付任何款项。</w:t>
      </w:r>
    </w:p>
    <w:p w14:paraId="0E748439">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根据中国人民银行有关规定，每个承包人只能在一个银行开立一个结算账户，不允许多头开户。项目法人按合同条款规定对承包人支付的款项，只对合同规定的法人或者法人代表的授权代理人支付，不对其内部独立核算单位或经批准的分包人直接支付（合同有专项规定者除外）。</w:t>
      </w:r>
    </w:p>
    <w:p w14:paraId="30EF4DA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在合同执行期间，项目法人或项目法人委托的公路审计部门有权不定期检查或审计承包人项目经理部的财务收支情况，承包人必须严格财经纪律，确保项目经理部的财务收支能客观、真实的反映工程实际成本，承包人及项目经理部必须接受项目法人或项目法人委托部门的监督和检查。</w:t>
      </w:r>
    </w:p>
    <w:p w14:paraId="48A03697">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在合同执行期间，为确保工程建设资金专款专用，承包人在收到项目法人支付的款项后，须向项目法人提供资金使用计划，详细说明资金使用流向，经项目法人批准并在项目法人的监督下使用，必须优先支付工人特别是农民工的工资，其次是材料价款以及工程建设直接的成本。</w:t>
      </w:r>
    </w:p>
    <w:p w14:paraId="3E222004">
      <w:pPr>
        <w:tabs>
          <w:tab w:val="left" w:pos="1080"/>
        </w:tabs>
        <w:spacing w:line="300" w:lineRule="auto"/>
        <w:ind w:firstLine="480"/>
        <w:rPr>
          <w:rFonts w:hint="eastAsia"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工资保证金对应的工程项目完工，施工总承包单位作出书面承诺该工程项目不存在未解决的拖欠农民工工资问题，并在施工现场维权信息告示牌及属地人力资源社会保障行政部门门户网站公示满30日，属地人力资源社会保障行政部门在8个工作日内出具《保证金账户解除通知书》,按规定解除监管工资保证金专用账户或返还银行保函正本。</w:t>
      </w:r>
    </w:p>
    <w:p w14:paraId="1C5FA6D2">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属地人力资源社会保障行政部门在公示过程中发现工资保证金对应工程项目存在未解决的拖欠农民工工资问题，应在发现之日起3个工作日内书面告知施工总承包单位，施工总承包单位依法履行清偿(先行清偿)责任后，按前款规定解除监管工资保证金专用账户或返还银行保函正本</w:t>
      </w:r>
      <w:r>
        <w:rPr>
          <w:rFonts w:ascii="宋体" w:hAnsi="宋体" w:cs="宋体"/>
          <w:color w:val="000000" w:themeColor="text1"/>
          <w:sz w:val="21"/>
          <w:szCs w:val="21"/>
          <w:highlight w:val="none"/>
          <w14:textFill>
            <w14:solidFill>
              <w14:schemeClr w14:val="tx1"/>
            </w14:solidFill>
          </w14:textFill>
        </w:rPr>
        <w:t>。</w:t>
      </w:r>
    </w:p>
    <w:p w14:paraId="1F12675D">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4.11 不利物质条件</w:t>
      </w:r>
    </w:p>
    <w:p w14:paraId="6D62F1AC">
      <w:pPr>
        <w:tabs>
          <w:tab w:val="left" w:pos="1080"/>
        </w:tabs>
        <w:spacing w:line="300" w:lineRule="auto"/>
        <w:ind w:firstLine="480"/>
        <w:rPr>
          <w:rFonts w:ascii="宋体" w:hAnsi="宋体" w:cs="宋体"/>
          <w:color w:val="000000" w:themeColor="text1"/>
          <w:sz w:val="21"/>
          <w:szCs w:val="21"/>
          <w:highlight w:val="none"/>
          <w:u w:val="singl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4.11.1 不利物质条件的范围：</w:t>
      </w:r>
      <w:r>
        <w:rPr>
          <w:rFonts w:ascii="宋体" w:hAnsi="宋体" w:cs="宋体"/>
          <w:color w:val="000000" w:themeColor="text1"/>
          <w:sz w:val="21"/>
          <w:szCs w:val="21"/>
          <w:highlight w:val="none"/>
          <w:u w:val="single"/>
          <w14:textFill>
            <w14:solidFill>
              <w14:schemeClr w14:val="tx1"/>
            </w14:solidFill>
          </w14:textFill>
        </w:rPr>
        <w:t xml:space="preserve">  / </w:t>
      </w:r>
    </w:p>
    <w:p w14:paraId="28922EC7">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7.3 场外交通</w:t>
      </w:r>
    </w:p>
    <w:p w14:paraId="7919ECB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（增加）7.3.3为保证道路交通安全及运输畅通，承包人应采取以下措施：</w:t>
      </w:r>
    </w:p>
    <w:p w14:paraId="21FDF9C5">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当施工期间，因施工原因造成原有道路暂时堵塞时，承包人必须与交通和公安部门协商，采取足够的措施引导、疏通交通。但不管何种原因，因其交通堵塞时间均不能超过30分钟。若堵塞交通超过上述规定的时间，将视为承包人违约按22.1款等相关条款处理，同时发包人可指令采取任何措施疏通，一切费用由承包人承担。</w:t>
      </w:r>
    </w:p>
    <w:p w14:paraId="05F911C7">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7.3.4 承包人应加强文明施工，保障道路通畅的管理</w:t>
      </w:r>
    </w:p>
    <w:p w14:paraId="6EC781B5">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（1）承包人在施工期内应按国家、交通主管部门与公路管理机构有关文明施工，保障畅通的规定组织施工，对出现的交通堵塞无条件地采取措施进行疏通。</w:t>
      </w:r>
    </w:p>
    <w:p w14:paraId="37903F9C">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对于旧路改建工程项目：破坏旧路必须作出交通维持与恢复路面通行条件方案并必须取得项目建设办公室的书面批准，未经批准进行旧路开挖与填筑的，项目建设办公室有权责令停工，并由承包人恢复原良好的通车条件，并需承担一切费用；不得在道路上堆放材料或占道施工影响交通；路基、路面施工应避免出现晴天扬尘，雨天打滑影响安全与交通和影响群众生活、生产的现象；维持交通的路基施工应保证表面平整，行车通畅。</w:t>
      </w:r>
    </w:p>
    <w:p w14:paraId="46BC5E42">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9.2  承包人的施工安全责任</w:t>
      </w:r>
    </w:p>
    <w:p w14:paraId="2E922D9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9.2.5 条款末增加： 如项目法人在日常检查中发现承包人用于危险路段、有安全隐患路段施工安全防护的设施和用具（含交通标志牌、安全危险告知牌、安全隐患告知牌等）不齐全或缺乏，并且承包人没有按规定及时添置安放的情况，则项目法人应按照合同有关规定指令承包人纠正和整改，承包人拒不整改或整改不彻底的，项目法人有权进行直接购置施工安全施工安全防护设施和用具（含交通标志牌、安全危险告知牌、安全隐患告知牌等）并安排专人进行设置管理等安全管理工作，所发生的费用由承包人负责，并由项目法人在承包人合同价中计量扣除。</w:t>
      </w:r>
    </w:p>
    <w:p w14:paraId="088C5050">
      <w:pPr>
        <w:tabs>
          <w:tab w:val="left" w:pos="1080"/>
        </w:tabs>
        <w:spacing w:line="300" w:lineRule="auto"/>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9.6运营中的公路道路施工安全（增加）</w:t>
      </w:r>
    </w:p>
    <w:p w14:paraId="4AA8018C">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9.6.1承包人进场施工前需到路政部门和安监部门办理上路施工许可证和安全监督等手续，签订路上施工安全协议书，并接受监督。</w:t>
      </w:r>
    </w:p>
    <w:p w14:paraId="3941A068">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9.6.2 在运营公路上进行施工，必须严格执行国家颁布的《公路法》、《安全生产法》、《道路交通标志和标线》（GB5768-1999）、《公路工程施工安全技术规程》（JTJ076）、《公路养护安全作业规程》（JTG H30-2015）要求等国家及交通部门颁发的有关安全生产的法律法规、标准及制度，并按照有关规定设置施工标志、标牌、水马等安全设施)，施工过程中承包人必须派专人维护各施工标志牌正常使用。路上作业施工人员应统一着桔红色反光标志服，招标文件要求的主要施工管理人员在现场时应挂戴统一制作的上岗牌做标识，每个施工点的现场应摆放由业主规定统一格式的施工公示牌。</w:t>
      </w:r>
      <w:r>
        <w:rPr>
          <w:rFonts w:hint="eastAsia" w:ascii="宋体" w:hAnsi="宋体" w:cs="宋体"/>
          <w:color w:val="000000" w:themeColor="text1"/>
          <w:sz w:val="21"/>
          <w:szCs w:val="21"/>
          <w:highlight w:val="none"/>
          <w:lang w:eastAsia="zh-CN"/>
          <w14:textFill>
            <w14:solidFill>
              <w14:schemeClr w14:val="tx1"/>
            </w14:solidFill>
          </w14:textFill>
        </w:rPr>
        <w:t>投标人</w:t>
      </w:r>
      <w:r>
        <w:rPr>
          <w:rFonts w:ascii="宋体" w:hAnsi="宋体" w:cs="宋体"/>
          <w:color w:val="000000" w:themeColor="text1"/>
          <w:sz w:val="21"/>
          <w:szCs w:val="21"/>
          <w:highlight w:val="none"/>
          <w14:textFill>
            <w14:solidFill>
              <w14:schemeClr w14:val="tx1"/>
            </w14:solidFill>
          </w14:textFill>
        </w:rPr>
        <w:t>报价时要充分考虑上述设施所需费用，以及施工、生活用水用电的费用，所需费用由</w:t>
      </w:r>
      <w:r>
        <w:rPr>
          <w:rFonts w:hint="eastAsia" w:ascii="宋体" w:hAnsi="宋体" w:cs="宋体"/>
          <w:color w:val="000000" w:themeColor="text1"/>
          <w:sz w:val="21"/>
          <w:szCs w:val="21"/>
          <w:highlight w:val="none"/>
          <w:lang w:eastAsia="zh-CN"/>
          <w14:textFill>
            <w14:solidFill>
              <w14:schemeClr w14:val="tx1"/>
            </w14:solidFill>
          </w14:textFill>
        </w:rPr>
        <w:t>投标人</w:t>
      </w:r>
      <w:r>
        <w:rPr>
          <w:rFonts w:ascii="宋体" w:hAnsi="宋体" w:cs="宋体"/>
          <w:color w:val="000000" w:themeColor="text1"/>
          <w:sz w:val="21"/>
          <w:szCs w:val="21"/>
          <w:highlight w:val="none"/>
          <w14:textFill>
            <w14:solidFill>
              <w14:schemeClr w14:val="tx1"/>
            </w14:solidFill>
          </w14:textFill>
        </w:rPr>
        <w:t>考虑在有关报价中，业主不单独进行计量支付。施工标志牌的制作应符合国家有关标准的规定，标志牌版面的反光膜应不低于国标GB5768-1999《道路交通标志和标线》的三级标准。</w:t>
      </w:r>
    </w:p>
    <w:p w14:paraId="26A0B0D0">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9.6.3工程使用的水泥、碎石、砂等材料不得堆放在公路上，工棚搭设应设置在公路行车看不到的位置，如确需搭棚看守机械设备的，应按业主规定的式样搭设；机械设备摆放不得有碍路容路貌和行车安全。</w:t>
      </w:r>
    </w:p>
    <w:p w14:paraId="4DAAFAA9">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9.6.6破除的公路废弃材料应集中废弃到弃土场。</w:t>
      </w:r>
    </w:p>
    <w:p w14:paraId="1BBBFD3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9.6.7大修工程施工时，应设置相应防护措施确保公路行人及车流的安全畅通。安全生产发生的一切费用由</w:t>
      </w:r>
      <w:r>
        <w:rPr>
          <w:rFonts w:hint="eastAsia" w:ascii="宋体" w:hAnsi="宋体" w:cs="宋体"/>
          <w:color w:val="000000" w:themeColor="text1"/>
          <w:sz w:val="21"/>
          <w:szCs w:val="21"/>
          <w:highlight w:val="none"/>
          <w:lang w:eastAsia="zh-CN"/>
          <w14:textFill>
            <w14:solidFill>
              <w14:schemeClr w14:val="tx1"/>
            </w14:solidFill>
          </w14:textFill>
        </w:rPr>
        <w:t>投标人</w:t>
      </w:r>
      <w:r>
        <w:rPr>
          <w:rFonts w:ascii="宋体" w:hAnsi="宋体" w:cs="宋体"/>
          <w:color w:val="000000" w:themeColor="text1"/>
          <w:sz w:val="21"/>
          <w:szCs w:val="21"/>
          <w:highlight w:val="none"/>
          <w14:textFill>
            <w14:solidFill>
              <w14:schemeClr w14:val="tx1"/>
            </w14:solidFill>
          </w14:textFill>
        </w:rPr>
        <w:t>考虑在有关报价中，业主不单独进行计量支付。由于未采用防护措施或防护措施不力而造成公路</w:t>
      </w:r>
      <w:r>
        <w:rPr>
          <w:rFonts w:hint="eastAsia" w:ascii="宋体" w:hAnsi="宋体" w:cs="宋体"/>
          <w:color w:val="000000" w:themeColor="text1"/>
          <w:sz w:val="21"/>
          <w:szCs w:val="21"/>
          <w:highlight w:val="none"/>
          <w:lang w:val="en-US" w:eastAsia="zh-CN"/>
          <w14:textFill>
            <w14:solidFill>
              <w14:schemeClr w14:val="tx1"/>
            </w14:solidFill>
          </w14:textFill>
        </w:rPr>
        <w:t>上</w:t>
      </w:r>
      <w:r>
        <w:rPr>
          <w:rFonts w:ascii="宋体" w:hAnsi="宋体" w:cs="宋体"/>
          <w:color w:val="000000" w:themeColor="text1"/>
          <w:sz w:val="21"/>
          <w:szCs w:val="21"/>
          <w:highlight w:val="none"/>
          <w14:textFill>
            <w14:solidFill>
              <w14:schemeClr w14:val="tx1"/>
            </w14:solidFill>
          </w14:textFill>
        </w:rPr>
        <w:t>行人、车流受影响的，由承包人承担其责任。</w:t>
      </w:r>
    </w:p>
    <w:p w14:paraId="37040D33">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9.6.8承包人不得在公路路面上拌和公路材料。</w:t>
      </w:r>
    </w:p>
    <w:p w14:paraId="329514B3">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9.6.9承包人须将拟施工点报发包人审批后，方可进行施工。</w:t>
      </w:r>
    </w:p>
    <w:p w14:paraId="2CEEE9A4">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10.1  合同进度计划</w:t>
      </w:r>
    </w:p>
    <w:p w14:paraId="140CF4E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承包人编制施工方案的内容：承包人应在签订合同协议书后7天内，向发包人提交2份其格式和内容符合发包人规定的工程进度计划，以及为完成该计划而建议采用的实施性的施工安排和施工方案的说明。发包人应在收到该计划后7天内审查同意或提出修改意见，否则该进度计划视为已得到批准。经发包人批准的施工进度计划称为合同进度计划，是控制合同工程进度的依据。工程进度计划应按照关键线路网络图和主要工作横道图两种形式分别绘制，并应包括每月预计完成的工作量和形象进度。</w:t>
      </w:r>
    </w:p>
    <w:p w14:paraId="0BA135EF">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11.4  异常恶劣的气候条件</w:t>
      </w:r>
    </w:p>
    <w:p w14:paraId="6B79624F">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异常恶劣的气候条件的范围：对本项目而言，指发生烈度7度（含7度）以上地震、龙卷风、施工场地受淹超过项目法人提供的设计图纸指明的设计洪水水位引起的延误的情况。</w:t>
      </w:r>
    </w:p>
    <w:p w14:paraId="22028336">
      <w:pPr>
        <w:tabs>
          <w:tab w:val="left" w:pos="1080"/>
        </w:tabs>
        <w:spacing w:line="300" w:lineRule="auto"/>
        <w:ind w:firstLine="480"/>
        <w:rPr>
          <w:rFonts w:ascii="宋体" w:hAnsi="宋体" w:cs="宋体"/>
          <w:b/>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增加：异常恶劣的气候条件，政府及有关部门预先有预报的，由于承包人没有应急措施或没有采取应急措施的，造成的损失和工期延误，由承包人负责。</w:t>
      </w:r>
    </w:p>
    <w:p w14:paraId="75208C36">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（增加）11.8 其它进度要求</w:t>
      </w:r>
    </w:p>
    <w:p w14:paraId="614D102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（1）承包人应加强工程进度计划管理，努力实现均衡组织施工的目标。</w:t>
      </w:r>
    </w:p>
    <w:p w14:paraId="1055BE20">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a  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5E085A3B">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b  路面碎石材料的采备应与路基施工进度同步，以保证路面施工进度。</w:t>
      </w:r>
    </w:p>
    <w:p w14:paraId="32C1FC4C">
      <w:pPr>
        <w:tabs>
          <w:tab w:val="left" w:pos="1080"/>
        </w:tabs>
        <w:spacing w:line="300" w:lineRule="auto"/>
        <w:ind w:firstLine="480"/>
        <w:rPr>
          <w:rFonts w:ascii="宋体" w:hAnsi="宋体" w:cs="宋体"/>
          <w:color w:val="000000" w:themeColor="text1"/>
          <w:sz w:val="21"/>
          <w:szCs w:val="21"/>
          <w:highlight w:val="none"/>
          <w:u w:val="singl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c  桥梁、主要涵洞、高大支挡结构、旧路改建（破坏旧路路面）的路面等关键工程及分项应有独立详细的施工组织设计，并采取措施确保落实。</w:t>
      </w:r>
    </w:p>
    <w:p w14:paraId="3EC5BD2D">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12．暂停施工</w:t>
      </w:r>
    </w:p>
    <w:p w14:paraId="69B6FBF7">
      <w:pPr>
        <w:spacing w:line="300" w:lineRule="auto"/>
        <w:ind w:firstLine="277" w:firstLineChars="132"/>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12. 1承包人暂停施工的责任</w:t>
      </w:r>
    </w:p>
    <w:p w14:paraId="004DE00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公路工程专用合同条款12.1.(6）项约定:</w:t>
      </w:r>
    </w:p>
    <w:p w14:paraId="6EDD80C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(6）由承包人承担的其他暂停施工：</w:t>
      </w:r>
      <w:r>
        <w:rPr>
          <w:rFonts w:ascii="宋体" w:hAnsi="宋体" w:cs="宋体"/>
          <w:color w:val="000000" w:themeColor="text1"/>
          <w:sz w:val="21"/>
          <w:szCs w:val="21"/>
          <w:highlight w:val="none"/>
          <w:u w:val="single"/>
          <w14:textFill>
            <w14:solidFill>
              <w14:schemeClr w14:val="tx1"/>
            </w14:solidFill>
          </w14:textFill>
        </w:rPr>
        <w:t xml:space="preserve">   ／  </w:t>
      </w:r>
    </w:p>
    <w:p w14:paraId="78904196">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13.3承包人的质量检查</w:t>
      </w:r>
    </w:p>
    <w:p w14:paraId="423EED3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增加内容：（1）落实质量责任制和质量保证体系</w:t>
      </w:r>
    </w:p>
    <w:p w14:paraId="479B7D9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 xml:space="preserve">分项工程施工现场应实行质量责任牌管理，写明作业内容、项目质量管理责任人（施工单位、建设管理机构）和质量管理举报电话； </w:t>
      </w:r>
    </w:p>
    <w:p w14:paraId="00B8729C">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（2）认真执行质量检查制度：</w:t>
      </w:r>
    </w:p>
    <w:p w14:paraId="1C9897C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施工作业管理的专业工程师在测量、试验工程师配合下完成施工自检并作施工记录（工艺及原材料使用等）；</w:t>
      </w:r>
    </w:p>
    <w:p w14:paraId="63C48279">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质检工程师在测量、试验工程师配合下加强中间质量检测，严格控制工序质量，及时完成工序、分项完工检验并提交质量检验记录，收集工序、分项资料与检验申请经项目总工签认后报送发包人。</w:t>
      </w:r>
    </w:p>
    <w:p w14:paraId="2DC82A2F">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试验、测量工程师根据施工质检需要完成试验与测量作业并及时交检验结果报告专业工程师、质检工程师。</w:t>
      </w:r>
    </w:p>
    <w:p w14:paraId="008518DC">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为保证质量责任制的落实，必须做到“三个到位”、“三个同时”，即：质量管理人员到位，检测工具到位，记录表格到位；施工作业与专业工程师质量检查、检验同时，承包人质量检验工程师、发包人的检验与施工作业同时，检查、检验与记录同时。</w:t>
      </w:r>
    </w:p>
    <w:p w14:paraId="44207D3B">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(3)质量管理记录的原始记录包括作业记录、测量记录、试验记录、检验记录及验收记录，地基、基础、填挖交界碾压，墙台背回填等隐蔽工程应摄象或照相作为现场记录保存。</w:t>
      </w:r>
    </w:p>
    <w:p w14:paraId="7AB840A9">
      <w:pPr>
        <w:tabs>
          <w:tab w:val="left" w:pos="1080"/>
        </w:tabs>
        <w:spacing w:line="300" w:lineRule="auto"/>
        <w:ind w:firstLine="514" w:firstLineChars="245"/>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 承包人应加强文明施工，保障道路通畅的管理</w:t>
      </w:r>
    </w:p>
    <w:p w14:paraId="4D362C22">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a  承包人在施工期内应按国家、交通主管部门与公路管理机构文明施工，保障畅通的有关规定组织施工，对出现的交通堵塞无条件地采取措施进行疏通。</w:t>
      </w:r>
    </w:p>
    <w:p w14:paraId="54372D8D">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b 旧路改建工程项目</w:t>
      </w:r>
    </w:p>
    <w:p w14:paraId="74EE38B9">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(i)破坏旧路必须作出交通维持与恢复路面通行条件方案并必须取得业主的批准，未经批准进行旧路开挖与填筑的，业主有权责令停工，并由承包人恢复原良好的通车条件，并需承担一切费用。</w:t>
      </w:r>
    </w:p>
    <w:p w14:paraId="3B187FF1">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(ii)不得在道路上堆放材料或占道施工影响交通。</w:t>
      </w:r>
    </w:p>
    <w:p w14:paraId="5EDCAFDB">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路基、路面施工应避免出现晴天扬尘，雨天打滑影响安全与交通和影响群众生活、生产的现象。</w:t>
      </w:r>
    </w:p>
    <w:p w14:paraId="56072DF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维持交通的路基施工应保证表面平整，保证通畅。</w:t>
      </w:r>
    </w:p>
    <w:p w14:paraId="4540F238">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 xml:space="preserve"> (5) 承包人应自觉接受交通主管部门、质量监督单位、公路管理机构的监督，对指出的问题进行认真的整改，及时报告处理结果。</w:t>
      </w:r>
    </w:p>
    <w:p w14:paraId="1D04750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在整个施工过程中，业主对承包人履行责任有权进行监督，并向承包人提出整改要求。承包人应认真履行责任，执行业主的指令，否则将按第22.1款视为承包人违约。</w:t>
      </w:r>
    </w:p>
    <w:p w14:paraId="353FB078">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13.5工程隐蔽部位覆盖前的检查</w:t>
      </w:r>
    </w:p>
    <w:p w14:paraId="0ACC400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 xml:space="preserve"> 13.5.1项补充：</w:t>
      </w:r>
    </w:p>
    <w:p w14:paraId="5D699035">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 xml:space="preserve"> 隐蔽部位覆盖前应经发包人检查确认,分阶段(工序)进行拍摄或照相,并向发包人提供相关影像相片等书面资料作为计量支付的依据，否则不应给予计量.</w:t>
      </w:r>
    </w:p>
    <w:p w14:paraId="4B0F6997">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 变更</w:t>
      </w:r>
    </w:p>
    <w:p w14:paraId="7499C294">
      <w:pPr>
        <w:tabs>
          <w:tab w:val="left" w:pos="1080"/>
        </w:tabs>
        <w:spacing w:line="360" w:lineRule="auto"/>
        <w:ind w:firstLine="480"/>
        <w:rPr>
          <w:rFonts w:hint="eastAsia" w:ascii="宋体" w:hAnsi="宋体" w:cs="宋体"/>
          <w:color w:val="000000" w:themeColor="text1"/>
          <w:sz w:val="21"/>
          <w:szCs w:val="21"/>
          <w:highlight w:val="none"/>
          <w:lang w:eastAsia="zh-CN"/>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15.</w:t>
      </w:r>
      <w:r>
        <w:rPr>
          <w:rFonts w:hint="eastAsia" w:ascii="宋体" w:hAnsi="宋体" w:cs="宋体"/>
          <w:color w:val="000000" w:themeColor="text1"/>
          <w:sz w:val="21"/>
          <w:szCs w:val="21"/>
          <w:highlight w:val="none"/>
          <w:lang w:val="en-US" w:eastAsia="zh-CN"/>
          <w14:textFill>
            <w14:solidFill>
              <w14:schemeClr w14:val="tx1"/>
            </w14:solidFill>
          </w14:textFill>
        </w:rPr>
        <w:t>1.1</w:t>
      </w:r>
      <w:r>
        <w:rPr>
          <w:rFonts w:ascii="宋体" w:hAnsi="宋体" w:cs="宋体"/>
          <w:color w:val="000000" w:themeColor="text1"/>
          <w:sz w:val="21"/>
          <w:szCs w:val="21"/>
          <w:highlight w:val="none"/>
          <w14:textFill>
            <w14:solidFill>
              <w14:schemeClr w14:val="tx1"/>
            </w14:solidFill>
          </w14:textFill>
        </w:rPr>
        <w:t xml:space="preserve">项补充： </w:t>
      </w:r>
      <w:r>
        <w:rPr>
          <w:rFonts w:hint="eastAsia" w:ascii="宋体" w:hAnsi="宋体" w:cs="宋体"/>
          <w:color w:val="000000" w:themeColor="text1"/>
          <w:sz w:val="21"/>
          <w:szCs w:val="21"/>
          <w:highlight w:val="none"/>
          <w:lang w:eastAsia="zh-CN"/>
          <w14:textFill>
            <w14:solidFill>
              <w14:schemeClr w14:val="tx1"/>
            </w14:solidFill>
          </w14:textFill>
        </w:rPr>
        <w:t>设计变更除遵守交通运输部、交通运输厅的现行设计变更管理办法外，还应执行《天等县人民政府办公室关于印发天等县政府性投资基本建设项目管理办法的通知》（天政办发〔2024〕10号）中有关变更的规定。如上述文件中有关变更管理的规定与交通运输主管部门现行有效的设计变更管理办法不一致的，以交通运输主管部门的规定为准。</w:t>
      </w:r>
    </w:p>
    <w:p w14:paraId="1C0FC99D">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 变更的范围</w:t>
      </w:r>
    </w:p>
    <w:p w14:paraId="5DDEC92B">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关于变更的范围的约定:</w:t>
      </w:r>
      <w:r>
        <w:rPr>
          <w:rFonts w:hint="eastAsia" w:ascii="宋体" w:hAnsi="宋体" w:eastAsia="宋体" w:cs="宋体"/>
          <w:color w:val="000000" w:themeColor="text1"/>
          <w:sz w:val="21"/>
          <w:szCs w:val="21"/>
          <w:highlight w:val="none"/>
          <w:u w:val="single"/>
          <w14:textFill>
            <w14:solidFill>
              <w14:schemeClr w14:val="tx1"/>
            </w14:solidFill>
          </w14:textFill>
        </w:rPr>
        <w:t>增加合同外项目、设计方案有变动或图纸内有但清单漏项的，需报设计变更审批程序。合同清单的工程量增加，且增加费用不超过批复概算总投资10%的，由参建各方现场确定，施工单位拟通过报告单等方式，请示设计、监理单位核定，主管部门审批;如超过概算总投资10%的，需申请设计变更并报原审批部门(</w:t>
      </w:r>
      <w:r>
        <w:rPr>
          <w:rFonts w:hint="eastAsia" w:ascii="宋体" w:hAnsi="宋体" w:cs="宋体"/>
          <w:color w:val="000000" w:themeColor="text1"/>
          <w:sz w:val="21"/>
          <w:szCs w:val="21"/>
          <w:highlight w:val="none"/>
          <w:u w:val="single"/>
          <w:lang w:val="en-US" w:eastAsia="zh-CN"/>
          <w14:textFill>
            <w14:solidFill>
              <w14:schemeClr w14:val="tx1"/>
            </w14:solidFill>
          </w14:textFill>
        </w:rPr>
        <w:t>天等县交通运输</w:t>
      </w:r>
      <w:r>
        <w:rPr>
          <w:rFonts w:hint="eastAsia" w:ascii="宋体" w:hAnsi="宋体" w:eastAsia="宋体" w:cs="宋体"/>
          <w:color w:val="000000" w:themeColor="text1"/>
          <w:sz w:val="21"/>
          <w:szCs w:val="21"/>
          <w:highlight w:val="none"/>
          <w:u w:val="single"/>
          <w14:textFill>
            <w14:solidFill>
              <w14:schemeClr w14:val="tx1"/>
            </w14:solidFill>
          </w14:textFill>
        </w:rPr>
        <w:t>局)审批:同时所有变更程序以崇左市天等县人民政府办公室《</w:t>
      </w:r>
      <w:r>
        <w:rPr>
          <w:rFonts w:hint="eastAsia" w:ascii="宋体" w:hAnsi="宋体" w:cs="宋体"/>
          <w:color w:val="000000" w:themeColor="text1"/>
          <w:sz w:val="21"/>
          <w:szCs w:val="21"/>
          <w:highlight w:val="none"/>
          <w:u w:val="single"/>
          <w:lang w:eastAsia="zh-CN"/>
          <w14:textFill>
            <w14:solidFill>
              <w14:schemeClr w14:val="tx1"/>
            </w14:solidFill>
          </w14:textFill>
        </w:rPr>
        <w:t>关于印发天等县政府性投资基本建设项目管理办法的通知</w:t>
      </w:r>
      <w:r>
        <w:rPr>
          <w:rFonts w:hint="eastAsia" w:ascii="宋体" w:hAnsi="宋体" w:eastAsia="宋体" w:cs="宋体"/>
          <w:color w:val="000000" w:themeColor="text1"/>
          <w:sz w:val="21"/>
          <w:szCs w:val="21"/>
          <w:highlight w:val="none"/>
          <w:u w:val="single"/>
          <w14:textFill>
            <w14:solidFill>
              <w14:schemeClr w14:val="tx1"/>
            </w14:solidFill>
          </w14:textFill>
        </w:rPr>
        <w:t>》天政办发〔2024】10号文件执行</w:t>
      </w:r>
      <w:r>
        <w:rPr>
          <w:rFonts w:hint="eastAsia" w:ascii="宋体" w:hAnsi="宋体" w:eastAsia="宋体" w:cs="宋体"/>
          <w:color w:val="000000" w:themeColor="text1"/>
          <w:sz w:val="21"/>
          <w:szCs w:val="21"/>
          <w:highlight w:val="none"/>
          <w14:textFill>
            <w14:solidFill>
              <w14:schemeClr w14:val="tx1"/>
            </w14:solidFill>
          </w14:textFill>
        </w:rPr>
        <w:t>。</w:t>
      </w:r>
    </w:p>
    <w:p w14:paraId="18EF970A">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15.3</w:t>
      </w:r>
      <w:r>
        <w:rPr>
          <w:rFonts w:hint="eastAsia" w:ascii="宋体" w:hAnsi="宋体" w:eastAsia="宋体" w:cs="宋体"/>
          <w:color w:val="000000" w:themeColor="text1"/>
          <w:sz w:val="21"/>
          <w:szCs w:val="21"/>
          <w:highlight w:val="none"/>
          <w14:textFill>
            <w14:solidFill>
              <w14:schemeClr w14:val="tx1"/>
            </w14:solidFill>
          </w14:textFill>
        </w:rPr>
        <w:t xml:space="preserve"> 变更程序</w:t>
      </w:r>
    </w:p>
    <w:p w14:paraId="6F17D084">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t>.3.1 政府及国有投资项目:</w:t>
      </w:r>
    </w:p>
    <w:p w14:paraId="3A1500D3">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设计变更和工程签证，按各市政府或相关部门的规定办理。属不可抗力(自然灾害、突发事件等)造成变更的，按特事特办原则予以办理。(2)当合同规定的合同价款调整情况发生后，承包人未在规定时间内通知发包人，或者未在规定时间内提出调整报告，发包人可以根据有关资料，决定是否调整和调整的金额，并书面通知承包人。</w:t>
      </w:r>
    </w:p>
    <w:p w14:paraId="1E6310AC">
      <w:pPr>
        <w:tabs>
          <w:tab w:val="left" w:pos="1080"/>
        </w:tabs>
        <w:spacing w:line="360" w:lineRule="auto"/>
        <w:ind w:firstLine="48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15.3.2</w:t>
      </w:r>
      <w:r>
        <w:rPr>
          <w:rFonts w:hint="eastAsia" w:ascii="宋体" w:hAnsi="宋体" w:eastAsia="宋体" w:cs="宋体"/>
          <w:color w:val="000000" w:themeColor="text1"/>
          <w:sz w:val="21"/>
          <w:szCs w:val="21"/>
          <w:highlight w:val="none"/>
          <w14:textFill>
            <w14:solidFill>
              <w14:schemeClr w14:val="tx1"/>
            </w14:solidFill>
          </w14:textFill>
        </w:rPr>
        <w:t xml:space="preserve"> 非国有投资项目:</w:t>
      </w:r>
      <w:r>
        <w:rPr>
          <w:rFonts w:hint="eastAsia" w:ascii="宋体" w:hAnsi="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451D2575">
      <w:pPr>
        <w:tabs>
          <w:tab w:val="left" w:pos="1080"/>
        </w:tabs>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15.4</w:t>
      </w:r>
      <w:r>
        <w:rPr>
          <w:rFonts w:hint="eastAsia" w:ascii="宋体" w:hAnsi="宋体" w:eastAsia="宋体" w:cs="宋体"/>
          <w:color w:val="000000" w:themeColor="text1"/>
          <w:sz w:val="21"/>
          <w:szCs w:val="21"/>
          <w:highlight w:val="none"/>
          <w14:textFill>
            <w14:solidFill>
              <w14:schemeClr w14:val="tx1"/>
            </w14:solidFill>
          </w14:textFill>
        </w:rPr>
        <w:t xml:space="preserve"> 变更估价</w:t>
      </w:r>
    </w:p>
    <w:p w14:paraId="55F3E8B1">
      <w:pPr>
        <w:tabs>
          <w:tab w:val="left" w:pos="1080"/>
        </w:tabs>
        <w:spacing w:line="360" w:lineRule="auto"/>
        <w:ind w:firstLine="480"/>
        <w:rPr>
          <w:rFonts w:hint="eastAsia" w:ascii="宋体" w:hAnsi="宋体" w:cs="宋体"/>
          <w:color w:val="000000" w:themeColor="text1"/>
          <w:sz w:val="21"/>
          <w:szCs w:val="21"/>
          <w:highlight w:val="none"/>
          <w:u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15.4.1</w:t>
      </w:r>
      <w:r>
        <w:rPr>
          <w:rFonts w:hint="eastAsia" w:ascii="宋体" w:hAnsi="宋体" w:eastAsia="宋体" w:cs="宋体"/>
          <w:color w:val="000000" w:themeColor="text1"/>
          <w:sz w:val="21"/>
          <w:szCs w:val="21"/>
          <w:highlight w:val="none"/>
          <w14:textFill>
            <w14:solidFill>
              <w14:schemeClr w14:val="tx1"/>
            </w14:solidFill>
          </w14:textFill>
        </w:rPr>
        <w:t xml:space="preserve"> 变更估价原则关于变更估价的约定:因分部分项工程量清单漏项、设计变更、相关签证引起工程项目、工程量任何变化的，变更合同价款按下列方法进行:(1)合同中已有相同清单项目的，按合同该清单项目价格进行计算:(2)合同中只有类似清单项目的，参照该类似清单项目价格进行计算;</w:t>
      </w:r>
      <w:r>
        <w:rPr>
          <w:rFonts w:hint="eastAsia" w:ascii="宋体" w:hAnsi="宋体" w:eastAsia="宋体" w:cs="宋体"/>
          <w:color w:val="000000" w:themeColor="text1"/>
          <w:sz w:val="21"/>
          <w:szCs w:val="21"/>
          <w:highlight w:val="none"/>
          <w:u w:val="single"/>
          <w14:textFill>
            <w14:solidFill>
              <w14:schemeClr w14:val="tx1"/>
            </w14:solidFill>
          </w14:textFill>
        </w:rPr>
        <w:t>(3)合同中没有使用或类似清单项目的价格计算方法:有定额的套定额(土石方工程除外)计算，其中材料价格按施工期间的《崇左市建设工程造价信息》相应价格信息进行计算:《崇左市建设工程造价信息》没有相应价格信息的按发包人审定的市场价计算，并乘以下浮后系数(中标价/工程招标控制价):无定额可套的，双方根据市场价格协商确定综合价格，并乘以下浮后系数(中标价/工程招标控制价)计算。新增项目的综合单价必须经发包人审计部门审定</w:t>
      </w:r>
      <w:r>
        <w:rPr>
          <w:rFonts w:hint="eastAsia" w:ascii="宋体" w:hAnsi="宋体" w:cs="宋体"/>
          <w:color w:val="000000" w:themeColor="text1"/>
          <w:sz w:val="21"/>
          <w:szCs w:val="21"/>
          <w:highlight w:val="none"/>
          <w:u w:val="none"/>
          <w:lang w:eastAsia="zh-CN"/>
          <w14:textFill>
            <w14:solidFill>
              <w14:schemeClr w14:val="tx1"/>
            </w14:solidFill>
          </w14:textFill>
        </w:rPr>
        <w:t>。</w:t>
      </w:r>
    </w:p>
    <w:p w14:paraId="3A9E594B">
      <w:pPr>
        <w:tabs>
          <w:tab w:val="left" w:pos="1080"/>
        </w:tabs>
        <w:spacing w:line="360" w:lineRule="auto"/>
        <w:ind w:firstLine="480"/>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cs="宋体"/>
          <w:bCs w:val="0"/>
          <w:color w:val="000000" w:themeColor="text1"/>
          <w:sz w:val="21"/>
          <w:szCs w:val="21"/>
          <w:highlight w:val="none"/>
          <w:lang w:val="en-US" w:eastAsia="zh-CN" w:bidi="hi-IN"/>
          <w14:textFill>
            <w14:solidFill>
              <w14:schemeClr w14:val="tx1"/>
            </w14:solidFill>
          </w14:textFill>
        </w:rPr>
        <w:t>15.5</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 承包人的合理化建议</w:t>
      </w:r>
    </w:p>
    <w:p w14:paraId="376732B7">
      <w:pPr>
        <w:tabs>
          <w:tab w:val="left" w:pos="1080"/>
        </w:tabs>
        <w:spacing w:line="360" w:lineRule="auto"/>
        <w:ind w:firstLine="480"/>
        <w:rPr>
          <w:rFonts w:hint="eastAsia" w:ascii="宋体" w:hAnsi="宋体" w:cs="宋体"/>
          <w:bCs w:val="0"/>
          <w:color w:val="000000" w:themeColor="text1"/>
          <w:sz w:val="21"/>
          <w:szCs w:val="21"/>
          <w:highlight w:val="none"/>
          <w:u w:val="singl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监理人审查承包人合理化建议的期限: </w:t>
      </w:r>
      <w:r>
        <w:rPr>
          <w:rFonts w:hint="eastAsia" w:ascii="宋体" w:hAnsi="宋体" w:eastAsia="宋体" w:cs="宋体"/>
          <w:bCs w:val="0"/>
          <w:color w:val="000000" w:themeColor="text1"/>
          <w:sz w:val="21"/>
          <w:szCs w:val="21"/>
          <w:highlight w:val="none"/>
          <w:u w:val="single"/>
          <w:lang w:val="en-US" w:eastAsia="zh-CN" w:bidi="hi-IN"/>
          <w14:textFill>
            <w14:solidFill>
              <w14:schemeClr w14:val="tx1"/>
            </w14:solidFill>
          </w14:textFill>
        </w:rPr>
        <w:t>监理人应在收到承包人提交的合理化建议后7天内审查完毕并报送发包人</w:t>
      </w:r>
      <w:r>
        <w:rPr>
          <w:rFonts w:hint="eastAsia" w:ascii="宋体" w:hAnsi="宋体" w:cs="宋体"/>
          <w:bCs w:val="0"/>
          <w:color w:val="000000" w:themeColor="text1"/>
          <w:sz w:val="21"/>
          <w:szCs w:val="21"/>
          <w:highlight w:val="none"/>
          <w:u w:val="single"/>
          <w:lang w:val="en-US" w:eastAsia="zh-CN" w:bidi="hi-IN"/>
          <w14:textFill>
            <w14:solidFill>
              <w14:schemeClr w14:val="tx1"/>
            </w14:solidFill>
          </w14:textFill>
        </w:rPr>
        <w:t>。</w:t>
      </w:r>
    </w:p>
    <w:p w14:paraId="1806115E">
      <w:pPr>
        <w:tabs>
          <w:tab w:val="left" w:pos="1080"/>
        </w:tabs>
        <w:spacing w:line="360" w:lineRule="auto"/>
        <w:ind w:firstLine="480"/>
        <w:rPr>
          <w:rFonts w:hint="eastAsia" w:ascii="宋体" w:hAnsi="宋体" w:eastAsia="宋体" w:cs="宋体"/>
          <w:bCs w:val="0"/>
          <w:color w:val="000000" w:themeColor="text1"/>
          <w:sz w:val="21"/>
          <w:szCs w:val="21"/>
          <w:highlight w:val="none"/>
          <w:u w:val="singl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发包人审批承包人合理化建议的期限: </w:t>
      </w:r>
      <w:r>
        <w:rPr>
          <w:rFonts w:hint="eastAsia" w:ascii="宋体" w:hAnsi="宋体" w:eastAsia="宋体" w:cs="宋体"/>
          <w:bCs w:val="0"/>
          <w:color w:val="000000" w:themeColor="text1"/>
          <w:sz w:val="21"/>
          <w:szCs w:val="21"/>
          <w:highlight w:val="none"/>
          <w:u w:val="single"/>
          <w:lang w:val="en-US" w:eastAsia="zh-CN" w:bidi="hi-IN"/>
          <w14:textFill>
            <w14:solidFill>
              <w14:schemeClr w14:val="tx1"/>
            </w14:solidFill>
          </w14:textFill>
        </w:rPr>
        <w:t>发包人应在收到监理人报送的合理化建议后7天内审批完毕</w:t>
      </w:r>
      <w:r>
        <w:rPr>
          <w:rFonts w:hint="eastAsia" w:ascii="宋体" w:hAnsi="宋体" w:cs="宋体"/>
          <w:bCs w:val="0"/>
          <w:color w:val="000000" w:themeColor="text1"/>
          <w:sz w:val="21"/>
          <w:szCs w:val="21"/>
          <w:highlight w:val="none"/>
          <w:u w:val="none"/>
          <w:lang w:val="en-US" w:eastAsia="zh-CN" w:bidi="hi-IN"/>
          <w14:textFill>
            <w14:solidFill>
              <w14:schemeClr w14:val="tx1"/>
            </w14:solidFill>
          </w14:textFill>
        </w:rPr>
        <w:t>。</w:t>
      </w:r>
    </w:p>
    <w:p w14:paraId="118485F6">
      <w:pPr>
        <w:pStyle w:val="2"/>
        <w:spacing w:line="360" w:lineRule="auto"/>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承包人提出的合理化建议降低了合同价格或者提高了工程经济效益的奖励的方法和金额为:</w:t>
      </w:r>
      <w:r>
        <w:rPr>
          <w:rFonts w:hint="eastAsia" w:ascii="宋体" w:hAnsi="宋体" w:eastAsia="宋体" w:cs="宋体"/>
          <w:bCs w:val="0"/>
          <w:color w:val="000000" w:themeColor="text1"/>
          <w:sz w:val="21"/>
          <w:szCs w:val="21"/>
          <w:highlight w:val="none"/>
          <w:u w:val="single"/>
          <w:lang w:val="en-US" w:eastAsia="zh-CN" w:bidi="hi-IN"/>
          <w14:textFill>
            <w14:solidFill>
              <w14:schemeClr w14:val="tx1"/>
            </w14:solidFill>
          </w14:textFill>
        </w:rPr>
        <w:t>在保证工程质量和进度的前提下，发包人鼓励承包人提出合理合法建议，但本工程不设实现合理化建议奖金</w:t>
      </w:r>
      <w:r>
        <w:rPr>
          <w:rFonts w:hint="eastAsia" w:ascii="宋体" w:hAnsi="宋体" w:cs="宋体"/>
          <w:bCs w:val="0"/>
          <w:color w:val="000000" w:themeColor="text1"/>
          <w:sz w:val="21"/>
          <w:szCs w:val="21"/>
          <w:highlight w:val="none"/>
          <w:lang w:val="en-US" w:eastAsia="zh-CN" w:bidi="hi-IN"/>
          <w14:textFill>
            <w14:solidFill>
              <w14:schemeClr w14:val="tx1"/>
            </w14:solidFill>
          </w14:textFill>
        </w:rPr>
        <w:t>。</w:t>
      </w:r>
    </w:p>
    <w:p w14:paraId="0439D050">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cs="宋体"/>
          <w:bCs w:val="0"/>
          <w:color w:val="000000" w:themeColor="text1"/>
          <w:sz w:val="21"/>
          <w:szCs w:val="21"/>
          <w:highlight w:val="none"/>
          <w:lang w:val="en-US" w:eastAsia="zh-CN" w:bidi="hi-IN"/>
          <w14:textFill>
            <w14:solidFill>
              <w14:schemeClr w14:val="tx1"/>
            </w14:solidFill>
          </w14:textFill>
        </w:rPr>
        <w:t>15.6</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 暂估价</w:t>
      </w:r>
    </w:p>
    <w:p w14:paraId="21B3022B">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暂估价材料和工程设备的明细详见已标价工程量清单《材料(工程设备)暂估价格及调整表和《专业工程暂估价表》</w:t>
      </w:r>
      <w:r>
        <w:rPr>
          <w:rFonts w:hint="eastAsia" w:ascii="宋体" w:hAnsi="宋体" w:cs="宋体"/>
          <w:bCs w:val="0"/>
          <w:color w:val="000000" w:themeColor="text1"/>
          <w:sz w:val="21"/>
          <w:szCs w:val="21"/>
          <w:highlight w:val="none"/>
          <w:lang w:val="en-US" w:eastAsia="zh-CN" w:bidi="hi-IN"/>
          <w14:textFill>
            <w14:solidFill>
              <w14:schemeClr w14:val="tx1"/>
            </w14:solidFill>
          </w14:textFill>
        </w:rPr>
        <w:t>。</w:t>
      </w:r>
    </w:p>
    <w:p w14:paraId="08E895BD">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cs="宋体"/>
          <w:bCs w:val="0"/>
          <w:color w:val="000000" w:themeColor="text1"/>
          <w:sz w:val="21"/>
          <w:szCs w:val="21"/>
          <w:highlight w:val="none"/>
          <w:lang w:val="en-US" w:eastAsia="zh-CN" w:bidi="hi-IN"/>
          <w14:textFill>
            <w14:solidFill>
              <w14:schemeClr w14:val="tx1"/>
            </w14:solidFill>
          </w14:textFill>
        </w:rPr>
        <w:t>15.6</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.1 依法必须招标的暂估价项目</w:t>
      </w:r>
    </w:p>
    <w:p w14:paraId="2A95C4F2">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对于依法必须招标的暂估价项目的确认和批准采取第</w:t>
      </w:r>
      <w:r>
        <w:rPr>
          <w:rFonts w:hint="eastAsia" w:ascii="宋体" w:hAnsi="宋体" w:eastAsia="宋体" w:cs="宋体"/>
          <w:bCs w:val="0"/>
          <w:color w:val="000000" w:themeColor="text1"/>
          <w:sz w:val="21"/>
          <w:szCs w:val="21"/>
          <w:highlight w:val="none"/>
          <w:u w:val="single"/>
          <w:lang w:val="en-US" w:eastAsia="zh-CN" w:bidi="hi-IN"/>
          <w14:textFill>
            <w14:solidFill>
              <w14:schemeClr w14:val="tx1"/>
            </w14:solidFill>
          </w14:textFill>
        </w:rPr>
        <w:t xml:space="preserve"> 1 </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种方式确定。</w:t>
      </w:r>
    </w:p>
    <w:p w14:paraId="449CA49C">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cs="宋体"/>
          <w:bCs w:val="0"/>
          <w:color w:val="000000" w:themeColor="text1"/>
          <w:sz w:val="21"/>
          <w:szCs w:val="21"/>
          <w:highlight w:val="none"/>
          <w:lang w:val="en-US" w:eastAsia="zh-CN" w:bidi="hi-IN"/>
          <w14:textFill>
            <w14:solidFill>
              <w14:schemeClr w14:val="tx1"/>
            </w14:solidFill>
          </w14:textFill>
        </w:rPr>
        <w:t>15.6.2</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 不属于依法必须招标的暂估价项目</w:t>
      </w:r>
    </w:p>
    <w:p w14:paraId="4B538D3B">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对于不属于依法必须招标的暂估价项目的确认和批准采取第</w:t>
      </w:r>
      <w:r>
        <w:rPr>
          <w:rFonts w:hint="eastAsia" w:ascii="宋体" w:hAnsi="宋体" w:cs="宋体"/>
          <w:bCs w:val="0"/>
          <w:color w:val="000000" w:themeColor="text1"/>
          <w:sz w:val="21"/>
          <w:szCs w:val="21"/>
          <w:highlight w:val="none"/>
          <w:u w:val="single"/>
          <w:lang w:val="en-US" w:eastAsia="zh-CN" w:bidi="hi-IN"/>
          <w14:textFill>
            <w14:solidFill>
              <w14:schemeClr w14:val="tx1"/>
            </w14:solidFill>
          </w14:textFill>
        </w:rPr>
        <w:t xml:space="preserve"> 3 </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种方式确定。</w:t>
      </w:r>
    </w:p>
    <w:p w14:paraId="6D746270">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第3种方式:承包人直接实施的暂估价项目</w:t>
      </w:r>
    </w:p>
    <w:p w14:paraId="328771C6">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承包人直接实施的暂估价项目的约定:</w:t>
      </w:r>
      <w:r>
        <w:rPr>
          <w:rFonts w:hint="eastAsia" w:ascii="宋体" w:hAnsi="宋体" w:cs="宋体"/>
          <w:bCs w:val="0"/>
          <w:color w:val="000000" w:themeColor="text1"/>
          <w:sz w:val="21"/>
          <w:szCs w:val="21"/>
          <w:highlight w:val="none"/>
          <w:u w:val="single"/>
          <w:lang w:val="en-US" w:eastAsia="zh-CN" w:bidi="hi-IN"/>
          <w14:textFill>
            <w14:solidFill>
              <w14:schemeClr w14:val="tx1"/>
            </w14:solidFill>
          </w14:textFill>
        </w:rPr>
        <w:t>/</w:t>
      </w:r>
      <w:r>
        <w:rPr>
          <w:rFonts w:hint="eastAsia" w:ascii="宋体" w:hAnsi="宋体" w:cs="宋体"/>
          <w:bCs w:val="0"/>
          <w:color w:val="000000" w:themeColor="text1"/>
          <w:sz w:val="21"/>
          <w:szCs w:val="21"/>
          <w:highlight w:val="none"/>
          <w:lang w:val="en-US" w:eastAsia="zh-CN" w:bidi="hi-IN"/>
          <w14:textFill>
            <w14:solidFill>
              <w14:schemeClr w14:val="tx1"/>
            </w14:solidFill>
          </w14:textFill>
        </w:rPr>
        <w:t>。</w:t>
      </w:r>
    </w:p>
    <w:p w14:paraId="53243D8A">
      <w:pPr>
        <w:pStyle w:val="2"/>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pPr>
      <w:r>
        <w:rPr>
          <w:rFonts w:hint="eastAsia" w:ascii="宋体" w:hAnsi="宋体" w:cs="宋体"/>
          <w:bCs w:val="0"/>
          <w:color w:val="000000" w:themeColor="text1"/>
          <w:sz w:val="21"/>
          <w:szCs w:val="21"/>
          <w:highlight w:val="none"/>
          <w:lang w:val="en-US" w:eastAsia="zh-CN" w:bidi="hi-IN"/>
          <w14:textFill>
            <w14:solidFill>
              <w14:schemeClr w14:val="tx1"/>
            </w14:solidFill>
          </w14:textFill>
        </w:rPr>
        <w:t>15.7</w:t>
      </w:r>
      <w:r>
        <w:rPr>
          <w:rFonts w:hint="eastAsia" w:ascii="宋体" w:hAnsi="宋体" w:eastAsia="宋体" w:cs="宋体"/>
          <w:bCs w:val="0"/>
          <w:color w:val="000000" w:themeColor="text1"/>
          <w:sz w:val="21"/>
          <w:szCs w:val="21"/>
          <w:highlight w:val="none"/>
          <w:lang w:val="en-US" w:eastAsia="zh-CN" w:bidi="hi-IN"/>
          <w14:textFill>
            <w14:solidFill>
              <w14:schemeClr w14:val="tx1"/>
            </w14:solidFill>
          </w14:textFill>
        </w:rPr>
        <w:t xml:space="preserve"> 暂列金额</w:t>
      </w:r>
    </w:p>
    <w:p w14:paraId="04D0C541">
      <w:pPr>
        <w:tabs>
          <w:tab w:val="left" w:pos="1080"/>
        </w:tabs>
        <w:spacing w:line="300" w:lineRule="auto"/>
        <w:ind w:firstLine="480"/>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16 </w:t>
      </w:r>
      <w:r>
        <w:rPr>
          <w:rFonts w:hint="eastAsia" w:ascii="宋体" w:hAnsi="宋体" w:eastAsia="宋体" w:cs="宋体"/>
          <w:color w:val="000000" w:themeColor="text1"/>
          <w:sz w:val="21"/>
          <w:szCs w:val="21"/>
          <w:highlight w:val="none"/>
          <w14:textFill>
            <w14:solidFill>
              <w14:schemeClr w14:val="tx1"/>
            </w14:solidFill>
          </w14:textFill>
        </w:rPr>
        <w:t>价格调整</w:t>
      </w:r>
    </w:p>
    <w:p w14:paraId="2EC1694A">
      <w:pPr>
        <w:pStyle w:val="7"/>
        <w:spacing w:before="120" w:after="120" w:line="300" w:lineRule="auto"/>
        <w:ind w:left="0" w:firstLine="56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(1)单价合同。</w:t>
      </w:r>
    </w:p>
    <w:p w14:paraId="71BA966B">
      <w:pPr>
        <w:pStyle w:val="7"/>
        <w:spacing w:before="120" w:after="120" w:line="300" w:lineRule="auto"/>
        <w:ind w:left="0" w:firstLine="56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本合同价款采用固定综合单价方式确定。</w:t>
      </w:r>
    </w:p>
    <w:p w14:paraId="4FBD47BB">
      <w:pPr>
        <w:pStyle w:val="7"/>
        <w:spacing w:before="120" w:after="120" w:line="300" w:lineRule="auto"/>
        <w:ind w:left="0" w:firstLine="562"/>
        <w:rPr>
          <w:rFonts w:hint="eastAsia" w:ascii="宋体" w:hAnsi="宋体" w:eastAsia="宋体" w:cs="宋体"/>
          <w:color w:val="000000" w:themeColor="text1"/>
          <w:sz w:val="21"/>
          <w:szCs w:val="21"/>
          <w:highlight w:val="none"/>
          <w:u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综合单价包含的风险范围:</w:t>
      </w:r>
      <w:r>
        <w:rPr>
          <w:rFonts w:hint="eastAsia" w:ascii="宋体" w:hAnsi="宋体" w:eastAsia="宋体" w:cs="宋体"/>
          <w:color w:val="000000" w:themeColor="text1"/>
          <w:sz w:val="21"/>
          <w:szCs w:val="21"/>
          <w:highlight w:val="none"/>
          <w:u w:val="single"/>
          <w14:textFill>
            <w14:solidFill>
              <w14:schemeClr w14:val="tx1"/>
            </w14:solidFill>
          </w14:textFill>
        </w:rPr>
        <w:t>除工程变更、政策性调整、《承包人提供主要材料和设备一览表》约定的材料、设备价格变动风险以外因素</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p>
    <w:p w14:paraId="0E6A4B83">
      <w:pPr>
        <w:rPr>
          <w:rFonts w:hint="default"/>
          <w:lang w:val="en-US" w:eastAsia="zh-CN"/>
        </w:rPr>
      </w:pPr>
      <w:r>
        <w:rPr>
          <w:rFonts w:hint="eastAsia" w:ascii="宋体" w:hAnsi="宋体" w:cs="宋体"/>
          <w:color w:val="000000" w:themeColor="text1"/>
          <w:sz w:val="21"/>
          <w:szCs w:val="21"/>
          <w:highlight w:val="none"/>
          <w:u w:val="none"/>
          <w:lang w:val="en-US" w:eastAsia="zh-CN"/>
          <w14:textFill>
            <w14:solidFill>
              <w14:schemeClr w14:val="tx1"/>
            </w14:solidFill>
          </w14:textFill>
        </w:rPr>
        <w:t xml:space="preserve">     本合同除政策性调整外，合同单价不作调整。</w:t>
      </w:r>
    </w:p>
    <w:p w14:paraId="032F8D86">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17.2预付款</w:t>
      </w:r>
    </w:p>
    <w:p w14:paraId="17B6EA22">
      <w:pPr>
        <w:pStyle w:val="7"/>
        <w:spacing w:before="120" w:after="120" w:line="360" w:lineRule="auto"/>
        <w:ind w:left="0" w:firstLine="56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开工预付款在经审核认定的累计完成工程量未达到签约合同价的30%之前不予扣回。</w:t>
      </w:r>
    </w:p>
    <w:p w14:paraId="4ED1766B">
      <w:pPr>
        <w:pStyle w:val="7"/>
        <w:spacing w:before="120" w:after="120" w:line="360" w:lineRule="auto"/>
        <w:ind w:left="0" w:firstLine="5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在经审核认定的累计完成工程量达到签约合同价30%之后，开始按工程进度以固定比例分期扣回，即累计完成工程量每增加1%，扣回开工预付款总额的2%，全部金额在经审核认定的累计完成工程量达到签约合同价的80%时扣完。如无期中计量的，则在结算时予以一次性扣回全部开工预付款</w:t>
      </w:r>
      <w:r>
        <w:rPr>
          <w:rFonts w:hint="eastAsia" w:ascii="宋体" w:hAnsi="宋体" w:eastAsia="宋体" w:cs="宋体"/>
          <w:color w:val="auto"/>
          <w:sz w:val="21"/>
          <w:szCs w:val="21"/>
          <w:highlight w:val="none"/>
        </w:rPr>
        <w:t>。</w:t>
      </w:r>
    </w:p>
    <w:p w14:paraId="3B1EAF3D">
      <w:pPr>
        <w:pStyle w:val="7"/>
        <w:spacing w:before="120" w:after="120" w:line="360" w:lineRule="auto"/>
        <w:ind w:left="0" w:firstLine="5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17.3工程进度付款</w:t>
      </w:r>
    </w:p>
    <w:p w14:paraId="2B70C4B2">
      <w:pPr>
        <w:pStyle w:val="7"/>
        <w:spacing w:before="120" w:after="120" w:line="360" w:lineRule="auto"/>
        <w:ind w:left="0" w:firstLine="562"/>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在项目竣工结算前，合同内工程进度款按经审核认定的已完成工程量的80%计量支付；合同外工程进度款按经审核认定的已完成工程量的70%计量支付。发包人应在收到承包人提交的有效发票及完整付款申请资料后</w:t>
      </w:r>
      <w:r>
        <w:rPr>
          <w:rFonts w:hint="default" w:ascii="宋体" w:hAnsi="宋体" w:eastAsia="宋体" w:cs="宋体"/>
          <w:color w:val="auto"/>
          <w:sz w:val="21"/>
          <w:szCs w:val="21"/>
          <w:highlight w:val="none"/>
        </w:rPr>
        <w:t>10个工作日内完成支付。</w:t>
      </w:r>
    </w:p>
    <w:p w14:paraId="14157B67">
      <w:pPr>
        <w:pStyle w:val="7"/>
        <w:spacing w:before="120" w:after="120" w:line="360" w:lineRule="auto"/>
        <w:ind w:left="0" w:firstLine="56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工程完工验收合格，并经相关机构结算审定后，支付工程价款结算总额的97%，按审计部门审定的结算造价金额预留3%作为工程质保金。发包人应在收到承包人提交的有效发票及完整结算资料后</w:t>
      </w:r>
      <w:r>
        <w:rPr>
          <w:rFonts w:hint="default" w:ascii="宋体" w:hAnsi="宋体" w:eastAsia="宋体" w:cs="宋体"/>
          <w:color w:val="auto"/>
          <w:sz w:val="21"/>
          <w:szCs w:val="21"/>
          <w:highlight w:val="none"/>
        </w:rPr>
        <w:t>10个工作日内完成支付，扣除预付款项和已付进度款项后一次性结清剩余工程款。</w:t>
      </w:r>
    </w:p>
    <w:p w14:paraId="457A0195">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18.9 竣工文件</w:t>
      </w:r>
    </w:p>
    <w:p w14:paraId="08DD4725">
      <w:pPr>
        <w:tabs>
          <w:tab w:val="left" w:pos="1080"/>
        </w:tabs>
        <w:spacing w:line="300" w:lineRule="auto"/>
        <w:ind w:firstLine="482"/>
        <w:rPr>
          <w:rFonts w:ascii="宋体" w:hAnsi="宋体" w:cs="宋体"/>
          <w:color w:val="000000" w:themeColor="text1"/>
          <w:sz w:val="21"/>
          <w:szCs w:val="21"/>
          <w:highlight w:val="none"/>
          <w14:textFill>
            <w14:solidFill>
              <w14:schemeClr w14:val="tx1"/>
            </w14:solidFill>
          </w14:textFill>
        </w:rPr>
      </w:pPr>
      <w:r>
        <w:rPr>
          <w:rStyle w:val="67"/>
          <w:rFonts w:cs="宋体"/>
          <w:color w:val="000000" w:themeColor="text1"/>
          <w:sz w:val="21"/>
          <w:szCs w:val="21"/>
          <w:highlight w:val="none"/>
          <w14:textFill>
            <w14:solidFill>
              <w14:schemeClr w14:val="tx1"/>
            </w14:solidFill>
          </w14:textFill>
        </w:rPr>
        <w:t xml:space="preserve">   </w:t>
      </w:r>
      <w:r>
        <w:rPr>
          <w:rFonts w:ascii="宋体" w:hAnsi="宋体" w:cs="宋体"/>
          <w:color w:val="000000" w:themeColor="text1"/>
          <w:sz w:val="21"/>
          <w:szCs w:val="21"/>
          <w:highlight w:val="none"/>
          <w14:textFill>
            <w14:solidFill>
              <w14:schemeClr w14:val="tx1"/>
            </w14:solidFill>
          </w14:textFill>
        </w:rPr>
        <w:t>工程竣工文件的立卷归档按交通部《公路工程竣工文件材料立卷归档管理办法》（交办发[2010]382号）和广西壮族自治区公路管理局《广西公路网建设工程档案验收办法》执行。</w:t>
      </w:r>
    </w:p>
    <w:p w14:paraId="05170444">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20.1 工程保险</w:t>
      </w:r>
    </w:p>
    <w:p w14:paraId="67801081">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建筑工程一切险的投保内容：为本合同工程的永久工程、临时工程和设备及已运至施工工地用于永久工程的材料和设备所投的保险。 </w:t>
      </w:r>
    </w:p>
    <w:p w14:paraId="2638AA5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保险期限：开工日起直至本合同工程签发缺陷责任期终止证书止（即合同工期＋缺陷责任期）。 </w:t>
      </w:r>
    </w:p>
    <w:p w14:paraId="098235E7">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承包人应以发包人和承包人的共同名义投保建筑工程一切险。</w:t>
      </w:r>
    </w:p>
    <w:p w14:paraId="4E1B3308">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20.2 人员工伤事故的保险</w:t>
      </w:r>
    </w:p>
    <w:p w14:paraId="4771876A">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20.2.1 承包人员工伤事故的保险</w:t>
      </w:r>
    </w:p>
    <w:p w14:paraId="5B6BE317">
      <w:pPr>
        <w:tabs>
          <w:tab w:val="left" w:pos="1080"/>
        </w:tabs>
        <w:spacing w:line="300" w:lineRule="auto"/>
        <w:ind w:firstLine="480"/>
        <w:rPr>
          <w:rStyle w:val="67"/>
          <w:rFonts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增加内容：</w:t>
      </w:r>
    </w:p>
    <w:p w14:paraId="63C70847">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办理保险的一切费用均由承包人承担，并包括在工程量清单的单价及总额价中，发包人不单独支付。</w:t>
      </w:r>
    </w:p>
    <w:p w14:paraId="0CE6B4A2">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20.3 人身意外伤害险</w:t>
      </w:r>
    </w:p>
    <w:p w14:paraId="5B93DBEC">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20.3.2 承包人应在整个施工期间为其现场机构雇用的全部人员，投保人身意外伤害险，缴纳保险费，并要求其分包人也进行此项保险。办理保险的一切费用均由承包人承担，并包括在工程量清单的单价及总额价中，发包人不单独支付。</w:t>
      </w:r>
    </w:p>
    <w:p w14:paraId="3F2B8574">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其中：人身意外伤害险每位被保险人的最低保险金额为</w:t>
      </w:r>
      <w:r>
        <w:rPr>
          <w:rFonts w:ascii="宋体" w:hAnsi="宋体" w:cs="宋体"/>
          <w:b/>
          <w:color w:val="000000" w:themeColor="text1"/>
          <w:sz w:val="21"/>
          <w:szCs w:val="21"/>
          <w:highlight w:val="none"/>
          <w14:textFill>
            <w14:solidFill>
              <w14:schemeClr w14:val="tx1"/>
            </w14:solidFill>
          </w14:textFill>
        </w:rPr>
        <w:t>50万元</w:t>
      </w:r>
      <w:r>
        <w:rPr>
          <w:rFonts w:ascii="宋体" w:hAnsi="宋体" w:cs="宋体"/>
          <w:color w:val="000000" w:themeColor="text1"/>
          <w:sz w:val="21"/>
          <w:szCs w:val="21"/>
          <w:highlight w:val="none"/>
          <w14:textFill>
            <w14:solidFill>
              <w14:schemeClr w14:val="tx1"/>
            </w14:solidFill>
          </w14:textFill>
        </w:rPr>
        <w:t>人民币，附加意外伤害险医疗险的保险金额为</w:t>
      </w:r>
      <w:r>
        <w:rPr>
          <w:rFonts w:ascii="宋体" w:hAnsi="宋体" w:cs="宋体"/>
          <w:b/>
          <w:color w:val="000000" w:themeColor="text1"/>
          <w:sz w:val="21"/>
          <w:szCs w:val="21"/>
          <w:highlight w:val="none"/>
          <w14:textFill>
            <w14:solidFill>
              <w14:schemeClr w14:val="tx1"/>
            </w14:solidFill>
          </w14:textFill>
        </w:rPr>
        <w:t>5万元</w:t>
      </w:r>
      <w:r>
        <w:rPr>
          <w:rFonts w:ascii="宋体" w:hAnsi="宋体" w:cs="宋体"/>
          <w:color w:val="000000" w:themeColor="text1"/>
          <w:sz w:val="21"/>
          <w:szCs w:val="21"/>
          <w:highlight w:val="none"/>
          <w14:textFill>
            <w14:solidFill>
              <w14:schemeClr w14:val="tx1"/>
            </w14:solidFill>
          </w14:textFill>
        </w:rPr>
        <w:t>人民币。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w:t>
      </w:r>
    </w:p>
    <w:p w14:paraId="62218C46">
      <w:pPr>
        <w:tabs>
          <w:tab w:val="left" w:pos="1080"/>
        </w:tabs>
        <w:spacing w:line="300" w:lineRule="auto"/>
        <w:ind w:firstLine="480"/>
        <w:rPr>
          <w:rStyle w:val="67"/>
          <w:rFonts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施工合同签订后工程开工前</w:t>
      </w:r>
      <w:r>
        <w:rPr>
          <w:rFonts w:ascii="宋体" w:hAnsi="宋体" w:cs="宋体"/>
          <w:b/>
          <w:color w:val="000000" w:themeColor="text1"/>
          <w:sz w:val="21"/>
          <w:szCs w:val="21"/>
          <w:highlight w:val="none"/>
          <w14:textFill>
            <w14:solidFill>
              <w14:schemeClr w14:val="tx1"/>
            </w14:solidFill>
          </w14:textFill>
        </w:rPr>
        <w:t>15</w:t>
      </w:r>
      <w:r>
        <w:rPr>
          <w:rFonts w:ascii="宋体" w:hAnsi="宋体" w:cs="宋体"/>
          <w:color w:val="000000" w:themeColor="text1"/>
          <w:sz w:val="21"/>
          <w:szCs w:val="21"/>
          <w:highlight w:val="none"/>
          <w14:textFill>
            <w14:solidFill>
              <w14:schemeClr w14:val="tx1"/>
            </w14:solidFill>
          </w14:textFill>
        </w:rPr>
        <w:t>日，承包人必须按有关规定与保险公司签订人身意外伤害险和附加意外伤害医疗险以及其他需要投保的保险的保险合同。</w:t>
      </w:r>
    </w:p>
    <w:p w14:paraId="1AF2233B">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20.4  第三者责任险</w:t>
      </w:r>
    </w:p>
    <w:p w14:paraId="505D89BD">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修改20.4.2款为：第三者责任险由承包人以承包人与项目法人的名义联名投保，保险费由承包人承担并支付，</w:t>
      </w:r>
      <w:r>
        <w:rPr>
          <w:rFonts w:hint="eastAsia" w:ascii="宋体" w:hAnsi="宋体" w:cs="宋体"/>
          <w:color w:val="000000" w:themeColor="text1"/>
          <w:sz w:val="21"/>
          <w:szCs w:val="21"/>
          <w:highlight w:val="none"/>
          <w:lang w:eastAsia="zh-CN"/>
          <w14:textFill>
            <w14:solidFill>
              <w14:schemeClr w14:val="tx1"/>
            </w14:solidFill>
          </w14:textFill>
        </w:rPr>
        <w:t>投标人</w:t>
      </w:r>
      <w:r>
        <w:rPr>
          <w:rFonts w:ascii="宋体" w:hAnsi="宋体" w:cs="宋体"/>
          <w:color w:val="000000" w:themeColor="text1"/>
          <w:sz w:val="21"/>
          <w:szCs w:val="21"/>
          <w:highlight w:val="none"/>
          <w14:textFill>
            <w14:solidFill>
              <w14:schemeClr w14:val="tx1"/>
            </w14:solidFill>
          </w14:textFill>
        </w:rPr>
        <w:t>应在所报的单价或总额价中对该保险费予以考虑，发包人不单独进行计量与支付。</w:t>
      </w:r>
    </w:p>
    <w:p w14:paraId="3027083E">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21.1不可抗力的确认</w:t>
      </w:r>
    </w:p>
    <w:p w14:paraId="54FE100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公路工程专用合同条款21. 1款</w:t>
      </w:r>
    </w:p>
    <w:p w14:paraId="51AC8F0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21.1.1  (6）项目专用合同条款约定的其他情形：</w:t>
      </w:r>
      <w:r>
        <w:rPr>
          <w:rFonts w:ascii="宋体" w:hAnsi="宋体" w:cs="宋体"/>
          <w:color w:val="000000" w:themeColor="text1"/>
          <w:sz w:val="21"/>
          <w:szCs w:val="21"/>
          <w:highlight w:val="none"/>
          <w:u w:val="single"/>
          <w14:textFill>
            <w14:solidFill>
              <w14:schemeClr w14:val="tx1"/>
            </w14:solidFill>
          </w14:textFill>
        </w:rPr>
        <w:t xml:space="preserve">   /  </w:t>
      </w:r>
      <w:r>
        <w:rPr>
          <w:rFonts w:hint="eastAsia" w:ascii="宋体" w:hAnsi="宋体" w:cs="宋体"/>
          <w:color w:val="000000" w:themeColor="text1"/>
          <w:sz w:val="21"/>
          <w:szCs w:val="21"/>
          <w:highlight w:val="none"/>
          <w:u w:val="none"/>
          <w:lang w:eastAsia="zh-CN"/>
          <w14:textFill>
            <w14:solidFill>
              <w14:schemeClr w14:val="tx1"/>
            </w14:solidFill>
          </w14:textFill>
        </w:rPr>
        <w:t>。</w:t>
      </w:r>
      <w:r>
        <w:rPr>
          <w:rFonts w:ascii="宋体" w:hAnsi="宋体" w:cs="宋体"/>
          <w:color w:val="000000" w:themeColor="text1"/>
          <w:sz w:val="21"/>
          <w:szCs w:val="21"/>
          <w:highlight w:val="none"/>
          <w14:textFill>
            <w14:solidFill>
              <w14:schemeClr w14:val="tx1"/>
            </w14:solidFill>
          </w14:textFill>
        </w:rPr>
        <w:t xml:space="preserve"> </w:t>
      </w:r>
    </w:p>
    <w:p w14:paraId="317A072E">
      <w:pPr>
        <w:pStyle w:val="7"/>
        <w:spacing w:before="120" w:after="120" w:line="300" w:lineRule="auto"/>
        <w:ind w:left="0" w:firstLine="562"/>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22.1  承包人违约</w:t>
      </w:r>
    </w:p>
    <w:p w14:paraId="4C19E06C">
      <w:pPr>
        <w:spacing w:line="300" w:lineRule="auto"/>
        <w:ind w:firstLine="278" w:firstLineChars="132"/>
        <w:rPr>
          <w:rFonts w:ascii="宋体" w:hAnsi="宋体" w:cs="宋体"/>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22.1.1承包人违约的情形</w:t>
      </w:r>
    </w:p>
    <w:p w14:paraId="67BAF267">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(1)承包人违反第1.8款或第4.3款的约定，私自将合同的全部或部分权利转让给其他人，或私自将合同的全部或部分义务转移给其他人；</w:t>
      </w:r>
    </w:p>
    <w:p w14:paraId="2BF420DD">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(2)承包人违反第5.3款或第6.4款的约定，未经发包人批准，私自将已按合同约定进入施工场地的施工设备、临时设施、材料或工程设备撤离施工场地；</w:t>
      </w:r>
    </w:p>
    <w:p w14:paraId="4C84E89D">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(3)承包人违反第5.4款的约定使用了不合格材料或工程设备，工程质量达不到标准要求，又拒绝清理不合格工程；</w:t>
      </w:r>
    </w:p>
    <w:p w14:paraId="5E205084">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(4)承包人未能按合同进度计划及时完成合同约定的工作，己造成或预期造成工期延误；</w:t>
      </w:r>
    </w:p>
    <w:p w14:paraId="32075E68">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(5)承包人在缺陷责任期内，未能对工程接受证书所列的缺陷清单的内容或缺陷责任期内发生的缺陷进行修复，而又拒绝按发包人指示再进行修补；</w:t>
      </w:r>
    </w:p>
    <w:p w14:paraId="79D530D3">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(6）承包人无法继续履行或明确表示不履行或实质上己停止履行合同；</w:t>
      </w:r>
    </w:p>
    <w:p w14:paraId="4B02E032">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(7)承包人未能按期开工；</w:t>
      </w:r>
    </w:p>
    <w:p w14:paraId="382CEAF4">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(8)承包人违反第4.6款或第6.3款的规定，未按承诺或未按发包人的要求及时配备称职的主要管理人员、技术骨干或关键施工设备；</w:t>
      </w:r>
    </w:p>
    <w:p w14:paraId="51F228A9">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(9)经发包人检查，发现承包人有安全问题或有违反安全管理规章制度的情况；</w:t>
      </w:r>
    </w:p>
    <w:p w14:paraId="3BE188F0">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(10）承包人不按合同约定履行义务的其他情况。</w:t>
      </w:r>
    </w:p>
    <w:p w14:paraId="638EE402">
      <w:pPr>
        <w:tabs>
          <w:tab w:val="left" w:pos="1080"/>
        </w:tabs>
        <w:spacing w:line="300" w:lineRule="auto"/>
        <w:ind w:firstLine="316" w:firstLineChars="150"/>
        <w:rPr>
          <w:rFonts w:ascii="宋体" w:hAnsi="宋体" w:cs="宋体"/>
          <w:b/>
          <w:color w:val="000000" w:themeColor="text1"/>
          <w:sz w:val="21"/>
          <w:szCs w:val="21"/>
          <w:highlight w:val="none"/>
          <w14:textFill>
            <w14:solidFill>
              <w14:schemeClr w14:val="tx1"/>
            </w14:solidFill>
          </w14:textFill>
        </w:rPr>
      </w:pPr>
    </w:p>
    <w:p w14:paraId="791EB247">
      <w:pPr>
        <w:spacing w:line="300" w:lineRule="auto"/>
        <w:ind w:firstLine="278" w:firstLineChars="132"/>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22.1.2  对承包人违约的处理</w:t>
      </w:r>
    </w:p>
    <w:p w14:paraId="240089B9">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（1）承包人发生第22.1.1⑹目约定的违约情形时，发包人可通知承包人立即解除合同，并按有关法律处理。</w:t>
      </w:r>
    </w:p>
    <w:p w14:paraId="59A5A598">
      <w:pPr>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（2）承包人发生第22.1.1⑹目约定以外的违约情形时，发包人可向承包人发出整改通知，要求其在指定的期限内改正。承包人应承担其违约所引起的费用增加和（或）工期延误。</w:t>
      </w:r>
    </w:p>
    <w:p w14:paraId="21305038">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（3）经检查证明承包人已采取了有效措施纠正违约行为，具备复工条件的可由发包人签发复工通知进行复工。</w:t>
      </w:r>
    </w:p>
    <w:p w14:paraId="12904BFF">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4）承包人发生第22.1.1项约定的违约情况时，无论发包人是否解除合同，发包人均有权向承包人课以违约金，并由发包人将其违约行为上报省级交通主管部门，作为不良记录纳人公路建设市场信用信息管理系统。</w:t>
      </w:r>
    </w:p>
    <w:p w14:paraId="14AB30FD">
      <w:pPr>
        <w:tabs>
          <w:tab w:val="left" w:pos="1080"/>
        </w:tabs>
        <w:spacing w:line="300" w:lineRule="auto"/>
        <w:ind w:firstLine="562"/>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增加</w:t>
      </w:r>
    </w:p>
    <w:p w14:paraId="356D1EEC">
      <w:pPr>
        <w:tabs>
          <w:tab w:val="left" w:pos="1080"/>
        </w:tabs>
        <w:spacing w:line="300" w:lineRule="auto"/>
        <w:ind w:firstLine="562"/>
        <w:rPr>
          <w:rFonts w:ascii="宋体" w:hAnsi="宋体" w:cs="宋体"/>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（5）承包人发生第22.1.1项（5）目情形，按第19.2.4款规定处理；</w:t>
      </w:r>
    </w:p>
    <w:p w14:paraId="3E21C0A4">
      <w:pPr>
        <w:tabs>
          <w:tab w:val="left" w:pos="1080"/>
        </w:tabs>
        <w:spacing w:line="300" w:lineRule="auto"/>
        <w:ind w:firstLine="562"/>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（6）有22.1.1.（8）款行为或以下行为的，视为承包人违约，可对承包人处以以下的违约金：</w:t>
      </w:r>
    </w:p>
    <w:p w14:paraId="5EAD6417">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a.承包人更换主要人员的（不管是否经项目法人同意），项目经理处10万元/人次，总工（或技术负责人）处5万元/人次，其他主要人员（指结构专业工程师、路基路面专业工程师、测量工程师、计量工程师和试验工程师）处2万元/人次；</w:t>
      </w:r>
    </w:p>
    <w:p w14:paraId="5367AFB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b．项目经理或项目技术负责人未经发包人同意擅自离开工地，每天</w:t>
      </w:r>
      <w:r>
        <w:rPr>
          <w:rFonts w:hint="eastAsia" w:ascii="宋体" w:hAnsi="宋体" w:cs="宋体"/>
          <w:color w:val="000000" w:themeColor="text1"/>
          <w:sz w:val="21"/>
          <w:szCs w:val="21"/>
          <w:highlight w:val="none"/>
          <w:lang w:val="en-US" w:eastAsia="zh-CN"/>
          <w14:textFill>
            <w14:solidFill>
              <w14:schemeClr w14:val="tx1"/>
            </w14:solidFill>
          </w14:textFill>
        </w:rPr>
        <w:t>可</w:t>
      </w:r>
      <w:r>
        <w:rPr>
          <w:rFonts w:ascii="宋体" w:hAnsi="宋体" w:cs="宋体"/>
          <w:color w:val="000000" w:themeColor="text1"/>
          <w:sz w:val="21"/>
          <w:szCs w:val="21"/>
          <w:highlight w:val="none"/>
          <w14:textFill>
            <w14:solidFill>
              <w14:schemeClr w14:val="tx1"/>
            </w14:solidFill>
          </w14:textFill>
        </w:rPr>
        <w:t>以违约金500元／人；若虽经批准离开工地但每月在工地天数不足22天（特殊情况经发包人批准报发包人同意例外）的，每不足一天</w:t>
      </w:r>
      <w:r>
        <w:rPr>
          <w:rFonts w:hint="eastAsia" w:ascii="宋体" w:hAnsi="宋体" w:cs="宋体"/>
          <w:color w:val="000000" w:themeColor="text1"/>
          <w:sz w:val="21"/>
          <w:szCs w:val="21"/>
          <w:highlight w:val="none"/>
          <w:lang w:val="en-US" w:eastAsia="zh-CN"/>
          <w14:textFill>
            <w14:solidFill>
              <w14:schemeClr w14:val="tx1"/>
            </w14:solidFill>
          </w14:textFill>
        </w:rPr>
        <w:t>可</w:t>
      </w:r>
      <w:r>
        <w:rPr>
          <w:rFonts w:ascii="宋体" w:hAnsi="宋体" w:cs="宋体"/>
          <w:color w:val="000000" w:themeColor="text1"/>
          <w:sz w:val="21"/>
          <w:szCs w:val="21"/>
          <w:highlight w:val="none"/>
          <w14:textFill>
            <w14:solidFill>
              <w14:schemeClr w14:val="tx1"/>
            </w14:solidFill>
          </w14:textFill>
        </w:rPr>
        <w:t>以违约金500元／人。其它主要技术骨干人员每月在工地天数不足22天（特殊情况经发包人批准同意例外）的,每不足一天</w:t>
      </w:r>
      <w:r>
        <w:rPr>
          <w:rFonts w:hint="eastAsia" w:ascii="宋体" w:hAnsi="宋体" w:cs="宋体"/>
          <w:color w:val="000000" w:themeColor="text1"/>
          <w:sz w:val="21"/>
          <w:szCs w:val="21"/>
          <w:highlight w:val="none"/>
          <w:lang w:val="en-US" w:eastAsia="zh-CN"/>
          <w14:textFill>
            <w14:solidFill>
              <w14:schemeClr w14:val="tx1"/>
            </w14:solidFill>
          </w14:textFill>
        </w:rPr>
        <w:t>可</w:t>
      </w:r>
      <w:r>
        <w:rPr>
          <w:rFonts w:ascii="宋体" w:hAnsi="宋体" w:cs="宋体"/>
          <w:color w:val="000000" w:themeColor="text1"/>
          <w:sz w:val="21"/>
          <w:szCs w:val="21"/>
          <w:highlight w:val="none"/>
          <w14:textFill>
            <w14:solidFill>
              <w14:schemeClr w14:val="tx1"/>
            </w14:solidFill>
          </w14:textFill>
        </w:rPr>
        <w:t>以违约金300元／人；</w:t>
      </w:r>
    </w:p>
    <w:p w14:paraId="0FF2B24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C．主要设备没有按进度和合同规定承诺进场的处500元/日台。</w:t>
      </w:r>
    </w:p>
    <w:p w14:paraId="7B1C1ED3">
      <w:pPr>
        <w:tabs>
          <w:tab w:val="left" w:pos="1080"/>
        </w:tabs>
        <w:spacing w:line="300" w:lineRule="auto"/>
        <w:ind w:firstLine="562"/>
        <w:rPr>
          <w:rFonts w:ascii="宋体" w:hAnsi="宋体" w:cs="宋体"/>
          <w:b/>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14:textFill>
            <w14:solidFill>
              <w14:schemeClr w14:val="tx1"/>
            </w14:solidFill>
          </w14:textFill>
        </w:rPr>
        <w:t>（7）承包人存在以下情形的，可对承包人处以以下违约金：</w:t>
      </w:r>
    </w:p>
    <w:p w14:paraId="27D0B26B">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a.发生质量事故，未按有关规定和时间向有关部门报告的,处2000元/次；</w:t>
      </w:r>
    </w:p>
    <w:p w14:paraId="7AFDC1C8">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b.出现二、三级一般质量事故，且承包人负有直接责任，或不能证明其履行其职责的,可处5000元/次；</w:t>
      </w:r>
    </w:p>
    <w:p w14:paraId="5046AA7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c.发生一级一般质量事故或重大质量事故，且承包人负有直接责任，或不能证明其履行其职责的,可处10000元/次；</w:t>
      </w:r>
    </w:p>
    <w:p w14:paraId="4F388F56">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d.因质量问题被地市级及以上交通主管部门、质量监督单位、公路管理机构通报（批评）的，可对承包人处以20000元违约金/次，红牌警告10000元/次，黄牌警告5000元/次。</w:t>
      </w:r>
    </w:p>
    <w:p w14:paraId="37C3F27E">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e．出现一般安全生事故负有责任的或发生重大安全事故不按规定报告的,可处1000元/处·次。</w:t>
      </w:r>
    </w:p>
    <w:p w14:paraId="4328501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f.出现重大安全生产事故负有责任的，可处10000元/处·次。</w:t>
      </w:r>
    </w:p>
    <w:p w14:paraId="302C4E10">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g．由于施工原因造成污染、破坏被群众向政府、主管单位投诉或被环保、水利部门责令整改的，处1000元/次。</w:t>
      </w:r>
    </w:p>
    <w:p w14:paraId="5388335F">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h.由于承包人原因违反7.3等条款造成交通堵塞，堵车30分钟至60分钟的处3000元/次，堵车60分钟至二小时的处5000元/次，堵车二小时至三小时的处1万元/次，堵车三小时以上的处每小时（不满1小时按1小时计）1万元，严重的建议上级主管单位进行通报。</w:t>
      </w:r>
    </w:p>
    <w:p w14:paraId="056721A4">
      <w:pPr>
        <w:tabs>
          <w:tab w:val="left" w:pos="1080"/>
        </w:tabs>
        <w:spacing w:line="300" w:lineRule="auto"/>
        <w:ind w:firstLine="48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j．劳务人员未按规定签订聘用合同并向项目法人报备的,处500元/人次。</w:t>
      </w:r>
    </w:p>
    <w:p w14:paraId="49CEE22C">
      <w:pPr>
        <w:pStyle w:val="61"/>
        <w:shd w:val="clear" w:color="auto" w:fill="auto"/>
        <w:spacing w:after="251" w:line="300" w:lineRule="auto"/>
        <w:rPr>
          <w:rFonts w:hint="eastAsia" w:ascii="宋体" w:hAnsi="宋体" w:eastAsia="宋体" w:cs="宋体"/>
          <w:b w:val="0"/>
          <w:color w:val="000000" w:themeColor="text1"/>
          <w:spacing w:val="0"/>
          <w:sz w:val="21"/>
          <w:szCs w:val="21"/>
          <w:highlight w:val="none"/>
          <w14:textFill>
            <w14:solidFill>
              <w14:schemeClr w14:val="tx1"/>
            </w14:solidFill>
          </w14:textFill>
        </w:rPr>
      </w:pPr>
      <w:r>
        <w:rPr>
          <w:rFonts w:hint="eastAsia" w:ascii="宋体" w:hAnsi="宋体" w:eastAsia="宋体" w:cs="宋体"/>
          <w:b w:val="0"/>
          <w:color w:val="000000" w:themeColor="text1"/>
          <w:spacing w:val="0"/>
          <w:sz w:val="21"/>
          <w:szCs w:val="21"/>
          <w:highlight w:val="none"/>
          <w14:textFill>
            <w14:solidFill>
              <w14:schemeClr w14:val="tx1"/>
            </w14:solidFill>
          </w14:textFill>
        </w:rPr>
        <w:t xml:space="preserve">22.2  </w:t>
      </w:r>
      <w:r>
        <w:rPr>
          <w:rStyle w:val="60"/>
          <w:rFonts w:hint="eastAsia" w:ascii="宋体" w:hAnsi="宋体" w:eastAsia="宋体" w:cs="宋体"/>
          <w:b/>
          <w:bCs w:val="0"/>
          <w:color w:val="000000" w:themeColor="text1"/>
          <w:sz w:val="21"/>
          <w:szCs w:val="21"/>
          <w:highlight w:val="none"/>
          <w14:textFill>
            <w14:solidFill>
              <w14:schemeClr w14:val="tx1"/>
            </w14:solidFill>
          </w14:textFill>
        </w:rPr>
        <w:t>发包人违约</w:t>
      </w:r>
    </w:p>
    <w:p w14:paraId="499E5352">
      <w:pPr>
        <w:pStyle w:val="55"/>
        <w:shd w:val="clear" w:color="auto" w:fill="auto"/>
        <w:tabs>
          <w:tab w:val="left" w:leader="underscore" w:pos="6502"/>
          <w:tab w:val="left" w:leader="underscore" w:pos="7348"/>
          <w:tab w:val="left" w:leader="underscore" w:pos="8182"/>
        </w:tabs>
        <w:spacing w:before="0" w:after="1283" w:line="398" w:lineRule="exact"/>
        <w:ind w:firstLine="420"/>
        <w:jc w:val="both"/>
        <w:rPr>
          <w:rStyle w:val="56"/>
          <w:rFonts w:hint="eastAsia" w:ascii="宋体" w:hAnsi="宋体" w:eastAsia="宋体" w:cs="宋体"/>
          <w:color w:val="000000" w:themeColor="text1"/>
          <w:sz w:val="21"/>
          <w:szCs w:val="21"/>
          <w:highlight w:val="none"/>
          <w14:textFill>
            <w14:solidFill>
              <w14:schemeClr w14:val="tx1"/>
            </w14:solidFill>
          </w14:textFill>
        </w:rPr>
      </w:pPr>
      <w:r>
        <w:rPr>
          <w:rStyle w:val="68"/>
          <w:rFonts w:ascii="宋体" w:hAnsi="宋体" w:eastAsia="宋体" w:cs="宋体"/>
          <w:color w:val="000000" w:themeColor="text1"/>
          <w:sz w:val="21"/>
          <w:szCs w:val="21"/>
          <w:highlight w:val="none"/>
          <w:lang w:bidi="en-US"/>
          <w14:textFill>
            <w14:solidFill>
              <w14:schemeClr w14:val="tx1"/>
            </w14:solidFill>
          </w14:textFill>
        </w:rPr>
        <w:t>22.2.2</w:t>
      </w:r>
      <w:r>
        <w:rPr>
          <w:rStyle w:val="68"/>
          <w:rFonts w:ascii="宋体" w:hAnsi="宋体" w:eastAsia="宋体" w:cs="宋体"/>
          <w:color w:val="000000" w:themeColor="text1"/>
          <w:sz w:val="21"/>
          <w:szCs w:val="21"/>
          <w:highlight w:val="none"/>
          <w14:textFill>
            <w14:solidFill>
              <w14:schemeClr w14:val="tx1"/>
            </w14:solidFill>
          </w14:textFill>
        </w:rPr>
        <w:t>发包人无正当理由不按时返还履约保证金、质量保证金或农民工资保证金的，发包人应向承包人支付的违约金如下：</w:t>
      </w:r>
      <w:r>
        <w:rPr>
          <w:rStyle w:val="68"/>
          <w:rFonts w:ascii="宋体" w:hAnsi="宋体" w:eastAsia="宋体" w:cs="宋体"/>
          <w:color w:val="000000" w:themeColor="text1"/>
          <w:sz w:val="21"/>
          <w:szCs w:val="21"/>
          <w:highlight w:val="none"/>
          <w:u w:val="single"/>
          <w14:textFill>
            <w14:solidFill>
              <w14:schemeClr w14:val="tx1"/>
            </w14:solidFill>
          </w14:textFill>
        </w:rPr>
        <w:t xml:space="preserve">   /   </w:t>
      </w:r>
    </w:p>
    <w:p w14:paraId="5A5909D8">
      <w:pPr>
        <w:pStyle w:val="8"/>
        <w:rPr>
          <w:rFonts w:hint="default" w:ascii="Times New Roman" w:hAnsi="Times New Roman" w:eastAsia="宋体" w:cs="Times New Roman"/>
          <w:color w:val="auto"/>
          <w:highlight w:val="none"/>
        </w:rPr>
      </w:pPr>
    </w:p>
    <w:p w14:paraId="7836F048">
      <w:pPr>
        <w:pStyle w:val="8"/>
        <w:rPr>
          <w:rFonts w:hint="default" w:ascii="Times New Roman" w:hAnsi="Times New Roman" w:eastAsia="宋体" w:cs="Times New Roman"/>
          <w:color w:val="auto"/>
          <w:highlight w:val="none"/>
        </w:rPr>
      </w:pPr>
    </w:p>
    <w:p w14:paraId="759DF20D">
      <w:pPr>
        <w:pStyle w:val="8"/>
        <w:rPr>
          <w:rFonts w:hint="default" w:ascii="Times New Roman" w:hAnsi="Times New Roman" w:eastAsia="宋体" w:cs="Times New Roman"/>
          <w:color w:val="auto"/>
          <w:highlight w:val="none"/>
        </w:rPr>
      </w:pPr>
    </w:p>
    <w:p w14:paraId="7392CF8A">
      <w:pPr>
        <w:pStyle w:val="8"/>
        <w:rPr>
          <w:rFonts w:hint="default" w:ascii="Times New Roman" w:hAnsi="Times New Roman" w:eastAsia="宋体" w:cs="Times New Roman"/>
          <w:color w:val="auto"/>
          <w:highlight w:val="none"/>
        </w:rPr>
      </w:pPr>
    </w:p>
    <w:p w14:paraId="417770C9">
      <w:pPr>
        <w:pStyle w:val="8"/>
        <w:rPr>
          <w:rFonts w:hint="default" w:ascii="Times New Roman" w:hAnsi="Times New Roman" w:eastAsia="宋体" w:cs="Times New Roman"/>
          <w:color w:val="auto"/>
          <w:highlight w:val="none"/>
        </w:rPr>
      </w:pPr>
    </w:p>
    <w:p w14:paraId="2C5018E5">
      <w:pPr>
        <w:pStyle w:val="8"/>
        <w:rPr>
          <w:rFonts w:hint="default" w:ascii="Times New Roman" w:hAnsi="Times New Roman" w:eastAsia="宋体" w:cs="Times New Roman"/>
          <w:color w:val="auto"/>
          <w:highlight w:val="none"/>
        </w:rPr>
      </w:pPr>
    </w:p>
    <w:p w14:paraId="5E4D570A">
      <w:pPr>
        <w:pStyle w:val="8"/>
        <w:rPr>
          <w:rFonts w:hint="default" w:ascii="Times New Roman" w:hAnsi="Times New Roman" w:eastAsia="宋体" w:cs="Times New Roman"/>
          <w:color w:val="auto"/>
          <w:highlight w:val="none"/>
        </w:rPr>
      </w:pPr>
    </w:p>
    <w:p w14:paraId="34923207">
      <w:pPr>
        <w:pStyle w:val="8"/>
        <w:rPr>
          <w:rFonts w:hint="default" w:ascii="Times New Roman" w:hAnsi="Times New Roman" w:eastAsia="宋体" w:cs="Times New Roman"/>
          <w:color w:val="auto"/>
          <w:highlight w:val="none"/>
        </w:rPr>
      </w:pPr>
    </w:p>
    <w:p w14:paraId="4CB6ED4F">
      <w:pPr>
        <w:pStyle w:val="8"/>
        <w:rPr>
          <w:rFonts w:hint="default" w:ascii="Times New Roman" w:hAnsi="Times New Roman" w:eastAsia="宋体" w:cs="Times New Roman"/>
          <w:color w:val="auto"/>
          <w:highlight w:val="none"/>
        </w:rPr>
      </w:pPr>
    </w:p>
    <w:p w14:paraId="4AF0AD7E">
      <w:pPr>
        <w:pStyle w:val="8"/>
        <w:rPr>
          <w:rFonts w:hint="default" w:ascii="Times New Roman" w:hAnsi="Times New Roman" w:eastAsia="宋体" w:cs="Times New Roman"/>
          <w:color w:val="auto"/>
          <w:highlight w:val="none"/>
        </w:rPr>
      </w:pPr>
    </w:p>
    <w:p w14:paraId="3AF25233">
      <w:pPr>
        <w:pStyle w:val="8"/>
        <w:rPr>
          <w:rFonts w:hint="default" w:ascii="Times New Roman" w:hAnsi="Times New Roman" w:eastAsia="宋体" w:cs="Times New Roman"/>
          <w:color w:val="auto"/>
          <w:highlight w:val="none"/>
        </w:rPr>
      </w:pPr>
    </w:p>
    <w:p w14:paraId="4388943A">
      <w:pPr>
        <w:pStyle w:val="8"/>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7"/>
        <w:shd w:val="clear"/>
        <w:spacing w:line="360" w:lineRule="auto"/>
        <w:jc w:val="center"/>
        <w:outlineLvl w:val="0"/>
        <w:rPr>
          <w:rFonts w:hint="eastAsia" w:eastAsia="宋体"/>
          <w:color w:val="auto"/>
          <w:szCs w:val="21"/>
          <w:highlight w:val="none"/>
          <w:lang w:eastAsia="zh-CN"/>
        </w:rPr>
      </w:pPr>
      <w:bookmarkStart w:id="181" w:name="_Toc14935"/>
      <w:r>
        <w:rPr>
          <w:rFonts w:ascii="宋体" w:hAnsi="宋体"/>
          <w:b/>
          <w:color w:val="auto"/>
          <w:sz w:val="32"/>
          <w:szCs w:val="32"/>
          <w:highlight w:val="none"/>
        </w:rPr>
        <w:t>第六章</w:t>
      </w:r>
      <w:bookmarkEnd w:id="181"/>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i w:val="0"/>
          <w:iCs w:val="0"/>
          <w:caps w:val="0"/>
          <w:color w:val="0F1115"/>
          <w:spacing w:val="0"/>
          <w:sz w:val="21"/>
          <w:szCs w:val="21"/>
          <w:shd w:val="clear" w:fill="FFFFFF"/>
        </w:rPr>
        <w:t>一、评审原则</w:t>
      </w:r>
    </w:p>
    <w:p w14:paraId="346C6A8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30"/>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30"/>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30"/>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30"/>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30"/>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30"/>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30"/>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30"/>
          <w:rFonts w:hint="default" w:ascii="Segoe UI" w:hAnsi="Segoe UI" w:eastAsia="Segoe UI" w:cs="Segoe UI"/>
          <w:b/>
          <w:i w:val="0"/>
          <w:iCs w:val="0"/>
          <w:caps w:val="0"/>
          <w:color w:val="0F1115"/>
          <w:spacing w:val="0"/>
          <w:sz w:val="21"/>
          <w:szCs w:val="21"/>
          <w:shd w:val="clear" w:fill="FFFFFF"/>
        </w:rPr>
        <w:t>三、详细评审步骤</w:t>
      </w:r>
    </w:p>
    <w:p w14:paraId="0C87F8D0">
      <w:pPr>
        <w:pStyle w:val="23"/>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1.</w:t>
      </w:r>
      <w:r>
        <w:rPr>
          <w:rStyle w:val="30"/>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2.</w:t>
      </w:r>
      <w:r>
        <w:rPr>
          <w:rStyle w:val="30"/>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3"/>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1.</w:t>
      </w:r>
      <w:r>
        <w:rPr>
          <w:rStyle w:val="30"/>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2.</w:t>
      </w:r>
      <w:r>
        <w:rPr>
          <w:rStyle w:val="30"/>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3"/>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1.</w:t>
      </w:r>
      <w:r>
        <w:rPr>
          <w:rStyle w:val="30"/>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2.</w:t>
      </w:r>
      <w:r>
        <w:rPr>
          <w:rStyle w:val="30"/>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3"/>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3"/>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3"/>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3"/>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30"/>
          <w:rFonts w:hint="eastAsia" w:ascii="Segoe UI" w:hAnsi="Segoe UI" w:eastAsia="宋体" w:cs="Segoe UI"/>
          <w:b/>
          <w:bCs/>
          <w:i w:val="0"/>
          <w:iCs w:val="0"/>
          <w:caps w:val="0"/>
          <w:color w:val="0F1115"/>
          <w:spacing w:val="0"/>
          <w:sz w:val="21"/>
          <w:szCs w:val="21"/>
          <w:shd w:val="clear" w:fill="FFFFFF"/>
          <w:lang w:val="en-US" w:eastAsia="zh-CN"/>
        </w:rPr>
        <w:t>3.</w:t>
      </w:r>
      <w:r>
        <w:rPr>
          <w:rStyle w:val="30"/>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3"/>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bCs/>
          <w:i w:val="0"/>
          <w:iCs w:val="0"/>
          <w:caps w:val="0"/>
          <w:color w:val="0F1115"/>
          <w:spacing w:val="0"/>
          <w:sz w:val="21"/>
          <w:szCs w:val="21"/>
          <w:shd w:val="clear" w:fill="FFFFFF"/>
        </w:rPr>
        <w:t>第四阶段：</w:t>
      </w:r>
      <w:r>
        <w:rPr>
          <w:rStyle w:val="30"/>
          <w:rFonts w:hint="eastAsia" w:ascii="Segoe UI" w:hAnsi="Segoe UI" w:eastAsia="宋体" w:cs="Segoe UI"/>
          <w:b/>
          <w:bCs/>
          <w:i w:val="0"/>
          <w:iCs w:val="0"/>
          <w:caps w:val="0"/>
          <w:color w:val="0F1115"/>
          <w:spacing w:val="0"/>
          <w:sz w:val="21"/>
          <w:szCs w:val="21"/>
          <w:shd w:val="clear" w:fill="FFFFFF"/>
          <w:lang w:val="en-US" w:eastAsia="zh-CN"/>
        </w:rPr>
        <w:t>下一轮</w:t>
      </w:r>
      <w:r>
        <w:rPr>
          <w:rStyle w:val="30"/>
          <w:rFonts w:hint="default" w:ascii="Segoe UI" w:hAnsi="Segoe UI" w:eastAsia="Segoe UI" w:cs="Segoe UI"/>
          <w:b/>
          <w:bCs/>
          <w:i w:val="0"/>
          <w:iCs w:val="0"/>
          <w:caps w:val="0"/>
          <w:color w:val="0F1115"/>
          <w:spacing w:val="0"/>
          <w:sz w:val="21"/>
          <w:szCs w:val="21"/>
          <w:shd w:val="clear" w:fill="FFFFFF"/>
        </w:rPr>
        <w:t>报价</w:t>
      </w:r>
    </w:p>
    <w:p w14:paraId="7A6C66A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1.</w:t>
      </w:r>
      <w:r>
        <w:rPr>
          <w:rStyle w:val="30"/>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30"/>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30"/>
          <w:rFonts w:hint="eastAsia" w:ascii="Segoe UI" w:hAnsi="Segoe UI" w:eastAsia="宋体" w:cs="Segoe UI"/>
          <w:b/>
          <w:bCs/>
          <w:i w:val="0"/>
          <w:iCs w:val="0"/>
          <w:caps w:val="0"/>
          <w:color w:val="0F1115"/>
          <w:spacing w:val="0"/>
          <w:sz w:val="21"/>
          <w:szCs w:val="21"/>
          <w:shd w:val="clear" w:fill="FFFFFF"/>
          <w:lang w:val="en-US" w:eastAsia="zh-CN"/>
        </w:rPr>
        <w:t>2.</w:t>
      </w:r>
      <w:r>
        <w:rPr>
          <w:rStyle w:val="30"/>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3"/>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3"/>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3"/>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3"/>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3"/>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30"/>
          <w:rFonts w:hint="eastAsia" w:ascii="Segoe UI" w:hAnsi="Segoe UI" w:eastAsia="宋体" w:cs="Segoe UI"/>
          <w:b/>
          <w:bCs/>
          <w:i w:val="0"/>
          <w:iCs w:val="0"/>
          <w:caps w:val="0"/>
          <w:color w:val="0F1115"/>
          <w:spacing w:val="0"/>
          <w:sz w:val="21"/>
          <w:szCs w:val="21"/>
          <w:shd w:val="clear" w:fill="FFFFFF"/>
          <w:lang w:val="en-US" w:eastAsia="zh-CN"/>
        </w:rPr>
        <w:t>3.</w:t>
      </w:r>
      <w:r>
        <w:rPr>
          <w:rStyle w:val="30"/>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2"/>
          <w:szCs w:val="22"/>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2"/>
          <w:szCs w:val="22"/>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（1）响应报价低于全部通过符合性审查供应商响应报价平均值</w:t>
      </w:r>
      <w:r>
        <w:rPr>
          <w:rFonts w:hint="eastAsia" w:ascii="Segoe UI" w:hAnsi="Segoe UI" w:eastAsia="宋体" w:cs="Segoe UI"/>
          <w:i w:val="0"/>
          <w:iCs w:val="0"/>
          <w:caps w:val="0"/>
          <w:color w:val="0F1115"/>
          <w:spacing w:val="0"/>
          <w:sz w:val="22"/>
          <w:szCs w:val="22"/>
          <w:shd w:val="clear" w:fill="FFFFFF"/>
          <w:lang w:val="en-US" w:eastAsia="zh-CN"/>
        </w:rPr>
        <w:t>65</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（2）响应报价低于通过符合性审查的次低报价供应商响应报价</w:t>
      </w:r>
      <w:r>
        <w:rPr>
          <w:rFonts w:hint="eastAsia" w:ascii="Segoe UI" w:hAnsi="Segoe UI" w:eastAsia="宋体" w:cs="Segoe UI"/>
          <w:i w:val="0"/>
          <w:iCs w:val="0"/>
          <w:caps w:val="0"/>
          <w:color w:val="0F1115"/>
          <w:spacing w:val="0"/>
          <w:sz w:val="22"/>
          <w:szCs w:val="22"/>
          <w:shd w:val="clear" w:fill="FFFFFF"/>
          <w:lang w:val="en-US" w:eastAsia="zh-CN"/>
        </w:rPr>
        <w:t>65</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（3）响应报价低于采购项目最高限价</w:t>
      </w:r>
      <w:r>
        <w:rPr>
          <w:rFonts w:hint="eastAsia" w:ascii="Segoe UI" w:hAnsi="Segoe UI" w:eastAsia="宋体" w:cs="Segoe UI"/>
          <w:i w:val="0"/>
          <w:iCs w:val="0"/>
          <w:caps w:val="0"/>
          <w:color w:val="0F1115"/>
          <w:spacing w:val="0"/>
          <w:sz w:val="22"/>
          <w:szCs w:val="22"/>
          <w:shd w:val="clear" w:fill="FFFFFF"/>
          <w:lang w:val="en-US" w:eastAsia="zh-CN"/>
        </w:rPr>
        <w:t>6</w:t>
      </w:r>
      <w:r>
        <w:rPr>
          <w:rFonts w:hint="default" w:ascii="Segoe UI" w:hAnsi="Segoe UI" w:eastAsia="Segoe UI" w:cs="Segoe UI"/>
          <w:i w:val="0"/>
          <w:iCs w:val="0"/>
          <w:caps w:val="0"/>
          <w:color w:val="0F1115"/>
          <w:spacing w:val="0"/>
          <w:sz w:val="22"/>
          <w:szCs w:val="22"/>
          <w:shd w:val="clear" w:fill="FFFFFF"/>
        </w:rPr>
        <w:t>5%；</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（4）评审委员会基于专业判断，认为供应商报价过低，有可能影响产品质量或者不能诚信履约的其他情形。</w:t>
      </w:r>
    </w:p>
    <w:p w14:paraId="20DF740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30"/>
          <w:rFonts w:ascii="Segoe UI" w:hAnsi="Segoe UI" w:eastAsia="Segoe UI" w:cs="Segoe UI"/>
          <w:b/>
          <w:bCs/>
          <w:i w:val="0"/>
          <w:iCs w:val="0"/>
          <w:caps w:val="0"/>
          <w:color w:val="0F1115"/>
          <w:spacing w:val="0"/>
          <w:sz w:val="22"/>
          <w:szCs w:val="22"/>
          <w:shd w:val="clear" w:fill="FFFFFF"/>
        </w:rPr>
        <w:t>审查程序</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（5）异常低价审查的启动原因、审查意见和审查结果应当在评审报告中详细记录，并随供应商提供的相关说明及证明材料一并归档。</w:t>
      </w:r>
    </w:p>
    <w:p w14:paraId="3E90D578">
      <w:pPr>
        <w:pStyle w:val="23"/>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3"/>
        <w:keepNext w:val="0"/>
        <w:keepLines w:val="0"/>
        <w:widowControl/>
        <w:suppressLineNumbers w:val="0"/>
        <w:spacing w:before="0" w:beforeAutospacing="0" w:after="0" w:afterAutospacing="0" w:line="360" w:lineRule="auto"/>
        <w:ind w:left="0" w:right="0" w:firstLine="420" w:firstLineChars="200"/>
        <w:rPr>
          <w:sz w:val="21"/>
          <w:szCs w:val="21"/>
        </w:rPr>
      </w:pPr>
      <w:r>
        <w:rPr>
          <w:rStyle w:val="30"/>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4647"/>
        <w:gridCol w:w="3706"/>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b w:val="0"/>
                <w:bCs w:val="0"/>
                <w:sz w:val="21"/>
                <w:szCs w:val="21"/>
              </w:rPr>
            </w:pPr>
            <w:r>
              <w:rPr>
                <w:rFonts w:hint="eastAsia"/>
                <w:b w:val="0"/>
                <w:bCs w:val="0"/>
                <w:sz w:val="21"/>
                <w:szCs w:val="21"/>
              </w:rPr>
              <w:t>分值构成</w:t>
            </w:r>
          </w:p>
        </w:tc>
        <w:tc>
          <w:tcPr>
            <w:tcW w:w="5523"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0" w:type="auto"/>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12CAC9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rPr>
                <w:rFonts w:hint="eastAsia"/>
                <w:b w:val="0"/>
                <w:bCs w:val="0"/>
                <w:sz w:val="21"/>
                <w:szCs w:val="21"/>
                <w:lang w:eastAsia="zh-CN"/>
              </w:rPr>
            </w:pPr>
            <w:r>
              <w:rPr>
                <w:rFonts w:hint="eastAsia" w:ascii="宋体" w:hAnsi="宋体" w:eastAsia="宋体" w:cs="宋体"/>
                <w:b w:val="0"/>
                <w:bCs w:val="0"/>
                <w:color w:val="auto"/>
                <w:kern w:val="0"/>
                <w:sz w:val="21"/>
                <w:szCs w:val="21"/>
                <w:highlight w:val="none"/>
                <w:lang w:eastAsia="zh-CN"/>
              </w:rPr>
              <w:t>评分项</w:t>
            </w:r>
          </w:p>
        </w:tc>
        <w:tc>
          <w:tcPr>
            <w:tcW w:w="8287" w:type="dxa"/>
            <w:gridSpan w:val="2"/>
            <w:vAlign w:val="center"/>
          </w:tcPr>
          <w:p w14:paraId="687ED4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77D2FB4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路基工程（含开挖、填筑、软基处理）、路面工程（含垫层铺筑、水泥混凝土面层施工）、涵洞工程（含圆管涵施工）、施工排水及雨季施工措施、各工序质量控制措施。</w:t>
            </w:r>
          </w:p>
          <w:p w14:paraId="39DABC9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3371B788">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 施工方法完整覆盖路基、路面、涵洞、排水等主要分部工程，各分部均有明确的施工工艺流程、技术要点及质量控制措施；方法与本项目地形条件及施工环境相适应，能有效指导施工。</w:t>
            </w:r>
          </w:p>
          <w:p w14:paraId="4D8035B1">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 施工方法覆盖路基、路面、涵洞、排水等主要分部工程中的4项及以上，各分部有基本的施工工艺流程和技术要点，质量控制措施基本可行。</w:t>
            </w:r>
          </w:p>
          <w:p w14:paraId="37DD64B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 施工方法覆盖上述主要分部工程中的3项，各分部均有施工方法描述，但部分工序仅有工序名称而无具体施工工艺，或部分工艺描述较为笼统。</w:t>
            </w:r>
          </w:p>
          <w:p w14:paraId="3666B9F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施工方法覆盖上述主要分部工程中的2项，或虽有3项但大部分仅有名称而无具体施工工艺，针对性不强。</w:t>
            </w:r>
          </w:p>
          <w:p w14:paraId="58DCB9C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覆盖主要分部工程不足2项，或方案与本项目实际情况明显不符，或未提供主要施工方法。</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5BF5DCD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主要工程材料（含水泥、砂石、管材等）的品种、规格、数量及进场时间安排；主要材料进场验收标准；现场保管措施。</w:t>
            </w:r>
          </w:p>
          <w:p w14:paraId="1B399DF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79EB09D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 物资计划涵盖主要工程材料，各类材料规格、数量齐全，进场时间安排与施工进度计划合理匹配；主要材料有具体的进场验收标准；有分类的现场保管措施；方案完整，能有效保障物资供应。</w:t>
            </w:r>
          </w:p>
          <w:p w14:paraId="65A2E06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 物资计划涵盖主要工程材料，数量及进场时间安排基本合理；主要材料有进场验收标准；有基本的现场保管措施；整体能满足施工需要。</w:t>
            </w:r>
          </w:p>
          <w:p w14:paraId="62B8A2C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 物资计划涵盖部分主要材料，但存在以下情况之一：个别材料的规格或数量不够明确，或进场时间与施工进度的匹配关系不够清晰。</w:t>
            </w:r>
          </w:p>
          <w:p w14:paraId="06E5D7F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物资计划涵盖材料种类较少（主要材料缺失2类及以上），或进场时间安排与施工进度明显脱节，或无验收标准及保管措施。</w:t>
            </w:r>
          </w:p>
          <w:p w14:paraId="19E63280">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物资计划涵盖材料严重不足（主要材料缺失3类及以上），或方案空洞无实质内容，或未提供物资计划。</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4F62ACC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主要施工机械设备（含路基施工、路面施工、材料拌和、运输、测量检测等环节所需设备）的型号、数量、进退场时间安排。</w:t>
            </w:r>
          </w:p>
          <w:p w14:paraId="0071188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0C93937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 机械设备配置齐全，涵盖路基、路面、涵洞等主要施工环节所需设备；各设备型号、数量合理，进退场时间与施工进度计划相匹配；关键设备（压路机、测量仪器等）有有效的检定/校准保障。</w:t>
            </w:r>
          </w:p>
          <w:p w14:paraId="4141E18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 机械设备配置基本齐全，涵盖主要施工环节所需设备；各设备数量基本合理，进退场时间与施工进度基本匹配；关键设备有检定/校准保障。</w:t>
            </w:r>
          </w:p>
          <w:p w14:paraId="0AA0B88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 机械设备配置能基本满足施工需要，但存在以下情况之一：缺少个别次要设备，或部分设备数量偏少，或进退场时间与施工进度衔接不够清晰。</w:t>
            </w:r>
          </w:p>
          <w:p w14:paraId="4D128CE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机械设备配置存在明显不足，缺少压路机或拌和设备等关键设备中的任意一项，或设备型号与施工需求明显不匹配。</w:t>
            </w:r>
          </w:p>
          <w:p w14:paraId="2723A55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机械设备配置严重不足，缺少压路机、拌和设备等关键设备中的两项及以上，或无进退场时间安排，或未提供机械设备计划。</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8287" w:type="dxa"/>
            <w:gridSpan w:val="2"/>
            <w:vAlign w:val="center"/>
          </w:tcPr>
          <w:p w14:paraId="38E555C8">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质量管理体系及专职质检员配置；工序“三检制”执行流程；路基、路面、涵洞等主要分部工程的质量控制措施及检测方法；常见质量通病防治措施。</w:t>
            </w:r>
          </w:p>
          <w:p w14:paraId="7A033940">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2312E858">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 质量管理体系完整，有明确的质量管理组织架构和岗位职责分工；有具体的“三检制”执行流程和记录要求；质量控制措施覆盖路基、路面、涵洞等主要分部工程，各工序控制要点明确、检测方法具体；质量通病防治方案不少于2项，与本项目工程特点相符。</w:t>
            </w:r>
          </w:p>
          <w:p w14:paraId="1AA7313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 质量管理体系基本完整，有质量管理组织架构和“三检制”流程；质量控制措施覆盖路基、路面、涵洞等主要分部工程中的5项及以上，各工序控制要点明确；质量通病防治方案不少于1项。</w:t>
            </w:r>
          </w:p>
          <w:p w14:paraId="7141047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 有基本的质量管理体系和“三检制”描述；质量控制措施覆盖主要分部工程中的4项，但部分措施较为笼统（如仅有“按规范施工”而无具体方法）。</w:t>
            </w:r>
          </w:p>
          <w:p w14:paraId="79C27B7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有基本的质量管理体系，但未明确“三检制”流程；质量控制措施覆盖主要分部工程中的3项，且部分措施仅有名称而无具体内容。</w:t>
            </w:r>
          </w:p>
          <w:p w14:paraId="08EA227E">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质量保证体系不完整（如未明确质检人员且未提及“三检制”），或质量控制措施覆盖不足3项且大部分仅有名称而无具体内容，或未提供质量技术组织措施。</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4D57D88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安全管理体系及专职安全员配置；路基施工机械作业安全；临时用电安全；基坑开挖及边坡防护；涵管吊装及沟槽支护；施工现场交通疏导；应急预案（含应急组织架构、响应流程、救援物资、联系方式）。</w:t>
            </w:r>
          </w:p>
          <w:p w14:paraId="690F46A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12CDC4EB">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 安全管理体系完整，有安全管理组织架构、安全生产责任制及专职安全员配置；安全措施覆盖路基施工机械、临时用电、基坑防护、涵管吊装、交通安全等主要风险点，每项有明确的安全技术措施和检查要求；应急预案完整（含应急组织架构、响应流程、救援物资、联系方式）。</w:t>
            </w:r>
          </w:p>
          <w:p w14:paraId="03C0B02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 安全管理体系基本完整，有安全责任制和专职安全员；安全措施覆盖上述主要风险点中的5项及以上，每项有具体执行要求；应急预案完整（含应急组织架构及响应流程）。</w:t>
            </w:r>
          </w:p>
          <w:p w14:paraId="6BCB330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 有基本的安全管理制度和安全措施；安全措施覆盖上述主要风险点中的4项，但部分措施较为笼统；应急预案内容不够完整（缺少响应流程或救援物资清单）。</w:t>
            </w:r>
          </w:p>
          <w:p w14:paraId="0DEAC10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有基本的安全管理制度；安全措施覆盖上述主要风险点中的3项，但大部分措施仅有名称而无具体执行要求；无应急预案。</w:t>
            </w:r>
          </w:p>
          <w:p w14:paraId="1290CEE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安全措施覆盖上述风险点不足3项，或未提及专职安全员配置，或无应急预案，或未提供安全生产技术组织措施。</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4484F58A">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各工种配置情况（含路基工、混凝土工、砌筑工、机械操作手、普工等主要工种）；各施工阶段劳动力人数安排；特殊工种持证要求；劳动力稳定保障措施。</w:t>
            </w:r>
          </w:p>
          <w:p w14:paraId="6408974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44EFC2F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（1）得6分：</w:t>
            </w:r>
            <w:r>
              <w:rPr>
                <w:rFonts w:hint="default" w:ascii="Segoe UI" w:hAnsi="Segoe UI" w:eastAsia="Segoe UI" w:cs="Segoe UI"/>
                <w:i w:val="0"/>
                <w:iCs w:val="0"/>
                <w:caps w:val="0"/>
                <w:color w:val="0F1115"/>
                <w:spacing w:val="0"/>
                <w:sz w:val="21"/>
                <w:szCs w:val="21"/>
                <w:shd w:val="clear" w:fill="FFFFFF"/>
              </w:rPr>
              <w:t> 劳动力计划按施工阶段配置，各阶段工种齐全（含路基工、混凝土工、砌筑工、机械操作手、普工等主要工种），各阶段人数合理；特殊工种（电工、机械操作手）有持证承诺；劳动力人数与施工进度匹配；有农忙等特殊时段的劳动力稳定保障措施。</w:t>
            </w:r>
          </w:p>
          <w:p w14:paraId="1F2FF1E2">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（2）得4.5分：</w:t>
            </w:r>
            <w:r>
              <w:rPr>
                <w:rFonts w:hint="default" w:ascii="Segoe UI" w:hAnsi="Segoe UI" w:eastAsia="Segoe UI" w:cs="Segoe UI"/>
                <w:i w:val="0"/>
                <w:iCs w:val="0"/>
                <w:caps w:val="0"/>
                <w:color w:val="0F1115"/>
                <w:spacing w:val="0"/>
                <w:sz w:val="21"/>
                <w:szCs w:val="21"/>
                <w:shd w:val="clear" w:fill="FFFFFF"/>
              </w:rPr>
              <w:t> 劳动力计划涵盖上述主要工种中的5类及以上，各阶段人数基本合理；特殊工种有持证承诺；劳动力与施工进度的匹配关系基本清晰。</w:t>
            </w:r>
          </w:p>
          <w:p w14:paraId="68CFE49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（3）得3分：</w:t>
            </w:r>
            <w:r>
              <w:rPr>
                <w:rFonts w:hint="default" w:ascii="Segoe UI" w:hAnsi="Segoe UI" w:eastAsia="Segoe UI" w:cs="Segoe UI"/>
                <w:i w:val="0"/>
                <w:iCs w:val="0"/>
                <w:caps w:val="0"/>
                <w:color w:val="0F1115"/>
                <w:spacing w:val="0"/>
                <w:sz w:val="21"/>
                <w:szCs w:val="21"/>
                <w:shd w:val="clear" w:fill="FFFFFF"/>
              </w:rPr>
              <w:t> 劳动力计划涵盖上述主要工种中的4类，但存在以下情况之一：未按施工阶段区分人数（仅提供总数），或部分工种人数明显不合理，或缺少特殊工种持证说明。</w:t>
            </w:r>
          </w:p>
          <w:p w14:paraId="55D22DA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（4）得1.5分：</w:t>
            </w:r>
            <w:r>
              <w:rPr>
                <w:rFonts w:hint="default" w:ascii="Segoe UI" w:hAnsi="Segoe UI" w:eastAsia="Segoe UI" w:cs="Segoe UI"/>
                <w:i w:val="0"/>
                <w:iCs w:val="0"/>
                <w:caps w:val="0"/>
                <w:color w:val="0F1115"/>
                <w:spacing w:val="0"/>
                <w:sz w:val="21"/>
                <w:szCs w:val="21"/>
                <w:shd w:val="clear" w:fill="FFFFFF"/>
              </w:rPr>
              <w:t> 劳动力计划涵盖主要工种中的3类，且未按施工阶段区分人数，无特殊工种持证说明。</w:t>
            </w:r>
          </w:p>
          <w:p w14:paraId="7FA97AD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劳动力计划涵盖主要工种不足3类，或缺少混凝土工、砌筑工、机械操作手中的任意两项，或劳动力人数明显不足，或未提供劳动力安排计划。</w:t>
            </w:r>
          </w:p>
          <w:p w14:paraId="60DC6CA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eastAsia="宋体"/>
                <w:b w:val="0"/>
                <w:bCs w:val="0"/>
                <w:sz w:val="21"/>
                <w:szCs w:val="21"/>
                <w:lang w:eastAsia="zh-CN"/>
              </w:rPr>
            </w:pP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78E31F2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施工总进度计划（横道图或网络图）；关键线路及主要节点；工期保障措施及风险预案；进度滞后纠偏措施。</w:t>
            </w:r>
          </w:p>
          <w:p w14:paraId="3F8C7F1E">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783C6C3B">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（1）得6分：</w:t>
            </w:r>
            <w:r>
              <w:rPr>
                <w:rFonts w:hint="default" w:ascii="Segoe UI" w:hAnsi="Segoe UI" w:eastAsia="Segoe UI" w:cs="Segoe UI"/>
                <w:i w:val="0"/>
                <w:iCs w:val="0"/>
                <w:caps w:val="0"/>
                <w:color w:val="0F1115"/>
                <w:spacing w:val="0"/>
                <w:sz w:val="21"/>
                <w:szCs w:val="21"/>
                <w:shd w:val="clear" w:fill="FFFFFF"/>
              </w:rPr>
              <w:t> 有完整的施工进度计划（横道图或网络图），关键线路标注清晰（涵盖路基、涵洞、路面等主要工序），各工序衔接合理；针对雨天、材料供应延迟、机械故障等影响工期的常见风险有具体应对预案；进度滞后纠偏措施具体可行，能确保120日历天工期目标实现。</w:t>
            </w:r>
          </w:p>
          <w:p w14:paraId="6123359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（2）得4.5分：</w:t>
            </w:r>
            <w:r>
              <w:rPr>
                <w:rFonts w:hint="default" w:ascii="Segoe UI" w:hAnsi="Segoe UI" w:eastAsia="Segoe UI" w:cs="Segoe UI"/>
                <w:i w:val="0"/>
                <w:iCs w:val="0"/>
                <w:caps w:val="0"/>
                <w:color w:val="0F1115"/>
                <w:spacing w:val="0"/>
                <w:sz w:val="21"/>
                <w:szCs w:val="21"/>
                <w:shd w:val="clear" w:fill="FFFFFF"/>
              </w:rPr>
              <w:t> 有施工进度计划，能标注关键线路（至少涵盖路基和路面），各工序衔接基本合理；针对上述风险中不少于2项有应对预案；有进度滞后纠偏措施。</w:t>
            </w:r>
          </w:p>
          <w:p w14:paraId="22BC81A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（3）得3分：</w:t>
            </w:r>
            <w:r>
              <w:rPr>
                <w:rFonts w:hint="default" w:ascii="Segoe UI" w:hAnsi="Segoe UI" w:eastAsia="Segoe UI" w:cs="Segoe UI"/>
                <w:i w:val="0"/>
                <w:iCs w:val="0"/>
                <w:caps w:val="0"/>
                <w:color w:val="0F1115"/>
                <w:spacing w:val="0"/>
                <w:sz w:val="21"/>
                <w:szCs w:val="21"/>
                <w:shd w:val="clear" w:fill="FFFFFF"/>
              </w:rPr>
              <w:t> 有基本的施工进度计划，但存在以下情况之一：关键线路标注不够清晰，或各工序衔接不明确，或工期风险预案仅1项且内容笼统。</w:t>
            </w:r>
          </w:p>
          <w:p w14:paraId="0468884A">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（4）得1.5分：</w:t>
            </w:r>
            <w:r>
              <w:rPr>
                <w:rFonts w:hint="default" w:ascii="Segoe UI" w:hAnsi="Segoe UI" w:eastAsia="Segoe UI" w:cs="Segoe UI"/>
                <w:i w:val="0"/>
                <w:iCs w:val="0"/>
                <w:caps w:val="0"/>
                <w:color w:val="0F1115"/>
                <w:spacing w:val="0"/>
                <w:sz w:val="21"/>
                <w:szCs w:val="21"/>
                <w:shd w:val="clear" w:fill="FFFFFF"/>
              </w:rPr>
              <w:t> 有施工进度计划但过于简单（仅有开竣工日期及少数分项节点），无工期风险应对措施，或纠偏措施不够具体（如仅写“采取措施赶工”而无具体方式）。</w:t>
            </w:r>
          </w:p>
          <w:p w14:paraId="238964D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进度计划仅有开竣工日期而无任何分项节点计划，或方案与本项目工期要求明显不符，或未提供工期技术组织措施。</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66667E4F">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施工现场围挡及警示标识设置；施工扬尘控制措施；施工噪音控制措施；施工废弃物处置方案；材料分类堆放及场地管理；竣工场地清理恢复措施。</w:t>
            </w:r>
          </w:p>
          <w:p w14:paraId="0247931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62C1A78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（1）得6分：</w:t>
            </w:r>
            <w:r>
              <w:rPr>
                <w:rFonts w:hint="default" w:ascii="Segoe UI" w:hAnsi="Segoe UI" w:eastAsia="Segoe UI" w:cs="Segoe UI"/>
                <w:i w:val="0"/>
                <w:iCs w:val="0"/>
                <w:caps w:val="0"/>
                <w:color w:val="0F1115"/>
                <w:spacing w:val="0"/>
                <w:sz w:val="21"/>
                <w:szCs w:val="21"/>
                <w:shd w:val="clear" w:fill="FFFFFF"/>
              </w:rPr>
              <w:t> 文明施工措施完整，涵盖围挡警示、扬尘控制、噪音控制、废弃物处置、材料堆放、竣工场地清理等主要内容，每项措施均有具体的执行标准和检查要求，与本项目紧邻幼儿园、居民区的施工环境相适应。</w:t>
            </w:r>
          </w:p>
          <w:p w14:paraId="6965072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（2）得4.5分：</w:t>
            </w:r>
            <w:r>
              <w:rPr>
                <w:rFonts w:hint="default" w:ascii="Segoe UI" w:hAnsi="Segoe UI" w:eastAsia="Segoe UI" w:cs="Segoe UI"/>
                <w:i w:val="0"/>
                <w:iCs w:val="0"/>
                <w:caps w:val="0"/>
                <w:color w:val="0F1115"/>
                <w:spacing w:val="0"/>
                <w:sz w:val="21"/>
                <w:szCs w:val="21"/>
                <w:shd w:val="clear" w:fill="FFFFFF"/>
              </w:rPr>
              <w:t> 文明施工措施涵盖上述主要内容中的5项及以上，每项有基本的执行要求，与本项目施工环境基本适应。</w:t>
            </w:r>
          </w:p>
          <w:p w14:paraId="155EFC01">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（3）得3分：</w:t>
            </w:r>
            <w:r>
              <w:rPr>
                <w:rFonts w:hint="default" w:ascii="Segoe UI" w:hAnsi="Segoe UI" w:eastAsia="Segoe UI" w:cs="Segoe UI"/>
                <w:i w:val="0"/>
                <w:iCs w:val="0"/>
                <w:caps w:val="0"/>
                <w:color w:val="0F1115"/>
                <w:spacing w:val="0"/>
                <w:sz w:val="21"/>
                <w:szCs w:val="21"/>
                <w:shd w:val="clear" w:fill="FFFFFF"/>
              </w:rPr>
              <w:t> 文明施工措施涵盖上述主要内容中的4项，但部分措施较为笼统（如仅有“做好扬尘控制”而无具体方法）。</w:t>
            </w:r>
          </w:p>
          <w:p w14:paraId="6A3205F3">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（4）得1.5分：</w:t>
            </w:r>
            <w:r>
              <w:rPr>
                <w:rFonts w:hint="default" w:ascii="Segoe UI" w:hAnsi="Segoe UI" w:eastAsia="Segoe UI" w:cs="Segoe UI"/>
                <w:i w:val="0"/>
                <w:iCs w:val="0"/>
                <w:caps w:val="0"/>
                <w:color w:val="0F1115"/>
                <w:spacing w:val="0"/>
                <w:sz w:val="21"/>
                <w:szCs w:val="21"/>
                <w:shd w:val="clear" w:fill="FFFFFF"/>
              </w:rPr>
              <w:t> 文明施工措施涵盖上述主要内容中的3项，大部分措施仅有名称而无具体执行内容。</w:t>
            </w:r>
          </w:p>
          <w:p w14:paraId="0277FDDC">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文明施工措施涵盖上述主要内容不足3项，或方案均为通用模板内容而无任何针对本项目的具体安排，或未提供文明施工技术组织措施。</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8287" w:type="dxa"/>
            <w:gridSpan w:val="2"/>
            <w:vAlign w:val="center"/>
          </w:tcPr>
          <w:p w14:paraId="71862D38">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路基软基处理及压实质量控制；涵洞与路基衔接处沉降控制；水泥混凝土路面施工质量控制（含平整度、厚度、接缝处理）；施工期间交通组织与周边协调；雨季施工及排水措施。</w:t>
            </w:r>
          </w:p>
          <w:p w14:paraId="436A3348">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57783DC1">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（1）得5分：</w:t>
            </w:r>
            <w:r>
              <w:rPr>
                <w:rFonts w:hint="default" w:ascii="Segoe UI" w:hAnsi="Segoe UI" w:eastAsia="Segoe UI" w:cs="Segoe UI"/>
                <w:i w:val="0"/>
                <w:iCs w:val="0"/>
                <w:caps w:val="0"/>
                <w:color w:val="0F1115"/>
                <w:spacing w:val="0"/>
                <w:sz w:val="21"/>
                <w:szCs w:val="21"/>
                <w:shd w:val="clear" w:fill="FFFFFF"/>
              </w:rPr>
              <w:t> 准确识别本项目主要重点难点（含软基处理、涵洞施工、路面平整度控制、交通组织等至少4项），针对各难点提出具体、可行的保证措施（含具体操作方法、控制标准），措施与本项目施工环境相适应。</w:t>
            </w:r>
          </w:p>
          <w:p w14:paraId="2361D0C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（2）得4分：</w:t>
            </w:r>
            <w:r>
              <w:rPr>
                <w:rFonts w:hint="default" w:ascii="Segoe UI" w:hAnsi="Segoe UI" w:eastAsia="Segoe UI" w:cs="Segoe UI"/>
                <w:i w:val="0"/>
                <w:iCs w:val="0"/>
                <w:caps w:val="0"/>
                <w:color w:val="0F1115"/>
                <w:spacing w:val="0"/>
                <w:sz w:val="21"/>
                <w:szCs w:val="21"/>
                <w:shd w:val="clear" w:fill="FFFFFF"/>
              </w:rPr>
              <w:t> 准确识别本项目主要重点难点中的3项，各难点有较合理的保证措施，措施基本可行。</w:t>
            </w:r>
          </w:p>
          <w:p w14:paraId="241384B0">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（3）得3分：</w:t>
            </w:r>
            <w:r>
              <w:rPr>
                <w:rFonts w:hint="default" w:ascii="Segoe UI" w:hAnsi="Segoe UI" w:eastAsia="Segoe UI" w:cs="Segoe UI"/>
                <w:i w:val="0"/>
                <w:iCs w:val="0"/>
                <w:caps w:val="0"/>
                <w:color w:val="0F1115"/>
                <w:spacing w:val="0"/>
                <w:sz w:val="21"/>
                <w:szCs w:val="21"/>
                <w:shd w:val="clear" w:fill="FFFFFF"/>
              </w:rPr>
              <w:t> 识别本项目重点难点中的2项，有基本的保证措施，但部分措施较为笼统或针对性不够强。</w:t>
            </w:r>
          </w:p>
          <w:p w14:paraId="70EB16AE">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（4）得2分：</w:t>
            </w:r>
            <w:r>
              <w:rPr>
                <w:rFonts w:hint="default" w:ascii="Segoe UI" w:hAnsi="Segoe UI" w:eastAsia="Segoe UI" w:cs="Segoe UI"/>
                <w:i w:val="0"/>
                <w:iCs w:val="0"/>
                <w:caps w:val="0"/>
                <w:color w:val="0F1115"/>
                <w:spacing w:val="0"/>
                <w:sz w:val="21"/>
                <w:szCs w:val="21"/>
                <w:shd w:val="clear" w:fill="FFFFFF"/>
              </w:rPr>
              <w:t> 识别本项目重点难点中的1项，有基本的保证措施，但措施较为笼统。</w:t>
            </w:r>
          </w:p>
          <w:p w14:paraId="08FE0E0D">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识别的重点难点与本项目实际不符，或保证措施简单笼统不可行，或未提供重点难点及保证措施。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8287" w:type="dxa"/>
            <w:gridSpan w:val="2"/>
            <w:vAlign w:val="center"/>
          </w:tcPr>
          <w:p w14:paraId="2DB1256A">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 材料堆放区、机械停放区、临时设施区等功能区布置；施工便道及与现有道路的衔接；施工用水用电安排；各功能区与线性施工特点的适配性。</w:t>
            </w:r>
          </w:p>
          <w:p w14:paraId="6EAE58C3">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p>
          <w:p w14:paraId="3629419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（1）得4分：</w:t>
            </w:r>
            <w:r>
              <w:rPr>
                <w:rFonts w:hint="default" w:ascii="Segoe UI" w:hAnsi="Segoe UI" w:eastAsia="Segoe UI" w:cs="Segoe UI"/>
                <w:i w:val="0"/>
                <w:iCs w:val="0"/>
                <w:caps w:val="0"/>
                <w:color w:val="0F1115"/>
                <w:spacing w:val="0"/>
                <w:sz w:val="21"/>
                <w:szCs w:val="21"/>
                <w:shd w:val="clear" w:fill="FFFFFF"/>
              </w:rPr>
              <w:t> 施工总平面布置图功能分区完整（含材料堆放、机械停放、临时设施等主要功能区），各分区位置合理、无交叉干扰；施工便道与现有道路衔接明确；有施工用水用电线路示意；布置与本项目线性施工特点及场地条件相适应。</w:t>
            </w:r>
          </w:p>
          <w:p w14:paraId="1CBCDF94">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（2）得3分：</w:t>
            </w:r>
            <w:r>
              <w:rPr>
                <w:rFonts w:hint="default" w:ascii="Segoe UI" w:hAnsi="Segoe UI" w:eastAsia="Segoe UI" w:cs="Segoe UI"/>
                <w:i w:val="0"/>
                <w:iCs w:val="0"/>
                <w:caps w:val="0"/>
                <w:color w:val="0F1115"/>
                <w:spacing w:val="0"/>
                <w:sz w:val="21"/>
                <w:szCs w:val="21"/>
                <w:shd w:val="clear" w:fill="FFFFFF"/>
              </w:rPr>
              <w:t> 施工总平面布置图功能分区基本完整（含上述主要功能区中的4项及以上），分区基本合理；有施工便道及用水用电安排；与施工场地基本适应。</w:t>
            </w:r>
          </w:p>
          <w:p w14:paraId="2198EA2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（3）得2分：</w:t>
            </w:r>
            <w:r>
              <w:rPr>
                <w:rFonts w:hint="default" w:ascii="Segoe UI" w:hAnsi="Segoe UI" w:eastAsia="Segoe UI" w:cs="Segoe UI"/>
                <w:i w:val="0"/>
                <w:iCs w:val="0"/>
                <w:caps w:val="0"/>
                <w:color w:val="0F1115"/>
                <w:spacing w:val="0"/>
                <w:sz w:val="21"/>
                <w:szCs w:val="21"/>
                <w:shd w:val="clear" w:fill="FFFFFF"/>
              </w:rPr>
              <w:t> 有施工总平面布置图，功能分区涵盖上述主要功能区中的3项，但存在以下情况之一：个别分区位置不够合理，或未标注施工便道及用水用电。</w:t>
            </w:r>
          </w:p>
          <w:p w14:paraId="025BAFD1">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（4）得1分：</w:t>
            </w:r>
            <w:r>
              <w:rPr>
                <w:rFonts w:hint="default" w:ascii="Segoe UI" w:hAnsi="Segoe UI" w:eastAsia="Segoe UI" w:cs="Segoe UI"/>
                <w:i w:val="0"/>
                <w:iCs w:val="0"/>
                <w:caps w:val="0"/>
                <w:color w:val="0F1115"/>
                <w:spacing w:val="0"/>
                <w:sz w:val="21"/>
                <w:szCs w:val="21"/>
                <w:shd w:val="clear" w:fill="FFFFFF"/>
              </w:rPr>
              <w:t> 有施工总平面布置图但过于粗糙，功能分区涵盖上述主要功能区中的2项，或分区位置存在明显不合理。</w:t>
            </w:r>
          </w:p>
          <w:p w14:paraId="72FA3175">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bCs/>
                <w:i w:val="0"/>
                <w:iCs w:val="0"/>
                <w:caps w:val="0"/>
                <w:color w:val="0F1115"/>
                <w:spacing w:val="0"/>
                <w:sz w:val="21"/>
                <w:szCs w:val="21"/>
                <w:shd w:val="clear" w:fill="FFFFFF"/>
              </w:rPr>
              <w:t>（5）得0分：</w:t>
            </w:r>
            <w:r>
              <w:rPr>
                <w:rFonts w:hint="default" w:ascii="Segoe UI" w:hAnsi="Segoe UI" w:eastAsia="Segoe UI" w:cs="Segoe UI"/>
                <w:i w:val="0"/>
                <w:iCs w:val="0"/>
                <w:caps w:val="0"/>
                <w:color w:val="0F1115"/>
                <w:spacing w:val="0"/>
                <w:sz w:val="21"/>
                <w:szCs w:val="21"/>
                <w:shd w:val="clear" w:fill="FFFFFF"/>
              </w:rPr>
              <w:t> 功能分区涵盖不足2项，或与本项目线性施工特点严重不符，或未提供施工总平面布置图。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8287"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rPr>
            </w:pPr>
            <w:r>
              <w:rPr>
                <w:rFonts w:hint="eastAsia" w:ascii="Times New Roman" w:hAnsi="Times New Roman" w:cs="Times New Roman"/>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rPr>
            </w:pPr>
            <w:r>
              <w:rPr>
                <w:rFonts w:hint="eastAsia" w:ascii="Times New Roman" w:hAnsi="Times New Roman" w:cs="Times New Roman"/>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8287" w:type="dxa"/>
            <w:gridSpan w:val="2"/>
            <w:vAlign w:val="top"/>
          </w:tcPr>
          <w:p w14:paraId="7F140F21">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（1）供应商</w:t>
            </w:r>
            <w:r>
              <w:rPr>
                <w:rFonts w:hint="eastAsia" w:ascii="Times New Roman" w:hAnsi="Times New Roman" w:cs="Times New Roman"/>
                <w:b w:val="0"/>
                <w:bCs w:val="0"/>
                <w:kern w:val="0"/>
                <w:sz w:val="21"/>
                <w:szCs w:val="21"/>
                <w:lang w:val="en-US" w:eastAsia="zh-CN" w:bidi="hi-IN"/>
              </w:rPr>
              <w:t>在投标截止时间前3年内</w:t>
            </w:r>
            <w:r>
              <w:rPr>
                <w:rFonts w:hint="default" w:ascii="Times New Roman" w:hAnsi="Times New Roman" w:eastAsia="宋体" w:cs="Times New Roman"/>
                <w:b w:val="0"/>
                <w:bCs w:val="0"/>
                <w:kern w:val="0"/>
                <w:sz w:val="21"/>
                <w:szCs w:val="21"/>
                <w:lang w:val="en-US" w:eastAsia="zh-CN" w:bidi="hi-IN"/>
              </w:rPr>
              <w:t>（以合同签订时间或交（竣）工验收时间为准），承接过道路工程类施工项目的，每提供一个业绩得1分，满分3分。同一项目不重复计分。</w:t>
            </w:r>
          </w:p>
          <w:p w14:paraId="554411A7">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（2）“道路工程类施工项目”指公路工程、道路工程、农村公路工程</w:t>
            </w:r>
            <w:r>
              <w:rPr>
                <w:rFonts w:hint="eastAsia" w:ascii="Times New Roman" w:hAnsi="Times New Roman" w:cs="Times New Roman"/>
                <w:b w:val="0"/>
                <w:bCs w:val="0"/>
                <w:kern w:val="0"/>
                <w:sz w:val="21"/>
                <w:szCs w:val="21"/>
                <w:lang w:val="en-US" w:eastAsia="zh-CN" w:bidi="hi-IN"/>
              </w:rPr>
              <w:t>等</w:t>
            </w:r>
            <w:r>
              <w:rPr>
                <w:rFonts w:hint="default" w:ascii="Times New Roman" w:hAnsi="Times New Roman" w:eastAsia="宋体" w:cs="Times New Roman"/>
                <w:b w:val="0"/>
                <w:bCs w:val="0"/>
                <w:kern w:val="0"/>
                <w:sz w:val="21"/>
                <w:szCs w:val="21"/>
                <w:lang w:val="en-US" w:eastAsia="zh-CN" w:bidi="hi-IN"/>
              </w:rPr>
              <w:t>含有道路工程施工内容的项目。</w:t>
            </w:r>
          </w:p>
          <w:p w14:paraId="51A873D3">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（3）证明材料要求：供应商须提供以下材料之一，否则不予计分：</w:t>
            </w:r>
          </w:p>
          <w:p w14:paraId="63DE519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中标（成交）通知书或施工合同关键页复印件（须包含项目名称、工程内容、合同金额、双方盖章页）；</w:t>
            </w:r>
          </w:p>
          <w:p w14:paraId="1997B47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交工验收证书或竣工验收证明文件或业主出具的完工证明复印件。</w:t>
            </w:r>
          </w:p>
          <w:p w14:paraId="6C8252BA">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上述材料应能清晰反映项目名称、工程内容及供应商名称，模糊不清或关键信息缺失的不予计分。</w:t>
            </w:r>
          </w:p>
          <w:p w14:paraId="2EAAB3CA">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（4）供应商提供的业绩应为自身承揽并完成的项目。通过联合体方式承接的项目，如供应商在联合体中承担道路工程施工内容，可提供联合体协议及能证明其承担相应施工内容的证明材料。</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30"/>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30"/>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30"/>
          <w:rFonts w:hint="default" w:ascii="Segoe UI" w:hAnsi="Segoe UI" w:eastAsia="Segoe UI" w:cs="Segoe UI"/>
          <w:b/>
          <w:bCs/>
          <w:i w:val="0"/>
          <w:iCs w:val="0"/>
          <w:caps w:val="0"/>
          <w:color w:val="0F1115"/>
          <w:spacing w:val="0"/>
          <w:sz w:val="21"/>
          <w:szCs w:val="21"/>
          <w:shd w:val="clear" w:fill="FFFFFF"/>
        </w:rPr>
        <w:t>价格得分</w:t>
      </w:r>
      <w:r>
        <w:rPr>
          <w:rStyle w:val="30"/>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30"/>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30"/>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3"/>
        <w:keepNext w:val="0"/>
        <w:keepLines w:val="0"/>
        <w:widowControl/>
        <w:numPr>
          <w:ilvl w:val="0"/>
          <w:numId w:val="11"/>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591F1FC0">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2BA450CD">
      <w:pPr>
        <w:pStyle w:val="23"/>
        <w:keepNext w:val="0"/>
        <w:keepLines w:val="0"/>
        <w:widowControl/>
        <w:numPr>
          <w:ilvl w:val="0"/>
          <w:numId w:val="11"/>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3"/>
        <w:keepNext w:val="0"/>
        <w:keepLines w:val="0"/>
        <w:widowControl/>
        <w:numPr>
          <w:ilvl w:val="0"/>
          <w:numId w:val="11"/>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3"/>
        <w:keepNext w:val="0"/>
        <w:keepLines w:val="0"/>
        <w:widowControl/>
        <w:numPr>
          <w:ilvl w:val="0"/>
          <w:numId w:val="11"/>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30"/>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30"/>
          <w:rFonts w:hint="default" w:ascii="Segoe UI" w:hAnsi="Segoe UI" w:eastAsia="Segoe UI" w:cs="Segoe UI"/>
          <w:b/>
          <w:i w:val="0"/>
          <w:iCs w:val="0"/>
          <w:caps w:val="0"/>
          <w:color w:val="0F1115"/>
          <w:spacing w:val="0"/>
          <w:sz w:val="21"/>
          <w:szCs w:val="21"/>
          <w:shd w:val="clear" w:fill="FFFFFF"/>
        </w:rPr>
        <w:t>五、评审报告</w:t>
      </w:r>
    </w:p>
    <w:p w14:paraId="1CAD5EDB">
      <w:pPr>
        <w:pStyle w:val="2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3"/>
        <w:keepNext w:val="0"/>
        <w:keepLines w:val="0"/>
        <w:widowControl/>
        <w:numPr>
          <w:ilvl w:val="0"/>
          <w:numId w:val="12"/>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3"/>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82" w:name="_Toc80886940"/>
      <w:bookmarkStart w:id="183" w:name="_Toc80205936"/>
      <w:r>
        <w:rPr>
          <w:rFonts w:hint="eastAsia" w:ascii="宋体" w:hAnsi="宋体" w:eastAsia="宋体" w:cs="宋体"/>
          <w:b/>
          <w:bCs/>
          <w:color w:val="auto"/>
          <w:sz w:val="21"/>
          <w:szCs w:val="21"/>
          <w:highlight w:val="none"/>
          <w:lang w:val="en-US" w:eastAsia="zh-CN" w:bidi="hi-IN"/>
        </w:rPr>
        <w:t>六、评审过程的保密与录像</w:t>
      </w:r>
      <w:bookmarkEnd w:id="182"/>
      <w:bookmarkEnd w:id="183"/>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8"/>
        <w:shd w:val="clear"/>
        <w:rPr>
          <w:rFonts w:hint="eastAsia" w:ascii="宋体" w:hAnsi="宋体" w:cs="宋体"/>
          <w:bCs/>
          <w:color w:val="auto"/>
          <w:sz w:val="21"/>
          <w:szCs w:val="21"/>
          <w:highlight w:val="none"/>
        </w:rPr>
      </w:pPr>
    </w:p>
    <w:p w14:paraId="260214C8">
      <w:pPr>
        <w:pStyle w:val="37"/>
        <w:shd w:val="clear"/>
        <w:rPr>
          <w:rFonts w:hint="eastAsia"/>
          <w:color w:val="auto"/>
          <w:highlight w:val="none"/>
        </w:rPr>
      </w:pPr>
    </w:p>
    <w:p w14:paraId="3C29FAE1">
      <w:pPr>
        <w:pStyle w:val="38"/>
        <w:rPr>
          <w:rFonts w:hint="eastAsia"/>
          <w:color w:val="auto"/>
          <w:highlight w:val="none"/>
        </w:rPr>
      </w:pPr>
    </w:p>
    <w:p w14:paraId="30E9BE93">
      <w:pPr>
        <w:pStyle w:val="37"/>
        <w:rPr>
          <w:rFonts w:hint="eastAsia"/>
          <w:color w:val="auto"/>
          <w:highlight w:val="none"/>
        </w:rPr>
      </w:pPr>
    </w:p>
    <w:p w14:paraId="497D8EF8">
      <w:pPr>
        <w:pStyle w:val="38"/>
        <w:shd w:val="clear"/>
        <w:rPr>
          <w:rFonts w:hint="eastAsia"/>
          <w:color w:val="auto"/>
          <w:highlight w:val="none"/>
        </w:rPr>
      </w:pPr>
    </w:p>
    <w:p w14:paraId="7FF45EF0">
      <w:pPr>
        <w:pStyle w:val="37"/>
        <w:rPr>
          <w:rFonts w:hint="eastAsia"/>
          <w:color w:val="auto"/>
          <w:highlight w:val="none"/>
        </w:rPr>
      </w:pPr>
    </w:p>
    <w:p w14:paraId="28E3E924">
      <w:pPr>
        <w:pStyle w:val="38"/>
        <w:rPr>
          <w:rFonts w:hint="eastAsia"/>
          <w:color w:val="auto"/>
          <w:highlight w:val="none"/>
        </w:rPr>
      </w:pPr>
    </w:p>
    <w:p w14:paraId="3FCED297">
      <w:pPr>
        <w:pStyle w:val="37"/>
        <w:rPr>
          <w:rFonts w:hint="eastAsia"/>
          <w:color w:val="auto"/>
          <w:highlight w:val="none"/>
        </w:rPr>
      </w:pPr>
    </w:p>
    <w:p w14:paraId="598CEAA3">
      <w:pPr>
        <w:pStyle w:val="38"/>
        <w:rPr>
          <w:rFonts w:hint="eastAsia"/>
          <w:color w:val="auto"/>
          <w:highlight w:val="none"/>
        </w:rPr>
      </w:pPr>
    </w:p>
    <w:p w14:paraId="742CC065">
      <w:pPr>
        <w:pStyle w:val="37"/>
        <w:rPr>
          <w:rFonts w:hint="eastAsia"/>
          <w:color w:val="auto"/>
          <w:highlight w:val="none"/>
        </w:rPr>
      </w:pPr>
    </w:p>
    <w:p w14:paraId="147DEE09">
      <w:pPr>
        <w:pStyle w:val="38"/>
        <w:rPr>
          <w:rFonts w:hint="eastAsia"/>
          <w:color w:val="auto"/>
          <w:highlight w:val="none"/>
        </w:rPr>
      </w:pPr>
    </w:p>
    <w:p w14:paraId="6222A96A">
      <w:pPr>
        <w:pStyle w:val="37"/>
        <w:rPr>
          <w:rFonts w:hint="eastAsia"/>
          <w:color w:val="auto"/>
          <w:highlight w:val="none"/>
        </w:rPr>
      </w:pPr>
    </w:p>
    <w:p w14:paraId="20A7A774">
      <w:pPr>
        <w:pStyle w:val="38"/>
        <w:rPr>
          <w:rFonts w:hint="eastAsia"/>
          <w:color w:val="auto"/>
          <w:highlight w:val="none"/>
        </w:rPr>
      </w:pPr>
    </w:p>
    <w:p w14:paraId="7F55B5FD">
      <w:pPr>
        <w:pStyle w:val="37"/>
        <w:rPr>
          <w:rFonts w:hint="eastAsia"/>
          <w:color w:val="auto"/>
          <w:highlight w:val="none"/>
        </w:rPr>
      </w:pPr>
    </w:p>
    <w:p w14:paraId="2D873D5F">
      <w:pPr>
        <w:pStyle w:val="38"/>
        <w:rPr>
          <w:rFonts w:hint="eastAsia"/>
          <w:color w:val="auto"/>
          <w:highlight w:val="none"/>
        </w:rPr>
      </w:pPr>
    </w:p>
    <w:p w14:paraId="041A31D3">
      <w:pPr>
        <w:pStyle w:val="37"/>
        <w:rPr>
          <w:rFonts w:hint="eastAsia"/>
          <w:color w:val="auto"/>
          <w:highlight w:val="none"/>
        </w:rPr>
      </w:pPr>
    </w:p>
    <w:p w14:paraId="35CBA659">
      <w:pPr>
        <w:pStyle w:val="38"/>
        <w:rPr>
          <w:rFonts w:hint="eastAsia"/>
          <w:color w:val="auto"/>
          <w:highlight w:val="none"/>
        </w:rPr>
      </w:pPr>
    </w:p>
    <w:p w14:paraId="4C762312">
      <w:pPr>
        <w:pStyle w:val="37"/>
        <w:rPr>
          <w:rFonts w:hint="eastAsia"/>
          <w:color w:val="auto"/>
          <w:highlight w:val="none"/>
        </w:rPr>
      </w:pPr>
    </w:p>
    <w:p w14:paraId="328D2A9A">
      <w:pPr>
        <w:pStyle w:val="38"/>
        <w:rPr>
          <w:rFonts w:hint="eastAsia"/>
          <w:color w:val="auto"/>
          <w:highlight w:val="none"/>
        </w:rPr>
      </w:pPr>
    </w:p>
    <w:p w14:paraId="70F2805F">
      <w:pPr>
        <w:pStyle w:val="37"/>
        <w:rPr>
          <w:rFonts w:hint="eastAsia"/>
          <w:color w:val="auto"/>
          <w:highlight w:val="none"/>
        </w:rPr>
      </w:pPr>
    </w:p>
    <w:p w14:paraId="20B7BB9F">
      <w:pPr>
        <w:pStyle w:val="38"/>
        <w:rPr>
          <w:rFonts w:hint="eastAsia"/>
        </w:rPr>
      </w:pPr>
    </w:p>
    <w:p w14:paraId="02EEF4DC">
      <w:pPr>
        <w:pStyle w:val="37"/>
        <w:rPr>
          <w:rFonts w:hint="eastAsia"/>
          <w:color w:val="auto"/>
          <w:highlight w:val="none"/>
        </w:rPr>
      </w:pPr>
    </w:p>
    <w:p w14:paraId="4EA2C945">
      <w:pPr>
        <w:pStyle w:val="38"/>
        <w:rPr>
          <w:rFonts w:hint="eastAsia"/>
        </w:rPr>
      </w:pPr>
    </w:p>
    <w:p w14:paraId="2C6D36CA">
      <w:pPr>
        <w:pStyle w:val="38"/>
        <w:rPr>
          <w:rFonts w:hint="eastAsia"/>
          <w:color w:val="auto"/>
          <w:highlight w:val="none"/>
        </w:rPr>
      </w:pPr>
    </w:p>
    <w:p w14:paraId="1141C40F">
      <w:pPr>
        <w:pStyle w:val="37"/>
        <w:rPr>
          <w:rFonts w:hint="eastAsia"/>
          <w:color w:val="auto"/>
          <w:highlight w:val="none"/>
        </w:rPr>
      </w:pPr>
    </w:p>
    <w:p w14:paraId="1B5DF60A">
      <w:pPr>
        <w:pStyle w:val="37"/>
        <w:rPr>
          <w:rFonts w:hint="eastAsia"/>
          <w:color w:val="auto"/>
          <w:highlight w:val="none"/>
        </w:rPr>
      </w:pPr>
    </w:p>
    <w:p w14:paraId="34AB8A4A">
      <w:pPr>
        <w:pStyle w:val="38"/>
        <w:rPr>
          <w:rFonts w:hint="eastAsia"/>
          <w:color w:val="auto"/>
          <w:highlight w:val="none"/>
        </w:rPr>
      </w:pPr>
    </w:p>
    <w:p w14:paraId="598437E7">
      <w:pPr>
        <w:pStyle w:val="37"/>
        <w:rPr>
          <w:rFonts w:hint="eastAsia"/>
          <w:color w:val="auto"/>
          <w:highlight w:val="none"/>
        </w:rPr>
      </w:pPr>
    </w:p>
    <w:p w14:paraId="39DBE206">
      <w:pPr>
        <w:rPr>
          <w:rFonts w:hint="eastAsia" w:ascii="宋体" w:hAnsi="宋体"/>
          <w:b/>
          <w:bCs/>
          <w:color w:val="auto"/>
          <w:sz w:val="21"/>
          <w:szCs w:val="21"/>
          <w:highlight w:val="none"/>
        </w:rPr>
      </w:pPr>
    </w:p>
    <w:p w14:paraId="4BC852A5">
      <w:pPr>
        <w:pStyle w:val="37"/>
        <w:shd w:val="clear"/>
        <w:spacing w:line="360" w:lineRule="auto"/>
        <w:jc w:val="center"/>
        <w:outlineLvl w:val="0"/>
        <w:rPr>
          <w:rFonts w:hint="eastAsia" w:ascii="宋体" w:hAnsi="宋体"/>
          <w:b/>
          <w:color w:val="auto"/>
          <w:sz w:val="32"/>
          <w:szCs w:val="32"/>
          <w:highlight w:val="none"/>
        </w:rPr>
      </w:pPr>
      <w:bookmarkStart w:id="184" w:name="_Toc5706"/>
      <w:r>
        <w:rPr>
          <w:rFonts w:hint="eastAsia" w:ascii="宋体" w:hAnsi="宋体"/>
          <w:b/>
          <w:color w:val="auto"/>
          <w:sz w:val="32"/>
          <w:szCs w:val="32"/>
          <w:highlight w:val="none"/>
        </w:rPr>
        <w:t>第七章</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施工图纸及工程量清单</w:t>
      </w:r>
      <w:bookmarkEnd w:id="184"/>
    </w:p>
    <w:p w14:paraId="7A1E0B10">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3"/>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）在线申请获取采购文件时，可同步下载PDF格式的施工图纸文件。</w:t>
      </w:r>
    </w:p>
    <w:p w14:paraId="2D10E996">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3"/>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3"/>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3"/>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3"/>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eastAsia="zh-CN"/>
        </w:rPr>
        <w:t>（</w:t>
      </w:r>
      <w:r>
        <w:rPr>
          <w:rFonts w:hint="eastAsia" w:cs="宋体"/>
          <w:b w:val="0"/>
          <w:bCs w:val="0"/>
          <w:i w:val="0"/>
          <w:iCs w:val="0"/>
          <w:caps w:val="0"/>
          <w:color w:val="0F1115"/>
          <w:spacing w:val="0"/>
          <w:sz w:val="21"/>
          <w:szCs w:val="21"/>
          <w:shd w:val="clear" w:fill="FFFFFF"/>
          <w:lang w:val="en-US" w:eastAsia="zh-CN"/>
        </w:rPr>
        <w:t>如有</w:t>
      </w:r>
      <w:r>
        <w:rPr>
          <w:rFonts w:hint="eastAsia" w:cs="宋体"/>
          <w:b w:val="0"/>
          <w:bCs w:val="0"/>
          <w:i w:val="0"/>
          <w:iCs w:val="0"/>
          <w:caps w:val="0"/>
          <w:color w:val="0F1115"/>
          <w:spacing w:val="0"/>
          <w:sz w:val="21"/>
          <w:szCs w:val="21"/>
          <w:shd w:val="clear" w:fill="FFFFFF"/>
          <w:lang w:eastAsia="zh-CN"/>
        </w:rPr>
        <w:t>）</w:t>
      </w:r>
      <w:r>
        <w:rPr>
          <w:rFonts w:hint="eastAsia" w:ascii="宋体" w:hAnsi="宋体" w:eastAsia="宋体" w:cs="宋体"/>
          <w:b w:val="0"/>
          <w:bCs w:val="0"/>
          <w:i w:val="0"/>
          <w:iCs w:val="0"/>
          <w:caps w:val="0"/>
          <w:color w:val="0F1115"/>
          <w:spacing w:val="0"/>
          <w:sz w:val="21"/>
          <w:szCs w:val="21"/>
          <w:shd w:val="clear" w:fill="FFFFFF"/>
        </w:rPr>
        <w:t>：安全文明施工费、暂列金额、专业工程暂估价、材料暂估价</w:t>
      </w:r>
      <w:r>
        <w:rPr>
          <w:rFonts w:hint="eastAsia" w:cs="宋体"/>
          <w:b w:val="0"/>
          <w:bCs w:val="0"/>
          <w:i w:val="0"/>
          <w:iCs w:val="0"/>
          <w:caps w:val="0"/>
          <w:color w:val="0F1115"/>
          <w:spacing w:val="0"/>
          <w:sz w:val="21"/>
          <w:szCs w:val="21"/>
          <w:shd w:val="clear" w:fill="FFFFFF"/>
          <w:lang w:eastAsia="zh-CN"/>
        </w:rPr>
        <w:t>、</w:t>
      </w:r>
      <w:r>
        <w:rPr>
          <w:rFonts w:ascii="Segoe UI" w:hAnsi="Segoe UI" w:eastAsia="Segoe UI" w:cs="Segoe UI"/>
          <w:i w:val="0"/>
          <w:iCs w:val="0"/>
          <w:caps w:val="0"/>
          <w:color w:val="0F1115"/>
          <w:spacing w:val="0"/>
          <w:sz w:val="22"/>
          <w:szCs w:val="22"/>
          <w:shd w:val="clear" w:fill="FFFFFF"/>
        </w:rPr>
        <w:t>保险、安全生产费</w:t>
      </w:r>
      <w:r>
        <w:rPr>
          <w:rFonts w:hint="eastAsia" w:ascii="宋体" w:hAnsi="宋体" w:eastAsia="宋体" w:cs="宋体"/>
          <w:b w:val="0"/>
          <w:bCs w:val="0"/>
          <w:i w:val="0"/>
          <w:iCs w:val="0"/>
          <w:caps w:val="0"/>
          <w:color w:val="0F1115"/>
          <w:spacing w:val="0"/>
          <w:sz w:val="21"/>
          <w:szCs w:val="21"/>
          <w:shd w:val="clear" w:fill="FFFFFF"/>
        </w:rPr>
        <w:t>等不可竞争费用，必须按PDF清单中给定的金额原样填报，不得修改。供应商擅自调整不可竞争费用的，响应文件按无效处理。</w:t>
      </w:r>
    </w:p>
    <w:p w14:paraId="4CDF79E4">
      <w:pPr>
        <w:pStyle w:val="23"/>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3"/>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9F35EA5-B782-41E4-A515-F179A371ADC6}"/>
  </w:font>
  <w:font w:name="黑体">
    <w:panose1 w:val="02010609060101010101"/>
    <w:charset w:val="86"/>
    <w:family w:val="auto"/>
    <w:pitch w:val="default"/>
    <w:sig w:usb0="800002BF" w:usb1="38CF7CFA" w:usb2="00000016" w:usb3="00000000" w:csb0="00040001" w:csb1="00000000"/>
    <w:embedRegular r:id="rId2" w:fontKey="{0A11F3F7-6998-470C-86A8-91D4A493AFB6}"/>
  </w:font>
  <w:font w:name="Courier New">
    <w:panose1 w:val="02070309020205020404"/>
    <w:charset w:val="01"/>
    <w:family w:val="modern"/>
    <w:pitch w:val="default"/>
    <w:sig w:usb0="E0002EFF" w:usb1="C0007843" w:usb2="00000009" w:usb3="00000000" w:csb0="400001FF" w:csb1="FFFF0000"/>
    <w:embedRegular r:id="rId3" w:fontKey="{36B33F9E-22A1-4D21-9CE0-3227759DFD9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3F04C7D-8D05-412C-BB3C-27871BFE40D3}"/>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10600010101010101"/>
    <w:charset w:val="86"/>
    <w:family w:val="script"/>
    <w:pitch w:val="default"/>
    <w:sig w:usb0="00000001" w:usb1="080E0000" w:usb2="00000000" w:usb3="00000000" w:csb0="00040000" w:csb1="00000000"/>
    <w:embedRegular r:id="rId5" w:fontKey="{C0BC64D2-B89A-495B-B9E5-5CD410A93B4B}"/>
  </w:font>
  <w:font w:name="仿宋_GB2312">
    <w:panose1 w:val="02010609030101010101"/>
    <w:charset w:val="86"/>
    <w:family w:val="modern"/>
    <w:pitch w:val="default"/>
    <w:sig w:usb0="00000001" w:usb1="080E0000" w:usb2="00000000" w:usb3="00000000" w:csb0="00040000" w:csb1="00000000"/>
    <w:embedRegular r:id="rId6" w:fontKey="{A848E2FB-7D95-4247-AD82-F1E4E9EEEAA6}"/>
  </w:font>
  <w:font w:name="Segoe UI">
    <w:panose1 w:val="020B0502040204020203"/>
    <w:charset w:val="00"/>
    <w:family w:val="auto"/>
    <w:pitch w:val="default"/>
    <w:sig w:usb0="E4002EFF" w:usb1="C000E47F" w:usb2="00000009" w:usb3="00000000" w:csb0="200001FF" w:csb1="00000000"/>
    <w:embedRegular r:id="rId7" w:fontKey="{7BA09F76-A117-450A-8A86-0A3588FC7802}"/>
  </w:font>
  <w:font w:name="方正隶书简体">
    <w:altName w:val="宋体"/>
    <w:panose1 w:val="00000000000000000000"/>
    <w:charset w:val="86"/>
    <w:family w:val="roman"/>
    <w:pitch w:val="default"/>
    <w:sig w:usb0="00000000" w:usb1="00000000" w:usb2="00000000" w:usb3="00000000" w:csb0="00040001" w:csb1="00000000"/>
    <w:embedRegular r:id="rId8" w:fontKey="{3897CF59-0320-44F3-8669-D5235CB2B9AE}"/>
  </w:font>
  <w:font w:name="楷体_GB2312">
    <w:panose1 w:val="02010609030101010101"/>
    <w:charset w:val="86"/>
    <w:family w:val="modern"/>
    <w:pitch w:val="default"/>
    <w:sig w:usb0="00000001" w:usb1="080E0000" w:usb2="00000000" w:usb3="00000000" w:csb0="00040000" w:csb1="00000000"/>
    <w:embedRegular r:id="rId9" w:fontKey="{E1BB678C-5296-4F08-ABC7-AFC972574B29}"/>
  </w:font>
  <w:font w:name="WPSEMBED1">
    <w:panose1 w:val="0201060001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KSOFC540DBD5">
    <w:panose1 w:val="02020500000000000000"/>
    <w:charset w:val="88"/>
    <w:family w:val="auto"/>
    <w:pitch w:val="default"/>
    <w:sig w:usb0="00000001" w:usb1="00000000" w:usb2="00000000" w:usb3="00000000" w:csb0="00100001" w:csb1="00000000"/>
  </w:font>
  <w:font w:name="KSOF1F1C4616">
    <w:panose1 w:val="02020500000000000000"/>
    <w:charset w:val="88"/>
    <w:family w:val="auto"/>
    <w:pitch w:val="default"/>
    <w:sig w:usb0="00000001" w:usb1="00000000" w:usb2="00000000" w:usb3="00000000" w:csb0="00100001" w:csb1="00000000"/>
  </w:font>
  <w:font w:name="KSOF6B657194">
    <w:panose1 w:val="02020500000000000000"/>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8"/>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Fonts w:hint="eastAsia"/>
      </w:rPr>
      <w:t>６</w:t>
    </w:r>
    <w:r>
      <w:rPr>
        <w:rStyle w:val="31"/>
      </w:rPr>
      <w:fldChar w:fldCharType="end"/>
    </w:r>
  </w:p>
  <w:p w14:paraId="32637BF6">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8"/>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FDD3F">
    <w:pPr>
      <w:pStyle w:val="18"/>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95855">
                          <w:pPr>
                            <w:pStyle w:val="18"/>
                          </w:pPr>
                          <w:r>
                            <w:fldChar w:fldCharType="begin"/>
                          </w:r>
                          <w:r>
                            <w:instrText xml:space="preserve"> PAGE  \* MERGEFORMAT </w:instrText>
                          </w:r>
                          <w:r>
                            <w:fldChar w:fldCharType="separate"/>
                          </w:r>
                          <w:r>
                            <w:t>五十四</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3B95855">
                    <w:pPr>
                      <w:pStyle w:val="18"/>
                    </w:pPr>
                    <w:r>
                      <w:fldChar w:fldCharType="begin"/>
                    </w:r>
                    <w:r>
                      <w:instrText xml:space="preserve"> PAGE  \* MERGEFORMAT </w:instrText>
                    </w:r>
                    <w:r>
                      <w:fldChar w:fldCharType="separate"/>
                    </w:r>
                    <w:r>
                      <w:t>五十四</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30E6A">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8603F">
                          <w:pPr>
                            <w:pStyle w:val="18"/>
                          </w:pPr>
                          <w:r>
                            <w:fldChar w:fldCharType="begin"/>
                          </w:r>
                          <w:r>
                            <w:instrText xml:space="preserve"> PAGE  \* MERGEFORMAT </w:instrText>
                          </w:r>
                          <w:r>
                            <w:fldChar w:fldCharType="separate"/>
                          </w:r>
                          <w:r>
                            <w:t>一</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4B8603F">
                    <w:pPr>
                      <w:pStyle w:val="18"/>
                    </w:pPr>
                    <w:r>
                      <w:fldChar w:fldCharType="begin"/>
                    </w:r>
                    <w:r>
                      <w:instrText xml:space="preserve"> PAGE  \* MERGEFORMAT </w:instrText>
                    </w:r>
                    <w:r>
                      <w:fldChar w:fldCharType="separate"/>
                    </w:r>
                    <w:r>
                      <w:t>一</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BCD61">
                          <w:pPr>
                            <w:pStyle w:val="1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8BCD61">
                    <w:pPr>
                      <w:pStyle w:val="18"/>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A7E">
    <w:pPr>
      <w:pStyle w:val="1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F31A4">
                          <w:pPr>
                            <w:pStyle w:val="18"/>
                          </w:pPr>
                          <w:r>
                            <w:fldChar w:fldCharType="begin"/>
                          </w:r>
                          <w:r>
                            <w:instrText xml:space="preserve"> PAGE  \* MERGEFORMAT </w:instrText>
                          </w:r>
                          <w:r>
                            <w:fldChar w:fldCharType="separate"/>
                          </w:r>
                          <w:r>
                            <w:t>六十五</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C9F31A4">
                    <w:pPr>
                      <w:pStyle w:val="18"/>
                    </w:pPr>
                    <w:r>
                      <w:fldChar w:fldCharType="begin"/>
                    </w:r>
                    <w:r>
                      <w:instrText xml:space="preserve"> PAGE  \* MERGEFORMAT </w:instrText>
                    </w:r>
                    <w:r>
                      <w:fldChar w:fldCharType="separate"/>
                    </w:r>
                    <w:r>
                      <w:t>六十五</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9"/>
      <w:pBdr>
        <w:bottom w:val="none" w:color="auto" w:sz="0" w:space="0"/>
      </w:pBdr>
    </w:pPr>
  </w:p>
  <w:p w14:paraId="5CCA760E">
    <w:pPr>
      <w:pStyle w:val="19"/>
      <w:pBdr>
        <w:bottom w:val="none" w:color="auto" w:sz="0" w:space="0"/>
      </w:pBdr>
    </w:pPr>
  </w:p>
  <w:p w14:paraId="48C1BBE5">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6"/>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9"/>
      <w:pBdr>
        <w:bottom w:val="single" w:color="auto" w:sz="4" w:space="1"/>
      </w:pBdr>
      <w:rPr>
        <w:rFonts w:hint="default" w:ascii="宋体" w:hAnsi="宋体" w:eastAsia="宋体" w:cs="宋体"/>
        <w:sz w:val="28"/>
        <w:szCs w:val="28"/>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7E2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8B3B9"/>
    <w:multiLevelType w:val="singleLevel"/>
    <w:tmpl w:val="8E88B3B9"/>
    <w:lvl w:ilvl="0" w:tentative="0">
      <w:start w:val="8"/>
      <w:numFmt w:val="decimal"/>
      <w:suff w:val="nothing"/>
      <w:lvlText w:val="%1、"/>
      <w:lvlJc w:val="left"/>
    </w:lvl>
  </w:abstractNum>
  <w:abstractNum w:abstractNumId="1">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2">
    <w:nsid w:val="9F4A3266"/>
    <w:multiLevelType w:val="singleLevel"/>
    <w:tmpl w:val="9F4A3266"/>
    <w:lvl w:ilvl="0" w:tentative="0">
      <w:start w:val="1"/>
      <w:numFmt w:val="decimal"/>
      <w:lvlText w:val="(%1)"/>
      <w:lvlJc w:val="left"/>
      <w:pPr>
        <w:ind w:left="425" w:hanging="425"/>
      </w:pPr>
      <w:rPr>
        <w:rFonts w:hint="default"/>
      </w:rPr>
    </w:lvl>
  </w:abstractNum>
  <w:abstractNum w:abstractNumId="3">
    <w:nsid w:val="AA34FD10"/>
    <w:multiLevelType w:val="singleLevel"/>
    <w:tmpl w:val="AA34FD10"/>
    <w:lvl w:ilvl="0" w:tentative="0">
      <w:start w:val="1"/>
      <w:numFmt w:val="chineseCounting"/>
      <w:suff w:val="space"/>
      <w:lvlText w:val="第%1章"/>
      <w:lvlJc w:val="left"/>
      <w:rPr>
        <w:rFonts w:hint="eastAsia"/>
      </w:rPr>
    </w:lvl>
  </w:abstractNum>
  <w:abstractNum w:abstractNumId="4">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5">
    <w:nsid w:val="D4EB7B2A"/>
    <w:multiLevelType w:val="singleLevel"/>
    <w:tmpl w:val="D4EB7B2A"/>
    <w:lvl w:ilvl="0" w:tentative="0">
      <w:start w:val="5"/>
      <w:numFmt w:val="chineseCounting"/>
      <w:suff w:val="nothing"/>
      <w:lvlText w:val="%1、"/>
      <w:lvlJc w:val="left"/>
      <w:rPr>
        <w:rFonts w:hint="eastAsia"/>
      </w:rPr>
    </w:lvl>
  </w:abstractNum>
  <w:abstractNum w:abstractNumId="6">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8">
    <w:nsid w:val="25A594E3"/>
    <w:multiLevelType w:val="singleLevel"/>
    <w:tmpl w:val="25A594E3"/>
    <w:lvl w:ilvl="0" w:tentative="0">
      <w:start w:val="1"/>
      <w:numFmt w:val="decimal"/>
      <w:suff w:val="nothing"/>
      <w:lvlText w:val="%1．"/>
      <w:lvlJc w:val="left"/>
      <w:pPr>
        <w:ind w:left="0" w:firstLine="400"/>
      </w:pPr>
      <w:rPr>
        <w:rFonts w:hint="default"/>
      </w:rPr>
    </w:lvl>
  </w:abstractNum>
  <w:abstractNum w:abstractNumId="9">
    <w:nsid w:val="36D5AC9B"/>
    <w:multiLevelType w:val="singleLevel"/>
    <w:tmpl w:val="36D5AC9B"/>
    <w:lvl w:ilvl="0" w:tentative="0">
      <w:start w:val="1"/>
      <w:numFmt w:val="decimal"/>
      <w:lvlText w:val="(%1)"/>
      <w:lvlJc w:val="left"/>
      <w:pPr>
        <w:ind w:left="425" w:hanging="425"/>
      </w:pPr>
      <w:rPr>
        <w:rFonts w:hint="default"/>
      </w:rPr>
    </w:lvl>
  </w:abstractNum>
  <w:abstractNum w:abstractNumId="10">
    <w:nsid w:val="38278932"/>
    <w:multiLevelType w:val="singleLevel"/>
    <w:tmpl w:val="38278932"/>
    <w:lvl w:ilvl="0" w:tentative="0">
      <w:start w:val="1"/>
      <w:numFmt w:val="decimal"/>
      <w:lvlText w:val="(%1)"/>
      <w:lvlJc w:val="left"/>
      <w:pPr>
        <w:ind w:left="425" w:hanging="425"/>
      </w:pPr>
      <w:rPr>
        <w:rFonts w:hint="default"/>
      </w:rPr>
    </w:lvl>
  </w:abstractNum>
  <w:abstractNum w:abstractNumId="11">
    <w:nsid w:val="3F768CD9"/>
    <w:multiLevelType w:val="singleLevel"/>
    <w:tmpl w:val="3F768CD9"/>
    <w:lvl w:ilvl="0" w:tentative="0">
      <w:start w:val="1"/>
      <w:numFmt w:val="decimal"/>
      <w:suff w:val="nothing"/>
      <w:lvlText w:val="%1．"/>
      <w:lvlJc w:val="left"/>
      <w:pPr>
        <w:ind w:left="0" w:firstLine="400"/>
      </w:pPr>
      <w:rPr>
        <w:rFonts w:hint="default"/>
      </w:rPr>
    </w:lvl>
  </w:abstractNum>
  <w:abstractNum w:abstractNumId="12">
    <w:nsid w:val="697E4BDF"/>
    <w:multiLevelType w:val="singleLevel"/>
    <w:tmpl w:val="697E4BDF"/>
    <w:lvl w:ilvl="0" w:tentative="0">
      <w:start w:val="5"/>
      <w:numFmt w:val="decimal"/>
      <w:suff w:val="nothing"/>
      <w:lvlText w:val="%1、"/>
      <w:lvlJc w:val="left"/>
    </w:lvl>
  </w:abstractNum>
  <w:num w:numId="1">
    <w:abstractNumId w:val="6"/>
  </w:num>
  <w:num w:numId="2">
    <w:abstractNumId w:val="3"/>
  </w:num>
  <w:num w:numId="3">
    <w:abstractNumId w:val="11"/>
  </w:num>
  <w:num w:numId="4">
    <w:abstractNumId w:val="8"/>
  </w:num>
  <w:num w:numId="5">
    <w:abstractNumId w:val="12"/>
  </w:num>
  <w:num w:numId="6">
    <w:abstractNumId w:val="7"/>
  </w:num>
  <w:num w:numId="7">
    <w:abstractNumId w:val="0"/>
  </w:num>
  <w:num w:numId="8">
    <w:abstractNumId w:val="5"/>
  </w:num>
  <w:num w:numId="9">
    <w:abstractNumId w:val="10"/>
  </w:num>
  <w:num w:numId="10">
    <w:abstractNumId w:val="2"/>
  </w:num>
  <w:num w:numId="11">
    <w:abstractNumId w:val="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OTJlM2JmNjM2OWEyNTEzZjNjMDdkODNhNzIwYzUifQ=="/>
  </w:docVars>
  <w:rsids>
    <w:rsidRoot w:val="54F246F3"/>
    <w:rsid w:val="00076391"/>
    <w:rsid w:val="002027AF"/>
    <w:rsid w:val="00BC57CD"/>
    <w:rsid w:val="01750F64"/>
    <w:rsid w:val="01B34312"/>
    <w:rsid w:val="01D86637"/>
    <w:rsid w:val="02E01C47"/>
    <w:rsid w:val="030C4C45"/>
    <w:rsid w:val="03A73866"/>
    <w:rsid w:val="03EC15E0"/>
    <w:rsid w:val="046C100E"/>
    <w:rsid w:val="05232D6F"/>
    <w:rsid w:val="053E0EA6"/>
    <w:rsid w:val="055F58C5"/>
    <w:rsid w:val="06243F22"/>
    <w:rsid w:val="06356FCC"/>
    <w:rsid w:val="06500FA6"/>
    <w:rsid w:val="06731F0E"/>
    <w:rsid w:val="06C9165F"/>
    <w:rsid w:val="06CB57BF"/>
    <w:rsid w:val="071F55C0"/>
    <w:rsid w:val="078D191A"/>
    <w:rsid w:val="090745A8"/>
    <w:rsid w:val="09176EE3"/>
    <w:rsid w:val="091E79DC"/>
    <w:rsid w:val="09383B80"/>
    <w:rsid w:val="09593447"/>
    <w:rsid w:val="09595CA6"/>
    <w:rsid w:val="09D744AE"/>
    <w:rsid w:val="09F62494"/>
    <w:rsid w:val="0A0F3206"/>
    <w:rsid w:val="0A80489F"/>
    <w:rsid w:val="0A8C4462"/>
    <w:rsid w:val="0AAE0EC7"/>
    <w:rsid w:val="0AD457D5"/>
    <w:rsid w:val="0B005F5D"/>
    <w:rsid w:val="0BB02781"/>
    <w:rsid w:val="0BB50C28"/>
    <w:rsid w:val="0BFB2792"/>
    <w:rsid w:val="0C3A0683"/>
    <w:rsid w:val="0C536B2D"/>
    <w:rsid w:val="0CC92D62"/>
    <w:rsid w:val="0D6D3FE9"/>
    <w:rsid w:val="0D867784"/>
    <w:rsid w:val="0DE421C4"/>
    <w:rsid w:val="0E3D4936"/>
    <w:rsid w:val="0E481F01"/>
    <w:rsid w:val="0E6049DB"/>
    <w:rsid w:val="0E8A0CB9"/>
    <w:rsid w:val="0F01138E"/>
    <w:rsid w:val="0F011424"/>
    <w:rsid w:val="0F293C18"/>
    <w:rsid w:val="0FCF68E2"/>
    <w:rsid w:val="0FF27563"/>
    <w:rsid w:val="101A7939"/>
    <w:rsid w:val="1050630F"/>
    <w:rsid w:val="109F51B3"/>
    <w:rsid w:val="10BA3678"/>
    <w:rsid w:val="10D25C88"/>
    <w:rsid w:val="11440B1A"/>
    <w:rsid w:val="11545714"/>
    <w:rsid w:val="117429AC"/>
    <w:rsid w:val="11C11B68"/>
    <w:rsid w:val="11E46932"/>
    <w:rsid w:val="12081C36"/>
    <w:rsid w:val="12123139"/>
    <w:rsid w:val="12165F7C"/>
    <w:rsid w:val="128424D9"/>
    <w:rsid w:val="128D4776"/>
    <w:rsid w:val="12B9274D"/>
    <w:rsid w:val="12F35C08"/>
    <w:rsid w:val="131D034D"/>
    <w:rsid w:val="1324110B"/>
    <w:rsid w:val="13500F2D"/>
    <w:rsid w:val="14142CE9"/>
    <w:rsid w:val="14A40C86"/>
    <w:rsid w:val="14FA380C"/>
    <w:rsid w:val="157F49CF"/>
    <w:rsid w:val="15E40F64"/>
    <w:rsid w:val="16024CD6"/>
    <w:rsid w:val="162271F9"/>
    <w:rsid w:val="162440F1"/>
    <w:rsid w:val="16592588"/>
    <w:rsid w:val="167223F0"/>
    <w:rsid w:val="16B965DF"/>
    <w:rsid w:val="16E8540C"/>
    <w:rsid w:val="173A448D"/>
    <w:rsid w:val="17716417"/>
    <w:rsid w:val="182030CC"/>
    <w:rsid w:val="19373E49"/>
    <w:rsid w:val="19A1391A"/>
    <w:rsid w:val="19B56C9A"/>
    <w:rsid w:val="1A2455D2"/>
    <w:rsid w:val="1A4051E0"/>
    <w:rsid w:val="1A9C7618"/>
    <w:rsid w:val="1ADA0506"/>
    <w:rsid w:val="1B8914A7"/>
    <w:rsid w:val="1B9B51B5"/>
    <w:rsid w:val="1C7E55CF"/>
    <w:rsid w:val="1CF00444"/>
    <w:rsid w:val="1D020B93"/>
    <w:rsid w:val="1D9864DE"/>
    <w:rsid w:val="1E5B4F24"/>
    <w:rsid w:val="1E641C9C"/>
    <w:rsid w:val="1F0B4909"/>
    <w:rsid w:val="1FE77392"/>
    <w:rsid w:val="20833BCE"/>
    <w:rsid w:val="20CF3CE7"/>
    <w:rsid w:val="20DD2CF7"/>
    <w:rsid w:val="20FE5975"/>
    <w:rsid w:val="21EB5A51"/>
    <w:rsid w:val="22385AFF"/>
    <w:rsid w:val="223B0A51"/>
    <w:rsid w:val="225D7B60"/>
    <w:rsid w:val="22FA02FF"/>
    <w:rsid w:val="238021F7"/>
    <w:rsid w:val="23C3584E"/>
    <w:rsid w:val="24284DA4"/>
    <w:rsid w:val="243005EF"/>
    <w:rsid w:val="24DB3944"/>
    <w:rsid w:val="24FA112D"/>
    <w:rsid w:val="25170E91"/>
    <w:rsid w:val="253D2794"/>
    <w:rsid w:val="25720129"/>
    <w:rsid w:val="257E3626"/>
    <w:rsid w:val="261A1516"/>
    <w:rsid w:val="2628728A"/>
    <w:rsid w:val="26612BE0"/>
    <w:rsid w:val="284D6D68"/>
    <w:rsid w:val="29593C3B"/>
    <w:rsid w:val="29DD1C30"/>
    <w:rsid w:val="2A272532"/>
    <w:rsid w:val="2A28618B"/>
    <w:rsid w:val="2A37190A"/>
    <w:rsid w:val="2AA77BC3"/>
    <w:rsid w:val="2ABC734E"/>
    <w:rsid w:val="2B6B2962"/>
    <w:rsid w:val="2B88422F"/>
    <w:rsid w:val="2B952D9C"/>
    <w:rsid w:val="2CCC0D34"/>
    <w:rsid w:val="2D181815"/>
    <w:rsid w:val="2D1934DC"/>
    <w:rsid w:val="2D67115C"/>
    <w:rsid w:val="2D683E6D"/>
    <w:rsid w:val="2DA955AB"/>
    <w:rsid w:val="2DD4186B"/>
    <w:rsid w:val="2E1C30BA"/>
    <w:rsid w:val="2F1D6D82"/>
    <w:rsid w:val="2F2B6A56"/>
    <w:rsid w:val="2F494D9F"/>
    <w:rsid w:val="2FF73BA9"/>
    <w:rsid w:val="30D0400A"/>
    <w:rsid w:val="311F0661"/>
    <w:rsid w:val="32500B82"/>
    <w:rsid w:val="32D71062"/>
    <w:rsid w:val="3342616B"/>
    <w:rsid w:val="33B67FF6"/>
    <w:rsid w:val="3550491B"/>
    <w:rsid w:val="355D19BD"/>
    <w:rsid w:val="35B83119"/>
    <w:rsid w:val="35BF6BEA"/>
    <w:rsid w:val="363634B7"/>
    <w:rsid w:val="36B22128"/>
    <w:rsid w:val="36EC0DEF"/>
    <w:rsid w:val="378676A1"/>
    <w:rsid w:val="37E8011B"/>
    <w:rsid w:val="38282C21"/>
    <w:rsid w:val="38BE13A1"/>
    <w:rsid w:val="39467D8B"/>
    <w:rsid w:val="39494261"/>
    <w:rsid w:val="395169EF"/>
    <w:rsid w:val="39BF6F5A"/>
    <w:rsid w:val="3A033549"/>
    <w:rsid w:val="3A477BE0"/>
    <w:rsid w:val="3A701685"/>
    <w:rsid w:val="3A9657FF"/>
    <w:rsid w:val="3BD85463"/>
    <w:rsid w:val="3C5502A8"/>
    <w:rsid w:val="3CAE03B6"/>
    <w:rsid w:val="3CC86CCC"/>
    <w:rsid w:val="3CD043D5"/>
    <w:rsid w:val="3D91058D"/>
    <w:rsid w:val="3E304B29"/>
    <w:rsid w:val="3E36702A"/>
    <w:rsid w:val="3E860F63"/>
    <w:rsid w:val="3EA862F6"/>
    <w:rsid w:val="3EB114AF"/>
    <w:rsid w:val="3EEA1A03"/>
    <w:rsid w:val="3EF43DA9"/>
    <w:rsid w:val="3F530122"/>
    <w:rsid w:val="3F9D6704"/>
    <w:rsid w:val="3FDD4AC1"/>
    <w:rsid w:val="3FDF1755"/>
    <w:rsid w:val="3FEF5E51"/>
    <w:rsid w:val="4064002A"/>
    <w:rsid w:val="40CB68E8"/>
    <w:rsid w:val="413C678F"/>
    <w:rsid w:val="41517290"/>
    <w:rsid w:val="418457DD"/>
    <w:rsid w:val="41952473"/>
    <w:rsid w:val="41B67CD7"/>
    <w:rsid w:val="420C5218"/>
    <w:rsid w:val="422057AC"/>
    <w:rsid w:val="429D4387"/>
    <w:rsid w:val="42EF6D61"/>
    <w:rsid w:val="42FB3958"/>
    <w:rsid w:val="432F233E"/>
    <w:rsid w:val="43496A57"/>
    <w:rsid w:val="437B5863"/>
    <w:rsid w:val="43C53DFE"/>
    <w:rsid w:val="43D7463E"/>
    <w:rsid w:val="4408426B"/>
    <w:rsid w:val="442E2B2D"/>
    <w:rsid w:val="449F74D0"/>
    <w:rsid w:val="44FA0B37"/>
    <w:rsid w:val="459E6943"/>
    <w:rsid w:val="45CC5F5C"/>
    <w:rsid w:val="46291052"/>
    <w:rsid w:val="46571466"/>
    <w:rsid w:val="468530D4"/>
    <w:rsid w:val="46964169"/>
    <w:rsid w:val="46A165C4"/>
    <w:rsid w:val="46A40FA9"/>
    <w:rsid w:val="46BD1F00"/>
    <w:rsid w:val="46E37CCC"/>
    <w:rsid w:val="471368FC"/>
    <w:rsid w:val="4719745D"/>
    <w:rsid w:val="47202054"/>
    <w:rsid w:val="47212364"/>
    <w:rsid w:val="47A21449"/>
    <w:rsid w:val="483A6747"/>
    <w:rsid w:val="487E1A6D"/>
    <w:rsid w:val="489C2ECF"/>
    <w:rsid w:val="497C4C55"/>
    <w:rsid w:val="49AB775A"/>
    <w:rsid w:val="49B542D6"/>
    <w:rsid w:val="49D27F33"/>
    <w:rsid w:val="4A1009F7"/>
    <w:rsid w:val="4A3F3133"/>
    <w:rsid w:val="4AA2290B"/>
    <w:rsid w:val="4AB5333A"/>
    <w:rsid w:val="4ABF5578"/>
    <w:rsid w:val="4B417D35"/>
    <w:rsid w:val="4B447E66"/>
    <w:rsid w:val="4B6127C6"/>
    <w:rsid w:val="4B650E36"/>
    <w:rsid w:val="4B80578B"/>
    <w:rsid w:val="4BE930B3"/>
    <w:rsid w:val="4BF47E47"/>
    <w:rsid w:val="4BFE2ECA"/>
    <w:rsid w:val="4C0A4957"/>
    <w:rsid w:val="4C1A360D"/>
    <w:rsid w:val="4CF65AB9"/>
    <w:rsid w:val="4CF827F2"/>
    <w:rsid w:val="4D3B2BA3"/>
    <w:rsid w:val="4DE5001D"/>
    <w:rsid w:val="4F070E72"/>
    <w:rsid w:val="4F165675"/>
    <w:rsid w:val="4F422A08"/>
    <w:rsid w:val="4F52428A"/>
    <w:rsid w:val="4F5469EE"/>
    <w:rsid w:val="4F5F78A0"/>
    <w:rsid w:val="4FB5642B"/>
    <w:rsid w:val="4FD96636"/>
    <w:rsid w:val="4FD97F17"/>
    <w:rsid w:val="50040BD3"/>
    <w:rsid w:val="506E408B"/>
    <w:rsid w:val="508F3C1A"/>
    <w:rsid w:val="50B548F3"/>
    <w:rsid w:val="50BE2A56"/>
    <w:rsid w:val="50EA2026"/>
    <w:rsid w:val="50FE4613"/>
    <w:rsid w:val="514A4455"/>
    <w:rsid w:val="5155508B"/>
    <w:rsid w:val="51724B29"/>
    <w:rsid w:val="517C3F43"/>
    <w:rsid w:val="517D2C22"/>
    <w:rsid w:val="51885E41"/>
    <w:rsid w:val="51BA49DD"/>
    <w:rsid w:val="51C21AE4"/>
    <w:rsid w:val="52CC5B4A"/>
    <w:rsid w:val="52FC4970"/>
    <w:rsid w:val="538E0D55"/>
    <w:rsid w:val="539F5BD0"/>
    <w:rsid w:val="53E76A21"/>
    <w:rsid w:val="54342B51"/>
    <w:rsid w:val="54396EBA"/>
    <w:rsid w:val="54493109"/>
    <w:rsid w:val="54A7497D"/>
    <w:rsid w:val="54C92530"/>
    <w:rsid w:val="54F246F3"/>
    <w:rsid w:val="552D4E0B"/>
    <w:rsid w:val="55604FD5"/>
    <w:rsid w:val="559E0172"/>
    <w:rsid w:val="55C7591B"/>
    <w:rsid w:val="55E7730D"/>
    <w:rsid w:val="5618081B"/>
    <w:rsid w:val="56C5399A"/>
    <w:rsid w:val="571D70FC"/>
    <w:rsid w:val="57511389"/>
    <w:rsid w:val="57B819BF"/>
    <w:rsid w:val="57CF589D"/>
    <w:rsid w:val="585A65D3"/>
    <w:rsid w:val="586E19AF"/>
    <w:rsid w:val="58876674"/>
    <w:rsid w:val="58B41CD7"/>
    <w:rsid w:val="58E41580"/>
    <w:rsid w:val="591C5F7E"/>
    <w:rsid w:val="59225DE1"/>
    <w:rsid w:val="592B7501"/>
    <w:rsid w:val="59B60656"/>
    <w:rsid w:val="5A232B92"/>
    <w:rsid w:val="5A3F1DEC"/>
    <w:rsid w:val="5A4D2FA3"/>
    <w:rsid w:val="5AFE55D9"/>
    <w:rsid w:val="5B334B73"/>
    <w:rsid w:val="5B823F90"/>
    <w:rsid w:val="5C4031EC"/>
    <w:rsid w:val="5C55629B"/>
    <w:rsid w:val="5CA31DF4"/>
    <w:rsid w:val="5CE63DA4"/>
    <w:rsid w:val="5CFC3B7E"/>
    <w:rsid w:val="5D137776"/>
    <w:rsid w:val="5D480DFC"/>
    <w:rsid w:val="5D6372EB"/>
    <w:rsid w:val="5DDA108E"/>
    <w:rsid w:val="5E795A3E"/>
    <w:rsid w:val="5EBA0F8E"/>
    <w:rsid w:val="5EC734CA"/>
    <w:rsid w:val="5EE476C6"/>
    <w:rsid w:val="5F011BCF"/>
    <w:rsid w:val="5F5B0B0A"/>
    <w:rsid w:val="5FC046E2"/>
    <w:rsid w:val="5FC71D2A"/>
    <w:rsid w:val="602E0357"/>
    <w:rsid w:val="60D77618"/>
    <w:rsid w:val="61280E76"/>
    <w:rsid w:val="616B7AA3"/>
    <w:rsid w:val="619B092C"/>
    <w:rsid w:val="620A1069"/>
    <w:rsid w:val="622C7BD9"/>
    <w:rsid w:val="629B6165"/>
    <w:rsid w:val="62AD632D"/>
    <w:rsid w:val="63772175"/>
    <w:rsid w:val="63B82D47"/>
    <w:rsid w:val="641C6983"/>
    <w:rsid w:val="644B4AAF"/>
    <w:rsid w:val="64555026"/>
    <w:rsid w:val="64A930CD"/>
    <w:rsid w:val="652229C3"/>
    <w:rsid w:val="65887133"/>
    <w:rsid w:val="65B35CAB"/>
    <w:rsid w:val="65BF7472"/>
    <w:rsid w:val="65C538FA"/>
    <w:rsid w:val="65CD5006"/>
    <w:rsid w:val="66197962"/>
    <w:rsid w:val="661A0273"/>
    <w:rsid w:val="662352EF"/>
    <w:rsid w:val="663544CE"/>
    <w:rsid w:val="673063C4"/>
    <w:rsid w:val="67D82F6B"/>
    <w:rsid w:val="68920B0B"/>
    <w:rsid w:val="68B97345"/>
    <w:rsid w:val="68BC0BE4"/>
    <w:rsid w:val="691557A5"/>
    <w:rsid w:val="691D3B46"/>
    <w:rsid w:val="693469CC"/>
    <w:rsid w:val="69C82B4D"/>
    <w:rsid w:val="69D84234"/>
    <w:rsid w:val="69EB0AAC"/>
    <w:rsid w:val="6A2776DE"/>
    <w:rsid w:val="6A2829D5"/>
    <w:rsid w:val="6AF528AA"/>
    <w:rsid w:val="6AFB5BA3"/>
    <w:rsid w:val="6AFB6ED0"/>
    <w:rsid w:val="6C027255"/>
    <w:rsid w:val="6C070D0B"/>
    <w:rsid w:val="6C180827"/>
    <w:rsid w:val="6D5C18F8"/>
    <w:rsid w:val="6D8B497C"/>
    <w:rsid w:val="6DC13221"/>
    <w:rsid w:val="6DE06E27"/>
    <w:rsid w:val="6E273A79"/>
    <w:rsid w:val="6E6762F6"/>
    <w:rsid w:val="6EBD2F41"/>
    <w:rsid w:val="6F0A4B1A"/>
    <w:rsid w:val="6FB21682"/>
    <w:rsid w:val="6FC25579"/>
    <w:rsid w:val="6FF07F5B"/>
    <w:rsid w:val="6FFF2A18"/>
    <w:rsid w:val="701C22BD"/>
    <w:rsid w:val="708C17E3"/>
    <w:rsid w:val="70E84778"/>
    <w:rsid w:val="70FA18C3"/>
    <w:rsid w:val="71420D0E"/>
    <w:rsid w:val="7169619C"/>
    <w:rsid w:val="71744516"/>
    <w:rsid w:val="717515A1"/>
    <w:rsid w:val="71781C4C"/>
    <w:rsid w:val="727644F9"/>
    <w:rsid w:val="72AA0252"/>
    <w:rsid w:val="72C46C87"/>
    <w:rsid w:val="72F943F2"/>
    <w:rsid w:val="731352DC"/>
    <w:rsid w:val="739E64DC"/>
    <w:rsid w:val="73C03FFE"/>
    <w:rsid w:val="73FC2B38"/>
    <w:rsid w:val="73FE7A11"/>
    <w:rsid w:val="741D4694"/>
    <w:rsid w:val="74377176"/>
    <w:rsid w:val="745F621A"/>
    <w:rsid w:val="74736BDD"/>
    <w:rsid w:val="74CB70BF"/>
    <w:rsid w:val="75660855"/>
    <w:rsid w:val="7599649C"/>
    <w:rsid w:val="76843DDC"/>
    <w:rsid w:val="768B4D49"/>
    <w:rsid w:val="768C3D6E"/>
    <w:rsid w:val="76CD6AFD"/>
    <w:rsid w:val="7727635A"/>
    <w:rsid w:val="77DF12DF"/>
    <w:rsid w:val="77E17995"/>
    <w:rsid w:val="78070D9C"/>
    <w:rsid w:val="784D529F"/>
    <w:rsid w:val="7855384B"/>
    <w:rsid w:val="7943435E"/>
    <w:rsid w:val="795443BD"/>
    <w:rsid w:val="797E22F7"/>
    <w:rsid w:val="79CF730C"/>
    <w:rsid w:val="79E955B1"/>
    <w:rsid w:val="79FB07DC"/>
    <w:rsid w:val="7A160FF1"/>
    <w:rsid w:val="7A2E6824"/>
    <w:rsid w:val="7A4D7EA7"/>
    <w:rsid w:val="7AB85890"/>
    <w:rsid w:val="7ADC3C75"/>
    <w:rsid w:val="7AE91634"/>
    <w:rsid w:val="7B6F1D5A"/>
    <w:rsid w:val="7BA619AB"/>
    <w:rsid w:val="7CA51C63"/>
    <w:rsid w:val="7CB71996"/>
    <w:rsid w:val="7CCB2423"/>
    <w:rsid w:val="7CD253C3"/>
    <w:rsid w:val="7D9F041B"/>
    <w:rsid w:val="7DAA52D3"/>
    <w:rsid w:val="7DE42296"/>
    <w:rsid w:val="7E573F37"/>
    <w:rsid w:val="7E9C48E7"/>
    <w:rsid w:val="7EF51AA5"/>
    <w:rsid w:val="7F0F20D3"/>
    <w:rsid w:val="7F2705D6"/>
    <w:rsid w:val="7F5D730F"/>
    <w:rsid w:val="7F863749"/>
    <w:rsid w:val="7FA04BD5"/>
    <w:rsid w:val="7FA4628C"/>
    <w:rsid w:val="7FBA6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nhideWhenUsed="0" w:uiPriority="1"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autoRedefine/>
    <w:qFormat/>
    <w:uiPriority w:val="99"/>
    <w:pPr>
      <w:keepNext/>
      <w:keepLines/>
      <w:spacing w:line="400" w:lineRule="exact"/>
      <w:outlineLvl w:val="0"/>
    </w:pPr>
    <w:rPr>
      <w:b/>
      <w:kern w:val="0"/>
      <w:sz w:val="44"/>
    </w:rPr>
  </w:style>
  <w:style w:type="paragraph" w:styleId="4">
    <w:name w:val="heading 2"/>
    <w:basedOn w:val="1"/>
    <w:next w:val="1"/>
    <w:autoRedefine/>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autoRedefine/>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autoRedefine/>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7">
    <w:name w:val="heading 5"/>
    <w:basedOn w:val="1"/>
    <w:next w:val="1"/>
    <w:qFormat/>
    <w:uiPriority w:val="1"/>
    <w:pPr>
      <w:spacing w:beforeLines="0" w:afterLines="0"/>
      <w:ind w:left="107"/>
      <w:outlineLvl w:val="4"/>
    </w:pPr>
    <w:rPr>
      <w:rFonts w:hint="eastAsia" w:ascii="黑体" w:eastAsia="黑体"/>
      <w:sz w:val="30"/>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9">
    <w:name w:val="Default Paragraph Font"/>
    <w:autoRedefine/>
    <w:semiHidden/>
    <w:qFormat/>
    <w:uiPriority w:val="0"/>
  </w:style>
  <w:style w:type="table" w:default="1" w:styleId="27">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Normal Indent"/>
    <w:basedOn w:val="1"/>
    <w:autoRedefine/>
    <w:qFormat/>
    <w:uiPriority w:val="0"/>
    <w:pPr>
      <w:widowControl/>
      <w:ind w:firstLine="420"/>
      <w:jc w:val="left"/>
    </w:pPr>
    <w:rPr>
      <w:kern w:val="0"/>
      <w:sz w:val="20"/>
    </w:rPr>
  </w:style>
  <w:style w:type="paragraph" w:styleId="9">
    <w:name w:val="toa heading"/>
    <w:basedOn w:val="1"/>
    <w:next w:val="1"/>
    <w:autoRedefine/>
    <w:qFormat/>
    <w:uiPriority w:val="0"/>
    <w:rPr>
      <w:rFonts w:ascii="Arial" w:hAnsi="Arial" w:eastAsia="宋体" w:cs="Times New Roman"/>
      <w:sz w:val="24"/>
    </w:rPr>
  </w:style>
  <w:style w:type="paragraph" w:styleId="10">
    <w:name w:val="annotation text"/>
    <w:basedOn w:val="1"/>
    <w:autoRedefine/>
    <w:qFormat/>
    <w:uiPriority w:val="0"/>
    <w:pPr>
      <w:jc w:val="left"/>
    </w:pPr>
  </w:style>
  <w:style w:type="paragraph" w:styleId="11">
    <w:name w:val="index 6"/>
    <w:basedOn w:val="1"/>
    <w:next w:val="1"/>
    <w:autoRedefine/>
    <w:qFormat/>
    <w:uiPriority w:val="0"/>
    <w:pPr>
      <w:ind w:left="1000" w:leftChars="1000"/>
    </w:pPr>
  </w:style>
  <w:style w:type="paragraph" w:styleId="12">
    <w:name w:val="Body Text"/>
    <w:basedOn w:val="1"/>
    <w:next w:val="1"/>
    <w:autoRedefine/>
    <w:semiHidden/>
    <w:qFormat/>
    <w:uiPriority w:val="0"/>
    <w:pPr>
      <w:spacing w:after="120"/>
    </w:pPr>
  </w:style>
  <w:style w:type="paragraph" w:styleId="13">
    <w:name w:val="Body Text Indent"/>
    <w:basedOn w:val="1"/>
    <w:next w:val="14"/>
    <w:autoRedefine/>
    <w:qFormat/>
    <w:uiPriority w:val="0"/>
    <w:pPr>
      <w:spacing w:line="200" w:lineRule="exact"/>
      <w:ind w:firstLine="301"/>
    </w:pPr>
    <w:rPr>
      <w:rFonts w:ascii="宋体" w:hAnsi="Courier New"/>
      <w:spacing w:val="-4"/>
      <w:sz w:val="18"/>
    </w:rPr>
  </w:style>
  <w:style w:type="paragraph" w:customStyle="1" w:styleId="14">
    <w:name w:val="Default"/>
    <w:next w:val="15"/>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6">
    <w:name w:val="Plain Text"/>
    <w:basedOn w:val="1"/>
    <w:autoRedefine/>
    <w:qFormat/>
    <w:uiPriority w:val="99"/>
    <w:rPr>
      <w:rFonts w:ascii="宋体" w:hAnsi="宋体"/>
    </w:rPr>
  </w:style>
  <w:style w:type="paragraph" w:styleId="17">
    <w:name w:val="Date"/>
    <w:basedOn w:val="1"/>
    <w:next w:val="1"/>
    <w:autoRedefine/>
    <w:qFormat/>
    <w:uiPriority w:val="0"/>
    <w:rPr>
      <w:rFonts w:ascii="宋体"/>
      <w:color w:val="000000"/>
      <w:kern w:val="0"/>
      <w:sz w:val="30"/>
    </w:rPr>
  </w:style>
  <w:style w:type="paragraph" w:styleId="18">
    <w:name w:val="footer"/>
    <w:basedOn w:val="1"/>
    <w:autoRedefine/>
    <w:qFormat/>
    <w:uiPriority w:val="99"/>
    <w:pPr>
      <w:tabs>
        <w:tab w:val="center" w:pos="4153"/>
        <w:tab w:val="right" w:pos="8306"/>
      </w:tabs>
      <w:snapToGrid w:val="0"/>
      <w:jc w:val="left"/>
    </w:pPr>
    <w:rPr>
      <w:rFonts w:cs="Mangal"/>
      <w:sz w:val="18"/>
      <w:szCs w:val="16"/>
    </w:rPr>
  </w:style>
  <w:style w:type="paragraph" w:styleId="19">
    <w:name w:val="header"/>
    <w:basedOn w:val="1"/>
    <w:autoRedefine/>
    <w:qFormat/>
    <w:uiPriority w:val="99"/>
    <w:pPr>
      <w:pBdr>
        <w:bottom w:val="single" w:color="auto" w:sz="6" w:space="1"/>
      </w:pBdr>
      <w:tabs>
        <w:tab w:val="center" w:pos="4153"/>
        <w:tab w:val="right" w:pos="8306"/>
      </w:tabs>
      <w:snapToGrid w:val="0"/>
      <w:jc w:val="center"/>
    </w:pPr>
    <w:rPr>
      <w:sz w:val="18"/>
    </w:rPr>
  </w:style>
  <w:style w:type="paragraph" w:styleId="20">
    <w:name w:val="toc 1"/>
    <w:basedOn w:val="1"/>
    <w:next w:val="1"/>
    <w:autoRedefine/>
    <w:qFormat/>
    <w:uiPriority w:val="39"/>
  </w:style>
  <w:style w:type="paragraph" w:styleId="21">
    <w:name w:val="toc 2"/>
    <w:basedOn w:val="1"/>
    <w:next w:val="1"/>
    <w:autoRedefine/>
    <w:qFormat/>
    <w:uiPriority w:val="0"/>
    <w:pPr>
      <w:tabs>
        <w:tab w:val="right" w:leader="dot" w:pos="9060"/>
      </w:tabs>
      <w:ind w:left="210"/>
      <w:jc w:val="left"/>
    </w:pPr>
    <w:rPr>
      <w:rFonts w:ascii="宋体" w:hAnsi="宋体"/>
      <w:smallCaps/>
      <w:kern w:val="0"/>
      <w:sz w:val="24"/>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4">
    <w:name w:val="index 1"/>
    <w:basedOn w:val="1"/>
    <w:next w:val="1"/>
    <w:autoRedefine/>
    <w:qFormat/>
    <w:uiPriority w:val="99"/>
  </w:style>
  <w:style w:type="paragraph" w:styleId="25">
    <w:name w:val="Title"/>
    <w:basedOn w:val="1"/>
    <w:next w:val="1"/>
    <w:autoRedefine/>
    <w:qFormat/>
    <w:uiPriority w:val="10"/>
    <w:pPr>
      <w:spacing w:before="240" w:after="60"/>
      <w:jc w:val="center"/>
      <w:outlineLvl w:val="0"/>
    </w:pPr>
    <w:rPr>
      <w:rFonts w:ascii="Cambria" w:hAnsi="Cambria"/>
      <w:b/>
      <w:bCs/>
      <w:sz w:val="32"/>
      <w:szCs w:val="32"/>
    </w:rPr>
  </w:style>
  <w:style w:type="paragraph" w:styleId="26">
    <w:name w:val="Body Text First Indent 2"/>
    <w:basedOn w:val="1"/>
    <w:autoRedefine/>
    <w:unhideWhenUsed/>
    <w:qFormat/>
    <w:uiPriority w:val="99"/>
    <w:pPr>
      <w:ind w:firstLine="420" w:firstLineChars="200"/>
    </w:pPr>
  </w:style>
  <w:style w:type="table" w:styleId="28">
    <w:name w:val="Table Grid"/>
    <w:basedOn w:val="27"/>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0">
    <w:name w:val="Strong"/>
    <w:basedOn w:val="29"/>
    <w:qFormat/>
    <w:uiPriority w:val="0"/>
    <w:rPr>
      <w:b/>
    </w:rPr>
  </w:style>
  <w:style w:type="character" w:styleId="31">
    <w:name w:val="page number"/>
    <w:basedOn w:val="29"/>
    <w:autoRedefine/>
    <w:qFormat/>
    <w:uiPriority w:val="99"/>
    <w:rPr>
      <w:rFonts w:cs="Times New Roman"/>
    </w:rPr>
  </w:style>
  <w:style w:type="character" w:styleId="32">
    <w:name w:val="FollowedHyperlink"/>
    <w:basedOn w:val="29"/>
    <w:autoRedefine/>
    <w:qFormat/>
    <w:uiPriority w:val="0"/>
    <w:rPr>
      <w:color w:val="800080"/>
      <w:u w:val="none"/>
    </w:rPr>
  </w:style>
  <w:style w:type="character" w:styleId="33">
    <w:name w:val="Hyperlink"/>
    <w:basedOn w:val="29"/>
    <w:qFormat/>
    <w:uiPriority w:val="0"/>
    <w:rPr>
      <w:color w:val="0000FF"/>
      <w:u w:val="single"/>
    </w:rPr>
  </w:style>
  <w:style w:type="paragraph" w:customStyle="1" w:styleId="34">
    <w:name w:val="表格文字"/>
    <w:basedOn w:val="13"/>
    <w:next w:val="12"/>
    <w:autoRedefine/>
    <w:qFormat/>
    <w:uiPriority w:val="0"/>
    <w:pPr>
      <w:jc w:val="left"/>
    </w:pPr>
    <w:rPr>
      <w:bCs/>
      <w:spacing w:val="10"/>
      <w:sz w:val="24"/>
    </w:rPr>
  </w:style>
  <w:style w:type="paragraph" w:customStyle="1" w:styleId="35">
    <w:name w:val="BodyText1I2"/>
    <w:basedOn w:val="36"/>
    <w:autoRedefine/>
    <w:qFormat/>
    <w:uiPriority w:val="0"/>
    <w:pPr>
      <w:ind w:firstLine="200" w:firstLineChars="200"/>
    </w:pPr>
  </w:style>
  <w:style w:type="paragraph" w:customStyle="1" w:styleId="36">
    <w:name w:val="BodyTextIndent"/>
    <w:basedOn w:val="1"/>
    <w:autoRedefine/>
    <w:qFormat/>
    <w:uiPriority w:val="0"/>
    <w:pPr>
      <w:spacing w:after="120"/>
      <w:ind w:left="420" w:leftChars="200"/>
    </w:pPr>
  </w:style>
  <w:style w:type="paragraph" w:customStyle="1" w:styleId="37">
    <w:name w:val="正文1"/>
    <w:next w:val="3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文本1"/>
    <w:basedOn w:val="37"/>
    <w:next w:val="37"/>
    <w:autoRedefine/>
    <w:qFormat/>
    <w:uiPriority w:val="0"/>
    <w:rPr>
      <w:rFonts w:ascii="金山简黑体" w:hAnsi="金山简黑体" w:eastAsia="金山简黑体"/>
      <w:b/>
      <w:spacing w:val="-8"/>
      <w:sz w:val="44"/>
      <w:szCs w:val="20"/>
    </w:rPr>
  </w:style>
  <w:style w:type="paragraph" w:customStyle="1" w:styleId="39">
    <w:name w:val="目录 11"/>
    <w:basedOn w:val="37"/>
    <w:next w:val="37"/>
    <w:autoRedefine/>
    <w:qFormat/>
    <w:uiPriority w:val="39"/>
    <w:pPr>
      <w:tabs>
        <w:tab w:val="right" w:leader="dot" w:pos="9628"/>
      </w:tabs>
    </w:pPr>
    <w:rPr>
      <w:rFonts w:ascii="宋体" w:hAnsi="宋体"/>
      <w:b/>
      <w:color w:val="000000"/>
      <w:sz w:val="32"/>
      <w:szCs w:val="32"/>
    </w:rPr>
  </w:style>
  <w:style w:type="paragraph" w:customStyle="1" w:styleId="40">
    <w:name w:val="正文缩进1"/>
    <w:basedOn w:val="37"/>
    <w:autoRedefine/>
    <w:qFormat/>
    <w:uiPriority w:val="0"/>
    <w:pPr>
      <w:spacing w:line="200" w:lineRule="exact"/>
      <w:ind w:firstLine="301"/>
    </w:pPr>
    <w:rPr>
      <w:rFonts w:ascii="宋体" w:hAnsi="宋体"/>
      <w:spacing w:val="-4"/>
      <w:sz w:val="18"/>
      <w:szCs w:val="20"/>
    </w:rPr>
  </w:style>
  <w:style w:type="paragraph" w:customStyle="1" w:styleId="41">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2">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3">
    <w:name w:val="标题 31"/>
    <w:basedOn w:val="37"/>
    <w:next w:val="37"/>
    <w:autoRedefine/>
    <w:qFormat/>
    <w:uiPriority w:val="0"/>
    <w:pPr>
      <w:keepNext/>
      <w:keepLines/>
      <w:spacing w:before="260" w:after="260" w:line="415" w:lineRule="auto"/>
      <w:outlineLvl w:val="2"/>
    </w:pPr>
    <w:rPr>
      <w:b/>
      <w:bCs/>
      <w:sz w:val="32"/>
      <w:szCs w:val="32"/>
    </w:rPr>
  </w:style>
  <w:style w:type="paragraph" w:customStyle="1" w:styleId="44">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Table Paragraph"/>
    <w:basedOn w:val="37"/>
    <w:autoRedefine/>
    <w:qFormat/>
    <w:uiPriority w:val="1"/>
    <w:rPr>
      <w:rFonts w:ascii="宋体" w:hAnsi="宋体" w:eastAsia="宋体" w:cs="宋体"/>
      <w:lang w:val="zh-CN" w:eastAsia="zh-CN" w:bidi="zh-CN"/>
    </w:rPr>
  </w:style>
  <w:style w:type="paragraph" w:customStyle="1" w:styleId="46">
    <w:name w:val="页眉1"/>
    <w:basedOn w:val="37"/>
    <w:autoRedefine/>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7">
    <w:name w:val="页脚1"/>
    <w:basedOn w:val="37"/>
    <w:autoRedefine/>
    <w:qFormat/>
    <w:uiPriority w:val="99"/>
    <w:pPr>
      <w:tabs>
        <w:tab w:val="center" w:pos="4153"/>
        <w:tab w:val="right" w:pos="8306"/>
      </w:tabs>
      <w:snapToGrid w:val="0"/>
      <w:jc w:val="left"/>
    </w:pPr>
    <w:rPr>
      <w:rFonts w:ascii="宋体" w:hAnsi="宋体"/>
      <w:sz w:val="18"/>
      <w:szCs w:val="20"/>
    </w:rPr>
  </w:style>
  <w:style w:type="paragraph" w:customStyle="1" w:styleId="48">
    <w:name w:val="段落2"/>
    <w:basedOn w:val="1"/>
    <w:autoRedefine/>
    <w:qFormat/>
    <w:uiPriority w:val="0"/>
    <w:pPr>
      <w:spacing w:line="360" w:lineRule="auto"/>
      <w:ind w:firstLine="480" w:firstLineChars="200"/>
    </w:pPr>
    <w:rPr>
      <w:rFonts w:ascii="Calibri" w:hAnsi="Calibri" w:eastAsia="宋体" w:cs="Courier New"/>
      <w:sz w:val="24"/>
      <w:szCs w:val="21"/>
    </w:rPr>
  </w:style>
  <w:style w:type="paragraph" w:customStyle="1" w:styleId="49">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0">
    <w:name w:val="目录 21"/>
    <w:basedOn w:val="37"/>
    <w:next w:val="37"/>
    <w:autoRedefine/>
    <w:qFormat/>
    <w:uiPriority w:val="0"/>
    <w:pPr>
      <w:ind w:left="420"/>
    </w:pPr>
  </w:style>
  <w:style w:type="paragraph" w:customStyle="1" w:styleId="5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标题 #7 (4)"/>
    <w:basedOn w:val="1"/>
    <w:autoRedefine/>
    <w:qFormat/>
    <w:uiPriority w:val="0"/>
    <w:pPr>
      <w:shd w:val="clear" w:color="auto" w:fill="FFFFFF"/>
      <w:autoSpaceDE/>
      <w:autoSpaceDN/>
      <w:adjustRightInd/>
      <w:spacing w:after="1020" w:line="240" w:lineRule="atLeast"/>
      <w:outlineLvl w:val="6"/>
    </w:pPr>
    <w:rPr>
      <w:rFonts w:hint="default" w:ascii="MingLiU" w:hAnsi="MingLiU" w:eastAsia="MingLiU"/>
      <w:sz w:val="26"/>
      <w:szCs w:val="26"/>
    </w:rPr>
  </w:style>
  <w:style w:type="character" w:customStyle="1" w:styleId="54">
    <w:name w:val="标题 #7 (4) + 间距 7 pt"/>
    <w:autoRedefine/>
    <w:qFormat/>
    <w:uiPriority w:val="0"/>
    <w:rPr>
      <w:rFonts w:ascii="MingLiU" w:hAnsi="MingLiU" w:eastAsia="MingLiU"/>
      <w:color w:val="000000"/>
      <w:spacing w:val="140"/>
      <w:w w:val="100"/>
      <w:position w:val="0"/>
      <w:sz w:val="26"/>
      <w:szCs w:val="26"/>
      <w:lang w:val="zh-CN" w:eastAsia="zh-CN" w:bidi="ar-SA"/>
    </w:rPr>
  </w:style>
  <w:style w:type="paragraph" w:customStyle="1" w:styleId="55">
    <w:name w:val="正文文本 (2)4"/>
    <w:basedOn w:val="1"/>
    <w:autoRedefine/>
    <w:qFormat/>
    <w:uiPriority w:val="0"/>
    <w:pPr>
      <w:shd w:val="clear" w:color="auto" w:fill="FFFFFF"/>
      <w:autoSpaceDE/>
      <w:autoSpaceDN/>
      <w:adjustRightInd/>
      <w:spacing w:before="300" w:line="439" w:lineRule="exact"/>
      <w:jc w:val="distribute"/>
    </w:pPr>
    <w:rPr>
      <w:rFonts w:hint="default" w:ascii="MingLiU" w:hAnsi="MingLiU" w:eastAsia="MingLiU"/>
      <w:spacing w:val="20"/>
      <w:sz w:val="22"/>
      <w:szCs w:val="22"/>
      <w:shd w:val="clear" w:color="auto" w:fill="FFFFFF"/>
    </w:rPr>
  </w:style>
  <w:style w:type="character" w:customStyle="1" w:styleId="56">
    <w:name w:val="正文文本 (2) + 间距 0 pt2"/>
    <w:autoRedefine/>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57">
    <w:name w:val="正文文本 (2) + 5.5 pt"/>
    <w:autoRedefine/>
    <w:qFormat/>
    <w:uiPriority w:val="0"/>
    <w:rPr>
      <w:rFonts w:ascii="MingLiU" w:hAnsi="MingLiU" w:eastAsia="MingLiU" w:cs="MingLiU"/>
      <w:i/>
      <w:iCs/>
      <w:color w:val="000000"/>
      <w:spacing w:val="10"/>
      <w:w w:val="100"/>
      <w:position w:val="0"/>
      <w:sz w:val="11"/>
      <w:szCs w:val="11"/>
      <w:u w:val="none"/>
      <w:shd w:val="clear" w:color="auto" w:fill="FFFFFF"/>
      <w:lang w:val="zh-CN" w:eastAsia="zh-CN"/>
    </w:rPr>
  </w:style>
  <w:style w:type="paragraph" w:customStyle="1" w:styleId="58">
    <w:name w:val="标题 #8"/>
    <w:basedOn w:val="1"/>
    <w:autoRedefine/>
    <w:qFormat/>
    <w:uiPriority w:val="0"/>
    <w:pPr>
      <w:shd w:val="clear" w:color="auto" w:fill="FFFFFF"/>
      <w:autoSpaceDE/>
      <w:autoSpaceDN/>
      <w:adjustRightInd/>
      <w:spacing w:before="120" w:after="420" w:line="0" w:lineRule="atLeast"/>
      <w:outlineLvl w:val="7"/>
    </w:pPr>
    <w:rPr>
      <w:rFonts w:hint="default" w:ascii="MingLiU" w:hAnsi="MingLiU" w:eastAsia="MingLiU"/>
      <w:b/>
      <w:bCs/>
      <w:spacing w:val="10"/>
      <w:sz w:val="22"/>
      <w:szCs w:val="22"/>
      <w:shd w:val="clear" w:color="auto" w:fill="FFFFFF"/>
    </w:rPr>
  </w:style>
  <w:style w:type="character" w:customStyle="1" w:styleId="59">
    <w:name w:val="标题 #8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60">
    <w:name w:val="正文文本 (19)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paragraph" w:customStyle="1" w:styleId="61">
    <w:name w:val="正文文本 (19)"/>
    <w:basedOn w:val="1"/>
    <w:autoRedefine/>
    <w:qFormat/>
    <w:uiPriority w:val="0"/>
    <w:pPr>
      <w:shd w:val="clear" w:color="auto" w:fill="FFFFFF"/>
      <w:autoSpaceDE/>
      <w:autoSpaceDN/>
      <w:adjustRightInd/>
      <w:spacing w:line="559" w:lineRule="exact"/>
    </w:pPr>
    <w:rPr>
      <w:rFonts w:hint="default" w:ascii="MingLiU" w:hAnsi="MingLiU" w:eastAsia="MingLiU"/>
      <w:b/>
      <w:bCs/>
      <w:spacing w:val="10"/>
      <w:sz w:val="22"/>
      <w:szCs w:val="22"/>
      <w:shd w:val="clear" w:color="auto" w:fill="FFFFFF"/>
    </w:rPr>
  </w:style>
  <w:style w:type="character" w:customStyle="1" w:styleId="62">
    <w:name w:val="正文文本 (2) + 5.5 pt1"/>
    <w:autoRedefine/>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character" w:customStyle="1" w:styleId="63">
    <w:name w:val="正文文本 (2) + 间距 0 pt Exact1"/>
    <w:autoRedefine/>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paragraph" w:customStyle="1" w:styleId="64">
    <w:name w:val="标题 #7"/>
    <w:basedOn w:val="1"/>
    <w:autoRedefine/>
    <w:qFormat/>
    <w:uiPriority w:val="0"/>
    <w:pPr>
      <w:shd w:val="clear" w:color="auto" w:fill="FFFFFF"/>
      <w:autoSpaceDE/>
      <w:autoSpaceDN/>
      <w:adjustRightInd/>
      <w:spacing w:before="540" w:after="540" w:line="240" w:lineRule="atLeast"/>
      <w:jc w:val="center"/>
      <w:outlineLvl w:val="6"/>
    </w:pPr>
    <w:rPr>
      <w:rFonts w:hint="default" w:ascii="MingLiU" w:hAnsi="MingLiU" w:eastAsia="MingLiU"/>
      <w:spacing w:val="30"/>
      <w:sz w:val="26"/>
      <w:szCs w:val="26"/>
      <w:shd w:val="clear" w:color="auto" w:fill="FFFFFF"/>
    </w:rPr>
  </w:style>
  <w:style w:type="character" w:customStyle="1" w:styleId="65">
    <w:name w:val="标题 #7 + 间距 0 pt1"/>
    <w:autoRedefine/>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character" w:customStyle="1" w:styleId="66">
    <w:name w:val="正文文本 (2) + 间距 0 pt6"/>
    <w:autoRedefine/>
    <w:qFormat/>
    <w:uiPriority w:val="0"/>
    <w:rPr>
      <w:rFonts w:ascii="MingLiU" w:hAnsi="MingLiU" w:eastAsia="MingLiU" w:cs="MingLiU"/>
      <w:color w:val="000000"/>
      <w:spacing w:val="0"/>
      <w:w w:val="100"/>
      <w:position w:val="0"/>
      <w:sz w:val="22"/>
      <w:szCs w:val="22"/>
      <w:u w:val="single"/>
      <w:shd w:val="clear" w:color="auto" w:fill="FFFFFF"/>
      <w:lang w:val="zh-CN" w:eastAsia="zh-CN"/>
    </w:rPr>
  </w:style>
  <w:style w:type="character" w:customStyle="1" w:styleId="67">
    <w:name w:val="样式 宋体 小四 加粗 黑色"/>
    <w:autoRedefine/>
    <w:qFormat/>
    <w:uiPriority w:val="0"/>
    <w:rPr>
      <w:rFonts w:ascii="宋体" w:hAnsi="宋体"/>
      <w:b/>
      <w:bCs/>
      <w:color w:val="000000"/>
      <w:sz w:val="24"/>
    </w:rPr>
  </w:style>
  <w:style w:type="character" w:customStyle="1" w:styleId="68">
    <w:name w:val="正文文本 (2) + 间距 0 pt"/>
    <w:autoRedefine/>
    <w:qFormat/>
    <w:uiPriority w:val="0"/>
    <w:rPr>
      <w:rFonts w:ascii="MingLiU" w:hAnsi="MingLiU" w:eastAsia="MingLiU" w:cs="MingLiU"/>
      <w:color w:val="000000"/>
      <w:spacing w:val="0"/>
      <w:w w:val="100"/>
      <w:position w:val="0"/>
      <w:sz w:val="22"/>
      <w:szCs w:val="22"/>
      <w:u w:val="none"/>
      <w:shd w:val="clear" w:color="auto" w:fill="FFFFFF"/>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195</Words>
  <Characters>228</Characters>
  <Lines>1</Lines>
  <Paragraphs>1</Paragraphs>
  <TotalTime>27</TotalTime>
  <ScaleCrop>false</ScaleCrop>
  <LinksUpToDate>false</LinksUpToDate>
  <CharactersWithSpaces>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2022-01-17T14:56:00Z</dcterms:created>
  <dc:creator>吴先森</dc:creator>
  <cp:lastModifiedBy>WPS_1602497377</cp:lastModifiedBy>
  <dcterms:modified xsi:type="dcterms:W3CDTF">2026-07-16T01:27:21Z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eyJoZGlkIjoiMGZiM2Q4ODdkZTU3MjQ0NWI4Y2JlNjJhNWEwMWU1NGYiLCJ1c2VySWQiOiIxMTMwNTMyMTQ1In0=</vt:lpwstr>
  </property>
</Properties>
</file>