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C72D0">
      <w:pPr>
        <w:widowControl w:val="0"/>
        <w:suppressAutoHyphens/>
        <w:kinsoku/>
        <w:autoSpaceDE/>
        <w:autoSpaceDN/>
        <w:adjustRightInd/>
        <w:snapToGrid/>
        <w:spacing w:line="360" w:lineRule="auto"/>
        <w:jc w:val="center"/>
        <w:textAlignment w:val="auto"/>
        <w:rPr>
          <w:rFonts w:hint="eastAsia" w:ascii="仿宋" w:hAnsi="仿宋" w:eastAsia="仿宋" w:cs="仿宋"/>
          <w:snapToGrid/>
          <w:color w:val="auto"/>
          <w:kern w:val="2"/>
          <w:sz w:val="72"/>
          <w:szCs w:val="72"/>
          <w:highlight w:val="none"/>
          <w:lang w:eastAsia="zh-CN"/>
        </w:rPr>
      </w:pPr>
    </w:p>
    <w:p w14:paraId="6BA7974B">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color w:val="auto"/>
          <w:spacing w:val="21"/>
          <w:sz w:val="69"/>
          <w:szCs w:val="69"/>
          <w:highlight w:val="none"/>
        </w:rPr>
      </w:pPr>
    </w:p>
    <w:p w14:paraId="1201FB07">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方正小标宋_GBK" w:hAnsi="方正小标宋_GBK" w:eastAsia="方正小标宋_GBK" w:cs="方正小标宋_GBK"/>
          <w:color w:val="auto"/>
          <w:spacing w:val="21"/>
          <w:sz w:val="72"/>
          <w:szCs w:val="72"/>
          <w:highlight w:val="none"/>
        </w:rPr>
      </w:pPr>
      <w:r>
        <w:rPr>
          <w:rFonts w:hint="eastAsia" w:ascii="方正小标宋_GBK" w:hAnsi="方正小标宋_GBK" w:eastAsia="方正小标宋_GBK" w:cs="方正小标宋_GBK"/>
          <w:color w:val="auto"/>
          <w:spacing w:val="21"/>
          <w:sz w:val="72"/>
          <w:szCs w:val="72"/>
          <w:highlight w:val="none"/>
        </w:rPr>
        <w:t>竞争性磋商文件</w:t>
      </w:r>
    </w:p>
    <w:p w14:paraId="26994F28">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color w:val="auto"/>
          <w:sz w:val="30"/>
          <w:szCs w:val="30"/>
          <w:highlight w:val="none"/>
        </w:rPr>
      </w:pPr>
      <w:r>
        <w:rPr>
          <w:rFonts w:hint="eastAsia" w:ascii="仿宋" w:hAnsi="仿宋" w:eastAsia="仿宋" w:cs="仿宋"/>
          <w:color w:val="auto"/>
          <w:spacing w:val="21"/>
          <w:sz w:val="30"/>
          <w:szCs w:val="30"/>
          <w:highlight w:val="none"/>
        </w:rPr>
        <w:t>(远程异地全流程电子化评标)</w:t>
      </w:r>
    </w:p>
    <w:p w14:paraId="3BC68B1C">
      <w:pPr>
        <w:pStyle w:val="30"/>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p>
    <w:p w14:paraId="7EAE4B8E">
      <w:pPr>
        <w:pStyle w:val="30"/>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57551D23">
      <w:pPr>
        <w:pStyle w:val="30"/>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项目名称：崇左市江州区五个黑臭水体及污水泵站运营服务项目</w:t>
      </w:r>
    </w:p>
    <w:p w14:paraId="735742C3">
      <w:pPr>
        <w:pStyle w:val="30"/>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项目编号：CZZC2026-C3-020027-GXQL</w:t>
      </w:r>
    </w:p>
    <w:p w14:paraId="06E1898A">
      <w:pPr>
        <w:pStyle w:val="30"/>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407FBD02">
      <w:pPr>
        <w:pStyle w:val="30"/>
        <w:widowControl w:val="0"/>
        <w:suppressAutoHyphens/>
        <w:kinsoku/>
        <w:autoSpaceDE/>
        <w:autoSpaceDN/>
        <w:adjustRightInd/>
        <w:snapToGrid w:val="0"/>
        <w:spacing w:line="360" w:lineRule="auto"/>
        <w:jc w:val="both"/>
        <w:textAlignment w:val="auto"/>
        <w:rPr>
          <w:rFonts w:hint="eastAsia" w:ascii="仿宋" w:hAnsi="仿宋" w:eastAsia="仿宋" w:cs="仿宋"/>
          <w:b/>
          <w:bCs/>
          <w:snapToGrid/>
          <w:color w:val="auto"/>
          <w:sz w:val="30"/>
          <w:szCs w:val="30"/>
          <w:highlight w:val="none"/>
          <w:lang w:eastAsia="zh-CN"/>
        </w:rPr>
      </w:pPr>
    </w:p>
    <w:p w14:paraId="3BBE7F13">
      <w:pPr>
        <w:pStyle w:val="30"/>
        <w:widowControl w:val="0"/>
        <w:suppressAutoHyphens/>
        <w:kinsoku/>
        <w:autoSpaceDE/>
        <w:autoSpaceDN/>
        <w:adjustRightInd/>
        <w:snapToGrid w:val="0"/>
        <w:spacing w:line="360" w:lineRule="auto"/>
        <w:ind w:firstLine="1193"/>
        <w:jc w:val="both"/>
        <w:textAlignment w:val="auto"/>
        <w:rPr>
          <w:rFonts w:hint="eastAsia" w:ascii="仿宋" w:hAnsi="仿宋" w:eastAsia="仿宋" w:cs="仿宋"/>
          <w:b/>
          <w:bCs/>
          <w:snapToGrid/>
          <w:color w:val="auto"/>
          <w:sz w:val="30"/>
          <w:szCs w:val="30"/>
          <w:highlight w:val="none"/>
          <w:lang w:eastAsia="zh-CN"/>
        </w:rPr>
      </w:pPr>
    </w:p>
    <w:p w14:paraId="369023F2">
      <w:pPr>
        <w:pStyle w:val="30"/>
        <w:widowControl w:val="0"/>
        <w:suppressAutoHyphens/>
        <w:kinsoku/>
        <w:autoSpaceDE/>
        <w:autoSpaceDN/>
        <w:adjustRightInd/>
        <w:snapToGrid w:val="0"/>
        <w:spacing w:line="360" w:lineRule="auto"/>
        <w:ind w:firstLine="1205" w:firstLineChars="400"/>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采购人：崇左市江州区住房和城乡建设局</w:t>
      </w:r>
    </w:p>
    <w:p w14:paraId="48CFC1A4">
      <w:pPr>
        <w:pStyle w:val="30"/>
        <w:widowControl w:val="0"/>
        <w:suppressAutoHyphens/>
        <w:kinsoku/>
        <w:autoSpaceDE/>
        <w:autoSpaceDN/>
        <w:adjustRightInd/>
        <w:snapToGrid w:val="0"/>
        <w:spacing w:line="360" w:lineRule="auto"/>
        <w:ind w:firstLine="1205" w:firstLineChars="400"/>
        <w:jc w:val="both"/>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采购代理机构：广西启利工程咨询有限公司</w:t>
      </w:r>
    </w:p>
    <w:p w14:paraId="1E2B2C81">
      <w:pPr>
        <w:pStyle w:val="30"/>
        <w:widowControl w:val="0"/>
        <w:suppressAutoHyphens/>
        <w:kinsoku/>
        <w:autoSpaceDE/>
        <w:autoSpaceDN/>
        <w:adjustRightInd/>
        <w:snapToGrid w:val="0"/>
        <w:spacing w:line="360" w:lineRule="auto"/>
        <w:jc w:val="center"/>
        <w:textAlignment w:val="auto"/>
        <w:rPr>
          <w:rFonts w:hint="eastAsia" w:ascii="仿宋" w:hAnsi="仿宋" w:eastAsia="仿宋" w:cs="仿宋"/>
          <w:b/>
          <w:bCs/>
          <w:snapToGrid/>
          <w:color w:val="auto"/>
          <w:sz w:val="30"/>
          <w:szCs w:val="30"/>
          <w:highlight w:val="none"/>
          <w:lang w:eastAsia="zh-CN"/>
        </w:rPr>
      </w:pPr>
      <w:r>
        <w:rPr>
          <w:rFonts w:hint="eastAsia" w:ascii="仿宋" w:hAnsi="仿宋" w:eastAsia="仿宋" w:cs="仿宋"/>
          <w:b/>
          <w:bCs/>
          <w:snapToGrid/>
          <w:color w:val="auto"/>
          <w:sz w:val="30"/>
          <w:szCs w:val="30"/>
          <w:highlight w:val="none"/>
          <w:lang w:eastAsia="zh-CN"/>
        </w:rPr>
        <w:t>202</w:t>
      </w:r>
      <w:r>
        <w:rPr>
          <w:rFonts w:hint="eastAsia" w:ascii="仿宋" w:hAnsi="仿宋" w:eastAsia="仿宋" w:cs="仿宋"/>
          <w:b/>
          <w:bCs/>
          <w:snapToGrid/>
          <w:color w:val="auto"/>
          <w:sz w:val="30"/>
          <w:szCs w:val="30"/>
          <w:highlight w:val="none"/>
          <w:lang w:val="en-US" w:eastAsia="zh-CN"/>
        </w:rPr>
        <w:t>6</w:t>
      </w:r>
      <w:r>
        <w:rPr>
          <w:rFonts w:hint="eastAsia" w:ascii="仿宋" w:hAnsi="仿宋" w:eastAsia="仿宋" w:cs="仿宋"/>
          <w:b/>
          <w:bCs/>
          <w:snapToGrid/>
          <w:color w:val="auto"/>
          <w:sz w:val="30"/>
          <w:szCs w:val="30"/>
          <w:highlight w:val="none"/>
          <w:lang w:eastAsia="zh-CN"/>
        </w:rPr>
        <w:t>年</w:t>
      </w:r>
      <w:r>
        <w:rPr>
          <w:rFonts w:hint="eastAsia" w:ascii="仿宋" w:hAnsi="仿宋" w:eastAsia="仿宋" w:cs="仿宋"/>
          <w:b/>
          <w:bCs/>
          <w:snapToGrid/>
          <w:color w:val="auto"/>
          <w:sz w:val="30"/>
          <w:szCs w:val="30"/>
          <w:highlight w:val="none"/>
          <w:lang w:val="en-US" w:eastAsia="zh-CN"/>
        </w:rPr>
        <w:t>5</w:t>
      </w:r>
      <w:r>
        <w:rPr>
          <w:rFonts w:hint="eastAsia" w:ascii="仿宋" w:hAnsi="仿宋" w:eastAsia="仿宋" w:cs="仿宋"/>
          <w:b/>
          <w:bCs/>
          <w:snapToGrid/>
          <w:color w:val="auto"/>
          <w:sz w:val="30"/>
          <w:szCs w:val="30"/>
          <w:highlight w:val="none"/>
          <w:lang w:eastAsia="zh-CN"/>
        </w:rPr>
        <w:t>日</w:t>
      </w:r>
    </w:p>
    <w:p w14:paraId="412F9DA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z w:val="30"/>
          <w:szCs w:val="30"/>
          <w:highlight w:val="none"/>
        </w:rPr>
        <w:sectPr>
          <w:pgSz w:w="11910" w:h="16830"/>
          <w:pgMar w:top="1247" w:right="1655" w:bottom="0" w:left="1650" w:header="0" w:footer="0" w:gutter="0"/>
          <w:cols w:space="720" w:num="1"/>
        </w:sectPr>
      </w:pPr>
    </w:p>
    <w:sdt>
      <w:sdtPr>
        <w:rPr>
          <w:rFonts w:hint="eastAsia" w:ascii="仿宋" w:hAnsi="仿宋" w:eastAsia="仿宋" w:cs="仿宋"/>
          <w:snapToGrid w:val="0"/>
          <w:color w:val="auto"/>
          <w:kern w:val="0"/>
          <w:sz w:val="21"/>
          <w:szCs w:val="21"/>
          <w:highlight w:val="none"/>
          <w:lang w:val="en-US" w:eastAsia="en-US" w:bidi="ar-SA"/>
        </w:rPr>
        <w:id w:val="147480988"/>
        <w15:color w:val="DBDBDB"/>
        <w:docPartObj>
          <w:docPartGallery w:val="Table of Contents"/>
          <w:docPartUnique/>
        </w:docPartObj>
      </w:sdtPr>
      <w:sdtEndPr>
        <w:rPr>
          <w:rFonts w:hint="eastAsia" w:ascii="仿宋" w:hAnsi="仿宋" w:eastAsia="仿宋" w:cs="仿宋"/>
          <w:snapToGrid w:val="0"/>
          <w:color w:val="auto"/>
          <w:kern w:val="0"/>
          <w:sz w:val="21"/>
          <w:szCs w:val="27"/>
          <w:highlight w:val="none"/>
          <w:lang w:val="en-US" w:eastAsia="en-US" w:bidi="ar-SA"/>
        </w:rPr>
      </w:sdtEndPr>
      <w:sdtContent>
        <w:p w14:paraId="1FCC4697">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r>
            <w:rPr>
              <w:rFonts w:hint="eastAsia" w:ascii="仿宋" w:hAnsi="仿宋" w:eastAsia="仿宋" w:cs="仿宋"/>
              <w:color w:val="auto"/>
              <w:sz w:val="21"/>
              <w:highlight w:val="none"/>
            </w:rPr>
            <w:t>目录</w:t>
          </w:r>
        </w:p>
        <w:p w14:paraId="58ABA2A3">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 w:val="27"/>
              <w:szCs w:val="27"/>
              <w:highlight w:val="none"/>
            </w:rPr>
            <w:fldChar w:fldCharType="begin"/>
          </w:r>
          <w:r>
            <w:rPr>
              <w:rFonts w:hint="eastAsia" w:ascii="仿宋" w:hAnsi="仿宋" w:eastAsia="仿宋" w:cs="仿宋"/>
              <w:color w:val="auto"/>
              <w:sz w:val="27"/>
              <w:szCs w:val="27"/>
              <w:highlight w:val="none"/>
            </w:rPr>
            <w:instrText xml:space="preserve">TOC \o "1-3" \h \u </w:instrText>
          </w:r>
          <w:r>
            <w:rPr>
              <w:rFonts w:hint="eastAsia" w:ascii="仿宋" w:hAnsi="仿宋" w:eastAsia="仿宋" w:cs="仿宋"/>
              <w:color w:val="auto"/>
              <w:sz w:val="27"/>
              <w:szCs w:val="27"/>
              <w:highlight w:val="none"/>
            </w:rPr>
            <w:fldChar w:fldCharType="separate"/>
          </w: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_Toc15075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4"/>
              <w:szCs w:val="44"/>
              <w:highlight w:val="none"/>
            </w:rPr>
            <w:t>第一章竞争性磋商公告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_Toc15075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B01220C">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_Toc14813 </w:instrText>
          </w:r>
          <w:r>
            <w:rPr>
              <w:rFonts w:hint="eastAsia" w:ascii="仿宋" w:hAnsi="仿宋" w:eastAsia="仿宋" w:cs="仿宋"/>
              <w:color w:val="auto"/>
              <w:szCs w:val="27"/>
              <w:highlight w:val="none"/>
            </w:rPr>
            <w:fldChar w:fldCharType="separate"/>
          </w:r>
          <w:r>
            <w:rPr>
              <w:rFonts w:hint="eastAsia" w:ascii="仿宋" w:hAnsi="仿宋" w:eastAsia="仿宋" w:cs="仿宋"/>
              <w:color w:val="auto"/>
              <w:spacing w:val="17"/>
              <w:szCs w:val="21"/>
              <w:highlight w:val="none"/>
            </w:rPr>
            <w:t>一、项目基本情况</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B2B49D8">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_Toc24829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4"/>
              <w:szCs w:val="21"/>
              <w:highlight w:val="none"/>
            </w:rPr>
            <w:t>二</w:t>
          </w:r>
          <w:r>
            <w:rPr>
              <w:rFonts w:hint="eastAsia" w:ascii="仿宋" w:hAnsi="仿宋" w:eastAsia="仿宋" w:cs="仿宋"/>
              <w:color w:val="auto"/>
              <w:spacing w:val="-33"/>
              <w:szCs w:val="21"/>
              <w:highlight w:val="none"/>
            </w:rPr>
            <w:t xml:space="preserve"> </w:t>
          </w:r>
          <w:r>
            <w:rPr>
              <w:rFonts w:hint="eastAsia" w:ascii="仿宋" w:hAnsi="仿宋" w:eastAsia="仿宋" w:cs="仿宋"/>
              <w:bCs/>
              <w:color w:val="auto"/>
              <w:spacing w:val="24"/>
              <w:szCs w:val="21"/>
              <w:highlight w:val="none"/>
            </w:rPr>
            <w:t>、申请人的资格要求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_Toc24829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9A64962">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_Toc11550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三、获取采购文件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_Toc11550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A886A1C">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_Toc15145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四、响应文件提交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_Toc15145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5312D2FD">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_Toc21745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五、响应文件开启</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_Toc21745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2FF1AC0">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_Toc10829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六 、公告期限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_Toc10829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62B0148">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_Toc14025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21"/>
              <w:highlight w:val="none"/>
            </w:rPr>
            <w:t>七、其他补充事宜</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_Toc14025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2A4155A">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_Toc19863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23"/>
              <w:szCs w:val="21"/>
              <w:highlight w:val="none"/>
            </w:rPr>
            <w:t>八</w:t>
          </w:r>
          <w:r>
            <w:rPr>
              <w:rFonts w:hint="eastAsia" w:ascii="仿宋" w:hAnsi="仿宋" w:eastAsia="仿宋" w:cs="仿宋"/>
              <w:color w:val="auto"/>
              <w:spacing w:val="-22"/>
              <w:szCs w:val="21"/>
              <w:highlight w:val="none"/>
            </w:rPr>
            <w:t xml:space="preserve"> </w:t>
          </w:r>
          <w:r>
            <w:rPr>
              <w:rFonts w:hint="eastAsia" w:ascii="仿宋" w:hAnsi="仿宋" w:eastAsia="仿宋" w:cs="仿宋"/>
              <w:bCs/>
              <w:color w:val="auto"/>
              <w:spacing w:val="23"/>
              <w:szCs w:val="21"/>
              <w:highlight w:val="none"/>
            </w:rPr>
            <w:t>、凡对本次采购提出询问，请按以下方式联系。</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_Toc19863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9ADF24A">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_Toc28315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36"/>
              <w:highlight w:val="none"/>
              <w:lang w:eastAsia="zh-CN"/>
            </w:rPr>
            <w:t>第</w:t>
          </w:r>
          <w:r>
            <w:rPr>
              <w:rFonts w:hint="eastAsia" w:ascii="仿宋" w:hAnsi="仿宋" w:eastAsia="仿宋" w:cs="仿宋"/>
              <w:bCs/>
              <w:snapToGrid/>
              <w:color w:val="auto"/>
              <w:kern w:val="2"/>
              <w:szCs w:val="36"/>
              <w:highlight w:val="none"/>
              <w:lang w:val="en-US" w:eastAsia="zh-CN"/>
            </w:rPr>
            <w:t>二</w:t>
          </w:r>
          <w:r>
            <w:rPr>
              <w:rFonts w:hint="eastAsia" w:ascii="仿宋" w:hAnsi="仿宋" w:eastAsia="仿宋" w:cs="仿宋"/>
              <w:bCs/>
              <w:snapToGrid/>
              <w:color w:val="auto"/>
              <w:kern w:val="2"/>
              <w:szCs w:val="36"/>
              <w:highlight w:val="none"/>
              <w:lang w:eastAsia="zh-CN"/>
            </w:rPr>
            <w:t>章</w:t>
          </w:r>
          <w:r>
            <w:rPr>
              <w:rFonts w:hint="eastAsia" w:ascii="仿宋" w:hAnsi="仿宋" w:eastAsia="仿宋" w:cs="仿宋"/>
              <w:bCs/>
              <w:snapToGrid/>
              <w:color w:val="auto"/>
              <w:kern w:val="2"/>
              <w:szCs w:val="36"/>
              <w:highlight w:val="none"/>
              <w:lang w:val="en-US" w:eastAsia="zh-CN"/>
            </w:rPr>
            <w:t xml:space="preserve">  </w:t>
          </w:r>
          <w:r>
            <w:rPr>
              <w:rFonts w:hint="eastAsia" w:ascii="仿宋" w:hAnsi="仿宋" w:eastAsia="仿宋" w:cs="仿宋"/>
              <w:bCs/>
              <w:snapToGrid/>
              <w:color w:val="auto"/>
              <w:kern w:val="2"/>
              <w:szCs w:val="36"/>
              <w:highlight w:val="none"/>
              <w:lang w:eastAsia="zh-CN"/>
            </w:rPr>
            <w:t>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_Toc28315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5C65600">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_Toc19638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30"/>
              <w:highlight w:val="none"/>
              <w:lang w:eastAsia="zh-CN"/>
            </w:rPr>
            <w:t>供应商须知前附表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_Toc19638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202D0C1">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_Toc23199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30"/>
              <w:highlight w:val="none"/>
              <w:lang w:eastAsia="zh-CN"/>
            </w:rPr>
            <w:t>供应商须知正文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CDF5625">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_Toc13607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7D0B0B3">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_Toc25084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二</w:t>
          </w:r>
          <w:r>
            <w:rPr>
              <w:rFonts w:hint="eastAsia" w:ascii="仿宋" w:hAnsi="仿宋" w:eastAsia="仿宋" w:cs="仿宋"/>
              <w:snapToGrid/>
              <w:color w:val="auto"/>
              <w:kern w:val="2"/>
              <w:szCs w:val="24"/>
              <w:highlight w:val="none"/>
              <w:lang w:eastAsia="zh-CN"/>
            </w:rPr>
            <w:t>、磋商文件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_Toc25084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C26C0ED">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_Toc2720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三、响应文件的编制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1DF9E27">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_Toc5623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四、评审及磋商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_Toc5623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ED488DA">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_Toc27679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崇左市线上“政采贷”政策告知函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_Toc27679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F932A04">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_Toc10577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8"/>
              <w:szCs w:val="32"/>
              <w:highlight w:val="none"/>
            </w:rPr>
            <w:t>第</w:t>
          </w:r>
          <w:r>
            <w:rPr>
              <w:rFonts w:hint="eastAsia" w:ascii="仿宋" w:hAnsi="仿宋" w:eastAsia="仿宋" w:cs="仿宋"/>
              <w:bCs/>
              <w:color w:val="auto"/>
              <w:spacing w:val="18"/>
              <w:szCs w:val="32"/>
              <w:highlight w:val="none"/>
              <w:lang w:val="en-US" w:eastAsia="zh-CN"/>
            </w:rPr>
            <w:t>三</w:t>
          </w:r>
          <w:r>
            <w:rPr>
              <w:rFonts w:hint="eastAsia" w:ascii="仿宋" w:hAnsi="仿宋" w:eastAsia="仿宋" w:cs="仿宋"/>
              <w:bCs/>
              <w:color w:val="auto"/>
              <w:spacing w:val="18"/>
              <w:szCs w:val="32"/>
              <w:highlight w:val="none"/>
            </w:rPr>
            <w:t>章采购需求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_Toc10577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B95AA21">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_Toc31274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5"/>
              <w:szCs w:val="44"/>
              <w:highlight w:val="none"/>
            </w:rPr>
            <w:t>第四章</w:t>
          </w:r>
          <w:r>
            <w:rPr>
              <w:rFonts w:hint="eastAsia" w:ascii="仿宋" w:hAnsi="仿宋" w:eastAsia="仿宋" w:cs="仿宋"/>
              <w:color w:val="auto"/>
              <w:spacing w:val="-5"/>
              <w:szCs w:val="44"/>
              <w:highlight w:val="none"/>
            </w:rPr>
            <w:t xml:space="preserve">  </w:t>
          </w:r>
          <w:r>
            <w:rPr>
              <w:rFonts w:hint="eastAsia" w:ascii="仿宋" w:hAnsi="仿宋" w:eastAsia="仿宋" w:cs="仿宋"/>
              <w:bCs/>
              <w:color w:val="auto"/>
              <w:spacing w:val="-5"/>
              <w:szCs w:val="44"/>
              <w:highlight w:val="none"/>
            </w:rPr>
            <w:t>评审程序、评审方法和评审标准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_Toc31274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D844821">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_Toc22532 </w:instrText>
          </w:r>
          <w:r>
            <w:rPr>
              <w:rFonts w:hint="eastAsia" w:ascii="仿宋" w:hAnsi="仿宋" w:eastAsia="仿宋" w:cs="仿宋"/>
              <w:color w:val="auto"/>
              <w:szCs w:val="27"/>
              <w:highlight w:val="none"/>
            </w:rPr>
            <w:fldChar w:fldCharType="separate"/>
          </w:r>
          <w:r>
            <w:rPr>
              <w:rFonts w:hint="eastAsia" w:ascii="仿宋" w:hAnsi="仿宋" w:eastAsia="仿宋" w:cs="仿宋"/>
              <w:bCs/>
              <w:color w:val="auto"/>
              <w:spacing w:val="16"/>
              <w:szCs w:val="44"/>
              <w:highlight w:val="none"/>
            </w:rPr>
            <w:t>第五章响应文件格式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FA80190">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_Toc20536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一、资格证明文件格式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21AC871">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_Toc27008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1.资格证明文件封面格式：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_Toc27008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A83CC11">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_Toc12909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2.资格证明文件目录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_Toc12909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1C710FF6">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_Toc2568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3.崇左市政府采购供应商信用承诺函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5739A3A2">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_Toc23040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4.</w:t>
          </w:r>
          <w:r>
            <w:rPr>
              <w:rFonts w:hint="eastAsia" w:ascii="仿宋" w:hAnsi="仿宋" w:eastAsia="仿宋" w:cs="仿宋"/>
              <w:snapToGrid/>
              <w:color w:val="auto"/>
              <w:kern w:val="2"/>
              <w:szCs w:val="24"/>
              <w:highlight w:val="none"/>
              <w:lang w:eastAsia="zh-CN"/>
            </w:rPr>
            <w:t>供应商直接控股、管理关系信息表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02D190A">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_Toc23536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val="en-US" w:eastAsia="zh-CN"/>
            </w:rPr>
            <w:t>5.</w:t>
          </w:r>
          <w:r>
            <w:rPr>
              <w:rFonts w:hint="eastAsia" w:ascii="仿宋" w:hAnsi="仿宋" w:eastAsia="仿宋" w:cs="仿宋"/>
              <w:snapToGrid/>
              <w:color w:val="auto"/>
              <w:kern w:val="2"/>
              <w:szCs w:val="24"/>
              <w:highlight w:val="none"/>
              <w:lang w:eastAsia="zh-CN"/>
            </w:rPr>
            <w:t>竞标声明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_Toc23536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57</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ED3E981">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_Toc24069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二、报价文件格式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_Toc24069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792FDE2">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_Toc26565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1.报价文件封面格式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_Toc26565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0F527834">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_Toc25469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2.报价文件目录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_Toc25469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9FAFB8C">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_Toc2718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3.</w:t>
          </w:r>
          <w:r>
            <w:rPr>
              <w:rFonts w:hint="eastAsia" w:ascii="仿宋" w:hAnsi="仿宋" w:eastAsia="仿宋" w:cs="仿宋"/>
              <w:bCs/>
              <w:snapToGrid/>
              <w:color w:val="auto"/>
              <w:kern w:val="2"/>
              <w:szCs w:val="24"/>
              <w:highlight w:val="none"/>
              <w:lang w:eastAsia="zh-CN"/>
            </w:rPr>
            <w:t>竞标报价表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04F0590">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_Toc22222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8"/>
              <w:highlight w:val="none"/>
              <w:lang w:eastAsia="zh-CN"/>
            </w:rPr>
            <w:t>三、商务技术文件格式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_Toc22222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9CD914C">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_Toc15412 </w:instrText>
          </w:r>
          <w:r>
            <w:rPr>
              <w:rFonts w:hint="eastAsia" w:ascii="仿宋" w:hAnsi="仿宋" w:eastAsia="仿宋" w:cs="仿宋"/>
              <w:color w:val="auto"/>
              <w:szCs w:val="27"/>
              <w:highlight w:val="none"/>
            </w:rPr>
            <w:fldChar w:fldCharType="separate"/>
          </w:r>
          <w:r>
            <w:rPr>
              <w:rFonts w:hint="eastAsia" w:ascii="仿宋" w:hAnsi="仿宋" w:eastAsia="仿宋" w:cs="仿宋"/>
              <w:snapToGrid/>
              <w:color w:val="auto"/>
              <w:kern w:val="2"/>
              <w:szCs w:val="24"/>
              <w:highlight w:val="none"/>
              <w:lang w:eastAsia="zh-CN"/>
            </w:rPr>
            <w:t>1.商务技术文件封面格式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_Toc15412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8FE5007">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_Toc16915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eastAsia="zh-CN"/>
            </w:rPr>
            <w:t>2.商务技术文件目录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_Toc16915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D5F629A">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_Toc4718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3.</w:t>
          </w:r>
          <w:r>
            <w:rPr>
              <w:rFonts w:hint="eastAsia" w:ascii="仿宋" w:hAnsi="仿宋" w:eastAsia="仿宋" w:cs="仿宋"/>
              <w:bCs/>
              <w:snapToGrid/>
              <w:color w:val="auto"/>
              <w:kern w:val="2"/>
              <w:szCs w:val="24"/>
              <w:highlight w:val="none"/>
              <w:lang w:eastAsia="zh-CN"/>
            </w:rPr>
            <w:t>无串通竞标行为的承诺函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_Toc4718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EEC235E">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_Toc12011 </w:instrText>
          </w:r>
          <w:r>
            <w:rPr>
              <w:rFonts w:hint="eastAsia" w:ascii="仿宋" w:hAnsi="仿宋" w:eastAsia="仿宋" w:cs="仿宋"/>
              <w:color w:val="auto"/>
              <w:szCs w:val="27"/>
              <w:highlight w:val="none"/>
            </w:rPr>
            <w:fldChar w:fldCharType="separate"/>
          </w:r>
          <w:r>
            <w:rPr>
              <w:rFonts w:hint="eastAsia" w:ascii="仿宋" w:hAnsi="仿宋" w:eastAsia="仿宋" w:cs="仿宋"/>
              <w:bCs w:val="0"/>
              <w:snapToGrid/>
              <w:color w:val="auto"/>
              <w:kern w:val="2"/>
              <w:szCs w:val="24"/>
              <w:highlight w:val="none"/>
              <w:lang w:val="en-US" w:eastAsia="zh-CN"/>
            </w:rPr>
            <w:t>4.</w:t>
          </w:r>
          <w:r>
            <w:rPr>
              <w:rFonts w:hint="eastAsia" w:ascii="仿宋" w:hAnsi="仿宋" w:eastAsia="仿宋" w:cs="仿宋"/>
              <w:bCs w:val="0"/>
              <w:snapToGrid/>
              <w:color w:val="auto"/>
              <w:kern w:val="2"/>
              <w:szCs w:val="24"/>
              <w:highlight w:val="none"/>
              <w:lang w:eastAsia="zh-CN"/>
            </w:rPr>
            <w:t>法定代表人证明书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_Toc12011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6D1E1E2">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_Toc22138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5.</w:t>
          </w:r>
          <w:r>
            <w:rPr>
              <w:rFonts w:hint="eastAsia" w:ascii="仿宋" w:hAnsi="仿宋" w:eastAsia="仿宋" w:cs="仿宋"/>
              <w:bCs/>
              <w:snapToGrid/>
              <w:color w:val="auto"/>
              <w:kern w:val="2"/>
              <w:szCs w:val="24"/>
              <w:highlight w:val="none"/>
              <w:lang w:eastAsia="zh-CN"/>
            </w:rPr>
            <w:t>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_Toc22138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1C99840">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_Toc14247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6.</w:t>
          </w:r>
          <w:r>
            <w:rPr>
              <w:rFonts w:hint="eastAsia" w:ascii="仿宋" w:hAnsi="仿宋" w:eastAsia="仿宋" w:cs="仿宋"/>
              <w:bCs/>
              <w:snapToGrid/>
              <w:color w:val="auto"/>
              <w:kern w:val="2"/>
              <w:szCs w:val="24"/>
              <w:highlight w:val="none"/>
              <w:lang w:eastAsia="zh-CN"/>
            </w:rPr>
            <w:t>商务要求偏离表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_Toc14247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2339662">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_Toc24511 </w:instrText>
          </w:r>
          <w:r>
            <w:rPr>
              <w:rFonts w:hint="eastAsia" w:ascii="仿宋" w:hAnsi="仿宋" w:eastAsia="仿宋" w:cs="仿宋"/>
              <w:color w:val="auto"/>
              <w:szCs w:val="27"/>
              <w:highlight w:val="none"/>
            </w:rPr>
            <w:fldChar w:fldCharType="separate"/>
          </w:r>
          <w:r>
            <w:rPr>
              <w:rFonts w:hint="eastAsia" w:ascii="仿宋" w:hAnsi="仿宋" w:eastAsia="仿宋" w:cs="仿宋"/>
              <w:bCs w:val="0"/>
              <w:snapToGrid/>
              <w:color w:val="auto"/>
              <w:kern w:val="2"/>
              <w:szCs w:val="24"/>
              <w:highlight w:val="none"/>
              <w:lang w:val="en-US" w:eastAsia="zh-CN"/>
            </w:rPr>
            <w:t>7.</w:t>
          </w:r>
          <w:r>
            <w:rPr>
              <w:rFonts w:hint="eastAsia" w:ascii="仿宋" w:hAnsi="仿宋" w:eastAsia="仿宋" w:cs="仿宋"/>
              <w:bCs w:val="0"/>
              <w:snapToGrid/>
              <w:color w:val="auto"/>
              <w:kern w:val="2"/>
              <w:szCs w:val="24"/>
              <w:highlight w:val="none"/>
              <w:lang w:eastAsia="zh-CN"/>
            </w:rPr>
            <w:t>技术要求偏离表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_Toc24511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02141F5">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_Toc19213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8.</w:t>
          </w:r>
          <w:r>
            <w:rPr>
              <w:rFonts w:hint="eastAsia" w:ascii="仿宋" w:hAnsi="仿宋" w:eastAsia="仿宋" w:cs="仿宋"/>
              <w:bCs/>
              <w:snapToGrid/>
              <w:color w:val="auto"/>
              <w:kern w:val="2"/>
              <w:szCs w:val="24"/>
              <w:highlight w:val="none"/>
              <w:lang w:eastAsia="zh-CN"/>
            </w:rPr>
            <w:t>项目实施人员一览表格式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_Toc19213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70</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0531F9C">
          <w:pPr>
            <w:pStyle w:val="17"/>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_Toc19224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四、</w:t>
          </w:r>
          <w:r>
            <w:rPr>
              <w:rFonts w:hint="eastAsia" w:ascii="仿宋" w:hAnsi="仿宋" w:eastAsia="仿宋" w:cs="仿宋"/>
              <w:bCs/>
              <w:snapToGrid/>
              <w:color w:val="auto"/>
              <w:kern w:val="2"/>
              <w:szCs w:val="24"/>
              <w:highlight w:val="none"/>
              <w:lang w:eastAsia="zh-CN"/>
            </w:rPr>
            <w:t>其他文书、文件格式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_Toc19224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3A09B48">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_Toc32517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1.</w:t>
          </w:r>
          <w:r>
            <w:rPr>
              <w:rFonts w:hint="eastAsia" w:ascii="仿宋" w:hAnsi="仿宋" w:eastAsia="仿宋" w:cs="仿宋"/>
              <w:bCs/>
              <w:snapToGrid/>
              <w:color w:val="auto"/>
              <w:kern w:val="2"/>
              <w:szCs w:val="24"/>
              <w:highlight w:val="none"/>
              <w:lang w:eastAsia="zh-CN"/>
            </w:rPr>
            <w:t>中小企业声明函（服务）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_Toc32517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71</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7B755BFC">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_Toc6465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rPr>
            <w:t>2.</w:t>
          </w:r>
          <w:r>
            <w:rPr>
              <w:rFonts w:hint="eastAsia" w:ascii="仿宋" w:hAnsi="仿宋" w:eastAsia="仿宋" w:cs="仿宋"/>
              <w:bCs/>
              <w:snapToGrid/>
              <w:color w:val="auto"/>
              <w:kern w:val="2"/>
              <w:szCs w:val="24"/>
              <w:highlight w:val="none"/>
              <w:lang w:eastAsia="zh-CN"/>
            </w:rPr>
            <w:t>残疾人福利性单位声明函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_Toc6465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24CBDDAD">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_Toc29169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
            </w:rPr>
            <w:t>3.</w:t>
          </w:r>
          <w:r>
            <w:rPr>
              <w:rFonts w:hint="eastAsia" w:ascii="仿宋" w:hAnsi="仿宋" w:eastAsia="仿宋" w:cs="仿宋"/>
              <w:bCs/>
              <w:i w:val="0"/>
              <w:iCs w:val="0"/>
              <w:caps w:val="0"/>
              <w:snapToGrid/>
              <w:color w:val="auto"/>
              <w:spacing w:val="0"/>
              <w:kern w:val="2"/>
              <w:szCs w:val="24"/>
              <w:highlight w:val="none"/>
              <w:shd w:val="clear"/>
              <w:lang w:val="en-US" w:eastAsia="zh-CN" w:bidi="ar"/>
            </w:rPr>
            <w:t>关于符合本国产品标准的声明函</w:t>
          </w:r>
          <w:r>
            <w:rPr>
              <w:rFonts w:hint="eastAsia" w:ascii="仿宋" w:hAnsi="仿宋" w:eastAsia="仿宋" w:cs="仿宋"/>
              <w:bCs/>
              <w:snapToGrid/>
              <w:color w:val="auto"/>
              <w:kern w:val="2"/>
              <w:szCs w:val="24"/>
              <w:highlight w:val="none"/>
              <w:lang w:val="en-US" w:eastAsia="zh-CN" w:bidi="ar"/>
            </w:rPr>
            <w:t>的格式：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73</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2031A3A">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_Toc21858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SA"/>
            </w:rPr>
            <w:t>4.</w:t>
          </w:r>
          <w:r>
            <w:rPr>
              <w:rFonts w:hint="eastAsia" w:ascii="仿宋" w:hAnsi="仿宋" w:eastAsia="仿宋" w:cs="仿宋"/>
              <w:bCs/>
              <w:snapToGrid/>
              <w:color w:val="auto"/>
              <w:kern w:val="2"/>
              <w:szCs w:val="24"/>
              <w:highlight w:val="none"/>
              <w:lang w:eastAsia="zh-CN"/>
            </w:rPr>
            <w:t>质疑函（格式）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_Toc21858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61BB1C3E">
          <w:pPr>
            <w:pStyle w:val="12"/>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_Toc30591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24"/>
              <w:highlight w:val="none"/>
              <w:lang w:val="en-US" w:eastAsia="zh-CN" w:bidi="ar-SA"/>
            </w:rPr>
            <w:t>4.投诉书（格式）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_Toc30591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76</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329E0DDD">
          <w:pPr>
            <w:pStyle w:val="16"/>
            <w:tabs>
              <w:tab w:val="right" w:leader="dot" w:pos="9574"/>
            </w:tabs>
            <w:rPr>
              <w:rFonts w:hint="eastAsia" w:ascii="仿宋" w:hAnsi="仿宋" w:eastAsia="仿宋" w:cs="仿宋"/>
              <w:color w:val="auto"/>
              <w:highlight w:val="none"/>
            </w:rPr>
          </w:pPr>
          <w:r>
            <w:rPr>
              <w:rFonts w:hint="eastAsia" w:ascii="仿宋" w:hAnsi="仿宋" w:eastAsia="仿宋" w:cs="仿宋"/>
              <w:color w:val="auto"/>
              <w:szCs w:val="27"/>
              <w:highlight w:val="none"/>
            </w:rPr>
            <w:fldChar w:fldCharType="begin"/>
          </w:r>
          <w:r>
            <w:rPr>
              <w:rFonts w:hint="eastAsia" w:ascii="仿宋" w:hAnsi="仿宋" w:eastAsia="仿宋" w:cs="仿宋"/>
              <w:color w:val="auto"/>
              <w:szCs w:val="27"/>
              <w:highlight w:val="none"/>
            </w:rPr>
            <w:instrText xml:space="preserve"> HYPERLINK \l _Toc11531 </w:instrText>
          </w:r>
          <w:r>
            <w:rPr>
              <w:rFonts w:hint="eastAsia" w:ascii="仿宋" w:hAnsi="仿宋" w:eastAsia="仿宋" w:cs="仿宋"/>
              <w:color w:val="auto"/>
              <w:szCs w:val="27"/>
              <w:highlight w:val="none"/>
            </w:rPr>
            <w:fldChar w:fldCharType="separate"/>
          </w:r>
          <w:r>
            <w:rPr>
              <w:rFonts w:hint="eastAsia" w:ascii="仿宋" w:hAnsi="仿宋" w:eastAsia="仿宋" w:cs="仿宋"/>
              <w:bCs/>
              <w:snapToGrid/>
              <w:color w:val="auto"/>
              <w:kern w:val="2"/>
              <w:szCs w:val="36"/>
              <w:highlight w:val="none"/>
              <w:lang w:eastAsia="zh-CN"/>
            </w:rPr>
            <w:t>第六章</w:t>
          </w:r>
          <w:r>
            <w:rPr>
              <w:rFonts w:hint="eastAsia" w:ascii="仿宋" w:hAnsi="仿宋" w:eastAsia="仿宋" w:cs="仿宋"/>
              <w:bCs/>
              <w:snapToGrid/>
              <w:color w:val="auto"/>
              <w:kern w:val="2"/>
              <w:szCs w:val="36"/>
              <w:highlight w:val="none"/>
              <w:lang w:val="en-US" w:eastAsia="zh-CN"/>
            </w:rPr>
            <w:t xml:space="preserve">  </w:t>
          </w:r>
          <w:r>
            <w:rPr>
              <w:rFonts w:hint="eastAsia" w:ascii="仿宋" w:hAnsi="仿宋" w:eastAsia="仿宋" w:cs="仿宋"/>
              <w:bCs/>
              <w:snapToGrid/>
              <w:color w:val="auto"/>
              <w:kern w:val="2"/>
              <w:szCs w:val="36"/>
              <w:highlight w:val="none"/>
              <w:lang w:eastAsia="zh-CN"/>
            </w:rPr>
            <w:t>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_Toc11531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78</w:t>
          </w:r>
          <w:r>
            <w:rPr>
              <w:rFonts w:hint="eastAsia" w:ascii="仿宋" w:hAnsi="仿宋" w:eastAsia="仿宋" w:cs="仿宋"/>
              <w:color w:val="auto"/>
              <w:highlight w:val="none"/>
            </w:rPr>
            <w:fldChar w:fldCharType="end"/>
          </w:r>
          <w:r>
            <w:rPr>
              <w:rFonts w:hint="eastAsia" w:ascii="仿宋" w:hAnsi="仿宋" w:eastAsia="仿宋" w:cs="仿宋"/>
              <w:color w:val="auto"/>
              <w:szCs w:val="27"/>
              <w:highlight w:val="none"/>
            </w:rPr>
            <w:fldChar w:fldCharType="end"/>
          </w:r>
        </w:p>
        <w:p w14:paraId="4EC54A3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snapToGrid w:val="0"/>
              <w:color w:val="auto"/>
              <w:kern w:val="0"/>
              <w:sz w:val="21"/>
              <w:szCs w:val="27"/>
              <w:highlight w:val="none"/>
              <w:lang w:val="en-US" w:eastAsia="en-US" w:bidi="ar-SA"/>
            </w:rPr>
          </w:pPr>
          <w:r>
            <w:rPr>
              <w:rFonts w:hint="eastAsia" w:ascii="仿宋" w:hAnsi="仿宋" w:eastAsia="仿宋" w:cs="仿宋"/>
              <w:color w:val="auto"/>
              <w:szCs w:val="27"/>
              <w:highlight w:val="none"/>
            </w:rPr>
            <w:fldChar w:fldCharType="end"/>
          </w:r>
        </w:p>
      </w:sdtContent>
    </w:sdt>
    <w:p w14:paraId="059A1AB4">
      <w:pPr>
        <w:pStyle w:val="3"/>
        <w:rPr>
          <w:rFonts w:hint="eastAsia" w:ascii="仿宋" w:hAnsi="仿宋" w:eastAsia="仿宋" w:cs="仿宋"/>
          <w:color w:val="auto"/>
          <w:highlight w:val="none"/>
        </w:rPr>
      </w:pPr>
    </w:p>
    <w:p w14:paraId="794AD1AE">
      <w:pPr>
        <w:bidi w:val="0"/>
        <w:rPr>
          <w:rFonts w:hint="eastAsia" w:ascii="仿宋" w:hAnsi="仿宋" w:eastAsia="仿宋" w:cs="仿宋"/>
          <w:color w:val="auto"/>
          <w:highlight w:val="none"/>
        </w:rPr>
      </w:pPr>
    </w:p>
    <w:p w14:paraId="6FA71863">
      <w:pPr>
        <w:bidi w:val="0"/>
        <w:rPr>
          <w:rFonts w:hint="eastAsia" w:ascii="仿宋" w:hAnsi="仿宋" w:eastAsia="仿宋" w:cs="仿宋"/>
          <w:color w:val="auto"/>
          <w:highlight w:val="none"/>
        </w:rPr>
      </w:pPr>
    </w:p>
    <w:p w14:paraId="4AE39B4A">
      <w:pPr>
        <w:tabs>
          <w:tab w:val="left" w:pos="6932"/>
        </w:tabs>
        <w:bidi w:val="0"/>
        <w:jc w:val="left"/>
        <w:rPr>
          <w:rFonts w:hint="eastAsia" w:ascii="仿宋" w:hAnsi="仿宋" w:eastAsia="仿宋" w:cs="仿宋"/>
          <w:color w:val="auto"/>
          <w:highlight w:val="none"/>
          <w:lang w:eastAsia="zh-CN"/>
        </w:rPr>
        <w:sectPr>
          <w:pgSz w:w="11910" w:h="16830"/>
          <w:pgMar w:top="1165" w:right="1176" w:bottom="0" w:left="1160" w:header="0" w:footer="0" w:gutter="0"/>
          <w:cols w:space="720" w:num="1"/>
        </w:sectPr>
      </w:pPr>
      <w:r>
        <w:rPr>
          <w:rFonts w:hint="eastAsia" w:ascii="仿宋" w:hAnsi="仿宋" w:eastAsia="仿宋" w:cs="仿宋"/>
          <w:color w:val="auto"/>
          <w:highlight w:val="none"/>
          <w:lang w:eastAsia="zh-CN"/>
        </w:rPr>
        <w:tab/>
      </w:r>
    </w:p>
    <w:p w14:paraId="6D4C519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79" w:firstLineChars="200"/>
        <w:jc w:val="center"/>
        <w:textAlignment w:val="baseline"/>
        <w:outlineLvl w:val="0"/>
        <w:rPr>
          <w:rFonts w:hint="eastAsia" w:ascii="仿宋" w:hAnsi="仿宋" w:eastAsia="仿宋" w:cs="仿宋"/>
          <w:b/>
          <w:bCs/>
          <w:color w:val="auto"/>
          <w:spacing w:val="24"/>
          <w:sz w:val="44"/>
          <w:szCs w:val="44"/>
          <w:highlight w:val="none"/>
        </w:rPr>
      </w:pPr>
      <w:bookmarkStart w:id="0" w:name="_Toc15075"/>
      <w:r>
        <w:rPr>
          <w:rFonts w:hint="eastAsia" w:ascii="仿宋" w:hAnsi="仿宋" w:eastAsia="仿宋" w:cs="仿宋"/>
          <w:b/>
          <w:bCs/>
          <w:color w:val="auto"/>
          <w:spacing w:val="24"/>
          <w:sz w:val="44"/>
          <w:szCs w:val="44"/>
          <w:highlight w:val="none"/>
        </w:rPr>
        <w:t>第一章竞争性磋商公告</w:t>
      </w:r>
      <w:bookmarkEnd w:id="0"/>
    </w:p>
    <w:p w14:paraId="26CDAE1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79" w:firstLineChars="200"/>
        <w:jc w:val="center"/>
        <w:textAlignment w:val="baseline"/>
        <w:rPr>
          <w:rFonts w:hint="eastAsia" w:ascii="仿宋" w:hAnsi="仿宋" w:eastAsia="仿宋" w:cs="仿宋"/>
          <w:b/>
          <w:bCs/>
          <w:color w:val="auto"/>
          <w:spacing w:val="24"/>
          <w:sz w:val="44"/>
          <w:szCs w:val="44"/>
          <w:highlight w:val="none"/>
        </w:rPr>
      </w:pPr>
    </w:p>
    <w:tbl>
      <w:tblPr>
        <w:tblStyle w:val="27"/>
        <w:tblW w:w="99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920"/>
      </w:tblGrid>
      <w:tr w14:paraId="7086B9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10" w:hRule="atLeast"/>
        </w:trPr>
        <w:tc>
          <w:tcPr>
            <w:tcW w:w="9920" w:type="dxa"/>
            <w:vAlign w:val="top"/>
          </w:tcPr>
          <w:p w14:paraId="3660FA9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项目概况</w:t>
            </w:r>
          </w:p>
          <w:p w14:paraId="4BDFEB4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崇左市江州区五个黑臭水体及污水泵站运营服务项目</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的潜在供应商应在广西政府采购云平台(</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"https://www.gcy.zfcg.gxzf.gov.cn/"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https://www.gcy.zfcg.gxzf.gov.cn/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)获取采购文件，并于2026年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09时30</w:t>
            </w:r>
            <w:r>
              <w:rPr>
                <w:rFonts w:hint="eastAsia" w:ascii="仿宋" w:hAnsi="仿宋" w:eastAsia="仿宋" w:cs="仿宋"/>
                <w:color w:val="auto"/>
                <w:sz w:val="24"/>
                <w:szCs w:val="24"/>
                <w:highlight w:val="none"/>
              </w:rPr>
              <w:t>分(北京</w:t>
            </w:r>
            <w:r>
              <w:rPr>
                <w:rFonts w:hint="eastAsia" w:ascii="仿宋" w:hAnsi="仿宋" w:eastAsia="仿宋" w:cs="仿宋"/>
                <w:color w:val="auto"/>
                <w:spacing w:val="-1"/>
                <w:sz w:val="24"/>
                <w:szCs w:val="24"/>
                <w:highlight w:val="none"/>
              </w:rPr>
              <w:t>时间)前提交响应文件。</w:t>
            </w:r>
          </w:p>
        </w:tc>
      </w:tr>
    </w:tbl>
    <w:p w14:paraId="6D56982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8" w:firstLineChars="200"/>
        <w:textAlignment w:val="baseline"/>
        <w:outlineLvl w:val="1"/>
        <w:rPr>
          <w:rFonts w:hint="eastAsia" w:ascii="仿宋" w:hAnsi="仿宋" w:eastAsia="仿宋" w:cs="仿宋"/>
          <w:color w:val="auto"/>
          <w:sz w:val="24"/>
          <w:szCs w:val="24"/>
          <w:highlight w:val="none"/>
        </w:rPr>
      </w:pPr>
      <w:bookmarkStart w:id="1" w:name="_Toc14813"/>
      <w:r>
        <w:rPr>
          <w:rFonts w:hint="eastAsia" w:ascii="仿宋" w:hAnsi="仿宋" w:eastAsia="仿宋" w:cs="仿宋"/>
          <w:color w:val="auto"/>
          <w:spacing w:val="17"/>
          <w:sz w:val="24"/>
          <w:szCs w:val="24"/>
          <w:highlight w:val="none"/>
        </w:rPr>
        <w:t>一、项目基本情况</w:t>
      </w:r>
      <w:bookmarkEnd w:id="1"/>
    </w:p>
    <w:p w14:paraId="38730CA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项目编号：CZZC2026-C3-020027-GXQL</w:t>
      </w:r>
    </w:p>
    <w:p w14:paraId="2C5176D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项目名称：</w:t>
      </w:r>
      <w:r>
        <w:rPr>
          <w:rFonts w:hint="eastAsia" w:ascii="仿宋" w:hAnsi="仿宋" w:eastAsia="仿宋" w:cs="仿宋"/>
          <w:color w:val="auto"/>
          <w:spacing w:val="1"/>
          <w:sz w:val="24"/>
          <w:szCs w:val="24"/>
          <w:highlight w:val="none"/>
          <w:lang w:eastAsia="zh-CN"/>
        </w:rPr>
        <w:t>崇左市江州区五个黑臭水体及污水泵站运营服务项目</w:t>
      </w:r>
    </w:p>
    <w:p w14:paraId="458472C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预算金额：</w:t>
      </w:r>
      <w:r>
        <w:rPr>
          <w:rFonts w:hint="eastAsia" w:ascii="仿宋" w:hAnsi="仿宋" w:eastAsia="仿宋" w:cs="仿宋"/>
          <w:color w:val="auto"/>
          <w:spacing w:val="6"/>
          <w:sz w:val="24"/>
          <w:szCs w:val="24"/>
          <w:highlight w:val="none"/>
          <w:lang w:val="en-US" w:eastAsia="zh-CN"/>
        </w:rPr>
        <w:t>112</w:t>
      </w:r>
      <w:r>
        <w:rPr>
          <w:rFonts w:hint="eastAsia" w:ascii="仿宋" w:hAnsi="仿宋" w:eastAsia="仿宋" w:cs="仿宋"/>
          <w:color w:val="auto"/>
          <w:spacing w:val="6"/>
          <w:sz w:val="24"/>
          <w:szCs w:val="24"/>
          <w:highlight w:val="none"/>
        </w:rPr>
        <w:t>00</w:t>
      </w:r>
      <w:r>
        <w:rPr>
          <w:rFonts w:hint="eastAsia" w:ascii="仿宋" w:hAnsi="仿宋" w:eastAsia="仿宋" w:cs="仿宋"/>
          <w:color w:val="auto"/>
          <w:spacing w:val="6"/>
          <w:sz w:val="24"/>
          <w:szCs w:val="24"/>
          <w:highlight w:val="none"/>
          <w:lang w:val="en-US" w:eastAsia="zh-CN"/>
        </w:rPr>
        <w:t>00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00元</w:t>
      </w:r>
      <w:r>
        <w:rPr>
          <w:rFonts w:hint="eastAsia" w:ascii="仿宋" w:hAnsi="仿宋" w:eastAsia="仿宋" w:cs="仿宋"/>
          <w:color w:val="auto"/>
          <w:spacing w:val="6"/>
          <w:sz w:val="24"/>
          <w:szCs w:val="24"/>
          <w:highlight w:val="none"/>
        </w:rPr>
        <w:t>。</w:t>
      </w:r>
    </w:p>
    <w:p w14:paraId="7CF57A5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5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8"/>
          <w:sz w:val="24"/>
          <w:szCs w:val="24"/>
          <w:highlight w:val="none"/>
        </w:rPr>
        <w:t>最高限价(如有):</w:t>
      </w:r>
      <w:r>
        <w:rPr>
          <w:rFonts w:hint="eastAsia" w:ascii="仿宋" w:hAnsi="仿宋" w:eastAsia="仿宋" w:cs="仿宋"/>
          <w:color w:val="auto"/>
          <w:spacing w:val="6"/>
          <w:sz w:val="24"/>
          <w:szCs w:val="24"/>
          <w:highlight w:val="none"/>
          <w:lang w:val="en-US" w:eastAsia="zh-CN"/>
        </w:rPr>
        <w:t>112</w:t>
      </w:r>
      <w:r>
        <w:rPr>
          <w:rFonts w:hint="eastAsia" w:ascii="仿宋" w:hAnsi="仿宋" w:eastAsia="仿宋" w:cs="仿宋"/>
          <w:color w:val="auto"/>
          <w:spacing w:val="6"/>
          <w:sz w:val="24"/>
          <w:szCs w:val="24"/>
          <w:highlight w:val="none"/>
        </w:rPr>
        <w:t>00</w:t>
      </w:r>
      <w:r>
        <w:rPr>
          <w:rFonts w:hint="eastAsia" w:ascii="仿宋" w:hAnsi="仿宋" w:eastAsia="仿宋" w:cs="仿宋"/>
          <w:color w:val="auto"/>
          <w:spacing w:val="6"/>
          <w:sz w:val="24"/>
          <w:szCs w:val="24"/>
          <w:highlight w:val="none"/>
          <w:lang w:val="en-US" w:eastAsia="zh-CN"/>
        </w:rPr>
        <w:t>00</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00元</w:t>
      </w:r>
      <w:r>
        <w:rPr>
          <w:rFonts w:hint="eastAsia" w:ascii="仿宋" w:hAnsi="仿宋" w:eastAsia="仿宋" w:cs="仿宋"/>
          <w:color w:val="auto"/>
          <w:spacing w:val="18"/>
          <w:sz w:val="24"/>
          <w:szCs w:val="24"/>
          <w:highlight w:val="none"/>
        </w:rPr>
        <w:t>。</w:t>
      </w:r>
    </w:p>
    <w:p w14:paraId="01AF387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采购需求：</w:t>
      </w:r>
      <w:r>
        <w:rPr>
          <w:rFonts w:hint="eastAsia" w:ascii="仿宋" w:hAnsi="仿宋" w:eastAsia="仿宋" w:cs="仿宋"/>
          <w:color w:val="auto"/>
          <w:spacing w:val="6"/>
          <w:sz w:val="24"/>
          <w:szCs w:val="24"/>
          <w:highlight w:val="none"/>
          <w:lang w:eastAsia="zh-CN"/>
        </w:rPr>
        <w:t>崇左市江州区五个黑臭水体及污水泵站运营服务项目</w:t>
      </w:r>
      <w:r>
        <w:rPr>
          <w:rFonts w:hint="eastAsia" w:ascii="仿宋" w:hAnsi="仿宋" w:eastAsia="仿宋" w:cs="仿宋"/>
          <w:color w:val="auto"/>
          <w:spacing w:val="6"/>
          <w:sz w:val="24"/>
          <w:szCs w:val="24"/>
          <w:highlight w:val="none"/>
        </w:rPr>
        <w:t>1项，如需进一步了 解详细内容，详见竞争性磋商文件第三章采购需求。</w:t>
      </w:r>
    </w:p>
    <w:p w14:paraId="68B6799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合同履行期限：自签订合同之日起</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年。 。</w:t>
      </w:r>
    </w:p>
    <w:p w14:paraId="352DC80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本项目(是/否)接受联合体：□是/</w:t>
      </w:r>
      <w:r>
        <w:rPr>
          <w:rFonts w:hint="eastAsia" w:ascii="仿宋" w:hAnsi="仿宋" w:eastAsia="仿宋" w:cs="仿宋"/>
          <w:b/>
          <w:bCs/>
          <w:color w:val="auto"/>
          <w:spacing w:val="8"/>
          <w:sz w:val="24"/>
          <w:szCs w:val="24"/>
          <w:highlight w:val="none"/>
        </w:rPr>
        <w:t>☑否。</w:t>
      </w:r>
    </w:p>
    <w:p w14:paraId="415F79B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78" w:firstLineChars="200"/>
        <w:textAlignment w:val="baseline"/>
        <w:outlineLvl w:val="1"/>
        <w:rPr>
          <w:rFonts w:hint="eastAsia" w:ascii="仿宋" w:hAnsi="仿宋" w:eastAsia="仿宋" w:cs="仿宋"/>
          <w:color w:val="auto"/>
          <w:sz w:val="24"/>
          <w:szCs w:val="24"/>
          <w:highlight w:val="none"/>
        </w:rPr>
      </w:pPr>
      <w:bookmarkStart w:id="2" w:name="_Toc24829"/>
      <w:r>
        <w:rPr>
          <w:rFonts w:hint="eastAsia" w:ascii="仿宋" w:hAnsi="仿宋" w:eastAsia="仿宋" w:cs="仿宋"/>
          <w:b/>
          <w:bCs/>
          <w:color w:val="auto"/>
          <w:spacing w:val="24"/>
          <w:sz w:val="24"/>
          <w:szCs w:val="24"/>
          <w:highlight w:val="none"/>
        </w:rPr>
        <w:t>二</w:t>
      </w:r>
      <w:r>
        <w:rPr>
          <w:rFonts w:hint="eastAsia" w:ascii="仿宋" w:hAnsi="仿宋" w:eastAsia="仿宋" w:cs="仿宋"/>
          <w:color w:val="auto"/>
          <w:spacing w:val="-33"/>
          <w:sz w:val="24"/>
          <w:szCs w:val="24"/>
          <w:highlight w:val="none"/>
        </w:rPr>
        <w:t xml:space="preserve"> </w:t>
      </w:r>
      <w:r>
        <w:rPr>
          <w:rFonts w:hint="eastAsia" w:ascii="仿宋" w:hAnsi="仿宋" w:eastAsia="仿宋" w:cs="仿宋"/>
          <w:b/>
          <w:bCs/>
          <w:color w:val="auto"/>
          <w:spacing w:val="24"/>
          <w:sz w:val="24"/>
          <w:szCs w:val="24"/>
          <w:highlight w:val="none"/>
        </w:rPr>
        <w:t>、申请人的资格要求</w:t>
      </w:r>
      <w:bookmarkEnd w:id="2"/>
    </w:p>
    <w:p w14:paraId="45B600D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1.满足《中华人民共和国政府采购法》第二十二条规定；</w:t>
      </w:r>
    </w:p>
    <w:p w14:paraId="47B4375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2.落实政府采购政策需满足的资格要求：本项目为专门面向中小型企业采购的项</w:t>
      </w:r>
      <w:r>
        <w:rPr>
          <w:rFonts w:hint="eastAsia" w:ascii="仿宋" w:hAnsi="仿宋" w:eastAsia="仿宋" w:cs="仿宋"/>
          <w:color w:val="auto"/>
          <w:spacing w:val="-1"/>
          <w:sz w:val="24"/>
          <w:szCs w:val="24"/>
          <w:highlight w:val="none"/>
        </w:rPr>
        <w:t>目。供应商必须提供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中小企业声明函或者残疾人福利性单位声明函(格式后附)或者供应商属于监狱企业的需提供由省级以上</w:t>
      </w:r>
      <w:r>
        <w:rPr>
          <w:rFonts w:hint="eastAsia" w:ascii="仿宋" w:hAnsi="仿宋" w:eastAsia="仿宋" w:cs="仿宋"/>
          <w:color w:val="auto"/>
          <w:spacing w:val="6"/>
          <w:sz w:val="24"/>
          <w:szCs w:val="24"/>
          <w:highlight w:val="none"/>
        </w:rPr>
        <w:t>监狱管理局、戒毒管理局(含新疆生产建设兵团)出具的属于监狱企业的证明文件。</w:t>
      </w:r>
    </w:p>
    <w:p w14:paraId="074884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3.本项目的特定资格要求：无。</w:t>
      </w:r>
    </w:p>
    <w:p w14:paraId="7A9D455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color w:val="auto"/>
          <w:sz w:val="24"/>
          <w:szCs w:val="24"/>
          <w:highlight w:val="none"/>
        </w:rPr>
      </w:pPr>
      <w:bookmarkStart w:id="3" w:name="_Toc11550"/>
      <w:r>
        <w:rPr>
          <w:rFonts w:hint="eastAsia" w:ascii="仿宋" w:hAnsi="仿宋" w:eastAsia="仿宋" w:cs="仿宋"/>
          <w:b/>
          <w:bCs/>
          <w:color w:val="auto"/>
          <w:spacing w:val="16"/>
          <w:sz w:val="24"/>
          <w:szCs w:val="24"/>
          <w:highlight w:val="none"/>
        </w:rPr>
        <w:t>三、获取采购文件</w:t>
      </w:r>
      <w:bookmarkEnd w:id="3"/>
    </w:p>
    <w:p w14:paraId="19E405F4">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28"/>
          <w:sz w:val="24"/>
          <w:szCs w:val="24"/>
          <w:highlight w:val="none"/>
        </w:rPr>
        <w:t>时间：</w:t>
      </w:r>
      <w:r>
        <w:rPr>
          <w:rFonts w:hint="eastAsia" w:ascii="仿宋" w:hAnsi="仿宋" w:eastAsia="仿宋" w:cs="仿宋"/>
          <w:color w:val="auto"/>
          <w:spacing w:val="28"/>
          <w:sz w:val="24"/>
          <w:szCs w:val="24"/>
          <w:highlight w:val="none"/>
          <w:u w:val="single" w:color="auto"/>
        </w:rPr>
        <w:t>202</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5</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28</w:t>
      </w:r>
      <w:r>
        <w:rPr>
          <w:rFonts w:hint="eastAsia" w:ascii="仿宋" w:hAnsi="仿宋" w:eastAsia="仿宋" w:cs="仿宋"/>
          <w:color w:val="auto"/>
          <w:spacing w:val="28"/>
          <w:sz w:val="24"/>
          <w:szCs w:val="24"/>
          <w:highlight w:val="none"/>
          <w:u w:val="single" w:color="auto"/>
        </w:rPr>
        <w:t>日至20</w:t>
      </w:r>
      <w:r>
        <w:rPr>
          <w:rFonts w:hint="eastAsia" w:ascii="仿宋" w:hAnsi="仿宋" w:eastAsia="仿宋" w:cs="仿宋"/>
          <w:color w:val="auto"/>
          <w:spacing w:val="28"/>
          <w:sz w:val="24"/>
          <w:szCs w:val="24"/>
          <w:highlight w:val="none"/>
          <w:u w:val="single" w:color="auto"/>
          <w:lang w:val="en-US" w:eastAsia="zh-CN"/>
        </w:rPr>
        <w:t>26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4</w:t>
      </w:r>
      <w:r>
        <w:rPr>
          <w:rFonts w:hint="eastAsia" w:ascii="仿宋" w:hAnsi="仿宋" w:eastAsia="仿宋" w:cs="仿宋"/>
          <w:color w:val="auto"/>
          <w:spacing w:val="28"/>
          <w:sz w:val="24"/>
          <w:szCs w:val="24"/>
          <w:highlight w:val="none"/>
          <w:u w:val="single" w:color="auto"/>
        </w:rPr>
        <w:t>日</w:t>
      </w:r>
      <w:r>
        <w:rPr>
          <w:rFonts w:hint="eastAsia" w:ascii="仿宋" w:hAnsi="仿宋" w:eastAsia="仿宋" w:cs="仿宋"/>
          <w:color w:val="auto"/>
          <w:spacing w:val="28"/>
          <w:sz w:val="24"/>
          <w:szCs w:val="24"/>
          <w:highlight w:val="none"/>
        </w:rPr>
        <w:t>，</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28"/>
          <w:sz w:val="24"/>
          <w:szCs w:val="24"/>
          <w:highlight w:val="none"/>
        </w:rPr>
        <w:t>每天上午00:00至11:59,下午12:00至23:59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(北京时间，法定节假日除外)。</w:t>
      </w:r>
    </w:p>
    <w:p w14:paraId="0315022A">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rPr>
      </w:pPr>
      <w:r>
        <w:rPr>
          <w:rFonts w:hint="eastAsia" w:ascii="仿宋" w:hAnsi="仿宋" w:eastAsia="仿宋" w:cs="仿宋"/>
          <w:color w:val="auto"/>
          <w:spacing w:val="28"/>
          <w:sz w:val="24"/>
          <w:szCs w:val="24"/>
          <w:highlight w:val="none"/>
        </w:rPr>
        <w:t>地点：广西政府采购云平台 (</w:t>
      </w:r>
      <w:r>
        <w:rPr>
          <w:rFonts w:hint="eastAsia" w:ascii="仿宋" w:hAnsi="仿宋" w:eastAsia="仿宋" w:cs="仿宋"/>
          <w:color w:val="auto"/>
          <w:spacing w:val="28"/>
          <w:sz w:val="24"/>
          <w:szCs w:val="24"/>
          <w:highlight w:val="none"/>
        </w:rPr>
        <w:fldChar w:fldCharType="begin"/>
      </w:r>
      <w:r>
        <w:rPr>
          <w:rFonts w:hint="eastAsia" w:ascii="仿宋" w:hAnsi="仿宋" w:eastAsia="仿宋" w:cs="仿宋"/>
          <w:color w:val="auto"/>
          <w:spacing w:val="28"/>
          <w:sz w:val="24"/>
          <w:szCs w:val="24"/>
          <w:highlight w:val="none"/>
        </w:rPr>
        <w:instrText xml:space="preserve"> HYPERLINK "https://www.gcy.zfcg.gxzf.gov.cn/)" </w:instrText>
      </w:r>
      <w:r>
        <w:rPr>
          <w:rFonts w:hint="eastAsia" w:ascii="仿宋" w:hAnsi="仿宋" w:eastAsia="仿宋" w:cs="仿宋"/>
          <w:color w:val="auto"/>
          <w:spacing w:val="28"/>
          <w:sz w:val="24"/>
          <w:szCs w:val="24"/>
          <w:highlight w:val="none"/>
        </w:rPr>
        <w:fldChar w:fldCharType="separate"/>
      </w:r>
      <w:r>
        <w:rPr>
          <w:rFonts w:hint="eastAsia" w:ascii="仿宋" w:hAnsi="仿宋" w:eastAsia="仿宋" w:cs="仿宋"/>
          <w:color w:val="auto"/>
          <w:spacing w:val="28"/>
          <w:sz w:val="24"/>
          <w:szCs w:val="24"/>
          <w:highlight w:val="none"/>
        </w:rPr>
        <w:t>https://www.gcy.zfcg.gxzf.gov.cn/)</w:t>
      </w:r>
      <w:r>
        <w:rPr>
          <w:rFonts w:hint="eastAsia" w:ascii="仿宋" w:hAnsi="仿宋" w:eastAsia="仿宋" w:cs="仿宋"/>
          <w:color w:val="auto"/>
          <w:spacing w:val="28"/>
          <w:sz w:val="24"/>
          <w:szCs w:val="24"/>
          <w:highlight w:val="none"/>
        </w:rPr>
        <w:fldChar w:fldCharType="end"/>
      </w:r>
    </w:p>
    <w:p w14:paraId="75022566">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u w:val="none" w:color="auto"/>
          <w:lang w:val="en-US" w:eastAsia="zh-CN"/>
        </w:rPr>
      </w:pPr>
      <w:r>
        <w:rPr>
          <w:rFonts w:hint="eastAsia" w:ascii="仿宋" w:hAnsi="仿宋" w:eastAsia="仿宋" w:cs="仿宋"/>
          <w:color w:val="auto"/>
          <w:spacing w:val="28"/>
          <w:sz w:val="24"/>
          <w:szCs w:val="24"/>
          <w:highlight w:val="none"/>
          <w:lang w:val="en-US" w:eastAsia="zh-CN"/>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bookmarkStart w:id="186" w:name="_GoBack"/>
      <w:bookmarkEnd w:id="186"/>
    </w:p>
    <w:p w14:paraId="24CD51E5">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592" w:firstLineChars="200"/>
        <w:textAlignment w:val="baseline"/>
        <w:rPr>
          <w:rFonts w:hint="eastAsia" w:ascii="仿宋" w:hAnsi="仿宋" w:eastAsia="仿宋" w:cs="仿宋"/>
          <w:color w:val="auto"/>
          <w:spacing w:val="28"/>
          <w:sz w:val="24"/>
          <w:szCs w:val="24"/>
          <w:highlight w:val="none"/>
          <w:lang w:val="en-US" w:eastAsia="zh-CN"/>
        </w:rPr>
      </w:pPr>
      <w:r>
        <w:rPr>
          <w:rFonts w:hint="eastAsia" w:ascii="仿宋" w:hAnsi="仿宋" w:eastAsia="仿宋" w:cs="仿宋"/>
          <w:color w:val="auto"/>
          <w:spacing w:val="28"/>
          <w:sz w:val="24"/>
          <w:szCs w:val="24"/>
          <w:highlight w:val="none"/>
          <w:lang w:val="en-US" w:eastAsia="zh-CN"/>
        </w:rPr>
        <w:t>售价：人民币0元。</w:t>
      </w:r>
    </w:p>
    <w:p w14:paraId="2962EC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color w:val="auto"/>
          <w:sz w:val="24"/>
          <w:szCs w:val="24"/>
          <w:highlight w:val="none"/>
        </w:rPr>
      </w:pPr>
      <w:bookmarkStart w:id="4" w:name="bookmark8"/>
      <w:bookmarkEnd w:id="4"/>
      <w:bookmarkStart w:id="5" w:name="_Toc15145"/>
      <w:r>
        <w:rPr>
          <w:rFonts w:hint="eastAsia" w:ascii="仿宋" w:hAnsi="仿宋" w:eastAsia="仿宋" w:cs="仿宋"/>
          <w:b/>
          <w:bCs/>
          <w:color w:val="auto"/>
          <w:spacing w:val="16"/>
          <w:sz w:val="24"/>
          <w:szCs w:val="24"/>
          <w:highlight w:val="none"/>
        </w:rPr>
        <w:t>四、响应文件提交</w:t>
      </w:r>
      <w:bookmarkEnd w:id="5"/>
    </w:p>
    <w:p w14:paraId="5103EE2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w:t>
      </w:r>
      <w:r>
        <w:rPr>
          <w:rFonts w:hint="eastAsia" w:ascii="仿宋" w:hAnsi="仿宋" w:eastAsia="仿宋" w:cs="仿宋"/>
          <w:color w:val="auto"/>
          <w:spacing w:val="-1"/>
          <w:sz w:val="24"/>
          <w:szCs w:val="24"/>
          <w:highlight w:val="none"/>
          <w:lang w:val="en-US" w:eastAsia="zh-CN"/>
        </w:rPr>
        <w:t>.</w:t>
      </w:r>
      <w:r>
        <w:rPr>
          <w:rFonts w:hint="eastAsia" w:ascii="仿宋" w:hAnsi="仿宋" w:eastAsia="仿宋" w:cs="仿宋"/>
          <w:color w:val="auto"/>
          <w:spacing w:val="-1"/>
          <w:sz w:val="24"/>
          <w:szCs w:val="24"/>
          <w:highlight w:val="none"/>
        </w:rPr>
        <w:t>截止时间：</w:t>
      </w:r>
      <w:r>
        <w:rPr>
          <w:rFonts w:hint="eastAsia" w:ascii="仿宋" w:hAnsi="仿宋" w:eastAsia="仿宋" w:cs="仿宋"/>
          <w:color w:val="auto"/>
          <w:spacing w:val="28"/>
          <w:sz w:val="24"/>
          <w:szCs w:val="24"/>
          <w:highlight w:val="none"/>
          <w:u w:val="single" w:color="auto"/>
        </w:rPr>
        <w:t>202</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8</w:t>
      </w:r>
      <w:r>
        <w:rPr>
          <w:rFonts w:hint="eastAsia" w:ascii="仿宋" w:hAnsi="仿宋" w:eastAsia="仿宋" w:cs="仿宋"/>
          <w:color w:val="auto"/>
          <w:spacing w:val="34"/>
          <w:sz w:val="24"/>
          <w:szCs w:val="24"/>
          <w:highlight w:val="none"/>
          <w:u w:val="single" w:color="auto"/>
        </w:rPr>
        <w:t>日9</w:t>
      </w:r>
      <w:r>
        <w:rPr>
          <w:rFonts w:hint="eastAsia" w:ascii="仿宋" w:hAnsi="仿宋" w:eastAsia="仿宋" w:cs="仿宋"/>
          <w:color w:val="auto"/>
          <w:spacing w:val="34"/>
          <w:sz w:val="24"/>
          <w:szCs w:val="24"/>
          <w:highlight w:val="none"/>
          <w:u w:val="single" w:color="auto"/>
          <w:lang w:val="en-US" w:eastAsia="zh-CN"/>
        </w:rPr>
        <w:t>时3</w:t>
      </w:r>
      <w:r>
        <w:rPr>
          <w:rFonts w:hint="eastAsia" w:ascii="仿宋" w:hAnsi="仿宋" w:eastAsia="仿宋" w:cs="仿宋"/>
          <w:color w:val="auto"/>
          <w:spacing w:val="34"/>
          <w:sz w:val="24"/>
          <w:szCs w:val="24"/>
          <w:highlight w:val="none"/>
          <w:u w:val="single" w:color="auto"/>
        </w:rPr>
        <w:t>0分</w:t>
      </w:r>
      <w:r>
        <w:rPr>
          <w:rFonts w:hint="eastAsia" w:ascii="仿宋" w:hAnsi="仿宋" w:eastAsia="仿宋" w:cs="仿宋"/>
          <w:color w:val="auto"/>
          <w:spacing w:val="34"/>
          <w:sz w:val="24"/>
          <w:szCs w:val="24"/>
          <w:highlight w:val="none"/>
        </w:rPr>
        <w:t>(北京时间)</w:t>
      </w:r>
    </w:p>
    <w:p w14:paraId="2FFADC5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w:t>
      </w:r>
      <w:r>
        <w:rPr>
          <w:rFonts w:hint="eastAsia" w:ascii="仿宋" w:hAnsi="仿宋" w:eastAsia="仿宋" w:cs="仿宋"/>
          <w:color w:val="auto"/>
          <w:spacing w:val="5"/>
          <w:sz w:val="24"/>
          <w:szCs w:val="24"/>
          <w:highlight w:val="none"/>
          <w:lang w:val="en-US" w:eastAsia="zh-CN"/>
        </w:rPr>
        <w:t>.</w:t>
      </w:r>
      <w:r>
        <w:rPr>
          <w:rFonts w:hint="eastAsia" w:ascii="仿宋" w:hAnsi="仿宋" w:eastAsia="仿宋" w:cs="仿宋"/>
          <w:color w:val="auto"/>
          <w:spacing w:val="5"/>
          <w:sz w:val="24"/>
          <w:szCs w:val="24"/>
          <w:highlight w:val="none"/>
        </w:rPr>
        <w:t>地点（网址）：请登录广西政府采购云平台投标客户端投标</w:t>
      </w:r>
      <w:r>
        <w:rPr>
          <w:rFonts w:hint="eastAsia" w:ascii="仿宋" w:hAnsi="仿宋" w:eastAsia="仿宋" w:cs="仿宋"/>
          <w:color w:val="auto"/>
          <w:spacing w:val="8"/>
          <w:sz w:val="24"/>
          <w:szCs w:val="24"/>
          <w:highlight w:val="none"/>
        </w:rPr>
        <w:t>。</w:t>
      </w:r>
    </w:p>
    <w:p w14:paraId="0E47B3B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6" w:name="_Toc21745"/>
      <w:r>
        <w:rPr>
          <w:rFonts w:hint="eastAsia" w:ascii="仿宋" w:hAnsi="仿宋" w:eastAsia="仿宋" w:cs="仿宋"/>
          <w:b/>
          <w:bCs/>
          <w:color w:val="auto"/>
          <w:spacing w:val="16"/>
          <w:sz w:val="24"/>
          <w:szCs w:val="24"/>
          <w:highlight w:val="none"/>
        </w:rPr>
        <w:t>五、响应文件开启</w:t>
      </w:r>
      <w:bookmarkEnd w:id="6"/>
    </w:p>
    <w:p w14:paraId="74FD631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0"/>
          <w:sz w:val="24"/>
          <w:szCs w:val="24"/>
          <w:highlight w:val="none"/>
          <w:lang w:val="en-US" w:eastAsia="zh-CN"/>
        </w:rPr>
        <w:t>开启</w:t>
      </w:r>
      <w:r>
        <w:rPr>
          <w:rFonts w:hint="eastAsia" w:ascii="仿宋" w:hAnsi="仿宋" w:eastAsia="仿宋" w:cs="仿宋"/>
          <w:color w:val="auto"/>
          <w:spacing w:val="30"/>
          <w:sz w:val="24"/>
          <w:szCs w:val="24"/>
          <w:highlight w:val="none"/>
        </w:rPr>
        <w:t>时间：</w:t>
      </w:r>
      <w:r>
        <w:rPr>
          <w:rFonts w:hint="eastAsia" w:ascii="仿宋" w:hAnsi="仿宋" w:eastAsia="仿宋" w:cs="仿宋"/>
          <w:color w:val="auto"/>
          <w:spacing w:val="28"/>
          <w:sz w:val="24"/>
          <w:szCs w:val="24"/>
          <w:highlight w:val="none"/>
          <w:u w:val="single" w:color="auto"/>
        </w:rPr>
        <w:t>202</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年</w:t>
      </w:r>
      <w:r>
        <w:rPr>
          <w:rFonts w:hint="eastAsia" w:ascii="仿宋" w:hAnsi="仿宋" w:eastAsia="仿宋" w:cs="仿宋"/>
          <w:color w:val="auto"/>
          <w:spacing w:val="28"/>
          <w:sz w:val="24"/>
          <w:szCs w:val="24"/>
          <w:highlight w:val="none"/>
          <w:u w:val="single" w:color="auto"/>
          <w:lang w:val="en-US" w:eastAsia="zh-CN"/>
        </w:rPr>
        <w:t>6</w:t>
      </w:r>
      <w:r>
        <w:rPr>
          <w:rFonts w:hint="eastAsia" w:ascii="仿宋" w:hAnsi="仿宋" w:eastAsia="仿宋" w:cs="仿宋"/>
          <w:color w:val="auto"/>
          <w:spacing w:val="28"/>
          <w:sz w:val="24"/>
          <w:szCs w:val="24"/>
          <w:highlight w:val="none"/>
          <w:u w:val="single" w:color="auto"/>
        </w:rPr>
        <w:t>月</w:t>
      </w:r>
      <w:r>
        <w:rPr>
          <w:rFonts w:hint="eastAsia" w:ascii="仿宋" w:hAnsi="仿宋" w:eastAsia="仿宋" w:cs="仿宋"/>
          <w:color w:val="auto"/>
          <w:spacing w:val="28"/>
          <w:sz w:val="24"/>
          <w:szCs w:val="24"/>
          <w:highlight w:val="none"/>
          <w:u w:val="single" w:color="auto"/>
          <w:lang w:val="en-US" w:eastAsia="zh-CN"/>
        </w:rPr>
        <w:t>8</w:t>
      </w:r>
      <w:r>
        <w:rPr>
          <w:rFonts w:hint="eastAsia" w:ascii="仿宋" w:hAnsi="仿宋" w:eastAsia="仿宋" w:cs="仿宋"/>
          <w:color w:val="auto"/>
          <w:spacing w:val="28"/>
          <w:sz w:val="24"/>
          <w:szCs w:val="24"/>
          <w:highlight w:val="none"/>
          <w:u w:val="single" w:color="auto"/>
        </w:rPr>
        <w:t>日</w:t>
      </w:r>
      <w:r>
        <w:rPr>
          <w:rFonts w:hint="eastAsia" w:ascii="仿宋" w:hAnsi="仿宋" w:eastAsia="仿宋" w:cs="仿宋"/>
          <w:color w:val="auto"/>
          <w:spacing w:val="30"/>
          <w:sz w:val="24"/>
          <w:szCs w:val="24"/>
          <w:highlight w:val="none"/>
          <w:u w:val="single" w:color="auto"/>
        </w:rPr>
        <w:t>9</w:t>
      </w:r>
      <w:r>
        <w:rPr>
          <w:rFonts w:hint="eastAsia" w:ascii="仿宋" w:hAnsi="仿宋" w:eastAsia="仿宋" w:cs="仿宋"/>
          <w:color w:val="auto"/>
          <w:spacing w:val="30"/>
          <w:sz w:val="24"/>
          <w:szCs w:val="24"/>
          <w:highlight w:val="none"/>
          <w:u w:val="single" w:color="auto"/>
          <w:lang w:val="en-US" w:eastAsia="zh-CN"/>
        </w:rPr>
        <w:t>时3</w:t>
      </w:r>
      <w:r>
        <w:rPr>
          <w:rFonts w:hint="eastAsia" w:ascii="仿宋" w:hAnsi="仿宋" w:eastAsia="仿宋" w:cs="仿宋"/>
          <w:color w:val="auto"/>
          <w:spacing w:val="30"/>
          <w:sz w:val="24"/>
          <w:szCs w:val="24"/>
          <w:highlight w:val="none"/>
          <w:u w:val="single" w:color="auto"/>
        </w:rPr>
        <w:t>0分</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0"/>
          <w:sz w:val="24"/>
          <w:szCs w:val="24"/>
          <w:highlight w:val="none"/>
        </w:rPr>
        <w:t>(北</w:t>
      </w:r>
      <w:r>
        <w:rPr>
          <w:rFonts w:hint="eastAsia" w:ascii="仿宋" w:hAnsi="仿宋" w:eastAsia="仿宋" w:cs="仿宋"/>
          <w:color w:val="auto"/>
          <w:spacing w:val="29"/>
          <w:sz w:val="24"/>
          <w:szCs w:val="24"/>
          <w:highlight w:val="none"/>
        </w:rPr>
        <w:t>京时间)</w:t>
      </w:r>
    </w:p>
    <w:p w14:paraId="6DFE260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00" w:firstLineChars="200"/>
        <w:textAlignment w:val="baseline"/>
        <w:rPr>
          <w:rFonts w:hint="eastAsia" w:ascii="仿宋" w:hAnsi="仿宋" w:eastAsia="仿宋" w:cs="仿宋"/>
          <w:color w:val="auto"/>
          <w:spacing w:val="30"/>
          <w:sz w:val="24"/>
          <w:szCs w:val="24"/>
          <w:highlight w:val="none"/>
          <w:lang w:val="en-US" w:eastAsia="zh-CN"/>
        </w:rPr>
      </w:pPr>
      <w:r>
        <w:rPr>
          <w:rFonts w:hint="eastAsia" w:ascii="仿宋" w:hAnsi="仿宋" w:eastAsia="仿宋" w:cs="仿宋"/>
          <w:color w:val="auto"/>
          <w:spacing w:val="30"/>
          <w:sz w:val="24"/>
          <w:szCs w:val="24"/>
          <w:highlight w:val="none"/>
          <w:lang w:val="en-US" w:eastAsia="zh-CN"/>
        </w:rPr>
        <w:t>地点：</w:t>
      </w:r>
      <w:r>
        <w:rPr>
          <w:rFonts w:hint="eastAsia" w:ascii="仿宋" w:hAnsi="仿宋" w:eastAsia="仿宋" w:cs="仿宋"/>
          <w:color w:val="auto"/>
          <w:spacing w:val="28"/>
          <w:sz w:val="24"/>
          <w:szCs w:val="24"/>
          <w:highlight w:val="none"/>
        </w:rPr>
        <w:t>广西政府采购云平台</w:t>
      </w:r>
      <w:r>
        <w:rPr>
          <w:rFonts w:hint="eastAsia" w:ascii="仿宋" w:hAnsi="仿宋" w:eastAsia="仿宋" w:cs="仿宋"/>
          <w:color w:val="auto"/>
          <w:spacing w:val="30"/>
          <w:sz w:val="24"/>
          <w:szCs w:val="24"/>
          <w:highlight w:val="none"/>
          <w:lang w:val="en-US" w:eastAsia="zh-CN"/>
        </w:rPr>
        <w:t>。 </w:t>
      </w:r>
    </w:p>
    <w:p w14:paraId="2A7441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7" w:name="_Toc10829"/>
      <w:r>
        <w:rPr>
          <w:rFonts w:hint="eastAsia" w:ascii="仿宋" w:hAnsi="仿宋" w:eastAsia="仿宋" w:cs="仿宋"/>
          <w:b/>
          <w:bCs/>
          <w:color w:val="auto"/>
          <w:spacing w:val="16"/>
          <w:sz w:val="24"/>
          <w:szCs w:val="24"/>
          <w:highlight w:val="none"/>
        </w:rPr>
        <w:t>六 、公告期限</w:t>
      </w:r>
      <w:bookmarkEnd w:id="7"/>
    </w:p>
    <w:p w14:paraId="1133027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自本公告发布之日起5个工作日。</w:t>
      </w:r>
    </w:p>
    <w:p w14:paraId="7AC7C8C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6" w:firstLineChars="200"/>
        <w:textAlignment w:val="baseline"/>
        <w:outlineLvl w:val="1"/>
        <w:rPr>
          <w:rFonts w:hint="eastAsia" w:ascii="仿宋" w:hAnsi="仿宋" w:eastAsia="仿宋" w:cs="仿宋"/>
          <w:b/>
          <w:bCs/>
          <w:color w:val="auto"/>
          <w:spacing w:val="16"/>
          <w:sz w:val="24"/>
          <w:szCs w:val="24"/>
          <w:highlight w:val="none"/>
        </w:rPr>
      </w:pPr>
      <w:bookmarkStart w:id="8" w:name="_Toc14025"/>
      <w:r>
        <w:rPr>
          <w:rFonts w:hint="eastAsia" w:ascii="仿宋" w:hAnsi="仿宋" w:eastAsia="仿宋" w:cs="仿宋"/>
          <w:b/>
          <w:bCs/>
          <w:color w:val="auto"/>
          <w:spacing w:val="16"/>
          <w:sz w:val="24"/>
          <w:szCs w:val="24"/>
          <w:highlight w:val="none"/>
        </w:rPr>
        <w:t>七、其他补充事宜</w:t>
      </w:r>
      <w:bookmarkEnd w:id="8"/>
    </w:p>
    <w:p w14:paraId="021EAF4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w:t>
      </w:r>
      <w:r>
        <w:rPr>
          <w:rFonts w:hint="eastAsia" w:ascii="仿宋" w:hAnsi="仿宋" w:eastAsia="仿宋" w:cs="仿宋"/>
          <w:color w:val="auto"/>
          <w:spacing w:val="-1"/>
          <w:sz w:val="24"/>
          <w:szCs w:val="24"/>
          <w:highlight w:val="none"/>
          <w:lang w:val="en-US" w:eastAsia="zh-CN"/>
        </w:rPr>
        <w:t>本项目不收取</w:t>
      </w:r>
      <w:r>
        <w:rPr>
          <w:rFonts w:hint="eastAsia" w:ascii="仿宋" w:hAnsi="仿宋" w:eastAsia="仿宋" w:cs="仿宋"/>
          <w:color w:val="auto"/>
          <w:spacing w:val="-1"/>
          <w:sz w:val="24"/>
          <w:szCs w:val="24"/>
          <w:highlight w:val="none"/>
        </w:rPr>
        <w:t>磋商保证金</w:t>
      </w:r>
      <w:r>
        <w:rPr>
          <w:rFonts w:hint="eastAsia" w:ascii="仿宋" w:hAnsi="仿宋" w:eastAsia="仿宋" w:cs="仿宋"/>
          <w:b/>
          <w:bCs/>
          <w:color w:val="auto"/>
          <w:spacing w:val="-1"/>
          <w:sz w:val="24"/>
          <w:szCs w:val="24"/>
          <w:highlight w:val="none"/>
        </w:rPr>
        <w:t>。</w:t>
      </w:r>
    </w:p>
    <w:p w14:paraId="43779BE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rPr>
        <w:t>2.网上查询地址：www.ccgp.gov.cn（中国政府采购网）、https://zfcg.gxzf.gov.cn（广西壮族自治区政府采购网）</w:t>
      </w:r>
      <w:r>
        <w:rPr>
          <w:rFonts w:hint="eastAsia" w:ascii="仿宋" w:hAnsi="仿宋" w:eastAsia="仿宋" w:cs="仿宋"/>
          <w:color w:val="auto"/>
          <w:spacing w:val="1"/>
          <w:sz w:val="24"/>
          <w:szCs w:val="24"/>
          <w:highlight w:val="none"/>
          <w:lang w:eastAsia="zh-CN"/>
        </w:rPr>
        <w:t>。</w:t>
      </w:r>
    </w:p>
    <w:p w14:paraId="2D21DA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"http://ggzy.jgswj.gxzf.gov.cn/bsggzy/)。3"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pacing w:val="1"/>
          <w:sz w:val="24"/>
          <w:szCs w:val="24"/>
          <w:highlight w:val="none"/>
        </w:rPr>
        <w:t>3</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.本项目需要落实的政府采购政策</w:t>
      </w:r>
    </w:p>
    <w:p w14:paraId="4D26EAC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(1)政府采购促进中小企业发展。</w:t>
      </w:r>
    </w:p>
    <w:p w14:paraId="43498CC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(2)政府采购支持采用本国产品的政策。</w:t>
      </w:r>
    </w:p>
    <w:p w14:paraId="7A66291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9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(3)强制采购节能产品；优先采购节能产品、环境标志产品。</w:t>
      </w:r>
    </w:p>
    <w:p w14:paraId="55CB3FD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(4)政府采购促进残疾人就业政策。</w:t>
      </w:r>
    </w:p>
    <w:p w14:paraId="200104D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4" w:firstLineChars="200"/>
        <w:textAlignment w:val="baseline"/>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(5)政府采购支持监狱企业发展。</w:t>
      </w:r>
    </w:p>
    <w:p w14:paraId="120F6C73">
      <w:pPr>
        <w:keepNext w:val="0"/>
        <w:keepLines w:val="0"/>
        <w:widowControl/>
        <w:kinsoku w:val="0"/>
        <w:autoSpaceDE w:val="0"/>
        <w:autoSpaceDN w:val="0"/>
        <w:adjustRightInd w:val="0"/>
        <w:snapToGrid w:val="0"/>
        <w:spacing w:line="460" w:lineRule="exact"/>
        <w:ind w:firstLine="508"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7"/>
          <w:sz w:val="24"/>
          <w:szCs w:val="24"/>
          <w:highlight w:val="none"/>
          <w:lang w:val="en-US" w:eastAsia="zh-CN"/>
        </w:rPr>
        <w:t>(6)在政府采购中实施本国产品标准及相关政策</w:t>
      </w:r>
      <w:r>
        <w:rPr>
          <w:rFonts w:hint="eastAsia" w:ascii="仿宋" w:hAnsi="仿宋" w:eastAsia="仿宋" w:cs="仿宋"/>
          <w:color w:val="auto"/>
          <w:sz w:val="24"/>
          <w:szCs w:val="24"/>
          <w:highlight w:val="none"/>
          <w:lang w:val="en-US" w:eastAsia="zh-CN"/>
        </w:rPr>
        <w:t>。</w:t>
      </w:r>
    </w:p>
    <w:p w14:paraId="5F89BCF3">
      <w:pPr>
        <w:keepNext w:val="0"/>
        <w:keepLines w:val="0"/>
        <w:widowControl/>
        <w:kinsoku w:val="0"/>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B5BB78">
      <w:pPr>
        <w:keepNext w:val="0"/>
        <w:keepLines w:val="0"/>
        <w:widowControl/>
        <w:kinsoku w:val="0"/>
        <w:autoSpaceDE w:val="0"/>
        <w:autoSpaceDN w:val="0"/>
        <w:adjustRightInd w:val="0"/>
        <w:snapToGrid w:val="0"/>
        <w:spacing w:line="460" w:lineRule="exact"/>
        <w:ind w:firstLine="48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F4C48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6</w:t>
      </w:r>
      <w:r>
        <w:rPr>
          <w:rFonts w:hint="eastAsia" w:ascii="仿宋" w:hAnsi="仿宋" w:eastAsia="仿宋" w:cs="仿宋"/>
          <w:snapToGrid w:val="0"/>
          <w:color w:val="auto"/>
          <w:spacing w:val="1"/>
          <w:kern w:val="0"/>
          <w:sz w:val="24"/>
          <w:szCs w:val="24"/>
          <w:highlight w:val="none"/>
          <w:lang w:val="en-US" w:eastAsia="en-US" w:bidi="ar-SA"/>
        </w:rPr>
        <w:t>.在线竞标响应（电子投标）说明</w:t>
      </w:r>
    </w:p>
    <w:p w14:paraId="40DA8E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w:t>
      </w:r>
      <w:r>
        <w:rPr>
          <w:rFonts w:hint="eastAsia" w:ascii="仿宋" w:hAnsi="仿宋" w:eastAsia="仿宋" w:cs="仿宋"/>
          <w:color w:val="auto"/>
          <w:sz w:val="24"/>
          <w:szCs w:val="24"/>
          <w:highlight w:val="none"/>
          <w:lang w:val="en-US" w:eastAsia="zh-CN"/>
        </w:rPr>
        <w:t>指南</w:t>
      </w:r>
      <w:r>
        <w:rPr>
          <w:rFonts w:hint="eastAsia" w:ascii="仿宋" w:hAnsi="仿宋" w:eastAsia="仿宋" w:cs="仿宋"/>
          <w:snapToGrid w:val="0"/>
          <w:color w:val="auto"/>
          <w:spacing w:val="1"/>
          <w:kern w:val="0"/>
          <w:sz w:val="24"/>
          <w:szCs w:val="24"/>
          <w:highlight w:val="none"/>
          <w:lang w:val="en-US" w:eastAsia="en-US" w:bidi="ar-SA"/>
        </w:rPr>
        <w:t>—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7F3645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（2）未进行网上注册并办理数字证书（CA认证）的供应商将无法参与本项目政府采购活动，潜在供应商应当在首次响应文件提交截止时间前，完成电子交易平台上的CA数字证书办理及响应文件的提交</w:t>
      </w:r>
    </w:p>
    <w:p w14:paraId="285EFE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（3）为确保网上操作合法、有效和安全，请供应商确保在电子响应过程中能够对相关数据电文进行加密和使用电子签章，妥善保管CA数字证书并使用有效的CA数字证书参与整个采购活动。</w:t>
      </w:r>
    </w:p>
    <w:p w14:paraId="170202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0BC3AA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（4）CA证书在线解密：首次响应文件开启时，需要供应商携带制作响应文件时用来加密的有效数字证书（CA认证）登录广西政府采购云平台电子开标大厅现场按规定时间对加密的响应文件进行解密。</w:t>
      </w:r>
    </w:p>
    <w:p w14:paraId="7D4571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（5）供应商需要在具备有摄像头及语音功能且互联网网络状况良好的电脑登录广西政府采购云平台远程开标大厅参与本次磋商，否则后果自负。</w:t>
      </w:r>
    </w:p>
    <w:p w14:paraId="5927CF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7</w:t>
      </w:r>
      <w:r>
        <w:rPr>
          <w:rFonts w:hint="eastAsia" w:ascii="仿宋" w:hAnsi="仿宋" w:eastAsia="仿宋" w:cs="仿宋"/>
          <w:snapToGrid w:val="0"/>
          <w:color w:val="auto"/>
          <w:spacing w:val="1"/>
          <w:kern w:val="0"/>
          <w:sz w:val="24"/>
          <w:szCs w:val="24"/>
          <w:highlight w:val="none"/>
          <w:lang w:val="en-US" w:eastAsia="en-US" w:bidi="ar-SA"/>
        </w:rPr>
        <w:t>.为配合采购人进行政府采购项目执行和备案，未在广西政府采购云平台注册的供应商可在获取采购文件后登录广西政府采购云平台进行注册，如在操作过程中遇到问题或者需要技术支持，请致电广西政府采购云平台热线人工客服（工作时间：工作日08:00～20：00），咨询电话：95763。</w:t>
      </w:r>
    </w:p>
    <w:p w14:paraId="44CD7B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0"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kern w:val="2"/>
          <w:sz w:val="24"/>
          <w:szCs w:val="24"/>
          <w:highlight w:val="none"/>
          <w:lang w:val="en-US" w:eastAsia="zh-CN"/>
        </w:rPr>
        <w:t>8.</w:t>
      </w:r>
      <w:r>
        <w:rPr>
          <w:rFonts w:hint="eastAsia" w:ascii="仿宋" w:hAnsi="仿宋" w:eastAsia="仿宋" w:cs="仿宋"/>
          <w:color w:val="auto"/>
          <w:sz w:val="24"/>
          <w:szCs w:val="24"/>
          <w:highlight w:val="none"/>
          <w:lang w:val="en-US" w:eastAsia="zh-CN"/>
        </w:rPr>
        <w:t>银行、保险、石油石化、电力、电信等有行业特殊情况的，法人的分支机构经法人授权后可以分支机构的身份参加政府采购。如供应商为分支机构的，必须在</w:t>
      </w:r>
      <w:r>
        <w:rPr>
          <w:rFonts w:hint="eastAsia" w:ascii="仿宋" w:hAnsi="仿宋" w:eastAsia="仿宋" w:cs="仿宋"/>
          <w:color w:val="auto"/>
          <w:kern w:val="2"/>
          <w:sz w:val="24"/>
          <w:szCs w:val="24"/>
          <w:highlight w:val="none"/>
          <w:lang w:val="en-US" w:eastAsia="zh-CN"/>
        </w:rPr>
        <w:t>响应文件</w:t>
      </w:r>
      <w:r>
        <w:rPr>
          <w:rFonts w:hint="eastAsia" w:ascii="仿宋" w:hAnsi="仿宋" w:eastAsia="仿宋" w:cs="仿宋"/>
          <w:color w:val="auto"/>
          <w:sz w:val="24"/>
          <w:szCs w:val="24"/>
          <w:highlight w:val="none"/>
          <w:lang w:val="en-US" w:eastAsia="zh-CN"/>
        </w:rPr>
        <w:t>中同时提供经法人授权供应商以分支机构名义参加</w:t>
      </w:r>
      <w:r>
        <w:rPr>
          <w:rFonts w:hint="eastAsia" w:ascii="仿宋" w:hAnsi="仿宋" w:eastAsia="仿宋" w:cs="仿宋"/>
          <w:color w:val="auto"/>
          <w:kern w:val="2"/>
          <w:sz w:val="24"/>
          <w:szCs w:val="24"/>
          <w:highlight w:val="none"/>
          <w:lang w:val="en-US" w:eastAsia="zh-CN"/>
        </w:rPr>
        <w:t>竞标</w:t>
      </w:r>
      <w:r>
        <w:rPr>
          <w:rFonts w:hint="eastAsia" w:ascii="仿宋" w:hAnsi="仿宋" w:eastAsia="仿宋" w:cs="仿宋"/>
          <w:color w:val="auto"/>
          <w:sz w:val="24"/>
          <w:szCs w:val="24"/>
          <w:highlight w:val="none"/>
          <w:lang w:val="en-US" w:eastAsia="zh-CN"/>
        </w:rPr>
        <w:t>的授权委托书、法人营业执照及分支机构营业执照的复印件</w:t>
      </w:r>
      <w:r>
        <w:rPr>
          <w:rFonts w:hint="eastAsia" w:ascii="仿宋" w:hAnsi="仿宋" w:eastAsia="仿宋" w:cs="仿宋"/>
          <w:color w:val="auto"/>
          <w:kern w:val="2"/>
          <w:sz w:val="24"/>
          <w:szCs w:val="24"/>
          <w:highlight w:val="none"/>
          <w:lang w:val="en-US" w:eastAsia="zh-CN"/>
        </w:rPr>
        <w:t>。</w:t>
      </w:r>
    </w:p>
    <w:p w14:paraId="732304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9</w:t>
      </w:r>
      <w:r>
        <w:rPr>
          <w:rFonts w:hint="eastAsia" w:ascii="仿宋" w:hAnsi="仿宋" w:eastAsia="仿宋" w:cs="仿宋"/>
          <w:snapToGrid w:val="0"/>
          <w:color w:val="auto"/>
          <w:spacing w:val="1"/>
          <w:kern w:val="0"/>
          <w:sz w:val="24"/>
          <w:szCs w:val="24"/>
          <w:highlight w:val="none"/>
          <w:lang w:val="en-US" w:eastAsia="en-US" w:bidi="ar-SA"/>
        </w:rPr>
        <w:t>.根据《崇左市财政局关于进一步做好线上“政采贷”融资业务工作的通知》(崇财采〔2023〕10号),供应商可凭成交通知书、政府采购合同，通过中征应收账款融资服务平台向银行在线申请“政采贷”融资。(具体详见采购文件第二章供应商须知正文中关于“政采贷”相关信息)</w:t>
      </w:r>
    </w:p>
    <w:p w14:paraId="02B543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ind w:right="0" w:rightChars="0" w:firstLine="484"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snapToGrid w:val="0"/>
          <w:color w:val="auto"/>
          <w:spacing w:val="1"/>
          <w:kern w:val="0"/>
          <w:sz w:val="24"/>
          <w:szCs w:val="24"/>
          <w:highlight w:val="none"/>
          <w:lang w:val="en-US" w:eastAsia="zh-CN" w:bidi="ar-SA"/>
        </w:rPr>
        <w:t>10</w:t>
      </w:r>
      <w:r>
        <w:rPr>
          <w:rFonts w:hint="eastAsia" w:ascii="仿宋" w:hAnsi="仿宋" w:eastAsia="仿宋" w:cs="仿宋"/>
          <w:snapToGrid w:val="0"/>
          <w:color w:val="auto"/>
          <w:spacing w:val="1"/>
          <w:kern w:val="0"/>
          <w:sz w:val="24"/>
          <w:szCs w:val="24"/>
          <w:highlight w:val="none"/>
          <w:lang w:val="en-US" w:eastAsia="en-US" w:bidi="ar-SA"/>
        </w:rPr>
        <w:t>.</w:t>
      </w:r>
      <w:r>
        <w:rPr>
          <w:rFonts w:hint="eastAsia" w:ascii="仿宋" w:hAnsi="仿宋" w:eastAsia="仿宋" w:cs="仿宋"/>
          <w:color w:val="auto"/>
          <w:spacing w:val="1"/>
          <w:sz w:val="24"/>
          <w:szCs w:val="24"/>
          <w:highlight w:val="none"/>
        </w:rPr>
        <w:t>本项目采用远程异地评审。</w:t>
      </w:r>
      <w:r>
        <w:rPr>
          <w:rFonts w:hint="eastAsia" w:ascii="仿宋" w:hAnsi="仿宋" w:eastAsia="仿宋" w:cs="仿宋"/>
          <w:color w:val="auto"/>
          <w:spacing w:val="30"/>
          <w:sz w:val="24"/>
          <w:szCs w:val="24"/>
          <w:highlight w:val="none"/>
          <w:lang w:val="en-US" w:eastAsia="zh-CN"/>
        </w:rPr>
        <w:t>主会场地址：崇左市江州区城南区新城路西段南侧（阳光名邸）第C4栋203号；分会场地址：南宁市白沙大道53号松宇时代14A层。</w:t>
      </w:r>
      <w:r>
        <w:rPr>
          <w:rFonts w:hint="eastAsia" w:ascii="仿宋" w:hAnsi="仿宋" w:eastAsia="仿宋" w:cs="仿宋"/>
          <w:color w:val="auto"/>
          <w:spacing w:val="1"/>
          <w:sz w:val="24"/>
          <w:szCs w:val="24"/>
          <w:highlight w:val="none"/>
        </w:rPr>
        <w:t>  </w:t>
      </w:r>
    </w:p>
    <w:p w14:paraId="4EDDF78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74" w:firstLineChars="200"/>
        <w:textAlignment w:val="baseline"/>
        <w:outlineLvl w:val="1"/>
        <w:rPr>
          <w:rFonts w:hint="eastAsia" w:ascii="仿宋" w:hAnsi="仿宋" w:eastAsia="仿宋" w:cs="仿宋"/>
          <w:color w:val="auto"/>
          <w:sz w:val="24"/>
          <w:szCs w:val="24"/>
          <w:highlight w:val="none"/>
        </w:rPr>
      </w:pPr>
      <w:bookmarkStart w:id="9" w:name="_Toc19863"/>
      <w:r>
        <w:rPr>
          <w:rFonts w:hint="eastAsia" w:ascii="仿宋" w:hAnsi="仿宋" w:eastAsia="仿宋" w:cs="仿宋"/>
          <w:b/>
          <w:bCs/>
          <w:color w:val="auto"/>
          <w:spacing w:val="23"/>
          <w:sz w:val="24"/>
          <w:szCs w:val="24"/>
          <w:highlight w:val="none"/>
        </w:rPr>
        <w:t>八</w:t>
      </w:r>
      <w:r>
        <w:rPr>
          <w:rFonts w:hint="eastAsia" w:ascii="仿宋" w:hAnsi="仿宋" w:eastAsia="仿宋" w:cs="仿宋"/>
          <w:color w:val="auto"/>
          <w:spacing w:val="-22"/>
          <w:sz w:val="24"/>
          <w:szCs w:val="24"/>
          <w:highlight w:val="none"/>
        </w:rPr>
        <w:t xml:space="preserve"> </w:t>
      </w:r>
      <w:r>
        <w:rPr>
          <w:rFonts w:hint="eastAsia" w:ascii="仿宋" w:hAnsi="仿宋" w:eastAsia="仿宋" w:cs="仿宋"/>
          <w:b/>
          <w:bCs/>
          <w:color w:val="auto"/>
          <w:spacing w:val="23"/>
          <w:sz w:val="24"/>
          <w:szCs w:val="24"/>
          <w:highlight w:val="none"/>
        </w:rPr>
        <w:t>、凡对本次采购提出询问，请按以下方式联系。</w:t>
      </w:r>
      <w:bookmarkEnd w:id="9"/>
    </w:p>
    <w:p w14:paraId="759779A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1.采购人信息</w:t>
      </w:r>
    </w:p>
    <w:p w14:paraId="1F81AB5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rPr>
        <w:t>名称：</w:t>
      </w:r>
      <w:r>
        <w:rPr>
          <w:rFonts w:hint="eastAsia" w:ascii="仿宋" w:hAnsi="仿宋" w:eastAsia="仿宋" w:cs="仿宋"/>
          <w:color w:val="auto"/>
          <w:spacing w:val="8"/>
          <w:sz w:val="24"/>
          <w:szCs w:val="24"/>
          <w:highlight w:val="none"/>
          <w:lang w:eastAsia="zh-CN"/>
        </w:rPr>
        <w:t>崇左市江州区住房和城乡建设局</w:t>
      </w:r>
    </w:p>
    <w:p w14:paraId="5B9FA55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00"/>
        <w:textAlignment w:val="baseline"/>
        <w:rPr>
          <w:rFonts w:hint="eastAsia" w:ascii="仿宋" w:hAnsi="仿宋" w:eastAsia="仿宋" w:cs="仿宋"/>
          <w:color w:val="auto"/>
          <w:spacing w:val="11"/>
          <w:sz w:val="24"/>
          <w:szCs w:val="24"/>
          <w:highlight w:val="none"/>
        </w:rPr>
      </w:pPr>
      <w:r>
        <w:rPr>
          <w:rFonts w:hint="eastAsia" w:ascii="仿宋" w:hAnsi="仿宋" w:eastAsia="仿宋" w:cs="仿宋"/>
          <w:color w:val="auto"/>
          <w:spacing w:val="11"/>
          <w:sz w:val="24"/>
          <w:szCs w:val="24"/>
          <w:highlight w:val="none"/>
        </w:rPr>
        <w:t>地址：崇左市江州区建设路2号</w:t>
      </w:r>
    </w:p>
    <w:p w14:paraId="15AF3F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00"/>
        <w:textAlignment w:val="baseline"/>
        <w:rPr>
          <w:rFonts w:hint="default"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联系人：陈雨思</w:t>
      </w:r>
    </w:p>
    <w:p w14:paraId="44550E4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联系方式：</w:t>
      </w:r>
      <w:r>
        <w:rPr>
          <w:rFonts w:hint="eastAsia" w:ascii="仿宋" w:hAnsi="仿宋" w:eastAsia="仿宋" w:cs="仿宋"/>
          <w:color w:val="auto"/>
          <w:spacing w:val="-1"/>
          <w:sz w:val="24"/>
          <w:szCs w:val="24"/>
          <w:highlight w:val="none"/>
          <w:lang w:val="en-US" w:eastAsia="zh-CN"/>
        </w:rPr>
        <w:t>0771-7826596</w:t>
      </w:r>
    </w:p>
    <w:p w14:paraId="685AC19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89C31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名 称：广西启利工程咨询有限公司</w:t>
      </w:r>
    </w:p>
    <w:p w14:paraId="5E467FA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地 址：</w:t>
      </w:r>
      <w:r>
        <w:rPr>
          <w:rFonts w:hint="eastAsia" w:ascii="仿宋" w:hAnsi="仿宋" w:eastAsia="仿宋" w:cs="仿宋"/>
          <w:color w:val="auto"/>
          <w:spacing w:val="8"/>
          <w:sz w:val="24"/>
          <w:szCs w:val="24"/>
          <w:highlight w:val="none"/>
          <w:lang w:val="en-US" w:eastAsia="zh-CN"/>
        </w:rPr>
        <w:t>崇左市江州区城南区新城路西段南侧（阳光名邸）第C4栋203号</w:t>
      </w:r>
    </w:p>
    <w:p w14:paraId="38A6C81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2" w:firstLineChars="200"/>
        <w:textAlignment w:val="baseline"/>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联系方式：</w:t>
      </w:r>
      <w:r>
        <w:rPr>
          <w:rFonts w:hint="eastAsia" w:ascii="仿宋" w:hAnsi="仿宋" w:eastAsia="仿宋" w:cs="仿宋"/>
          <w:color w:val="auto"/>
          <w:spacing w:val="8"/>
          <w:sz w:val="24"/>
          <w:szCs w:val="24"/>
          <w:highlight w:val="none"/>
          <w:lang w:val="en-US" w:eastAsia="zh-CN"/>
        </w:rPr>
        <w:t>罗艳香   0771-7991007</w:t>
      </w:r>
    </w:p>
    <w:p w14:paraId="634726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4"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3.项目联系方式</w:t>
      </w:r>
    </w:p>
    <w:p w14:paraId="6CDFCB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96"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rPr>
        <w:t>项目联系人：</w:t>
      </w:r>
      <w:r>
        <w:rPr>
          <w:rFonts w:hint="eastAsia" w:ascii="仿宋" w:hAnsi="仿宋" w:eastAsia="仿宋" w:cs="仿宋"/>
          <w:color w:val="auto"/>
          <w:spacing w:val="4"/>
          <w:sz w:val="24"/>
          <w:szCs w:val="24"/>
          <w:highlight w:val="none"/>
          <w:lang w:val="en-US" w:eastAsia="zh-CN"/>
        </w:rPr>
        <w:t>罗艳香</w:t>
      </w:r>
    </w:p>
    <w:p w14:paraId="238F03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sectPr>
          <w:footerReference r:id="rId5" w:type="default"/>
          <w:pgSz w:w="11910" w:h="16830"/>
          <w:pgMar w:top="1202" w:right="1144" w:bottom="1101" w:left="1110" w:header="0" w:footer="957" w:gutter="0"/>
          <w:pgNumType w:fmt="decimal" w:start="1"/>
          <w:cols w:space="720" w:num="1"/>
        </w:sectPr>
      </w:pPr>
      <w:r>
        <w:rPr>
          <w:rFonts w:hint="eastAsia" w:ascii="仿宋" w:hAnsi="仿宋" w:eastAsia="仿宋" w:cs="仿宋"/>
          <w:color w:val="auto"/>
          <w:spacing w:val="-3"/>
          <w:sz w:val="24"/>
          <w:szCs w:val="24"/>
          <w:highlight w:val="none"/>
        </w:rPr>
        <w:t>电</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3"/>
          <w:sz w:val="24"/>
          <w:szCs w:val="24"/>
          <w:highlight w:val="none"/>
        </w:rPr>
        <w:t>话：</w:t>
      </w:r>
      <w:r>
        <w:rPr>
          <w:rFonts w:hint="eastAsia" w:ascii="仿宋" w:hAnsi="仿宋" w:eastAsia="仿宋" w:cs="仿宋"/>
          <w:color w:val="auto"/>
          <w:spacing w:val="-3"/>
          <w:sz w:val="24"/>
          <w:szCs w:val="24"/>
          <w:highlight w:val="none"/>
          <w:lang w:val="en-US" w:eastAsia="zh-CN"/>
        </w:rPr>
        <w:t>0771-7991007</w:t>
      </w:r>
    </w:p>
    <w:p w14:paraId="14A4750F">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b/>
          <w:bCs/>
          <w:snapToGrid/>
          <w:color w:val="auto"/>
          <w:kern w:val="2"/>
          <w:sz w:val="36"/>
          <w:szCs w:val="36"/>
          <w:highlight w:val="none"/>
          <w:lang w:eastAsia="zh-CN"/>
        </w:rPr>
      </w:pPr>
      <w:bookmarkStart w:id="10" w:name="_Toc5465"/>
      <w:bookmarkStart w:id="11" w:name="_Toc5999"/>
      <w:bookmarkStart w:id="12" w:name="_Toc28315"/>
      <w:bookmarkStart w:id="13" w:name="_Toc74323457"/>
      <w:r>
        <w:rPr>
          <w:rFonts w:hint="eastAsia" w:ascii="仿宋" w:hAnsi="仿宋" w:eastAsia="仿宋" w:cs="仿宋"/>
          <w:b/>
          <w:bCs/>
          <w:snapToGrid/>
          <w:color w:val="auto"/>
          <w:kern w:val="2"/>
          <w:sz w:val="36"/>
          <w:szCs w:val="36"/>
          <w:highlight w:val="none"/>
          <w:lang w:eastAsia="zh-CN"/>
        </w:rPr>
        <w:t>第</w:t>
      </w:r>
      <w:r>
        <w:rPr>
          <w:rFonts w:hint="eastAsia" w:ascii="仿宋" w:hAnsi="仿宋" w:eastAsia="仿宋" w:cs="仿宋"/>
          <w:b/>
          <w:bCs/>
          <w:snapToGrid/>
          <w:color w:val="auto"/>
          <w:kern w:val="2"/>
          <w:sz w:val="36"/>
          <w:szCs w:val="36"/>
          <w:highlight w:val="none"/>
          <w:lang w:val="en-US" w:eastAsia="zh-CN"/>
        </w:rPr>
        <w:t>二</w:t>
      </w:r>
      <w:r>
        <w:rPr>
          <w:rFonts w:hint="eastAsia" w:ascii="仿宋" w:hAnsi="仿宋" w:eastAsia="仿宋" w:cs="仿宋"/>
          <w:b/>
          <w:bCs/>
          <w:snapToGrid/>
          <w:color w:val="auto"/>
          <w:kern w:val="2"/>
          <w:sz w:val="36"/>
          <w:szCs w:val="36"/>
          <w:highlight w:val="none"/>
          <w:lang w:eastAsia="zh-CN"/>
        </w:rPr>
        <w:t>章</w:t>
      </w:r>
      <w:r>
        <w:rPr>
          <w:rFonts w:hint="eastAsia" w:ascii="仿宋" w:hAnsi="仿宋" w:eastAsia="仿宋" w:cs="仿宋"/>
          <w:b/>
          <w:bCs/>
          <w:snapToGrid/>
          <w:color w:val="auto"/>
          <w:kern w:val="2"/>
          <w:sz w:val="36"/>
          <w:szCs w:val="36"/>
          <w:highlight w:val="none"/>
          <w:lang w:val="en-US" w:eastAsia="zh-CN"/>
        </w:rPr>
        <w:t xml:space="preserve">  </w:t>
      </w:r>
      <w:r>
        <w:rPr>
          <w:rFonts w:hint="eastAsia" w:ascii="仿宋" w:hAnsi="仿宋" w:eastAsia="仿宋" w:cs="仿宋"/>
          <w:b/>
          <w:bCs/>
          <w:snapToGrid/>
          <w:color w:val="auto"/>
          <w:kern w:val="2"/>
          <w:sz w:val="36"/>
          <w:szCs w:val="36"/>
          <w:highlight w:val="none"/>
          <w:lang w:eastAsia="zh-CN"/>
        </w:rPr>
        <w:t>供应商须知</w:t>
      </w:r>
      <w:bookmarkEnd w:id="10"/>
      <w:bookmarkEnd w:id="11"/>
      <w:bookmarkEnd w:id="12"/>
      <w:bookmarkEnd w:id="13"/>
    </w:p>
    <w:p w14:paraId="5987F73C">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1"/>
        <w:rPr>
          <w:rFonts w:hint="eastAsia" w:ascii="仿宋" w:hAnsi="仿宋" w:eastAsia="仿宋" w:cs="仿宋"/>
          <w:b/>
          <w:snapToGrid/>
          <w:color w:val="auto"/>
          <w:kern w:val="2"/>
          <w:sz w:val="24"/>
          <w:szCs w:val="24"/>
          <w:highlight w:val="none"/>
          <w:lang w:eastAsia="zh-CN"/>
        </w:rPr>
      </w:pPr>
      <w:bookmarkStart w:id="14" w:name="_Toc19638"/>
      <w:bookmarkStart w:id="15" w:name="_Toc30063"/>
      <w:bookmarkStart w:id="16" w:name="_Toc9996"/>
      <w:r>
        <w:rPr>
          <w:rFonts w:hint="eastAsia" w:ascii="仿宋" w:hAnsi="仿宋" w:eastAsia="仿宋" w:cs="仿宋"/>
          <w:b/>
          <w:snapToGrid/>
          <w:color w:val="auto"/>
          <w:kern w:val="2"/>
          <w:sz w:val="30"/>
          <w:szCs w:val="30"/>
          <w:highlight w:val="none"/>
          <w:lang w:eastAsia="zh-CN"/>
        </w:rPr>
        <w:t>供应商须知前附表</w:t>
      </w:r>
      <w:bookmarkEnd w:id="14"/>
      <w:bookmarkEnd w:id="15"/>
      <w:bookmarkEnd w:id="16"/>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C99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92" w:type="dxa"/>
            <w:vAlign w:val="center"/>
          </w:tcPr>
          <w:p w14:paraId="5C97227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条款号</w:t>
            </w:r>
          </w:p>
        </w:tc>
        <w:tc>
          <w:tcPr>
            <w:tcW w:w="7912" w:type="dxa"/>
            <w:vAlign w:val="center"/>
          </w:tcPr>
          <w:p w14:paraId="314E53A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内    容</w:t>
            </w:r>
          </w:p>
        </w:tc>
      </w:tr>
      <w:tr w14:paraId="3F52E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8D462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w:t>
            </w:r>
          </w:p>
        </w:tc>
        <w:tc>
          <w:tcPr>
            <w:tcW w:w="7912" w:type="dxa"/>
            <w:vAlign w:val="center"/>
          </w:tcPr>
          <w:p w14:paraId="41412C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1.供应商的资格条件</w:t>
            </w:r>
            <w:r>
              <w:rPr>
                <w:rFonts w:hint="eastAsia" w:ascii="仿宋" w:hAnsi="仿宋" w:eastAsia="仿宋" w:cs="仿宋"/>
                <w:snapToGrid/>
                <w:color w:val="auto"/>
                <w:kern w:val="2"/>
                <w:sz w:val="24"/>
                <w:szCs w:val="24"/>
                <w:highlight w:val="none"/>
                <w:lang w:eastAsia="zh-CN"/>
              </w:rPr>
              <w:t>：详见竞争性磋商公告</w:t>
            </w:r>
          </w:p>
          <w:p w14:paraId="6620F2A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bCs/>
                <w:snapToGrid/>
                <w:color w:val="auto"/>
                <w:kern w:val="2"/>
                <w:sz w:val="24"/>
                <w:szCs w:val="24"/>
                <w:highlight w:val="none"/>
                <w:lang w:eastAsia="zh-CN"/>
              </w:rPr>
              <w:t>供应商</w:t>
            </w:r>
            <w:r>
              <w:rPr>
                <w:rFonts w:hint="eastAsia" w:ascii="仿宋" w:hAnsi="仿宋" w:eastAsia="仿宋" w:cs="仿宋"/>
                <w:snapToGrid/>
                <w:color w:val="auto"/>
                <w:kern w:val="2"/>
                <w:sz w:val="24"/>
                <w:szCs w:val="24"/>
                <w:highlight w:val="none"/>
                <w:lang w:eastAsia="zh-CN"/>
              </w:rPr>
              <w:t>出现下列情形之一的，不得参加政府采购活动：</w:t>
            </w:r>
          </w:p>
          <w:p w14:paraId="49ED7E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0C912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CEF0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7103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w:t>
            </w:r>
          </w:p>
        </w:tc>
        <w:tc>
          <w:tcPr>
            <w:tcW w:w="7912" w:type="dxa"/>
            <w:vAlign w:val="center"/>
          </w:tcPr>
          <w:p w14:paraId="22D506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是否接受联合体竞标: 详见竞争性磋商公告或者邀请函</w:t>
            </w:r>
          </w:p>
        </w:tc>
      </w:tr>
      <w:tr w14:paraId="422F5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7442C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5.2</w:t>
            </w:r>
          </w:p>
        </w:tc>
        <w:tc>
          <w:tcPr>
            <w:tcW w:w="7912" w:type="dxa"/>
            <w:vAlign w:val="center"/>
          </w:tcPr>
          <w:p w14:paraId="08F2AC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如接受联合体竞标，联合体竞标要求如下：本项目不接受联合体</w:t>
            </w:r>
          </w:p>
        </w:tc>
      </w:tr>
      <w:tr w14:paraId="50AEF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B1249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w:t>
            </w:r>
          </w:p>
        </w:tc>
        <w:tc>
          <w:tcPr>
            <w:tcW w:w="7912" w:type="dxa"/>
            <w:vAlign w:val="center"/>
          </w:tcPr>
          <w:p w14:paraId="7934E24D">
            <w:pPr>
              <w:pStyle w:val="7"/>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☑不允许分包</w:t>
            </w:r>
          </w:p>
          <w:p w14:paraId="18AF7AD8">
            <w:pPr>
              <w:pStyle w:val="7"/>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□允许分包</w:t>
            </w:r>
          </w:p>
          <w:p w14:paraId="42316126">
            <w:pPr>
              <w:pStyle w:val="7"/>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分包内容及分包金额或者比例：</w:t>
            </w:r>
            <w:r>
              <w:rPr>
                <w:rFonts w:hint="eastAsia" w:ascii="仿宋" w:hAnsi="仿宋" w:eastAsia="仿宋" w:cs="仿宋"/>
                <w:snapToGrid/>
                <w:color w:val="auto"/>
                <w:sz w:val="24"/>
                <w:szCs w:val="24"/>
                <w:highlight w:val="none"/>
                <w:u w:val="single"/>
                <w:lang w:val="en-US" w:eastAsia="zh-CN"/>
              </w:rPr>
              <w:t>/</w:t>
            </w:r>
          </w:p>
        </w:tc>
      </w:tr>
      <w:tr w14:paraId="0A0F0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112A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12.1.1</w:t>
            </w:r>
          </w:p>
        </w:tc>
        <w:tc>
          <w:tcPr>
            <w:tcW w:w="7912" w:type="dxa"/>
            <w:vAlign w:val="center"/>
          </w:tcPr>
          <w:p w14:paraId="11341B3D">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资格文件</w:t>
            </w:r>
          </w:p>
          <w:p w14:paraId="74F97315">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bidi="ar-SA"/>
              </w:rPr>
              <w:t>1.</w:t>
            </w:r>
            <w:r>
              <w:rPr>
                <w:rFonts w:hint="eastAsia" w:ascii="仿宋" w:hAnsi="仿宋" w:eastAsia="仿宋" w:cs="仿宋"/>
                <w:snapToGrid/>
                <w:color w:val="auto"/>
                <w:kern w:val="2"/>
                <w:sz w:val="24"/>
                <w:szCs w:val="24"/>
                <w:highlight w:val="none"/>
                <w:lang w:eastAsia="zh-CN"/>
              </w:rPr>
              <w:t>崇左市政府采购供应商信用承诺函（按第五章</w:t>
            </w:r>
            <w:r>
              <w:rPr>
                <w:rFonts w:hint="eastAsia" w:ascii="仿宋" w:hAnsi="仿宋" w:eastAsia="仿宋" w:cs="仿宋"/>
                <w:snapToGrid/>
                <w:color w:val="auto"/>
                <w:kern w:val="2"/>
                <w:sz w:val="24"/>
                <w:szCs w:val="24"/>
                <w:highlight w:val="none"/>
                <w:lang w:val="en-US" w:eastAsia="zh-CN"/>
              </w:rPr>
              <w:t>响应文件</w:t>
            </w:r>
            <w:r>
              <w:rPr>
                <w:rFonts w:hint="eastAsia" w:ascii="仿宋" w:hAnsi="仿宋" w:eastAsia="仿宋" w:cs="仿宋"/>
                <w:snapToGrid/>
                <w:color w:val="auto"/>
                <w:kern w:val="2"/>
                <w:sz w:val="24"/>
                <w:szCs w:val="24"/>
                <w:highlight w:val="none"/>
                <w:lang w:eastAsia="zh-CN"/>
              </w:rPr>
              <w:t>格式填写）；</w:t>
            </w:r>
            <w:r>
              <w:rPr>
                <w:rFonts w:hint="eastAsia" w:ascii="仿宋" w:hAnsi="仿宋" w:eastAsia="仿宋" w:cs="仿宋"/>
                <w:b/>
                <w:bCs/>
                <w:snapToGrid/>
                <w:color w:val="auto"/>
                <w:kern w:val="2"/>
                <w:sz w:val="24"/>
                <w:szCs w:val="24"/>
                <w:highlight w:val="none"/>
                <w:lang w:eastAsia="zh-CN"/>
              </w:rPr>
              <w:t>（必须提供，否则响应文件按无效响应处理）</w:t>
            </w:r>
          </w:p>
          <w:p w14:paraId="7D2472A6">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bidi="ar-SA"/>
              </w:rPr>
              <w:t>2.</w:t>
            </w:r>
            <w:r>
              <w:rPr>
                <w:rFonts w:hint="eastAsia" w:ascii="仿宋" w:hAnsi="仿宋" w:eastAsia="仿宋" w:cs="仿宋"/>
                <w:snapToGrid/>
                <w:color w:val="auto"/>
                <w:kern w:val="2"/>
                <w:sz w:val="24"/>
                <w:szCs w:val="24"/>
                <w:highlight w:val="none"/>
                <w:lang w:eastAsia="zh-CN"/>
              </w:rPr>
              <w:t>供应商直接控股、管理关系信息表（格式后附）；（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6CD15994">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.竞标声明（格式后附）；（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5265C5D5">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4.本项目的特定资格要求:无；</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snapToGrid/>
                <w:color w:val="auto"/>
                <w:kern w:val="2"/>
                <w:sz w:val="24"/>
                <w:szCs w:val="24"/>
                <w:highlight w:val="none"/>
                <w:lang w:val="en-US" w:eastAsia="zh-CN"/>
              </w:rPr>
              <w:t>如有</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0C935004">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5.中小企业声明函或者残疾人福利性单位声明函（格式后附）或者供应商属于监狱企业的，提供由省级以上监狱管理局、戒毒管理局（含新疆生产建设兵团）出具的属于监狱企业的证明文件；</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70E11782">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.除磋商文件规定必须提供以外，供应商认为需要提供的其他证明材料；</w:t>
            </w:r>
          </w:p>
          <w:p w14:paraId="7F472FBD">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w:t>
            </w:r>
          </w:p>
          <w:p w14:paraId="309D3235">
            <w:pPr>
              <w:pStyle w:val="7"/>
              <w:keepNext w:val="0"/>
              <w:keepLines w:val="0"/>
              <w:pageBreakBefore w:val="0"/>
              <w:widowControl w:val="0"/>
              <w:kinsoku/>
              <w:topLinePunct w:val="0"/>
              <w:autoSpaceDE/>
              <w:autoSpaceDN/>
              <w:bidi w:val="0"/>
              <w:adjustRightInd/>
              <w:snapToGrid/>
              <w:spacing w:beforeAutospacing="0" w:afterAutospacing="0"/>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1.以上标明“必须提供”的材料属于复印件的，必须加盖供应商电子签章，否则响应文件按无效处理。</w:t>
            </w:r>
          </w:p>
          <w:p w14:paraId="137C3E5B">
            <w:pPr>
              <w:pStyle w:val="7"/>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lang w:eastAsia="zh-CN"/>
              </w:rPr>
            </w:pPr>
            <w:r>
              <w:rPr>
                <w:rFonts w:hint="eastAsia" w:ascii="仿宋" w:hAnsi="仿宋" w:eastAsia="仿宋" w:cs="仿宋"/>
                <w:b/>
                <w:snapToGrid/>
                <w:color w:val="auto"/>
                <w:sz w:val="24"/>
                <w:szCs w:val="24"/>
                <w:highlight w:val="none"/>
              </w:rPr>
              <w:t>2.联合体竞标时，第1-</w:t>
            </w:r>
            <w:r>
              <w:rPr>
                <w:rFonts w:hint="eastAsia" w:ascii="仿宋" w:hAnsi="仿宋" w:eastAsia="仿宋" w:cs="仿宋"/>
                <w:b/>
                <w:snapToGrid/>
                <w:color w:val="auto"/>
                <w:sz w:val="24"/>
                <w:szCs w:val="24"/>
                <w:highlight w:val="none"/>
                <w:lang w:val="en-US" w:eastAsia="zh-CN"/>
              </w:rPr>
              <w:t>2</w:t>
            </w:r>
            <w:r>
              <w:rPr>
                <w:rFonts w:hint="eastAsia" w:ascii="仿宋" w:hAnsi="仿宋" w:eastAsia="仿宋" w:cs="仿宋"/>
                <w:b/>
                <w:snapToGrid/>
                <w:color w:val="auto"/>
                <w:sz w:val="24"/>
                <w:szCs w:val="24"/>
                <w:highlight w:val="none"/>
              </w:rPr>
              <w:t>项资格证明文件联合体各方均必须分别提供，并由联合体牵头人加盖电子签章，规定签字处签字</w:t>
            </w:r>
            <w:r>
              <w:rPr>
                <w:rFonts w:hint="eastAsia" w:ascii="仿宋" w:hAnsi="仿宋" w:eastAsia="仿宋" w:cs="仿宋"/>
                <w:b/>
                <w:bCs/>
                <w:snapToGrid/>
                <w:color w:val="auto"/>
                <w:sz w:val="24"/>
                <w:szCs w:val="24"/>
                <w:highlight w:val="none"/>
              </w:rPr>
              <w:t>（或者电子签名）</w:t>
            </w:r>
            <w:r>
              <w:rPr>
                <w:rFonts w:hint="eastAsia" w:ascii="仿宋" w:hAnsi="仿宋" w:eastAsia="仿宋" w:cs="仿宋"/>
                <w:b/>
                <w:snapToGrid/>
                <w:color w:val="auto"/>
                <w:sz w:val="24"/>
                <w:szCs w:val="24"/>
                <w:highlight w:val="none"/>
              </w:rPr>
              <w:t>，否则响应文件按无效处理。</w:t>
            </w:r>
          </w:p>
        </w:tc>
      </w:tr>
      <w:tr w14:paraId="57A18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F917F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12.1.2</w:t>
            </w:r>
          </w:p>
        </w:tc>
        <w:tc>
          <w:tcPr>
            <w:tcW w:w="7912" w:type="dxa"/>
            <w:vAlign w:val="center"/>
          </w:tcPr>
          <w:p w14:paraId="1B379C0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报价文件</w:t>
            </w:r>
          </w:p>
          <w:p w14:paraId="11BD10D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1.竞标报价表（格式后附）；（</w:t>
            </w:r>
            <w:r>
              <w:rPr>
                <w:rFonts w:hint="eastAsia" w:ascii="仿宋" w:hAnsi="仿宋" w:eastAsia="仿宋" w:cs="仿宋"/>
                <w:b/>
                <w:snapToGrid/>
                <w:color w:val="auto"/>
                <w:kern w:val="2"/>
                <w:sz w:val="24"/>
                <w:szCs w:val="24"/>
                <w:highlight w:val="none"/>
                <w:lang w:eastAsia="zh-CN"/>
              </w:rPr>
              <w:t>必须提供，否则响应文件按无效处理</w:t>
            </w:r>
            <w:r>
              <w:rPr>
                <w:rFonts w:hint="eastAsia" w:ascii="仿宋" w:hAnsi="仿宋" w:eastAsia="仿宋" w:cs="仿宋"/>
                <w:snapToGrid/>
                <w:color w:val="auto"/>
                <w:kern w:val="2"/>
                <w:sz w:val="24"/>
                <w:szCs w:val="24"/>
                <w:highlight w:val="none"/>
                <w:lang w:eastAsia="zh-CN"/>
              </w:rPr>
              <w:t>）</w:t>
            </w:r>
          </w:p>
          <w:p w14:paraId="25E1CD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2.中小企业声明函或者残疾人福利性单位声明函（格式后附）或者供应商属于监狱企业的，提供由省级以上监狱管理局、戒毒管理局（含新疆生产建设兵团）出具的属于监狱企业的证明文件；</w:t>
            </w:r>
            <w:r>
              <w:rPr>
                <w:rFonts w:hint="eastAsia" w:ascii="仿宋" w:hAnsi="仿宋" w:eastAsia="仿宋" w:cs="仿宋"/>
                <w:snapToGrid/>
                <w:color w:val="auto"/>
                <w:kern w:val="2"/>
                <w:sz w:val="24"/>
                <w:szCs w:val="24"/>
                <w:highlight w:val="none"/>
                <w:lang w:eastAsia="zh-CN"/>
              </w:rPr>
              <w:t>（格式后附）；（如有请提供）</w:t>
            </w:r>
          </w:p>
          <w:p w14:paraId="6A95672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关于符合本国产品标准的声明函（格式后附）或财政部会同有关部门规定的有关证明文件；（如有请提供）</w:t>
            </w:r>
          </w:p>
          <w:p w14:paraId="0E12C80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.供应商认为需要提供的其他有关资料。</w:t>
            </w:r>
          </w:p>
        </w:tc>
      </w:tr>
      <w:tr w14:paraId="38C7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F23F9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12.1.3</w:t>
            </w:r>
          </w:p>
        </w:tc>
        <w:tc>
          <w:tcPr>
            <w:tcW w:w="7912" w:type="dxa"/>
            <w:vAlign w:val="center"/>
          </w:tcPr>
          <w:p w14:paraId="5F03D05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商务技术文件</w:t>
            </w:r>
          </w:p>
          <w:p w14:paraId="092A694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1.无串通竞标行为的承诺函（格式后附）；（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2212E079">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2.法定代表人身份证明书及法定代表人有效身份证正反面复印件（格式后附）；（</w:t>
            </w:r>
            <w:r>
              <w:rPr>
                <w:rFonts w:hint="eastAsia" w:ascii="仿宋" w:hAnsi="仿宋" w:eastAsia="仿宋" w:cs="仿宋"/>
                <w:b/>
                <w:bCs/>
                <w:snapToGrid/>
                <w:color w:val="auto"/>
                <w:kern w:val="2"/>
                <w:sz w:val="24"/>
                <w:szCs w:val="24"/>
                <w:highlight w:val="none"/>
                <w:lang w:eastAsia="zh-CN"/>
              </w:rPr>
              <w:t>除自然人竞标外</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5E9307B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3.授权委托书及委托代理人有效身份证正反面复印件（格式后附）；（</w:t>
            </w:r>
            <w:r>
              <w:rPr>
                <w:rFonts w:hint="eastAsia" w:ascii="仿宋" w:hAnsi="仿宋" w:eastAsia="仿宋" w:cs="仿宋"/>
                <w:b/>
                <w:snapToGrid/>
                <w:color w:val="auto"/>
                <w:kern w:val="2"/>
                <w:sz w:val="24"/>
                <w:szCs w:val="24"/>
                <w:highlight w:val="none"/>
                <w:lang w:eastAsia="zh-CN"/>
              </w:rPr>
              <w:t>委托时必须提供，否则响应文件按无效响应处理</w:t>
            </w:r>
            <w:r>
              <w:rPr>
                <w:rFonts w:hint="eastAsia" w:ascii="仿宋" w:hAnsi="仿宋" w:eastAsia="仿宋" w:cs="仿宋"/>
                <w:snapToGrid/>
                <w:color w:val="auto"/>
                <w:kern w:val="2"/>
                <w:sz w:val="24"/>
                <w:szCs w:val="24"/>
                <w:highlight w:val="none"/>
                <w:lang w:eastAsia="zh-CN"/>
              </w:rPr>
              <w:t>）</w:t>
            </w:r>
          </w:p>
          <w:p w14:paraId="36C682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4.商务要求偏离表（格式后附）；（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7C991C8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5.技术要求偏离表（格式后附）；（</w:t>
            </w:r>
            <w:r>
              <w:rPr>
                <w:rFonts w:hint="eastAsia" w:ascii="仿宋" w:hAnsi="仿宋" w:eastAsia="仿宋" w:cs="仿宋"/>
                <w:b/>
                <w:snapToGrid/>
                <w:color w:val="auto"/>
                <w:kern w:val="2"/>
                <w:sz w:val="24"/>
                <w:szCs w:val="24"/>
                <w:highlight w:val="none"/>
                <w:lang w:eastAsia="zh-CN"/>
              </w:rPr>
              <w:t>必须提供，否则响应文件按无效响应处理</w:t>
            </w:r>
            <w:r>
              <w:rPr>
                <w:rFonts w:hint="eastAsia" w:ascii="仿宋" w:hAnsi="仿宋" w:eastAsia="仿宋" w:cs="仿宋"/>
                <w:snapToGrid/>
                <w:color w:val="auto"/>
                <w:kern w:val="2"/>
                <w:sz w:val="24"/>
                <w:szCs w:val="24"/>
                <w:highlight w:val="none"/>
                <w:lang w:eastAsia="zh-CN"/>
              </w:rPr>
              <w:t>）</w:t>
            </w:r>
          </w:p>
          <w:p w14:paraId="0F4FCD7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6</w:t>
            </w:r>
            <w:r>
              <w:rPr>
                <w:rFonts w:hint="eastAsia" w:ascii="仿宋" w:hAnsi="仿宋" w:eastAsia="仿宋" w:cs="仿宋"/>
                <w:snapToGrid/>
                <w:color w:val="auto"/>
                <w:kern w:val="2"/>
                <w:sz w:val="24"/>
                <w:szCs w:val="24"/>
                <w:highlight w:val="none"/>
                <w:lang w:eastAsia="zh-CN"/>
              </w:rPr>
              <w:t>.</w:t>
            </w:r>
            <w:r>
              <w:rPr>
                <w:rFonts w:hint="eastAsia" w:ascii="仿宋" w:hAnsi="仿宋" w:eastAsia="仿宋" w:cs="仿宋"/>
                <w:bCs/>
                <w:snapToGrid/>
                <w:color w:val="auto"/>
                <w:kern w:val="0"/>
                <w:sz w:val="24"/>
                <w:szCs w:val="24"/>
                <w:highlight w:val="none"/>
                <w:lang w:eastAsia="zh-CN"/>
              </w:rPr>
              <w:t>服务方案</w:t>
            </w:r>
            <w:r>
              <w:rPr>
                <w:rFonts w:hint="eastAsia" w:ascii="仿宋" w:hAnsi="仿宋" w:eastAsia="仿宋" w:cs="仿宋"/>
                <w:snapToGrid/>
                <w:color w:val="auto"/>
                <w:kern w:val="2"/>
                <w:sz w:val="24"/>
                <w:szCs w:val="24"/>
                <w:highlight w:val="none"/>
                <w:lang w:eastAsia="zh-CN"/>
              </w:rPr>
              <w:t>（请供应商根据“第三章 采购需求”及“第四章 评审程序、评审方法和评审标准”自行编写，格式自拟）；</w:t>
            </w:r>
          </w:p>
          <w:p w14:paraId="4628BD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7</w:t>
            </w:r>
            <w:r>
              <w:rPr>
                <w:rFonts w:hint="eastAsia" w:ascii="仿宋" w:hAnsi="仿宋" w:eastAsia="仿宋" w:cs="仿宋"/>
                <w:snapToGrid/>
                <w:color w:val="auto"/>
                <w:kern w:val="2"/>
                <w:sz w:val="24"/>
                <w:szCs w:val="24"/>
                <w:highlight w:val="none"/>
                <w:lang w:eastAsia="zh-CN"/>
              </w:rPr>
              <w:t>.供应商类似业绩的证明文件；（格式自拟）</w:t>
            </w:r>
          </w:p>
          <w:p w14:paraId="74C2E16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8</w:t>
            </w:r>
            <w:r>
              <w:rPr>
                <w:rFonts w:hint="eastAsia" w:ascii="仿宋" w:hAnsi="仿宋" w:eastAsia="仿宋" w:cs="仿宋"/>
                <w:snapToGrid/>
                <w:color w:val="auto"/>
                <w:kern w:val="2"/>
                <w:sz w:val="24"/>
                <w:szCs w:val="24"/>
                <w:highlight w:val="none"/>
                <w:lang w:eastAsia="zh-CN"/>
              </w:rPr>
              <w:t>.项目实施人员一览表（格式后附，如提供的格式不适合供应商的实际情况，可参照本表格式自行制表填写）；</w:t>
            </w:r>
          </w:p>
          <w:p w14:paraId="0A23E6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.供应商认为需要提供的其他有关资料。</w:t>
            </w:r>
          </w:p>
          <w:p w14:paraId="48E0220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注：以上标明“必须提供”的材料属于复印件的，必须加盖供应商</w:t>
            </w:r>
            <w:r>
              <w:rPr>
                <w:rFonts w:hint="eastAsia" w:ascii="仿宋" w:hAnsi="仿宋" w:eastAsia="仿宋" w:cs="仿宋"/>
                <w:b/>
                <w:bCs/>
                <w:snapToGrid/>
                <w:color w:val="auto"/>
                <w:kern w:val="2"/>
                <w:sz w:val="24"/>
                <w:szCs w:val="24"/>
                <w:highlight w:val="none"/>
                <w:lang w:eastAsia="zh-CN"/>
              </w:rPr>
              <w:t>电子签章</w:t>
            </w:r>
            <w:r>
              <w:rPr>
                <w:rFonts w:hint="eastAsia" w:ascii="仿宋" w:hAnsi="仿宋" w:eastAsia="仿宋" w:cs="仿宋"/>
                <w:b/>
                <w:snapToGrid/>
                <w:color w:val="auto"/>
                <w:kern w:val="2"/>
                <w:sz w:val="24"/>
                <w:szCs w:val="24"/>
                <w:highlight w:val="none"/>
                <w:lang w:eastAsia="zh-CN"/>
              </w:rPr>
              <w:t>，否则响应文件按无效响应处理。</w:t>
            </w:r>
          </w:p>
        </w:tc>
      </w:tr>
      <w:tr w14:paraId="625BC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9B4FA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15.2</w:t>
            </w:r>
          </w:p>
        </w:tc>
        <w:tc>
          <w:tcPr>
            <w:tcW w:w="7912" w:type="dxa"/>
            <w:vAlign w:val="center"/>
          </w:tcPr>
          <w:p w14:paraId="690FBB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投标报价是满足全部采购需求所应提供的服务，以及生产费用：成本包含职工薪资、日常用电费用、药剂费、设备维护费、第三方水质检测费、日常水质化验费、管理费用等。</w:t>
            </w:r>
          </w:p>
        </w:tc>
      </w:tr>
      <w:tr w14:paraId="1BE94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A824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16.2</w:t>
            </w:r>
          </w:p>
        </w:tc>
        <w:tc>
          <w:tcPr>
            <w:tcW w:w="7912" w:type="dxa"/>
            <w:vAlign w:val="center"/>
          </w:tcPr>
          <w:p w14:paraId="08087FB0">
            <w:pPr>
              <w:pStyle w:val="5"/>
              <w:keepNext w:val="0"/>
              <w:keepLines w:val="0"/>
              <w:pageBreakBefore w:val="0"/>
              <w:widowControl w:val="0"/>
              <w:numPr>
                <w:ilvl w:val="-1"/>
                <w:numId w:val="0"/>
              </w:numPr>
              <w:tabs>
                <w:tab w:val="left" w:pos="720"/>
                <w:tab w:val="left" w:pos="840"/>
              </w:tabs>
              <w:kinsoku/>
              <w:topLinePunct w:val="0"/>
              <w:autoSpaceDE/>
              <w:autoSpaceDN/>
              <w:bidi w:val="0"/>
              <w:adjustRightInd/>
              <w:snapToGrid w:val="0"/>
              <w:spacing w:beforeAutospacing="0" w:afterLines="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竞标有效期：自首次响应文件提交截止之日起</w:t>
            </w:r>
            <w:r>
              <w:rPr>
                <w:rFonts w:hint="eastAsia" w:ascii="仿宋" w:hAnsi="仿宋" w:eastAsia="仿宋" w:cs="仿宋"/>
                <w:snapToGrid/>
                <w:color w:val="auto"/>
                <w:kern w:val="2"/>
                <w:sz w:val="24"/>
                <w:szCs w:val="24"/>
                <w:highlight w:val="none"/>
                <w:u w:val="single"/>
                <w:lang w:eastAsia="zh-CN"/>
              </w:rPr>
              <w:t>60</w:t>
            </w:r>
            <w:r>
              <w:rPr>
                <w:rFonts w:hint="eastAsia" w:ascii="仿宋" w:hAnsi="仿宋" w:eastAsia="仿宋" w:cs="仿宋"/>
                <w:snapToGrid/>
                <w:color w:val="auto"/>
                <w:kern w:val="2"/>
                <w:sz w:val="24"/>
                <w:szCs w:val="24"/>
                <w:highlight w:val="none"/>
                <w:lang w:eastAsia="zh-CN"/>
              </w:rPr>
              <w:t>日。</w:t>
            </w:r>
          </w:p>
        </w:tc>
      </w:tr>
      <w:tr w14:paraId="6D70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1E32E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17.1</w:t>
            </w:r>
          </w:p>
        </w:tc>
        <w:tc>
          <w:tcPr>
            <w:tcW w:w="7912" w:type="dxa"/>
            <w:vAlign w:val="center"/>
          </w:tcPr>
          <w:p w14:paraId="50A11656">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☑本项目不收取磋商保证金。</w:t>
            </w:r>
          </w:p>
          <w:p w14:paraId="5B6E41A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□本项目收取磋商保证金，具体规定如下：</w:t>
            </w:r>
          </w:p>
          <w:p w14:paraId="35CB824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磋商保证金人民币</w:t>
            </w:r>
            <w:r>
              <w:rPr>
                <w:rFonts w:hint="eastAsia" w:ascii="仿宋" w:hAnsi="仿宋" w:eastAsia="仿宋" w:cs="仿宋"/>
                <w:snapToGrid/>
                <w:color w:val="auto"/>
                <w:kern w:val="0"/>
                <w:sz w:val="24"/>
                <w:szCs w:val="24"/>
                <w:highlight w:val="none"/>
                <w:u w:val="single"/>
                <w:lang w:val="en-US" w:eastAsia="zh-CN"/>
              </w:rPr>
              <w:t>/</w:t>
            </w:r>
            <w:r>
              <w:rPr>
                <w:rFonts w:hint="eastAsia" w:ascii="仿宋" w:hAnsi="仿宋" w:eastAsia="仿宋" w:cs="仿宋"/>
                <w:snapToGrid/>
                <w:color w:val="auto"/>
                <w:kern w:val="0"/>
                <w:sz w:val="24"/>
                <w:szCs w:val="24"/>
                <w:highlight w:val="none"/>
                <w:lang w:eastAsia="zh-CN"/>
              </w:rPr>
              <w:t>元。</w:t>
            </w:r>
          </w:p>
          <w:p w14:paraId="4CC3786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磋商保证金的交纳方式：应当以银行转账、支票、汇票、本票或者金融机构、担保机构出具的保函等非现金形式提交。采用银行转账方式的，在响应文件提交截止时间前交至指定账户并且到账（开户名称：</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；开户银行：</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；银行账号：</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；开户行行号：</w:t>
            </w:r>
            <w:r>
              <w:rPr>
                <w:rFonts w:hint="eastAsia" w:ascii="仿宋" w:hAnsi="仿宋" w:eastAsia="仿宋" w:cs="仿宋"/>
                <w:snapToGrid/>
                <w:color w:val="auto"/>
                <w:kern w:val="0"/>
                <w:sz w:val="24"/>
                <w:szCs w:val="24"/>
                <w:highlight w:val="none"/>
                <w:u w:val="single"/>
                <w:lang w:val="en-US" w:eastAsia="zh-CN"/>
              </w:rPr>
              <w:t xml:space="preserve">  /  </w:t>
            </w:r>
            <w:r>
              <w:rPr>
                <w:rFonts w:hint="eastAsia" w:ascii="仿宋" w:hAnsi="仿宋" w:eastAsia="仿宋" w:cs="仿宋"/>
                <w:snapToGrid/>
                <w:color w:val="auto"/>
                <w:kern w:val="0"/>
                <w:sz w:val="24"/>
                <w:szCs w:val="24"/>
                <w:highlight w:val="none"/>
                <w:lang w:eastAsia="zh-CN"/>
              </w:rPr>
              <w:t>）；采用支票、汇票、本票或者保函等方式的，在响应文件提交截止时间前，供应商必须提交单独密封的支票、汇票、本票或者保函原件。否则视为无效磋商保证金。采用电子保函的，无须递交电子保函原件。</w:t>
            </w:r>
          </w:p>
          <w:p w14:paraId="50CCC89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相关要求：</w:t>
            </w:r>
          </w:p>
          <w:p w14:paraId="1DCB9E0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1.磋商保证金采用银行转账交纳方式的，在响应文件提交截止时间前交至指定账户并且到账，供应商应将银行转账底单的复印件作为磋商保证金提交凭证，放置于商务技术文件中，</w:t>
            </w:r>
            <w:r>
              <w:rPr>
                <w:rFonts w:hint="eastAsia" w:ascii="仿宋" w:hAnsi="仿宋" w:eastAsia="仿宋" w:cs="仿宋"/>
                <w:b/>
                <w:snapToGrid/>
                <w:color w:val="auto"/>
                <w:kern w:val="2"/>
                <w:sz w:val="24"/>
                <w:szCs w:val="24"/>
                <w:highlight w:val="none"/>
                <w:lang w:eastAsia="zh-CN"/>
              </w:rPr>
              <w:t>否则响应文件按无效响应处理</w:t>
            </w:r>
            <w:r>
              <w:rPr>
                <w:rFonts w:hint="eastAsia" w:ascii="仿宋" w:hAnsi="仿宋" w:eastAsia="仿宋" w:cs="仿宋"/>
                <w:snapToGrid/>
                <w:color w:val="auto"/>
                <w:kern w:val="2"/>
                <w:sz w:val="24"/>
                <w:szCs w:val="24"/>
                <w:highlight w:val="none"/>
                <w:lang w:eastAsia="zh-CN"/>
              </w:rPr>
              <w:t>。</w:t>
            </w:r>
          </w:p>
          <w:p w14:paraId="472A8D4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磋商保证金采用支票、汇票、本票或者金融机构、担保机构出具的保函交纳方式的，供应商应将支票、汇票、本票或者金融机构、担保机构出具的保函的复印件作为磋商保证金提交凭证，放置于商务技术文件中，</w:t>
            </w:r>
            <w:r>
              <w:rPr>
                <w:rFonts w:hint="eastAsia" w:ascii="仿宋" w:hAnsi="仿宋" w:eastAsia="仿宋" w:cs="仿宋"/>
                <w:b/>
                <w:snapToGrid/>
                <w:color w:val="auto"/>
                <w:kern w:val="2"/>
                <w:sz w:val="24"/>
                <w:szCs w:val="24"/>
                <w:highlight w:val="none"/>
                <w:lang w:eastAsia="zh-CN"/>
              </w:rPr>
              <w:t>否则响应文件按无效处理</w:t>
            </w:r>
            <w:r>
              <w:rPr>
                <w:rFonts w:hint="eastAsia" w:ascii="仿宋" w:hAnsi="仿宋" w:eastAsia="仿宋" w:cs="仿宋"/>
                <w:snapToGrid/>
                <w:color w:val="auto"/>
                <w:kern w:val="2"/>
                <w:sz w:val="24"/>
                <w:szCs w:val="24"/>
                <w:highlight w:val="none"/>
                <w:lang w:eastAsia="zh-CN"/>
              </w:rPr>
              <w:t>。供应商必须在响应文件提交截止时间前采用现场或邮寄方式（提交地址：</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，收件人：</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，联系方式：</w:t>
            </w:r>
            <w:r>
              <w:rPr>
                <w:rFonts w:hint="eastAsia" w:ascii="仿宋" w:hAnsi="仿宋" w:eastAsia="仿宋" w:cs="仿宋"/>
                <w:snapToGrid/>
                <w:color w:val="auto"/>
                <w:kern w:val="2"/>
                <w:sz w:val="24"/>
                <w:szCs w:val="24"/>
                <w:highlight w:val="none"/>
                <w:u w:val="single"/>
                <w:lang w:val="en-US" w:eastAsia="zh-CN"/>
              </w:rPr>
              <w:t xml:space="preserve"> / </w:t>
            </w:r>
            <w:r>
              <w:rPr>
                <w:rFonts w:hint="eastAsia" w:ascii="仿宋" w:hAnsi="仿宋" w:eastAsia="仿宋" w:cs="仿宋"/>
                <w:snapToGrid/>
                <w:color w:val="auto"/>
                <w:kern w:val="2"/>
                <w:sz w:val="24"/>
                <w:szCs w:val="24"/>
                <w:highlight w:val="none"/>
                <w:lang w:eastAsia="zh-CN"/>
              </w:rPr>
              <w:t>）将</w:t>
            </w:r>
            <w:r>
              <w:rPr>
                <w:rFonts w:hint="eastAsia" w:ascii="仿宋" w:hAnsi="仿宋" w:eastAsia="仿宋" w:cs="仿宋"/>
                <w:snapToGrid/>
                <w:color w:val="auto"/>
                <w:kern w:val="0"/>
                <w:sz w:val="24"/>
                <w:szCs w:val="24"/>
                <w:highlight w:val="none"/>
                <w:lang w:eastAsia="zh-CN"/>
              </w:rPr>
              <w:t>单独密封的</w:t>
            </w:r>
            <w:r>
              <w:rPr>
                <w:rFonts w:hint="eastAsia" w:ascii="仿宋" w:hAnsi="仿宋" w:eastAsia="仿宋" w:cs="仿宋"/>
                <w:snapToGrid/>
                <w:color w:val="auto"/>
                <w:kern w:val="2"/>
                <w:sz w:val="24"/>
                <w:szCs w:val="24"/>
                <w:highlight w:val="none"/>
                <w:lang w:eastAsia="zh-CN"/>
              </w:rPr>
              <w:t>支票、汇票、本票或者金融机构、担保机构出具的保函原件提交给采购人或者采购代理机构，由采购人或者采购代理机构向供应商出具回执（邮寄方式的除外），并妥善保管。</w:t>
            </w:r>
          </w:p>
          <w:p w14:paraId="3780028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磋商保证金采用电子保函缴纳方式的，具体详见《广西壮族自治区财政厅关于在政府采购活动中推广使用电子保函的通知》（桂财采〔2023]92号）。电子保函有关业务操作流程和手册可从“广西政府采购金融服务平台”查阅下载，供应商在电子保函的申请、使用、查看应用过程中遇到问题可咨询技术支撑方:400-903-9583。供应商应将电子保函（或缴纳凭证）复印件作为磋商保证金提交凭证，放置于商务文件中，否则响应文件按无效响应处理。</w:t>
            </w:r>
          </w:p>
          <w:p w14:paraId="2CCA49F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.供应商为联合体的，可以由联合体中的一方或者多方共同交纳磋商保证金，其交纳的保证金对联合体各方均具有约束力。</w:t>
            </w:r>
          </w:p>
          <w:p w14:paraId="03948D3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备注：</w:t>
            </w:r>
          </w:p>
          <w:p w14:paraId="0C7698B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1.磋商保证金在响应文件提交截止时间后提交的，或者不按规定交纳方式交纳的，或者未足额交纳的（包含保函额度不足的），视为无效磋商保证金。</w:t>
            </w:r>
          </w:p>
          <w:p w14:paraId="3FDBC89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2.供应商采用现钞方式或者从个人账户（自然人竞标除外）转出的磋商保证金，视为无效磋商保证金。</w:t>
            </w:r>
          </w:p>
          <w:p w14:paraId="20DA8B6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3.支票、汇票或者本票出现无效或者背书情形的，视为无效磋商保证金。</w:t>
            </w:r>
          </w:p>
          <w:p w14:paraId="1A5310E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4.保函有效期低于竞标有效期的，视为无效磋商保证金。</w:t>
            </w:r>
          </w:p>
          <w:p w14:paraId="565EBDE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5.采用金融机构、担保机构出具保函的，必须为无条件保函，否则视为无效磋商保证金。</w:t>
            </w:r>
          </w:p>
          <w:p w14:paraId="2CBC989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6.采用电子保函的，必须为无条件保函，否则视为无效磋商保证金。</w:t>
            </w:r>
          </w:p>
        </w:tc>
      </w:tr>
      <w:tr w14:paraId="6BCB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DFCE0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19</w:t>
            </w:r>
          </w:p>
        </w:tc>
        <w:tc>
          <w:tcPr>
            <w:tcW w:w="7912" w:type="dxa"/>
            <w:vAlign w:val="center"/>
          </w:tcPr>
          <w:p w14:paraId="32104E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本项目不接受电子备份响应文件</w:t>
            </w:r>
          </w:p>
        </w:tc>
      </w:tr>
      <w:tr w14:paraId="7313C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DFA92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20.1</w:t>
            </w:r>
          </w:p>
        </w:tc>
        <w:tc>
          <w:tcPr>
            <w:tcW w:w="7912" w:type="dxa"/>
            <w:vAlign w:val="center"/>
          </w:tcPr>
          <w:p w14:paraId="3D76CD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响应文件提交截止时间：详见竞争性磋商公告或者竞标邀请函。</w:t>
            </w:r>
          </w:p>
          <w:p w14:paraId="622BAE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响应文件提交地点：详见竞争性磋商公告或者竞标邀请函。</w:t>
            </w:r>
          </w:p>
        </w:tc>
      </w:tr>
      <w:tr w14:paraId="4B5E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95775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24.1</w:t>
            </w:r>
          </w:p>
        </w:tc>
        <w:tc>
          <w:tcPr>
            <w:tcW w:w="7912" w:type="dxa"/>
            <w:vAlign w:val="center"/>
          </w:tcPr>
          <w:p w14:paraId="47EB3C45">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磋商小组的人数：</w:t>
            </w:r>
            <w:r>
              <w:rPr>
                <w:rFonts w:hint="eastAsia" w:ascii="仿宋" w:hAnsi="仿宋" w:eastAsia="仿宋" w:cs="仿宋"/>
                <w:snapToGrid/>
                <w:color w:val="auto"/>
                <w:kern w:val="2"/>
                <w:sz w:val="24"/>
                <w:szCs w:val="24"/>
                <w:highlight w:val="none"/>
                <w:u w:val="single"/>
                <w:lang w:eastAsia="zh-CN"/>
              </w:rPr>
              <w:t xml:space="preserve"> 3 </w:t>
            </w:r>
            <w:r>
              <w:rPr>
                <w:rFonts w:hint="eastAsia" w:ascii="仿宋" w:hAnsi="仿宋" w:eastAsia="仿宋" w:cs="仿宋"/>
                <w:snapToGrid/>
                <w:color w:val="auto"/>
                <w:kern w:val="2"/>
                <w:sz w:val="24"/>
                <w:szCs w:val="24"/>
                <w:highlight w:val="none"/>
                <w:lang w:eastAsia="zh-CN"/>
              </w:rPr>
              <w:t>人。</w:t>
            </w:r>
          </w:p>
        </w:tc>
      </w:tr>
      <w:tr w14:paraId="49BD2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CD87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25</w:t>
            </w:r>
          </w:p>
        </w:tc>
        <w:tc>
          <w:tcPr>
            <w:tcW w:w="7912" w:type="dxa"/>
            <w:vAlign w:val="center"/>
          </w:tcPr>
          <w:p w14:paraId="140D9F4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首次响应文件开启时间详见“竞争性磋商公告”或者“竞标邀请函”</w:t>
            </w:r>
          </w:p>
          <w:p w14:paraId="4BFF9BA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首次响应文件解密时间：</w:t>
            </w:r>
            <w:r>
              <w:rPr>
                <w:rFonts w:hint="eastAsia" w:ascii="仿宋" w:hAnsi="仿宋" w:eastAsia="仿宋" w:cs="仿宋"/>
                <w:snapToGrid/>
                <w:color w:val="auto"/>
                <w:kern w:val="2"/>
                <w:sz w:val="24"/>
                <w:szCs w:val="24"/>
                <w:highlight w:val="none"/>
                <w:u w:val="single"/>
                <w:lang w:eastAsia="zh-CN"/>
              </w:rPr>
              <w:t>30</w:t>
            </w:r>
            <w:r>
              <w:rPr>
                <w:rFonts w:hint="eastAsia" w:ascii="仿宋" w:hAnsi="仿宋" w:eastAsia="仿宋" w:cs="仿宋"/>
                <w:snapToGrid/>
                <w:color w:val="auto"/>
                <w:kern w:val="2"/>
                <w:sz w:val="24"/>
                <w:szCs w:val="24"/>
                <w:highlight w:val="none"/>
                <w:lang w:eastAsia="zh-CN"/>
              </w:rPr>
              <w:t>分钟</w:t>
            </w:r>
          </w:p>
        </w:tc>
      </w:tr>
      <w:tr w14:paraId="3F6F1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64FE5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28.1</w:t>
            </w:r>
          </w:p>
        </w:tc>
        <w:tc>
          <w:tcPr>
            <w:tcW w:w="7912" w:type="dxa"/>
            <w:vAlign w:val="center"/>
          </w:tcPr>
          <w:p w14:paraId="64432D47">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☑本项目不收取履约保证金。</w:t>
            </w:r>
          </w:p>
          <w:p w14:paraId="0CC66FD1">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□本项目收取履约保证金，具体规定如下：</w:t>
            </w:r>
          </w:p>
          <w:p w14:paraId="54A778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履约保证金金额：按成交金额的</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%向采购人缴纳履约保证金。</w:t>
            </w:r>
          </w:p>
          <w:p w14:paraId="65868C4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履约保证金提交方式：银行转账、支票、汇票、本票或者金融机构、担保机构出具的保函等非现金方式。</w:t>
            </w:r>
          </w:p>
          <w:p w14:paraId="7049E0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履约保证金退付方式、时间及条件：</w:t>
            </w:r>
            <w:r>
              <w:rPr>
                <w:rFonts w:hint="eastAsia" w:ascii="仿宋" w:hAnsi="仿宋" w:eastAsia="仿宋" w:cs="仿宋"/>
                <w:snapToGrid/>
                <w:color w:val="auto"/>
                <w:kern w:val="2"/>
                <w:sz w:val="24"/>
                <w:szCs w:val="24"/>
                <w:highlight w:val="none"/>
                <w:u w:val="single"/>
                <w:lang w:eastAsia="zh-CN"/>
              </w:rPr>
              <w:t>由成交供应商向履约保证金收取单位提供《广西壮族自治区政府采购项目合同验收书》（详见桂财采〔2015〕22号），保证金收取单位在收到合格材料后5个工作日内办理退还手续（不计利息）。</w:t>
            </w:r>
          </w:p>
          <w:p w14:paraId="5F005C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履约保证金指定账户：</w:t>
            </w:r>
          </w:p>
          <w:p w14:paraId="4D7613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开户名称：</w:t>
            </w:r>
            <w:r>
              <w:rPr>
                <w:rFonts w:hint="eastAsia" w:ascii="仿宋" w:hAnsi="仿宋" w:eastAsia="仿宋" w:cs="仿宋"/>
                <w:snapToGrid/>
                <w:color w:val="auto"/>
                <w:kern w:val="2"/>
                <w:sz w:val="24"/>
                <w:szCs w:val="24"/>
                <w:highlight w:val="none"/>
                <w:u w:val="single"/>
                <w:lang w:val="en-US" w:eastAsia="zh-CN"/>
              </w:rPr>
              <w:t xml:space="preserve"> / </w:t>
            </w:r>
          </w:p>
          <w:p w14:paraId="4CBADC5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开户银行：</w:t>
            </w:r>
            <w:r>
              <w:rPr>
                <w:rFonts w:hint="eastAsia" w:ascii="仿宋" w:hAnsi="仿宋" w:eastAsia="仿宋" w:cs="仿宋"/>
                <w:snapToGrid/>
                <w:color w:val="auto"/>
                <w:kern w:val="2"/>
                <w:sz w:val="24"/>
                <w:szCs w:val="24"/>
                <w:highlight w:val="none"/>
                <w:u w:val="single"/>
                <w:lang w:val="en-US" w:eastAsia="zh-CN"/>
              </w:rPr>
              <w:t xml:space="preserve"> / </w:t>
            </w:r>
          </w:p>
          <w:p w14:paraId="711719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银行账号：</w:t>
            </w:r>
            <w:r>
              <w:rPr>
                <w:rFonts w:hint="eastAsia" w:ascii="仿宋" w:hAnsi="仿宋" w:eastAsia="仿宋" w:cs="仿宋"/>
                <w:snapToGrid/>
                <w:color w:val="auto"/>
                <w:kern w:val="2"/>
                <w:sz w:val="24"/>
                <w:szCs w:val="24"/>
                <w:highlight w:val="none"/>
                <w:u w:val="single"/>
                <w:lang w:val="en-US" w:eastAsia="zh-CN"/>
              </w:rPr>
              <w:t xml:space="preserve"> / </w:t>
            </w:r>
          </w:p>
          <w:p w14:paraId="68A6DE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r>
              <w:rPr>
                <w:rFonts w:hint="eastAsia" w:ascii="仿宋" w:hAnsi="仿宋" w:eastAsia="仿宋" w:cs="仿宋"/>
                <w:snapToGrid/>
                <w:color w:val="auto"/>
                <w:kern w:val="2"/>
                <w:sz w:val="24"/>
                <w:szCs w:val="24"/>
                <w:highlight w:val="none"/>
                <w:lang w:eastAsia="zh-CN"/>
              </w:rPr>
              <w:br w:type="textWrapping"/>
            </w:r>
            <w:r>
              <w:rPr>
                <w:rFonts w:hint="eastAsia" w:ascii="仿宋" w:hAnsi="仿宋" w:eastAsia="仿宋" w:cs="仿宋"/>
                <w:color w:val="auto"/>
                <w:highlight w:val="none"/>
                <w:lang w:val="en-US" w:eastAsia="zh-CN"/>
              </w:rPr>
              <w:t xml:space="preserve">     </w:t>
            </w:r>
            <w:r>
              <w:rPr>
                <w:rFonts w:hint="eastAsia" w:ascii="仿宋" w:hAnsi="仿宋" w:eastAsia="仿宋" w:cs="仿宋"/>
                <w:b/>
                <w:snapToGrid/>
                <w:color w:val="auto"/>
                <w:kern w:val="2"/>
                <w:sz w:val="24"/>
                <w:szCs w:val="24"/>
                <w:highlight w:val="none"/>
                <w:lang w:val="en-US" w:eastAsia="zh-CN" w:bidi="ar-SA"/>
              </w:rPr>
              <w:t>1.履约保证金不足额缴纳的，或者金融机构、担保机构出具的保函额度不足的或者保函有效期低于合同履行期限（即签订采购合同之日起至履行完合同约定的权利及义务之日止）的，不予签订合同。</w:t>
            </w:r>
          </w:p>
          <w:p w14:paraId="1B0786F6">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val="en-US" w:eastAsia="zh-CN" w:bidi="ar-SA"/>
              </w:rPr>
              <w:t>2.</w:t>
            </w:r>
            <w:r>
              <w:rPr>
                <w:rFonts w:hint="eastAsia" w:ascii="仿宋" w:hAnsi="仿宋" w:eastAsia="仿宋" w:cs="仿宋"/>
                <w:b/>
                <w:snapToGrid/>
                <w:color w:val="auto"/>
                <w:kern w:val="2"/>
                <w:sz w:val="24"/>
                <w:szCs w:val="24"/>
                <w:highlight w:val="none"/>
                <w:lang w:eastAsia="zh-CN"/>
              </w:rPr>
              <w:t>采用金融机构、担保机构出具的保函的，必须为无条件保函，否则不予签订合同。</w:t>
            </w:r>
          </w:p>
          <w:p w14:paraId="173A436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val="en-US" w:eastAsia="zh-CN"/>
              </w:rPr>
              <w:t>3</w:t>
            </w:r>
            <w:r>
              <w:rPr>
                <w:rFonts w:hint="eastAsia" w:ascii="仿宋" w:hAnsi="仿宋" w:eastAsia="仿宋" w:cs="仿宋"/>
                <w:b/>
                <w:snapToGrid/>
                <w:color w:val="auto"/>
                <w:kern w:val="2"/>
                <w:sz w:val="24"/>
                <w:szCs w:val="24"/>
                <w:highlight w:val="none"/>
                <w:lang w:eastAsia="zh-CN"/>
              </w:rPr>
              <w:t>.供应商为联合体的，由联合体任意一方按规定提交的履约保证金，视为有效履约保证金。</w:t>
            </w:r>
          </w:p>
        </w:tc>
      </w:tr>
      <w:tr w14:paraId="4943F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41F8B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29.1</w:t>
            </w:r>
          </w:p>
        </w:tc>
        <w:tc>
          <w:tcPr>
            <w:tcW w:w="7912" w:type="dxa"/>
            <w:vAlign w:val="center"/>
          </w:tcPr>
          <w:p w14:paraId="298F8DD6">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签订合同携带的证明材料： </w:t>
            </w:r>
          </w:p>
          <w:p w14:paraId="504E7B78">
            <w:pPr>
              <w:keepNext w:val="0"/>
              <w:keepLines w:val="0"/>
              <w:pageBreakBefore w:val="0"/>
              <w:widowControl w:val="0"/>
              <w:kinsoku/>
              <w:topLinePunct w:val="0"/>
              <w:autoSpaceDE w:val="0"/>
              <w:autoSpaceDN w:val="0"/>
              <w:bidi w:val="0"/>
              <w:adjustRightInd/>
              <w:snapToGrid w:val="0"/>
              <w:spacing w:beforeAutospacing="0" w:afterAutospacing="0" w:line="360" w:lineRule="auto"/>
              <w:ind w:left="0" w:leftChars="0" w:right="0" w:rightChars="0" w:firstLine="480" w:firstLineChars="200"/>
              <w:jc w:val="left"/>
              <w:textAlignment w:val="bottom"/>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委托代理人负责签订合同的，须携带授权委托书及委托代理人身份证原件等其他资格证件。</w:t>
            </w:r>
          </w:p>
          <w:p w14:paraId="0B9F32B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法定代表人负责签订合同的，须携带法定代表人身份证明原件及身份证原件等其他证明材料。</w:t>
            </w:r>
          </w:p>
        </w:tc>
      </w:tr>
      <w:tr w14:paraId="304A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01A67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31.2</w:t>
            </w:r>
          </w:p>
        </w:tc>
        <w:tc>
          <w:tcPr>
            <w:tcW w:w="7912" w:type="dxa"/>
            <w:vAlign w:val="center"/>
          </w:tcPr>
          <w:p w14:paraId="33004A87">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接收质疑函方式：以书面形式。</w:t>
            </w:r>
          </w:p>
          <w:p w14:paraId="3BD99012">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质疑联系部门及联系方式：广西启利工程咨询有限公司、</w:t>
            </w:r>
          </w:p>
          <w:p w14:paraId="1B123DD6">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0771-7991007</w:t>
            </w:r>
            <w:r>
              <w:rPr>
                <w:rFonts w:hint="eastAsia" w:ascii="仿宋" w:hAnsi="仿宋" w:eastAsia="仿宋" w:cs="仿宋"/>
                <w:snapToGrid/>
                <w:color w:val="auto"/>
                <w:kern w:val="2"/>
                <w:sz w:val="24"/>
                <w:szCs w:val="24"/>
                <w:highlight w:val="none"/>
                <w:lang w:eastAsia="zh-CN"/>
              </w:rPr>
              <w:t>；，通讯地址：详见竞争性磋商公告</w:t>
            </w:r>
          </w:p>
          <w:p w14:paraId="6F9962D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业务时间：工作日每天上午</w:t>
            </w:r>
            <w:r>
              <w:rPr>
                <w:rFonts w:hint="eastAsia" w:ascii="仿宋" w:hAnsi="仿宋" w:eastAsia="仿宋" w:cs="仿宋"/>
                <w:snapToGrid/>
                <w:color w:val="auto"/>
                <w:kern w:val="2"/>
                <w:sz w:val="24"/>
                <w:szCs w:val="24"/>
                <w:highlight w:val="none"/>
                <w:lang w:val="en-US" w:eastAsia="zh-CN"/>
              </w:rPr>
              <w:t>9</w:t>
            </w:r>
            <w:r>
              <w:rPr>
                <w:rFonts w:hint="eastAsia" w:ascii="仿宋" w:hAnsi="仿宋" w:eastAsia="仿宋" w:cs="仿宋"/>
                <w:snapToGrid/>
                <w:color w:val="auto"/>
                <w:kern w:val="2"/>
                <w:sz w:val="24"/>
                <w:szCs w:val="24"/>
                <w:highlight w:val="none"/>
                <w:lang w:eastAsia="zh-CN"/>
              </w:rPr>
              <w:t>时</w:t>
            </w:r>
            <w:r>
              <w:rPr>
                <w:rFonts w:hint="eastAsia" w:ascii="仿宋" w:hAnsi="仿宋" w:eastAsia="仿宋" w:cs="仿宋"/>
                <w:snapToGrid/>
                <w:color w:val="auto"/>
                <w:kern w:val="2"/>
                <w:sz w:val="24"/>
                <w:szCs w:val="24"/>
                <w:highlight w:val="none"/>
                <w:lang w:val="en-US" w:eastAsia="zh-CN"/>
              </w:rPr>
              <w:t>0</w:t>
            </w:r>
            <w:r>
              <w:rPr>
                <w:rFonts w:hint="eastAsia" w:ascii="仿宋" w:hAnsi="仿宋" w:eastAsia="仿宋" w:cs="仿宋"/>
                <w:snapToGrid/>
                <w:color w:val="auto"/>
                <w:kern w:val="2"/>
                <w:sz w:val="24"/>
                <w:szCs w:val="24"/>
                <w:highlight w:val="none"/>
                <w:lang w:eastAsia="zh-CN"/>
              </w:rPr>
              <w:t>0分到12时00分，下午14时30分到17时30分。</w:t>
            </w:r>
          </w:p>
        </w:tc>
      </w:tr>
      <w:tr w14:paraId="28B9A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D5C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32.1</w:t>
            </w:r>
          </w:p>
        </w:tc>
        <w:tc>
          <w:tcPr>
            <w:tcW w:w="7912" w:type="dxa"/>
            <w:vAlign w:val="center"/>
          </w:tcPr>
          <w:p w14:paraId="3C3B694A">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1.采购代理费支付方式：</w:t>
            </w:r>
          </w:p>
          <w:p w14:paraId="5D2B5590">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☑本项目代理服务费由</w:t>
            </w:r>
            <w:r>
              <w:rPr>
                <w:rFonts w:hint="eastAsia" w:ascii="仿宋" w:hAnsi="仿宋" w:eastAsia="仿宋" w:cs="仿宋"/>
                <w:snapToGrid/>
                <w:color w:val="auto"/>
                <w:kern w:val="2"/>
                <w:sz w:val="24"/>
                <w:szCs w:val="24"/>
                <w:highlight w:val="none"/>
                <w:u w:val="single"/>
                <w:lang w:eastAsia="zh-CN"/>
              </w:rPr>
              <w:t>成交供应商</w:t>
            </w:r>
            <w:r>
              <w:rPr>
                <w:rFonts w:hint="eastAsia" w:ascii="仿宋" w:hAnsi="仿宋" w:eastAsia="仿宋" w:cs="仿宋"/>
                <w:snapToGrid/>
                <w:color w:val="auto"/>
                <w:kern w:val="2"/>
                <w:sz w:val="24"/>
                <w:szCs w:val="24"/>
                <w:highlight w:val="none"/>
                <w:lang w:val="en-US" w:eastAsia="zh-CN"/>
              </w:rPr>
              <w:t>在本项目采购合同签订前</w:t>
            </w:r>
            <w:r>
              <w:rPr>
                <w:rFonts w:hint="eastAsia" w:ascii="仿宋" w:hAnsi="仿宋" w:eastAsia="仿宋" w:cs="仿宋"/>
                <w:snapToGrid/>
                <w:color w:val="auto"/>
                <w:kern w:val="2"/>
                <w:sz w:val="24"/>
                <w:szCs w:val="24"/>
                <w:highlight w:val="none"/>
                <w:lang w:eastAsia="zh-CN"/>
              </w:rPr>
              <w:t>，一次性向采购代理机构支付。</w:t>
            </w:r>
          </w:p>
          <w:p w14:paraId="5B3A0C70">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□采购人支付。</w:t>
            </w:r>
          </w:p>
          <w:p w14:paraId="031D7637">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2.采购代理费收取标准：</w:t>
            </w:r>
          </w:p>
          <w:p w14:paraId="54FEE5B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☑以</w:t>
            </w:r>
            <w:r>
              <w:rPr>
                <w:rFonts w:hint="eastAsia" w:ascii="仿宋" w:hAnsi="仿宋" w:eastAsia="仿宋" w:cs="仿宋"/>
                <w:snapToGrid/>
                <w:color w:val="auto"/>
                <w:kern w:val="2"/>
                <w:sz w:val="24"/>
                <w:szCs w:val="24"/>
                <w:highlight w:val="none"/>
                <w:lang w:val="en-US" w:eastAsia="zh-CN"/>
              </w:rPr>
              <w:t>项目</w:t>
            </w:r>
            <w:r>
              <w:rPr>
                <w:rFonts w:hint="eastAsia" w:ascii="仿宋" w:hAnsi="仿宋" w:eastAsia="仿宋" w:cs="仿宋"/>
                <w:snapToGrid/>
                <w:color w:val="auto"/>
                <w:kern w:val="2"/>
                <w:sz w:val="24"/>
                <w:szCs w:val="24"/>
                <w:highlight w:val="none"/>
                <w:lang w:eastAsia="zh-CN"/>
              </w:rPr>
              <w:t>（☑成交金额/□采购预算/□暂定成交金额/□其他）为计费额，按本须知正文第32.2条规定的收费计算标准（□货物类/☑服务类/□工程类）采用差额定率累进法计算出收费基准价格，采购代理收费以（□收费基准价格/☑收费基准价格下浮</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u w:val="single"/>
                <w:lang w:val="en-US" w:eastAsia="zh-CN"/>
              </w:rPr>
              <w:t>10</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/□收费基准价格上浮</w:t>
            </w:r>
            <w:r>
              <w:rPr>
                <w:rFonts w:hint="eastAsia" w:ascii="仿宋" w:hAnsi="仿宋" w:eastAsia="仿宋" w:cs="仿宋"/>
                <w:snapToGrid/>
                <w:color w:val="auto"/>
                <w:kern w:val="2"/>
                <w:sz w:val="24"/>
                <w:szCs w:val="24"/>
                <w:highlight w:val="none"/>
                <w:u w:val="single"/>
                <w:lang w:eastAsia="zh-CN"/>
              </w:rPr>
              <w:t>%</w:t>
            </w:r>
            <w:r>
              <w:rPr>
                <w:rFonts w:hint="eastAsia" w:ascii="仿宋" w:hAnsi="仿宋" w:eastAsia="仿宋" w:cs="仿宋"/>
                <w:snapToGrid/>
                <w:color w:val="auto"/>
                <w:kern w:val="2"/>
                <w:sz w:val="24"/>
                <w:szCs w:val="24"/>
                <w:highlight w:val="none"/>
                <w:lang w:eastAsia="zh-CN"/>
              </w:rPr>
              <w:t>）收取。</w:t>
            </w:r>
          </w:p>
          <w:p w14:paraId="349C3293">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u w:val="single"/>
              </w:rPr>
            </w:pPr>
            <w:r>
              <w:rPr>
                <w:rFonts w:hint="eastAsia" w:ascii="仿宋" w:hAnsi="仿宋" w:eastAsia="仿宋" w:cs="仿宋"/>
                <w:snapToGrid/>
                <w:color w:val="auto"/>
                <w:sz w:val="24"/>
                <w:szCs w:val="24"/>
                <w:highlight w:val="none"/>
              </w:rPr>
              <w:t>□固定采购代理收费</w:t>
            </w:r>
            <w:r>
              <w:rPr>
                <w:rFonts w:hint="eastAsia" w:ascii="仿宋" w:hAnsi="仿宋" w:eastAsia="仿宋" w:cs="仿宋"/>
                <w:snapToGrid/>
                <w:color w:val="auto"/>
                <w:sz w:val="24"/>
                <w:szCs w:val="24"/>
                <w:highlight w:val="none"/>
                <w:u w:val="single"/>
              </w:rPr>
              <w:t xml:space="preserve">              。</w:t>
            </w:r>
          </w:p>
          <w:p w14:paraId="08B5E00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 采购代理费收取银行账户</w:t>
            </w:r>
          </w:p>
          <w:p w14:paraId="3C95918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账户名称：</w:t>
            </w:r>
            <w:r>
              <w:rPr>
                <w:rFonts w:hint="eastAsia" w:ascii="仿宋" w:hAnsi="仿宋" w:eastAsia="仿宋" w:cs="仿宋"/>
                <w:snapToGrid/>
                <w:color w:val="auto"/>
                <w:sz w:val="24"/>
                <w:szCs w:val="24"/>
                <w:highlight w:val="none"/>
                <w:lang w:eastAsia="zh-CN"/>
              </w:rPr>
              <w:t>广西启利工程咨询有限公司</w:t>
            </w:r>
          </w:p>
          <w:p w14:paraId="646C206D">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val="en-US" w:eastAsia="zh-CN"/>
              </w:rPr>
            </w:pPr>
            <w:r>
              <w:rPr>
                <w:rFonts w:hint="eastAsia" w:ascii="仿宋" w:hAnsi="仿宋" w:eastAsia="仿宋" w:cs="仿宋"/>
                <w:snapToGrid/>
                <w:color w:val="auto"/>
                <w:sz w:val="24"/>
                <w:szCs w:val="24"/>
                <w:highlight w:val="none"/>
              </w:rPr>
              <w:t>开户银行：</w:t>
            </w:r>
            <w:r>
              <w:rPr>
                <w:rFonts w:hint="eastAsia" w:ascii="仿宋" w:hAnsi="仿宋" w:eastAsia="仿宋" w:cs="仿宋"/>
                <w:snapToGrid/>
                <w:color w:val="auto"/>
                <w:sz w:val="24"/>
                <w:szCs w:val="24"/>
                <w:highlight w:val="none"/>
                <w:lang w:val="en-US" w:eastAsia="zh-CN"/>
              </w:rPr>
              <w:t>广西崇左农村商业银行股份有限公司新民分理处</w:t>
            </w:r>
          </w:p>
          <w:p w14:paraId="378393B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lang w:eastAsia="zh-CN"/>
              </w:rPr>
            </w:pPr>
            <w:r>
              <w:rPr>
                <w:rFonts w:hint="eastAsia" w:ascii="仿宋" w:hAnsi="仿宋" w:eastAsia="仿宋" w:cs="仿宋"/>
                <w:snapToGrid/>
                <w:color w:val="auto"/>
                <w:sz w:val="24"/>
                <w:szCs w:val="24"/>
                <w:highlight w:val="none"/>
              </w:rPr>
              <w:t>银行账号：</w:t>
            </w:r>
            <w:r>
              <w:rPr>
                <w:rFonts w:hint="eastAsia" w:ascii="仿宋" w:hAnsi="仿宋" w:eastAsia="仿宋" w:cs="仿宋"/>
                <w:snapToGrid/>
                <w:color w:val="auto"/>
                <w:sz w:val="24"/>
                <w:szCs w:val="24"/>
                <w:highlight w:val="none"/>
                <w:lang w:val="en-US" w:eastAsia="zh-CN"/>
              </w:rPr>
              <w:t>146412010116823359</w:t>
            </w:r>
          </w:p>
        </w:tc>
      </w:tr>
      <w:tr w14:paraId="3670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F2D11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33.1</w:t>
            </w:r>
          </w:p>
        </w:tc>
        <w:tc>
          <w:tcPr>
            <w:tcW w:w="7912" w:type="dxa"/>
            <w:vAlign w:val="center"/>
          </w:tcPr>
          <w:p w14:paraId="1CF4EB1A">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03A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43EF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33.2</w:t>
            </w:r>
          </w:p>
        </w:tc>
        <w:tc>
          <w:tcPr>
            <w:tcW w:w="7912" w:type="dxa"/>
            <w:vAlign w:val="center"/>
          </w:tcPr>
          <w:p w14:paraId="7C224521">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F1241B">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88BD9E8">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43468A75">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4.本磋商文件中描述供应商的“签字”是指供应商的法定代表人或者委托代理人亲自在文件规定签署处亲笔写上个人的名字的行为。</w:t>
            </w:r>
          </w:p>
          <w:p w14:paraId="40193308">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Cs w:val="24"/>
                <w:highlight w:val="none"/>
                <w:lang w:val="en-US" w:eastAsia="zh-CN"/>
              </w:rPr>
            </w:pPr>
            <w:r>
              <w:rPr>
                <w:rFonts w:hint="eastAsia" w:ascii="仿宋" w:hAnsi="仿宋" w:eastAsia="仿宋" w:cs="仿宋"/>
                <w:snapToGrid/>
                <w:color w:val="auto"/>
                <w:sz w:val="24"/>
                <w:szCs w:val="24"/>
                <w:highlight w:val="none"/>
              </w:rPr>
              <w:t>5.本磋商文件所称的“以上”“以下”“以内”“届满”，包括本数；所称的“不满”“超过”“以外”，不包括本数。</w:t>
            </w:r>
          </w:p>
        </w:tc>
      </w:tr>
      <w:tr w14:paraId="683EE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7B122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33.4</w:t>
            </w:r>
          </w:p>
        </w:tc>
        <w:tc>
          <w:tcPr>
            <w:tcW w:w="7912" w:type="dxa"/>
            <w:vAlign w:val="center"/>
          </w:tcPr>
          <w:p w14:paraId="16C3E51E">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《崇左市财政局关于进一步做好线上“政采贷”融资业务工作的通知》(崇财采(2023)10号)相关附件</w:t>
            </w:r>
          </w:p>
        </w:tc>
      </w:tr>
    </w:tbl>
    <w:p w14:paraId="570432A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br w:type="page"/>
      </w:r>
      <w:bookmarkStart w:id="17" w:name="_Toc23199"/>
      <w:bookmarkStart w:id="18" w:name="_Toc25538"/>
      <w:bookmarkStart w:id="19" w:name="_Toc3939"/>
      <w:r>
        <w:rPr>
          <w:rFonts w:hint="eastAsia" w:ascii="仿宋" w:hAnsi="仿宋" w:eastAsia="仿宋" w:cs="仿宋"/>
          <w:b/>
          <w:snapToGrid/>
          <w:color w:val="auto"/>
          <w:kern w:val="2"/>
          <w:sz w:val="30"/>
          <w:szCs w:val="30"/>
          <w:highlight w:val="none"/>
          <w:lang w:eastAsia="zh-CN"/>
        </w:rPr>
        <w:t>供应商须知正文</w:t>
      </w:r>
      <w:bookmarkEnd w:id="17"/>
      <w:bookmarkEnd w:id="18"/>
      <w:bookmarkEnd w:id="19"/>
    </w:p>
    <w:p w14:paraId="337EC11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snapToGrid/>
          <w:color w:val="auto"/>
          <w:kern w:val="2"/>
          <w:sz w:val="24"/>
          <w:szCs w:val="24"/>
          <w:highlight w:val="none"/>
          <w:lang w:eastAsia="zh-CN"/>
        </w:rPr>
      </w:pPr>
      <w:bookmarkStart w:id="20" w:name="_Toc1503"/>
      <w:bookmarkStart w:id="21" w:name="_Toc18145"/>
    </w:p>
    <w:p w14:paraId="3A17062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snapToGrid/>
          <w:color w:val="auto"/>
          <w:kern w:val="2"/>
          <w:sz w:val="24"/>
          <w:szCs w:val="24"/>
          <w:highlight w:val="none"/>
          <w:lang w:eastAsia="zh-CN"/>
        </w:rPr>
      </w:pPr>
      <w:bookmarkStart w:id="22" w:name="_Toc13607"/>
      <w:r>
        <w:rPr>
          <w:rFonts w:hint="eastAsia" w:ascii="仿宋" w:hAnsi="仿宋" w:eastAsia="仿宋" w:cs="仿宋"/>
          <w:b/>
          <w:snapToGrid/>
          <w:color w:val="auto"/>
          <w:kern w:val="2"/>
          <w:sz w:val="24"/>
          <w:szCs w:val="24"/>
          <w:highlight w:val="none"/>
          <w:lang w:eastAsia="zh-CN"/>
        </w:rPr>
        <w:t>一、总则</w:t>
      </w:r>
      <w:bookmarkEnd w:id="20"/>
      <w:bookmarkEnd w:id="21"/>
      <w:bookmarkEnd w:id="22"/>
    </w:p>
    <w:p w14:paraId="76D4F9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1.适用范围</w:t>
      </w:r>
    </w:p>
    <w:p w14:paraId="14153F2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AB90DF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w:t>
      </w:r>
      <w:r>
        <w:rPr>
          <w:rFonts w:hint="eastAsia" w:ascii="仿宋" w:hAnsi="仿宋" w:eastAsia="仿宋" w:cs="仿宋"/>
          <w:snapToGrid/>
          <w:color w:val="auto"/>
          <w:spacing w:val="-6"/>
          <w:kern w:val="2"/>
          <w:sz w:val="24"/>
          <w:szCs w:val="24"/>
          <w:highlight w:val="none"/>
          <w:lang w:eastAsia="zh-CN"/>
        </w:rPr>
        <w:t>本竞争性磋商文件（以下简称磋商文件）适用于本项目的所有采购程序和环节（法律、法规另有规定的，从其规定）。</w:t>
      </w:r>
    </w:p>
    <w:p w14:paraId="1CA3E4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2.定义</w:t>
      </w:r>
    </w:p>
    <w:p w14:paraId="62F6B7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2.1“采购人”是指依法进行政府采购的国家机关、事业单位、团体组织。</w:t>
      </w:r>
    </w:p>
    <w:p w14:paraId="101926D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2.2“采购代理机构”是指政府采购集中采购机构和集中采购机构以外的采购代理机构。</w:t>
      </w:r>
    </w:p>
    <w:p w14:paraId="7C1310D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2.3“供应商”是指向采购人提供货物、工程或者服务的法人、其他组织或者自然人。</w:t>
      </w:r>
    </w:p>
    <w:p w14:paraId="38A51D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2.4“服务”是指除货物和工程以外的其他政府采购对象。</w:t>
      </w:r>
    </w:p>
    <w:p w14:paraId="778AFB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2.5“竞标”是指供应商按照本项目竞争性磋商公告或者邀请函规定的方式获取磋商文件、提交响应文件并希望获得标的的行为。</w:t>
      </w:r>
    </w:p>
    <w:p w14:paraId="563C585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2.6“书面形式”是指合同书、信件和数据电文（包括电报、电传、传真、电子数据交换和电子邮件）等可以有形地表现所载内容的形式。</w:t>
      </w:r>
    </w:p>
    <w:p w14:paraId="7532727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2.7“响应文件”</w:t>
      </w:r>
      <w:r>
        <w:rPr>
          <w:rFonts w:hint="eastAsia" w:ascii="仿宋" w:hAnsi="仿宋" w:eastAsia="仿宋" w:cs="仿宋"/>
          <w:snapToGrid/>
          <w:color w:val="auto"/>
          <w:spacing w:val="-6"/>
          <w:kern w:val="2"/>
          <w:sz w:val="24"/>
          <w:szCs w:val="24"/>
          <w:highlight w:val="none"/>
          <w:lang w:eastAsia="zh-CN"/>
        </w:rPr>
        <w:t>是指：供应商根据本磋商文件要求，编制包含资格证明、报价、商务技术等所有内容的文件。</w:t>
      </w:r>
    </w:p>
    <w:p w14:paraId="6068A9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2.8“实质性要求”是指磋商文件中已经指明不满足则响应文件按无效响应处理的条款，或者不能负偏离的条款，或者采购需求中带“▲”的条款。</w:t>
      </w:r>
    </w:p>
    <w:p w14:paraId="594094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2.9“正偏离”，是指响应文件对磋商文件“采购需求”中有关条款作出的响应优于条款要求并有利于采购人的情形。</w:t>
      </w:r>
    </w:p>
    <w:p w14:paraId="6AC5314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2.10“负偏离”，是指响应文件对磋商文件“采购需求”中有关条款作出的响应不满足条款要求，导致采购人要求不能得到满足的情形。</w:t>
      </w:r>
    </w:p>
    <w:p w14:paraId="222F7A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2.11“允许负偏离的条款”是指采购需求中的不属于“实质性要求”的条款。</w:t>
      </w:r>
    </w:p>
    <w:p w14:paraId="5E3C00E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2.12“首次报价”是指供应商提交的首次响应文件中的报价。</w:t>
      </w:r>
    </w:p>
    <w:p w14:paraId="2D18571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3.供应商的资格条件</w:t>
      </w:r>
    </w:p>
    <w:p w14:paraId="581991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供应商的资格条件详见“供应商须知前附表”。</w:t>
      </w:r>
    </w:p>
    <w:p w14:paraId="3FF532B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4.竞标费用</w:t>
      </w:r>
    </w:p>
    <w:p w14:paraId="5C957CA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供应商应承担参与本次采购活动有关的所有费用，包括但不限于获取磋商文件、勘查现场、编制和提交响应文件、参加磋商与应答、签订合同等，不论竞标结果如何，均应自行承担。</w:t>
      </w:r>
    </w:p>
    <w:p w14:paraId="5D91ED9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5.联合体竞标</w:t>
      </w:r>
    </w:p>
    <w:p w14:paraId="22710FE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5.1本项目是否接受联合体竞标，详见“供应商须知前附表”。</w:t>
      </w:r>
    </w:p>
    <w:p w14:paraId="2B9117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5.2如接受联合体竞标，联合体竞标要求详见“供应商须知前附表”。</w:t>
      </w:r>
    </w:p>
    <w:p w14:paraId="54A6D7E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6.转包与分包</w:t>
      </w:r>
    </w:p>
    <w:p w14:paraId="21F74D7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23" w:name="_Toc254970673"/>
      <w:bookmarkStart w:id="24" w:name="_Toc254970532"/>
      <w:r>
        <w:rPr>
          <w:rFonts w:hint="eastAsia" w:ascii="仿宋" w:hAnsi="仿宋" w:eastAsia="仿宋" w:cs="仿宋"/>
          <w:snapToGrid/>
          <w:color w:val="auto"/>
          <w:kern w:val="2"/>
          <w:sz w:val="24"/>
          <w:szCs w:val="24"/>
          <w:highlight w:val="none"/>
          <w:lang w:eastAsia="zh-CN"/>
        </w:rPr>
        <w:t>6.1本项目不允许转包。</w:t>
      </w:r>
    </w:p>
    <w:p w14:paraId="101934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B0BA3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4C7566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7.特别说明</w:t>
      </w:r>
      <w:bookmarkEnd w:id="23"/>
      <w:bookmarkEnd w:id="24"/>
    </w:p>
    <w:p w14:paraId="75B4FAE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25" w:name="_8.1提供相同品牌产品且通过资格审查、符合性审查的不同投标人参加同一合"/>
      <w:bookmarkEnd w:id="25"/>
      <w:r>
        <w:rPr>
          <w:rFonts w:hint="eastAsia" w:ascii="仿宋" w:hAnsi="仿宋" w:eastAsia="仿宋" w:cs="仿宋"/>
          <w:snapToGrid/>
          <w:color w:val="auto"/>
          <w:kern w:val="2"/>
          <w:sz w:val="24"/>
          <w:szCs w:val="24"/>
          <w:highlight w:val="none"/>
          <w:lang w:eastAsia="zh-CN"/>
        </w:rPr>
        <w:t>7.1</w:t>
      </w:r>
      <w:bookmarkStart w:id="26" w:name="_Hlk65832145"/>
      <w:r>
        <w:rPr>
          <w:rFonts w:hint="eastAsia" w:ascii="仿宋" w:hAnsi="仿宋" w:eastAsia="仿宋" w:cs="仿宋"/>
          <w:snapToGrid/>
          <w:color w:val="auto"/>
          <w:kern w:val="2"/>
          <w:sz w:val="24"/>
          <w:szCs w:val="24"/>
          <w:highlight w:val="none"/>
          <w:lang w:eastAsia="zh-CN"/>
        </w:rPr>
        <w:t>如果本磋商文件要求提供供应商或制造商的资格、信誉、荣誉、业绩与企业认证等材料的，资格、信誉、荣誉、业绩与企业认证等必须为供应商或者制造商所拥有或自身获得 。</w:t>
      </w:r>
    </w:p>
    <w:bookmarkEnd w:id="26"/>
    <w:p w14:paraId="1CAB8D2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7.2供应商应仔细阅读磋商文件的所有内容，按照磋商文件的要求提交响应文件，并对所提供的全部资料的真实性承担法律责任。</w:t>
      </w:r>
    </w:p>
    <w:p w14:paraId="5AB92A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7.3供应商在竞标活动中提供任何疑似虚假材料，将报监管部门查处；签订合同后发现的，成交供应商须依法赔偿采购人，且民事赔偿并不免除违法供应商的行政与刑事责任。</w:t>
      </w:r>
    </w:p>
    <w:p w14:paraId="78E34A7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7.4在政府采购活动中，采购人员及相关人员与供应商有下列利害关系之一的，应当回避：</w:t>
      </w:r>
    </w:p>
    <w:p w14:paraId="188DD2E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（1）参加采购活动前3年内与供应商存在劳动关系；</w:t>
      </w:r>
    </w:p>
    <w:p w14:paraId="360018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（2）参加采购活动前3年内担任供应商的董事、监事；</w:t>
      </w:r>
    </w:p>
    <w:p w14:paraId="26DD15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（3）参加采购活动前3年内是供应商的控股股东或者实际控制人；</w:t>
      </w:r>
    </w:p>
    <w:p w14:paraId="63CE8CA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（4）与供应商的法定代表人或者负责人有夫妻、直系血亲、三代以内旁系血亲或者近姻亲关系；</w:t>
      </w:r>
    </w:p>
    <w:p w14:paraId="328D1E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（5）与供应商有其他可能影响政府采购活动公平、公正进行的关系。</w:t>
      </w:r>
    </w:p>
    <w:p w14:paraId="452C29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D37CD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7.5有下列情形之一的视为供应商相互串通竞标，响应文件将被视为无效：</w:t>
      </w:r>
    </w:p>
    <w:p w14:paraId="0B32B7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（1）不同供应商的响应文件由同一单位或者个人编制；</w:t>
      </w:r>
    </w:p>
    <w:p w14:paraId="6275A6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（2）不同供应商委托同一单位或者个人办理竞标事宜；</w:t>
      </w:r>
    </w:p>
    <w:p w14:paraId="5E6B390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（3）不同的供应商的响应文件载明的项目管理员为同一个人；</w:t>
      </w:r>
    </w:p>
    <w:p w14:paraId="242622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（4）不同供应商的响应文件异常一致或者报价呈规律性差异；</w:t>
      </w:r>
    </w:p>
    <w:p w14:paraId="25E961E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（5）不同供应商的响应文件相互混装；</w:t>
      </w:r>
    </w:p>
    <w:p w14:paraId="451661ED">
      <w:pPr>
        <w:keepNext w:val="0"/>
        <w:keepLines w:val="0"/>
        <w:pageBreakBefore w:val="0"/>
        <w:widowControl w:val="0"/>
        <w:tabs>
          <w:tab w:val="left" w:pos="6931"/>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（6）不同供应商的磋商保证金从同一单位或者个人账户转出。</w:t>
      </w:r>
      <w:r>
        <w:rPr>
          <w:rFonts w:hint="eastAsia" w:ascii="仿宋" w:hAnsi="仿宋" w:eastAsia="仿宋" w:cs="仿宋"/>
          <w:snapToGrid/>
          <w:color w:val="auto"/>
          <w:kern w:val="2"/>
          <w:sz w:val="24"/>
          <w:szCs w:val="24"/>
          <w:highlight w:val="none"/>
          <w:lang w:eastAsia="zh-CN"/>
        </w:rPr>
        <w:tab/>
      </w:r>
    </w:p>
    <w:p w14:paraId="1367B1C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7.6供应商有下列情形之一的，属于恶意串通行为，将报同级监督管理部门：</w:t>
      </w:r>
    </w:p>
    <w:p w14:paraId="0ADE746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（1）供应商直接或者间接从采购人或者采购代理机构处获得其他供应商的相关信息并修改其响应文件；</w:t>
      </w:r>
    </w:p>
    <w:p w14:paraId="50995A4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（2）供应商按照采购人或者采购代理机构的授意撤换、修改响应文件；</w:t>
      </w:r>
    </w:p>
    <w:p w14:paraId="6AB5096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（3）供应商之间协商报价、技术方案等响应文件或者响应文件的实质性内容；</w:t>
      </w:r>
    </w:p>
    <w:p w14:paraId="690BE1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（4）属于同一集团、协会、商会等组织成员的供应商按照该组织要求协同参加政府采购活动；</w:t>
      </w:r>
    </w:p>
    <w:p w14:paraId="2D439F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（5）供应商之间事先约定一致抬高或者压低报价，或者在政府采购活动中事先约定轮流以高价位或者低价位成交，或者事先约定由某一特定供应商成交，然后再参加竞标；</w:t>
      </w:r>
    </w:p>
    <w:p w14:paraId="1EB17C9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（6）供应商之间商定部分供应商放弃参加政府采购活动或者放弃成交；</w:t>
      </w:r>
    </w:p>
    <w:p w14:paraId="09F9582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（7）供应商与采购人或者采购代理机构之间、供应商相互之间，为谋求特定供应商成交或者排斥其他供应商的其他串通行为。</w:t>
      </w:r>
    </w:p>
    <w:p w14:paraId="4BF9F4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31F4C79">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27" w:name="_Toc254970675"/>
      <w:bookmarkStart w:id="28" w:name="_Toc22215"/>
      <w:bookmarkStart w:id="29" w:name="_Toc19894"/>
      <w:bookmarkStart w:id="30" w:name="_Toc254970534"/>
      <w:bookmarkStart w:id="31" w:name="_Toc25084"/>
      <w:r>
        <w:rPr>
          <w:rFonts w:hint="eastAsia" w:ascii="仿宋" w:hAnsi="仿宋" w:eastAsia="仿宋" w:cs="仿宋"/>
          <w:b/>
          <w:bCs/>
          <w:snapToGrid/>
          <w:color w:val="auto"/>
          <w:kern w:val="2"/>
          <w:sz w:val="24"/>
          <w:szCs w:val="24"/>
          <w:highlight w:val="none"/>
          <w:lang w:eastAsia="zh-CN"/>
        </w:rPr>
        <w:t>二</w:t>
      </w:r>
      <w:r>
        <w:rPr>
          <w:rFonts w:hint="eastAsia" w:ascii="仿宋" w:hAnsi="仿宋" w:eastAsia="仿宋" w:cs="仿宋"/>
          <w:b/>
          <w:snapToGrid/>
          <w:color w:val="auto"/>
          <w:kern w:val="2"/>
          <w:sz w:val="24"/>
          <w:szCs w:val="24"/>
          <w:highlight w:val="none"/>
          <w:lang w:eastAsia="zh-CN"/>
        </w:rPr>
        <w:t>、磋商文件</w:t>
      </w:r>
      <w:bookmarkEnd w:id="27"/>
      <w:bookmarkEnd w:id="28"/>
      <w:bookmarkEnd w:id="29"/>
      <w:bookmarkEnd w:id="30"/>
      <w:bookmarkEnd w:id="31"/>
    </w:p>
    <w:p w14:paraId="6F4522D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7869BD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8.磋商文件的构成</w:t>
      </w:r>
    </w:p>
    <w:p w14:paraId="411A3E7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（1）竞争性磋商公告/竞标邀请函；</w:t>
      </w:r>
    </w:p>
    <w:p w14:paraId="68A6C21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（2）供应商须知； </w:t>
      </w:r>
    </w:p>
    <w:p w14:paraId="540E31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（3）采购需求；</w:t>
      </w:r>
    </w:p>
    <w:p w14:paraId="3DB7C70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（4）评审程序、评审方法和评审标准；</w:t>
      </w:r>
    </w:p>
    <w:p w14:paraId="2D4E224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（5）响应文件格式；</w:t>
      </w:r>
    </w:p>
    <w:p w14:paraId="752BA24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（6）合同文本。</w:t>
      </w:r>
    </w:p>
    <w:p w14:paraId="6E2D140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9.供应商的询问</w:t>
      </w:r>
    </w:p>
    <w:p w14:paraId="3F8571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供应商应认真阅读磋商文件的采购需求，如供应商对磋商文件有疑问的，如要求采购人作出澄清或者修改的，供应商尽可能在提交首次响应文件截止之日前，以书面形式向采购人、采购代理机构提出。</w:t>
      </w:r>
    </w:p>
    <w:p w14:paraId="6E0E092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10.磋商文件的澄清和修改</w:t>
      </w:r>
    </w:p>
    <w:p w14:paraId="6CF52E9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328B8FA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1BE87319">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32" w:name="_Toc16419"/>
      <w:bookmarkStart w:id="33" w:name="_Toc2720"/>
      <w:bookmarkStart w:id="34" w:name="_Toc1754"/>
      <w:r>
        <w:rPr>
          <w:rFonts w:hint="eastAsia" w:ascii="仿宋" w:hAnsi="仿宋" w:eastAsia="仿宋" w:cs="仿宋"/>
          <w:b/>
          <w:bCs/>
          <w:snapToGrid/>
          <w:color w:val="auto"/>
          <w:kern w:val="2"/>
          <w:sz w:val="24"/>
          <w:szCs w:val="24"/>
          <w:highlight w:val="none"/>
          <w:lang w:eastAsia="zh-CN"/>
        </w:rPr>
        <w:t>三、响应文件的编制</w:t>
      </w:r>
      <w:bookmarkEnd w:id="32"/>
      <w:bookmarkEnd w:id="33"/>
      <w:bookmarkEnd w:id="34"/>
    </w:p>
    <w:p w14:paraId="746A10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FFBC4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11.响应文件的编制原则</w:t>
      </w:r>
    </w:p>
    <w:p w14:paraId="713BC3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供应商必须按照磋商文件的要求编制响应文件，并对其提交的响应文件的真实性、合法性承担法律责任。响应文件必须对磋商文件作出实质性响应。</w:t>
      </w:r>
    </w:p>
    <w:p w14:paraId="4667E60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12.响应文件的组成</w:t>
      </w:r>
    </w:p>
    <w:p w14:paraId="306106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12.1响应文件由资格证明文件、报价文件、商务技术文件三部分组成。</w:t>
      </w:r>
    </w:p>
    <w:p w14:paraId="772E6F8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12.1.1资格证明文件：详见“供应商须知前附表”</w:t>
      </w:r>
    </w:p>
    <w:p w14:paraId="1AACF0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12.1.2报价文件：详见“供应商须知前附表”</w:t>
      </w:r>
    </w:p>
    <w:p w14:paraId="181F7F3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12.1.3商务技术文件：详见“供应商须知前附表”</w:t>
      </w:r>
    </w:p>
    <w:p w14:paraId="0970A64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13.计量单位</w:t>
      </w:r>
    </w:p>
    <w:p w14:paraId="27F9147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磋商文件已有明确规定的，使用磋商文件规定的计量单位；磋商文件没有规定的，应采用中华人民共和国法定计量单位，货币种类为人民币，否则视同未响应。</w:t>
      </w:r>
    </w:p>
    <w:p w14:paraId="6E5F8C2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14.竞标的风险</w:t>
      </w:r>
    </w:p>
    <w:p w14:paraId="5D46688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供应商没有按照磋商文件要求提供全部资料，或者供应商没有对磋商文件在各方面作出实质性响应可能导致其响应无效，是供应商应当考虑的风险。</w:t>
      </w:r>
    </w:p>
    <w:p w14:paraId="1A1DB1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15.竞标报价</w:t>
      </w:r>
    </w:p>
    <w:p w14:paraId="03B324FC">
      <w:pPr>
        <w:keepNext w:val="0"/>
        <w:keepLines w:val="0"/>
        <w:pageBreakBefore w:val="0"/>
        <w:widowControl w:val="0"/>
        <w:tabs>
          <w:tab w:val="left" w:pos="2492"/>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15.1竞标报价应按磋商文件中“竞标报价表”格式填写。</w:t>
      </w:r>
    </w:p>
    <w:p w14:paraId="7894C387">
      <w:pPr>
        <w:keepNext w:val="0"/>
        <w:keepLines w:val="0"/>
        <w:pageBreakBefore w:val="0"/>
        <w:widowControl w:val="0"/>
        <w:tabs>
          <w:tab w:val="left" w:pos="2492"/>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15.2竞标报价的内容见“供应商须知前附表”。</w:t>
      </w:r>
    </w:p>
    <w:p w14:paraId="084681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15.3竞标报价要求</w:t>
      </w:r>
    </w:p>
    <w:p w14:paraId="744D3E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15.3.1供应商的竞标报价应符合以下要求，否则响应文件按无效响应处理：</w:t>
      </w:r>
    </w:p>
    <w:p w14:paraId="17E8695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（1）供应商必须就“采购需求”中所竞标的每个分标的全部内容分别作完整唯一总价报价，不得存在漏项报价；</w:t>
      </w:r>
    </w:p>
    <w:p w14:paraId="7666A03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（2）供应商必须就所竞标的分标的单项内容作唯一报价。</w:t>
      </w:r>
    </w:p>
    <w:p w14:paraId="466A589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15.3.2竞标报价（包含首次报价、最后报价）超过所竞标分标规定的采购预算金额或者最高限价的，其响应文件将按无效处理。</w:t>
      </w:r>
    </w:p>
    <w:p w14:paraId="28026B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15.3.3</w:t>
      </w:r>
      <w:bookmarkStart w:id="35" w:name="_Hlk42592874"/>
      <w:r>
        <w:rPr>
          <w:rFonts w:hint="eastAsia" w:ascii="仿宋" w:hAnsi="仿宋" w:eastAsia="仿宋" w:cs="仿宋"/>
          <w:snapToGrid/>
          <w:color w:val="auto"/>
          <w:kern w:val="2"/>
          <w:sz w:val="24"/>
          <w:szCs w:val="24"/>
          <w:highlight w:val="none"/>
          <w:lang w:eastAsia="zh-CN"/>
        </w:rPr>
        <w:t>竞标报价（包含首次报价、最后报价）超过分项采购预算金额或者最高限价的，其响应文件将按无效处理。</w:t>
      </w:r>
    </w:p>
    <w:bookmarkEnd w:id="35"/>
    <w:p w14:paraId="631F5EE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16.竞标有效期</w:t>
      </w:r>
    </w:p>
    <w:p w14:paraId="08827B5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16.1竞标有效期是指为保证采购人有足够的时间在提交响应文件后完成评审、确定成交供应商、合同签订等工作而要求供应商提交的响应文件在一定时间内保持有效的期限。</w:t>
      </w:r>
    </w:p>
    <w:p w14:paraId="7D9B68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16.2 竞标有效期应由供应商按“供应商须知前附表”规定的期限作出响应。</w:t>
      </w:r>
    </w:p>
    <w:p w14:paraId="6C8E072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16.3供应商的响应文件在竞标有效期内均保持有效。</w:t>
      </w:r>
    </w:p>
    <w:p w14:paraId="0B3407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17.磋商保证金</w:t>
      </w:r>
    </w:p>
    <w:p w14:paraId="50992F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17.1供应商须按“供应商须知前附表”的规定提交磋商保证金。</w:t>
      </w:r>
    </w:p>
    <w:p w14:paraId="7866B9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17.2磋商保证金的退还</w:t>
      </w:r>
    </w:p>
    <w:p w14:paraId="21EDA0F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36" w:name="_Hlk66782243"/>
      <w:r>
        <w:rPr>
          <w:rFonts w:hint="eastAsia" w:ascii="仿宋" w:hAnsi="仿宋" w:eastAsia="仿宋" w:cs="仿宋"/>
          <w:snapToGrid/>
          <w:color w:val="auto"/>
          <w:kern w:val="2"/>
          <w:sz w:val="24"/>
          <w:szCs w:val="24"/>
          <w:highlight w:val="none"/>
          <w:lang w:eastAsia="zh-CN"/>
        </w:rPr>
        <w:t>未</w:t>
      </w:r>
      <w:r>
        <w:rPr>
          <w:rFonts w:hint="eastAsia" w:ascii="仿宋" w:hAnsi="仿宋" w:eastAsia="仿宋" w:cs="仿宋"/>
          <w:snapToGrid/>
          <w:color w:val="auto"/>
          <w:spacing w:val="-6"/>
          <w:kern w:val="2"/>
          <w:sz w:val="24"/>
          <w:szCs w:val="24"/>
          <w:highlight w:val="none"/>
          <w:lang w:eastAsia="zh-CN"/>
        </w:rPr>
        <w:t>成交供应商的</w:t>
      </w:r>
      <w:r>
        <w:rPr>
          <w:rFonts w:hint="eastAsia" w:ascii="仿宋" w:hAnsi="仿宋" w:eastAsia="仿宋" w:cs="仿宋"/>
          <w:snapToGrid/>
          <w:color w:val="auto"/>
          <w:spacing w:val="-6"/>
          <w:kern w:val="2"/>
          <w:sz w:val="24"/>
          <w:szCs w:val="24"/>
          <w:highlight w:val="none"/>
          <w:lang w:val="en-US" w:eastAsia="zh-CN"/>
        </w:rPr>
        <w:t>磋商</w:t>
      </w:r>
      <w:r>
        <w:rPr>
          <w:rFonts w:hint="eastAsia" w:ascii="仿宋" w:hAnsi="仿宋" w:eastAsia="仿宋" w:cs="仿宋"/>
          <w:snapToGrid/>
          <w:color w:val="auto"/>
          <w:spacing w:val="-6"/>
          <w:kern w:val="2"/>
          <w:sz w:val="24"/>
          <w:szCs w:val="24"/>
          <w:highlight w:val="none"/>
          <w:lang w:eastAsia="zh-CN"/>
        </w:rPr>
        <w:t>保证金自成交通知书发出之日起5个工作日内退还；</w:t>
      </w:r>
      <w:r>
        <w:rPr>
          <w:rFonts w:hint="eastAsia" w:ascii="仿宋" w:hAnsi="仿宋" w:eastAsia="仿宋" w:cs="仿宋"/>
          <w:snapToGrid/>
          <w:color w:val="auto"/>
          <w:kern w:val="2"/>
          <w:sz w:val="24"/>
          <w:szCs w:val="24"/>
          <w:highlight w:val="none"/>
          <w:lang w:eastAsia="zh-CN"/>
        </w:rPr>
        <w:t>成交供应商的磋商保证金自签订合同之日起5个工作日内退还。</w:t>
      </w:r>
      <w:bookmarkEnd w:id="36"/>
    </w:p>
    <w:p w14:paraId="43CCA41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17.3磋商保证金不计息。</w:t>
      </w:r>
    </w:p>
    <w:p w14:paraId="7DFA8B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17.4供应商有下列情形之一的，磋商保证金将不予退还： </w:t>
      </w:r>
    </w:p>
    <w:p w14:paraId="63025A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（1）供应商在提交响应文件截止时间后撤回响应文件的；</w:t>
      </w:r>
    </w:p>
    <w:p w14:paraId="478AB2D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（2）未按规定提交履约保证金的；</w:t>
      </w:r>
    </w:p>
    <w:p w14:paraId="1A8306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（3）供应商在响应文件中提供虚假材料的；</w:t>
      </w:r>
    </w:p>
    <w:p w14:paraId="242D38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（4）除因不可抗力或者磋商文件认可的情形以外，成交供应商不与采购人签订合同的；</w:t>
      </w:r>
    </w:p>
    <w:p w14:paraId="2BA0E7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（5）供应商与采购人、其他供应商或者采购代理机构恶意串通的；</w:t>
      </w:r>
    </w:p>
    <w:p w14:paraId="30C07D2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（6）法律法规规定的其他情形。</w:t>
      </w:r>
    </w:p>
    <w:p w14:paraId="61D0F7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18.响应文件编制的要求</w:t>
      </w:r>
    </w:p>
    <w:p w14:paraId="3DA120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18.1供应商应先安装“电子投标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0B97C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18.2为确保网上操作合法、有效和安全，供应商应当在提交响应文件截止时间前完成在广西政府采购云平台的身份认证，确保在电子竞标过程中能够对相关数据电文进行加密和使用电子签章。</w:t>
      </w:r>
    </w:p>
    <w:p w14:paraId="4ADAF67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18.3响应文件须由供应商在规定位置签字、盖章（具体以供应商须知前附表或响应文件格式规定为准），否则按无效响应处理。</w:t>
      </w:r>
    </w:p>
    <w:p w14:paraId="33B088C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0688A5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53E987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19.电子</w:t>
      </w:r>
      <w:r>
        <w:rPr>
          <w:rFonts w:hint="eastAsia" w:ascii="仿宋" w:hAnsi="仿宋" w:eastAsia="仿宋" w:cs="仿宋"/>
          <w:b/>
          <w:snapToGrid/>
          <w:color w:val="auto"/>
          <w:kern w:val="2"/>
          <w:sz w:val="24"/>
          <w:szCs w:val="24"/>
          <w:highlight w:val="none"/>
          <w:lang w:eastAsia="zh-CN"/>
        </w:rPr>
        <w:t>备份响应文件</w:t>
      </w:r>
    </w:p>
    <w:p w14:paraId="0CE53A4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电子备份响应文件是指通过“电子投标客户端”在线编制生成且后缀名为“bfbs”的文件，是否接受电子备份响应文件</w:t>
      </w:r>
      <w:r>
        <w:rPr>
          <w:rFonts w:hint="eastAsia" w:ascii="仿宋" w:hAnsi="仿宋" w:eastAsia="仿宋" w:cs="仿宋"/>
          <w:bCs/>
          <w:snapToGrid/>
          <w:color w:val="auto"/>
          <w:kern w:val="2"/>
          <w:sz w:val="24"/>
          <w:szCs w:val="24"/>
          <w:highlight w:val="none"/>
          <w:lang w:eastAsia="zh-CN"/>
        </w:rPr>
        <w:t>详见“供应商须知前附表”。</w:t>
      </w:r>
    </w:p>
    <w:p w14:paraId="40B175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20.响应文件的提交</w:t>
      </w:r>
    </w:p>
    <w:p w14:paraId="07C9D6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20.1供应商必须按“供应商须知前附表”规定的</w:t>
      </w:r>
      <w:r>
        <w:rPr>
          <w:rFonts w:hint="eastAsia" w:ascii="仿宋" w:hAnsi="仿宋" w:eastAsia="仿宋" w:cs="仿宋"/>
          <w:snapToGrid/>
          <w:color w:val="auto"/>
          <w:kern w:val="2"/>
          <w:sz w:val="24"/>
          <w:szCs w:val="24"/>
          <w:highlight w:val="none"/>
          <w:lang w:eastAsia="zh-CN"/>
        </w:rPr>
        <w:t>时间及</w:t>
      </w:r>
      <w:r>
        <w:rPr>
          <w:rFonts w:hint="eastAsia" w:ascii="仿宋" w:hAnsi="仿宋" w:eastAsia="仿宋" w:cs="仿宋"/>
          <w:bCs/>
          <w:snapToGrid/>
          <w:color w:val="auto"/>
          <w:kern w:val="2"/>
          <w:sz w:val="24"/>
          <w:szCs w:val="24"/>
          <w:highlight w:val="none"/>
          <w:lang w:eastAsia="zh-CN"/>
        </w:rPr>
        <w:t>地点提交响应文件。电子响应文件应在制作完成后，在提交响应文件截止时间前通过有效数字证书（CA认证锁）进行电子签章、加密，然后通过网络将加密的电子响应文件提交至</w:t>
      </w:r>
      <w:r>
        <w:rPr>
          <w:rFonts w:hint="eastAsia" w:ascii="仿宋" w:hAnsi="仿宋" w:eastAsia="仿宋" w:cs="仿宋"/>
          <w:snapToGrid/>
          <w:color w:val="auto"/>
          <w:kern w:val="2"/>
          <w:sz w:val="24"/>
          <w:szCs w:val="24"/>
          <w:highlight w:val="none"/>
          <w:lang w:eastAsia="zh-CN"/>
        </w:rPr>
        <w:t>广西政府采购云平台</w:t>
      </w:r>
      <w:r>
        <w:rPr>
          <w:rFonts w:hint="eastAsia" w:ascii="仿宋" w:hAnsi="仿宋" w:eastAsia="仿宋" w:cs="仿宋"/>
          <w:bCs/>
          <w:snapToGrid/>
          <w:color w:val="auto"/>
          <w:kern w:val="2"/>
          <w:sz w:val="24"/>
          <w:szCs w:val="24"/>
          <w:highlight w:val="none"/>
          <w:lang w:eastAsia="zh-CN"/>
        </w:rPr>
        <w:t>。</w:t>
      </w:r>
    </w:p>
    <w:p w14:paraId="7E571D5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20.2未在规定时间内提交或者未按照磋商文件要求加密的电子响应文件，广西政府采购云平台将拒收。</w:t>
      </w:r>
    </w:p>
    <w:p w14:paraId="4C3B51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21.首次响应文件的补充、修改与撤回</w:t>
      </w:r>
    </w:p>
    <w:p w14:paraId="72F522C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bookmarkStart w:id="37" w:name="_Toc254970684"/>
      <w:bookmarkStart w:id="38" w:name="_Toc254970543"/>
      <w:r>
        <w:rPr>
          <w:rFonts w:hint="eastAsia" w:ascii="仿宋" w:hAnsi="仿宋" w:eastAsia="仿宋" w:cs="仿宋"/>
          <w:snapToGrid/>
          <w:color w:val="auto"/>
          <w:kern w:val="2"/>
          <w:sz w:val="24"/>
          <w:szCs w:val="24"/>
          <w:highlight w:val="none"/>
          <w:lang w:eastAsia="zh-CN"/>
        </w:rPr>
        <w:t>21.1</w:t>
      </w:r>
      <w:r>
        <w:rPr>
          <w:rFonts w:hint="eastAsia" w:ascii="仿宋" w:hAnsi="仿宋" w:eastAsia="仿宋" w:cs="仿宋"/>
          <w:bCs/>
          <w:snapToGrid/>
          <w:color w:val="auto"/>
          <w:kern w:val="2"/>
          <w:sz w:val="24"/>
          <w:szCs w:val="24"/>
          <w:highlight w:val="none"/>
          <w:lang w:eastAsia="zh-CN"/>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仿宋" w:hAnsi="仿宋" w:eastAsia="仿宋" w:cs="仿宋"/>
          <w:snapToGrid/>
          <w:color w:val="auto"/>
          <w:kern w:val="2"/>
          <w:sz w:val="24"/>
          <w:szCs w:val="24"/>
          <w:highlight w:val="none"/>
          <w:lang w:eastAsia="zh-CN"/>
        </w:rPr>
        <w:t>（补充、修改或者撤回方式可登录</w:t>
      </w:r>
      <w:r>
        <w:rPr>
          <w:rFonts w:hint="eastAsia" w:ascii="仿宋" w:hAnsi="仿宋" w:eastAsia="仿宋" w:cs="仿宋"/>
          <w:snapToGrid/>
          <w:color w:val="auto"/>
          <w:kern w:val="0"/>
          <w:sz w:val="24"/>
          <w:szCs w:val="24"/>
          <w:highlight w:val="none"/>
          <w:lang w:eastAsia="zh-CN"/>
        </w:rPr>
        <w:t>广西政府采购云平台，</w:t>
      </w:r>
      <w:r>
        <w:rPr>
          <w:rFonts w:hint="eastAsia" w:ascii="仿宋" w:hAnsi="仿宋" w:eastAsia="仿宋" w:cs="仿宋"/>
          <w:snapToGrid/>
          <w:color w:val="auto"/>
          <w:kern w:val="2"/>
          <w:sz w:val="24"/>
          <w:szCs w:val="24"/>
          <w:highlight w:val="none"/>
          <w:lang w:eastAsia="zh-CN"/>
        </w:rPr>
        <w:t>进入“服务中心”中查看 “电子响应文件制作与投送教程”）</w:t>
      </w:r>
    </w:p>
    <w:bookmarkEnd w:id="37"/>
    <w:bookmarkEnd w:id="38"/>
    <w:p w14:paraId="3D7D7F8D">
      <w:pPr>
        <w:pStyle w:val="29"/>
        <w:keepNext w:val="0"/>
        <w:keepLines w:val="0"/>
        <w:pageBreakBefore w:val="0"/>
        <w:kinsoku/>
        <w:topLinePunct w:val="0"/>
        <w:autoSpaceDE/>
        <w:autoSpaceDN/>
        <w:bidi w:val="0"/>
        <w:snapToGrid/>
        <w:spacing w:before="0"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21.2在提交响应文件截止时间前，除供应商补充、修改或者撤回响应文件外，任何单位和个人不得解密或提取响应文件。</w:t>
      </w:r>
    </w:p>
    <w:p w14:paraId="6E1630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bookmarkStart w:id="39" w:name="_Hlk45702405"/>
      <w:r>
        <w:rPr>
          <w:rFonts w:hint="eastAsia" w:ascii="仿宋" w:hAnsi="仿宋" w:eastAsia="仿宋" w:cs="仿宋"/>
          <w:b/>
          <w:bCs/>
          <w:snapToGrid/>
          <w:color w:val="auto"/>
          <w:kern w:val="2"/>
          <w:sz w:val="24"/>
          <w:szCs w:val="24"/>
          <w:highlight w:val="none"/>
          <w:lang w:eastAsia="zh-CN"/>
        </w:rPr>
        <w:t>22.响应文件的退回</w:t>
      </w:r>
    </w:p>
    <w:p w14:paraId="3E6BC79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采购人和采购代理机构对已提交的响应文件概不退回。</w:t>
      </w:r>
    </w:p>
    <w:p w14:paraId="750E1EB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23.截止时间后的撤回</w:t>
      </w:r>
    </w:p>
    <w:p w14:paraId="620B51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供应商在响应文件提交截止时间后向采购人、采购代理机构书面申请撤回响应文件的，将根据本须知正文17.4的规定不予退还其磋商保证金。</w:t>
      </w:r>
    </w:p>
    <w:bookmarkEnd w:id="39"/>
    <w:p w14:paraId="00DBAB4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773E7B3">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40" w:name="_Toc5623"/>
      <w:bookmarkStart w:id="41" w:name="_Toc17497"/>
      <w:bookmarkStart w:id="42" w:name="_Toc6116"/>
      <w:r>
        <w:rPr>
          <w:rFonts w:hint="eastAsia" w:ascii="仿宋" w:hAnsi="仿宋" w:eastAsia="仿宋" w:cs="仿宋"/>
          <w:b/>
          <w:bCs/>
          <w:snapToGrid/>
          <w:color w:val="auto"/>
          <w:kern w:val="2"/>
          <w:sz w:val="24"/>
          <w:szCs w:val="24"/>
          <w:highlight w:val="none"/>
          <w:lang w:eastAsia="zh-CN"/>
        </w:rPr>
        <w:t>四、评审及磋商</w:t>
      </w:r>
      <w:bookmarkEnd w:id="40"/>
      <w:bookmarkEnd w:id="41"/>
      <w:bookmarkEnd w:id="42"/>
    </w:p>
    <w:p w14:paraId="05BA360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24.磋商小组成立</w:t>
      </w:r>
    </w:p>
    <w:p w14:paraId="38C24B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4A994B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E7325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24.3</w:t>
      </w:r>
      <w:r>
        <w:rPr>
          <w:rFonts w:hint="eastAsia" w:ascii="仿宋" w:hAnsi="仿宋" w:eastAsia="仿宋" w:cs="仿宋"/>
          <w:bCs/>
          <w:snapToGrid/>
          <w:color w:val="auto"/>
          <w:kern w:val="2"/>
          <w:sz w:val="24"/>
          <w:szCs w:val="24"/>
          <w:highlight w:val="none"/>
          <w:lang w:eastAsia="zh-CN"/>
        </w:rPr>
        <w:t>采购代理机构应当基于广西政府采购云平台抽（选）取评审专家。</w:t>
      </w:r>
    </w:p>
    <w:p w14:paraId="662BC34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25.首次响应文件的开启和解密</w:t>
      </w:r>
    </w:p>
    <w:p w14:paraId="322E919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采购代理机构将在“供应商须知前附表”规定的时</w:t>
      </w:r>
      <w:r>
        <w:rPr>
          <w:rFonts w:hint="eastAsia" w:ascii="仿宋" w:hAnsi="仿宋" w:eastAsia="仿宋" w:cs="仿宋"/>
          <w:snapToGrid/>
          <w:color w:val="auto"/>
          <w:kern w:val="2"/>
          <w:sz w:val="24"/>
          <w:szCs w:val="24"/>
          <w:highlight w:val="none"/>
          <w:lang w:eastAsia="zh-CN"/>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仿宋" w:hAnsi="仿宋" w:eastAsia="仿宋" w:cs="仿宋"/>
          <w:bCs/>
          <w:snapToGrid/>
          <w:color w:val="auto"/>
          <w:kern w:val="2"/>
          <w:sz w:val="24"/>
          <w:szCs w:val="24"/>
          <w:highlight w:val="none"/>
          <w:lang w:eastAsia="zh-CN"/>
        </w:rPr>
        <w:t>“供应商须知前附表”</w:t>
      </w:r>
      <w:r>
        <w:rPr>
          <w:rFonts w:hint="eastAsia" w:ascii="仿宋" w:hAnsi="仿宋" w:eastAsia="仿宋" w:cs="仿宋"/>
          <w:snapToGrid/>
          <w:color w:val="auto"/>
          <w:kern w:val="2"/>
          <w:sz w:val="24"/>
          <w:szCs w:val="24"/>
          <w:highlight w:val="none"/>
          <w:lang w:eastAsia="zh-CN"/>
        </w:rPr>
        <w:t>规定的时间内自行进行响应文件解密。</w:t>
      </w:r>
      <w:r>
        <w:rPr>
          <w:rFonts w:hint="eastAsia" w:ascii="仿宋" w:hAnsi="仿宋" w:eastAsia="仿宋" w:cs="仿宋"/>
          <w:b/>
          <w:snapToGrid/>
          <w:color w:val="auto"/>
          <w:kern w:val="2"/>
          <w:sz w:val="24"/>
          <w:szCs w:val="24"/>
          <w:highlight w:val="none"/>
          <w:lang w:eastAsia="zh-CN"/>
        </w:rPr>
        <w:t>供应商未在规定的时间内解密响应文件或者解密失败的，供应商的响应文件作无效处理。</w:t>
      </w:r>
    </w:p>
    <w:p w14:paraId="22F8673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26.评审程序、评审方法和评审标准</w:t>
      </w:r>
    </w:p>
    <w:p w14:paraId="729F12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26.1本项目的评审方法为综合评分法。</w:t>
      </w:r>
    </w:p>
    <w:p w14:paraId="4FB88C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26.2磋商小组按照“第四章 评审程序、评审方法和评审标准”规定的方法、评审因素、标准和程序对响应文件进行评审。</w:t>
      </w:r>
    </w:p>
    <w:p w14:paraId="26C5A0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3</w:t>
      </w:r>
      <w:r>
        <w:rPr>
          <w:rFonts w:hint="eastAsia" w:ascii="仿宋" w:hAnsi="仿宋" w:eastAsia="仿宋" w:cs="仿宋"/>
          <w:snapToGrid/>
          <w:color w:val="auto"/>
          <w:kern w:val="2"/>
          <w:sz w:val="24"/>
          <w:szCs w:val="24"/>
          <w:highlight w:val="none"/>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30AC1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4</w:t>
      </w:r>
      <w:r>
        <w:rPr>
          <w:rFonts w:hint="eastAsia" w:ascii="仿宋" w:hAnsi="仿宋" w:eastAsia="仿宋" w:cs="仿宋"/>
          <w:snapToGrid/>
          <w:color w:val="auto"/>
          <w:kern w:val="2"/>
          <w:sz w:val="24"/>
          <w:szCs w:val="24"/>
          <w:highlight w:val="none"/>
          <w:lang w:eastAsia="zh-CN"/>
        </w:rPr>
        <w:t>电子交易活动的中止。采购过程中出现以下情形，导致电子交易平台无法正常运行，或者无法保证电子交易的公平、公正和安全时，采购机构可中止电子交易活动：</w:t>
      </w:r>
    </w:p>
    <w:p w14:paraId="127EEBE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（1）电子交易平台发生故障而无法登录访问的；</w:t>
      </w:r>
    </w:p>
    <w:p w14:paraId="69DAAAE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（2）电子交易平台应用或数据库出现错误，不能进行正常操作的；</w:t>
      </w:r>
    </w:p>
    <w:p w14:paraId="3A55563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（3）电子交易平台发现严重安全漏洞，有潜在泄密危险的；</w:t>
      </w:r>
    </w:p>
    <w:p w14:paraId="1922C8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（4）病毒发作导致不能进行正常操作的；</w:t>
      </w:r>
    </w:p>
    <w:p w14:paraId="256D903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（5）其他无法保证电子交易的公平、公正和安全的情况。</w:t>
      </w:r>
    </w:p>
    <w:p w14:paraId="757F32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26.</w:t>
      </w: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lang w:eastAsia="zh-CN"/>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FEADEF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val="en-US" w:eastAsia="zh-CN"/>
        </w:rPr>
      </w:pPr>
      <w:r>
        <w:rPr>
          <w:rFonts w:hint="eastAsia" w:ascii="仿宋" w:hAnsi="仿宋" w:eastAsia="仿宋" w:cs="仿宋"/>
          <w:b/>
          <w:bCs/>
          <w:snapToGrid/>
          <w:color w:val="auto"/>
          <w:kern w:val="2"/>
          <w:sz w:val="24"/>
          <w:szCs w:val="24"/>
          <w:highlight w:val="none"/>
          <w:lang w:eastAsia="zh-CN"/>
        </w:rPr>
        <w:t>26.</w:t>
      </w:r>
      <w:r>
        <w:rPr>
          <w:rFonts w:hint="eastAsia" w:ascii="仿宋" w:hAnsi="仿宋" w:eastAsia="仿宋" w:cs="仿宋"/>
          <w:b/>
          <w:bCs/>
          <w:snapToGrid/>
          <w:color w:val="auto"/>
          <w:kern w:val="2"/>
          <w:sz w:val="24"/>
          <w:szCs w:val="24"/>
          <w:highlight w:val="none"/>
          <w:lang w:val="en-US" w:eastAsia="zh-CN"/>
        </w:rPr>
        <w:t>6</w:t>
      </w:r>
      <w:r>
        <w:rPr>
          <w:rFonts w:hint="eastAsia" w:ascii="仿宋" w:hAnsi="仿宋" w:eastAsia="仿宋" w:cs="仿宋"/>
          <w:b/>
          <w:bCs/>
          <w:snapToGrid/>
          <w:color w:val="auto"/>
          <w:kern w:val="2"/>
          <w:sz w:val="24"/>
          <w:szCs w:val="24"/>
          <w:highlight w:val="none"/>
          <w:lang w:eastAsia="zh-CN"/>
        </w:rPr>
        <w:t>评审说明：本项目为远程异地全流程电子评标</w:t>
      </w:r>
      <w:r>
        <w:rPr>
          <w:rFonts w:hint="eastAsia" w:ascii="仿宋" w:hAnsi="仿宋" w:eastAsia="仿宋" w:cs="仿宋"/>
          <w:b/>
          <w:bCs/>
          <w:snapToGrid/>
          <w:color w:val="auto"/>
          <w:kern w:val="2"/>
          <w:sz w:val="24"/>
          <w:szCs w:val="24"/>
          <w:highlight w:val="none"/>
          <w:lang w:val="en-US" w:eastAsia="zh-CN"/>
        </w:rPr>
        <w:t>。</w:t>
      </w:r>
    </w:p>
    <w:p w14:paraId="6872E7B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27.确定成交供应商及结果公告</w:t>
      </w:r>
    </w:p>
    <w:p w14:paraId="794827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98204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27.2采购代理机构应当在</w:t>
      </w:r>
      <w:r>
        <w:rPr>
          <w:rFonts w:hint="eastAsia" w:ascii="仿宋" w:hAnsi="仿宋" w:eastAsia="仿宋" w:cs="仿宋"/>
          <w:snapToGrid/>
          <w:color w:val="auto"/>
          <w:kern w:val="0"/>
          <w:sz w:val="24"/>
          <w:szCs w:val="24"/>
          <w:highlight w:val="none"/>
          <w:lang w:eastAsia="zh-CN"/>
        </w:rPr>
        <w:t>成交</w:t>
      </w:r>
      <w:r>
        <w:rPr>
          <w:rFonts w:hint="eastAsia" w:ascii="仿宋" w:hAnsi="仿宋" w:eastAsia="仿宋" w:cs="仿宋"/>
          <w:snapToGrid/>
          <w:color w:val="auto"/>
          <w:kern w:val="2"/>
          <w:sz w:val="24"/>
          <w:szCs w:val="24"/>
          <w:highlight w:val="none"/>
          <w:lang w:eastAsia="zh-CN"/>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43" w:name="_Hlk66782294"/>
      <w:r>
        <w:rPr>
          <w:rFonts w:hint="eastAsia" w:ascii="仿宋" w:hAnsi="仿宋" w:eastAsia="仿宋" w:cs="仿宋"/>
          <w:snapToGrid/>
          <w:color w:val="auto"/>
          <w:kern w:val="2"/>
          <w:sz w:val="24"/>
          <w:szCs w:val="24"/>
          <w:highlight w:val="none"/>
          <w:lang w:eastAsia="zh-CN"/>
        </w:rPr>
        <w:t>成交供应商享受《政府采购促进中小企业发展管理办法》（财库〔2020〕46号）规定的中小企业扶持政策的，采购人、采购代理机构应当随成交结果公开成交供应商的《中小企业声明函》。</w:t>
      </w:r>
      <w:bookmarkEnd w:id="43"/>
    </w:p>
    <w:p w14:paraId="33098F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27.3出现下列情形之一的，采购人或者采购代理机构应当终止竞争性磋商采购活动，发布项目终止公告并说明原因，重新开展采购活动：</w:t>
      </w:r>
    </w:p>
    <w:p w14:paraId="3E4B205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（1）因情况变化，不再符合规定的竞争性磋商采购方式适用情形的；</w:t>
      </w:r>
    </w:p>
    <w:p w14:paraId="1F21E5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（2）出现影响采购公正的违法、违规行为的；</w:t>
      </w:r>
    </w:p>
    <w:p w14:paraId="7F21ED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（3）除“第四章 评审程序、评审方法和评审标准”第4.3条规定的情形外，在采购过程中符合要求的供应商或者报价未超过采购预算的供应商不足3家的。</w:t>
      </w:r>
    </w:p>
    <w:p w14:paraId="1FE8F7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27.4 在采购活动中因重大变故，采购任务取消的，采购人或者采购代理机构应当终止采购活动，通知所有参加采购活动的供应商，并将项目实施情况和采购任务取消原因报送本级财政部门。</w:t>
      </w:r>
    </w:p>
    <w:p w14:paraId="3A81A38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28.履约保证金</w:t>
      </w:r>
    </w:p>
    <w:p w14:paraId="70602D4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28.1履约保证金的金额、提交方式、退付的时间和条件详见 “供应商须知前附表”。成交供应商未按规定提交履约保证金的，视为拒绝与采购人签订合同。</w:t>
      </w:r>
    </w:p>
    <w:p w14:paraId="42BDBD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28.2在履约保证金退还日期前，若成交供应商的开户名称、开户银行、账号有变动的，请以书面形式通知履约保证金收取单位，否则由此产生的后果由成交供应商自行承担。</w:t>
      </w:r>
    </w:p>
    <w:p w14:paraId="7C362DE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29.签订合同</w:t>
      </w:r>
    </w:p>
    <w:p w14:paraId="5EB0431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29.1签订电子采购合同：成交供应商领取电子成交通知书后，在</w:t>
      </w:r>
      <w:r>
        <w:rPr>
          <w:rFonts w:hint="eastAsia" w:ascii="仿宋" w:hAnsi="仿宋" w:eastAsia="仿宋" w:cs="仿宋"/>
          <w:snapToGrid/>
          <w:color w:val="auto"/>
          <w:kern w:val="2"/>
          <w:sz w:val="24"/>
          <w:szCs w:val="24"/>
          <w:highlight w:val="none"/>
          <w:lang w:val="zh-CN" w:eastAsia="zh-CN"/>
        </w:rPr>
        <w:t>规定的日期、时间、地点，由法定代表人或其授权代表与采购人代表签订电子采购合同。如成交供应商为联合体的，由联合体成员各方法定代表人或其授权代表与采购人代表签订合同。</w:t>
      </w:r>
    </w:p>
    <w:p w14:paraId="7EB250F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线下签订纸质合同：供应商领取成交通知书后，按“供应商须知前附表”规定向采购人出示相关证明材料，经采购人核验合格后方可签订合同。</w:t>
      </w:r>
    </w:p>
    <w:p w14:paraId="06270FC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29.2签订合同时间：按成交通知书规定的时间与采购人签订合同。</w:t>
      </w:r>
    </w:p>
    <w:p w14:paraId="14B8723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CE51E0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A5136B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29.5采购人或成交供应商不得单方面向合同另一方提出任何磋商文件没有约定的条件或不合理的要求，作为签订合同的条件；也不得协商另行订立背离磋商文件和合同实质性内容的协议。</w:t>
      </w:r>
    </w:p>
    <w:p w14:paraId="012F46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29.6如签订合同并生效后，供应商无故拒绝或延期，除按照合同条款处理外，将承担相应的法律责任。</w:t>
      </w:r>
    </w:p>
    <w:p w14:paraId="78A7B49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2E344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30.政府采购合同公告</w:t>
      </w:r>
    </w:p>
    <w:p w14:paraId="769C60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147301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31. 询问、质疑和投诉</w:t>
      </w:r>
    </w:p>
    <w:p w14:paraId="51BB7BBA">
      <w:pPr>
        <w:pStyle w:val="6"/>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2F5D033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31.2供应商认为磋商文件、采购过程或者成交结果使自己的合法权益受到损害的，应当在知道或者应知其权益受到损害之日起7个工作日内，以书面形式向采购人、采购代理机构提出质疑，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snapToGrid/>
          <w:color w:val="auto"/>
          <w:kern w:val="2"/>
          <w:sz w:val="24"/>
          <w:szCs w:val="24"/>
          <w:highlight w:val="none"/>
          <w:shd w:val="clear" w:color="auto" w:fill="FFFFFF"/>
          <w:lang w:eastAsia="zh-CN"/>
        </w:rPr>
        <w:t>接收质疑函的方式、联系部门、联系电话和通讯地址等信息详见</w:t>
      </w:r>
      <w:r>
        <w:rPr>
          <w:rFonts w:hint="eastAsia" w:ascii="仿宋" w:hAnsi="仿宋" w:eastAsia="仿宋" w:cs="仿宋"/>
          <w:snapToGrid/>
          <w:color w:val="auto"/>
          <w:kern w:val="2"/>
          <w:sz w:val="24"/>
          <w:szCs w:val="24"/>
          <w:highlight w:val="none"/>
          <w:lang w:eastAsia="zh-CN"/>
        </w:rPr>
        <w:t>“供应商须知前附表”。具体质疑起算时间如下：</w:t>
      </w:r>
    </w:p>
    <w:p w14:paraId="40B43B2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（1）对可以质疑的磋商文件提出质疑的，为收到磋商文件之日或者竞争性磋商公告期限届满之日；</w:t>
      </w:r>
    </w:p>
    <w:p w14:paraId="1BAB5F2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（2）对采购过程提出质疑的，为各采购程序环节结束之日；</w:t>
      </w:r>
    </w:p>
    <w:p w14:paraId="23EB62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（3）对成交结果提出质疑的，为成交结果公告期限届满之日。</w:t>
      </w:r>
    </w:p>
    <w:p w14:paraId="54CD51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14CC8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31.4 供应商提出质疑应当提交质疑函和必要的证明材料，针对同一采购程序环节的质疑必须在法定质疑期内一次性提出。质疑函应当包括下列内容</w:t>
      </w:r>
      <w:r>
        <w:rPr>
          <w:rFonts w:hint="eastAsia" w:ascii="仿宋" w:hAnsi="仿宋" w:eastAsia="仿宋" w:cs="仿宋"/>
          <w:bCs/>
          <w:snapToGrid/>
          <w:color w:val="auto"/>
          <w:kern w:val="2"/>
          <w:sz w:val="24"/>
          <w:szCs w:val="24"/>
          <w:highlight w:val="none"/>
          <w:lang w:eastAsia="zh-CN"/>
        </w:rPr>
        <w:t>（质疑函格式后附）</w:t>
      </w:r>
      <w:r>
        <w:rPr>
          <w:rFonts w:hint="eastAsia" w:ascii="仿宋" w:hAnsi="仿宋" w:eastAsia="仿宋" w:cs="仿宋"/>
          <w:snapToGrid/>
          <w:color w:val="auto"/>
          <w:kern w:val="2"/>
          <w:sz w:val="24"/>
          <w:szCs w:val="24"/>
          <w:highlight w:val="none"/>
          <w:lang w:eastAsia="zh-CN"/>
        </w:rPr>
        <w:t>：</w:t>
      </w:r>
    </w:p>
    <w:p w14:paraId="402F17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（1）供应商的姓名或者名称、地址、邮编、联系人及联系电话；</w:t>
      </w:r>
    </w:p>
    <w:p w14:paraId="7C7E3FA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（2）质疑项目的名称、编号；</w:t>
      </w:r>
    </w:p>
    <w:p w14:paraId="6040A6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（3）具体、明确的质疑事项和与质疑事项相关的请求；</w:t>
      </w:r>
    </w:p>
    <w:p w14:paraId="2317AD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（4）事实依据；</w:t>
      </w:r>
    </w:p>
    <w:p w14:paraId="58F591E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（5）必要的法律依据；</w:t>
      </w:r>
    </w:p>
    <w:p w14:paraId="1A483F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（6）提出质疑的日期。</w:t>
      </w:r>
    </w:p>
    <w:p w14:paraId="72F296D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供应商为自然人的，应当由本人签字；供应商为法人或者其他组织的，应当由法定代表人、主要负责人，或者其委托代理人签字或者盖章，并加盖公章。</w:t>
      </w:r>
    </w:p>
    <w:p w14:paraId="7BB71F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31.5采购人、采购代理机构认为供应商质疑不成立，或者成立但未对成交结果构成影响的，继续开展采购活动；认为供应商质疑成立且影响或者可能影响成交结果的，按照下列情况处理：</w:t>
      </w:r>
    </w:p>
    <w:p w14:paraId="7E64C91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（一）对采购文件提出的质疑，依法通过澄清或者修改可以继续开展采购活动的，澄清或者修改采购文件后继续开展采购活动；否则应当修改采购文件后重新开展采购活动。</w:t>
      </w:r>
    </w:p>
    <w:p w14:paraId="73C1717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（二）对采购过程或者成交结果提出的质疑，合格供应商符合法定数量时，可以从合格的成交候选人中另行确定成交供应商的，应当依法另行确定成交供应商；否则应当重新开展采购活动。</w:t>
      </w:r>
    </w:p>
    <w:p w14:paraId="4043C4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质疑答复导致成交结果改变的，采购人或者采购代理机构应当将有关情况书面报告本级财政部门。</w:t>
      </w:r>
    </w:p>
    <w:p w14:paraId="169A6E5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16490A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69FAA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32.其他内容</w:t>
      </w:r>
    </w:p>
    <w:p w14:paraId="5AEBC881">
      <w:pPr>
        <w:keepNext w:val="0"/>
        <w:keepLines w:val="0"/>
        <w:pageBreakBefore w:val="0"/>
        <w:widowControl w:val="0"/>
        <w:tabs>
          <w:tab w:val="left" w:pos="2835"/>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32.1代理服务收取标准及缴费账户详见“供应商须知前附表”，供应商为联合体的，可以由联合体中的一方或者多方共同交纳代理服务费。</w:t>
      </w:r>
    </w:p>
    <w:p w14:paraId="1CAD026B">
      <w:pPr>
        <w:keepNext w:val="0"/>
        <w:keepLines w:val="0"/>
        <w:pageBreakBefore w:val="0"/>
        <w:widowControl w:val="0"/>
        <w:tabs>
          <w:tab w:val="left" w:pos="2835"/>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32.2代理服务费收费计算标准：</w:t>
      </w:r>
    </w:p>
    <w:tbl>
      <w:tblPr>
        <w:tblStyle w:val="2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14:paraId="53F3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tcBorders>
              <w:tl2br w:val="single" w:color="auto" w:sz="4" w:space="0"/>
            </w:tcBorders>
            <w:vAlign w:val="center"/>
          </w:tcPr>
          <w:p w14:paraId="6FF438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righ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费率</w:t>
            </w:r>
          </w:p>
          <w:p w14:paraId="0C530C0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金额</w:t>
            </w:r>
          </w:p>
        </w:tc>
        <w:tc>
          <w:tcPr>
            <w:tcW w:w="1837" w:type="dxa"/>
            <w:vAlign w:val="center"/>
          </w:tcPr>
          <w:p w14:paraId="0DDCB9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货物类</w:t>
            </w:r>
          </w:p>
        </w:tc>
        <w:tc>
          <w:tcPr>
            <w:tcW w:w="1697" w:type="dxa"/>
            <w:vAlign w:val="center"/>
          </w:tcPr>
          <w:p w14:paraId="15335CA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服务类</w:t>
            </w:r>
          </w:p>
        </w:tc>
        <w:tc>
          <w:tcPr>
            <w:tcW w:w="1713" w:type="dxa"/>
            <w:vAlign w:val="center"/>
          </w:tcPr>
          <w:p w14:paraId="3E842B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工程类</w:t>
            </w:r>
          </w:p>
        </w:tc>
      </w:tr>
      <w:tr w14:paraId="5CEC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3E5D54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100万元以下</w:t>
            </w:r>
          </w:p>
        </w:tc>
        <w:tc>
          <w:tcPr>
            <w:tcW w:w="1837" w:type="dxa"/>
            <w:vAlign w:val="center"/>
          </w:tcPr>
          <w:p w14:paraId="4D5578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1.5%</w:t>
            </w:r>
          </w:p>
        </w:tc>
        <w:tc>
          <w:tcPr>
            <w:tcW w:w="1697" w:type="dxa"/>
            <w:vAlign w:val="center"/>
          </w:tcPr>
          <w:p w14:paraId="685FF9D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1.5%</w:t>
            </w:r>
          </w:p>
        </w:tc>
        <w:tc>
          <w:tcPr>
            <w:tcW w:w="1713" w:type="dxa"/>
            <w:vAlign w:val="center"/>
          </w:tcPr>
          <w:p w14:paraId="0B5362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1.0%</w:t>
            </w:r>
          </w:p>
        </w:tc>
      </w:tr>
      <w:tr w14:paraId="6DC0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6A9049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100～500万元</w:t>
            </w:r>
          </w:p>
        </w:tc>
        <w:tc>
          <w:tcPr>
            <w:tcW w:w="1837" w:type="dxa"/>
            <w:vAlign w:val="center"/>
          </w:tcPr>
          <w:p w14:paraId="713F41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1.1%</w:t>
            </w:r>
          </w:p>
        </w:tc>
        <w:tc>
          <w:tcPr>
            <w:tcW w:w="1697" w:type="dxa"/>
            <w:vAlign w:val="center"/>
          </w:tcPr>
          <w:p w14:paraId="317405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0.8%</w:t>
            </w:r>
          </w:p>
        </w:tc>
        <w:tc>
          <w:tcPr>
            <w:tcW w:w="1713" w:type="dxa"/>
            <w:vAlign w:val="center"/>
          </w:tcPr>
          <w:p w14:paraId="08116E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0.7%</w:t>
            </w:r>
          </w:p>
        </w:tc>
      </w:tr>
      <w:tr w14:paraId="4E63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D0846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500～1000万元</w:t>
            </w:r>
          </w:p>
        </w:tc>
        <w:tc>
          <w:tcPr>
            <w:tcW w:w="1837" w:type="dxa"/>
            <w:vAlign w:val="center"/>
          </w:tcPr>
          <w:p w14:paraId="0A21E3F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0.8%</w:t>
            </w:r>
          </w:p>
        </w:tc>
        <w:tc>
          <w:tcPr>
            <w:tcW w:w="1697" w:type="dxa"/>
            <w:vAlign w:val="center"/>
          </w:tcPr>
          <w:p w14:paraId="793AE0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0.45%</w:t>
            </w:r>
          </w:p>
        </w:tc>
        <w:tc>
          <w:tcPr>
            <w:tcW w:w="1713" w:type="dxa"/>
            <w:vAlign w:val="center"/>
          </w:tcPr>
          <w:p w14:paraId="4A4204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0.55%</w:t>
            </w:r>
          </w:p>
        </w:tc>
      </w:tr>
      <w:tr w14:paraId="3C25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604AB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1000～5000万元</w:t>
            </w:r>
          </w:p>
        </w:tc>
        <w:tc>
          <w:tcPr>
            <w:tcW w:w="1837" w:type="dxa"/>
            <w:vAlign w:val="center"/>
          </w:tcPr>
          <w:p w14:paraId="02100B0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0.5%</w:t>
            </w:r>
          </w:p>
        </w:tc>
        <w:tc>
          <w:tcPr>
            <w:tcW w:w="1697" w:type="dxa"/>
            <w:vAlign w:val="center"/>
          </w:tcPr>
          <w:p w14:paraId="2B8C81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0.25%</w:t>
            </w:r>
          </w:p>
        </w:tc>
        <w:tc>
          <w:tcPr>
            <w:tcW w:w="1713" w:type="dxa"/>
            <w:vAlign w:val="center"/>
          </w:tcPr>
          <w:p w14:paraId="13A1AE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0.35%</w:t>
            </w:r>
          </w:p>
        </w:tc>
      </w:tr>
      <w:tr w14:paraId="4FC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5CE0F5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5000万元～1亿元</w:t>
            </w:r>
          </w:p>
        </w:tc>
        <w:tc>
          <w:tcPr>
            <w:tcW w:w="1837" w:type="dxa"/>
            <w:vAlign w:val="center"/>
          </w:tcPr>
          <w:p w14:paraId="0AA708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0.25%</w:t>
            </w:r>
          </w:p>
        </w:tc>
        <w:tc>
          <w:tcPr>
            <w:tcW w:w="1697" w:type="dxa"/>
            <w:vAlign w:val="center"/>
          </w:tcPr>
          <w:p w14:paraId="0F76D3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0.1%</w:t>
            </w:r>
          </w:p>
        </w:tc>
        <w:tc>
          <w:tcPr>
            <w:tcW w:w="1713" w:type="dxa"/>
            <w:vAlign w:val="center"/>
          </w:tcPr>
          <w:p w14:paraId="095D5E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0.2%</w:t>
            </w:r>
          </w:p>
        </w:tc>
      </w:tr>
      <w:tr w14:paraId="547A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00BDD86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1～5亿元</w:t>
            </w:r>
          </w:p>
        </w:tc>
        <w:tc>
          <w:tcPr>
            <w:tcW w:w="1837" w:type="dxa"/>
            <w:vAlign w:val="center"/>
          </w:tcPr>
          <w:p w14:paraId="24A987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c>
          <w:tcPr>
            <w:tcW w:w="1697" w:type="dxa"/>
            <w:vAlign w:val="center"/>
          </w:tcPr>
          <w:p w14:paraId="7373AF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c>
          <w:tcPr>
            <w:tcW w:w="1713" w:type="dxa"/>
            <w:vAlign w:val="center"/>
          </w:tcPr>
          <w:p w14:paraId="748AE6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0.05%</w:t>
            </w:r>
          </w:p>
        </w:tc>
      </w:tr>
      <w:tr w14:paraId="6544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348A72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5～10亿元</w:t>
            </w:r>
          </w:p>
        </w:tc>
        <w:tc>
          <w:tcPr>
            <w:tcW w:w="1837" w:type="dxa"/>
            <w:vAlign w:val="center"/>
          </w:tcPr>
          <w:p w14:paraId="5DFA74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c>
          <w:tcPr>
            <w:tcW w:w="1697" w:type="dxa"/>
            <w:vAlign w:val="center"/>
          </w:tcPr>
          <w:p w14:paraId="303B54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c>
          <w:tcPr>
            <w:tcW w:w="1713" w:type="dxa"/>
            <w:vAlign w:val="center"/>
          </w:tcPr>
          <w:p w14:paraId="334354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0.035%</w:t>
            </w:r>
          </w:p>
        </w:tc>
      </w:tr>
      <w:tr w14:paraId="5948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23F99D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10～50亿元</w:t>
            </w:r>
          </w:p>
        </w:tc>
        <w:tc>
          <w:tcPr>
            <w:tcW w:w="1837" w:type="dxa"/>
            <w:vAlign w:val="center"/>
          </w:tcPr>
          <w:p w14:paraId="54219D7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c>
          <w:tcPr>
            <w:tcW w:w="1697" w:type="dxa"/>
            <w:vAlign w:val="center"/>
          </w:tcPr>
          <w:p w14:paraId="5A181C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c>
          <w:tcPr>
            <w:tcW w:w="1713" w:type="dxa"/>
            <w:vAlign w:val="center"/>
          </w:tcPr>
          <w:p w14:paraId="6D164E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0.008%</w:t>
            </w:r>
          </w:p>
        </w:tc>
      </w:tr>
      <w:tr w14:paraId="467F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7DF204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50～100亿元</w:t>
            </w:r>
          </w:p>
        </w:tc>
        <w:tc>
          <w:tcPr>
            <w:tcW w:w="1837" w:type="dxa"/>
            <w:vAlign w:val="center"/>
          </w:tcPr>
          <w:p w14:paraId="6E23F5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c>
          <w:tcPr>
            <w:tcW w:w="1697" w:type="dxa"/>
            <w:vAlign w:val="center"/>
          </w:tcPr>
          <w:p w14:paraId="409C39A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c>
          <w:tcPr>
            <w:tcW w:w="1713" w:type="dxa"/>
            <w:vAlign w:val="center"/>
          </w:tcPr>
          <w:p w14:paraId="53EFF2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0.006%</w:t>
            </w:r>
          </w:p>
        </w:tc>
      </w:tr>
      <w:tr w14:paraId="6DA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8" w:type="dxa"/>
            <w:vAlign w:val="center"/>
          </w:tcPr>
          <w:p w14:paraId="47A8FC6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100亿以上</w:t>
            </w:r>
          </w:p>
        </w:tc>
        <w:tc>
          <w:tcPr>
            <w:tcW w:w="1837" w:type="dxa"/>
            <w:vAlign w:val="center"/>
          </w:tcPr>
          <w:p w14:paraId="1685B46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c>
          <w:tcPr>
            <w:tcW w:w="1697" w:type="dxa"/>
            <w:vAlign w:val="center"/>
          </w:tcPr>
          <w:p w14:paraId="042385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c>
          <w:tcPr>
            <w:tcW w:w="1713" w:type="dxa"/>
            <w:vAlign w:val="center"/>
          </w:tcPr>
          <w:p w14:paraId="3D193C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0.004%</w:t>
            </w:r>
          </w:p>
        </w:tc>
      </w:tr>
    </w:tbl>
    <w:p w14:paraId="07B1FA1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4E7414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（1）按本表费率计算的收费为采购代理的收费基准价格；</w:t>
      </w:r>
    </w:p>
    <w:p w14:paraId="6ADA29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（2）采购代理收费按差额定率累进法计算。</w:t>
      </w:r>
    </w:p>
    <w:p w14:paraId="5B06D02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例如：某服务采购代理业务成交金额或者暂定价为150万元，计算采购代理收费额如下：</w:t>
      </w:r>
    </w:p>
    <w:p w14:paraId="1DAA244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100 万元 ×l.5 %＝ 1.5 万元</w:t>
      </w:r>
    </w:p>
    <w:p w14:paraId="3AE44C9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150 － 100 ）万元 ×0.8%＝ 0.4万元</w:t>
      </w:r>
    </w:p>
    <w:p w14:paraId="5D246B6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合计收费＝ 1.5 ＋ 0.4＝ 1.9 万元</w:t>
      </w:r>
    </w:p>
    <w:p w14:paraId="7EDC266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33.需要补充的其他内容</w:t>
      </w:r>
    </w:p>
    <w:p w14:paraId="1C85B958">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33.1本磋商文件解释规则详见“供应商须知前附表”。</w:t>
      </w:r>
    </w:p>
    <w:p w14:paraId="14C47AA9">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33.2其他事项详见“供应商须知前附表”。</w:t>
      </w:r>
    </w:p>
    <w:p w14:paraId="3E83AE4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56E9415">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12AC49C1">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（2）在工程采购项目中，工程由中小企业承建，即工程施工单位为中小企业，不对其中涉及的货物的制造商和服务的承接商作出要求；</w:t>
      </w:r>
    </w:p>
    <w:p w14:paraId="0B214BA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5F32CE">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8FAB94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依据本磋商文件规定享受扶持政策获得政府采购合同的，小微企业不得将合同分包给大中型企业，中型企业不得将合同分包给大型企业。</w:t>
      </w:r>
    </w:p>
    <w:p w14:paraId="0A1CDDF8">
      <w:pPr>
        <w:pStyle w:val="13"/>
        <w:kinsoku/>
        <w:autoSpaceDE/>
        <w:autoSpaceDN/>
        <w:adjustRightInd/>
        <w:snapToGrid/>
        <w:spacing w:line="360" w:lineRule="auto"/>
        <w:ind w:firstLine="480" w:firstLineChars="200"/>
        <w:contextualSpacing/>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lang w:val="en-US" w:eastAsia="zh-CN"/>
        </w:rPr>
        <w:t>33.4</w:t>
      </w:r>
      <w:r>
        <w:rPr>
          <w:rFonts w:hint="eastAsia" w:ascii="仿宋" w:hAnsi="仿宋" w:eastAsia="仿宋" w:cs="仿宋"/>
          <w:snapToGrid/>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8422CF1">
      <w:pPr>
        <w:rPr>
          <w:rFonts w:hint="eastAsia" w:ascii="仿宋" w:hAnsi="仿宋" w:eastAsia="仿宋" w:cs="仿宋"/>
          <w:color w:val="auto"/>
          <w:highlight w:val="none"/>
        </w:rPr>
      </w:pPr>
    </w:p>
    <w:p w14:paraId="7A6CFB63">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center"/>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rPr>
        <w:t>33.</w:t>
      </w:r>
      <w:r>
        <w:rPr>
          <w:rFonts w:hint="eastAsia" w:ascii="仿宋" w:hAnsi="仿宋" w:eastAsia="仿宋" w:cs="仿宋"/>
          <w:snapToGrid/>
          <w:color w:val="auto"/>
          <w:kern w:val="2"/>
          <w:sz w:val="24"/>
          <w:szCs w:val="24"/>
          <w:highlight w:val="none"/>
          <w:lang w:val="en-US" w:eastAsia="zh-CN"/>
        </w:rPr>
        <w:t>5</w:t>
      </w:r>
      <w:r>
        <w:rPr>
          <w:rFonts w:hint="eastAsia" w:ascii="仿宋" w:hAnsi="仿宋" w:eastAsia="仿宋" w:cs="仿宋"/>
          <w:snapToGrid/>
          <w:color w:val="auto"/>
          <w:kern w:val="2"/>
          <w:sz w:val="24"/>
          <w:szCs w:val="24"/>
          <w:highlight w:val="none"/>
        </w:rPr>
        <w:t>《崇左市财政局关于进一步做好线上“政采贷”融资业务工作的通知》( 崇财采(2023)10号)相关附件</w:t>
      </w:r>
    </w:p>
    <w:p w14:paraId="0FCD509D">
      <w:pPr>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7978E2D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2"/>
        <w:rPr>
          <w:rFonts w:hint="eastAsia" w:ascii="仿宋" w:hAnsi="仿宋" w:eastAsia="仿宋" w:cs="仿宋"/>
          <w:b/>
          <w:bCs/>
          <w:snapToGrid/>
          <w:color w:val="auto"/>
          <w:kern w:val="2"/>
          <w:sz w:val="24"/>
          <w:szCs w:val="24"/>
          <w:highlight w:val="none"/>
          <w:lang w:eastAsia="zh-CN"/>
        </w:rPr>
      </w:pPr>
      <w:bookmarkStart w:id="44" w:name="_Toc9238"/>
      <w:bookmarkStart w:id="45" w:name="_Toc27679"/>
      <w:bookmarkStart w:id="46" w:name="_Toc5251"/>
      <w:r>
        <w:rPr>
          <w:rFonts w:hint="eastAsia" w:ascii="仿宋" w:hAnsi="仿宋" w:eastAsia="仿宋" w:cs="仿宋"/>
          <w:b/>
          <w:bCs/>
          <w:snapToGrid/>
          <w:color w:val="auto"/>
          <w:kern w:val="2"/>
          <w:sz w:val="24"/>
          <w:szCs w:val="24"/>
          <w:highlight w:val="none"/>
          <w:lang w:eastAsia="zh-CN"/>
        </w:rPr>
        <w:t>崇左市线上“政采贷”政策告知函</w:t>
      </w:r>
      <w:bookmarkEnd w:id="44"/>
      <w:bookmarkEnd w:id="45"/>
      <w:bookmarkEnd w:id="46"/>
    </w:p>
    <w:p w14:paraId="735ABD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3B1CDC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各供应商：</w:t>
      </w:r>
    </w:p>
    <w:p w14:paraId="44723A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欢迎贵公司参与崇左市政府采购活动！</w:t>
      </w:r>
    </w:p>
    <w:p w14:paraId="69764C0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6E552B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相关金融产品和银行业金融机构联系方式，可在中征应收账款融资服务平台查询（网址：</w:t>
      </w:r>
      <w:r>
        <w:rPr>
          <w:rFonts w:hint="eastAsia" w:ascii="仿宋" w:hAnsi="仿宋" w:eastAsia="仿宋" w:cs="仿宋"/>
          <w:snapToGrid/>
          <w:color w:val="auto"/>
          <w:kern w:val="2"/>
          <w:sz w:val="24"/>
          <w:szCs w:val="24"/>
          <w:highlight w:val="none"/>
          <w:lang w:eastAsia="zh-CN"/>
        </w:rPr>
        <w:fldChar w:fldCharType="begin"/>
      </w:r>
      <w:r>
        <w:rPr>
          <w:rFonts w:hint="eastAsia" w:ascii="仿宋" w:hAnsi="仿宋" w:eastAsia="仿宋" w:cs="仿宋"/>
          <w:snapToGrid/>
          <w:color w:val="auto"/>
          <w:kern w:val="2"/>
          <w:sz w:val="24"/>
          <w:szCs w:val="24"/>
          <w:highlight w:val="none"/>
          <w:lang w:eastAsia="zh-CN"/>
        </w:rPr>
        <w:instrText xml:space="preserve"> HYPERLINK "https://www.crcrfsp.com/" </w:instrText>
      </w:r>
      <w:r>
        <w:rPr>
          <w:rFonts w:hint="eastAsia" w:ascii="仿宋" w:hAnsi="仿宋" w:eastAsia="仿宋" w:cs="仿宋"/>
          <w:snapToGrid/>
          <w:color w:val="auto"/>
          <w:kern w:val="2"/>
          <w:sz w:val="24"/>
          <w:szCs w:val="24"/>
          <w:highlight w:val="none"/>
          <w:lang w:eastAsia="zh-CN"/>
        </w:rPr>
        <w:fldChar w:fldCharType="separate"/>
      </w:r>
      <w:r>
        <w:rPr>
          <w:rFonts w:hint="eastAsia" w:ascii="仿宋" w:hAnsi="仿宋" w:eastAsia="仿宋" w:cs="仿宋"/>
          <w:snapToGrid/>
          <w:color w:val="auto"/>
          <w:kern w:val="0"/>
          <w:sz w:val="24"/>
          <w:szCs w:val="24"/>
          <w:highlight w:val="none"/>
          <w:lang w:eastAsia="zh-CN"/>
        </w:rPr>
        <w:t>https://www.crcrfsp.com/</w:t>
      </w:r>
      <w:r>
        <w:rPr>
          <w:rFonts w:hint="eastAsia" w:ascii="仿宋" w:hAnsi="仿宋" w:eastAsia="仿宋" w:cs="仿宋"/>
          <w:snapToGrid/>
          <w:color w:val="auto"/>
          <w:kern w:val="0"/>
          <w:sz w:val="24"/>
          <w:szCs w:val="24"/>
          <w:highlight w:val="none"/>
          <w:lang w:eastAsia="zh-CN"/>
        </w:rPr>
        <w:fldChar w:fldCharType="end"/>
      </w:r>
      <w:r>
        <w:rPr>
          <w:rFonts w:hint="eastAsia" w:ascii="仿宋" w:hAnsi="仿宋" w:eastAsia="仿宋" w:cs="仿宋"/>
          <w:snapToGrid/>
          <w:color w:val="auto"/>
          <w:kern w:val="0"/>
          <w:sz w:val="24"/>
          <w:szCs w:val="24"/>
          <w:highlight w:val="none"/>
          <w:lang w:eastAsia="zh-CN"/>
        </w:rPr>
        <w:t>，客服电话：400-009-0001）。</w:t>
      </w:r>
    </w:p>
    <w:p w14:paraId="563199B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br w:type="page"/>
      </w:r>
    </w:p>
    <w:p w14:paraId="4D65B13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崇左市线上“政采贷”业务流程图</w:t>
      </w:r>
    </w:p>
    <w:p w14:paraId="5C79E00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drawing>
          <wp:inline distT="0" distB="0" distL="0" distR="0">
            <wp:extent cx="4924425" cy="7000875"/>
            <wp:effectExtent l="0" t="0" r="3175" b="9525"/>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noChangeArrowheads="1"/>
                    </pic:cNvPicPr>
                  </pic:nvPicPr>
                  <pic:blipFill>
                    <a:blip r:embed="rId15"/>
                    <a:srcRect/>
                    <a:stretch>
                      <a:fillRect/>
                    </a:stretch>
                  </pic:blipFill>
                  <pic:spPr>
                    <a:xfrm>
                      <a:off x="0" y="0"/>
                      <a:ext cx="4924425" cy="7000875"/>
                    </a:xfrm>
                    <a:prstGeom prst="rect">
                      <a:avLst/>
                    </a:prstGeom>
                    <a:noFill/>
                    <a:ln w="9525" cmpd="sng">
                      <a:noFill/>
                      <a:miter lim="800000"/>
                      <a:headEnd/>
                      <a:tailEnd/>
                    </a:ln>
                  </pic:spPr>
                </pic:pic>
              </a:graphicData>
            </a:graphic>
          </wp:inline>
        </w:drawing>
      </w:r>
    </w:p>
    <w:p w14:paraId="4CF9165A">
      <w:pPr>
        <w:keepNext w:val="0"/>
        <w:keepLines w:val="0"/>
        <w:pageBreakBefore w:val="0"/>
        <w:widowControl/>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553E23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p>
    <w:p w14:paraId="5C046C3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eastAsia="zh-CN"/>
        </w:rPr>
      </w:pPr>
    </w:p>
    <w:p w14:paraId="478F47D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D8834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17ADDF6A">
      <w:pPr>
        <w:keepNext w:val="0"/>
        <w:keepLines w:val="0"/>
        <w:pageBreakBefore w:val="0"/>
        <w:widowControl w:val="0"/>
        <w:kinsoku/>
        <w:topLinePunct w:val="0"/>
        <w:autoSpaceDE/>
        <w:autoSpaceDN/>
        <w:bidi w:val="0"/>
        <w:adjustRightInd w:val="0"/>
        <w:snapToGrid/>
        <w:spacing w:beforeAutospacing="0" w:afterAutospacing="0" w:line="360" w:lineRule="auto"/>
        <w:ind w:right="0" w:rightChars="0"/>
        <w:jc w:val="center"/>
        <w:textAlignment w:val="auto"/>
        <w:outlineLvl w:val="3"/>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崇左市金融机构线上“政采贷”业务办理联络表</w:t>
      </w:r>
    </w:p>
    <w:tbl>
      <w:tblPr>
        <w:tblStyle w:val="21"/>
        <w:tblW w:w="4993" w:type="pct"/>
        <w:jc w:val="center"/>
        <w:tblLayout w:type="fixed"/>
        <w:tblCellMar>
          <w:top w:w="0" w:type="dxa"/>
          <w:left w:w="108" w:type="dxa"/>
          <w:bottom w:w="0" w:type="dxa"/>
          <w:right w:w="108" w:type="dxa"/>
        </w:tblCellMar>
      </w:tblPr>
      <w:tblGrid>
        <w:gridCol w:w="4310"/>
        <w:gridCol w:w="3401"/>
        <w:gridCol w:w="2227"/>
      </w:tblGrid>
      <w:tr w14:paraId="2465347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vAlign w:val="center"/>
          </w:tcPr>
          <w:p w14:paraId="6C2CCD8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金融机构名称</w:t>
            </w:r>
          </w:p>
        </w:tc>
        <w:tc>
          <w:tcPr>
            <w:tcW w:w="1711" w:type="pct"/>
            <w:tcBorders>
              <w:top w:val="single" w:color="000000" w:sz="4" w:space="0"/>
              <w:left w:val="single" w:color="000000" w:sz="4" w:space="0"/>
              <w:bottom w:val="single" w:color="000000" w:sz="4" w:space="0"/>
              <w:right w:val="single" w:color="000000" w:sz="4" w:space="0"/>
            </w:tcBorders>
            <w:vAlign w:val="center"/>
          </w:tcPr>
          <w:p w14:paraId="7A2B6E5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地址</w:t>
            </w:r>
          </w:p>
        </w:tc>
        <w:tc>
          <w:tcPr>
            <w:tcW w:w="1120" w:type="pct"/>
            <w:tcBorders>
              <w:top w:val="single" w:color="000000" w:sz="4" w:space="0"/>
              <w:left w:val="single" w:color="000000" w:sz="4" w:space="0"/>
              <w:bottom w:val="single" w:color="000000" w:sz="4" w:space="0"/>
              <w:right w:val="single" w:color="000000" w:sz="4" w:space="0"/>
            </w:tcBorders>
            <w:vAlign w:val="center"/>
          </w:tcPr>
          <w:p w14:paraId="45E2A7C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0"/>
                <w:sz w:val="24"/>
                <w:szCs w:val="24"/>
                <w:highlight w:val="none"/>
                <w:lang w:eastAsia="zh-CN"/>
              </w:rPr>
              <w:t>业务咨询电话</w:t>
            </w:r>
          </w:p>
        </w:tc>
      </w:tr>
      <w:tr w14:paraId="071C46FF">
        <w:tblPrEx>
          <w:tblCellMar>
            <w:top w:w="0" w:type="dxa"/>
            <w:left w:w="108" w:type="dxa"/>
            <w:bottom w:w="0" w:type="dxa"/>
            <w:right w:w="108" w:type="dxa"/>
          </w:tblCellMar>
        </w:tblPrEx>
        <w:trPr>
          <w:trHeight w:val="56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6D9788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崇左市本级及江州区</w:t>
            </w:r>
          </w:p>
        </w:tc>
      </w:tr>
      <w:tr w14:paraId="0EA5834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DEF1B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3DB25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崇左市骆越大道6号（东盟国际城）裙楼2号楼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639C666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0771-7820436 0771-7820439</w:t>
            </w:r>
          </w:p>
        </w:tc>
      </w:tr>
      <w:tr w14:paraId="112D545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21B70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09EAF47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江州区友谊大道26号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C6C37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0771-7917212</w:t>
            </w:r>
          </w:p>
        </w:tc>
      </w:tr>
      <w:tr w14:paraId="7F13A59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F2187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农业银行江州支行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866D2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江州区江南路48号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2A2043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0771-7917054</w:t>
            </w:r>
          </w:p>
        </w:tc>
      </w:tr>
      <w:tr w14:paraId="3950388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78C46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D8346C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崇左市江州区江南路73号建行大厦</w:t>
            </w:r>
          </w:p>
        </w:tc>
        <w:tc>
          <w:tcPr>
            <w:tcW w:w="1120" w:type="pct"/>
            <w:tcBorders>
              <w:top w:val="single" w:color="000000" w:sz="4" w:space="0"/>
              <w:left w:val="single" w:color="000000" w:sz="4" w:space="0"/>
              <w:bottom w:val="single" w:color="000000" w:sz="4" w:space="0"/>
              <w:right w:val="single" w:color="000000" w:sz="4" w:space="0"/>
            </w:tcBorders>
            <w:vAlign w:val="center"/>
          </w:tcPr>
          <w:p w14:paraId="50EC05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0771-7831103</w:t>
            </w:r>
          </w:p>
        </w:tc>
      </w:tr>
      <w:tr w14:paraId="7657D34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C1A01A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C51C75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崇左市江州区龙胤大厦五楼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7C08EB1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0771-7928650 0771-7920613</w:t>
            </w:r>
          </w:p>
        </w:tc>
      </w:tr>
      <w:tr w14:paraId="335AFEB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D4225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崇左农商行授信审批部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678731D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崇左市城西路109号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9E4D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0771-7925660</w:t>
            </w:r>
          </w:p>
        </w:tc>
      </w:tr>
      <w:tr w14:paraId="21A07FB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421DC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中国邮政储蓄银行崇左市分行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3E7DD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崇左市江州区骆越大道2号中国邮政储蓄银行崇左市分行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23087B0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0771-7968699</w:t>
            </w:r>
          </w:p>
        </w:tc>
      </w:tr>
      <w:tr w14:paraId="33E5140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DEAE9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桂林银行崇左分行营业部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0A0AD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广西壮族自治区崇左市江州区友谊大道中段龙胤·财富广场101商铺（龙胤大厦六楼营业部）</w:t>
            </w:r>
          </w:p>
        </w:tc>
        <w:tc>
          <w:tcPr>
            <w:tcW w:w="1120" w:type="pct"/>
            <w:tcBorders>
              <w:top w:val="single" w:color="000000" w:sz="4" w:space="0"/>
              <w:left w:val="single" w:color="000000" w:sz="4" w:space="0"/>
              <w:bottom w:val="single" w:color="000000" w:sz="4" w:space="0"/>
              <w:right w:val="single" w:color="000000" w:sz="4" w:space="0"/>
            </w:tcBorders>
            <w:vAlign w:val="center"/>
          </w:tcPr>
          <w:p w14:paraId="35FB3F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0771-7916636</w:t>
            </w:r>
          </w:p>
        </w:tc>
      </w:tr>
      <w:tr w14:paraId="4AFC231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B157B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桂林银行江州支行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DBD6E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崇左市江州区建设路41号桂林银行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0A38DD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0771-7988895</w:t>
            </w:r>
          </w:p>
        </w:tc>
      </w:tr>
      <w:tr w14:paraId="72F9F00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74E0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1E666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崇左市友谊大道中段西侧龙胤财富广场三期财富中心122号商铺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2AAEEA3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0771-7960855</w:t>
            </w:r>
          </w:p>
        </w:tc>
      </w:tr>
      <w:tr w14:paraId="1581117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B32F93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广西北部湾银行崇左市中泰产业园支行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89418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广西壮族自治区崇左市江州区中泰产业园企业总部基地企业服务中心一楼</w:t>
            </w:r>
          </w:p>
        </w:tc>
        <w:tc>
          <w:tcPr>
            <w:tcW w:w="1120" w:type="pct"/>
            <w:tcBorders>
              <w:top w:val="single" w:color="000000" w:sz="4" w:space="0"/>
              <w:left w:val="single" w:color="000000" w:sz="4" w:space="0"/>
              <w:bottom w:val="single" w:color="000000" w:sz="4" w:space="0"/>
              <w:right w:val="single" w:color="000000" w:sz="4" w:space="0"/>
            </w:tcBorders>
            <w:vAlign w:val="center"/>
          </w:tcPr>
          <w:p w14:paraId="3E9C16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0771-7821126</w:t>
            </w:r>
          </w:p>
        </w:tc>
      </w:tr>
      <w:tr w14:paraId="3AA3419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400BC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广西北部湾银行崇左市丽江支行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59C2B3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崇左市江州区丽江路丽江明珠滨江花苑三期106-109号商铺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37A2D8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0771-7831866</w:t>
            </w:r>
          </w:p>
        </w:tc>
      </w:tr>
      <w:tr w14:paraId="0E978796">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788E1F0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扶绥县</w:t>
            </w:r>
          </w:p>
        </w:tc>
      </w:tr>
      <w:tr w14:paraId="1A3D927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9DA76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017E227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扶绥县新宁镇同正大道94号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8BA93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0771-7535612</w:t>
            </w:r>
          </w:p>
        </w:tc>
      </w:tr>
      <w:tr w14:paraId="5B8C9E5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2222A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2676E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扶绥县新宁镇新华路126号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340F7B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0771-7917330</w:t>
            </w:r>
          </w:p>
        </w:tc>
      </w:tr>
      <w:tr w14:paraId="2841D32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372BE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6EA279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扶绥县南密路6号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F1378F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0771-7516511 0771-7531157</w:t>
            </w:r>
          </w:p>
        </w:tc>
      </w:tr>
      <w:tr w14:paraId="27B8A2EE">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7CCEAC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建行扶绥空港支行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E1A06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扶绥县双拥路3号东信华府18号楼一层</w:t>
            </w:r>
          </w:p>
        </w:tc>
        <w:tc>
          <w:tcPr>
            <w:tcW w:w="1120" w:type="pct"/>
            <w:tcBorders>
              <w:top w:val="single" w:color="000000" w:sz="4" w:space="0"/>
              <w:left w:val="single" w:color="000000" w:sz="4" w:space="0"/>
              <w:bottom w:val="single" w:color="000000" w:sz="4" w:space="0"/>
              <w:right w:val="single" w:color="000000" w:sz="4" w:space="0"/>
            </w:tcBorders>
            <w:vAlign w:val="center"/>
          </w:tcPr>
          <w:p w14:paraId="01F980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0771-7525822</w:t>
            </w:r>
          </w:p>
        </w:tc>
      </w:tr>
      <w:tr w14:paraId="654D6E5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59EA5F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CD031D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扶绥县-扶绥大道16号山水城市广场一层商铺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67F9AD4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0771-5025887</w:t>
            </w:r>
          </w:p>
        </w:tc>
      </w:tr>
      <w:tr w14:paraId="68F4342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F0E9D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6FCD76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扶绥县新宁镇永宁路2-1号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B5F7B9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0771-7533041</w:t>
            </w:r>
          </w:p>
        </w:tc>
      </w:tr>
      <w:tr w14:paraId="58C6262A">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BF21F6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中国邮政储蓄银行扶绥县支行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3E7EB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扶绥县松江路138号中国邮政储蓄银行扶绥县支行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5578DF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0771-7536178 0771-7536177</w:t>
            </w:r>
          </w:p>
        </w:tc>
      </w:tr>
      <w:tr w14:paraId="47BEC30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14485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桂林银行崇左扶绥支行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9F039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广西崇左市扶绥县新宁镇松江路20号（桂林银行崇左扶绥支行）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1223188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0771-7661101</w:t>
            </w:r>
          </w:p>
        </w:tc>
      </w:tr>
      <w:tr w14:paraId="51DC72D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F143FD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广西北部湾银行扶绥县支行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E6996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崇左市扶绥县新宁镇同正大道333号碧园·未来城商业综合体13号楼一楼1050、1051号商铺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679432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0771-7500768</w:t>
            </w:r>
          </w:p>
        </w:tc>
      </w:tr>
      <w:tr w14:paraId="4C2333A1">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82C9D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扶绥深通村镇银行业发部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1A6549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扶绥县大景城1号楼正门旁</w:t>
            </w:r>
          </w:p>
        </w:tc>
        <w:tc>
          <w:tcPr>
            <w:tcW w:w="1120" w:type="pct"/>
            <w:tcBorders>
              <w:top w:val="single" w:color="000000" w:sz="4" w:space="0"/>
              <w:left w:val="single" w:color="000000" w:sz="4" w:space="0"/>
              <w:bottom w:val="single" w:color="000000" w:sz="4" w:space="0"/>
              <w:right w:val="single" w:color="000000" w:sz="4" w:space="0"/>
            </w:tcBorders>
            <w:vAlign w:val="center"/>
          </w:tcPr>
          <w:p w14:paraId="54FE8A8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0771-7525678</w:t>
            </w:r>
          </w:p>
        </w:tc>
      </w:tr>
      <w:tr w14:paraId="53D6B50F">
        <w:tblPrEx>
          <w:tblCellMar>
            <w:top w:w="0" w:type="dxa"/>
            <w:left w:w="108" w:type="dxa"/>
            <w:bottom w:w="0" w:type="dxa"/>
            <w:right w:w="108" w:type="dxa"/>
          </w:tblCellMar>
        </w:tblPrEx>
        <w:trPr>
          <w:trHeight w:val="45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1576830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宁明县</w:t>
            </w:r>
          </w:p>
        </w:tc>
      </w:tr>
      <w:tr w14:paraId="5560186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1F69991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工商银行宁明县支行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A1731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宁明县城中镇兴远街70号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11BD5C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0771-8620729</w:t>
            </w:r>
          </w:p>
        </w:tc>
      </w:tr>
      <w:tr w14:paraId="20CD6CC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54A8DC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农业银行宁明县支行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609B81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宁明县城中镇明阳街11号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D78C33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0771-7917093</w:t>
            </w:r>
          </w:p>
        </w:tc>
      </w:tr>
      <w:tr w14:paraId="2ECC25E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51F47C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8EDD84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宁明县城中镇兴宁大道77号明江财富广场一层1-13号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26959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0771-8629006</w:t>
            </w:r>
          </w:p>
        </w:tc>
      </w:tr>
      <w:tr w14:paraId="75C6B0B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7346A6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4DC77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宁明县城中镇明阳街3号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6AA73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0771-8628166</w:t>
            </w:r>
          </w:p>
        </w:tc>
      </w:tr>
      <w:tr w14:paraId="66FD155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5C87B6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D51F24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宁明县城中镇兴宁大道中70号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09F50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0771-8630787</w:t>
            </w:r>
          </w:p>
        </w:tc>
      </w:tr>
      <w:tr w14:paraId="142B548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619B5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广西北部湾银行宁明支行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96F9C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崇左市宁明县城中镇兴宁大道中79号（明都大酒店）A幢楼1楼铺面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7C92B88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0771-8622237</w:t>
            </w:r>
          </w:p>
        </w:tc>
      </w:tr>
      <w:tr w14:paraId="1F692F51">
        <w:tblPrEx>
          <w:tblCellMar>
            <w:top w:w="0" w:type="dxa"/>
            <w:left w:w="108" w:type="dxa"/>
            <w:bottom w:w="0" w:type="dxa"/>
            <w:right w:w="108" w:type="dxa"/>
          </w:tblCellMar>
        </w:tblPrEx>
        <w:trPr>
          <w:trHeight w:val="9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3EC01F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大新县</w:t>
            </w:r>
          </w:p>
        </w:tc>
      </w:tr>
      <w:tr w14:paraId="1C0263C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BC2E70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工商银行大新县支行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F6250D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大新县桃城镇民生街98号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A364C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0771-3628078</w:t>
            </w:r>
          </w:p>
        </w:tc>
      </w:tr>
      <w:tr w14:paraId="5201206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B52239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农业银行大新县支行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6CF015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大新县桃城镇伦理路223号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64FC6B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w:t>
            </w:r>
            <w:r>
              <w:rPr>
                <w:rFonts w:hint="eastAsia" w:ascii="仿宋" w:hAnsi="仿宋" w:eastAsia="仿宋" w:cs="仿宋"/>
                <w:snapToGrid/>
                <w:color w:val="auto"/>
                <w:kern w:val="2"/>
                <w:sz w:val="24"/>
                <w:szCs w:val="24"/>
                <w:highlight w:val="none"/>
                <w:lang w:eastAsia="zh-CN"/>
              </w:rPr>
              <w:t>7917015</w:t>
            </w:r>
          </w:p>
        </w:tc>
      </w:tr>
      <w:tr w14:paraId="452FDB0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ABECB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建行大新支行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1148E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大新县民生街7号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AC6B2E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0771-3689766</w:t>
            </w:r>
          </w:p>
        </w:tc>
      </w:tr>
      <w:tr w14:paraId="084C0CFF">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4F3EE7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大新农商行三农零售与乡村振兴金融部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4F67367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大新县城养利路131号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25A72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0771-3623887</w:t>
            </w:r>
          </w:p>
        </w:tc>
      </w:tr>
      <w:tr w14:paraId="573E074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90A08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77F764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崇左市大新县桃城镇民生街7号东盟商业广场1楼桂林银行</w:t>
            </w:r>
          </w:p>
        </w:tc>
        <w:tc>
          <w:tcPr>
            <w:tcW w:w="1120" w:type="pct"/>
            <w:tcBorders>
              <w:top w:val="single" w:color="000000" w:sz="4" w:space="0"/>
              <w:left w:val="single" w:color="000000" w:sz="4" w:space="0"/>
              <w:bottom w:val="single" w:color="000000" w:sz="4" w:space="0"/>
              <w:right w:val="single" w:color="000000" w:sz="4" w:space="0"/>
            </w:tcBorders>
            <w:vAlign w:val="center"/>
          </w:tcPr>
          <w:p w14:paraId="32CA592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0771-3621996</w:t>
            </w:r>
          </w:p>
        </w:tc>
      </w:tr>
      <w:tr w14:paraId="371575C2">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D72EB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广西北部湾银行大新支行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5AFD8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崇左市大新县桃城镇伦理路230号1楼铺面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053C2B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2"/>
                <w:sz w:val="24"/>
                <w:szCs w:val="24"/>
                <w:highlight w:val="none"/>
                <w:lang w:eastAsia="zh-CN"/>
              </w:rPr>
              <w:t>0771-3628366</w:t>
            </w:r>
          </w:p>
        </w:tc>
      </w:tr>
      <w:tr w14:paraId="3D24AA86">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0AF817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崇左大新长江村镇银行营业部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059E25B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大新县桃城镇德天大道74-1号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67023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0771-3698002</w:t>
            </w:r>
          </w:p>
        </w:tc>
      </w:tr>
      <w:tr w14:paraId="74656CF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5FF6FE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崇左大新长江村镇银行百汇支行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4C79A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大新县桃城镇伦那路8号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B010F6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eastAsia="zh-CN"/>
              </w:rPr>
              <w:t>0771-3626199</w:t>
            </w:r>
          </w:p>
        </w:tc>
      </w:tr>
      <w:tr w14:paraId="189B2657">
        <w:tblPrEx>
          <w:tblCellMar>
            <w:top w:w="0" w:type="dxa"/>
            <w:left w:w="108" w:type="dxa"/>
            <w:bottom w:w="0" w:type="dxa"/>
            <w:right w:w="108" w:type="dxa"/>
          </w:tblCellMar>
        </w:tblPrEx>
        <w:trPr>
          <w:trHeight w:val="42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001AE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龙州县</w:t>
            </w:r>
          </w:p>
        </w:tc>
      </w:tr>
      <w:tr w14:paraId="1CEE4607">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BA1F6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工商银行龙州县支行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ADB546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龙州县龙江街60号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C50E5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0771-8868619</w:t>
            </w:r>
          </w:p>
        </w:tc>
      </w:tr>
      <w:tr w14:paraId="21A1774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D6AA67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农业银行龙州县支行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4AE6D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龙州县龙州镇康平街26号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2F909A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0771-8812504</w:t>
            </w:r>
          </w:p>
        </w:tc>
      </w:tr>
      <w:tr w14:paraId="7C5E77A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4A22B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AC0A6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龙州县龙夏路2号龙州商业广场D栋1号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C8DCB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0771-8820525</w:t>
            </w:r>
          </w:p>
        </w:tc>
      </w:tr>
      <w:tr w14:paraId="53C229B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B7A69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龙州农商行公司机构金融部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1A412E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龙州县龙州镇独山路172号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718A89C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0771-8813013</w:t>
            </w:r>
          </w:p>
        </w:tc>
      </w:tr>
      <w:tr w14:paraId="6E6018C5">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3B231F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9582FE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龙州县龙州镇同顾大道1号同顾·中央公园20栋10号—13号房</w:t>
            </w:r>
          </w:p>
        </w:tc>
        <w:tc>
          <w:tcPr>
            <w:tcW w:w="1120" w:type="pct"/>
            <w:tcBorders>
              <w:top w:val="single" w:color="000000" w:sz="4" w:space="0"/>
              <w:left w:val="single" w:color="000000" w:sz="4" w:space="0"/>
              <w:bottom w:val="single" w:color="000000" w:sz="4" w:space="0"/>
              <w:right w:val="single" w:color="000000" w:sz="4" w:space="0"/>
            </w:tcBorders>
            <w:vAlign w:val="center"/>
          </w:tcPr>
          <w:p w14:paraId="0B72EF8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0771-8871021</w:t>
            </w:r>
          </w:p>
        </w:tc>
      </w:tr>
      <w:tr w14:paraId="51C803B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C92D36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广西北部湾银行龙州支行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27FE8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崇左市龙州县龙州镇龙夏路1号、3号、5号（南湖商务酒店）一楼铺面</w:t>
            </w:r>
          </w:p>
        </w:tc>
        <w:tc>
          <w:tcPr>
            <w:tcW w:w="1120" w:type="pct"/>
            <w:tcBorders>
              <w:top w:val="single" w:color="000000" w:sz="4" w:space="0"/>
              <w:left w:val="single" w:color="000000" w:sz="4" w:space="0"/>
              <w:bottom w:val="single" w:color="000000" w:sz="4" w:space="0"/>
              <w:right w:val="single" w:color="000000" w:sz="4" w:space="0"/>
            </w:tcBorders>
            <w:vAlign w:val="center"/>
          </w:tcPr>
          <w:p w14:paraId="3392D9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0771-8811533</w:t>
            </w:r>
          </w:p>
        </w:tc>
      </w:tr>
      <w:tr w14:paraId="5B455B1E">
        <w:tblPrEx>
          <w:tblCellMar>
            <w:top w:w="0" w:type="dxa"/>
            <w:left w:w="108" w:type="dxa"/>
            <w:bottom w:w="0" w:type="dxa"/>
            <w:right w:w="108" w:type="dxa"/>
          </w:tblCellMar>
        </w:tblPrEx>
        <w:trPr>
          <w:trHeight w:val="28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0441B5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天等县</w:t>
            </w:r>
          </w:p>
        </w:tc>
      </w:tr>
      <w:tr w14:paraId="21A11EA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EA170D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工商银行天等县支行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4C3794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天等县天等镇朝阳东路054号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A7C05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0771-3532211</w:t>
            </w:r>
          </w:p>
        </w:tc>
      </w:tr>
      <w:tr w14:paraId="6385FA1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335DB4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农业银行天等县支行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37DEA1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天等县天等镇天宝北路007号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855AE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0771-7917046</w:t>
            </w:r>
          </w:p>
        </w:tc>
      </w:tr>
      <w:tr w14:paraId="1E3E7629">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E0448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天等农商行公司机构金融部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5E16589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天等县天等镇仕民路48号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3DC83A5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0771-3521361</w:t>
            </w:r>
          </w:p>
        </w:tc>
      </w:tr>
      <w:tr w14:paraId="735F913A">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6BBFA0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桂林银行崇左天等支行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E2C3F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广西崇左市天等县天等镇天宝北路天府中央城5号楼115号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31C35E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0771-3522157</w:t>
            </w:r>
          </w:p>
        </w:tc>
      </w:tr>
      <w:tr w14:paraId="67D79004">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2C9EB15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广西北部湾银行天等支行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EBA470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崇左市天等县天宝南路002号天富商业广场28栋一层商铺6-17号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02BF29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0771-3528688</w:t>
            </w:r>
          </w:p>
        </w:tc>
      </w:tr>
      <w:tr w14:paraId="69A263F9">
        <w:tblPrEx>
          <w:tblCellMar>
            <w:top w:w="0" w:type="dxa"/>
            <w:left w:w="108" w:type="dxa"/>
            <w:bottom w:w="0" w:type="dxa"/>
            <w:right w:w="108" w:type="dxa"/>
          </w:tblCellMar>
        </w:tblPrEx>
        <w:trPr>
          <w:trHeight w:val="382"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14:paraId="62B84FF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凭祥市</w:t>
            </w:r>
          </w:p>
        </w:tc>
      </w:tr>
      <w:tr w14:paraId="7091A0C0">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8872D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工商银行凭祥分行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085049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凭祥市新华路5号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0661A9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0771-8529259</w:t>
            </w:r>
          </w:p>
        </w:tc>
      </w:tr>
      <w:tr w14:paraId="384A285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C9042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农业银行凭祥支行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A4DFC2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凭祥市北大路216号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10D45E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0771-7917258</w:t>
            </w:r>
          </w:p>
        </w:tc>
      </w:tr>
      <w:tr w14:paraId="2F2A4588">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2B5CA1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41C4F0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凭祥市屏山路138号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24176F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0771-8525068 0771-8536852</w:t>
            </w:r>
          </w:p>
        </w:tc>
      </w:tr>
      <w:tr w14:paraId="777899CC">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72455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建行凭祥中区支行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5A01F30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凭祥市金象大道香格里拉3幢3-01至3-03号商铺</w:t>
            </w:r>
          </w:p>
        </w:tc>
        <w:tc>
          <w:tcPr>
            <w:tcW w:w="1120" w:type="pct"/>
            <w:tcBorders>
              <w:top w:val="single" w:color="000000" w:sz="4" w:space="0"/>
              <w:left w:val="single" w:color="000000" w:sz="4" w:space="0"/>
              <w:bottom w:val="single" w:color="000000" w:sz="4" w:space="0"/>
              <w:right w:val="single" w:color="000000" w:sz="4" w:space="0"/>
            </w:tcBorders>
            <w:vAlign w:val="center"/>
          </w:tcPr>
          <w:p w14:paraId="08ADEC0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0771-8551161</w:t>
            </w:r>
          </w:p>
        </w:tc>
      </w:tr>
      <w:tr w14:paraId="0659FFFB">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41820F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建行凭祥浦寨支行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2705170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凭祥市浦寨商业城万泰一楼8-9号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68F4D9B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0771-8561665</w:t>
            </w:r>
          </w:p>
        </w:tc>
      </w:tr>
      <w:tr w14:paraId="70FBA206">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345A74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中国银行凭祥支行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A77132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凭祥市-北环路112号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B4E243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0771-8520356</w:t>
            </w:r>
          </w:p>
        </w:tc>
      </w:tr>
      <w:tr w14:paraId="05696D5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0C0C3B7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凭祥农商行业务拓展部</w:t>
            </w:r>
          </w:p>
        </w:tc>
        <w:tc>
          <w:tcPr>
            <w:tcW w:w="1711" w:type="pct"/>
            <w:tcBorders>
              <w:top w:val="single" w:color="000000" w:sz="4" w:space="0"/>
              <w:left w:val="single" w:color="000000" w:sz="4" w:space="0"/>
              <w:bottom w:val="single" w:color="000000" w:sz="4" w:space="0"/>
              <w:right w:val="single" w:color="000000" w:sz="4" w:space="0"/>
            </w:tcBorders>
            <w:vAlign w:val="center"/>
          </w:tcPr>
          <w:p w14:paraId="70C12C5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凭祥市友谊关大道13号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EFA87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0771-8535667</w:t>
            </w:r>
          </w:p>
        </w:tc>
      </w:tr>
      <w:tr w14:paraId="7507FA0D">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7C3AD8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桂林银行广西自贸试验区崇左片区凭祥支行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11BF6DE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凭祥市北大路一支40号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48B8C97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0771-8520550</w:t>
            </w:r>
          </w:p>
        </w:tc>
      </w:tr>
      <w:tr w14:paraId="52683043">
        <w:tblPrEx>
          <w:tblCellMar>
            <w:top w:w="0" w:type="dxa"/>
            <w:left w:w="108" w:type="dxa"/>
            <w:bottom w:w="0" w:type="dxa"/>
            <w:right w:w="108" w:type="dxa"/>
          </w:tblCellMar>
        </w:tblPrEx>
        <w:trPr>
          <w:trHeight w:val="567" w:hRule="atLeast"/>
          <w:jc w:val="center"/>
        </w:trPr>
        <w:tc>
          <w:tcPr>
            <w:tcW w:w="2168" w:type="pct"/>
            <w:tcBorders>
              <w:top w:val="single" w:color="000000" w:sz="4" w:space="0"/>
              <w:left w:val="single" w:color="000000" w:sz="4" w:space="0"/>
              <w:bottom w:val="single" w:color="000000" w:sz="4" w:space="0"/>
              <w:right w:val="single" w:color="000000" w:sz="4" w:space="0"/>
            </w:tcBorders>
            <w:noWrap/>
            <w:vAlign w:val="center"/>
          </w:tcPr>
          <w:p w14:paraId="571B56D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广西北部湾银行广西自贸试验区崇左片区凭祥支行</w:t>
            </w:r>
          </w:p>
        </w:tc>
        <w:tc>
          <w:tcPr>
            <w:tcW w:w="1711" w:type="pct"/>
            <w:tcBorders>
              <w:top w:val="single" w:color="000000" w:sz="4" w:space="0"/>
              <w:left w:val="single" w:color="000000" w:sz="4" w:space="0"/>
              <w:bottom w:val="single" w:color="000000" w:sz="4" w:space="0"/>
              <w:right w:val="single" w:color="000000" w:sz="4" w:space="0"/>
            </w:tcBorders>
            <w:vAlign w:val="center"/>
          </w:tcPr>
          <w:p w14:paraId="7E922B2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凭祥市北大路一支60-1号</w:t>
            </w:r>
          </w:p>
        </w:tc>
        <w:tc>
          <w:tcPr>
            <w:tcW w:w="1120" w:type="pct"/>
            <w:tcBorders>
              <w:top w:val="single" w:color="000000" w:sz="4" w:space="0"/>
              <w:left w:val="single" w:color="000000" w:sz="4" w:space="0"/>
              <w:bottom w:val="single" w:color="000000" w:sz="4" w:space="0"/>
              <w:right w:val="single" w:color="000000" w:sz="4" w:space="0"/>
            </w:tcBorders>
            <w:vAlign w:val="center"/>
          </w:tcPr>
          <w:p w14:paraId="1EBFDA8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center"/>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0771-8556667</w:t>
            </w:r>
          </w:p>
        </w:tc>
      </w:tr>
    </w:tbl>
    <w:p w14:paraId="04BA0C58">
      <w:pPr>
        <w:widowControl w:val="0"/>
        <w:kinsoku/>
        <w:autoSpaceDE/>
        <w:autoSpaceDN/>
        <w:adjustRightInd/>
        <w:snapToGrid/>
        <w:spacing w:line="240" w:lineRule="auto"/>
        <w:jc w:val="both"/>
        <w:textAlignment w:val="auto"/>
        <w:rPr>
          <w:rFonts w:hint="eastAsia" w:ascii="仿宋" w:hAnsi="仿宋" w:eastAsia="仿宋" w:cs="仿宋"/>
          <w:snapToGrid/>
          <w:color w:val="auto"/>
          <w:kern w:val="0"/>
          <w:sz w:val="20"/>
          <w:szCs w:val="21"/>
          <w:highlight w:val="none"/>
          <w:lang w:val="en-US" w:eastAsia="zh-CN" w:bidi="ar-SA"/>
        </w:rPr>
      </w:pPr>
      <w:r>
        <w:rPr>
          <w:rFonts w:hint="eastAsia" w:ascii="仿宋" w:hAnsi="仿宋" w:eastAsia="仿宋" w:cs="仿宋"/>
          <w:b/>
          <w:snapToGrid/>
          <w:color w:val="auto"/>
          <w:kern w:val="2"/>
          <w:sz w:val="24"/>
          <w:szCs w:val="24"/>
          <w:highlight w:val="none"/>
          <w:lang w:eastAsia="zh-CN"/>
        </w:rPr>
        <w:br w:type="page"/>
      </w:r>
      <w:r>
        <w:rPr>
          <w:rFonts w:hint="eastAsia" w:ascii="仿宋" w:hAnsi="仿宋" w:eastAsia="仿宋" w:cs="仿宋"/>
          <w:bCs/>
          <w:snapToGrid/>
          <w:color w:val="auto"/>
          <w:kern w:val="0"/>
          <w:sz w:val="32"/>
          <w:szCs w:val="32"/>
          <w:highlight w:val="none"/>
          <w:lang w:val="en-US" w:eastAsia="zh-CN" w:bidi="ar-SA"/>
        </w:rPr>
        <w:t>附件1：</w:t>
      </w:r>
    </w:p>
    <w:p w14:paraId="4CCA42CB">
      <w:pPr>
        <w:widowControl/>
        <w:shd w:val="clear" w:color="auto" w:fill="FFFFFF"/>
        <w:kinsoku/>
        <w:autoSpaceDE/>
        <w:autoSpaceDN/>
        <w:adjustRightInd/>
        <w:snapToGrid/>
        <w:spacing w:line="480" w:lineRule="atLeast"/>
        <w:jc w:val="center"/>
        <w:textAlignment w:val="auto"/>
        <w:rPr>
          <w:rFonts w:hint="eastAsia" w:ascii="仿宋" w:hAnsi="仿宋" w:eastAsia="仿宋" w:cs="仿宋"/>
          <w:snapToGrid/>
          <w:color w:val="auto"/>
          <w:kern w:val="0"/>
          <w:sz w:val="32"/>
          <w:szCs w:val="32"/>
          <w:highlight w:val="none"/>
          <w:lang w:eastAsia="zh-CN"/>
        </w:rPr>
      </w:pPr>
      <w:bookmarkStart w:id="47" w:name="_Toc25042"/>
      <w:r>
        <w:rPr>
          <w:rFonts w:hint="eastAsia" w:ascii="仿宋" w:hAnsi="仿宋" w:eastAsia="仿宋" w:cs="仿宋"/>
          <w:b/>
          <w:bCs/>
          <w:snapToGrid/>
          <w:color w:val="auto"/>
          <w:kern w:val="0"/>
          <w:sz w:val="32"/>
          <w:szCs w:val="32"/>
          <w:highlight w:val="none"/>
          <w:lang w:eastAsia="zh-CN"/>
        </w:rPr>
        <w:t>广西壮族自治区政府采购项目合同验收书（格式）</w:t>
      </w:r>
      <w:bookmarkEnd w:id="47"/>
    </w:p>
    <w:p w14:paraId="5D21B780">
      <w:pPr>
        <w:widowControl w:val="0"/>
        <w:kinsoku/>
        <w:autoSpaceDE/>
        <w:autoSpaceDN/>
        <w:adjustRightInd/>
        <w:snapToGrid/>
        <w:spacing w:line="240" w:lineRule="auto"/>
        <w:jc w:val="center"/>
        <w:textAlignment w:val="auto"/>
        <w:rPr>
          <w:rFonts w:hint="eastAsia" w:ascii="仿宋" w:hAnsi="仿宋" w:eastAsia="仿宋" w:cs="仿宋"/>
          <w:snapToGrid/>
          <w:color w:val="auto"/>
          <w:kern w:val="0"/>
          <w:sz w:val="32"/>
          <w:szCs w:val="32"/>
          <w:highlight w:val="none"/>
          <w:lang w:eastAsia="zh-CN"/>
        </w:rPr>
      </w:pPr>
      <w:r>
        <w:rPr>
          <w:rFonts w:hint="eastAsia" w:ascii="仿宋" w:hAnsi="仿宋" w:eastAsia="仿宋" w:cs="仿宋"/>
          <w:snapToGrid/>
          <w:color w:val="auto"/>
          <w:kern w:val="2"/>
          <w:sz w:val="18"/>
          <w:szCs w:val="18"/>
          <w:highlight w:val="none"/>
          <w:lang w:eastAsia="zh-CN"/>
        </w:rPr>
        <w:t>（本项目如</w:t>
      </w:r>
      <w:r>
        <w:rPr>
          <w:rFonts w:hint="eastAsia" w:ascii="仿宋" w:hAnsi="仿宋" w:eastAsia="仿宋" w:cs="仿宋"/>
          <w:snapToGrid/>
          <w:color w:val="auto"/>
          <w:kern w:val="2"/>
          <w:sz w:val="18"/>
          <w:szCs w:val="18"/>
          <w:highlight w:val="none"/>
          <w:lang w:val="en-US" w:eastAsia="zh-CN"/>
        </w:rPr>
        <w:t>需</w:t>
      </w:r>
      <w:r>
        <w:rPr>
          <w:rFonts w:hint="eastAsia" w:ascii="仿宋" w:hAnsi="仿宋" w:eastAsia="仿宋" w:cs="仿宋"/>
          <w:snapToGrid/>
          <w:color w:val="auto"/>
          <w:kern w:val="2"/>
          <w:sz w:val="18"/>
          <w:szCs w:val="18"/>
          <w:highlight w:val="none"/>
          <w:lang w:eastAsia="zh-CN"/>
        </w:rPr>
        <w:t>，可以参考使用）</w:t>
      </w:r>
    </w:p>
    <w:p w14:paraId="00FE9ABA">
      <w:pPr>
        <w:widowControl/>
        <w:shd w:val="clear" w:color="auto" w:fill="FFFFFF"/>
        <w:kinsoku/>
        <w:autoSpaceDE/>
        <w:autoSpaceDN/>
        <w:adjustRightInd/>
        <w:snapToGrid w:val="0"/>
        <w:spacing w:line="320" w:lineRule="atLeast"/>
        <w:ind w:firstLine="48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根据政府采购项目（</w:t>
      </w:r>
      <w:r>
        <w:rPr>
          <w:rFonts w:hint="eastAsia" w:ascii="仿宋" w:hAnsi="仿宋" w:eastAsia="仿宋" w:cs="仿宋"/>
          <w:snapToGrid/>
          <w:color w:val="auto"/>
          <w:kern w:val="0"/>
          <w:szCs w:val="21"/>
          <w:highlight w:val="none"/>
          <w:u w:val="single"/>
          <w:lang w:eastAsia="zh-CN"/>
        </w:rPr>
        <w:t>采购合同编号：</w:t>
      </w:r>
      <w:r>
        <w:rPr>
          <w:rFonts w:hint="eastAsia" w:ascii="仿宋" w:hAnsi="仿宋" w:eastAsia="仿宋" w:cs="仿宋"/>
          <w:snapToGrid/>
          <w:color w:val="auto"/>
          <w:kern w:val="0"/>
          <w:szCs w:val="21"/>
          <w:highlight w:val="none"/>
          <w:u w:val="single"/>
          <w:lang w:eastAsia="zh-CN"/>
        </w:rPr>
        <w:softHyphen/>
      </w:r>
      <w:r>
        <w:rPr>
          <w:rFonts w:hint="eastAsia" w:ascii="仿宋" w:hAnsi="仿宋" w:eastAsia="仿宋" w:cs="仿宋"/>
          <w:snapToGrid/>
          <w:color w:val="auto"/>
          <w:kern w:val="0"/>
          <w:szCs w:val="21"/>
          <w:highlight w:val="none"/>
          <w:u w:val="single"/>
          <w:lang w:eastAsia="zh-CN"/>
        </w:rPr>
        <w:t xml:space="preserve"> </w:t>
      </w:r>
      <w:r>
        <w:rPr>
          <w:rFonts w:hint="eastAsia" w:ascii="仿宋" w:hAnsi="仿宋" w:eastAsia="仿宋" w:cs="仿宋"/>
          <w:snapToGrid/>
          <w:color w:val="auto"/>
          <w:kern w:val="0"/>
          <w:szCs w:val="21"/>
          <w:highlight w:val="none"/>
          <w:lang w:eastAsia="zh-CN"/>
        </w:rPr>
        <w:t>）的约定，我单位对（</w:t>
      </w:r>
      <w:r>
        <w:rPr>
          <w:rFonts w:hint="eastAsia" w:ascii="仿宋" w:hAnsi="仿宋" w:eastAsia="仿宋" w:cs="仿宋"/>
          <w:snapToGrid/>
          <w:color w:val="auto"/>
          <w:kern w:val="0"/>
          <w:szCs w:val="21"/>
          <w:highlight w:val="none"/>
          <w:u w:val="single"/>
          <w:lang w:eastAsia="zh-CN"/>
        </w:rPr>
        <w:t xml:space="preserve"> 项目名称 </w:t>
      </w:r>
      <w:r>
        <w:rPr>
          <w:rFonts w:hint="eastAsia" w:ascii="仿宋" w:hAnsi="仿宋" w:eastAsia="仿宋" w:cs="仿宋"/>
          <w:snapToGrid/>
          <w:color w:val="auto"/>
          <w:kern w:val="0"/>
          <w:szCs w:val="21"/>
          <w:highlight w:val="none"/>
          <w:lang w:eastAsia="zh-CN"/>
        </w:rPr>
        <w:t>） 政府采购项目中标人（</w:t>
      </w:r>
      <w:r>
        <w:rPr>
          <w:rFonts w:hint="eastAsia" w:ascii="仿宋" w:hAnsi="仿宋" w:eastAsia="仿宋" w:cs="仿宋"/>
          <w:snapToGrid/>
          <w:color w:val="auto"/>
          <w:kern w:val="0"/>
          <w:szCs w:val="21"/>
          <w:highlight w:val="none"/>
          <w:u w:val="single"/>
          <w:lang w:eastAsia="zh-CN"/>
        </w:rPr>
        <w:t xml:space="preserve"> 公司名称 </w:t>
      </w:r>
      <w:r>
        <w:rPr>
          <w:rFonts w:hint="eastAsia" w:ascii="仿宋" w:hAnsi="仿宋" w:eastAsia="仿宋" w:cs="仿宋"/>
          <w:snapToGrid/>
          <w:color w:val="auto"/>
          <w:kern w:val="0"/>
          <w:szCs w:val="21"/>
          <w:highlight w:val="none"/>
          <w:lang w:eastAsia="zh-CN"/>
        </w:rPr>
        <w:t>） 提供的货物（或者工程、服务）进行了验收，验收情况如下：</w:t>
      </w:r>
    </w:p>
    <w:tbl>
      <w:tblPr>
        <w:tblStyle w:val="2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671DBE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472BE60B">
            <w:pPr>
              <w:widowControl/>
              <w:kinsoku/>
              <w:autoSpaceDE/>
              <w:autoSpaceDN/>
              <w:adjustRightInd/>
              <w:snapToGrid w:val="0"/>
              <w:spacing w:before="100" w:beforeAutospacing="1" w:after="100" w:afterAutospacing="1" w:line="320" w:lineRule="atLeast"/>
              <w:ind w:firstLine="5"/>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5FDD654E">
            <w:pPr>
              <w:widowControl/>
              <w:kinsoku/>
              <w:autoSpaceDE/>
              <w:autoSpaceDN/>
              <w:adjustRightInd/>
              <w:snapToGrid w:val="0"/>
              <w:spacing w:before="100" w:beforeAutospacing="1" w:after="100" w:afterAutospacing="1" w:line="320" w:lineRule="atLeast"/>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□自行验收 □委托验收</w:t>
            </w:r>
          </w:p>
        </w:tc>
      </w:tr>
      <w:tr w14:paraId="4A9B97ED">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3D751DEB">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序号</w:t>
            </w:r>
          </w:p>
        </w:tc>
        <w:tc>
          <w:tcPr>
            <w:tcW w:w="2448" w:type="dxa"/>
            <w:gridSpan w:val="2"/>
            <w:tcBorders>
              <w:top w:val="nil"/>
              <w:left w:val="nil"/>
              <w:bottom w:val="single" w:color="auto" w:sz="8" w:space="0"/>
              <w:right w:val="single" w:color="auto" w:sz="8" w:space="0"/>
            </w:tcBorders>
            <w:noWrap w:val="0"/>
            <w:vAlign w:val="center"/>
          </w:tcPr>
          <w:p w14:paraId="1266AB6F">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名称</w:t>
            </w:r>
          </w:p>
        </w:tc>
        <w:tc>
          <w:tcPr>
            <w:tcW w:w="2902" w:type="dxa"/>
            <w:gridSpan w:val="3"/>
            <w:tcBorders>
              <w:top w:val="nil"/>
              <w:left w:val="nil"/>
              <w:bottom w:val="single" w:color="auto" w:sz="8" w:space="0"/>
              <w:right w:val="single" w:color="auto" w:sz="8" w:space="0"/>
            </w:tcBorders>
            <w:noWrap w:val="0"/>
            <w:vAlign w:val="center"/>
          </w:tcPr>
          <w:p w14:paraId="7F3B8C6B">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12219F5">
            <w:pPr>
              <w:widowControl/>
              <w:kinsoku/>
              <w:autoSpaceDE/>
              <w:autoSpaceDN/>
              <w:adjustRightInd/>
              <w:snapToGrid w:val="0"/>
              <w:spacing w:before="100" w:beforeAutospacing="1" w:after="100" w:afterAutospacing="1" w:line="320" w:lineRule="atLeast"/>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数量</w:t>
            </w:r>
          </w:p>
        </w:tc>
        <w:tc>
          <w:tcPr>
            <w:tcW w:w="1428" w:type="dxa"/>
            <w:tcBorders>
              <w:top w:val="nil"/>
              <w:left w:val="nil"/>
              <w:bottom w:val="single" w:color="auto" w:sz="8" w:space="0"/>
              <w:right w:val="single" w:color="auto" w:sz="8" w:space="0"/>
            </w:tcBorders>
            <w:noWrap w:val="0"/>
            <w:vAlign w:val="center"/>
          </w:tcPr>
          <w:p w14:paraId="50A51E16">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金额</w:t>
            </w:r>
          </w:p>
        </w:tc>
      </w:tr>
      <w:tr w14:paraId="048D1FC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8001B31">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448" w:type="dxa"/>
            <w:gridSpan w:val="2"/>
            <w:tcBorders>
              <w:top w:val="nil"/>
              <w:left w:val="nil"/>
              <w:bottom w:val="single" w:color="auto" w:sz="8" w:space="0"/>
              <w:right w:val="single" w:color="auto" w:sz="8" w:space="0"/>
            </w:tcBorders>
            <w:noWrap w:val="0"/>
            <w:vAlign w:val="center"/>
          </w:tcPr>
          <w:p w14:paraId="6FE9E544">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902" w:type="dxa"/>
            <w:gridSpan w:val="3"/>
            <w:tcBorders>
              <w:top w:val="nil"/>
              <w:left w:val="nil"/>
              <w:bottom w:val="single" w:color="auto" w:sz="8" w:space="0"/>
              <w:right w:val="single" w:color="auto" w:sz="8" w:space="0"/>
            </w:tcBorders>
            <w:noWrap w:val="0"/>
            <w:vAlign w:val="center"/>
          </w:tcPr>
          <w:p w14:paraId="20D752D5">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863" w:type="dxa"/>
            <w:gridSpan w:val="2"/>
            <w:tcBorders>
              <w:top w:val="nil"/>
              <w:left w:val="nil"/>
              <w:bottom w:val="single" w:color="auto" w:sz="8" w:space="0"/>
              <w:right w:val="single" w:color="auto" w:sz="8" w:space="0"/>
            </w:tcBorders>
            <w:noWrap w:val="0"/>
            <w:vAlign w:val="center"/>
          </w:tcPr>
          <w:p w14:paraId="40503CCE">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1428" w:type="dxa"/>
            <w:tcBorders>
              <w:top w:val="nil"/>
              <w:left w:val="nil"/>
              <w:bottom w:val="single" w:color="auto" w:sz="8" w:space="0"/>
              <w:right w:val="single" w:color="auto" w:sz="8" w:space="0"/>
            </w:tcBorders>
            <w:noWrap w:val="0"/>
            <w:vAlign w:val="center"/>
          </w:tcPr>
          <w:p w14:paraId="09D11E8B">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278FBB2B">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03E79CA1">
            <w:pPr>
              <w:widowControl/>
              <w:kinsoku/>
              <w:autoSpaceDE/>
              <w:autoSpaceDN/>
              <w:adjustRightInd/>
              <w:snapToGrid w:val="0"/>
              <w:spacing w:before="100" w:beforeAutospacing="1" w:after="100" w:afterAutospacing="1" w:line="320" w:lineRule="atLeast"/>
              <w:ind w:firstLine="5"/>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 计</w:t>
            </w:r>
          </w:p>
        </w:tc>
        <w:tc>
          <w:tcPr>
            <w:tcW w:w="863" w:type="dxa"/>
            <w:gridSpan w:val="2"/>
            <w:tcBorders>
              <w:top w:val="nil"/>
              <w:left w:val="nil"/>
              <w:bottom w:val="single" w:color="auto" w:sz="8" w:space="0"/>
              <w:right w:val="single" w:color="auto" w:sz="8" w:space="0"/>
            </w:tcBorders>
            <w:noWrap w:val="0"/>
            <w:vAlign w:val="center"/>
          </w:tcPr>
          <w:p w14:paraId="56DCA79C">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1428" w:type="dxa"/>
            <w:tcBorders>
              <w:top w:val="nil"/>
              <w:left w:val="nil"/>
              <w:bottom w:val="single" w:color="auto" w:sz="8" w:space="0"/>
              <w:right w:val="single" w:color="auto" w:sz="8" w:space="0"/>
            </w:tcBorders>
            <w:noWrap w:val="0"/>
            <w:vAlign w:val="center"/>
          </w:tcPr>
          <w:p w14:paraId="02D9F582">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2670C07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78630D6D">
            <w:pPr>
              <w:widowControl/>
              <w:kinsoku/>
              <w:autoSpaceDE/>
              <w:autoSpaceDN/>
              <w:adjustRightInd/>
              <w:snapToGrid w:val="0"/>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合计大写金额：  仟  佰  拾  万  仟  佰  拾  元</w:t>
            </w:r>
          </w:p>
        </w:tc>
      </w:tr>
      <w:tr w14:paraId="36A01368">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25E39FEC">
            <w:pPr>
              <w:widowControl/>
              <w:kinsoku/>
              <w:autoSpaceDE/>
              <w:autoSpaceDN/>
              <w:adjustRightInd/>
              <w:snapToGrid w:val="0"/>
              <w:spacing w:before="100" w:beforeAutospacing="1" w:after="100" w:afterAutospacing="1" w:line="320" w:lineRule="atLeast"/>
              <w:ind w:firstLine="2"/>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实际供货日期</w:t>
            </w:r>
          </w:p>
        </w:tc>
        <w:tc>
          <w:tcPr>
            <w:tcW w:w="2421" w:type="dxa"/>
            <w:gridSpan w:val="2"/>
            <w:tcBorders>
              <w:top w:val="nil"/>
              <w:left w:val="nil"/>
              <w:bottom w:val="single" w:color="auto" w:sz="8" w:space="0"/>
              <w:right w:val="single" w:color="auto" w:sz="8" w:space="0"/>
            </w:tcBorders>
            <w:noWrap w:val="0"/>
            <w:vAlign w:val="center"/>
          </w:tcPr>
          <w:p w14:paraId="2CA7DF56">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282" w:type="dxa"/>
            <w:gridSpan w:val="3"/>
            <w:tcBorders>
              <w:top w:val="nil"/>
              <w:left w:val="nil"/>
              <w:bottom w:val="single" w:color="auto" w:sz="8" w:space="0"/>
              <w:right w:val="single" w:color="auto" w:sz="8" w:space="0"/>
            </w:tcBorders>
            <w:noWrap w:val="0"/>
            <w:vAlign w:val="center"/>
          </w:tcPr>
          <w:p w14:paraId="754DCC7B">
            <w:pPr>
              <w:widowControl/>
              <w:kinsoku/>
              <w:autoSpaceDE/>
              <w:autoSpaceDN/>
              <w:adjustRightInd/>
              <w:snapToGrid w:val="0"/>
              <w:spacing w:before="100" w:beforeAutospacing="1" w:after="100" w:afterAutospacing="1" w:line="320" w:lineRule="atLeast"/>
              <w:ind w:firstLine="46"/>
              <w:jc w:val="center"/>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合同交货验收日期</w:t>
            </w:r>
          </w:p>
        </w:tc>
        <w:tc>
          <w:tcPr>
            <w:tcW w:w="2113" w:type="dxa"/>
            <w:gridSpan w:val="2"/>
            <w:tcBorders>
              <w:top w:val="nil"/>
              <w:left w:val="nil"/>
              <w:bottom w:val="single" w:color="auto" w:sz="8" w:space="0"/>
              <w:right w:val="single" w:color="auto" w:sz="8" w:space="0"/>
            </w:tcBorders>
            <w:noWrap w:val="0"/>
            <w:vAlign w:val="center"/>
          </w:tcPr>
          <w:p w14:paraId="23105292">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6ABD339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6066F99">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421" w:type="dxa"/>
            <w:gridSpan w:val="2"/>
            <w:tcBorders>
              <w:top w:val="nil"/>
              <w:left w:val="nil"/>
              <w:bottom w:val="single" w:color="auto" w:sz="8" w:space="0"/>
              <w:right w:val="single" w:color="auto" w:sz="8" w:space="0"/>
            </w:tcBorders>
            <w:noWrap w:val="0"/>
            <w:vAlign w:val="center"/>
          </w:tcPr>
          <w:p w14:paraId="0116E03D">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282" w:type="dxa"/>
            <w:gridSpan w:val="3"/>
            <w:tcBorders>
              <w:top w:val="nil"/>
              <w:left w:val="nil"/>
              <w:bottom w:val="single" w:color="auto" w:sz="8" w:space="0"/>
              <w:right w:val="single" w:color="auto" w:sz="8" w:space="0"/>
            </w:tcBorders>
            <w:noWrap w:val="0"/>
            <w:vAlign w:val="center"/>
          </w:tcPr>
          <w:p w14:paraId="2CF6A76E">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c>
          <w:tcPr>
            <w:tcW w:w="2113" w:type="dxa"/>
            <w:gridSpan w:val="2"/>
            <w:tcBorders>
              <w:top w:val="nil"/>
              <w:left w:val="nil"/>
              <w:bottom w:val="single" w:color="auto" w:sz="8" w:space="0"/>
              <w:right w:val="single" w:color="auto" w:sz="8" w:space="0"/>
            </w:tcBorders>
            <w:noWrap w:val="0"/>
            <w:vAlign w:val="center"/>
          </w:tcPr>
          <w:p w14:paraId="7D79E0DF">
            <w:pPr>
              <w:widowControl/>
              <w:kinsoku/>
              <w:autoSpaceDE/>
              <w:autoSpaceDN/>
              <w:adjustRightInd/>
              <w:snapToGrid/>
              <w:spacing w:before="100" w:beforeAutospacing="1" w:after="100" w:afterAutospacing="1" w:line="240" w:lineRule="atLeast"/>
              <w:jc w:val="center"/>
              <w:textAlignment w:val="auto"/>
              <w:rPr>
                <w:rFonts w:hint="eastAsia" w:ascii="仿宋" w:hAnsi="仿宋" w:eastAsia="仿宋" w:cs="仿宋"/>
                <w:snapToGrid/>
                <w:color w:val="auto"/>
                <w:kern w:val="0"/>
                <w:szCs w:val="21"/>
                <w:highlight w:val="none"/>
                <w:lang w:eastAsia="zh-CN"/>
              </w:rPr>
            </w:pPr>
          </w:p>
        </w:tc>
      </w:tr>
      <w:tr w14:paraId="7DF9E58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9A42E8">
            <w:pPr>
              <w:widowControl/>
              <w:kinsoku/>
              <w:autoSpaceDE/>
              <w:autoSpaceDN/>
              <w:adjustRightInd/>
              <w:snapToGrid w:val="0"/>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17D962">
            <w:pPr>
              <w:widowControl/>
              <w:kinsoku/>
              <w:autoSpaceDE/>
              <w:autoSpaceDN/>
              <w:adjustRightInd/>
              <w:snapToGrid w:val="0"/>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应按采购合同、谈判文件、竞标响应文件及验收方案等进行验收；并核对中标人在安装调试等方面是否违反合同约定或者服务规范要求、提供的质量保证证明材料是否齐全、应有的配件及附件是否达到合同约定等。可附件)</w:t>
            </w:r>
          </w:p>
        </w:tc>
      </w:tr>
      <w:tr w14:paraId="5520A0B9">
        <w:tblPrEx>
          <w:tblCellMar>
            <w:top w:w="0" w:type="dxa"/>
            <w:left w:w="0" w:type="dxa"/>
            <w:bottom w:w="0" w:type="dxa"/>
            <w:right w:w="0" w:type="dxa"/>
          </w:tblCellMar>
        </w:tblPrEx>
        <w:trPr>
          <w:trHeight w:val="870"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257C62">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验收小组意见</w:t>
            </w:r>
          </w:p>
        </w:tc>
        <w:tc>
          <w:tcPr>
            <w:tcW w:w="6816" w:type="dxa"/>
            <w:gridSpan w:val="7"/>
            <w:tcBorders>
              <w:top w:val="nil"/>
              <w:left w:val="nil"/>
              <w:bottom w:val="single" w:color="auto" w:sz="8" w:space="0"/>
              <w:right w:val="single" w:color="auto" w:sz="8" w:space="0"/>
            </w:tcBorders>
            <w:noWrap w:val="0"/>
            <w:vAlign w:val="center"/>
          </w:tcPr>
          <w:p w14:paraId="53DF2635">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验收结论性意见：</w:t>
            </w:r>
          </w:p>
        </w:tc>
      </w:tr>
      <w:tr w14:paraId="262F09E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384B79A">
            <w:pPr>
              <w:widowControl/>
              <w:kinsoku/>
              <w:autoSpaceDE/>
              <w:autoSpaceDN/>
              <w:adjustRightInd/>
              <w:snapToGrid/>
              <w:spacing w:line="240" w:lineRule="auto"/>
              <w:jc w:val="left"/>
              <w:textAlignment w:val="auto"/>
              <w:rPr>
                <w:rFonts w:hint="eastAsia" w:ascii="仿宋" w:hAnsi="仿宋" w:eastAsia="仿宋" w:cs="仿宋"/>
                <w:snapToGrid/>
                <w:color w:val="auto"/>
                <w:kern w:val="0"/>
                <w:szCs w:val="21"/>
                <w:highlight w:val="none"/>
                <w:lang w:eastAsia="zh-CN"/>
              </w:rPr>
            </w:pPr>
          </w:p>
        </w:tc>
        <w:tc>
          <w:tcPr>
            <w:tcW w:w="6816" w:type="dxa"/>
            <w:gridSpan w:val="7"/>
            <w:tcBorders>
              <w:top w:val="nil"/>
              <w:left w:val="nil"/>
              <w:bottom w:val="single" w:color="auto" w:sz="8" w:space="0"/>
              <w:right w:val="single" w:color="auto" w:sz="8" w:space="0"/>
            </w:tcBorders>
            <w:noWrap w:val="0"/>
            <w:vAlign w:val="center"/>
          </w:tcPr>
          <w:p w14:paraId="2608D31E">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有异议的意见和说明理由：</w:t>
            </w:r>
          </w:p>
          <w:p w14:paraId="269FB3D5">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签字：</w:t>
            </w:r>
          </w:p>
        </w:tc>
      </w:tr>
      <w:tr w14:paraId="6A43BC3E">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9DAC7F">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验收小组成员签字：</w:t>
            </w:r>
          </w:p>
        </w:tc>
      </w:tr>
      <w:tr w14:paraId="5331377A">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C7F76E">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监督人员或者其他相关人员签字：</w:t>
            </w:r>
          </w:p>
          <w:p w14:paraId="0E6061DA">
            <w:pPr>
              <w:widowControl/>
              <w:kinsoku/>
              <w:autoSpaceDE/>
              <w:autoSpaceDN/>
              <w:adjustRightInd/>
              <w:snapToGrid/>
              <w:spacing w:before="100" w:beforeAutospacing="1" w:after="100" w:afterAutospacing="1" w:line="320" w:lineRule="atLeast"/>
              <w:ind w:firstLine="74"/>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或者受邀机构的意见（盖章）：</w:t>
            </w:r>
          </w:p>
        </w:tc>
      </w:tr>
      <w:tr w14:paraId="463CDEC4">
        <w:tblPrEx>
          <w:tblCellMar>
            <w:top w:w="0" w:type="dxa"/>
            <w:left w:w="0" w:type="dxa"/>
            <w:bottom w:w="0" w:type="dxa"/>
            <w:right w:w="0" w:type="dxa"/>
          </w:tblCellMar>
        </w:tblPrEx>
        <w:trPr>
          <w:trHeight w:val="264"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0C261334">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中标人负责人签字或者盖章：</w:t>
            </w:r>
          </w:p>
          <w:p w14:paraId="0BD2E535">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p>
          <w:p w14:paraId="6B19F395">
            <w:pPr>
              <w:widowControl/>
              <w:kinsoku/>
              <w:autoSpaceDE/>
              <w:autoSpaceDN/>
              <w:adjustRightInd/>
              <w:snapToGrid/>
              <w:spacing w:before="100" w:beforeAutospacing="1" w:after="100" w:afterAutospacing="1" w:line="320" w:lineRule="atLeast"/>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联系电话：                年  月  日</w:t>
            </w:r>
          </w:p>
        </w:tc>
        <w:tc>
          <w:tcPr>
            <w:tcW w:w="4293" w:type="dxa"/>
            <w:gridSpan w:val="4"/>
            <w:tcBorders>
              <w:top w:val="nil"/>
              <w:left w:val="nil"/>
              <w:bottom w:val="single" w:color="auto" w:sz="8" w:space="0"/>
              <w:right w:val="single" w:color="auto" w:sz="8" w:space="0"/>
            </w:tcBorders>
            <w:noWrap w:val="0"/>
            <w:vAlign w:val="center"/>
          </w:tcPr>
          <w:p w14:paraId="16A2FFC8">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采购人或者受托机构的意见（盖章）：</w:t>
            </w:r>
          </w:p>
          <w:p w14:paraId="330DD8B7">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p>
          <w:p w14:paraId="1F999FD7">
            <w:pPr>
              <w:widowControl/>
              <w:kinsoku/>
              <w:autoSpaceDE/>
              <w:autoSpaceDN/>
              <w:adjustRightInd/>
              <w:snapToGrid/>
              <w:spacing w:before="100" w:beforeAutospacing="1" w:after="100" w:afterAutospacing="1" w:line="320" w:lineRule="atLeast"/>
              <w:ind w:firstLine="210" w:firstLineChars="100"/>
              <w:jc w:val="left"/>
              <w:textAlignment w:val="auto"/>
              <w:rPr>
                <w:rFonts w:hint="eastAsia" w:ascii="仿宋" w:hAnsi="仿宋" w:eastAsia="仿宋" w:cs="仿宋"/>
                <w:snapToGrid/>
                <w:color w:val="auto"/>
                <w:kern w:val="0"/>
                <w:szCs w:val="21"/>
                <w:highlight w:val="none"/>
                <w:lang w:eastAsia="zh-CN"/>
              </w:rPr>
            </w:pPr>
            <w:r>
              <w:rPr>
                <w:rFonts w:hint="eastAsia" w:ascii="仿宋" w:hAnsi="仿宋" w:eastAsia="仿宋" w:cs="仿宋"/>
                <w:snapToGrid/>
                <w:color w:val="auto"/>
                <w:kern w:val="0"/>
                <w:szCs w:val="21"/>
                <w:highlight w:val="none"/>
                <w:lang w:eastAsia="zh-CN"/>
              </w:rPr>
              <w:t>联系电话：                  年  月  日</w:t>
            </w:r>
          </w:p>
        </w:tc>
      </w:tr>
    </w:tbl>
    <w:p w14:paraId="3C3B41BE">
      <w:pPr>
        <w:widowControl w:val="0"/>
        <w:kinsoku/>
        <w:autoSpaceDE/>
        <w:autoSpaceDN/>
        <w:adjustRightInd/>
        <w:snapToGrid w:val="0"/>
        <w:spacing w:line="240" w:lineRule="auto"/>
        <w:ind w:left="3360" w:hanging="420"/>
        <w:jc w:val="both"/>
        <w:textAlignment w:val="auto"/>
        <w:rPr>
          <w:rFonts w:hint="eastAsia" w:ascii="仿宋" w:hAnsi="仿宋" w:eastAsia="仿宋" w:cs="仿宋"/>
          <w:snapToGrid/>
          <w:color w:val="auto"/>
          <w:kern w:val="0"/>
          <w:sz w:val="20"/>
          <w:szCs w:val="21"/>
          <w:highlight w:val="none"/>
          <w:lang w:val="en-US" w:eastAsia="zh-CN" w:bidi="ar-SA"/>
        </w:rPr>
        <w:sectPr>
          <w:footerReference r:id="rId6" w:type="default"/>
          <w:pgSz w:w="11910" w:h="16830"/>
          <w:pgMar w:top="1430" w:right="1064" w:bottom="1101" w:left="1110" w:header="0" w:footer="957" w:gutter="0"/>
          <w:pgNumType w:fmt="decimal"/>
          <w:cols w:space="720" w:num="1"/>
        </w:sectPr>
      </w:pPr>
    </w:p>
    <w:p w14:paraId="513464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715" w:firstLineChars="200"/>
        <w:jc w:val="center"/>
        <w:textAlignment w:val="baseline"/>
        <w:outlineLvl w:val="0"/>
        <w:rPr>
          <w:rFonts w:hint="eastAsia" w:ascii="仿宋" w:hAnsi="仿宋" w:eastAsia="仿宋" w:cs="仿宋"/>
          <w:color w:val="auto"/>
          <w:sz w:val="32"/>
          <w:szCs w:val="32"/>
          <w:highlight w:val="none"/>
        </w:rPr>
      </w:pPr>
      <w:bookmarkStart w:id="48" w:name="_Toc10577"/>
      <w:r>
        <w:rPr>
          <w:rFonts w:hint="eastAsia" w:ascii="仿宋" w:hAnsi="仿宋" w:eastAsia="仿宋" w:cs="仿宋"/>
          <w:b/>
          <w:bCs/>
          <w:color w:val="auto"/>
          <w:spacing w:val="18"/>
          <w:sz w:val="32"/>
          <w:szCs w:val="32"/>
          <w:highlight w:val="none"/>
        </w:rPr>
        <w:t>第</w:t>
      </w:r>
      <w:r>
        <w:rPr>
          <w:rFonts w:hint="eastAsia" w:ascii="仿宋" w:hAnsi="仿宋" w:eastAsia="仿宋" w:cs="仿宋"/>
          <w:b/>
          <w:bCs/>
          <w:color w:val="auto"/>
          <w:spacing w:val="18"/>
          <w:sz w:val="32"/>
          <w:szCs w:val="32"/>
          <w:highlight w:val="none"/>
          <w:lang w:val="en-US" w:eastAsia="zh-CN"/>
        </w:rPr>
        <w:t>三</w:t>
      </w:r>
      <w:r>
        <w:rPr>
          <w:rFonts w:hint="eastAsia" w:ascii="仿宋" w:hAnsi="仿宋" w:eastAsia="仿宋" w:cs="仿宋"/>
          <w:b/>
          <w:bCs/>
          <w:color w:val="auto"/>
          <w:spacing w:val="18"/>
          <w:sz w:val="32"/>
          <w:szCs w:val="32"/>
          <w:highlight w:val="none"/>
        </w:rPr>
        <w:t>章采购需求</w:t>
      </w:r>
      <w:bookmarkEnd w:id="48"/>
    </w:p>
    <w:p w14:paraId="2A5FAEA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说明：</w:t>
      </w:r>
    </w:p>
    <w:p w14:paraId="5A24420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1.为落实政府采购政策需满足的要求：</w:t>
      </w:r>
    </w:p>
    <w:p w14:paraId="765BAA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(1)本竞争性磋商文件所称中小企业必须符合</w:t>
      </w:r>
      <w:r>
        <w:rPr>
          <w:rFonts w:hint="eastAsia" w:ascii="仿宋" w:hAnsi="仿宋" w:eastAsia="仿宋" w:cs="仿宋"/>
          <w:color w:val="auto"/>
          <w:spacing w:val="-1"/>
          <w:sz w:val="21"/>
          <w:szCs w:val="21"/>
          <w:highlight w:val="none"/>
        </w:rPr>
        <w:t>《政府采购促进中小企业发展管理办法》(财库〔2020〕</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7"/>
          <w:sz w:val="21"/>
          <w:szCs w:val="21"/>
          <w:highlight w:val="none"/>
        </w:rPr>
        <w:t>46号)的规定。</w:t>
      </w:r>
    </w:p>
    <w:p w14:paraId="6A21767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(2)服务项目中包含货物的，根据《财政部发展改革委生态环境部市场监管总局关于调整优化节</w:t>
      </w:r>
      <w:r>
        <w:rPr>
          <w:rFonts w:hint="eastAsia" w:ascii="仿宋" w:hAnsi="仿宋" w:eastAsia="仿宋" w:cs="仿宋"/>
          <w:color w:val="auto"/>
          <w:spacing w:val="6"/>
          <w:sz w:val="21"/>
          <w:szCs w:val="21"/>
          <w:highlight w:val="none"/>
        </w:rPr>
        <w:t>能产品、环境标志产品政府采购执行机制的通知》(财库〔201</w:t>
      </w:r>
      <w:r>
        <w:rPr>
          <w:rFonts w:hint="eastAsia" w:ascii="仿宋" w:hAnsi="仿宋" w:eastAsia="仿宋" w:cs="仿宋"/>
          <w:color w:val="auto"/>
          <w:spacing w:val="5"/>
          <w:sz w:val="21"/>
          <w:szCs w:val="21"/>
          <w:highlight w:val="none"/>
        </w:rPr>
        <w:t>9〕9号)和《关于印发节能产品政府采购</w:t>
      </w:r>
      <w:r>
        <w:rPr>
          <w:rFonts w:hint="eastAsia" w:ascii="仿宋" w:hAnsi="仿宋" w:eastAsia="仿宋" w:cs="仿宋"/>
          <w:color w:val="auto"/>
          <w:spacing w:val="4"/>
          <w:sz w:val="21"/>
          <w:szCs w:val="21"/>
          <w:highlight w:val="none"/>
        </w:rPr>
        <w:t>品目清单的通知》(财库〔2019〕19号)的规定，采购需求中的产品属于节能产品政府采购品目清单内标</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注“★”的，供应商必须在响应文件中提供所竞标产品有效期内的节能产品认证证书</w:t>
      </w:r>
      <w:r>
        <w:rPr>
          <w:rFonts w:hint="eastAsia" w:ascii="仿宋" w:hAnsi="仿宋" w:eastAsia="仿宋" w:cs="仿宋"/>
          <w:color w:val="auto"/>
          <w:spacing w:val="1"/>
          <w:sz w:val="21"/>
          <w:szCs w:val="21"/>
          <w:highlight w:val="none"/>
        </w:rPr>
        <w:t>复印件(加盖供应商</w:t>
      </w:r>
      <w:r>
        <w:rPr>
          <w:rFonts w:hint="eastAsia" w:ascii="仿宋" w:hAnsi="仿宋" w:eastAsia="仿宋" w:cs="仿宋"/>
          <w:color w:val="auto"/>
          <w:spacing w:val="5"/>
          <w:sz w:val="21"/>
          <w:szCs w:val="21"/>
          <w:highlight w:val="none"/>
        </w:rPr>
        <w:t>公章),否则响应文件按无效处理。如本项目</w:t>
      </w:r>
      <w:r>
        <w:rPr>
          <w:rFonts w:hint="eastAsia" w:ascii="仿宋" w:hAnsi="仿宋" w:eastAsia="仿宋" w:cs="仿宋"/>
          <w:color w:val="auto"/>
          <w:spacing w:val="4"/>
          <w:sz w:val="21"/>
          <w:szCs w:val="21"/>
          <w:highlight w:val="none"/>
        </w:rPr>
        <w:t>包含的配套货物属于品目清单内非标注“★”的产品时，应</w:t>
      </w:r>
      <w:r>
        <w:rPr>
          <w:rFonts w:hint="eastAsia" w:ascii="仿宋" w:hAnsi="仿宋" w:eastAsia="仿宋" w:cs="仿宋"/>
          <w:color w:val="auto"/>
          <w:spacing w:val="2"/>
          <w:sz w:val="21"/>
          <w:szCs w:val="21"/>
          <w:highlight w:val="none"/>
        </w:rPr>
        <w:t xml:space="preserve">优先采购，具体详见“第四章 </w:t>
      </w:r>
      <w:r>
        <w:rPr>
          <w:rFonts w:hint="eastAsia" w:ascii="仿宋" w:hAnsi="仿宋" w:eastAsia="仿宋" w:cs="仿宋"/>
          <w:color w:val="auto"/>
          <w:spacing w:val="2"/>
          <w:sz w:val="21"/>
          <w:szCs w:val="21"/>
          <w:highlight w:val="none"/>
          <w:u w:val="single" w:color="auto"/>
        </w:rPr>
        <w:t>评审程序、评审方法和评审标准</w:t>
      </w:r>
      <w:r>
        <w:rPr>
          <w:rFonts w:hint="eastAsia" w:ascii="仿宋" w:hAnsi="仿宋" w:eastAsia="仿宋" w:cs="仿宋"/>
          <w:color w:val="auto"/>
          <w:spacing w:val="2"/>
          <w:sz w:val="21"/>
          <w:szCs w:val="21"/>
          <w:highlight w:val="none"/>
        </w:rPr>
        <w:t>”。</w:t>
      </w:r>
    </w:p>
    <w:p w14:paraId="20298EC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2.本项目所涉及的货物不接受进口产品(即通过中国海关报关验放进入中国</w:t>
      </w:r>
      <w:r>
        <w:rPr>
          <w:rFonts w:hint="eastAsia" w:ascii="仿宋" w:hAnsi="仿宋" w:eastAsia="仿宋" w:cs="仿宋"/>
          <w:color w:val="auto"/>
          <w:spacing w:val="6"/>
          <w:sz w:val="21"/>
          <w:szCs w:val="21"/>
          <w:highlight w:val="none"/>
        </w:rPr>
        <w:t>境内且产自关境外的产</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品)参与竞标，</w:t>
      </w:r>
      <w:r>
        <w:rPr>
          <w:rFonts w:hint="eastAsia" w:ascii="仿宋" w:hAnsi="仿宋" w:eastAsia="仿宋" w:cs="仿宋"/>
          <w:color w:val="auto"/>
          <w:spacing w:val="-25"/>
          <w:sz w:val="21"/>
          <w:szCs w:val="21"/>
          <w:highlight w:val="none"/>
        </w:rPr>
        <w:t xml:space="preserve"> </w:t>
      </w:r>
      <w:r>
        <w:rPr>
          <w:rFonts w:hint="eastAsia" w:ascii="仿宋" w:hAnsi="仿宋" w:eastAsia="仿宋" w:cs="仿宋"/>
          <w:color w:val="auto"/>
          <w:spacing w:val="2"/>
          <w:sz w:val="21"/>
          <w:szCs w:val="21"/>
          <w:highlight w:val="none"/>
        </w:rPr>
        <w:t>如有进口产品参与竞标的作无效竞标</w:t>
      </w:r>
      <w:r>
        <w:rPr>
          <w:rFonts w:hint="eastAsia" w:ascii="仿宋" w:hAnsi="仿宋" w:eastAsia="仿宋" w:cs="仿宋"/>
          <w:color w:val="auto"/>
          <w:spacing w:val="1"/>
          <w:sz w:val="21"/>
          <w:szCs w:val="21"/>
          <w:highlight w:val="none"/>
        </w:rPr>
        <w:t>处理。</w:t>
      </w:r>
    </w:p>
    <w:p w14:paraId="2AEDC00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3.竞争性磋商文件采购需求中标记“▲”的为实质性要求，响应文件必须满足或优于，</w:t>
      </w:r>
      <w:r>
        <w:rPr>
          <w:rFonts w:hint="eastAsia" w:ascii="仿宋" w:hAnsi="仿宋" w:eastAsia="仿宋" w:cs="仿宋"/>
          <w:b/>
          <w:bCs/>
          <w:color w:val="auto"/>
          <w:spacing w:val="-1"/>
          <w:sz w:val="21"/>
          <w:szCs w:val="21"/>
          <w:highlight w:val="none"/>
        </w:rPr>
        <w:t>否则响应文件</w:t>
      </w:r>
      <w:r>
        <w:rPr>
          <w:rFonts w:hint="eastAsia" w:ascii="仿宋" w:hAnsi="仿宋" w:eastAsia="仿宋" w:cs="仿宋"/>
          <w:b/>
          <w:bCs/>
          <w:color w:val="auto"/>
          <w:spacing w:val="4"/>
          <w:sz w:val="21"/>
          <w:szCs w:val="21"/>
          <w:highlight w:val="none"/>
        </w:rPr>
        <w:t>作无效处理。</w:t>
      </w:r>
    </w:p>
    <w:p w14:paraId="0E5C2C9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4.如竞标产品存在侵犯他人的知识产权或者专利成果行为的，应承担相应法律责任。</w:t>
      </w:r>
    </w:p>
    <w:p w14:paraId="778D2D9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5.本项目建设不包含任何硬件设备，仅提供符合本项目配置要求的云服务器资源使用权。</w:t>
      </w:r>
    </w:p>
    <w:p w14:paraId="1762D88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6.采购标的对应的中小企业划分标准所属行业名称：</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5"/>
          <w:sz w:val="21"/>
          <w:szCs w:val="21"/>
          <w:highlight w:val="none"/>
          <w:u w:val="single" w:color="auto"/>
        </w:rPr>
        <w:t>其他未列明行业。(行业名称及划分见本章附</w:t>
      </w:r>
    </w:p>
    <w:p w14:paraId="113FBE6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4" w:firstLineChars="200"/>
        <w:textAlignment w:val="baseline"/>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件1)</w:t>
      </w:r>
    </w:p>
    <w:tbl>
      <w:tblPr>
        <w:tblStyle w:val="27"/>
        <w:tblW w:w="106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7"/>
        <w:gridCol w:w="1125"/>
        <w:gridCol w:w="291"/>
        <w:gridCol w:w="864"/>
        <w:gridCol w:w="7428"/>
      </w:tblGrid>
      <w:tr w14:paraId="1E84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605" w:type="dxa"/>
            <w:gridSpan w:val="5"/>
            <w:vAlign w:val="top"/>
          </w:tcPr>
          <w:p w14:paraId="5B11AF0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一、需求一览表</w:t>
            </w:r>
          </w:p>
        </w:tc>
      </w:tr>
      <w:tr w14:paraId="55329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0605" w:type="dxa"/>
            <w:gridSpan w:val="5"/>
            <w:vAlign w:val="top"/>
          </w:tcPr>
          <w:p w14:paraId="6CEA515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0" w:firstLineChars="200"/>
              <w:textAlignment w:val="baseline"/>
              <w:rPr>
                <w:rFonts w:hint="eastAsia" w:ascii="仿宋" w:hAnsi="仿宋" w:eastAsia="仿宋" w:cs="仿宋"/>
                <w:color w:val="auto"/>
                <w:highlight w:val="none"/>
              </w:rPr>
            </w:pPr>
            <w:r>
              <w:rPr>
                <w:rFonts w:hint="eastAsia" w:ascii="仿宋" w:hAnsi="仿宋" w:eastAsia="仿宋" w:cs="仿宋"/>
                <w:b/>
                <w:bCs/>
                <w:color w:val="auto"/>
                <w:spacing w:val="-3"/>
                <w:highlight w:val="none"/>
                <w:lang w:eastAsia="zh-CN"/>
              </w:rPr>
              <w:t>崇左市江州区五个黑臭水体及污水泵站运营服务项目</w:t>
            </w:r>
            <w:r>
              <w:rPr>
                <w:rFonts w:hint="eastAsia" w:ascii="仿宋" w:hAnsi="仿宋" w:eastAsia="仿宋" w:cs="仿宋"/>
                <w:b/>
                <w:bCs/>
                <w:color w:val="auto"/>
                <w:spacing w:val="-3"/>
                <w:highlight w:val="none"/>
              </w:rPr>
              <w:t>：1项。</w:t>
            </w:r>
          </w:p>
        </w:tc>
      </w:tr>
      <w:tr w14:paraId="3C40D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top"/>
          </w:tcPr>
          <w:p w14:paraId="7312B08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序号</w:t>
            </w:r>
          </w:p>
        </w:tc>
        <w:tc>
          <w:tcPr>
            <w:tcW w:w="1416" w:type="dxa"/>
            <w:gridSpan w:val="2"/>
            <w:vAlign w:val="top"/>
          </w:tcPr>
          <w:p w14:paraId="6625F5B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4"/>
                <w:highlight w:val="none"/>
              </w:rPr>
              <w:t>标的名称</w:t>
            </w:r>
          </w:p>
        </w:tc>
        <w:tc>
          <w:tcPr>
            <w:tcW w:w="864" w:type="dxa"/>
            <w:vAlign w:val="top"/>
          </w:tcPr>
          <w:p w14:paraId="7A50AC0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1"/>
                <w:highlight w:val="none"/>
              </w:rPr>
              <w:t>数量及</w:t>
            </w:r>
            <w:r>
              <w:rPr>
                <w:rFonts w:hint="eastAsia" w:ascii="仿宋" w:hAnsi="仿宋" w:eastAsia="仿宋" w:cs="仿宋"/>
                <w:b/>
                <w:bCs/>
                <w:color w:val="auto"/>
                <w:spacing w:val="-5"/>
                <w:highlight w:val="none"/>
              </w:rPr>
              <w:t>单位</w:t>
            </w:r>
          </w:p>
        </w:tc>
        <w:tc>
          <w:tcPr>
            <w:tcW w:w="7428" w:type="dxa"/>
            <w:vAlign w:val="top"/>
          </w:tcPr>
          <w:p w14:paraId="18BF502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2" w:firstLineChars="200"/>
              <w:jc w:val="center"/>
              <w:textAlignment w:val="baseline"/>
              <w:rPr>
                <w:rFonts w:hint="eastAsia" w:ascii="仿宋" w:hAnsi="仿宋" w:eastAsia="仿宋" w:cs="仿宋"/>
                <w:color w:val="auto"/>
                <w:highlight w:val="none"/>
              </w:rPr>
            </w:pPr>
            <w:r>
              <w:rPr>
                <w:rFonts w:hint="eastAsia" w:ascii="仿宋" w:hAnsi="仿宋" w:eastAsia="仿宋" w:cs="仿宋"/>
                <w:b/>
                <w:bCs/>
                <w:color w:val="auto"/>
                <w:spacing w:val="-5"/>
                <w:highlight w:val="none"/>
              </w:rPr>
              <w:t>▲</w:t>
            </w:r>
            <w:r>
              <w:rPr>
                <w:rFonts w:hint="eastAsia" w:ascii="仿宋" w:hAnsi="仿宋" w:eastAsia="仿宋" w:cs="仿宋"/>
                <w:b/>
                <w:bCs/>
                <w:color w:val="auto"/>
                <w:spacing w:val="-5"/>
                <w:highlight w:val="none"/>
                <w:lang w:val="en-US" w:eastAsia="zh-CN"/>
              </w:rPr>
              <w:t>技术要求</w:t>
            </w:r>
          </w:p>
        </w:tc>
      </w:tr>
      <w:tr w14:paraId="52615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97" w:type="dxa"/>
            <w:vAlign w:val="center"/>
          </w:tcPr>
          <w:p w14:paraId="04FCFDD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5"/>
                <w:sz w:val="21"/>
                <w:szCs w:val="21"/>
                <w:highlight w:val="none"/>
                <w:lang w:val="en-US" w:eastAsia="zh-CN"/>
              </w:rPr>
            </w:pPr>
            <w:r>
              <w:rPr>
                <w:rFonts w:hint="eastAsia" w:ascii="仿宋" w:hAnsi="仿宋" w:eastAsia="仿宋" w:cs="仿宋"/>
                <w:b/>
                <w:bCs/>
                <w:color w:val="auto"/>
                <w:spacing w:val="-5"/>
                <w:sz w:val="21"/>
                <w:szCs w:val="21"/>
                <w:highlight w:val="none"/>
                <w:lang w:val="en-US" w:eastAsia="zh-CN"/>
              </w:rPr>
              <w:t>1</w:t>
            </w:r>
          </w:p>
        </w:tc>
        <w:tc>
          <w:tcPr>
            <w:tcW w:w="1416" w:type="dxa"/>
            <w:gridSpan w:val="2"/>
            <w:vAlign w:val="center"/>
          </w:tcPr>
          <w:p w14:paraId="5A9078C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4"/>
                <w:sz w:val="21"/>
                <w:szCs w:val="21"/>
                <w:highlight w:val="none"/>
                <w:lang w:val="en-US" w:eastAsia="zh-CN"/>
              </w:rPr>
            </w:pPr>
            <w:r>
              <w:rPr>
                <w:rFonts w:hint="eastAsia" w:ascii="仿宋" w:hAnsi="仿宋" w:eastAsia="仿宋" w:cs="仿宋"/>
                <w:b/>
                <w:bCs/>
                <w:color w:val="auto"/>
                <w:spacing w:val="-4"/>
                <w:sz w:val="21"/>
                <w:szCs w:val="21"/>
                <w:highlight w:val="none"/>
                <w:lang w:val="en-US" w:eastAsia="zh-CN"/>
              </w:rPr>
              <w:t>崇左市江州区五个黑臭水体及污水泵站运营服务项目</w:t>
            </w:r>
          </w:p>
        </w:tc>
        <w:tc>
          <w:tcPr>
            <w:tcW w:w="864" w:type="dxa"/>
            <w:vAlign w:val="center"/>
          </w:tcPr>
          <w:p w14:paraId="6DFBC4B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lang w:val="en-US" w:eastAsia="zh-CN"/>
              </w:rPr>
            </w:pPr>
            <w:r>
              <w:rPr>
                <w:rFonts w:hint="eastAsia" w:ascii="仿宋" w:hAnsi="仿宋" w:eastAsia="仿宋" w:cs="仿宋"/>
                <w:b/>
                <w:bCs/>
                <w:color w:val="auto"/>
                <w:spacing w:val="-1"/>
                <w:sz w:val="21"/>
                <w:szCs w:val="21"/>
                <w:highlight w:val="none"/>
                <w:lang w:val="en-US" w:eastAsia="zh-CN"/>
              </w:rPr>
              <w:t>1项</w:t>
            </w:r>
          </w:p>
        </w:tc>
        <w:tc>
          <w:tcPr>
            <w:tcW w:w="7428" w:type="dxa"/>
            <w:vAlign w:val="top"/>
          </w:tcPr>
          <w:p w14:paraId="620267A0">
            <w:pPr>
              <w:pStyle w:val="2"/>
              <w:pageBreakBefore w:val="0"/>
              <w:kinsoku w:val="0"/>
              <w:wordWrap/>
              <w:overflowPunct/>
              <w:topLinePunct w:val="0"/>
              <w:autoSpaceDE w:val="0"/>
              <w:autoSpaceDN w:val="0"/>
              <w:bidi w:val="0"/>
              <w:adjustRightInd w:val="0"/>
              <w:snapToGrid w:val="0"/>
              <w:spacing w:before="0" w:after="0" w:line="360" w:lineRule="exact"/>
              <w:ind w:left="0" w:leftChars="0" w:firstLine="482"/>
              <w:rPr>
                <w:rFonts w:hint="eastAsia" w:ascii="仿宋" w:hAnsi="仿宋" w:eastAsia="仿宋" w:cs="仿宋"/>
                <w:sz w:val="21"/>
                <w:szCs w:val="21"/>
              </w:rPr>
            </w:pPr>
            <w:bookmarkStart w:id="49" w:name="_Toc19718"/>
            <w:r>
              <w:rPr>
                <w:rFonts w:hint="eastAsia" w:ascii="仿宋" w:hAnsi="仿宋" w:eastAsia="仿宋" w:cs="仿宋"/>
                <w:sz w:val="21"/>
                <w:szCs w:val="21"/>
                <w:lang w:val="en-US" w:eastAsia="zh-CN"/>
              </w:rPr>
              <w:t>1.</w:t>
            </w:r>
            <w:r>
              <w:rPr>
                <w:rFonts w:hint="eastAsia" w:ascii="仿宋" w:hAnsi="仿宋" w:eastAsia="仿宋" w:cs="仿宋"/>
                <w:sz w:val="21"/>
                <w:szCs w:val="21"/>
              </w:rPr>
              <w:t>项目概述</w:t>
            </w:r>
            <w:bookmarkEnd w:id="49"/>
          </w:p>
          <w:p w14:paraId="114E5E4A">
            <w:pPr>
              <w:pageBreakBefore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为扎实做好中央第七生态环境保护督察组指出问题立行立改工作，经崇左市人民政府同意，按照江州区委、区政府的部署安排，由江州区住房和城乡建设局作为项目业主负责实施崇左市旧城片区控源截污改造一期工程，项目规模内容：含民族中学池塘、</w:t>
            </w:r>
            <w:r>
              <w:rPr>
                <w:rFonts w:hint="eastAsia" w:ascii="仿宋" w:hAnsi="仿宋" w:eastAsia="仿宋" w:cs="仿宋"/>
                <w:sz w:val="21"/>
                <w:szCs w:val="21"/>
                <w:lang w:eastAsia="zh-CN"/>
              </w:rPr>
              <w:t>江北二桥头公园池塘</w:t>
            </w:r>
            <w:r>
              <w:rPr>
                <w:rFonts w:hint="eastAsia" w:ascii="仿宋" w:hAnsi="仿宋" w:eastAsia="仿宋" w:cs="仿宋"/>
                <w:sz w:val="21"/>
                <w:szCs w:val="21"/>
              </w:rPr>
              <w:t>、西塘池塘、</w:t>
            </w:r>
            <w:r>
              <w:rPr>
                <w:rFonts w:hint="eastAsia" w:ascii="仿宋" w:hAnsi="仿宋" w:eastAsia="仿宋" w:cs="仿宋"/>
                <w:sz w:val="21"/>
                <w:szCs w:val="21"/>
                <w:lang w:eastAsia="zh-CN"/>
              </w:rPr>
              <w:t>烈士陵园对面2池塘</w:t>
            </w:r>
            <w:r>
              <w:rPr>
                <w:rFonts w:hint="eastAsia" w:ascii="仿宋" w:hAnsi="仿宋" w:eastAsia="仿宋" w:cs="仿宋"/>
                <w:sz w:val="21"/>
                <w:szCs w:val="21"/>
              </w:rPr>
              <w:t>、党校池塘等5个黑臭水体整治的实施运营维护工作。</w:t>
            </w:r>
          </w:p>
          <w:p w14:paraId="0683E559">
            <w:pPr>
              <w:pStyle w:val="2"/>
              <w:pageBreakBefore w:val="0"/>
              <w:kinsoku w:val="0"/>
              <w:wordWrap/>
              <w:overflowPunct/>
              <w:topLinePunct w:val="0"/>
              <w:autoSpaceDE w:val="0"/>
              <w:autoSpaceDN w:val="0"/>
              <w:bidi w:val="0"/>
              <w:adjustRightInd w:val="0"/>
              <w:snapToGrid w:val="0"/>
              <w:spacing w:before="0" w:after="0" w:line="360" w:lineRule="exact"/>
              <w:ind w:left="0" w:leftChars="0" w:firstLine="482"/>
              <w:rPr>
                <w:rFonts w:hint="eastAsia" w:ascii="仿宋" w:hAnsi="仿宋" w:eastAsia="仿宋" w:cs="仿宋"/>
                <w:sz w:val="21"/>
                <w:szCs w:val="21"/>
              </w:rPr>
            </w:pPr>
            <w:bookmarkStart w:id="50" w:name="_Toc22668"/>
            <w:r>
              <w:rPr>
                <w:rFonts w:hint="eastAsia" w:ascii="仿宋" w:hAnsi="仿宋" w:eastAsia="仿宋" w:cs="仿宋"/>
                <w:sz w:val="21"/>
                <w:szCs w:val="21"/>
                <w:lang w:val="en-US" w:eastAsia="zh-CN"/>
              </w:rPr>
              <w:t>2.</w:t>
            </w:r>
            <w:r>
              <w:rPr>
                <w:rFonts w:hint="eastAsia" w:ascii="仿宋" w:hAnsi="仿宋" w:eastAsia="仿宋" w:cs="仿宋"/>
                <w:sz w:val="21"/>
                <w:szCs w:val="21"/>
              </w:rPr>
              <w:t>运营范围</w:t>
            </w:r>
            <w:bookmarkEnd w:id="50"/>
          </w:p>
          <w:p w14:paraId="6F022260">
            <w:pPr>
              <w:pageBreakBefore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本次运营的池塘共有5个，分别为：（1）</w:t>
            </w:r>
            <w:r>
              <w:rPr>
                <w:rFonts w:hint="eastAsia" w:ascii="仿宋" w:hAnsi="仿宋" w:eastAsia="仿宋" w:cs="仿宋"/>
                <w:sz w:val="21"/>
                <w:szCs w:val="21"/>
                <w:lang w:eastAsia="zh-CN"/>
              </w:rPr>
              <w:t>民族中学池塘</w:t>
            </w:r>
            <w:r>
              <w:rPr>
                <w:rFonts w:hint="eastAsia" w:ascii="仿宋" w:hAnsi="仿宋" w:eastAsia="仿宋" w:cs="仿宋"/>
                <w:sz w:val="21"/>
                <w:szCs w:val="21"/>
              </w:rPr>
              <w:t>、</w:t>
            </w:r>
          </w:p>
          <w:p w14:paraId="4EB12FD8">
            <w:pPr>
              <w:pageBreakBefore w:val="0"/>
              <w:numPr>
                <w:ilvl w:val="0"/>
                <w:numId w:val="2"/>
              </w:numPr>
              <w:kinsoku w:val="0"/>
              <w:wordWrap/>
              <w:overflowPunct/>
              <w:topLinePunct w:val="0"/>
              <w:autoSpaceDE w:val="0"/>
              <w:autoSpaceDN w:val="0"/>
              <w:bidi w:val="0"/>
              <w:adjustRightInd w:val="0"/>
              <w:snapToGrid w:val="0"/>
              <w:spacing w:line="360" w:lineRule="exact"/>
              <w:rPr>
                <w:rFonts w:hint="eastAsia" w:ascii="仿宋" w:hAnsi="仿宋" w:eastAsia="仿宋" w:cs="仿宋"/>
                <w:sz w:val="21"/>
                <w:szCs w:val="21"/>
              </w:rPr>
            </w:pPr>
            <w:r>
              <w:rPr>
                <w:rFonts w:hint="eastAsia" w:ascii="仿宋" w:hAnsi="仿宋" w:eastAsia="仿宋" w:cs="仿宋"/>
                <w:sz w:val="21"/>
                <w:szCs w:val="21"/>
                <w:lang w:eastAsia="zh-CN"/>
              </w:rPr>
              <w:t>江北二桥头公园池塘</w:t>
            </w:r>
            <w:r>
              <w:rPr>
                <w:rFonts w:hint="eastAsia" w:ascii="仿宋" w:hAnsi="仿宋" w:eastAsia="仿宋" w:cs="仿宋"/>
                <w:sz w:val="21"/>
                <w:szCs w:val="21"/>
              </w:rPr>
              <w:t>、（3）</w:t>
            </w:r>
            <w:r>
              <w:rPr>
                <w:rFonts w:hint="eastAsia" w:ascii="仿宋" w:hAnsi="仿宋" w:eastAsia="仿宋" w:cs="仿宋"/>
                <w:sz w:val="21"/>
                <w:szCs w:val="21"/>
                <w:lang w:eastAsia="zh-CN"/>
              </w:rPr>
              <w:t>西塘池塘</w:t>
            </w:r>
            <w:r>
              <w:rPr>
                <w:rFonts w:hint="eastAsia" w:ascii="仿宋" w:hAnsi="仿宋" w:eastAsia="仿宋" w:cs="仿宋"/>
                <w:sz w:val="21"/>
                <w:szCs w:val="21"/>
              </w:rPr>
              <w:t>、（4）</w:t>
            </w:r>
            <w:r>
              <w:rPr>
                <w:rFonts w:hint="eastAsia" w:ascii="仿宋" w:hAnsi="仿宋" w:eastAsia="仿宋" w:cs="仿宋"/>
                <w:sz w:val="21"/>
                <w:szCs w:val="21"/>
                <w:lang w:eastAsia="zh-CN"/>
              </w:rPr>
              <w:t>烈士陵园对面2池塘</w:t>
            </w:r>
            <w:r>
              <w:rPr>
                <w:rFonts w:hint="eastAsia" w:ascii="仿宋" w:hAnsi="仿宋" w:eastAsia="仿宋" w:cs="仿宋"/>
                <w:sz w:val="21"/>
                <w:szCs w:val="21"/>
              </w:rPr>
              <w:t>、</w:t>
            </w:r>
          </w:p>
          <w:p w14:paraId="2A15632F">
            <w:pPr>
              <w:pageBreakBefore w:val="0"/>
              <w:numPr>
                <w:ilvl w:val="0"/>
                <w:numId w:val="0"/>
              </w:numPr>
              <w:kinsoku w:val="0"/>
              <w:wordWrap/>
              <w:overflowPunct/>
              <w:topLinePunct w:val="0"/>
              <w:autoSpaceDE w:val="0"/>
              <w:autoSpaceDN w:val="0"/>
              <w:bidi w:val="0"/>
              <w:adjustRightInd w:val="0"/>
              <w:snapToGrid w:val="0"/>
              <w:spacing w:line="360" w:lineRule="exact"/>
              <w:rPr>
                <w:rFonts w:hint="eastAsia" w:ascii="仿宋" w:hAnsi="仿宋" w:eastAsia="仿宋" w:cs="仿宋"/>
                <w:b/>
                <w:bCs/>
                <w:sz w:val="21"/>
                <w:szCs w:val="21"/>
              </w:rPr>
            </w:pPr>
            <w:r>
              <w:rPr>
                <w:rFonts w:hint="eastAsia" w:ascii="仿宋" w:hAnsi="仿宋" w:eastAsia="仿宋" w:cs="仿宋"/>
                <w:sz w:val="21"/>
                <w:szCs w:val="21"/>
              </w:rPr>
              <w:t>（5）</w:t>
            </w:r>
            <w:r>
              <w:rPr>
                <w:rFonts w:hint="eastAsia" w:ascii="仿宋" w:hAnsi="仿宋" w:eastAsia="仿宋" w:cs="仿宋"/>
                <w:sz w:val="21"/>
                <w:szCs w:val="21"/>
                <w:lang w:eastAsia="zh-CN"/>
              </w:rPr>
              <w:t>党校池塘。</w:t>
            </w:r>
          </w:p>
          <w:p w14:paraId="118ABF98">
            <w:pPr>
              <w:pageBreakBefore w:val="0"/>
              <w:kinsoku w:val="0"/>
              <w:wordWrap/>
              <w:overflowPunct/>
              <w:topLinePunct w:val="0"/>
              <w:autoSpaceDE w:val="0"/>
              <w:autoSpaceDN w:val="0"/>
              <w:bidi w:val="0"/>
              <w:adjustRightInd w:val="0"/>
              <w:snapToGrid w:val="0"/>
              <w:spacing w:line="360" w:lineRule="exact"/>
              <w:ind w:left="0" w:leftChars="0" w:firstLine="640"/>
              <w:jc w:val="center"/>
              <w:rPr>
                <w:rFonts w:hint="eastAsia" w:ascii="仿宋" w:hAnsi="仿宋" w:eastAsia="仿宋" w:cs="仿宋"/>
                <w:b/>
                <w:bCs/>
                <w:sz w:val="21"/>
                <w:szCs w:val="21"/>
              </w:rPr>
            </w:pPr>
            <w:r>
              <w:rPr>
                <w:rFonts w:hint="eastAsia" w:ascii="仿宋" w:hAnsi="仿宋" w:eastAsia="仿宋" w:cs="仿宋"/>
                <w:b/>
                <w:bCs/>
                <w:sz w:val="21"/>
                <w:szCs w:val="21"/>
              </w:rPr>
              <w:t>表 项目运营范围</w:t>
            </w:r>
          </w:p>
          <w:tbl>
            <w:tblPr>
              <w:tblStyle w:val="21"/>
              <w:tblW w:w="6404" w:type="dxa"/>
              <w:jc w:val="center"/>
              <w:tblLayout w:type="fixed"/>
              <w:tblCellMar>
                <w:top w:w="0" w:type="dxa"/>
                <w:left w:w="108" w:type="dxa"/>
                <w:bottom w:w="0" w:type="dxa"/>
                <w:right w:w="108" w:type="dxa"/>
              </w:tblCellMar>
            </w:tblPr>
            <w:tblGrid>
              <w:gridCol w:w="475"/>
              <w:gridCol w:w="1804"/>
              <w:gridCol w:w="1643"/>
              <w:gridCol w:w="938"/>
              <w:gridCol w:w="1069"/>
              <w:gridCol w:w="475"/>
            </w:tblGrid>
            <w:tr w14:paraId="44A4B913">
              <w:tblPrEx>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12E4E291">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序号</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71D49EED">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工程名称</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04E1EA87">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水域面积（m</w:t>
                  </w:r>
                  <w:r>
                    <w:rPr>
                      <w:rFonts w:hint="eastAsia" w:ascii="仿宋" w:hAnsi="仿宋" w:eastAsia="仿宋" w:cs="仿宋"/>
                      <w:b/>
                      <w:bCs/>
                      <w:color w:val="000000"/>
                      <w:kern w:val="0"/>
                      <w:sz w:val="21"/>
                      <w:szCs w:val="21"/>
                      <w:vertAlign w:val="superscript"/>
                      <w:lang w:bidi="ar"/>
                    </w:rPr>
                    <w:t>2</w:t>
                  </w:r>
                  <w:r>
                    <w:rPr>
                      <w:rFonts w:hint="eastAsia" w:ascii="仿宋" w:hAnsi="仿宋" w:eastAsia="仿宋" w:cs="仿宋"/>
                      <w:b/>
                      <w:bCs/>
                      <w:color w:val="000000"/>
                      <w:kern w:val="0"/>
                      <w:sz w:val="21"/>
                      <w:szCs w:val="21"/>
                      <w:lang w:bidi="ar"/>
                    </w:rPr>
                    <w:t>）</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69EEFD67">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绿化面积（m</w:t>
                  </w:r>
                  <w:r>
                    <w:rPr>
                      <w:rFonts w:hint="eastAsia" w:ascii="仿宋" w:hAnsi="仿宋" w:eastAsia="仿宋" w:cs="仿宋"/>
                      <w:b/>
                      <w:bCs/>
                      <w:color w:val="000000"/>
                      <w:kern w:val="0"/>
                      <w:sz w:val="21"/>
                      <w:szCs w:val="21"/>
                      <w:vertAlign w:val="superscript"/>
                      <w:lang w:bidi="ar"/>
                    </w:rPr>
                    <w:t>2</w:t>
                  </w:r>
                  <w:r>
                    <w:rPr>
                      <w:rFonts w:hint="eastAsia" w:ascii="仿宋" w:hAnsi="仿宋" w:eastAsia="仿宋" w:cs="仿宋"/>
                      <w:b/>
                      <w:bCs/>
                      <w:color w:val="000000"/>
                      <w:kern w:val="0"/>
                      <w:sz w:val="21"/>
                      <w:szCs w:val="21"/>
                      <w:lang w:bidi="ar"/>
                    </w:rPr>
                    <w:t>)</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07C59B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污水收集设施</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0D8BBB7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b/>
                      <w:bCs/>
                      <w:color w:val="000000"/>
                      <w:sz w:val="21"/>
                      <w:szCs w:val="21"/>
                    </w:rPr>
                  </w:pPr>
                  <w:r>
                    <w:rPr>
                      <w:rFonts w:hint="eastAsia" w:ascii="仿宋" w:hAnsi="仿宋" w:eastAsia="仿宋" w:cs="仿宋"/>
                      <w:b/>
                      <w:bCs/>
                      <w:color w:val="000000"/>
                      <w:kern w:val="0"/>
                      <w:sz w:val="21"/>
                      <w:szCs w:val="21"/>
                      <w:lang w:bidi="ar"/>
                    </w:rPr>
                    <w:t>备注</w:t>
                  </w:r>
                </w:p>
              </w:tc>
            </w:tr>
            <w:tr w14:paraId="63ABAC2E">
              <w:tblPrEx>
                <w:tblCellMar>
                  <w:top w:w="0" w:type="dxa"/>
                  <w:left w:w="108" w:type="dxa"/>
                  <w:bottom w:w="0" w:type="dxa"/>
                  <w:right w:w="108" w:type="dxa"/>
                </w:tblCellMar>
              </w:tblPrEx>
              <w:trPr>
                <w:trHeight w:val="530"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7E5CE1BE">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4C4D400A">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eastAsia="zh-CN"/>
                    </w:rPr>
                    <w:t>民族中学池塘</w:t>
                  </w:r>
                  <w:r>
                    <w:rPr>
                      <w:rFonts w:hint="eastAsia" w:ascii="仿宋" w:hAnsi="仿宋" w:eastAsia="仿宋" w:cs="仿宋"/>
                      <w:color w:val="000000"/>
                      <w:kern w:val="0"/>
                      <w:sz w:val="21"/>
                      <w:szCs w:val="21"/>
                      <w:lang w:bidi="ar"/>
                    </w:rPr>
                    <w:t>治理工程</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4A9EAFF3">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1800</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44D0E1D5">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1C747914">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B55BFCB">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p>
              </w:tc>
            </w:tr>
            <w:tr w14:paraId="5242220F">
              <w:tblPrEx>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4BF94DF5">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36308366">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eastAsia="zh-CN"/>
                    </w:rPr>
                    <w:t>江北二桥头公园池塘</w:t>
                  </w:r>
                  <w:r>
                    <w:rPr>
                      <w:rFonts w:hint="eastAsia" w:ascii="仿宋" w:hAnsi="仿宋" w:eastAsia="仿宋" w:cs="仿宋"/>
                      <w:color w:val="000000"/>
                      <w:kern w:val="0"/>
                      <w:sz w:val="21"/>
                      <w:szCs w:val="21"/>
                      <w:lang w:bidi="ar"/>
                    </w:rPr>
                    <w:t>治理工程</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7E2DC042">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800</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3C35ACD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235BB74">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1265462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p>
              </w:tc>
            </w:tr>
            <w:tr w14:paraId="540AC6BD">
              <w:tblPrEx>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4E218100">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765EB7E3">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eastAsia="zh-CN"/>
                    </w:rPr>
                    <w:t>西塘池塘</w:t>
                  </w:r>
                  <w:r>
                    <w:rPr>
                      <w:rFonts w:hint="eastAsia" w:ascii="仿宋" w:hAnsi="仿宋" w:eastAsia="仿宋" w:cs="仿宋"/>
                      <w:color w:val="000000"/>
                      <w:kern w:val="0"/>
                      <w:sz w:val="21"/>
                      <w:szCs w:val="21"/>
                      <w:lang w:bidi="ar"/>
                    </w:rPr>
                    <w:t>治理工程</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2AC165F8">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2600</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5871A127">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p>
              </w:tc>
              <w:tc>
                <w:tcPr>
                  <w:tcW w:w="834" w:type="pct"/>
                  <w:tcBorders>
                    <w:top w:val="single" w:color="000000" w:sz="4" w:space="0"/>
                    <w:left w:val="single" w:color="000000" w:sz="4" w:space="0"/>
                    <w:bottom w:val="single" w:color="000000" w:sz="4" w:space="0"/>
                    <w:right w:val="single" w:color="000000" w:sz="4" w:space="0"/>
                  </w:tcBorders>
                  <w:vAlign w:val="center"/>
                </w:tcPr>
                <w:p w14:paraId="1A4028A4">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FF"/>
                      <w:kern w:val="0"/>
                      <w:sz w:val="21"/>
                      <w:szCs w:val="21"/>
                      <w:lang w:val="en-US" w:eastAsia="zh-CN" w:bidi="ar"/>
                    </w:rPr>
                  </w:pPr>
                  <w:r>
                    <w:rPr>
                      <w:rFonts w:hint="eastAsia" w:ascii="仿宋" w:hAnsi="仿宋" w:eastAsia="仿宋" w:cs="仿宋"/>
                      <w:color w:val="0000FF"/>
                      <w:kern w:val="0"/>
                      <w:sz w:val="21"/>
                      <w:szCs w:val="21"/>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2A63DC65">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p>
              </w:tc>
            </w:tr>
            <w:tr w14:paraId="6BF9943D">
              <w:tblPrEx>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3C771568">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3F7CFAF7">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eastAsia="zh-CN"/>
                    </w:rPr>
                    <w:t>烈士陵园对面2池塘</w:t>
                  </w:r>
                  <w:r>
                    <w:rPr>
                      <w:rFonts w:hint="eastAsia" w:ascii="仿宋" w:hAnsi="仿宋" w:eastAsia="仿宋" w:cs="仿宋"/>
                      <w:color w:val="000000"/>
                      <w:kern w:val="0"/>
                      <w:sz w:val="21"/>
                      <w:szCs w:val="21"/>
                      <w:lang w:bidi="ar"/>
                    </w:rPr>
                    <w:t>治理工程</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38B4BAC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3800</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086F7251">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834" w:type="pct"/>
                  <w:tcBorders>
                    <w:top w:val="single" w:color="000000" w:sz="4" w:space="0"/>
                    <w:left w:val="single" w:color="000000" w:sz="4" w:space="0"/>
                    <w:bottom w:val="single" w:color="000000" w:sz="4" w:space="0"/>
                    <w:right w:val="single" w:color="000000" w:sz="4" w:space="0"/>
                  </w:tcBorders>
                  <w:vAlign w:val="center"/>
                </w:tcPr>
                <w:p w14:paraId="36813C1B">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FF"/>
                      <w:kern w:val="0"/>
                      <w:sz w:val="21"/>
                      <w:szCs w:val="21"/>
                      <w:lang w:val="en-US" w:eastAsia="zh-CN" w:bidi="ar"/>
                    </w:rPr>
                  </w:pPr>
                  <w:r>
                    <w:rPr>
                      <w:rFonts w:hint="eastAsia" w:ascii="仿宋" w:hAnsi="仿宋" w:eastAsia="仿宋" w:cs="仿宋"/>
                      <w:color w:val="0000FF"/>
                      <w:kern w:val="0"/>
                      <w:sz w:val="21"/>
                      <w:szCs w:val="21"/>
                      <w:lang w:val="en-US" w:eastAsia="zh-CN" w:bidi="ar"/>
                    </w:rPr>
                    <w:t>-</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16EBB7DF">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p>
              </w:tc>
            </w:tr>
            <w:tr w14:paraId="78FE0F0A">
              <w:tblPrEx>
                <w:tblCellMar>
                  <w:top w:w="0" w:type="dxa"/>
                  <w:left w:w="108" w:type="dxa"/>
                  <w:bottom w:w="0" w:type="dxa"/>
                  <w:right w:w="108" w:type="dxa"/>
                </w:tblCellMar>
              </w:tblPrEx>
              <w:trPr>
                <w:trHeight w:val="1277" w:hRule="atLeast"/>
                <w:jc w:val="center"/>
              </w:trPr>
              <w:tc>
                <w:tcPr>
                  <w:tcW w:w="370" w:type="pct"/>
                  <w:tcBorders>
                    <w:top w:val="single" w:color="000000" w:sz="4" w:space="0"/>
                    <w:left w:val="single" w:color="000000" w:sz="4" w:space="0"/>
                    <w:bottom w:val="single" w:color="000000" w:sz="4" w:space="0"/>
                    <w:right w:val="single" w:color="000000" w:sz="4" w:space="0"/>
                  </w:tcBorders>
                  <w:noWrap/>
                  <w:vAlign w:val="center"/>
                </w:tcPr>
                <w:p w14:paraId="60B8EB22">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5</w:t>
                  </w:r>
                </w:p>
              </w:tc>
              <w:tc>
                <w:tcPr>
                  <w:tcW w:w="1408" w:type="pct"/>
                  <w:tcBorders>
                    <w:top w:val="single" w:color="000000" w:sz="4" w:space="0"/>
                    <w:left w:val="single" w:color="000000" w:sz="4" w:space="0"/>
                    <w:bottom w:val="single" w:color="000000" w:sz="4" w:space="0"/>
                    <w:right w:val="single" w:color="000000" w:sz="4" w:space="0"/>
                  </w:tcBorders>
                  <w:noWrap/>
                  <w:vAlign w:val="center"/>
                </w:tcPr>
                <w:p w14:paraId="312164AC">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sz w:val="21"/>
                      <w:szCs w:val="21"/>
                      <w:lang w:eastAsia="zh-CN"/>
                    </w:rPr>
                    <w:t>党校池塘</w:t>
                  </w:r>
                  <w:r>
                    <w:rPr>
                      <w:rFonts w:hint="eastAsia" w:ascii="仿宋" w:hAnsi="仿宋" w:eastAsia="仿宋" w:cs="仿宋"/>
                      <w:color w:val="000000"/>
                      <w:kern w:val="0"/>
                      <w:sz w:val="21"/>
                      <w:szCs w:val="21"/>
                      <w:lang w:bidi="ar"/>
                    </w:rPr>
                    <w:t>治理工程</w:t>
                  </w:r>
                </w:p>
              </w:tc>
              <w:tc>
                <w:tcPr>
                  <w:tcW w:w="1282" w:type="pct"/>
                  <w:tcBorders>
                    <w:top w:val="single" w:color="000000" w:sz="4" w:space="0"/>
                    <w:left w:val="single" w:color="000000" w:sz="4" w:space="0"/>
                    <w:bottom w:val="single" w:color="000000" w:sz="4" w:space="0"/>
                    <w:right w:val="single" w:color="000000" w:sz="4" w:space="0"/>
                  </w:tcBorders>
                  <w:noWrap/>
                  <w:vAlign w:val="center"/>
                </w:tcPr>
                <w:p w14:paraId="691FF4D9">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4100</w:t>
                  </w:r>
                </w:p>
              </w:tc>
              <w:tc>
                <w:tcPr>
                  <w:tcW w:w="732" w:type="pct"/>
                  <w:tcBorders>
                    <w:top w:val="single" w:color="000000" w:sz="4" w:space="0"/>
                    <w:left w:val="single" w:color="000000" w:sz="4" w:space="0"/>
                    <w:bottom w:val="single" w:color="000000" w:sz="4" w:space="0"/>
                    <w:right w:val="single" w:color="000000" w:sz="4" w:space="0"/>
                  </w:tcBorders>
                  <w:noWrap/>
                  <w:vAlign w:val="center"/>
                </w:tcPr>
                <w:p w14:paraId="0A0104EC">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64268E46">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p>
              </w:tc>
              <w:tc>
                <w:tcPr>
                  <w:tcW w:w="370" w:type="pct"/>
                  <w:tcBorders>
                    <w:top w:val="single" w:color="000000" w:sz="4" w:space="0"/>
                    <w:left w:val="single" w:color="000000" w:sz="4" w:space="0"/>
                    <w:bottom w:val="single" w:color="000000" w:sz="4" w:space="0"/>
                    <w:right w:val="single" w:color="000000" w:sz="4" w:space="0"/>
                  </w:tcBorders>
                  <w:noWrap/>
                  <w:vAlign w:val="center"/>
                </w:tcPr>
                <w:p w14:paraId="362D0AA4">
                  <w:pPr>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center"/>
                    <w:rPr>
                      <w:rFonts w:hint="eastAsia" w:ascii="仿宋" w:hAnsi="仿宋" w:eastAsia="仿宋" w:cs="仿宋"/>
                      <w:color w:val="000000"/>
                      <w:kern w:val="0"/>
                      <w:sz w:val="21"/>
                      <w:szCs w:val="21"/>
                      <w:lang w:bidi="ar"/>
                    </w:rPr>
                  </w:pPr>
                </w:p>
              </w:tc>
            </w:tr>
          </w:tbl>
          <w:p w14:paraId="4593EE31">
            <w:pPr>
              <w:pStyle w:val="2"/>
              <w:pageBreakBefore w:val="0"/>
              <w:kinsoku w:val="0"/>
              <w:wordWrap/>
              <w:overflowPunct/>
              <w:topLinePunct w:val="0"/>
              <w:autoSpaceDE w:val="0"/>
              <w:autoSpaceDN w:val="0"/>
              <w:bidi w:val="0"/>
              <w:adjustRightInd w:val="0"/>
              <w:snapToGrid w:val="0"/>
              <w:spacing w:before="0" w:after="0" w:line="360" w:lineRule="exact"/>
              <w:ind w:left="0" w:leftChars="0" w:firstLine="482"/>
              <w:rPr>
                <w:rFonts w:hint="eastAsia" w:ascii="仿宋" w:hAnsi="仿宋" w:eastAsia="仿宋" w:cs="仿宋"/>
                <w:sz w:val="21"/>
                <w:szCs w:val="21"/>
              </w:rPr>
            </w:pPr>
            <w:bookmarkStart w:id="51" w:name="_Toc13294"/>
            <w:r>
              <w:rPr>
                <w:rFonts w:hint="eastAsia" w:ascii="仿宋" w:hAnsi="仿宋" w:eastAsia="仿宋" w:cs="仿宋"/>
                <w:sz w:val="21"/>
                <w:szCs w:val="21"/>
                <w:lang w:val="en-US" w:eastAsia="zh-CN"/>
              </w:rPr>
              <w:t>3.</w:t>
            </w:r>
            <w:r>
              <w:rPr>
                <w:rFonts w:hint="eastAsia" w:ascii="仿宋" w:hAnsi="仿宋" w:eastAsia="仿宋" w:cs="仿宋"/>
                <w:sz w:val="21"/>
                <w:szCs w:val="21"/>
              </w:rPr>
              <w:t>运营目标</w:t>
            </w:r>
            <w:bookmarkEnd w:id="51"/>
          </w:p>
          <w:p w14:paraId="57259582">
            <w:pPr>
              <w:pStyle w:val="3"/>
              <w:pageBreakBefore w:val="0"/>
              <w:kinsoku w:val="0"/>
              <w:wordWrap/>
              <w:overflowPunct/>
              <w:topLinePunct w:val="0"/>
              <w:autoSpaceDE w:val="0"/>
              <w:autoSpaceDN w:val="0"/>
              <w:bidi w:val="0"/>
              <w:adjustRightInd w:val="0"/>
              <w:snapToGrid w:val="0"/>
              <w:spacing w:before="0" w:after="0" w:line="360" w:lineRule="exact"/>
              <w:ind w:left="0" w:leftChars="0" w:firstLine="643"/>
              <w:rPr>
                <w:rFonts w:hint="eastAsia" w:ascii="仿宋" w:hAnsi="仿宋" w:eastAsia="仿宋" w:cs="仿宋"/>
                <w:b/>
                <w:bCs w:val="0"/>
                <w:sz w:val="21"/>
                <w:szCs w:val="21"/>
              </w:rPr>
            </w:pPr>
            <w:r>
              <w:rPr>
                <w:rFonts w:hint="eastAsia" w:ascii="仿宋" w:hAnsi="仿宋" w:eastAsia="仿宋" w:cs="仿宋"/>
                <w:b/>
                <w:bCs w:val="0"/>
                <w:sz w:val="21"/>
                <w:szCs w:val="21"/>
                <w:lang w:val="en-US" w:eastAsia="zh-CN"/>
              </w:rPr>
              <w:t>3</w:t>
            </w:r>
            <w:r>
              <w:rPr>
                <w:rFonts w:hint="eastAsia" w:ascii="仿宋" w:hAnsi="仿宋" w:eastAsia="仿宋" w:cs="仿宋"/>
                <w:b/>
                <w:bCs w:val="0"/>
                <w:sz w:val="21"/>
                <w:szCs w:val="21"/>
              </w:rPr>
              <w:t>.1 池塘水质目标</w:t>
            </w:r>
          </w:p>
          <w:p w14:paraId="57E56F8C">
            <w:pPr>
              <w:pageBreakBefore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运营的水质目标是区域内水体消除黑臭，依据《城市黑臭水体整治工作指南》，即监测指标都达标：透明度（cm）＞25，溶解氧（mg/L）＞2，氧化还原电位（mV）＞50，氨氮（mg/L）＜8，群众满意度测评达到90%以上。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451"/>
              <w:gridCol w:w="1451"/>
              <w:gridCol w:w="1451"/>
              <w:gridCol w:w="1452"/>
            </w:tblGrid>
            <w:tr w14:paraId="100B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51" w:type="dxa"/>
                </w:tcPr>
                <w:p w14:paraId="17F5271A">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监测项目</w:t>
                  </w:r>
                </w:p>
              </w:tc>
              <w:tc>
                <w:tcPr>
                  <w:tcW w:w="1451" w:type="dxa"/>
                </w:tcPr>
                <w:p w14:paraId="32E9D0BC">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透明度</w:t>
                  </w:r>
                </w:p>
                <w:p w14:paraId="4EF9904A">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（cm）</w:t>
                  </w:r>
                </w:p>
              </w:tc>
              <w:tc>
                <w:tcPr>
                  <w:tcW w:w="1451" w:type="dxa"/>
                </w:tcPr>
                <w:p w14:paraId="57215879">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溶解氧</w:t>
                  </w:r>
                </w:p>
                <w:p w14:paraId="354C01E2">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（mg/L）</w:t>
                  </w:r>
                </w:p>
              </w:tc>
              <w:tc>
                <w:tcPr>
                  <w:tcW w:w="1451" w:type="dxa"/>
                </w:tcPr>
                <w:p w14:paraId="3FF11278">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氧化还原电位（mv）</w:t>
                  </w:r>
                </w:p>
              </w:tc>
              <w:tc>
                <w:tcPr>
                  <w:tcW w:w="1452" w:type="dxa"/>
                </w:tcPr>
                <w:p w14:paraId="1E5E577E">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氨氮</w:t>
                  </w:r>
                </w:p>
                <w:p w14:paraId="244F44B5">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（mg/L）</w:t>
                  </w:r>
                </w:p>
              </w:tc>
            </w:tr>
            <w:tr w14:paraId="300A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51" w:type="dxa"/>
                </w:tcPr>
                <w:p w14:paraId="27779B47">
                  <w:pPr>
                    <w:pageBreakBefore w:val="0"/>
                    <w:widowControl w:val="0"/>
                    <w:kinsoku w:val="0"/>
                    <w:wordWrap/>
                    <w:overflowPunct/>
                    <w:topLinePunct w:val="0"/>
                    <w:autoSpaceDE w:val="0"/>
                    <w:autoSpaceDN w:val="0"/>
                    <w:bidi w:val="0"/>
                    <w:adjustRightInd w:val="0"/>
                    <w:snapToGrid w:val="0"/>
                    <w:spacing w:line="360" w:lineRule="exact"/>
                    <w:ind w:left="0" w:leftChars="0" w:firstLine="0" w:firstLineChars="0"/>
                    <w:jc w:val="center"/>
                    <w:rPr>
                      <w:rFonts w:hint="eastAsia" w:ascii="仿宋" w:hAnsi="仿宋" w:eastAsia="仿宋" w:cs="仿宋"/>
                      <w:sz w:val="21"/>
                      <w:szCs w:val="21"/>
                    </w:rPr>
                  </w:pPr>
                  <w:r>
                    <w:rPr>
                      <w:rFonts w:hint="eastAsia" w:ascii="仿宋" w:hAnsi="仿宋" w:eastAsia="仿宋" w:cs="仿宋"/>
                      <w:sz w:val="21"/>
                      <w:szCs w:val="21"/>
                    </w:rPr>
                    <w:t>达标值</w:t>
                  </w:r>
                </w:p>
              </w:tc>
              <w:tc>
                <w:tcPr>
                  <w:tcW w:w="1451" w:type="dxa"/>
                </w:tcPr>
                <w:p w14:paraId="328CB435">
                  <w:pPr>
                    <w:pageBreakBefore w:val="0"/>
                    <w:widowControl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＞25</w:t>
                  </w:r>
                </w:p>
              </w:tc>
              <w:tc>
                <w:tcPr>
                  <w:tcW w:w="1451" w:type="dxa"/>
                </w:tcPr>
                <w:p w14:paraId="5AEA1EAF">
                  <w:pPr>
                    <w:pageBreakBefore w:val="0"/>
                    <w:widowControl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＞2</w:t>
                  </w:r>
                </w:p>
              </w:tc>
              <w:tc>
                <w:tcPr>
                  <w:tcW w:w="1451" w:type="dxa"/>
                </w:tcPr>
                <w:p w14:paraId="62A7F9B6">
                  <w:pPr>
                    <w:pageBreakBefore w:val="0"/>
                    <w:widowControl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＞50</w:t>
                  </w:r>
                </w:p>
              </w:tc>
              <w:tc>
                <w:tcPr>
                  <w:tcW w:w="1452" w:type="dxa"/>
                </w:tcPr>
                <w:p w14:paraId="6123A8A9">
                  <w:pPr>
                    <w:pageBreakBefore w:val="0"/>
                    <w:widowControl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＜8</w:t>
                  </w:r>
                </w:p>
              </w:tc>
            </w:tr>
          </w:tbl>
          <w:p w14:paraId="15DF2B7C">
            <w:pPr>
              <w:pStyle w:val="3"/>
              <w:pageBreakBefore w:val="0"/>
              <w:kinsoku w:val="0"/>
              <w:wordWrap/>
              <w:overflowPunct/>
              <w:topLinePunct w:val="0"/>
              <w:autoSpaceDE w:val="0"/>
              <w:autoSpaceDN w:val="0"/>
              <w:bidi w:val="0"/>
              <w:adjustRightInd w:val="0"/>
              <w:snapToGrid w:val="0"/>
              <w:spacing w:before="0" w:after="0" w:line="360" w:lineRule="exact"/>
              <w:ind w:left="0" w:leftChars="0" w:firstLine="643"/>
              <w:rPr>
                <w:rFonts w:hint="eastAsia" w:ascii="仿宋" w:hAnsi="仿宋" w:eastAsia="仿宋" w:cs="仿宋"/>
                <w:b/>
                <w:bCs w:val="0"/>
                <w:sz w:val="21"/>
                <w:szCs w:val="21"/>
              </w:rPr>
            </w:pPr>
            <w:r>
              <w:rPr>
                <w:rFonts w:hint="eastAsia" w:ascii="仿宋" w:hAnsi="仿宋" w:eastAsia="仿宋" w:cs="仿宋"/>
                <w:b/>
                <w:bCs w:val="0"/>
                <w:sz w:val="21"/>
                <w:szCs w:val="21"/>
                <w:lang w:val="en-US" w:eastAsia="zh-CN"/>
              </w:rPr>
              <w:t>3</w:t>
            </w:r>
            <w:r>
              <w:rPr>
                <w:rFonts w:hint="eastAsia" w:ascii="仿宋" w:hAnsi="仿宋" w:eastAsia="仿宋" w:cs="仿宋"/>
                <w:b/>
                <w:bCs w:val="0"/>
                <w:sz w:val="21"/>
                <w:szCs w:val="21"/>
              </w:rPr>
              <w:t>.2 其他目标</w:t>
            </w:r>
          </w:p>
          <w:p w14:paraId="2D93F1B7">
            <w:pPr>
              <w:pageBreakBefore w:val="0"/>
              <w:kinsoku w:val="0"/>
              <w:wordWrap/>
              <w:overflowPunct/>
              <w:topLinePunct w:val="0"/>
              <w:autoSpaceDE w:val="0"/>
              <w:autoSpaceDN w:val="0"/>
              <w:bidi w:val="0"/>
              <w:adjustRightInd w:val="0"/>
              <w:snapToGrid w:val="0"/>
              <w:spacing w:line="360" w:lineRule="exact"/>
              <w:ind w:left="0" w:leftChars="0" w:firstLine="640"/>
              <w:rPr>
                <w:rFonts w:hint="eastAsia" w:ascii="仿宋" w:hAnsi="仿宋" w:eastAsia="仿宋" w:cs="仿宋"/>
                <w:sz w:val="21"/>
                <w:szCs w:val="21"/>
              </w:rPr>
            </w:pPr>
            <w:r>
              <w:rPr>
                <w:rFonts w:hint="eastAsia" w:ascii="仿宋" w:hAnsi="仿宋" w:eastAsia="仿宋" w:cs="仿宋"/>
                <w:sz w:val="21"/>
                <w:szCs w:val="21"/>
              </w:rPr>
              <w:t>（1）污水泵站设施的运营、维护，包括但不限于污水提升泵站设施的巡视、检查，日常维修、抢修、抢险等。保持泵站设备设施的正常运行。</w:t>
            </w:r>
          </w:p>
          <w:p w14:paraId="44DD5FEA">
            <w:pPr>
              <w:pStyle w:val="28"/>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20" w:firstLineChars="200"/>
              <w:jc w:val="left"/>
              <w:textAlignment w:val="baseline"/>
              <w:rPr>
                <w:rFonts w:hint="eastAsia" w:ascii="仿宋" w:hAnsi="仿宋" w:eastAsia="仿宋" w:cs="仿宋"/>
                <w:b/>
                <w:bCs/>
                <w:color w:val="auto"/>
                <w:spacing w:val="-5"/>
                <w:sz w:val="21"/>
                <w:szCs w:val="21"/>
                <w:highlight w:val="none"/>
              </w:rPr>
            </w:pPr>
            <w:r>
              <w:rPr>
                <w:rFonts w:hint="eastAsia" w:ascii="仿宋" w:hAnsi="仿宋" w:eastAsia="仿宋" w:cs="仿宋"/>
                <w:sz w:val="21"/>
                <w:szCs w:val="21"/>
              </w:rPr>
              <w:t>（2）运营周期内保证岸上的绿化植被如草皮、小灌木、乔木等植被的存活率、园林设施如凉亭、观景台、护栏等完好；水下的水生植物、动物的存活率及植被覆盖率。此外还包括区域范围内垃圾清扫及转运，保持整洁卫生，为市民提供一个良好的休憩环境。</w:t>
            </w:r>
          </w:p>
        </w:tc>
      </w:tr>
      <w:tr w14:paraId="1605A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605" w:type="dxa"/>
            <w:gridSpan w:val="5"/>
            <w:vAlign w:val="top"/>
          </w:tcPr>
          <w:p w14:paraId="1BB84A2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▲二、商务条款</w:t>
            </w:r>
          </w:p>
        </w:tc>
      </w:tr>
      <w:tr w14:paraId="2375A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022" w:type="dxa"/>
            <w:gridSpan w:val="2"/>
            <w:vAlign w:val="center"/>
          </w:tcPr>
          <w:p w14:paraId="50E259C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服务期及地点</w:t>
            </w:r>
          </w:p>
        </w:tc>
        <w:tc>
          <w:tcPr>
            <w:tcW w:w="8583" w:type="dxa"/>
            <w:gridSpan w:val="3"/>
            <w:vAlign w:val="top"/>
          </w:tcPr>
          <w:p w14:paraId="2EE6F1A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合同履行期限</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自签订合同之日起1年；</w:t>
            </w:r>
          </w:p>
          <w:p w14:paraId="719C276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2.服务地点：</w:t>
            </w:r>
            <w:r>
              <w:rPr>
                <w:rFonts w:hint="eastAsia" w:ascii="仿宋" w:hAnsi="仿宋" w:eastAsia="仿宋" w:cs="仿宋"/>
                <w:color w:val="auto"/>
                <w:sz w:val="21"/>
                <w:szCs w:val="21"/>
                <w:highlight w:val="none"/>
                <w:lang w:eastAsia="zh-CN"/>
              </w:rPr>
              <w:t>崇左市</w:t>
            </w:r>
            <w:r>
              <w:rPr>
                <w:rFonts w:hint="eastAsia" w:ascii="仿宋" w:hAnsi="仿宋" w:eastAsia="仿宋" w:cs="仿宋"/>
                <w:sz w:val="21"/>
                <w:szCs w:val="21"/>
              </w:rPr>
              <w:t>江州区</w:t>
            </w:r>
            <w:r>
              <w:rPr>
                <w:rFonts w:hint="eastAsia" w:ascii="仿宋" w:hAnsi="仿宋" w:eastAsia="仿宋" w:cs="仿宋"/>
                <w:color w:val="auto"/>
                <w:sz w:val="21"/>
                <w:szCs w:val="21"/>
                <w:highlight w:val="none"/>
                <w:lang w:eastAsia="zh-CN"/>
              </w:rPr>
              <w:t>(西塘池塘、民族中学池塘、党校池塘、江北二桥头公园池塘和烈士陵园对面2池塘)</w:t>
            </w:r>
            <w:r>
              <w:rPr>
                <w:rFonts w:hint="eastAsia" w:ascii="仿宋" w:hAnsi="仿宋" w:eastAsia="仿宋" w:cs="仿宋"/>
                <w:color w:val="auto"/>
                <w:sz w:val="21"/>
                <w:szCs w:val="21"/>
                <w:highlight w:val="none"/>
              </w:rPr>
              <w:t>。</w:t>
            </w:r>
          </w:p>
        </w:tc>
      </w:tr>
      <w:tr w14:paraId="41100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022" w:type="dxa"/>
            <w:gridSpan w:val="2"/>
            <w:vAlign w:val="top"/>
          </w:tcPr>
          <w:p w14:paraId="59B4AEB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合同签订时间</w:t>
            </w:r>
          </w:p>
        </w:tc>
        <w:tc>
          <w:tcPr>
            <w:tcW w:w="8583" w:type="dxa"/>
            <w:gridSpan w:val="3"/>
            <w:vAlign w:val="top"/>
          </w:tcPr>
          <w:p w14:paraId="456A650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自成交通知书发出之日起</w:t>
            </w:r>
            <w:r>
              <w:rPr>
                <w:rFonts w:hint="eastAsia" w:ascii="仿宋" w:hAnsi="仿宋" w:eastAsia="仿宋" w:cs="仿宋"/>
                <w:color w:val="auto"/>
                <w:spacing w:val="-1"/>
                <w:sz w:val="21"/>
                <w:szCs w:val="21"/>
                <w:highlight w:val="none"/>
                <w:lang w:val="en-US" w:eastAsia="zh-CN"/>
              </w:rPr>
              <w:t>15</w:t>
            </w:r>
            <w:r>
              <w:rPr>
                <w:rFonts w:hint="eastAsia" w:ascii="仿宋" w:hAnsi="仿宋" w:eastAsia="仿宋" w:cs="仿宋"/>
                <w:color w:val="auto"/>
                <w:spacing w:val="-1"/>
                <w:sz w:val="21"/>
                <w:szCs w:val="21"/>
                <w:highlight w:val="none"/>
              </w:rPr>
              <w:t>日内。</w:t>
            </w:r>
          </w:p>
        </w:tc>
      </w:tr>
      <w:tr w14:paraId="35894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22" w:type="dxa"/>
            <w:gridSpan w:val="2"/>
            <w:vAlign w:val="center"/>
          </w:tcPr>
          <w:p w14:paraId="79239D0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报价要求</w:t>
            </w:r>
          </w:p>
        </w:tc>
        <w:tc>
          <w:tcPr>
            <w:tcW w:w="8583" w:type="dxa"/>
            <w:gridSpan w:val="3"/>
            <w:vAlign w:val="top"/>
          </w:tcPr>
          <w:p w14:paraId="0021F00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投标报价是满足全部采购需求所应提供的服务，以及生产费用：成本包含职工薪资、日常用电费用、药剂费、设备维护费、第三方水质检测费、日常水质化验费、管理费用等。</w:t>
            </w:r>
          </w:p>
        </w:tc>
      </w:tr>
      <w:tr w14:paraId="0A857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2022" w:type="dxa"/>
            <w:gridSpan w:val="2"/>
            <w:vAlign w:val="center"/>
          </w:tcPr>
          <w:p w14:paraId="1AD8A46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rPr>
              <w:t>付款方式</w:t>
            </w:r>
          </w:p>
        </w:tc>
        <w:tc>
          <w:tcPr>
            <w:tcW w:w="8583" w:type="dxa"/>
            <w:gridSpan w:val="3"/>
            <w:vAlign w:val="top"/>
          </w:tcPr>
          <w:p w14:paraId="2721C99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年度运营周期开始，乙方可申请本周期 30%运营维护费预付款，甲方在收到请款函及有效的发票后10个工作日内支付运营维护费预付款。年度运营情况绩效考评结束后，乙方根据考评分数进行本周期运营维护费余款请款，甲方在收到请款函及有效的发票后10个工作日内支付运营维护费。</w:t>
            </w:r>
          </w:p>
        </w:tc>
      </w:tr>
      <w:tr w14:paraId="123B3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2022" w:type="dxa"/>
            <w:gridSpan w:val="2"/>
            <w:vAlign w:val="center"/>
          </w:tcPr>
          <w:p w14:paraId="0EE8A12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b/>
                <w:bCs/>
                <w:color w:val="auto"/>
                <w:spacing w:val="-1"/>
                <w:sz w:val="21"/>
                <w:szCs w:val="21"/>
                <w:highlight w:val="none"/>
              </w:rPr>
            </w:pPr>
            <w:r>
              <w:rPr>
                <w:rFonts w:hint="eastAsia" w:ascii="仿宋" w:hAnsi="仿宋" w:eastAsia="仿宋" w:cs="仿宋"/>
                <w:b/>
                <w:bCs/>
                <w:color w:val="auto"/>
                <w:spacing w:val="-1"/>
                <w:sz w:val="21"/>
                <w:szCs w:val="21"/>
                <w:highlight w:val="none"/>
                <w:lang w:val="en-US" w:eastAsia="zh-CN"/>
              </w:rPr>
              <w:t>售后服务要求</w:t>
            </w:r>
          </w:p>
        </w:tc>
        <w:tc>
          <w:tcPr>
            <w:tcW w:w="8583" w:type="dxa"/>
            <w:gridSpan w:val="3"/>
            <w:vAlign w:val="top"/>
          </w:tcPr>
          <w:p w14:paraId="4E1071D1">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（1）接到采购人处理问题通知后2小时内到达采购人指定现场。</w:t>
            </w:r>
          </w:p>
          <w:p w14:paraId="61AD8FE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（1）在中标人运营管理期间，保证黑臭水体及其附属设施的正常运行和各项成果符合技术规范、法律法规、政策、招标文件和合同要求。</w:t>
            </w:r>
          </w:p>
          <w:p w14:paraId="3A609FE4">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 xml:space="preserve">（2）中标人在运营管理期间，必须严格按设备操作规程、安全操作规程进行操作，保证入场人员人身和财产安全，杜绝安全生产事故的发生。 </w:t>
            </w:r>
          </w:p>
          <w:p w14:paraId="480A8A99">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 xml:space="preserve">（3）黑臭水体及污水处理站点的各项设备的运行记录、维修记录、交接班记录表等必须由中标人详实纪录并妥善保存，当合同期满后，完整移交给采购人。 </w:t>
            </w:r>
          </w:p>
          <w:p w14:paraId="3F4B80E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（4）完成甲方临时安排的其他紧急或特殊事项，及协助负责处理污水管网存在问题等。</w:t>
            </w:r>
          </w:p>
          <w:p w14:paraId="025746F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snapToGrid w:val="0"/>
                <w:color w:val="auto"/>
                <w:kern w:val="0"/>
                <w:sz w:val="21"/>
                <w:szCs w:val="21"/>
                <w:highlight w:val="none"/>
                <w:lang w:val="en-US" w:eastAsia="zh-CN" w:bidi="ar-SA"/>
              </w:rPr>
              <w:t>（5）中标人的工作人员必须服从采购人的管理人员检查和监督、考核，不得出现偷排等违法行为。</w:t>
            </w:r>
          </w:p>
        </w:tc>
      </w:tr>
      <w:tr w14:paraId="7C66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2022" w:type="dxa"/>
            <w:gridSpan w:val="2"/>
            <w:vAlign w:val="center"/>
          </w:tcPr>
          <w:p w14:paraId="65F11A4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质量要求</w:t>
            </w:r>
          </w:p>
        </w:tc>
        <w:tc>
          <w:tcPr>
            <w:tcW w:w="8583" w:type="dxa"/>
            <w:gridSpan w:val="3"/>
            <w:vAlign w:val="top"/>
          </w:tcPr>
          <w:p w14:paraId="6816A195">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达到国家现行的相关标准、符合招标文件和合同约定。</w:t>
            </w:r>
          </w:p>
        </w:tc>
      </w:tr>
    </w:tbl>
    <w:p w14:paraId="6A0A8DE7">
      <w:pPr>
        <w:pStyle w:val="9"/>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p>
    <w:p w14:paraId="3B645BB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240" w:firstLineChars="200"/>
        <w:textAlignment w:val="baseline"/>
        <w:rPr>
          <w:rFonts w:hint="eastAsia" w:ascii="仿宋" w:hAnsi="仿宋" w:eastAsia="仿宋" w:cs="仿宋"/>
          <w:color w:val="auto"/>
          <w:sz w:val="12"/>
          <w:szCs w:val="12"/>
          <w:highlight w:val="none"/>
        </w:rPr>
        <w:sectPr>
          <w:footerReference r:id="rId7" w:type="default"/>
          <w:pgSz w:w="11910" w:h="16830"/>
          <w:pgMar w:top="1144" w:right="896" w:bottom="1101" w:left="895" w:header="0" w:footer="957" w:gutter="0"/>
          <w:pgNumType w:fmt="decimal"/>
          <w:cols w:space="720" w:num="1"/>
        </w:sectPr>
      </w:pPr>
    </w:p>
    <w:p w14:paraId="0AEBA1D0">
      <w:pPr>
        <w:widowControl w:val="0"/>
        <w:kinsoku/>
        <w:autoSpaceDE/>
        <w:autoSpaceDN/>
        <w:adjustRightInd/>
        <w:snapToGrid/>
        <w:spacing w:line="528" w:lineRule="exact"/>
        <w:jc w:val="left"/>
        <w:textAlignment w:val="auto"/>
        <w:rPr>
          <w:rFonts w:hint="eastAsia" w:ascii="仿宋" w:hAnsi="仿宋" w:eastAsia="仿宋" w:cs="仿宋"/>
          <w:snapToGrid/>
          <w:color w:val="auto"/>
          <w:kern w:val="2"/>
          <w:szCs w:val="24"/>
          <w:highlight w:val="none"/>
          <w:lang w:eastAsia="zh-CN"/>
        </w:rPr>
      </w:pPr>
      <w:r>
        <w:rPr>
          <w:rFonts w:hint="eastAsia" w:ascii="仿宋" w:hAnsi="仿宋" w:eastAsia="仿宋" w:cs="仿宋"/>
          <w:snapToGrid/>
          <w:color w:val="auto"/>
          <w:kern w:val="2"/>
          <w:sz w:val="32"/>
          <w:szCs w:val="32"/>
          <w:highlight w:val="none"/>
          <w:lang w:eastAsia="zh-CN"/>
        </w:rPr>
        <w:t>附件1</w:t>
      </w:r>
    </w:p>
    <w:p w14:paraId="05F73CF6">
      <w:pPr>
        <w:widowControl w:val="0"/>
        <w:kinsoku/>
        <w:autoSpaceDE/>
        <w:autoSpaceDN/>
        <w:adjustRightInd/>
        <w:snapToGrid/>
        <w:spacing w:line="528" w:lineRule="exact"/>
        <w:jc w:val="center"/>
        <w:textAlignment w:val="auto"/>
        <w:rPr>
          <w:rFonts w:hint="eastAsia" w:ascii="仿宋" w:hAnsi="仿宋" w:eastAsia="仿宋" w:cs="仿宋"/>
          <w:snapToGrid/>
          <w:color w:val="auto"/>
          <w:kern w:val="2"/>
          <w:sz w:val="40"/>
          <w:szCs w:val="40"/>
          <w:highlight w:val="none"/>
          <w:lang w:eastAsia="zh-CN"/>
        </w:rPr>
      </w:pPr>
      <w:r>
        <w:rPr>
          <w:rFonts w:hint="eastAsia" w:ascii="仿宋" w:hAnsi="仿宋" w:eastAsia="仿宋" w:cs="仿宋"/>
          <w:snapToGrid/>
          <w:color w:val="auto"/>
          <w:kern w:val="2"/>
          <w:sz w:val="40"/>
          <w:szCs w:val="40"/>
          <w:highlight w:val="none"/>
          <w:lang w:eastAsia="zh-CN"/>
        </w:rPr>
        <w:t>节能产品政府采购品目清单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54AF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14:paraId="1B1EBBB1">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品目序号</w:t>
            </w:r>
          </w:p>
        </w:tc>
        <w:tc>
          <w:tcPr>
            <w:tcW w:w="4244" w:type="dxa"/>
            <w:gridSpan w:val="3"/>
            <w:noWrap w:val="0"/>
            <w:vAlign w:val="center"/>
          </w:tcPr>
          <w:p w14:paraId="4C1174A5">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名称</w:t>
            </w:r>
          </w:p>
        </w:tc>
        <w:tc>
          <w:tcPr>
            <w:tcW w:w="4335" w:type="dxa"/>
            <w:noWrap w:val="0"/>
            <w:vAlign w:val="center"/>
          </w:tcPr>
          <w:p w14:paraId="4B18A02F">
            <w:pPr>
              <w:widowControl/>
              <w:kinsoku/>
              <w:autoSpaceDE/>
              <w:autoSpaceDN/>
              <w:adjustRightInd/>
              <w:snapToGrid/>
              <w:spacing w:line="240" w:lineRule="auto"/>
              <w:jc w:val="center"/>
              <w:textAlignment w:val="auto"/>
              <w:rPr>
                <w:rFonts w:hint="eastAsia" w:ascii="仿宋" w:hAnsi="仿宋" w:eastAsia="仿宋" w:cs="仿宋"/>
                <w:b/>
                <w:bCs/>
                <w:snapToGrid/>
                <w:color w:val="auto"/>
                <w:kern w:val="0"/>
                <w:sz w:val="22"/>
                <w:szCs w:val="22"/>
                <w:highlight w:val="none"/>
                <w:lang w:eastAsia="zh-CN"/>
              </w:rPr>
            </w:pPr>
            <w:r>
              <w:rPr>
                <w:rFonts w:hint="eastAsia" w:ascii="仿宋" w:hAnsi="仿宋" w:eastAsia="仿宋" w:cs="仿宋"/>
                <w:b/>
                <w:bCs/>
                <w:snapToGrid/>
                <w:color w:val="auto"/>
                <w:kern w:val="0"/>
                <w:sz w:val="22"/>
                <w:szCs w:val="22"/>
                <w:highlight w:val="none"/>
                <w:lang w:eastAsia="zh-CN"/>
              </w:rPr>
              <w:t>依据的标准</w:t>
            </w:r>
          </w:p>
        </w:tc>
      </w:tr>
      <w:tr w14:paraId="687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D07A4D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w:t>
            </w:r>
          </w:p>
        </w:tc>
        <w:tc>
          <w:tcPr>
            <w:tcW w:w="1116" w:type="dxa"/>
            <w:vMerge w:val="restart"/>
            <w:noWrap w:val="0"/>
            <w:vAlign w:val="center"/>
          </w:tcPr>
          <w:p w14:paraId="5ECE06C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A020101计算机设备</w:t>
            </w:r>
          </w:p>
        </w:tc>
        <w:tc>
          <w:tcPr>
            <w:tcW w:w="1516" w:type="dxa"/>
            <w:noWrap w:val="0"/>
            <w:vAlign w:val="center"/>
          </w:tcPr>
          <w:p w14:paraId="0CD5DF1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★A02010104台式计算机</w:t>
            </w:r>
          </w:p>
        </w:tc>
        <w:tc>
          <w:tcPr>
            <w:tcW w:w="1612" w:type="dxa"/>
            <w:noWrap w:val="0"/>
            <w:vAlign w:val="center"/>
          </w:tcPr>
          <w:p w14:paraId="36381D8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3F1B6A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0F1C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468E76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37772C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C4C64B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★A02010105便携式计算机</w:t>
            </w:r>
          </w:p>
        </w:tc>
        <w:tc>
          <w:tcPr>
            <w:tcW w:w="1612" w:type="dxa"/>
            <w:noWrap w:val="0"/>
            <w:vAlign w:val="center"/>
          </w:tcPr>
          <w:p w14:paraId="2FB998D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F262A2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7533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4B4AAF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52BE41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5D26F0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★A02010107平板式微型计算机</w:t>
            </w:r>
          </w:p>
        </w:tc>
        <w:tc>
          <w:tcPr>
            <w:tcW w:w="1612" w:type="dxa"/>
            <w:noWrap w:val="0"/>
            <w:vAlign w:val="center"/>
          </w:tcPr>
          <w:p w14:paraId="2F232E6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51FC4C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《微型计算机能效限定值及能效等级》（GB28380）</w:t>
            </w:r>
          </w:p>
        </w:tc>
      </w:tr>
      <w:tr w14:paraId="4209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755331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2</w:t>
            </w:r>
          </w:p>
        </w:tc>
        <w:tc>
          <w:tcPr>
            <w:tcW w:w="1116" w:type="dxa"/>
            <w:vMerge w:val="restart"/>
            <w:noWrap w:val="0"/>
            <w:vAlign w:val="center"/>
          </w:tcPr>
          <w:p w14:paraId="574385C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A020106输入输出设备</w:t>
            </w:r>
          </w:p>
        </w:tc>
        <w:tc>
          <w:tcPr>
            <w:tcW w:w="1516" w:type="dxa"/>
            <w:vMerge w:val="restart"/>
            <w:noWrap w:val="0"/>
            <w:vAlign w:val="center"/>
          </w:tcPr>
          <w:p w14:paraId="7DD009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A02010601打印设备</w:t>
            </w:r>
          </w:p>
        </w:tc>
        <w:tc>
          <w:tcPr>
            <w:tcW w:w="1612" w:type="dxa"/>
            <w:noWrap w:val="0"/>
            <w:vAlign w:val="center"/>
          </w:tcPr>
          <w:p w14:paraId="0B04D9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A0201060101喷墨打印机</w:t>
            </w:r>
          </w:p>
        </w:tc>
        <w:tc>
          <w:tcPr>
            <w:tcW w:w="4335" w:type="dxa"/>
            <w:noWrap w:val="0"/>
            <w:vAlign w:val="center"/>
          </w:tcPr>
          <w:p w14:paraId="5A9A352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618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81F29E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8B96E5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16B84D7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AA4E79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★A0201060102激光打印机</w:t>
            </w:r>
          </w:p>
        </w:tc>
        <w:tc>
          <w:tcPr>
            <w:tcW w:w="4335" w:type="dxa"/>
            <w:noWrap w:val="0"/>
            <w:vAlign w:val="center"/>
          </w:tcPr>
          <w:p w14:paraId="278FB06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6AC5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3C67A0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AFF0DE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503784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1670D3D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★A0201060104针式打印机</w:t>
            </w:r>
          </w:p>
        </w:tc>
        <w:tc>
          <w:tcPr>
            <w:tcW w:w="4335" w:type="dxa"/>
            <w:noWrap w:val="0"/>
            <w:vAlign w:val="center"/>
          </w:tcPr>
          <w:p w14:paraId="60FE841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3927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3B8A3F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E585EB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3FC33EA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A02010604显示设备</w:t>
            </w:r>
          </w:p>
        </w:tc>
        <w:tc>
          <w:tcPr>
            <w:tcW w:w="1612" w:type="dxa"/>
            <w:noWrap w:val="0"/>
            <w:vAlign w:val="center"/>
          </w:tcPr>
          <w:p w14:paraId="223354A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★A0201060401液晶显示器</w:t>
            </w:r>
          </w:p>
        </w:tc>
        <w:tc>
          <w:tcPr>
            <w:tcW w:w="4335" w:type="dxa"/>
            <w:noWrap w:val="0"/>
            <w:vAlign w:val="center"/>
          </w:tcPr>
          <w:p w14:paraId="3C2F333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《计算机显示器能效限定值及能效等级》（GB21520）</w:t>
            </w:r>
          </w:p>
        </w:tc>
      </w:tr>
      <w:tr w14:paraId="2B19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7717E65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00F5A37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09437FA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A02010609图形图像输入设备</w:t>
            </w:r>
          </w:p>
        </w:tc>
        <w:tc>
          <w:tcPr>
            <w:tcW w:w="1612" w:type="dxa"/>
            <w:noWrap w:val="0"/>
            <w:vAlign w:val="center"/>
          </w:tcPr>
          <w:p w14:paraId="04FCE5F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A0201060901扫描仪</w:t>
            </w:r>
          </w:p>
        </w:tc>
        <w:tc>
          <w:tcPr>
            <w:tcW w:w="4335" w:type="dxa"/>
            <w:noWrap w:val="0"/>
            <w:vAlign w:val="center"/>
          </w:tcPr>
          <w:p w14:paraId="19D292C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参照《复印机、打印机和传真机能效限定值及能效等级》（GB21521）中打印速度为15页/分的针式打印机相关要求</w:t>
            </w:r>
          </w:p>
        </w:tc>
      </w:tr>
      <w:tr w14:paraId="53BE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85CCB0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3</w:t>
            </w:r>
          </w:p>
        </w:tc>
        <w:tc>
          <w:tcPr>
            <w:tcW w:w="1116" w:type="dxa"/>
            <w:noWrap w:val="0"/>
            <w:vAlign w:val="center"/>
          </w:tcPr>
          <w:p w14:paraId="49D5284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A020202投影仪</w:t>
            </w:r>
          </w:p>
        </w:tc>
        <w:tc>
          <w:tcPr>
            <w:tcW w:w="1516" w:type="dxa"/>
            <w:noWrap w:val="0"/>
            <w:vAlign w:val="center"/>
          </w:tcPr>
          <w:p w14:paraId="34CB9E5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39D2157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016470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《投影机能效限定值及能效等级》（GB32028）</w:t>
            </w:r>
          </w:p>
        </w:tc>
      </w:tr>
      <w:tr w14:paraId="0477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A16E09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4</w:t>
            </w:r>
          </w:p>
        </w:tc>
        <w:tc>
          <w:tcPr>
            <w:tcW w:w="1116" w:type="dxa"/>
            <w:noWrap w:val="0"/>
            <w:vAlign w:val="center"/>
          </w:tcPr>
          <w:p w14:paraId="781164D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A020204多功能一体机</w:t>
            </w:r>
          </w:p>
        </w:tc>
        <w:tc>
          <w:tcPr>
            <w:tcW w:w="1516" w:type="dxa"/>
            <w:noWrap w:val="0"/>
            <w:vAlign w:val="center"/>
          </w:tcPr>
          <w:p w14:paraId="46BEFA9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6DA8F70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608CA2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《复印机、打印机和传真机能效限定值及能效等级》（GB21521）</w:t>
            </w:r>
          </w:p>
        </w:tc>
      </w:tr>
      <w:tr w14:paraId="50AD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EA8D9B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5</w:t>
            </w:r>
          </w:p>
        </w:tc>
        <w:tc>
          <w:tcPr>
            <w:tcW w:w="1116" w:type="dxa"/>
            <w:noWrap w:val="0"/>
            <w:vAlign w:val="center"/>
          </w:tcPr>
          <w:p w14:paraId="751A8D2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A020519泵</w:t>
            </w:r>
          </w:p>
        </w:tc>
        <w:tc>
          <w:tcPr>
            <w:tcW w:w="1516" w:type="dxa"/>
            <w:noWrap w:val="0"/>
            <w:vAlign w:val="center"/>
          </w:tcPr>
          <w:p w14:paraId="5C1E683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A02051901离心泵</w:t>
            </w:r>
          </w:p>
        </w:tc>
        <w:tc>
          <w:tcPr>
            <w:tcW w:w="1612" w:type="dxa"/>
            <w:noWrap w:val="0"/>
            <w:vAlign w:val="center"/>
          </w:tcPr>
          <w:p w14:paraId="04C9027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14B3F1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《清水离心泵能效限定值及节能评价值》（GB19762）</w:t>
            </w:r>
          </w:p>
        </w:tc>
      </w:tr>
      <w:tr w14:paraId="1C7E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14:paraId="4B3DFB8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6</w:t>
            </w:r>
          </w:p>
        </w:tc>
        <w:tc>
          <w:tcPr>
            <w:tcW w:w="1116" w:type="dxa"/>
            <w:vMerge w:val="restart"/>
            <w:noWrap w:val="0"/>
            <w:vAlign w:val="center"/>
          </w:tcPr>
          <w:p w14:paraId="43F71F8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A020523制冷空调设备</w:t>
            </w:r>
          </w:p>
        </w:tc>
        <w:tc>
          <w:tcPr>
            <w:tcW w:w="1516" w:type="dxa"/>
            <w:vMerge w:val="restart"/>
            <w:noWrap w:val="0"/>
            <w:vAlign w:val="center"/>
          </w:tcPr>
          <w:p w14:paraId="36C90E3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★A02052301制冷压缩机</w:t>
            </w:r>
          </w:p>
        </w:tc>
        <w:tc>
          <w:tcPr>
            <w:tcW w:w="1612" w:type="dxa"/>
            <w:noWrap w:val="0"/>
            <w:vAlign w:val="center"/>
          </w:tcPr>
          <w:p w14:paraId="3ECE981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冷水机组</w:t>
            </w:r>
          </w:p>
        </w:tc>
        <w:tc>
          <w:tcPr>
            <w:tcW w:w="4335" w:type="dxa"/>
            <w:noWrap w:val="0"/>
            <w:vAlign w:val="center"/>
          </w:tcPr>
          <w:p w14:paraId="611A5643">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《冷水机组能效限定值及能效等级》（GB19577），《低环境温度空气源热泵（冷水）机组能效限定值及能效等级》（GB37480）</w:t>
            </w:r>
          </w:p>
        </w:tc>
      </w:tr>
      <w:tr w14:paraId="2C6E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5964CDC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7141C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5E14E92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1C2737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水源热泵机组</w:t>
            </w:r>
          </w:p>
        </w:tc>
        <w:tc>
          <w:tcPr>
            <w:tcW w:w="4335" w:type="dxa"/>
            <w:noWrap w:val="0"/>
            <w:vAlign w:val="center"/>
          </w:tcPr>
          <w:p w14:paraId="34DEEC9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《水（地）源热泵机组能效限定值及能效等级》（GB30721）</w:t>
            </w:r>
          </w:p>
        </w:tc>
      </w:tr>
      <w:tr w14:paraId="0C18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D7A151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1A2537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63FC707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97D851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溴化锂吸收式冷水机组</w:t>
            </w:r>
          </w:p>
        </w:tc>
        <w:tc>
          <w:tcPr>
            <w:tcW w:w="4335" w:type="dxa"/>
            <w:noWrap w:val="0"/>
            <w:vAlign w:val="center"/>
          </w:tcPr>
          <w:p w14:paraId="2707AC4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《溴化锂吸收式冷水机组能效限定值及能效等级》（GB29540）</w:t>
            </w:r>
          </w:p>
        </w:tc>
      </w:tr>
      <w:tr w14:paraId="3FF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A2A6D0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65498E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1994EBD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★A02052305空调机组</w:t>
            </w:r>
          </w:p>
        </w:tc>
        <w:tc>
          <w:tcPr>
            <w:tcW w:w="1612" w:type="dxa"/>
            <w:noWrap w:val="0"/>
            <w:vAlign w:val="center"/>
          </w:tcPr>
          <w:p w14:paraId="3895BAA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多联式空调（热泵）机组(制冷量&gt;14000W)</w:t>
            </w:r>
          </w:p>
        </w:tc>
        <w:tc>
          <w:tcPr>
            <w:tcW w:w="4335" w:type="dxa"/>
            <w:noWrap w:val="0"/>
            <w:vAlign w:val="center"/>
          </w:tcPr>
          <w:p w14:paraId="7F337F3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《多联式空调（热泵）机组能效限定值及能源效率等级》（GB21454）</w:t>
            </w:r>
          </w:p>
        </w:tc>
      </w:tr>
      <w:tr w14:paraId="6732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20D7D5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48D0403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4EEE3FE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6C5D756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单元式空气调节机(制冷量&gt;14000W</w:t>
            </w:r>
          </w:p>
        </w:tc>
        <w:tc>
          <w:tcPr>
            <w:tcW w:w="4335" w:type="dxa"/>
            <w:noWrap w:val="0"/>
            <w:vAlign w:val="center"/>
          </w:tcPr>
          <w:p w14:paraId="7172B46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《单元式空气调节机能效限定值及能效等级》（GB19576）《风管送风式空调机组能效限定值及能效等级》（GB37479）</w:t>
            </w:r>
          </w:p>
        </w:tc>
      </w:tr>
      <w:tr w14:paraId="56FD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44F9D4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FF8960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8F8A5F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★A02052309专用制冷、空调设备</w:t>
            </w:r>
          </w:p>
        </w:tc>
        <w:tc>
          <w:tcPr>
            <w:tcW w:w="1612" w:type="dxa"/>
            <w:noWrap w:val="0"/>
            <w:vAlign w:val="center"/>
          </w:tcPr>
          <w:p w14:paraId="537B1A2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机房空调</w:t>
            </w:r>
          </w:p>
        </w:tc>
        <w:tc>
          <w:tcPr>
            <w:tcW w:w="4335" w:type="dxa"/>
            <w:noWrap w:val="0"/>
            <w:vAlign w:val="center"/>
          </w:tcPr>
          <w:p w14:paraId="71CADC1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《单元式空气调节机能效限定值及能效等级》（GB19576）</w:t>
            </w:r>
          </w:p>
        </w:tc>
      </w:tr>
      <w:tr w14:paraId="7E67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3CD0359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433B73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6F8714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A02052399其他制冷空调设备</w:t>
            </w:r>
          </w:p>
        </w:tc>
        <w:tc>
          <w:tcPr>
            <w:tcW w:w="1612" w:type="dxa"/>
            <w:noWrap w:val="0"/>
            <w:vAlign w:val="center"/>
          </w:tcPr>
          <w:p w14:paraId="6553B97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冷却塔</w:t>
            </w:r>
          </w:p>
        </w:tc>
        <w:tc>
          <w:tcPr>
            <w:tcW w:w="4335" w:type="dxa"/>
            <w:noWrap w:val="0"/>
            <w:vAlign w:val="center"/>
          </w:tcPr>
          <w:p w14:paraId="3541FE5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《机械通风冷却塔第1部分：中小型开式冷却塔》（GB/T7190.1）；《机械通风冷却塔第2部分：大型开式冷却塔》（GB/T7190.2）</w:t>
            </w:r>
          </w:p>
        </w:tc>
      </w:tr>
      <w:tr w14:paraId="521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0242FE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7</w:t>
            </w:r>
          </w:p>
        </w:tc>
        <w:tc>
          <w:tcPr>
            <w:tcW w:w="1116" w:type="dxa"/>
            <w:noWrap w:val="0"/>
            <w:vAlign w:val="center"/>
          </w:tcPr>
          <w:p w14:paraId="0C39CFB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A020601电机</w:t>
            </w:r>
          </w:p>
        </w:tc>
        <w:tc>
          <w:tcPr>
            <w:tcW w:w="1516" w:type="dxa"/>
            <w:noWrap w:val="0"/>
            <w:vAlign w:val="center"/>
          </w:tcPr>
          <w:p w14:paraId="0CC138F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71152C5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9C3230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《中小型三相异步电动机能效限定值及能效等级》（GB18613）</w:t>
            </w:r>
          </w:p>
        </w:tc>
      </w:tr>
      <w:tr w14:paraId="2D88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40B96F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8</w:t>
            </w:r>
          </w:p>
        </w:tc>
        <w:tc>
          <w:tcPr>
            <w:tcW w:w="1116" w:type="dxa"/>
            <w:noWrap w:val="0"/>
            <w:vAlign w:val="center"/>
          </w:tcPr>
          <w:p w14:paraId="0ADFE13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A020602变压器</w:t>
            </w:r>
          </w:p>
        </w:tc>
        <w:tc>
          <w:tcPr>
            <w:tcW w:w="1516" w:type="dxa"/>
            <w:noWrap w:val="0"/>
            <w:vAlign w:val="center"/>
          </w:tcPr>
          <w:p w14:paraId="4475EAC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配电变压器</w:t>
            </w:r>
          </w:p>
        </w:tc>
        <w:tc>
          <w:tcPr>
            <w:tcW w:w="1612" w:type="dxa"/>
            <w:noWrap w:val="0"/>
            <w:vAlign w:val="center"/>
          </w:tcPr>
          <w:p w14:paraId="17993A1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47993DA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《三相配电变压器能效限定值及能效等级》（GB20052）</w:t>
            </w:r>
          </w:p>
        </w:tc>
      </w:tr>
      <w:tr w14:paraId="2A9A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57EC3F9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9</w:t>
            </w:r>
          </w:p>
        </w:tc>
        <w:tc>
          <w:tcPr>
            <w:tcW w:w="1116" w:type="dxa"/>
            <w:noWrap w:val="0"/>
            <w:vAlign w:val="center"/>
          </w:tcPr>
          <w:p w14:paraId="4A9A4EF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★A020609镇流器</w:t>
            </w:r>
          </w:p>
        </w:tc>
        <w:tc>
          <w:tcPr>
            <w:tcW w:w="1516" w:type="dxa"/>
            <w:noWrap w:val="0"/>
            <w:vAlign w:val="center"/>
          </w:tcPr>
          <w:p w14:paraId="18D89C3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管型荧光灯镇流器</w:t>
            </w:r>
          </w:p>
        </w:tc>
        <w:tc>
          <w:tcPr>
            <w:tcW w:w="1612" w:type="dxa"/>
            <w:noWrap w:val="0"/>
            <w:vAlign w:val="center"/>
          </w:tcPr>
          <w:p w14:paraId="4964157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22AA8D2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《管形荧光灯镇流器能效限定值及能效等级》（GB17896）</w:t>
            </w:r>
          </w:p>
        </w:tc>
      </w:tr>
      <w:tr w14:paraId="2B64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5BB1DD8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10</w:t>
            </w:r>
          </w:p>
        </w:tc>
        <w:tc>
          <w:tcPr>
            <w:tcW w:w="1116" w:type="dxa"/>
            <w:vMerge w:val="restart"/>
            <w:noWrap w:val="0"/>
            <w:vAlign w:val="center"/>
          </w:tcPr>
          <w:p w14:paraId="7F96872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A020618生活用电器</w:t>
            </w:r>
          </w:p>
        </w:tc>
        <w:tc>
          <w:tcPr>
            <w:tcW w:w="1516" w:type="dxa"/>
            <w:noWrap w:val="0"/>
            <w:vAlign w:val="center"/>
          </w:tcPr>
          <w:p w14:paraId="575090A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A0206180101电冰箱</w:t>
            </w:r>
          </w:p>
        </w:tc>
        <w:tc>
          <w:tcPr>
            <w:tcW w:w="1612" w:type="dxa"/>
            <w:noWrap w:val="0"/>
            <w:vAlign w:val="center"/>
          </w:tcPr>
          <w:p w14:paraId="7350560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6F6DA8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《家用电冰箱耗电量限定值及能效等级》（GB 12021.2）</w:t>
            </w:r>
          </w:p>
        </w:tc>
      </w:tr>
      <w:tr w14:paraId="2015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245C57B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65BB269">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535EA54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★A0206180203空调机</w:t>
            </w:r>
          </w:p>
        </w:tc>
        <w:tc>
          <w:tcPr>
            <w:tcW w:w="1612" w:type="dxa"/>
            <w:noWrap w:val="0"/>
            <w:vAlign w:val="center"/>
          </w:tcPr>
          <w:p w14:paraId="4D3C6BD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房间空气调节器</w:t>
            </w:r>
          </w:p>
        </w:tc>
        <w:tc>
          <w:tcPr>
            <w:tcW w:w="4335" w:type="dxa"/>
            <w:noWrap w:val="0"/>
            <w:vAlign w:val="center"/>
          </w:tcPr>
          <w:p w14:paraId="41621BE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《转速可控型房间空气调节器能效限定值及能效等级》（GB21455-2013），待2019年修订发布后，按《房间空气调节器能效限定值及能效等级》（GB21455-2019实施。</w:t>
            </w:r>
          </w:p>
        </w:tc>
      </w:tr>
      <w:tr w14:paraId="0830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50BA78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FC8749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6AEBF5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7893FAD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多联式空调（热泵）机组（制冷量≤ 14000W）</w:t>
            </w:r>
          </w:p>
        </w:tc>
        <w:tc>
          <w:tcPr>
            <w:tcW w:w="4335" w:type="dxa"/>
            <w:noWrap w:val="0"/>
            <w:vAlign w:val="center"/>
          </w:tcPr>
          <w:p w14:paraId="1E25D6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《多联式空调（热泵）机组能效限定值及能源效率等级》（GB21454）</w:t>
            </w:r>
          </w:p>
        </w:tc>
      </w:tr>
      <w:tr w14:paraId="4303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7DF686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5F3EF57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013FD97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3FA2F7E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单元式空气调节机(制冷量≤14000W)</w:t>
            </w:r>
          </w:p>
        </w:tc>
        <w:tc>
          <w:tcPr>
            <w:tcW w:w="4335" w:type="dxa"/>
            <w:noWrap w:val="0"/>
            <w:vAlign w:val="center"/>
          </w:tcPr>
          <w:p w14:paraId="752F5E2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《单元式空气调节机能效限定值及能源效率等级》（GB19576）《风管送风式空调机组能效限定值及能效等级》（GB37479）</w:t>
            </w:r>
          </w:p>
        </w:tc>
      </w:tr>
      <w:tr w14:paraId="5A5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16E9366">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B87F3C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1245BC5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A0206180301洗衣机</w:t>
            </w:r>
          </w:p>
        </w:tc>
        <w:tc>
          <w:tcPr>
            <w:tcW w:w="1612" w:type="dxa"/>
            <w:noWrap w:val="0"/>
            <w:vAlign w:val="center"/>
          </w:tcPr>
          <w:p w14:paraId="5510623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62F8DB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《电动洗衣机能效水效限定值及等级》（GB12021.4）</w:t>
            </w:r>
          </w:p>
        </w:tc>
      </w:tr>
      <w:tr w14:paraId="3C7E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78193F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67054A6A">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restart"/>
            <w:noWrap w:val="0"/>
            <w:vAlign w:val="center"/>
          </w:tcPr>
          <w:p w14:paraId="24FA20C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A02061808热水器</w:t>
            </w:r>
          </w:p>
        </w:tc>
        <w:tc>
          <w:tcPr>
            <w:tcW w:w="1612" w:type="dxa"/>
            <w:noWrap w:val="0"/>
            <w:vAlign w:val="center"/>
          </w:tcPr>
          <w:p w14:paraId="596B43EB">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★电热水器</w:t>
            </w:r>
          </w:p>
        </w:tc>
        <w:tc>
          <w:tcPr>
            <w:tcW w:w="4335" w:type="dxa"/>
            <w:noWrap w:val="0"/>
            <w:vAlign w:val="center"/>
          </w:tcPr>
          <w:p w14:paraId="7ADDD0B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《储水式电热水器能效限定值及能效等级》（GB21519）</w:t>
            </w:r>
          </w:p>
        </w:tc>
      </w:tr>
      <w:tr w14:paraId="062D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CC176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24FDA7E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22D898C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5F287CB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燃气热水器</w:t>
            </w:r>
          </w:p>
        </w:tc>
        <w:tc>
          <w:tcPr>
            <w:tcW w:w="4335" w:type="dxa"/>
            <w:noWrap w:val="0"/>
            <w:vAlign w:val="center"/>
          </w:tcPr>
          <w:p w14:paraId="30E4DFA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《家用燃气快速热水器和燃气采暖热水炉能效限定值及能效等级》（GB20665）</w:t>
            </w:r>
          </w:p>
        </w:tc>
      </w:tr>
      <w:tr w14:paraId="4215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3B0795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64F50530">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6BFF6E16">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038850A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热泵热水器</w:t>
            </w:r>
          </w:p>
        </w:tc>
        <w:tc>
          <w:tcPr>
            <w:tcW w:w="4335" w:type="dxa"/>
            <w:noWrap w:val="0"/>
            <w:vAlign w:val="center"/>
          </w:tcPr>
          <w:p w14:paraId="2FCB6FF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《热泵热水机（器）能效限定值及能效等级》（GB29541）</w:t>
            </w:r>
          </w:p>
        </w:tc>
      </w:tr>
      <w:tr w14:paraId="2BCF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125083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9D9649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vMerge w:val="continue"/>
            <w:noWrap w:val="0"/>
            <w:vAlign w:val="center"/>
          </w:tcPr>
          <w:p w14:paraId="1D9184F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612" w:type="dxa"/>
            <w:noWrap w:val="0"/>
            <w:vAlign w:val="center"/>
          </w:tcPr>
          <w:p w14:paraId="6A8A855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太阳能热水系统</w:t>
            </w:r>
          </w:p>
        </w:tc>
        <w:tc>
          <w:tcPr>
            <w:tcW w:w="4335" w:type="dxa"/>
            <w:noWrap w:val="0"/>
            <w:vAlign w:val="center"/>
          </w:tcPr>
          <w:p w14:paraId="5DA3637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《家用太阳能热水系统能效限定值及能效等级》（GB26969）</w:t>
            </w:r>
          </w:p>
        </w:tc>
      </w:tr>
      <w:tr w14:paraId="12A3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50E8853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11</w:t>
            </w:r>
          </w:p>
        </w:tc>
        <w:tc>
          <w:tcPr>
            <w:tcW w:w="1116" w:type="dxa"/>
            <w:vMerge w:val="restart"/>
            <w:noWrap w:val="0"/>
            <w:vAlign w:val="center"/>
          </w:tcPr>
          <w:p w14:paraId="58A55A5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A020619照明设备</w:t>
            </w:r>
          </w:p>
        </w:tc>
        <w:tc>
          <w:tcPr>
            <w:tcW w:w="1516" w:type="dxa"/>
            <w:noWrap w:val="0"/>
            <w:vAlign w:val="center"/>
          </w:tcPr>
          <w:p w14:paraId="642A95A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★普通照明用双端荧光灯</w:t>
            </w:r>
          </w:p>
        </w:tc>
        <w:tc>
          <w:tcPr>
            <w:tcW w:w="1612" w:type="dxa"/>
            <w:noWrap w:val="0"/>
            <w:vAlign w:val="center"/>
          </w:tcPr>
          <w:p w14:paraId="5ECFB90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D1C60C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《普通照明用双端荧光灯能效限定值及能效等级》（GB19043）</w:t>
            </w:r>
          </w:p>
        </w:tc>
      </w:tr>
      <w:tr w14:paraId="06C8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84DBE4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1BD2CAD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55CF225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LED道路/隧道照明产品</w:t>
            </w:r>
          </w:p>
        </w:tc>
        <w:tc>
          <w:tcPr>
            <w:tcW w:w="1612" w:type="dxa"/>
            <w:noWrap w:val="0"/>
            <w:vAlign w:val="center"/>
          </w:tcPr>
          <w:p w14:paraId="46F3D19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79D4CB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《道路和隧道照明用LED灯具能效限定值及能效等级》（GB37478）</w:t>
            </w:r>
          </w:p>
        </w:tc>
      </w:tr>
      <w:tr w14:paraId="4ADA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8592A1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00ACAD3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319A5323">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LED筒灯</w:t>
            </w:r>
          </w:p>
        </w:tc>
        <w:tc>
          <w:tcPr>
            <w:tcW w:w="1612" w:type="dxa"/>
            <w:noWrap w:val="0"/>
            <w:vAlign w:val="center"/>
          </w:tcPr>
          <w:p w14:paraId="3342A34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CA183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《室内照明用LED产品能效限定值及能效等级》（GB30255）</w:t>
            </w:r>
          </w:p>
        </w:tc>
      </w:tr>
      <w:tr w14:paraId="496A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6FFC59FB">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7CC5FE6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746E46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普通照明用非定向自镇流LED灯</w:t>
            </w:r>
          </w:p>
        </w:tc>
        <w:tc>
          <w:tcPr>
            <w:tcW w:w="1612" w:type="dxa"/>
            <w:noWrap w:val="0"/>
            <w:vAlign w:val="center"/>
          </w:tcPr>
          <w:p w14:paraId="3C0B6CB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46A599E">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《室内照明用LED产品能效限定值及能效等级》（GB30255）</w:t>
            </w:r>
          </w:p>
        </w:tc>
      </w:tr>
      <w:tr w14:paraId="1209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7B0C1FA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12</w:t>
            </w:r>
          </w:p>
        </w:tc>
        <w:tc>
          <w:tcPr>
            <w:tcW w:w="1116" w:type="dxa"/>
            <w:noWrap w:val="0"/>
            <w:vAlign w:val="center"/>
          </w:tcPr>
          <w:p w14:paraId="1A573684">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★A020910电视设备</w:t>
            </w:r>
          </w:p>
        </w:tc>
        <w:tc>
          <w:tcPr>
            <w:tcW w:w="1516" w:type="dxa"/>
            <w:noWrap w:val="0"/>
            <w:vAlign w:val="center"/>
          </w:tcPr>
          <w:p w14:paraId="527D53E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A02091001普通电视设备（电视机）</w:t>
            </w:r>
          </w:p>
        </w:tc>
        <w:tc>
          <w:tcPr>
            <w:tcW w:w="1612" w:type="dxa"/>
            <w:noWrap w:val="0"/>
            <w:vAlign w:val="center"/>
          </w:tcPr>
          <w:p w14:paraId="20747E4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3ECBAE1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《平板电视能效限定值及能效等级》（GB24850）</w:t>
            </w:r>
          </w:p>
        </w:tc>
      </w:tr>
      <w:tr w14:paraId="3B6F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14:paraId="2C2526F0">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13</w:t>
            </w:r>
          </w:p>
        </w:tc>
        <w:tc>
          <w:tcPr>
            <w:tcW w:w="1116" w:type="dxa"/>
            <w:noWrap w:val="0"/>
            <w:vAlign w:val="center"/>
          </w:tcPr>
          <w:p w14:paraId="03B03D2D">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★A020911视频设备</w:t>
            </w:r>
          </w:p>
        </w:tc>
        <w:tc>
          <w:tcPr>
            <w:tcW w:w="1516" w:type="dxa"/>
            <w:noWrap w:val="0"/>
            <w:vAlign w:val="center"/>
          </w:tcPr>
          <w:p w14:paraId="05C84E6F">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A02091107视频监控设备</w:t>
            </w:r>
          </w:p>
        </w:tc>
        <w:tc>
          <w:tcPr>
            <w:tcW w:w="1612" w:type="dxa"/>
            <w:noWrap w:val="0"/>
            <w:vAlign w:val="center"/>
          </w:tcPr>
          <w:p w14:paraId="200590E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监视器</w:t>
            </w:r>
          </w:p>
        </w:tc>
        <w:tc>
          <w:tcPr>
            <w:tcW w:w="4335" w:type="dxa"/>
            <w:noWrap w:val="0"/>
            <w:vAlign w:val="center"/>
          </w:tcPr>
          <w:p w14:paraId="1A0B4678">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EF1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2ABDF4E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14</w:t>
            </w:r>
          </w:p>
        </w:tc>
        <w:tc>
          <w:tcPr>
            <w:tcW w:w="1116" w:type="dxa"/>
            <w:noWrap w:val="0"/>
            <w:vAlign w:val="center"/>
          </w:tcPr>
          <w:p w14:paraId="4AC0249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A031210饮食炊事机械</w:t>
            </w:r>
          </w:p>
        </w:tc>
        <w:tc>
          <w:tcPr>
            <w:tcW w:w="1516" w:type="dxa"/>
            <w:noWrap w:val="0"/>
            <w:vAlign w:val="center"/>
          </w:tcPr>
          <w:p w14:paraId="7C0DA67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商用燃气灶具</w:t>
            </w:r>
          </w:p>
        </w:tc>
        <w:tc>
          <w:tcPr>
            <w:tcW w:w="1612" w:type="dxa"/>
            <w:noWrap w:val="0"/>
            <w:vAlign w:val="center"/>
          </w:tcPr>
          <w:p w14:paraId="2A4D2B8A">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E0F131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《商用燃气灶具能效限定值及能效等级》（GB30531）</w:t>
            </w:r>
          </w:p>
        </w:tc>
      </w:tr>
      <w:tr w14:paraId="4677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14:paraId="5D45CFE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15</w:t>
            </w:r>
          </w:p>
        </w:tc>
        <w:tc>
          <w:tcPr>
            <w:tcW w:w="1116" w:type="dxa"/>
            <w:vMerge w:val="restart"/>
            <w:noWrap w:val="0"/>
            <w:vAlign w:val="center"/>
          </w:tcPr>
          <w:p w14:paraId="424B70E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★A060805便器</w:t>
            </w:r>
          </w:p>
        </w:tc>
        <w:tc>
          <w:tcPr>
            <w:tcW w:w="1516" w:type="dxa"/>
            <w:noWrap w:val="0"/>
            <w:vAlign w:val="center"/>
          </w:tcPr>
          <w:p w14:paraId="5F8A7E0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坐便器</w:t>
            </w:r>
          </w:p>
        </w:tc>
        <w:tc>
          <w:tcPr>
            <w:tcW w:w="1612" w:type="dxa"/>
            <w:noWrap w:val="0"/>
            <w:vAlign w:val="center"/>
          </w:tcPr>
          <w:p w14:paraId="1886C36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C3E5AA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《坐便器水效限定值及水效等级》（GB25502）</w:t>
            </w:r>
          </w:p>
        </w:tc>
      </w:tr>
      <w:tr w14:paraId="68A0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C380CBD">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3F0A3885">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46B4B2F8">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蹲便器</w:t>
            </w:r>
          </w:p>
        </w:tc>
        <w:tc>
          <w:tcPr>
            <w:tcW w:w="1612" w:type="dxa"/>
            <w:noWrap w:val="0"/>
            <w:vAlign w:val="center"/>
          </w:tcPr>
          <w:p w14:paraId="6ABDFAF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5369C731">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《蹲便器用水效率限定值及用水效率等级》（GB30717）</w:t>
            </w:r>
          </w:p>
        </w:tc>
      </w:tr>
      <w:tr w14:paraId="3B0A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FB6AE9C">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116" w:type="dxa"/>
            <w:vMerge w:val="continue"/>
            <w:noWrap w:val="0"/>
            <w:vAlign w:val="center"/>
          </w:tcPr>
          <w:p w14:paraId="7E58B713">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p>
        </w:tc>
        <w:tc>
          <w:tcPr>
            <w:tcW w:w="1516" w:type="dxa"/>
            <w:noWrap w:val="0"/>
            <w:vAlign w:val="center"/>
          </w:tcPr>
          <w:p w14:paraId="023EF03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小便器</w:t>
            </w:r>
          </w:p>
        </w:tc>
        <w:tc>
          <w:tcPr>
            <w:tcW w:w="1612" w:type="dxa"/>
            <w:noWrap w:val="0"/>
            <w:vAlign w:val="center"/>
          </w:tcPr>
          <w:p w14:paraId="72419595">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3C9485F">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《小便器用水效率限定值及用水效率等级》（GB28377）</w:t>
            </w:r>
          </w:p>
        </w:tc>
      </w:tr>
      <w:tr w14:paraId="2F4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007985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16</w:t>
            </w:r>
          </w:p>
        </w:tc>
        <w:tc>
          <w:tcPr>
            <w:tcW w:w="1116" w:type="dxa"/>
            <w:noWrap w:val="0"/>
            <w:vAlign w:val="center"/>
          </w:tcPr>
          <w:p w14:paraId="2052723E">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★A060806水嘴</w:t>
            </w:r>
          </w:p>
        </w:tc>
        <w:tc>
          <w:tcPr>
            <w:tcW w:w="1516" w:type="dxa"/>
            <w:noWrap w:val="0"/>
            <w:vAlign w:val="center"/>
          </w:tcPr>
          <w:p w14:paraId="4D1B39C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01F560E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01A39BC7">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《水嘴用水效率限定值及用水效率等级》（GB 25501）</w:t>
            </w:r>
          </w:p>
        </w:tc>
      </w:tr>
      <w:tr w14:paraId="628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349D1F6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17</w:t>
            </w:r>
          </w:p>
        </w:tc>
        <w:tc>
          <w:tcPr>
            <w:tcW w:w="1116" w:type="dxa"/>
            <w:noWrap w:val="0"/>
            <w:vAlign w:val="center"/>
          </w:tcPr>
          <w:p w14:paraId="294CAB9C">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A060807便器冲洗阀</w:t>
            </w:r>
          </w:p>
        </w:tc>
        <w:tc>
          <w:tcPr>
            <w:tcW w:w="1516" w:type="dxa"/>
            <w:noWrap w:val="0"/>
            <w:vAlign w:val="center"/>
          </w:tcPr>
          <w:p w14:paraId="1AADD837">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32D53961">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1606F5E2">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《便器冲洗阀用水效率限定值及用水效率等级》（GB28379）</w:t>
            </w:r>
          </w:p>
        </w:tc>
      </w:tr>
      <w:tr w14:paraId="02B1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1A2E1BD2">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18</w:t>
            </w:r>
          </w:p>
        </w:tc>
        <w:tc>
          <w:tcPr>
            <w:tcW w:w="1116" w:type="dxa"/>
            <w:noWrap w:val="0"/>
            <w:vAlign w:val="center"/>
          </w:tcPr>
          <w:p w14:paraId="563CCDF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A060810淋浴器</w:t>
            </w:r>
          </w:p>
        </w:tc>
        <w:tc>
          <w:tcPr>
            <w:tcW w:w="1516" w:type="dxa"/>
            <w:noWrap w:val="0"/>
            <w:vAlign w:val="center"/>
          </w:tcPr>
          <w:p w14:paraId="29C0EA49">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1612" w:type="dxa"/>
            <w:noWrap w:val="0"/>
            <w:vAlign w:val="center"/>
          </w:tcPr>
          <w:p w14:paraId="257DB386">
            <w:pPr>
              <w:widowControl/>
              <w:kinsoku/>
              <w:autoSpaceDE/>
              <w:autoSpaceDN/>
              <w:adjustRightInd/>
              <w:snapToGrid/>
              <w:spacing w:line="240" w:lineRule="auto"/>
              <w:jc w:val="center"/>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　</w:t>
            </w:r>
          </w:p>
        </w:tc>
        <w:tc>
          <w:tcPr>
            <w:tcW w:w="4335" w:type="dxa"/>
            <w:noWrap w:val="0"/>
            <w:vAlign w:val="center"/>
          </w:tcPr>
          <w:p w14:paraId="6D866624">
            <w:pPr>
              <w:widowControl/>
              <w:kinsoku/>
              <w:autoSpaceDE/>
              <w:autoSpaceDN/>
              <w:adjustRightInd/>
              <w:snapToGrid/>
              <w:spacing w:line="240" w:lineRule="auto"/>
              <w:jc w:val="left"/>
              <w:textAlignment w:val="auto"/>
              <w:rPr>
                <w:rFonts w:hint="eastAsia" w:ascii="仿宋" w:hAnsi="仿宋" w:eastAsia="仿宋" w:cs="仿宋"/>
                <w:snapToGrid/>
                <w:color w:val="auto"/>
                <w:kern w:val="0"/>
                <w:sz w:val="20"/>
                <w:szCs w:val="20"/>
                <w:highlight w:val="none"/>
                <w:lang w:eastAsia="zh-CN"/>
              </w:rPr>
            </w:pPr>
            <w:r>
              <w:rPr>
                <w:rFonts w:hint="eastAsia" w:ascii="仿宋" w:hAnsi="仿宋" w:eastAsia="仿宋" w:cs="仿宋"/>
                <w:snapToGrid/>
                <w:color w:val="auto"/>
                <w:kern w:val="0"/>
                <w:sz w:val="20"/>
                <w:szCs w:val="20"/>
                <w:highlight w:val="none"/>
                <w:lang w:eastAsia="zh-CN"/>
              </w:rPr>
              <w:t>《淋浴器用水效率限定值及用水效率等级》（GB28378）</w:t>
            </w:r>
          </w:p>
        </w:tc>
      </w:tr>
    </w:tbl>
    <w:p w14:paraId="75F6403D">
      <w:pPr>
        <w:widowControl w:val="0"/>
        <w:kinsoku/>
        <w:autoSpaceDE/>
        <w:autoSpaceDN/>
        <w:adjustRightInd/>
        <w:snapToGrid/>
        <w:spacing w:after="120" w:line="360" w:lineRule="auto"/>
        <w:jc w:val="both"/>
        <w:textAlignment w:val="auto"/>
        <w:rPr>
          <w:rFonts w:hint="eastAsia" w:ascii="仿宋" w:hAnsi="仿宋" w:eastAsia="仿宋" w:cs="仿宋"/>
          <w:snapToGrid/>
          <w:color w:val="auto"/>
          <w:spacing w:val="-3"/>
          <w:kern w:val="2"/>
          <w:szCs w:val="21"/>
          <w:highlight w:val="none"/>
          <w:lang w:eastAsia="zh-CN"/>
        </w:rPr>
      </w:pPr>
    </w:p>
    <w:p w14:paraId="31F02A64">
      <w:pPr>
        <w:widowControl w:val="0"/>
        <w:kinsoku/>
        <w:autoSpaceDE/>
        <w:autoSpaceDN/>
        <w:adjustRightInd/>
        <w:snapToGrid/>
        <w:spacing w:after="120" w:line="360" w:lineRule="auto"/>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spacing w:val="-3"/>
          <w:kern w:val="2"/>
          <w:szCs w:val="21"/>
          <w:highlight w:val="none"/>
          <w:lang w:eastAsia="zh-CN"/>
        </w:rPr>
        <w:t>注：1.节能产品认证应依据相关国家标准的最新版本，依据国家标准中二级能效（水效）</w:t>
      </w:r>
      <w:r>
        <w:rPr>
          <w:rFonts w:hint="eastAsia" w:ascii="仿宋" w:hAnsi="仿宋" w:eastAsia="仿宋" w:cs="仿宋"/>
          <w:snapToGrid/>
          <w:color w:val="auto"/>
          <w:kern w:val="2"/>
          <w:szCs w:val="21"/>
          <w:highlight w:val="none"/>
          <w:lang w:eastAsia="zh-CN"/>
        </w:rPr>
        <w:t>指标。</w:t>
      </w:r>
    </w:p>
    <w:p w14:paraId="0840B148">
      <w:pPr>
        <w:widowControl w:val="0"/>
        <w:numPr>
          <w:ilvl w:val="0"/>
          <w:numId w:val="3"/>
        </w:numPr>
        <w:kinsoku/>
        <w:autoSpaceDE/>
        <w:autoSpaceDN/>
        <w:adjustRightInd/>
        <w:snapToGrid/>
        <w:spacing w:line="240" w:lineRule="auto"/>
        <w:ind w:left="420"/>
        <w:jc w:val="left"/>
        <w:textAlignment w:val="auto"/>
        <w:rPr>
          <w:rFonts w:hint="eastAsia" w:ascii="仿宋" w:hAnsi="仿宋" w:eastAsia="仿宋" w:cs="仿宋"/>
          <w:b/>
          <w:bCs/>
          <w:snapToGrid/>
          <w:color w:val="auto"/>
          <w:kern w:val="2"/>
          <w:szCs w:val="21"/>
          <w:highlight w:val="none"/>
          <w:lang w:eastAsia="zh-CN"/>
        </w:rPr>
      </w:pPr>
      <w:r>
        <w:rPr>
          <w:rFonts w:hint="eastAsia" w:ascii="仿宋" w:hAnsi="仿宋" w:eastAsia="仿宋" w:cs="仿宋"/>
          <w:b/>
          <w:bCs/>
          <w:snapToGrid/>
          <w:color w:val="auto"/>
          <w:kern w:val="2"/>
          <w:szCs w:val="21"/>
          <w:highlight w:val="none"/>
          <w:lang w:eastAsia="zh-CN"/>
        </w:rPr>
        <w:t>以“★”标注的为政府强制采购产品。</w:t>
      </w:r>
    </w:p>
    <w:p w14:paraId="6F2F3CC6">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pacing w:val="32"/>
          <w:sz w:val="30"/>
          <w:szCs w:val="30"/>
          <w:highlight w:val="none"/>
        </w:rPr>
        <w:sectPr>
          <w:footerReference r:id="rId8" w:type="default"/>
          <w:pgSz w:w="11910" w:h="16830"/>
          <w:pgMar w:top="1120" w:right="1100" w:bottom="1099" w:left="1110" w:header="0" w:footer="955" w:gutter="0"/>
          <w:pgNumType w:fmt="decimal"/>
          <w:cols w:space="720" w:num="1"/>
        </w:sectPr>
      </w:pPr>
    </w:p>
    <w:p w14:paraId="30499AE5">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30"/>
          <w:szCs w:val="30"/>
          <w:highlight w:val="none"/>
        </w:rPr>
      </w:pPr>
      <w:r>
        <w:rPr>
          <w:rFonts w:hint="eastAsia" w:ascii="仿宋" w:hAnsi="仿宋" w:eastAsia="仿宋" w:cs="仿宋"/>
          <w:color w:val="auto"/>
          <w:spacing w:val="32"/>
          <w:sz w:val="30"/>
          <w:szCs w:val="30"/>
          <w:highlight w:val="none"/>
        </w:rPr>
        <w:t>附件</w:t>
      </w:r>
      <w:r>
        <w:rPr>
          <w:rFonts w:hint="eastAsia" w:ascii="仿宋" w:hAnsi="仿宋" w:eastAsia="仿宋" w:cs="仿宋"/>
          <w:color w:val="auto"/>
          <w:spacing w:val="32"/>
          <w:sz w:val="30"/>
          <w:szCs w:val="30"/>
          <w:highlight w:val="none"/>
          <w:lang w:val="en-US" w:eastAsia="zh-CN"/>
        </w:rPr>
        <w:t>2</w:t>
      </w:r>
      <w:r>
        <w:rPr>
          <w:rFonts w:hint="eastAsia" w:ascii="仿宋" w:hAnsi="仿宋" w:eastAsia="仿宋" w:cs="仿宋"/>
          <w:color w:val="auto"/>
          <w:spacing w:val="32"/>
          <w:sz w:val="30"/>
          <w:szCs w:val="30"/>
          <w:highlight w:val="none"/>
        </w:rPr>
        <w:t>:</w:t>
      </w:r>
    </w:p>
    <w:p w14:paraId="550451F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90" w:firstLineChars="200"/>
        <w:jc w:val="center"/>
        <w:textAlignment w:val="baseline"/>
        <w:rPr>
          <w:rFonts w:hint="eastAsia" w:ascii="仿宋" w:hAnsi="仿宋" w:eastAsia="仿宋" w:cs="仿宋"/>
          <w:color w:val="auto"/>
          <w:sz w:val="30"/>
          <w:szCs w:val="30"/>
          <w:highlight w:val="none"/>
        </w:rPr>
      </w:pPr>
      <w:bookmarkStart w:id="52" w:name="bookmark9"/>
      <w:bookmarkEnd w:id="52"/>
      <w:r>
        <w:rPr>
          <w:rFonts w:hint="eastAsia" w:ascii="仿宋" w:hAnsi="仿宋" w:eastAsia="仿宋" w:cs="仿宋"/>
          <w:b/>
          <w:bCs/>
          <w:color w:val="auto"/>
          <w:spacing w:val="-3"/>
          <w:sz w:val="30"/>
          <w:szCs w:val="30"/>
          <w:highlight w:val="none"/>
        </w:rPr>
        <w:t>统计上大中小微型企业划分标准</w:t>
      </w:r>
    </w:p>
    <w:tbl>
      <w:tblPr>
        <w:tblStyle w:val="27"/>
        <w:tblW w:w="940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1379"/>
        <w:gridCol w:w="709"/>
        <w:gridCol w:w="1109"/>
        <w:gridCol w:w="1698"/>
        <w:gridCol w:w="1428"/>
        <w:gridCol w:w="994"/>
      </w:tblGrid>
      <w:tr w14:paraId="3ADC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083" w:type="dxa"/>
            <w:shd w:val="clear" w:color="auto" w:fill="8DB3E2"/>
            <w:vAlign w:val="top"/>
          </w:tcPr>
          <w:p w14:paraId="584A882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行业名称</w:t>
            </w:r>
          </w:p>
        </w:tc>
        <w:tc>
          <w:tcPr>
            <w:tcW w:w="1379" w:type="dxa"/>
            <w:shd w:val="clear" w:color="auto" w:fill="8DB3E2"/>
            <w:vAlign w:val="top"/>
          </w:tcPr>
          <w:p w14:paraId="75FEE5D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指标名称</w:t>
            </w:r>
          </w:p>
        </w:tc>
        <w:tc>
          <w:tcPr>
            <w:tcW w:w="709" w:type="dxa"/>
            <w:shd w:val="clear" w:color="auto" w:fill="8DB3E2"/>
            <w:vAlign w:val="top"/>
          </w:tcPr>
          <w:p w14:paraId="25DD0BC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计量</w:t>
            </w:r>
          </w:p>
          <w:p w14:paraId="7EF6ADF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单位</w:t>
            </w:r>
          </w:p>
        </w:tc>
        <w:tc>
          <w:tcPr>
            <w:tcW w:w="1109" w:type="dxa"/>
            <w:shd w:val="clear" w:color="auto" w:fill="8DB3E2"/>
            <w:vAlign w:val="top"/>
          </w:tcPr>
          <w:p w14:paraId="4D259A0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大型</w:t>
            </w:r>
          </w:p>
        </w:tc>
        <w:tc>
          <w:tcPr>
            <w:tcW w:w="1698" w:type="dxa"/>
            <w:shd w:val="clear" w:color="auto" w:fill="8DB3E2"/>
            <w:vAlign w:val="top"/>
          </w:tcPr>
          <w:p w14:paraId="3EDB7E1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1"/>
                <w:sz w:val="19"/>
                <w:szCs w:val="19"/>
                <w:highlight w:val="none"/>
              </w:rPr>
              <w:t>中型</w:t>
            </w:r>
          </w:p>
        </w:tc>
        <w:tc>
          <w:tcPr>
            <w:tcW w:w="1428" w:type="dxa"/>
            <w:shd w:val="clear" w:color="auto" w:fill="8DB3E2"/>
            <w:vAlign w:val="top"/>
          </w:tcPr>
          <w:p w14:paraId="0E66392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57"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6"/>
                <w:sz w:val="19"/>
                <w:szCs w:val="19"/>
                <w:highlight w:val="none"/>
              </w:rPr>
              <w:t>小型</w:t>
            </w:r>
          </w:p>
        </w:tc>
        <w:tc>
          <w:tcPr>
            <w:tcW w:w="994" w:type="dxa"/>
            <w:shd w:val="clear" w:color="auto" w:fill="8DB3E2"/>
            <w:vAlign w:val="top"/>
          </w:tcPr>
          <w:p w14:paraId="7324809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微型</w:t>
            </w:r>
          </w:p>
        </w:tc>
      </w:tr>
      <w:tr w14:paraId="4168A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Align w:val="top"/>
          </w:tcPr>
          <w:p w14:paraId="71716B1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农、林、牧、渔业</w:t>
            </w:r>
          </w:p>
        </w:tc>
        <w:tc>
          <w:tcPr>
            <w:tcW w:w="1379" w:type="dxa"/>
            <w:vAlign w:val="top"/>
          </w:tcPr>
          <w:p w14:paraId="428AFAC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营业收入(I)</w:t>
            </w:r>
          </w:p>
        </w:tc>
        <w:tc>
          <w:tcPr>
            <w:tcW w:w="709" w:type="dxa"/>
            <w:vAlign w:val="top"/>
          </w:tcPr>
          <w:p w14:paraId="068DB77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57E099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I≥20000</w:t>
            </w:r>
          </w:p>
        </w:tc>
        <w:tc>
          <w:tcPr>
            <w:tcW w:w="1698" w:type="dxa"/>
            <w:vAlign w:val="top"/>
          </w:tcPr>
          <w:p w14:paraId="3D6E9A2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500≤Y&lt;20000</w:t>
            </w:r>
          </w:p>
        </w:tc>
        <w:tc>
          <w:tcPr>
            <w:tcW w:w="1428" w:type="dxa"/>
            <w:vAlign w:val="top"/>
          </w:tcPr>
          <w:p w14:paraId="5FEEE61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50≤Y&lt;500</w:t>
            </w:r>
          </w:p>
        </w:tc>
        <w:tc>
          <w:tcPr>
            <w:tcW w:w="994" w:type="dxa"/>
            <w:vAlign w:val="top"/>
          </w:tcPr>
          <w:p w14:paraId="58D04B1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w:t>
            </w:r>
          </w:p>
        </w:tc>
      </w:tr>
      <w:tr w14:paraId="52607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50B683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4AE82CC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工业*</w:t>
            </w:r>
          </w:p>
        </w:tc>
        <w:tc>
          <w:tcPr>
            <w:tcW w:w="1379" w:type="dxa"/>
            <w:vAlign w:val="top"/>
          </w:tcPr>
          <w:p w14:paraId="36E445F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743FFCA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C1FC94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11F34A4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551085F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07237A0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38AA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continue"/>
            <w:tcBorders>
              <w:top w:val="nil"/>
            </w:tcBorders>
            <w:vAlign w:val="top"/>
          </w:tcPr>
          <w:p w14:paraId="15A2083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888E9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B18ED6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5F0549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Y≥40000</w:t>
            </w:r>
          </w:p>
        </w:tc>
        <w:tc>
          <w:tcPr>
            <w:tcW w:w="1698" w:type="dxa"/>
            <w:vAlign w:val="top"/>
          </w:tcPr>
          <w:p w14:paraId="5A83075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2000≤Y&lt;40000</w:t>
            </w:r>
          </w:p>
        </w:tc>
        <w:tc>
          <w:tcPr>
            <w:tcW w:w="1428" w:type="dxa"/>
            <w:vAlign w:val="top"/>
          </w:tcPr>
          <w:p w14:paraId="6B37816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300≤Y&lt;2000</w:t>
            </w:r>
          </w:p>
        </w:tc>
        <w:tc>
          <w:tcPr>
            <w:tcW w:w="994" w:type="dxa"/>
            <w:vAlign w:val="top"/>
          </w:tcPr>
          <w:p w14:paraId="3D9D07F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Y&lt;300</w:t>
            </w:r>
          </w:p>
        </w:tc>
      </w:tr>
      <w:tr w14:paraId="7DB6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25402DF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建筑业</w:t>
            </w:r>
          </w:p>
        </w:tc>
        <w:tc>
          <w:tcPr>
            <w:tcW w:w="1379" w:type="dxa"/>
            <w:vAlign w:val="top"/>
          </w:tcPr>
          <w:p w14:paraId="720853D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0F33EFD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43B5E54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Y&gt;80000</w:t>
            </w:r>
          </w:p>
        </w:tc>
        <w:tc>
          <w:tcPr>
            <w:tcW w:w="1698" w:type="dxa"/>
            <w:vAlign w:val="top"/>
          </w:tcPr>
          <w:p w14:paraId="0A2A463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6000≤Y&lt;80000</w:t>
            </w:r>
          </w:p>
        </w:tc>
        <w:tc>
          <w:tcPr>
            <w:tcW w:w="1428" w:type="dxa"/>
            <w:vAlign w:val="top"/>
          </w:tcPr>
          <w:p w14:paraId="53C95B7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300≤Y&lt;6000</w:t>
            </w:r>
          </w:p>
        </w:tc>
        <w:tc>
          <w:tcPr>
            <w:tcW w:w="994" w:type="dxa"/>
            <w:vAlign w:val="top"/>
          </w:tcPr>
          <w:p w14:paraId="5F36ED2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Y&lt;300</w:t>
            </w:r>
          </w:p>
        </w:tc>
      </w:tr>
      <w:tr w14:paraId="30FDF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4714E2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5F121D8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6530BA2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0F38BFB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Z&gt;80000</w:t>
            </w:r>
          </w:p>
        </w:tc>
        <w:tc>
          <w:tcPr>
            <w:tcW w:w="1698" w:type="dxa"/>
            <w:vAlign w:val="top"/>
          </w:tcPr>
          <w:p w14:paraId="4E1C891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5000≤Z&lt;80000</w:t>
            </w:r>
          </w:p>
        </w:tc>
        <w:tc>
          <w:tcPr>
            <w:tcW w:w="1428" w:type="dxa"/>
            <w:vAlign w:val="top"/>
          </w:tcPr>
          <w:p w14:paraId="264AFE7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300≤Z&lt;5000</w:t>
            </w:r>
          </w:p>
        </w:tc>
        <w:tc>
          <w:tcPr>
            <w:tcW w:w="994" w:type="dxa"/>
            <w:vAlign w:val="top"/>
          </w:tcPr>
          <w:p w14:paraId="52BC84E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Z&lt;300</w:t>
            </w:r>
          </w:p>
        </w:tc>
      </w:tr>
      <w:tr w14:paraId="79A83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4D475B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批发业</w:t>
            </w:r>
          </w:p>
        </w:tc>
        <w:tc>
          <w:tcPr>
            <w:tcW w:w="1379" w:type="dxa"/>
            <w:vAlign w:val="top"/>
          </w:tcPr>
          <w:p w14:paraId="6B0FD48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06BF853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0EEF716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w:t>
            </w:r>
          </w:p>
        </w:tc>
        <w:tc>
          <w:tcPr>
            <w:tcW w:w="1698" w:type="dxa"/>
            <w:vAlign w:val="top"/>
          </w:tcPr>
          <w:p w14:paraId="192A2E2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20≤X&lt;200</w:t>
            </w:r>
          </w:p>
        </w:tc>
        <w:tc>
          <w:tcPr>
            <w:tcW w:w="1428" w:type="dxa"/>
            <w:vAlign w:val="top"/>
          </w:tcPr>
          <w:p w14:paraId="7A2E834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5≤X&lt;20</w:t>
            </w:r>
          </w:p>
        </w:tc>
        <w:tc>
          <w:tcPr>
            <w:tcW w:w="994" w:type="dxa"/>
            <w:vAlign w:val="top"/>
          </w:tcPr>
          <w:p w14:paraId="7580C9B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X≤5</w:t>
            </w:r>
          </w:p>
        </w:tc>
      </w:tr>
      <w:tr w14:paraId="2F5A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119DCD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74481FC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1BE5AF6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5C23BF9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I≥40000</w:t>
            </w:r>
          </w:p>
        </w:tc>
        <w:tc>
          <w:tcPr>
            <w:tcW w:w="1698" w:type="dxa"/>
            <w:vAlign w:val="top"/>
          </w:tcPr>
          <w:p w14:paraId="55FE518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5000≤Y&lt;40000</w:t>
            </w:r>
          </w:p>
        </w:tc>
        <w:tc>
          <w:tcPr>
            <w:tcW w:w="1428" w:type="dxa"/>
            <w:vAlign w:val="top"/>
          </w:tcPr>
          <w:p w14:paraId="1842D0B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1000≤Y&lt;5000</w:t>
            </w:r>
          </w:p>
        </w:tc>
        <w:tc>
          <w:tcPr>
            <w:tcW w:w="994" w:type="dxa"/>
            <w:vAlign w:val="top"/>
          </w:tcPr>
          <w:p w14:paraId="322C3B6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Y&lt;1000</w:t>
            </w:r>
          </w:p>
        </w:tc>
      </w:tr>
      <w:tr w14:paraId="3AAB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restart"/>
            <w:tcBorders>
              <w:bottom w:val="nil"/>
            </w:tcBorders>
            <w:vAlign w:val="top"/>
          </w:tcPr>
          <w:p w14:paraId="26DAE56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零售业</w:t>
            </w:r>
          </w:p>
        </w:tc>
        <w:tc>
          <w:tcPr>
            <w:tcW w:w="1379" w:type="dxa"/>
            <w:vAlign w:val="top"/>
          </w:tcPr>
          <w:p w14:paraId="4E82ED0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7A8465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1C0E424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6AE42C6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50≤X&lt;300</w:t>
            </w:r>
          </w:p>
        </w:tc>
        <w:tc>
          <w:tcPr>
            <w:tcW w:w="1428" w:type="dxa"/>
            <w:vAlign w:val="top"/>
          </w:tcPr>
          <w:p w14:paraId="2D8ECB6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10≤X&lt;50</w:t>
            </w:r>
          </w:p>
        </w:tc>
        <w:tc>
          <w:tcPr>
            <w:tcW w:w="994" w:type="dxa"/>
            <w:vAlign w:val="top"/>
          </w:tcPr>
          <w:p w14:paraId="14601B0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2EFA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772283B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30F398E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79C56FA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9A1D23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Y≥20000</w:t>
            </w:r>
          </w:p>
        </w:tc>
        <w:tc>
          <w:tcPr>
            <w:tcW w:w="1698" w:type="dxa"/>
            <w:vAlign w:val="top"/>
          </w:tcPr>
          <w:p w14:paraId="4BFD8F1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500≤Y&lt;20000</w:t>
            </w:r>
          </w:p>
        </w:tc>
        <w:tc>
          <w:tcPr>
            <w:tcW w:w="1428" w:type="dxa"/>
            <w:vAlign w:val="top"/>
          </w:tcPr>
          <w:p w14:paraId="341B725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100≤Y&lt;500</w:t>
            </w:r>
          </w:p>
        </w:tc>
        <w:tc>
          <w:tcPr>
            <w:tcW w:w="994" w:type="dxa"/>
            <w:vAlign w:val="top"/>
          </w:tcPr>
          <w:p w14:paraId="5655499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3A35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A28FE8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交通运输业*</w:t>
            </w:r>
          </w:p>
        </w:tc>
        <w:tc>
          <w:tcPr>
            <w:tcW w:w="1379" w:type="dxa"/>
            <w:vAlign w:val="top"/>
          </w:tcPr>
          <w:p w14:paraId="2BBDF0B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662924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3093892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7923EAA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52A4148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70D4163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490E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B8C4A7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1F312A8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0FD56FE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10749C4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I&gt;30000</w:t>
            </w:r>
          </w:p>
        </w:tc>
        <w:tc>
          <w:tcPr>
            <w:tcW w:w="1698" w:type="dxa"/>
            <w:vAlign w:val="top"/>
          </w:tcPr>
          <w:p w14:paraId="732C35D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3000≤Y&lt;30000</w:t>
            </w:r>
          </w:p>
        </w:tc>
        <w:tc>
          <w:tcPr>
            <w:tcW w:w="1428" w:type="dxa"/>
            <w:vAlign w:val="top"/>
          </w:tcPr>
          <w:p w14:paraId="7BDEF99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200≤Y&lt;3000</w:t>
            </w:r>
          </w:p>
        </w:tc>
        <w:tc>
          <w:tcPr>
            <w:tcW w:w="994" w:type="dxa"/>
            <w:vAlign w:val="top"/>
          </w:tcPr>
          <w:p w14:paraId="66BBCA2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Y&lt;200</w:t>
            </w:r>
          </w:p>
        </w:tc>
      </w:tr>
      <w:tr w14:paraId="5628C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460D880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4E64240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仓储业*</w:t>
            </w:r>
          </w:p>
        </w:tc>
        <w:tc>
          <w:tcPr>
            <w:tcW w:w="1379" w:type="dxa"/>
            <w:vAlign w:val="top"/>
          </w:tcPr>
          <w:p w14:paraId="275F093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2452117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5470967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w:t>
            </w:r>
          </w:p>
        </w:tc>
        <w:tc>
          <w:tcPr>
            <w:tcW w:w="1698" w:type="dxa"/>
            <w:vAlign w:val="top"/>
          </w:tcPr>
          <w:p w14:paraId="7130E5E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100≤X&lt;200</w:t>
            </w:r>
          </w:p>
        </w:tc>
        <w:tc>
          <w:tcPr>
            <w:tcW w:w="1428" w:type="dxa"/>
            <w:vAlign w:val="top"/>
          </w:tcPr>
          <w:p w14:paraId="4B68540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20≤X&lt;100</w:t>
            </w:r>
          </w:p>
        </w:tc>
        <w:tc>
          <w:tcPr>
            <w:tcW w:w="994" w:type="dxa"/>
            <w:vAlign w:val="top"/>
          </w:tcPr>
          <w:p w14:paraId="082B06D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57E22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643334F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2E95E9A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30C7891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ECB2EE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I≥30000</w:t>
            </w:r>
          </w:p>
        </w:tc>
        <w:tc>
          <w:tcPr>
            <w:tcW w:w="1698" w:type="dxa"/>
            <w:vAlign w:val="top"/>
          </w:tcPr>
          <w:p w14:paraId="066F65C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1000≤Y&lt;30000</w:t>
            </w:r>
          </w:p>
        </w:tc>
        <w:tc>
          <w:tcPr>
            <w:tcW w:w="1428" w:type="dxa"/>
            <w:vAlign w:val="top"/>
          </w:tcPr>
          <w:p w14:paraId="429D78E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2369AB3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2284C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083" w:type="dxa"/>
            <w:vMerge w:val="restart"/>
            <w:tcBorders>
              <w:bottom w:val="nil"/>
            </w:tcBorders>
            <w:vAlign w:val="top"/>
          </w:tcPr>
          <w:p w14:paraId="5570F31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706C90D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邮政业</w:t>
            </w:r>
          </w:p>
        </w:tc>
        <w:tc>
          <w:tcPr>
            <w:tcW w:w="1379" w:type="dxa"/>
            <w:vAlign w:val="top"/>
          </w:tcPr>
          <w:p w14:paraId="56C136B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2AC48B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14E69C3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020130A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4917CAB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20≤X&lt;300</w:t>
            </w:r>
          </w:p>
        </w:tc>
        <w:tc>
          <w:tcPr>
            <w:tcW w:w="994" w:type="dxa"/>
            <w:vAlign w:val="top"/>
          </w:tcPr>
          <w:p w14:paraId="32AF95E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X&lt;20</w:t>
            </w:r>
          </w:p>
        </w:tc>
      </w:tr>
      <w:tr w14:paraId="2587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4F32138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5AF6C1A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7565FE8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72905EE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I≥30000</w:t>
            </w:r>
          </w:p>
        </w:tc>
        <w:tc>
          <w:tcPr>
            <w:tcW w:w="1698" w:type="dxa"/>
            <w:vAlign w:val="top"/>
          </w:tcPr>
          <w:p w14:paraId="0DC8CE2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2000≤Y&lt;30000</w:t>
            </w:r>
          </w:p>
        </w:tc>
        <w:tc>
          <w:tcPr>
            <w:tcW w:w="1428" w:type="dxa"/>
            <w:vAlign w:val="top"/>
          </w:tcPr>
          <w:p w14:paraId="68AC7FB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7AACD3F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071D5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83" w:type="dxa"/>
            <w:vMerge w:val="restart"/>
            <w:tcBorders>
              <w:bottom w:val="nil"/>
            </w:tcBorders>
            <w:vAlign w:val="top"/>
          </w:tcPr>
          <w:p w14:paraId="15E4BBF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58905DF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住宿业</w:t>
            </w:r>
          </w:p>
        </w:tc>
        <w:tc>
          <w:tcPr>
            <w:tcW w:w="1379" w:type="dxa"/>
            <w:vAlign w:val="top"/>
          </w:tcPr>
          <w:p w14:paraId="4D9EE1F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A9BA26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35945D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ED30B1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14F3C9D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7F3BF18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73B7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continue"/>
            <w:tcBorders>
              <w:top w:val="nil"/>
            </w:tcBorders>
            <w:vAlign w:val="top"/>
          </w:tcPr>
          <w:p w14:paraId="54780FA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D80496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2E49108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2DB162C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I&gt;10000</w:t>
            </w:r>
          </w:p>
        </w:tc>
        <w:tc>
          <w:tcPr>
            <w:tcW w:w="1698" w:type="dxa"/>
            <w:vAlign w:val="top"/>
          </w:tcPr>
          <w:p w14:paraId="40EC527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2000≤Y&lt;10000</w:t>
            </w:r>
          </w:p>
        </w:tc>
        <w:tc>
          <w:tcPr>
            <w:tcW w:w="1428" w:type="dxa"/>
            <w:vAlign w:val="top"/>
          </w:tcPr>
          <w:p w14:paraId="304C8DA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75C26D1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2F47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2083" w:type="dxa"/>
            <w:vMerge w:val="restart"/>
            <w:tcBorders>
              <w:bottom w:val="nil"/>
            </w:tcBorders>
            <w:vAlign w:val="top"/>
          </w:tcPr>
          <w:p w14:paraId="68E9E8A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餐饮业</w:t>
            </w:r>
          </w:p>
        </w:tc>
        <w:tc>
          <w:tcPr>
            <w:tcW w:w="1379" w:type="dxa"/>
            <w:vAlign w:val="top"/>
          </w:tcPr>
          <w:p w14:paraId="42FBDB8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30A4E77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62AD0260">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D310B7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684DD50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4475D15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59D5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083" w:type="dxa"/>
            <w:vMerge w:val="continue"/>
            <w:tcBorders>
              <w:top w:val="nil"/>
            </w:tcBorders>
            <w:vAlign w:val="top"/>
          </w:tcPr>
          <w:p w14:paraId="7A086AD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4AA747D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营业收入(I)</w:t>
            </w:r>
          </w:p>
        </w:tc>
        <w:tc>
          <w:tcPr>
            <w:tcW w:w="709" w:type="dxa"/>
            <w:vAlign w:val="top"/>
          </w:tcPr>
          <w:p w14:paraId="50667E9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6EA2DBB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Y≥10000</w:t>
            </w:r>
          </w:p>
        </w:tc>
        <w:tc>
          <w:tcPr>
            <w:tcW w:w="1698" w:type="dxa"/>
            <w:vAlign w:val="top"/>
          </w:tcPr>
          <w:p w14:paraId="344B371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2000≤Y&lt;10000</w:t>
            </w:r>
          </w:p>
        </w:tc>
        <w:tc>
          <w:tcPr>
            <w:tcW w:w="1428" w:type="dxa"/>
            <w:vAlign w:val="top"/>
          </w:tcPr>
          <w:p w14:paraId="3CE1635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100≤Y&lt;2000</w:t>
            </w:r>
          </w:p>
        </w:tc>
        <w:tc>
          <w:tcPr>
            <w:tcW w:w="994" w:type="dxa"/>
            <w:vAlign w:val="top"/>
          </w:tcPr>
          <w:p w14:paraId="6445BB8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13DD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83" w:type="dxa"/>
            <w:vMerge w:val="restart"/>
            <w:tcBorders>
              <w:bottom w:val="nil"/>
            </w:tcBorders>
            <w:vAlign w:val="top"/>
          </w:tcPr>
          <w:p w14:paraId="0895EA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p w14:paraId="7F6D5F1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信息传输业*</w:t>
            </w:r>
          </w:p>
        </w:tc>
        <w:tc>
          <w:tcPr>
            <w:tcW w:w="1379" w:type="dxa"/>
            <w:vAlign w:val="top"/>
          </w:tcPr>
          <w:p w14:paraId="4407E88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17E8C8B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7A50704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X≥2000</w:t>
            </w:r>
          </w:p>
        </w:tc>
        <w:tc>
          <w:tcPr>
            <w:tcW w:w="1698" w:type="dxa"/>
            <w:vAlign w:val="top"/>
          </w:tcPr>
          <w:p w14:paraId="08F1DF9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100≤X&lt;2000</w:t>
            </w:r>
          </w:p>
        </w:tc>
        <w:tc>
          <w:tcPr>
            <w:tcW w:w="1428" w:type="dxa"/>
            <w:vAlign w:val="top"/>
          </w:tcPr>
          <w:p w14:paraId="0AB1F53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6915BD6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1A1C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083" w:type="dxa"/>
            <w:vMerge w:val="continue"/>
            <w:tcBorders>
              <w:top w:val="nil"/>
            </w:tcBorders>
            <w:vAlign w:val="top"/>
          </w:tcPr>
          <w:p w14:paraId="2D51303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8CB1A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20BB64D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0D5AA9D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Y≥100000</w:t>
            </w:r>
          </w:p>
        </w:tc>
        <w:tc>
          <w:tcPr>
            <w:tcW w:w="1698" w:type="dxa"/>
            <w:vAlign w:val="top"/>
          </w:tcPr>
          <w:p w14:paraId="5C9013A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1000≤Y&lt;100000</w:t>
            </w:r>
          </w:p>
        </w:tc>
        <w:tc>
          <w:tcPr>
            <w:tcW w:w="1428" w:type="dxa"/>
            <w:vAlign w:val="top"/>
          </w:tcPr>
          <w:p w14:paraId="3B65F9C7">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750A707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3246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5220038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软件和信息技术服业</w:t>
            </w:r>
          </w:p>
        </w:tc>
        <w:tc>
          <w:tcPr>
            <w:tcW w:w="1379" w:type="dxa"/>
            <w:vAlign w:val="top"/>
          </w:tcPr>
          <w:p w14:paraId="3BD5636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62E1438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2694E23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7A46CDE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1428" w:type="dxa"/>
            <w:vAlign w:val="top"/>
          </w:tcPr>
          <w:p w14:paraId="036ACF6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8"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10≤X&lt;100</w:t>
            </w:r>
          </w:p>
        </w:tc>
        <w:tc>
          <w:tcPr>
            <w:tcW w:w="994" w:type="dxa"/>
            <w:vAlign w:val="top"/>
          </w:tcPr>
          <w:p w14:paraId="6594B90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06830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083" w:type="dxa"/>
            <w:vMerge w:val="continue"/>
            <w:tcBorders>
              <w:top w:val="nil"/>
            </w:tcBorders>
            <w:vAlign w:val="top"/>
          </w:tcPr>
          <w:p w14:paraId="71A0937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01B502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5D23DB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79B97E0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I≥10000</w:t>
            </w:r>
          </w:p>
        </w:tc>
        <w:tc>
          <w:tcPr>
            <w:tcW w:w="1698" w:type="dxa"/>
            <w:vAlign w:val="top"/>
          </w:tcPr>
          <w:p w14:paraId="6B50109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1000≤Y&lt;10000</w:t>
            </w:r>
          </w:p>
        </w:tc>
        <w:tc>
          <w:tcPr>
            <w:tcW w:w="1428" w:type="dxa"/>
            <w:vAlign w:val="top"/>
          </w:tcPr>
          <w:p w14:paraId="7647542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50≤Y&lt;1000</w:t>
            </w:r>
          </w:p>
        </w:tc>
        <w:tc>
          <w:tcPr>
            <w:tcW w:w="994" w:type="dxa"/>
            <w:vAlign w:val="top"/>
          </w:tcPr>
          <w:p w14:paraId="0E9FD91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w:t>
            </w:r>
          </w:p>
        </w:tc>
      </w:tr>
      <w:tr w14:paraId="1855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016AB0C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房地产开发经营</w:t>
            </w:r>
          </w:p>
        </w:tc>
        <w:tc>
          <w:tcPr>
            <w:tcW w:w="1379" w:type="dxa"/>
            <w:vAlign w:val="top"/>
          </w:tcPr>
          <w:p w14:paraId="380A3D8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F1E3F9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36BE87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Y≥200000</w:t>
            </w:r>
          </w:p>
        </w:tc>
        <w:tc>
          <w:tcPr>
            <w:tcW w:w="1698" w:type="dxa"/>
            <w:vAlign w:val="top"/>
          </w:tcPr>
          <w:p w14:paraId="3933B2C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1000≤Y&lt;200000</w:t>
            </w:r>
          </w:p>
        </w:tc>
        <w:tc>
          <w:tcPr>
            <w:tcW w:w="1428" w:type="dxa"/>
            <w:vAlign w:val="top"/>
          </w:tcPr>
          <w:p w14:paraId="69F76BE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100≤Y&lt;1000</w:t>
            </w:r>
          </w:p>
        </w:tc>
        <w:tc>
          <w:tcPr>
            <w:tcW w:w="994" w:type="dxa"/>
            <w:vAlign w:val="top"/>
          </w:tcPr>
          <w:p w14:paraId="2B0B15CA">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Y&lt;100</w:t>
            </w:r>
          </w:p>
        </w:tc>
      </w:tr>
      <w:tr w14:paraId="7DE3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2083" w:type="dxa"/>
            <w:vMerge w:val="continue"/>
            <w:tcBorders>
              <w:top w:val="nil"/>
            </w:tcBorders>
            <w:vAlign w:val="top"/>
          </w:tcPr>
          <w:p w14:paraId="176CF95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6C40855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75C0909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C937C2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Z≥10000</w:t>
            </w:r>
          </w:p>
        </w:tc>
        <w:tc>
          <w:tcPr>
            <w:tcW w:w="1698" w:type="dxa"/>
            <w:vAlign w:val="top"/>
          </w:tcPr>
          <w:p w14:paraId="463F620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5000≤Z&lt;10000</w:t>
            </w:r>
          </w:p>
        </w:tc>
        <w:tc>
          <w:tcPr>
            <w:tcW w:w="1428" w:type="dxa"/>
            <w:vAlign w:val="top"/>
          </w:tcPr>
          <w:p w14:paraId="6E83DBB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2000≤Z&lt;5000</w:t>
            </w:r>
          </w:p>
        </w:tc>
        <w:tc>
          <w:tcPr>
            <w:tcW w:w="994" w:type="dxa"/>
            <w:vAlign w:val="top"/>
          </w:tcPr>
          <w:p w14:paraId="2B80778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lang w:val="en-US" w:eastAsia="zh-CN"/>
              </w:rPr>
              <w:t xml:space="preserve"> </w:t>
            </w:r>
            <w:r>
              <w:rPr>
                <w:rFonts w:hint="eastAsia" w:ascii="仿宋" w:hAnsi="仿宋" w:eastAsia="仿宋" w:cs="仿宋"/>
                <w:color w:val="auto"/>
                <w:spacing w:val="-1"/>
                <w:sz w:val="19"/>
                <w:szCs w:val="19"/>
                <w:highlight w:val="none"/>
              </w:rPr>
              <w:t>Z&lt;2000</w:t>
            </w:r>
          </w:p>
        </w:tc>
      </w:tr>
      <w:tr w14:paraId="50B2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restart"/>
            <w:tcBorders>
              <w:bottom w:val="nil"/>
            </w:tcBorders>
            <w:vAlign w:val="top"/>
          </w:tcPr>
          <w:p w14:paraId="443ED73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物业管理</w:t>
            </w:r>
          </w:p>
        </w:tc>
        <w:tc>
          <w:tcPr>
            <w:tcW w:w="1379" w:type="dxa"/>
            <w:vAlign w:val="top"/>
          </w:tcPr>
          <w:p w14:paraId="587EB52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5EB9199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3A40F5E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X≥1000</w:t>
            </w:r>
          </w:p>
        </w:tc>
        <w:tc>
          <w:tcPr>
            <w:tcW w:w="1698" w:type="dxa"/>
            <w:vAlign w:val="top"/>
          </w:tcPr>
          <w:p w14:paraId="70B1E85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300≤X&lt;1000</w:t>
            </w:r>
          </w:p>
        </w:tc>
        <w:tc>
          <w:tcPr>
            <w:tcW w:w="1428" w:type="dxa"/>
            <w:vAlign w:val="top"/>
          </w:tcPr>
          <w:p w14:paraId="35E5CFC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19"/>
                <w:szCs w:val="19"/>
                <w:highlight w:val="none"/>
              </w:rPr>
              <w:t>100≤X&lt;300</w:t>
            </w:r>
          </w:p>
        </w:tc>
        <w:tc>
          <w:tcPr>
            <w:tcW w:w="994" w:type="dxa"/>
            <w:vAlign w:val="top"/>
          </w:tcPr>
          <w:p w14:paraId="256C384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X&lt;100</w:t>
            </w:r>
          </w:p>
        </w:tc>
      </w:tr>
      <w:tr w14:paraId="35B19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03C1D37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8ADBCC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营业收入(Y)</w:t>
            </w:r>
          </w:p>
        </w:tc>
        <w:tc>
          <w:tcPr>
            <w:tcW w:w="709" w:type="dxa"/>
            <w:vAlign w:val="top"/>
          </w:tcPr>
          <w:p w14:paraId="4E406F6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32FE85E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Y≥5000</w:t>
            </w:r>
          </w:p>
        </w:tc>
        <w:tc>
          <w:tcPr>
            <w:tcW w:w="1698" w:type="dxa"/>
            <w:vAlign w:val="top"/>
          </w:tcPr>
          <w:p w14:paraId="491AF0E9">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1000≤Y&lt;5000</w:t>
            </w:r>
          </w:p>
        </w:tc>
        <w:tc>
          <w:tcPr>
            <w:tcW w:w="1428" w:type="dxa"/>
            <w:vAlign w:val="top"/>
          </w:tcPr>
          <w:p w14:paraId="0A3EFC9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500≤Y&lt;1000</w:t>
            </w:r>
          </w:p>
        </w:tc>
        <w:tc>
          <w:tcPr>
            <w:tcW w:w="994" w:type="dxa"/>
            <w:vAlign w:val="top"/>
          </w:tcPr>
          <w:p w14:paraId="6D2E3B52">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Y&lt;500</w:t>
            </w:r>
          </w:p>
        </w:tc>
      </w:tr>
      <w:tr w14:paraId="18975CBE">
        <w:tblPrEx>
          <w:tblCellMar>
            <w:top w:w="0" w:type="dxa"/>
            <w:left w:w="0" w:type="dxa"/>
            <w:bottom w:w="0" w:type="dxa"/>
            <w:right w:w="0" w:type="dxa"/>
          </w:tblCellMar>
        </w:tblPrEx>
        <w:trPr>
          <w:trHeight w:val="330" w:hRule="atLeast"/>
        </w:trPr>
        <w:tc>
          <w:tcPr>
            <w:tcW w:w="2083" w:type="dxa"/>
            <w:vMerge w:val="restart"/>
            <w:tcBorders>
              <w:bottom w:val="nil"/>
            </w:tcBorders>
            <w:vAlign w:val="top"/>
          </w:tcPr>
          <w:p w14:paraId="10B33A94">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租赁和商务服务业</w:t>
            </w:r>
          </w:p>
        </w:tc>
        <w:tc>
          <w:tcPr>
            <w:tcW w:w="1379" w:type="dxa"/>
            <w:vAlign w:val="top"/>
          </w:tcPr>
          <w:p w14:paraId="49E18DD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35B6CDB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75D3055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6C30B6C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100≤X&lt;300</w:t>
            </w:r>
          </w:p>
        </w:tc>
        <w:tc>
          <w:tcPr>
            <w:tcW w:w="1428" w:type="dxa"/>
            <w:vAlign w:val="top"/>
          </w:tcPr>
          <w:p w14:paraId="20FA4C0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10≤X&lt;100</w:t>
            </w:r>
          </w:p>
        </w:tc>
        <w:tc>
          <w:tcPr>
            <w:tcW w:w="994" w:type="dxa"/>
            <w:vAlign w:val="top"/>
          </w:tcPr>
          <w:p w14:paraId="15505A7D">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r w14:paraId="3BC3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083" w:type="dxa"/>
            <w:vMerge w:val="continue"/>
            <w:tcBorders>
              <w:top w:val="nil"/>
            </w:tcBorders>
            <w:vAlign w:val="top"/>
          </w:tcPr>
          <w:p w14:paraId="46F9166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sz w:val="21"/>
                <w:highlight w:val="none"/>
              </w:rPr>
            </w:pPr>
          </w:p>
        </w:tc>
        <w:tc>
          <w:tcPr>
            <w:tcW w:w="1379" w:type="dxa"/>
            <w:vAlign w:val="top"/>
          </w:tcPr>
          <w:p w14:paraId="0DF46715">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资产总额(Z)</w:t>
            </w:r>
          </w:p>
        </w:tc>
        <w:tc>
          <w:tcPr>
            <w:tcW w:w="709" w:type="dxa"/>
            <w:vAlign w:val="top"/>
          </w:tcPr>
          <w:p w14:paraId="64EE5EE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4"/>
                <w:sz w:val="19"/>
                <w:szCs w:val="19"/>
                <w:highlight w:val="none"/>
              </w:rPr>
              <w:t>万元</w:t>
            </w:r>
          </w:p>
        </w:tc>
        <w:tc>
          <w:tcPr>
            <w:tcW w:w="1109" w:type="dxa"/>
            <w:vAlign w:val="top"/>
          </w:tcPr>
          <w:p w14:paraId="4F4A84D3">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Z≥120000</w:t>
            </w:r>
          </w:p>
        </w:tc>
        <w:tc>
          <w:tcPr>
            <w:tcW w:w="1698" w:type="dxa"/>
            <w:vAlign w:val="top"/>
          </w:tcPr>
          <w:p w14:paraId="2814E53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9"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3"/>
                <w:sz w:val="19"/>
                <w:szCs w:val="19"/>
                <w:highlight w:val="none"/>
              </w:rPr>
              <w:t>8000≤Z&lt;120000</w:t>
            </w:r>
          </w:p>
        </w:tc>
        <w:tc>
          <w:tcPr>
            <w:tcW w:w="1428" w:type="dxa"/>
            <w:vAlign w:val="top"/>
          </w:tcPr>
          <w:p w14:paraId="72D0C84C">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5"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4"/>
                <w:sz w:val="19"/>
                <w:szCs w:val="19"/>
                <w:highlight w:val="none"/>
              </w:rPr>
              <w:t>100≤z&lt;8000</w:t>
            </w:r>
          </w:p>
        </w:tc>
        <w:tc>
          <w:tcPr>
            <w:tcW w:w="994" w:type="dxa"/>
            <w:vAlign w:val="top"/>
          </w:tcPr>
          <w:p w14:paraId="1044506E">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2"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2"/>
                <w:sz w:val="19"/>
                <w:szCs w:val="19"/>
                <w:highlight w:val="none"/>
              </w:rPr>
              <w:t>Z&lt;100</w:t>
            </w:r>
          </w:p>
        </w:tc>
      </w:tr>
      <w:tr w14:paraId="0C27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083" w:type="dxa"/>
            <w:vAlign w:val="top"/>
          </w:tcPr>
          <w:p w14:paraId="7F5887F1">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其他未列明行业*</w:t>
            </w:r>
          </w:p>
        </w:tc>
        <w:tc>
          <w:tcPr>
            <w:tcW w:w="1379" w:type="dxa"/>
            <w:vAlign w:val="top"/>
          </w:tcPr>
          <w:p w14:paraId="08C96BE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6"/>
                <w:sz w:val="19"/>
                <w:szCs w:val="19"/>
                <w:highlight w:val="none"/>
              </w:rPr>
              <w:t>从业人员(X)</w:t>
            </w:r>
          </w:p>
        </w:tc>
        <w:tc>
          <w:tcPr>
            <w:tcW w:w="709" w:type="dxa"/>
            <w:vAlign w:val="top"/>
          </w:tcPr>
          <w:p w14:paraId="4FFFC0B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z w:val="19"/>
                <w:szCs w:val="19"/>
                <w:highlight w:val="none"/>
              </w:rPr>
              <w:t>人</w:t>
            </w:r>
          </w:p>
        </w:tc>
        <w:tc>
          <w:tcPr>
            <w:tcW w:w="1109" w:type="dxa"/>
            <w:vAlign w:val="top"/>
          </w:tcPr>
          <w:p w14:paraId="049EB1F8">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X≥300</w:t>
            </w:r>
          </w:p>
        </w:tc>
        <w:tc>
          <w:tcPr>
            <w:tcW w:w="1698" w:type="dxa"/>
            <w:vAlign w:val="top"/>
          </w:tcPr>
          <w:p w14:paraId="2B6127DB">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100≤X&lt;300</w:t>
            </w:r>
          </w:p>
        </w:tc>
        <w:tc>
          <w:tcPr>
            <w:tcW w:w="1428" w:type="dxa"/>
            <w:vAlign w:val="top"/>
          </w:tcPr>
          <w:p w14:paraId="141A3C56">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61"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b/>
                <w:bCs/>
                <w:color w:val="auto"/>
                <w:spacing w:val="-5"/>
                <w:sz w:val="19"/>
                <w:szCs w:val="19"/>
                <w:highlight w:val="none"/>
              </w:rPr>
              <w:t>10≤X&lt;100</w:t>
            </w:r>
          </w:p>
        </w:tc>
        <w:tc>
          <w:tcPr>
            <w:tcW w:w="994" w:type="dxa"/>
            <w:vAlign w:val="top"/>
          </w:tcPr>
          <w:p w14:paraId="672CF33F">
            <w:pPr>
              <w:pStyle w:val="28"/>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76" w:firstLineChars="200"/>
              <w:jc w:val="center"/>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1"/>
                <w:sz w:val="19"/>
                <w:szCs w:val="19"/>
                <w:highlight w:val="none"/>
              </w:rPr>
              <w:t>X&lt;10</w:t>
            </w:r>
          </w:p>
        </w:tc>
      </w:tr>
    </w:tbl>
    <w:p w14:paraId="1F8018AA">
      <w:pPr>
        <w:pStyle w:val="9"/>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highlight w:val="none"/>
        </w:rPr>
      </w:pPr>
    </w:p>
    <w:p w14:paraId="2E3B367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44" w:firstLineChars="200"/>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9"/>
          <w:sz w:val="19"/>
          <w:szCs w:val="19"/>
          <w:highlight w:val="none"/>
        </w:rPr>
        <w:t>说</w:t>
      </w:r>
      <w:r>
        <w:rPr>
          <w:rFonts w:hint="eastAsia" w:ascii="仿宋" w:hAnsi="仿宋" w:eastAsia="仿宋" w:cs="仿宋"/>
          <w:color w:val="auto"/>
          <w:spacing w:val="-19"/>
          <w:sz w:val="19"/>
          <w:szCs w:val="19"/>
          <w:highlight w:val="none"/>
        </w:rPr>
        <w:t xml:space="preserve"> </w:t>
      </w:r>
      <w:r>
        <w:rPr>
          <w:rFonts w:hint="eastAsia" w:ascii="仿宋" w:hAnsi="仿宋" w:eastAsia="仿宋" w:cs="仿宋"/>
          <w:color w:val="auto"/>
          <w:spacing w:val="-9"/>
          <w:sz w:val="19"/>
          <w:szCs w:val="19"/>
          <w:highlight w:val="none"/>
        </w:rPr>
        <w:t>明</w:t>
      </w:r>
      <w:r>
        <w:rPr>
          <w:rFonts w:hint="eastAsia" w:ascii="仿宋" w:hAnsi="仿宋" w:eastAsia="仿宋" w:cs="仿宋"/>
          <w:color w:val="auto"/>
          <w:spacing w:val="-35"/>
          <w:sz w:val="19"/>
          <w:szCs w:val="19"/>
          <w:highlight w:val="none"/>
        </w:rPr>
        <w:t xml:space="preserve"> </w:t>
      </w:r>
      <w:r>
        <w:rPr>
          <w:rFonts w:hint="eastAsia" w:ascii="仿宋" w:hAnsi="仿宋" w:eastAsia="仿宋" w:cs="仿宋"/>
          <w:color w:val="auto"/>
          <w:spacing w:val="-9"/>
          <w:sz w:val="19"/>
          <w:szCs w:val="19"/>
          <w:highlight w:val="none"/>
        </w:rPr>
        <w:t>：</w:t>
      </w:r>
    </w:p>
    <w:p w14:paraId="3638A19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6"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1.大型、中型和小型企业须同时满足所列指标的下限，否则下划一档；微型企业只须满足所列</w:t>
      </w:r>
      <w:r>
        <w:rPr>
          <w:rFonts w:hint="eastAsia" w:ascii="仿宋" w:hAnsi="仿宋" w:eastAsia="仿宋" w:cs="仿宋"/>
          <w:b/>
          <w:bCs/>
          <w:color w:val="auto"/>
          <w:spacing w:val="3"/>
          <w:sz w:val="22"/>
          <w:szCs w:val="22"/>
          <w:highlight w:val="none"/>
        </w:rPr>
        <w:t>指标中的一项即可。</w:t>
      </w:r>
    </w:p>
    <w:p w14:paraId="0B1388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52" w:firstLineChars="200"/>
        <w:jc w:val="both"/>
        <w:textAlignment w:val="baseline"/>
        <w:rPr>
          <w:rFonts w:hint="eastAsia" w:ascii="仿宋" w:hAnsi="仿宋" w:eastAsia="仿宋" w:cs="仿宋"/>
          <w:color w:val="auto"/>
          <w:sz w:val="19"/>
          <w:szCs w:val="19"/>
          <w:highlight w:val="none"/>
        </w:rPr>
      </w:pPr>
      <w:r>
        <w:rPr>
          <w:rFonts w:hint="eastAsia" w:ascii="仿宋" w:hAnsi="仿宋" w:eastAsia="仿宋" w:cs="仿宋"/>
          <w:color w:val="auto"/>
          <w:spacing w:val="3"/>
          <w:sz w:val="22"/>
          <w:szCs w:val="22"/>
          <w:highlight w:val="none"/>
        </w:rPr>
        <w:t>2.附表中各行业的范围以《国民经济行业分类》(</w:t>
      </w:r>
      <w:r>
        <w:rPr>
          <w:rFonts w:hint="eastAsia" w:ascii="仿宋" w:hAnsi="仿宋" w:eastAsia="仿宋" w:cs="仿宋"/>
          <w:color w:val="auto"/>
          <w:sz w:val="22"/>
          <w:szCs w:val="22"/>
          <w:highlight w:val="none"/>
        </w:rPr>
        <w:t>GB</w:t>
      </w:r>
      <w:r>
        <w:rPr>
          <w:rFonts w:hint="eastAsia" w:ascii="仿宋" w:hAnsi="仿宋" w:eastAsia="仿宋" w:cs="仿宋"/>
          <w:color w:val="auto"/>
          <w:spacing w:val="3"/>
          <w:sz w:val="22"/>
          <w:szCs w:val="22"/>
          <w:highlight w:val="none"/>
        </w:rPr>
        <w:t>/T4754-2017)</w:t>
      </w:r>
      <w:r>
        <w:rPr>
          <w:rFonts w:hint="eastAsia" w:ascii="仿宋" w:hAnsi="仿宋" w:eastAsia="仿宋" w:cs="仿宋"/>
          <w:color w:val="auto"/>
          <w:spacing w:val="118"/>
          <w:sz w:val="22"/>
          <w:szCs w:val="22"/>
          <w:highlight w:val="none"/>
        </w:rPr>
        <w:t xml:space="preserve"> </w:t>
      </w:r>
      <w:r>
        <w:rPr>
          <w:rFonts w:hint="eastAsia" w:ascii="仿宋" w:hAnsi="仿宋" w:eastAsia="仿宋" w:cs="仿宋"/>
          <w:color w:val="auto"/>
          <w:spacing w:val="3"/>
          <w:sz w:val="22"/>
          <w:szCs w:val="22"/>
          <w:highlight w:val="none"/>
        </w:rPr>
        <w:t>为准。带*的项为行业组合</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类别，其中，工业包括采矿业，制造业，电力、热力、燃气及水生</w:t>
      </w:r>
      <w:r>
        <w:rPr>
          <w:rFonts w:hint="eastAsia" w:ascii="仿宋" w:hAnsi="仿宋" w:eastAsia="仿宋" w:cs="仿宋"/>
          <w:color w:val="auto"/>
          <w:spacing w:val="3"/>
          <w:sz w:val="22"/>
          <w:szCs w:val="22"/>
          <w:highlight w:val="none"/>
        </w:rPr>
        <w:t>产和供应业；交通运输业包括道</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路运输业，水上运输业，航空运输业，管道运输业，多式联运和运输代理业、装卸搬运，不包括铁 路运输业；仓储业包括通用仓储，低温仓储，危险品仓储，谷物</w:t>
      </w:r>
      <w:r>
        <w:rPr>
          <w:rFonts w:hint="eastAsia" w:ascii="仿宋" w:hAnsi="仿宋" w:eastAsia="仿宋" w:cs="仿宋"/>
          <w:color w:val="auto"/>
          <w:spacing w:val="3"/>
          <w:sz w:val="22"/>
          <w:szCs w:val="22"/>
          <w:highlight w:val="none"/>
        </w:rPr>
        <w:t>、棉花等农产品仓储，中药材仓储</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和其他仓储业；信息传输业包括电信、广播电视和卫星传输服务，互联网和相关服务；其他未列明</w:t>
      </w:r>
      <w:r>
        <w:rPr>
          <w:rFonts w:hint="eastAsia" w:ascii="仿宋" w:hAnsi="仿宋" w:eastAsia="仿宋" w:cs="仿宋"/>
          <w:color w:val="auto"/>
          <w:spacing w:val="18"/>
          <w:sz w:val="22"/>
          <w:szCs w:val="22"/>
          <w:highlight w:val="none"/>
        </w:rPr>
        <w:t xml:space="preserve"> </w:t>
      </w:r>
      <w:r>
        <w:rPr>
          <w:rFonts w:hint="eastAsia" w:ascii="仿宋" w:hAnsi="仿宋" w:eastAsia="仿宋" w:cs="仿宋"/>
          <w:color w:val="auto"/>
          <w:spacing w:val="6"/>
          <w:sz w:val="22"/>
          <w:szCs w:val="22"/>
          <w:highlight w:val="none"/>
        </w:rPr>
        <w:t>行业包括科学研究和技术服务业，水利、环境和公共</w:t>
      </w:r>
      <w:r>
        <w:rPr>
          <w:rFonts w:hint="eastAsia" w:ascii="仿宋" w:hAnsi="仿宋" w:eastAsia="仿宋" w:cs="仿宋"/>
          <w:color w:val="auto"/>
          <w:spacing w:val="5"/>
          <w:sz w:val="22"/>
          <w:szCs w:val="22"/>
          <w:highlight w:val="none"/>
        </w:rPr>
        <w:t>设施管理业，居民服务、修理和其他服务业，</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4"/>
          <w:sz w:val="22"/>
          <w:szCs w:val="22"/>
          <w:highlight w:val="none"/>
        </w:rPr>
        <w:t>社会工作，文化、体育和娱乐业，以及房地产中介服务，其他房地产业等，不包括自有房地产经营</w:t>
      </w:r>
      <w:r>
        <w:rPr>
          <w:rFonts w:hint="eastAsia" w:ascii="仿宋" w:hAnsi="仿宋" w:eastAsia="仿宋" w:cs="仿宋"/>
          <w:color w:val="auto"/>
          <w:spacing w:val="9"/>
          <w:sz w:val="22"/>
          <w:szCs w:val="22"/>
          <w:highlight w:val="none"/>
        </w:rPr>
        <w:t xml:space="preserve"> </w:t>
      </w:r>
      <w:r>
        <w:rPr>
          <w:rFonts w:hint="eastAsia" w:ascii="仿宋" w:hAnsi="仿宋" w:eastAsia="仿宋" w:cs="仿宋"/>
          <w:color w:val="auto"/>
          <w:spacing w:val="-7"/>
          <w:sz w:val="19"/>
          <w:szCs w:val="19"/>
          <w:highlight w:val="none"/>
        </w:rPr>
        <w:t>活</w:t>
      </w:r>
      <w:r>
        <w:rPr>
          <w:rFonts w:hint="eastAsia" w:ascii="仿宋" w:hAnsi="仿宋" w:eastAsia="仿宋" w:cs="仿宋"/>
          <w:color w:val="auto"/>
          <w:spacing w:val="-22"/>
          <w:sz w:val="19"/>
          <w:szCs w:val="19"/>
          <w:highlight w:val="none"/>
        </w:rPr>
        <w:t xml:space="preserve"> </w:t>
      </w:r>
      <w:r>
        <w:rPr>
          <w:rFonts w:hint="eastAsia" w:ascii="仿宋" w:hAnsi="仿宋" w:eastAsia="仿宋" w:cs="仿宋"/>
          <w:color w:val="auto"/>
          <w:spacing w:val="-7"/>
          <w:sz w:val="19"/>
          <w:szCs w:val="19"/>
          <w:highlight w:val="none"/>
        </w:rPr>
        <w:t>动</w:t>
      </w:r>
      <w:r>
        <w:rPr>
          <w:rFonts w:hint="eastAsia" w:ascii="仿宋" w:hAnsi="仿宋" w:eastAsia="仿宋" w:cs="仿宋"/>
          <w:color w:val="auto"/>
          <w:spacing w:val="-29"/>
          <w:sz w:val="19"/>
          <w:szCs w:val="19"/>
          <w:highlight w:val="none"/>
        </w:rPr>
        <w:t xml:space="preserve"> </w:t>
      </w:r>
      <w:r>
        <w:rPr>
          <w:rFonts w:hint="eastAsia" w:ascii="仿宋" w:hAnsi="仿宋" w:eastAsia="仿宋" w:cs="仿宋"/>
          <w:color w:val="auto"/>
          <w:spacing w:val="-7"/>
          <w:sz w:val="19"/>
          <w:szCs w:val="19"/>
          <w:highlight w:val="none"/>
        </w:rPr>
        <w:t>。</w:t>
      </w:r>
    </w:p>
    <w:p w14:paraId="03A7A51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3.企业划分指标以现行统计制度为准。(1)从业人员，是指</w:t>
      </w:r>
      <w:r>
        <w:rPr>
          <w:rFonts w:hint="eastAsia" w:ascii="仿宋" w:hAnsi="仿宋" w:eastAsia="仿宋" w:cs="仿宋"/>
          <w:color w:val="auto"/>
          <w:spacing w:val="11"/>
          <w:sz w:val="22"/>
          <w:szCs w:val="22"/>
          <w:highlight w:val="none"/>
        </w:rPr>
        <w:t>期末从业人员数，没有期末从业</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1"/>
          <w:sz w:val="22"/>
          <w:szCs w:val="22"/>
          <w:highlight w:val="none"/>
        </w:rPr>
        <w:t>人员数的，采用全年平均人员数代替。(2)营业收入，工业、建筑业、限额以上批发和零售业、</w:t>
      </w:r>
      <w:r>
        <w:rPr>
          <w:rFonts w:hint="eastAsia" w:ascii="仿宋" w:hAnsi="仿宋" w:eastAsia="仿宋" w:cs="仿宋"/>
          <w:color w:val="auto"/>
          <w:spacing w:val="16"/>
          <w:sz w:val="22"/>
          <w:szCs w:val="22"/>
          <w:highlight w:val="none"/>
        </w:rPr>
        <w:t xml:space="preserve"> </w:t>
      </w:r>
      <w:r>
        <w:rPr>
          <w:rFonts w:hint="eastAsia" w:ascii="仿宋" w:hAnsi="仿宋" w:eastAsia="仿宋" w:cs="仿宋"/>
          <w:color w:val="auto"/>
          <w:spacing w:val="4"/>
          <w:sz w:val="22"/>
          <w:szCs w:val="22"/>
          <w:highlight w:val="none"/>
        </w:rPr>
        <w:t>限额以上住宿和餐饮业以及其他设置主营业务收入指标的行业，采用主营业务收入；限额以下批发</w:t>
      </w:r>
      <w:r>
        <w:rPr>
          <w:rFonts w:hint="eastAsia" w:ascii="仿宋" w:hAnsi="仿宋" w:eastAsia="仿宋" w:cs="仿宋"/>
          <w:color w:val="auto"/>
          <w:spacing w:val="12"/>
          <w:sz w:val="22"/>
          <w:szCs w:val="22"/>
          <w:highlight w:val="none"/>
        </w:rPr>
        <w:t xml:space="preserve"> </w:t>
      </w:r>
      <w:r>
        <w:rPr>
          <w:rFonts w:hint="eastAsia" w:ascii="仿宋" w:hAnsi="仿宋" w:eastAsia="仿宋" w:cs="仿宋"/>
          <w:color w:val="auto"/>
          <w:spacing w:val="4"/>
          <w:sz w:val="22"/>
          <w:szCs w:val="22"/>
          <w:highlight w:val="none"/>
        </w:rPr>
        <w:t>与零售业企业采用商品销售额代替；限额以下住宿与餐饮业企业采用营</w:t>
      </w:r>
      <w:r>
        <w:rPr>
          <w:rFonts w:hint="eastAsia" w:ascii="仿宋" w:hAnsi="仿宋" w:eastAsia="仿宋" w:cs="仿宋"/>
          <w:color w:val="auto"/>
          <w:spacing w:val="3"/>
          <w:sz w:val="22"/>
          <w:szCs w:val="22"/>
          <w:highlight w:val="none"/>
        </w:rPr>
        <w:t>业额代替；农、林、牧、渔</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12"/>
          <w:sz w:val="22"/>
          <w:szCs w:val="22"/>
          <w:highlight w:val="none"/>
        </w:rPr>
        <w:t>业企业采用营业总收入代替；其他未设置主营业务收入的行业，采用营业收入指标。(3</w:t>
      </w:r>
      <w:r>
        <w:rPr>
          <w:rFonts w:hint="eastAsia" w:ascii="仿宋" w:hAnsi="仿宋" w:eastAsia="仿宋" w:cs="仿宋"/>
          <w:color w:val="auto"/>
          <w:spacing w:val="11"/>
          <w:sz w:val="22"/>
          <w:szCs w:val="22"/>
          <w:highlight w:val="none"/>
        </w:rPr>
        <w:t>)资产总</w:t>
      </w:r>
      <w:r>
        <w:rPr>
          <w:rFonts w:hint="eastAsia" w:ascii="仿宋" w:hAnsi="仿宋" w:eastAsia="仿宋" w:cs="仿宋"/>
          <w:color w:val="auto"/>
          <w:sz w:val="22"/>
          <w:szCs w:val="22"/>
          <w:highlight w:val="none"/>
        </w:rPr>
        <w:t xml:space="preserve"> </w:t>
      </w:r>
      <w:r>
        <w:rPr>
          <w:rFonts w:hint="eastAsia" w:ascii="仿宋" w:hAnsi="仿宋" w:eastAsia="仿宋" w:cs="仿宋"/>
          <w:color w:val="auto"/>
          <w:spacing w:val="6"/>
          <w:sz w:val="22"/>
          <w:szCs w:val="22"/>
          <w:highlight w:val="none"/>
        </w:rPr>
        <w:t>额，采用资产总计代替。</w:t>
      </w:r>
    </w:p>
    <w:p w14:paraId="5AB9BDD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2"/>
          <w:szCs w:val="22"/>
          <w:highlight w:val="none"/>
        </w:rPr>
        <w:sectPr>
          <w:pgSz w:w="11910" w:h="16830"/>
          <w:pgMar w:top="1120" w:right="1100" w:bottom="1099" w:left="1110" w:header="0" w:footer="955" w:gutter="0"/>
          <w:pgNumType w:fmt="decimal"/>
          <w:cols w:space="720" w:num="1"/>
        </w:sectPr>
      </w:pPr>
    </w:p>
    <w:p w14:paraId="7CF07E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附件3</w:t>
      </w:r>
    </w:p>
    <w:p w14:paraId="7C3835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仿宋" w:hAnsi="仿宋" w:eastAsia="仿宋" w:cs="仿宋"/>
          <w:color w:val="auto"/>
          <w:kern w:val="0"/>
          <w:sz w:val="32"/>
          <w:szCs w:val="32"/>
          <w:highlight w:val="none"/>
          <w:lang w:val="en-US" w:eastAsia="zh-CN" w:bidi="ar"/>
        </w:rPr>
      </w:pPr>
    </w:p>
    <w:p w14:paraId="76F53F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0"/>
          <w:sz w:val="36"/>
          <w:szCs w:val="36"/>
          <w:highlight w:val="none"/>
          <w:lang w:val="en-US" w:eastAsia="zh-CN" w:bidi="ar"/>
        </w:rPr>
      </w:pPr>
      <w:r>
        <w:rPr>
          <w:rStyle w:val="24"/>
          <w:rFonts w:hint="eastAsia" w:ascii="仿宋" w:hAnsi="仿宋" w:eastAsia="仿宋" w:cs="仿宋"/>
          <w:i w:val="0"/>
          <w:iCs w:val="0"/>
          <w:caps w:val="0"/>
          <w:color w:val="auto"/>
          <w:spacing w:val="0"/>
          <w:kern w:val="2"/>
          <w:sz w:val="36"/>
          <w:szCs w:val="36"/>
          <w:highlight w:val="none"/>
          <w:shd w:val="clear" w:color="auto" w:fill="FFFFFF"/>
          <w:lang w:val="en-US" w:eastAsia="zh-CN" w:bidi="ar-SA"/>
        </w:rPr>
        <w:t>中国境内生产的组件成本核算基本规则</w:t>
      </w:r>
    </w:p>
    <w:p w14:paraId="3DF7DF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Fonts w:hint="eastAsia" w:ascii="仿宋" w:hAnsi="仿宋" w:eastAsia="仿宋" w:cs="仿宋"/>
          <w:i w:val="0"/>
          <w:iCs w:val="0"/>
          <w:caps w:val="0"/>
          <w:color w:val="auto"/>
          <w:spacing w:val="0"/>
          <w:kern w:val="0"/>
          <w:sz w:val="24"/>
          <w:szCs w:val="24"/>
          <w:highlight w:val="none"/>
          <w:lang w:val="en-US" w:eastAsia="zh-CN" w:bidi="ar"/>
        </w:rPr>
      </w:pPr>
    </w:p>
    <w:p w14:paraId="0CB7B5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6D9BE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一、产品的一级组件是指直接组成产品的组件。产品的二级组件是指直接组成产品一级组件的组件。一级组件不可分解的，视同二级组件。</w:t>
      </w:r>
    </w:p>
    <w:p w14:paraId="6CCAF7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二、二级组件在中国境内生产的，其全部成本计入中国境内生产的组件成本；二级组件不在中国境内生产的，其成本不计入中国境内生产的组件成本。</w:t>
      </w:r>
    </w:p>
    <w:p w14:paraId="3B97BC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三、产品总成本和组件成本以相关会计核算数据、采购合同、进货记录等为基础进行计算。</w:t>
      </w:r>
    </w:p>
    <w:p w14:paraId="4822EC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四、需要对成本核算规则予以进一步明确的其他有关事项，由财政部会同有关部门另行规定。</w:t>
      </w:r>
    </w:p>
    <w:p w14:paraId="306F7027">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2"/>
          <w:szCs w:val="22"/>
          <w:highlight w:val="none"/>
        </w:rPr>
        <w:sectPr>
          <w:pgSz w:w="11910" w:h="16830"/>
          <w:pgMar w:top="1120" w:right="1100" w:bottom="1099" w:left="1110" w:header="0" w:footer="955" w:gutter="0"/>
          <w:pgNumType w:fmt="decimal"/>
          <w:cols w:space="720" w:num="1"/>
        </w:sectPr>
      </w:pPr>
    </w:p>
    <w:p w14:paraId="6912F431">
      <w:pPr>
        <w:widowControl w:val="0"/>
        <w:kinsoku/>
        <w:autoSpaceDE/>
        <w:autoSpaceDN/>
        <w:adjustRightInd/>
        <w:snapToGrid w:val="0"/>
        <w:spacing w:line="240" w:lineRule="auto"/>
        <w:ind w:left="3360" w:hanging="420"/>
        <w:jc w:val="both"/>
        <w:textAlignment w:val="auto"/>
        <w:rPr>
          <w:rFonts w:hint="eastAsia" w:ascii="仿宋" w:hAnsi="仿宋" w:eastAsia="仿宋" w:cs="仿宋"/>
          <w:snapToGrid/>
          <w:color w:val="auto"/>
          <w:kern w:val="0"/>
          <w:sz w:val="20"/>
          <w:szCs w:val="21"/>
          <w:highlight w:val="none"/>
          <w:lang w:val="en-US" w:eastAsia="zh-CN" w:bidi="ar-SA"/>
        </w:rPr>
      </w:pPr>
    </w:p>
    <w:p w14:paraId="28CA26D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63" w:firstLineChars="200"/>
        <w:jc w:val="center"/>
        <w:textAlignment w:val="baseline"/>
        <w:outlineLvl w:val="0"/>
        <w:rPr>
          <w:rFonts w:hint="eastAsia" w:ascii="仿宋" w:hAnsi="仿宋" w:eastAsia="仿宋" w:cs="仿宋"/>
          <w:color w:val="auto"/>
          <w:sz w:val="44"/>
          <w:szCs w:val="44"/>
          <w:highlight w:val="none"/>
        </w:rPr>
      </w:pPr>
      <w:bookmarkStart w:id="53" w:name="_Toc31274"/>
      <w:r>
        <w:rPr>
          <w:rFonts w:hint="eastAsia" w:ascii="仿宋" w:hAnsi="仿宋" w:eastAsia="仿宋" w:cs="仿宋"/>
          <w:b/>
          <w:bCs/>
          <w:color w:val="auto"/>
          <w:spacing w:val="-5"/>
          <w:sz w:val="44"/>
          <w:szCs w:val="44"/>
          <w:highlight w:val="none"/>
        </w:rPr>
        <w:t>第四章</w:t>
      </w:r>
      <w:r>
        <w:rPr>
          <w:rFonts w:hint="eastAsia" w:ascii="仿宋" w:hAnsi="仿宋" w:eastAsia="仿宋" w:cs="仿宋"/>
          <w:color w:val="auto"/>
          <w:spacing w:val="-5"/>
          <w:sz w:val="44"/>
          <w:szCs w:val="44"/>
          <w:highlight w:val="none"/>
        </w:rPr>
        <w:t xml:space="preserve">  </w:t>
      </w:r>
      <w:r>
        <w:rPr>
          <w:rFonts w:hint="eastAsia" w:ascii="仿宋" w:hAnsi="仿宋" w:eastAsia="仿宋" w:cs="仿宋"/>
          <w:b/>
          <w:bCs/>
          <w:color w:val="auto"/>
          <w:spacing w:val="-5"/>
          <w:sz w:val="44"/>
          <w:szCs w:val="44"/>
          <w:highlight w:val="none"/>
        </w:rPr>
        <w:t>评审程序、评审方法和评审标准</w:t>
      </w:r>
      <w:bookmarkEnd w:id="53"/>
    </w:p>
    <w:p w14:paraId="72CB3A5D">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3014BE1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88"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2"/>
          <w:sz w:val="32"/>
          <w:szCs w:val="32"/>
          <w:highlight w:val="none"/>
        </w:rPr>
        <w:t>第一节评审程序和评审方法</w:t>
      </w:r>
    </w:p>
    <w:p w14:paraId="21CA8CF1">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0"/>
          <w:sz w:val="21"/>
          <w:szCs w:val="21"/>
          <w:highlight w:val="none"/>
        </w:rPr>
        <w:t>1.</w:t>
      </w:r>
      <w:r>
        <w:rPr>
          <w:rFonts w:hint="eastAsia" w:ascii="仿宋" w:hAnsi="仿宋" w:eastAsia="仿宋" w:cs="仿宋"/>
          <w:color w:val="auto"/>
          <w:spacing w:val="-60"/>
          <w:sz w:val="21"/>
          <w:szCs w:val="21"/>
          <w:highlight w:val="none"/>
        </w:rPr>
        <w:t xml:space="preserve"> </w:t>
      </w:r>
      <w:r>
        <w:rPr>
          <w:rFonts w:hint="eastAsia" w:ascii="仿宋" w:hAnsi="仿宋" w:eastAsia="仿宋" w:cs="仿宋"/>
          <w:b/>
          <w:bCs/>
          <w:color w:val="auto"/>
          <w:spacing w:val="20"/>
          <w:sz w:val="21"/>
          <w:szCs w:val="21"/>
          <w:highlight w:val="none"/>
        </w:rPr>
        <w:t>确认磋商文件</w:t>
      </w:r>
    </w:p>
    <w:p w14:paraId="4B9C877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由磋商小组确认磋商文件。</w:t>
      </w:r>
    </w:p>
    <w:p w14:paraId="1210BFCF">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4"/>
          <w:sz w:val="21"/>
          <w:szCs w:val="21"/>
          <w:highlight w:val="none"/>
        </w:rPr>
        <w:t>2.资格审查</w:t>
      </w:r>
    </w:p>
    <w:p w14:paraId="0C41FE7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2.1响应文件开启后，磋商小组依法对供应商的资格证明文件进行审查。</w:t>
      </w:r>
    </w:p>
    <w:p w14:paraId="49F87CD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注：采购人代表或者采购代理机构在资格审查结束前，对供应商进行信用查询。</w:t>
      </w:r>
    </w:p>
    <w:p w14:paraId="7F5258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(1)查询渠道：广西政府采购云平台“信用中国”网站(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u w:val="single" w:color="auto"/>
        </w:rPr>
        <w:t>www</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creditchina</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gov</w:t>
      </w:r>
      <w:r>
        <w:rPr>
          <w:rFonts w:hint="eastAsia" w:ascii="仿宋" w:hAnsi="仿宋" w:eastAsia="仿宋" w:cs="仿宋"/>
          <w:color w:val="auto"/>
          <w:spacing w:val="3"/>
          <w:sz w:val="21"/>
          <w:szCs w:val="21"/>
          <w:highlight w:val="none"/>
          <w:u w:val="single" w:color="auto"/>
        </w:rPr>
        <w:t>.</w:t>
      </w:r>
      <w:r>
        <w:rPr>
          <w:rFonts w:hint="eastAsia" w:ascii="仿宋" w:hAnsi="仿宋" w:eastAsia="仿宋" w:cs="仿宋"/>
          <w:color w:val="auto"/>
          <w:sz w:val="21"/>
          <w:szCs w:val="21"/>
          <w:highlight w:val="none"/>
          <w:u w:val="single" w:color="auto"/>
        </w:rPr>
        <w:t>cn</w:t>
      </w:r>
      <w:r>
        <w:rPr>
          <w:rFonts w:hint="eastAsia" w:ascii="仿宋" w:hAnsi="仿宋" w:eastAsia="仿宋" w:cs="仿宋"/>
          <w:color w:val="auto"/>
          <w:sz w:val="21"/>
          <w:szCs w:val="21"/>
          <w:highlight w:val="none"/>
          <w:u w:val="single" w:color="auto"/>
        </w:rPr>
        <w:fldChar w:fldCharType="end"/>
      </w:r>
      <w:r>
        <w:rPr>
          <w:rFonts w:hint="eastAsia" w:ascii="仿宋" w:hAnsi="仿宋" w:eastAsia="仿宋" w:cs="仿宋"/>
          <w:color w:val="auto"/>
          <w:spacing w:val="3"/>
          <w:sz w:val="21"/>
          <w:szCs w:val="21"/>
          <w:highlight w:val="none"/>
        </w:rPr>
        <w:t xml:space="preserve"> )、中国政府采购</w:t>
      </w:r>
      <w:r>
        <w:rPr>
          <w:rFonts w:hint="eastAsia" w:ascii="仿宋" w:hAnsi="仿宋" w:eastAsia="仿宋" w:cs="仿宋"/>
          <w:color w:val="auto"/>
          <w:spacing w:val="12"/>
          <w:sz w:val="21"/>
          <w:szCs w:val="21"/>
          <w:highlight w:val="none"/>
        </w:rPr>
        <w:t xml:space="preserve"> </w:t>
      </w:r>
      <w:r>
        <w:rPr>
          <w:rFonts w:hint="eastAsia" w:ascii="仿宋" w:hAnsi="仿宋" w:eastAsia="仿宋" w:cs="仿宋"/>
          <w:color w:val="auto"/>
          <w:sz w:val="21"/>
          <w:szCs w:val="21"/>
          <w:highlight w:val="none"/>
        </w:rPr>
        <w:t>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u w:val="single" w:color="auto"/>
        </w:rPr>
        <w:t>www.ccgp.gov.cn</w:t>
      </w:r>
      <w:r>
        <w:rPr>
          <w:rFonts w:hint="eastAsia" w:ascii="仿宋" w:hAnsi="仿宋" w:eastAsia="仿宋" w:cs="仿宋"/>
          <w:color w:val="auto"/>
          <w:sz w:val="21"/>
          <w:szCs w:val="21"/>
          <w:highlight w:val="none"/>
          <w:u w:val="single" w:color="auto"/>
        </w:rPr>
        <w:fldChar w:fldCharType="end"/>
      </w:r>
      <w:r>
        <w:rPr>
          <w:rFonts w:hint="eastAsia" w:ascii="仿宋" w:hAnsi="仿宋" w:eastAsia="仿宋" w:cs="仿宋"/>
          <w:color w:val="auto"/>
          <w:sz w:val="21"/>
          <w:szCs w:val="21"/>
          <w:highlight w:val="none"/>
        </w:rPr>
        <w:t>)链接入口。</w:t>
      </w:r>
    </w:p>
    <w:p w14:paraId="411746B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(2)信用查询截止时点：资格审查结束前。</w:t>
      </w:r>
    </w:p>
    <w:p w14:paraId="00F4D8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查询记录和证据留存方式：在查询网站中直接查询记录</w:t>
      </w:r>
      <w:r>
        <w:rPr>
          <w:rFonts w:hint="eastAsia" w:ascii="仿宋" w:hAnsi="仿宋" w:eastAsia="仿宋" w:cs="仿宋"/>
          <w:color w:val="auto"/>
          <w:sz w:val="21"/>
          <w:szCs w:val="21"/>
          <w:highlight w:val="none"/>
        </w:rPr>
        <w:t>，截图另存为电子文档作为评审资料保存。</w:t>
      </w:r>
    </w:p>
    <w:p w14:paraId="1C876B8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4"/>
          <w:sz w:val="21"/>
          <w:szCs w:val="21"/>
          <w:highlight w:val="none"/>
        </w:rPr>
        <w:t>(3)信用信息使用规则：对在“信用中国”网站(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"https://www.creditchina.gov.cn"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rPr>
        <w:t>www</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creditchina</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gov</w:t>
      </w:r>
      <w:r>
        <w:rPr>
          <w:rFonts w:hint="eastAsia" w:ascii="仿宋" w:hAnsi="仿宋" w:eastAsia="仿宋" w:cs="仿宋"/>
          <w:color w:val="auto"/>
          <w:spacing w:val="14"/>
          <w:sz w:val="21"/>
          <w:szCs w:val="21"/>
          <w:highlight w:val="none"/>
        </w:rPr>
        <w:t>.</w:t>
      </w:r>
      <w:r>
        <w:rPr>
          <w:rFonts w:hint="eastAsia" w:ascii="仿宋" w:hAnsi="仿宋" w:eastAsia="仿宋" w:cs="仿宋"/>
          <w:color w:val="auto"/>
          <w:sz w:val="21"/>
          <w:szCs w:val="21"/>
          <w:highlight w:val="none"/>
        </w:rPr>
        <w:t>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51"/>
          <w:sz w:val="21"/>
          <w:szCs w:val="21"/>
          <w:highlight w:val="none"/>
        </w:rPr>
        <w:t xml:space="preserve"> </w:t>
      </w:r>
      <w:r>
        <w:rPr>
          <w:rFonts w:hint="eastAsia" w:ascii="仿宋" w:hAnsi="仿宋" w:eastAsia="仿宋" w:cs="仿宋"/>
          <w:color w:val="auto"/>
          <w:spacing w:val="14"/>
          <w:sz w:val="21"/>
          <w:szCs w:val="21"/>
          <w:highlight w:val="none"/>
        </w:rPr>
        <w:t>中国</w:t>
      </w:r>
      <w:r>
        <w:rPr>
          <w:rFonts w:hint="eastAsia" w:ascii="仿宋" w:hAnsi="仿宋" w:eastAsia="仿宋" w:cs="仿宋"/>
          <w:color w:val="auto"/>
          <w:spacing w:val="13"/>
          <w:sz w:val="21"/>
          <w:szCs w:val="21"/>
          <w:highlight w:val="none"/>
        </w:rPr>
        <w:t>政府采购网</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"https://www.ccgp.gov.cn" </w:instrText>
      </w:r>
      <w:r>
        <w:rPr>
          <w:rFonts w:hint="eastAsia" w:ascii="仿宋" w:hAnsi="仿宋" w:eastAsia="仿宋" w:cs="仿宋"/>
          <w:color w:val="auto"/>
          <w:highlight w:val="none"/>
        </w:rPr>
        <w:fldChar w:fldCharType="separate"/>
      </w:r>
      <w:r>
        <w:rPr>
          <w:rFonts w:hint="eastAsia" w:ascii="仿宋" w:hAnsi="仿宋" w:eastAsia="仿宋" w:cs="仿宋"/>
          <w:color w:val="auto"/>
          <w:sz w:val="21"/>
          <w:szCs w:val="21"/>
          <w:highlight w:val="none"/>
        </w:rPr>
        <w:t>www</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ccgp</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gov</w:t>
      </w:r>
      <w:r>
        <w:rPr>
          <w:rFonts w:hint="eastAsia" w:ascii="仿宋" w:hAnsi="仿宋" w:eastAsia="仿宋" w:cs="仿宋"/>
          <w:color w:val="auto"/>
          <w:spacing w:val="1"/>
          <w:sz w:val="21"/>
          <w:szCs w:val="21"/>
          <w:highlight w:val="none"/>
        </w:rPr>
        <w:t>.</w:t>
      </w:r>
      <w:r>
        <w:rPr>
          <w:rFonts w:hint="eastAsia" w:ascii="仿宋" w:hAnsi="仿宋" w:eastAsia="仿宋" w:cs="仿宋"/>
          <w:color w:val="auto"/>
          <w:sz w:val="21"/>
          <w:szCs w:val="21"/>
          <w:highlight w:val="none"/>
        </w:rPr>
        <w:t>cn</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pacing w:val="1"/>
          <w:sz w:val="21"/>
          <w:szCs w:val="21"/>
          <w:highlight w:val="none"/>
        </w:rPr>
        <w:t>)被列入失信被执行人、重大税收违法失信主体、政府采购严重违法失信行为记录名单</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z w:val="21"/>
          <w:szCs w:val="21"/>
          <w:highlight w:val="none"/>
        </w:rPr>
        <w:t>及其他不符合《中华人民共和国政府采购法》第二十二条规定条件的供应商，资格</w:t>
      </w:r>
      <w:r>
        <w:rPr>
          <w:rFonts w:hint="eastAsia" w:ascii="仿宋" w:hAnsi="仿宋" w:eastAsia="仿宋" w:cs="仿宋"/>
          <w:color w:val="auto"/>
          <w:spacing w:val="-1"/>
          <w:sz w:val="21"/>
          <w:szCs w:val="21"/>
          <w:highlight w:val="none"/>
        </w:rPr>
        <w:t>审查不通过，不得参与</w:t>
      </w:r>
      <w:r>
        <w:rPr>
          <w:rFonts w:hint="eastAsia" w:ascii="仿宋" w:hAnsi="仿宋" w:eastAsia="仿宋" w:cs="仿宋"/>
          <w:color w:val="auto"/>
          <w:sz w:val="21"/>
          <w:szCs w:val="21"/>
          <w:highlight w:val="none"/>
        </w:rPr>
        <w:t xml:space="preserve"> 政府采购活动。两个以上的自然人、法人或者其他组织组成一个联合体，以一个供应商</w:t>
      </w:r>
      <w:r>
        <w:rPr>
          <w:rFonts w:hint="eastAsia" w:ascii="仿宋" w:hAnsi="仿宋" w:eastAsia="仿宋" w:cs="仿宋"/>
          <w:color w:val="auto"/>
          <w:spacing w:val="-1"/>
          <w:sz w:val="21"/>
          <w:szCs w:val="21"/>
          <w:highlight w:val="none"/>
        </w:rPr>
        <w:t>的身份共同参加政</w:t>
      </w:r>
      <w:r>
        <w:rPr>
          <w:rFonts w:hint="eastAsia" w:ascii="仿宋" w:hAnsi="仿宋" w:eastAsia="仿宋" w:cs="仿宋"/>
          <w:color w:val="auto"/>
          <w:sz w:val="21"/>
          <w:szCs w:val="21"/>
          <w:highlight w:val="none"/>
        </w:rPr>
        <w:t xml:space="preserve"> 府采购活动的，应当对所有联合体成员进行信用记录查询，联合体成员存在不良信用</w:t>
      </w:r>
      <w:r>
        <w:rPr>
          <w:rFonts w:hint="eastAsia" w:ascii="仿宋" w:hAnsi="仿宋" w:eastAsia="仿宋" w:cs="仿宋"/>
          <w:color w:val="auto"/>
          <w:spacing w:val="-1"/>
          <w:sz w:val="21"/>
          <w:szCs w:val="21"/>
          <w:highlight w:val="none"/>
        </w:rPr>
        <w:t>记录的，视同联合体</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存在不良信用记录。</w:t>
      </w:r>
    </w:p>
    <w:p w14:paraId="7112FFB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2.2资格审查标准为本磋商文件中载明对供应商资格要求的条件。资格审查采用合格制，凡符</w:t>
      </w:r>
      <w:r>
        <w:rPr>
          <w:rFonts w:hint="eastAsia" w:ascii="仿宋" w:hAnsi="仿宋" w:eastAsia="仿宋" w:cs="仿宋"/>
          <w:color w:val="auto"/>
          <w:spacing w:val="1"/>
          <w:sz w:val="21"/>
          <w:szCs w:val="21"/>
          <w:highlight w:val="none"/>
        </w:rPr>
        <w:t>合磋商</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文件规定的供应商资格要求的响应文件均通过资格审查。</w:t>
      </w:r>
    </w:p>
    <w:p w14:paraId="225982EC">
      <w:pPr>
        <w:keepNext w:val="0"/>
        <w:keepLines w:val="0"/>
        <w:pageBreakBefore w:val="0"/>
        <w:widowControl/>
        <w:kinsoku w:val="0"/>
        <w:wordWrap/>
        <w:overflowPunct/>
        <w:topLinePunct w:val="0"/>
        <w:autoSpaceDE w:val="0"/>
        <w:autoSpaceDN w:val="0"/>
        <w:bidi w:val="0"/>
        <w:adjustRightInd w:val="0"/>
        <w:snapToGrid w:val="0"/>
        <w:spacing w:line="460" w:lineRule="exact"/>
        <w:ind w:right="0" w:firstLine="4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2.3供应商有下列情形之一的，资格审查不通过，其响应文件按</w:t>
      </w:r>
      <w:r>
        <w:rPr>
          <w:rFonts w:hint="eastAsia" w:ascii="仿宋" w:hAnsi="仿宋" w:eastAsia="仿宋" w:cs="仿宋"/>
          <w:b/>
          <w:bCs/>
          <w:color w:val="auto"/>
          <w:spacing w:val="-1"/>
          <w:sz w:val="21"/>
          <w:szCs w:val="21"/>
          <w:highlight w:val="none"/>
        </w:rPr>
        <w:t>无效响应处理：</w:t>
      </w:r>
    </w:p>
    <w:p w14:paraId="2F749AE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(1)不具备磋商文件中规定的资格要求的；</w:t>
      </w:r>
    </w:p>
    <w:p w14:paraId="1E7952B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(2)响应文件未提供任一项“供应商须知前附表”资格文件规定的“必须提供”的文件资料的；</w:t>
      </w:r>
    </w:p>
    <w:p w14:paraId="39E1E07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(3)响应文件提供的资格文件出现任一项不符合“供应商须知前附表”资格文件规定的“必</w:t>
      </w:r>
      <w:r>
        <w:rPr>
          <w:rFonts w:hint="eastAsia" w:ascii="仿宋" w:hAnsi="仿宋" w:eastAsia="仿宋" w:cs="仿宋"/>
          <w:color w:val="auto"/>
          <w:spacing w:val="2"/>
          <w:sz w:val="21"/>
          <w:szCs w:val="21"/>
          <w:highlight w:val="none"/>
        </w:rPr>
        <w:t xml:space="preserve"> </w:t>
      </w:r>
      <w:r>
        <w:rPr>
          <w:rFonts w:hint="eastAsia" w:ascii="仿宋" w:hAnsi="仿宋" w:eastAsia="仿宋" w:cs="仿宋"/>
          <w:color w:val="auto"/>
          <w:sz w:val="21"/>
          <w:szCs w:val="21"/>
          <w:highlight w:val="none"/>
        </w:rPr>
        <w:t>须提供”的文件资料要求或者无效的。</w:t>
      </w:r>
    </w:p>
    <w:p w14:paraId="7C8E6D0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(4)同一合同项下的不同供应商，单位负责人为同一人或者存在直接控股、管理关系的；为本项目</w:t>
      </w:r>
    </w:p>
    <w:p w14:paraId="3E5D53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提供过整体设计、规范编制或者项目管理、监理、检测等服务的。</w:t>
      </w:r>
    </w:p>
    <w:p w14:paraId="4BC8792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2.4通过资格审查的合格供应商不足3家的，不得进入符合性审查环节，采购人或者采购代理机构应</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3"/>
          <w:sz w:val="21"/>
          <w:szCs w:val="21"/>
          <w:highlight w:val="none"/>
        </w:rPr>
        <w:t>当重新开展采购活动。</w:t>
      </w:r>
    </w:p>
    <w:p w14:paraId="2830EB57">
      <w:pPr>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3"/>
          <w:sz w:val="21"/>
          <w:szCs w:val="21"/>
          <w:highlight w:val="none"/>
        </w:rPr>
        <w:t>3.符合性审查</w:t>
      </w:r>
    </w:p>
    <w:p w14:paraId="7D25012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3.1由磋商小组对通过资格审查的合格供应商的响应文件</w:t>
      </w:r>
      <w:r>
        <w:rPr>
          <w:rFonts w:hint="eastAsia" w:ascii="仿宋" w:hAnsi="仿宋" w:eastAsia="仿宋" w:cs="仿宋"/>
          <w:color w:val="auto"/>
          <w:spacing w:val="1"/>
          <w:sz w:val="21"/>
          <w:szCs w:val="21"/>
          <w:highlight w:val="none"/>
        </w:rPr>
        <w:t>的响应报价、商务、技术等实质性要求进行</w:t>
      </w:r>
      <w:r>
        <w:rPr>
          <w:rFonts w:hint="eastAsia" w:ascii="仿宋" w:hAnsi="仿宋" w:eastAsia="仿宋" w:cs="仿宋"/>
          <w:color w:val="auto"/>
          <w:sz w:val="21"/>
          <w:szCs w:val="21"/>
          <w:highlight w:val="none"/>
        </w:rPr>
        <w:t>符合性审查，以确定其是否满足磋商文件的实质性要求。</w:t>
      </w:r>
    </w:p>
    <w:p w14:paraId="75A93F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3.2磋商小组在对响应文件进行符合性审查时，可以要求供应</w:t>
      </w:r>
      <w:r>
        <w:rPr>
          <w:rFonts w:hint="eastAsia" w:ascii="仿宋" w:hAnsi="仿宋" w:eastAsia="仿宋" w:cs="仿宋"/>
          <w:color w:val="auto"/>
          <w:spacing w:val="1"/>
          <w:sz w:val="21"/>
          <w:szCs w:val="21"/>
          <w:highlight w:val="none"/>
        </w:rPr>
        <w:t>商对响应文件中含义不明确、同类问题</w:t>
      </w:r>
      <w:r>
        <w:rPr>
          <w:rFonts w:hint="eastAsia" w:ascii="仿宋" w:hAnsi="仿宋" w:eastAsia="仿宋" w:cs="仿宋"/>
          <w:color w:val="auto"/>
          <w:sz w:val="21"/>
          <w:szCs w:val="21"/>
          <w:highlight w:val="none"/>
        </w:rPr>
        <w:t xml:space="preserve"> 表述不一致或者有明显文字和计算错误的内容等作出必要的澄清、说明或者</w:t>
      </w:r>
      <w:r>
        <w:rPr>
          <w:rFonts w:hint="eastAsia" w:ascii="仿宋" w:hAnsi="仿宋" w:eastAsia="仿宋" w:cs="仿宋"/>
          <w:color w:val="auto"/>
          <w:spacing w:val="-1"/>
          <w:sz w:val="21"/>
          <w:szCs w:val="21"/>
          <w:highlight w:val="none"/>
        </w:rPr>
        <w:t>更正。供应商的澄清、说明或</w:t>
      </w:r>
      <w:r>
        <w:rPr>
          <w:rFonts w:hint="eastAsia" w:ascii="仿宋" w:hAnsi="仿宋" w:eastAsia="仿宋" w:cs="仿宋"/>
          <w:color w:val="auto"/>
          <w:sz w:val="21"/>
          <w:szCs w:val="21"/>
          <w:highlight w:val="none"/>
        </w:rPr>
        <w:t>者更正不得超出响应文件的范围或者改变响应文件的实质性内容。</w:t>
      </w:r>
    </w:p>
    <w:p w14:paraId="561E7E6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3.3磋商小组要求供应商澄清、说明或者更正响应文件应当以电子澄清函形式作出。供应商的澄清、</w:t>
      </w:r>
      <w:r>
        <w:rPr>
          <w:rFonts w:hint="eastAsia" w:ascii="仿宋" w:hAnsi="仿宋" w:eastAsia="仿宋" w:cs="仿宋"/>
          <w:color w:val="auto"/>
          <w:sz w:val="21"/>
          <w:szCs w:val="21"/>
          <w:highlight w:val="none"/>
        </w:rPr>
        <w:t>说明或者更正应当以电子回函形式按照磋商小组的要求作出明确的澄清、说</w:t>
      </w:r>
      <w:r>
        <w:rPr>
          <w:rFonts w:hint="eastAsia" w:ascii="仿宋" w:hAnsi="仿宋" w:eastAsia="仿宋" w:cs="仿宋"/>
          <w:color w:val="auto"/>
          <w:spacing w:val="-1"/>
          <w:sz w:val="21"/>
          <w:szCs w:val="21"/>
          <w:highlight w:val="none"/>
        </w:rPr>
        <w:t>明或者更正，未按磋商小组的</w:t>
      </w:r>
      <w:r>
        <w:rPr>
          <w:rFonts w:hint="eastAsia" w:ascii="仿宋" w:hAnsi="仿宋" w:eastAsia="仿宋" w:cs="仿宋"/>
          <w:color w:val="auto"/>
          <w:spacing w:val="1"/>
          <w:sz w:val="21"/>
          <w:szCs w:val="21"/>
          <w:highlight w:val="none"/>
        </w:rPr>
        <w:t>要求作出明确澄清、说明或者更正的供应商的响应文</w:t>
      </w:r>
      <w:r>
        <w:rPr>
          <w:rFonts w:hint="eastAsia" w:ascii="仿宋" w:hAnsi="仿宋" w:eastAsia="仿宋" w:cs="仿宋"/>
          <w:color w:val="auto"/>
          <w:sz w:val="21"/>
          <w:szCs w:val="21"/>
          <w:highlight w:val="none"/>
        </w:rPr>
        <w:t>件将按照有利于采购人的原则由磋商小组进行判定。</w:t>
      </w:r>
      <w:r>
        <w:rPr>
          <w:rFonts w:hint="eastAsia" w:ascii="仿宋" w:hAnsi="仿宋" w:eastAsia="仿宋" w:cs="仿宋"/>
          <w:color w:val="auto"/>
          <w:spacing w:val="-5"/>
          <w:sz w:val="21"/>
          <w:szCs w:val="21"/>
          <w:highlight w:val="none"/>
        </w:rPr>
        <w:t>供应商的澄清、说明或者更正必须由法定代表人或其授权代表签字或者加盖公章。供应</w:t>
      </w:r>
      <w:r>
        <w:rPr>
          <w:rFonts w:hint="eastAsia" w:ascii="仿宋" w:hAnsi="仿宋" w:eastAsia="仿宋" w:cs="仿宋"/>
          <w:color w:val="auto"/>
          <w:spacing w:val="-6"/>
          <w:sz w:val="21"/>
          <w:szCs w:val="21"/>
          <w:highlight w:val="none"/>
        </w:rPr>
        <w:t>商为自然人的，必须由本人签字并附身份证明。</w:t>
      </w:r>
    </w:p>
    <w:p w14:paraId="494BC9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3.4首次响应文件报价出现前后不一致的，按照下列规定修正：</w:t>
      </w:r>
    </w:p>
    <w:p w14:paraId="4D85CEF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(1)响应文件中响应报价表内容与响应文件中相应内容不一致的，以响应报价表为准；</w:t>
      </w:r>
    </w:p>
    <w:p w14:paraId="44D6DBF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(2)大写金额和小写金额不一致的，以大写金额为准；</w:t>
      </w:r>
    </w:p>
    <w:p w14:paraId="1F11C73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(3)单价金额小数点或者百分比有明显错位的，以响应报价表的总价为准，并修改单</w:t>
      </w:r>
      <w:r>
        <w:rPr>
          <w:rFonts w:hint="eastAsia" w:ascii="仿宋" w:hAnsi="仿宋" w:eastAsia="仿宋" w:cs="仿宋"/>
          <w:color w:val="auto"/>
          <w:spacing w:val="2"/>
          <w:sz w:val="21"/>
          <w:szCs w:val="21"/>
          <w:highlight w:val="none"/>
        </w:rPr>
        <w:t>价；</w:t>
      </w:r>
    </w:p>
    <w:p w14:paraId="33E5B3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(4)总价金额与按单价汇总金额不一致的，以单</w:t>
      </w:r>
      <w:r>
        <w:rPr>
          <w:rFonts w:hint="eastAsia" w:ascii="仿宋" w:hAnsi="仿宋" w:eastAsia="仿宋" w:cs="仿宋"/>
          <w:color w:val="auto"/>
          <w:spacing w:val="3"/>
          <w:sz w:val="21"/>
          <w:szCs w:val="21"/>
          <w:highlight w:val="none"/>
        </w:rPr>
        <w:t>价金额计算结果为准。</w:t>
      </w:r>
    </w:p>
    <w:p w14:paraId="7590989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同时出现两种以上不一致的，按照以上(1)-(4)规定的顺序逐条进行修</w:t>
      </w:r>
      <w:r>
        <w:rPr>
          <w:rFonts w:hint="eastAsia" w:ascii="仿宋" w:hAnsi="仿宋" w:eastAsia="仿宋" w:cs="仿宋"/>
          <w:color w:val="auto"/>
          <w:spacing w:val="11"/>
          <w:sz w:val="21"/>
          <w:szCs w:val="21"/>
          <w:highlight w:val="none"/>
        </w:rPr>
        <w:t>正。修正后的报价经供应</w:t>
      </w:r>
      <w:r>
        <w:rPr>
          <w:rFonts w:hint="eastAsia" w:ascii="仿宋" w:hAnsi="仿宋" w:eastAsia="仿宋" w:cs="仿宋"/>
          <w:color w:val="auto"/>
          <w:sz w:val="21"/>
          <w:szCs w:val="21"/>
          <w:highlight w:val="none"/>
        </w:rPr>
        <w:t>商确认后产生约束力，供应商不确认的，其响应文件按无效响应处理。</w:t>
      </w:r>
    </w:p>
    <w:p w14:paraId="64A401F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3.5商务技术、报价评审</w:t>
      </w:r>
    </w:p>
    <w:p w14:paraId="4CFEB9C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1"/>
          <w:sz w:val="21"/>
          <w:szCs w:val="21"/>
          <w:highlight w:val="none"/>
        </w:rPr>
        <w:t>在评审时，如发现下列情形之一的，将被视为响应文件无效处理：</w:t>
      </w:r>
    </w:p>
    <w:p w14:paraId="206B74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4"/>
          <w:sz w:val="21"/>
          <w:szCs w:val="21"/>
          <w:highlight w:val="none"/>
        </w:rPr>
        <w:t>(1)商务技术评审</w:t>
      </w:r>
    </w:p>
    <w:p w14:paraId="6CAA806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1)响应文件未按磋商文件要求签署、盖章；</w:t>
      </w:r>
    </w:p>
    <w:p w14:paraId="7434FC9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2)委托代理人未能出具有效身份证明或者出具的身份证明与授权委托书中的信息不符；</w:t>
      </w:r>
    </w:p>
    <w:p w14:paraId="625541BC">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3</w:t>
      </w:r>
      <w:r>
        <w:rPr>
          <w:rFonts w:hint="eastAsia" w:ascii="仿宋" w:hAnsi="仿宋" w:eastAsia="仿宋" w:cs="仿宋"/>
          <w:snapToGrid/>
          <w:color w:val="auto"/>
          <w:kern w:val="2"/>
          <w:szCs w:val="21"/>
          <w:highlight w:val="none"/>
          <w:lang w:eastAsia="zh-CN"/>
        </w:rPr>
        <w:t>）未对竞标有效期作出响应或者响应文件承诺的竞标有效期不满足磋商文件要求；</w:t>
      </w:r>
    </w:p>
    <w:p w14:paraId="7242A5B4">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4</w:t>
      </w:r>
      <w:r>
        <w:rPr>
          <w:rFonts w:hint="eastAsia" w:ascii="仿宋" w:hAnsi="仿宋" w:eastAsia="仿宋" w:cs="仿宋"/>
          <w:snapToGrid/>
          <w:color w:val="auto"/>
          <w:kern w:val="2"/>
          <w:szCs w:val="21"/>
          <w:highlight w:val="none"/>
          <w:lang w:eastAsia="zh-CN"/>
        </w:rPr>
        <w:t>）响应文件的实质性内容未使用中文表述、使用计量单位不符合磋商文件要求；</w:t>
      </w:r>
    </w:p>
    <w:p w14:paraId="00F5AC72">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5</w:t>
      </w:r>
      <w:r>
        <w:rPr>
          <w:rFonts w:hint="eastAsia" w:ascii="仿宋" w:hAnsi="仿宋" w:eastAsia="仿宋" w:cs="仿宋"/>
          <w:snapToGrid/>
          <w:color w:val="auto"/>
          <w:kern w:val="2"/>
          <w:szCs w:val="21"/>
          <w:highlight w:val="none"/>
          <w:lang w:eastAsia="zh-CN"/>
        </w:rPr>
        <w:t>）响应文件中的文件资料因填写不齐全或者内容虚假或者出现其他情形而导致被磋商小组认定无效；</w:t>
      </w:r>
    </w:p>
    <w:p w14:paraId="19F8FF5F">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6</w:t>
      </w:r>
      <w:r>
        <w:rPr>
          <w:rFonts w:hint="eastAsia" w:ascii="仿宋" w:hAnsi="仿宋" w:eastAsia="仿宋" w:cs="仿宋"/>
          <w:snapToGrid/>
          <w:color w:val="auto"/>
          <w:kern w:val="2"/>
          <w:szCs w:val="21"/>
          <w:highlight w:val="none"/>
          <w:lang w:eastAsia="zh-CN"/>
        </w:rPr>
        <w:t>）响应文件含有采购人不能接受的附加条件；</w:t>
      </w:r>
    </w:p>
    <w:p w14:paraId="7588A2EB">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7</w:t>
      </w:r>
      <w:r>
        <w:rPr>
          <w:rFonts w:hint="eastAsia" w:ascii="仿宋" w:hAnsi="仿宋" w:eastAsia="仿宋" w:cs="仿宋"/>
          <w:snapToGrid/>
          <w:color w:val="auto"/>
          <w:kern w:val="2"/>
          <w:szCs w:val="21"/>
          <w:highlight w:val="none"/>
          <w:lang w:eastAsia="zh-CN"/>
        </w:rPr>
        <w:t>）属于“供应商须知正文”第7.5条情形；</w:t>
      </w:r>
    </w:p>
    <w:p w14:paraId="125F1D17">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8</w:t>
      </w:r>
      <w:r>
        <w:rPr>
          <w:rFonts w:hint="eastAsia" w:ascii="仿宋" w:hAnsi="仿宋" w:eastAsia="仿宋" w:cs="仿宋"/>
          <w:snapToGrid/>
          <w:color w:val="auto"/>
          <w:kern w:val="2"/>
          <w:szCs w:val="21"/>
          <w:highlight w:val="none"/>
          <w:lang w:eastAsia="zh-CN"/>
        </w:rPr>
        <w:t>）虚假竞标，或者出现其他情形而导致被磋商小组认定无效；</w:t>
      </w:r>
    </w:p>
    <w:p w14:paraId="182E198F">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val="en-US" w:eastAsia="zh-CN"/>
        </w:rPr>
        <w:t>9</w:t>
      </w:r>
      <w:r>
        <w:rPr>
          <w:rFonts w:hint="eastAsia" w:ascii="仿宋" w:hAnsi="仿宋" w:eastAsia="仿宋" w:cs="仿宋"/>
          <w:snapToGrid/>
          <w:color w:val="auto"/>
          <w:kern w:val="2"/>
          <w:szCs w:val="21"/>
          <w:highlight w:val="none"/>
          <w:lang w:eastAsia="zh-CN"/>
        </w:rPr>
        <w:t>）竞标技术方案不明确，磋商文件未允许但响应文件中存在一个或者一个以上备选（替代）竞标方案；</w:t>
      </w:r>
    </w:p>
    <w:p w14:paraId="18B59182">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0</w:t>
      </w:r>
      <w:r>
        <w:rPr>
          <w:rFonts w:hint="eastAsia" w:ascii="仿宋" w:hAnsi="仿宋" w:eastAsia="仿宋" w:cs="仿宋"/>
          <w:snapToGrid/>
          <w:color w:val="auto"/>
          <w:kern w:val="2"/>
          <w:szCs w:val="21"/>
          <w:highlight w:val="none"/>
          <w:lang w:eastAsia="zh-CN"/>
        </w:rPr>
        <w:t>）响应文件标注的项目名称或者项目编号与竞争性磋商文件标注的项目名称或者项目编号不一致的；</w:t>
      </w:r>
    </w:p>
    <w:p w14:paraId="38C1174A">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1</w:t>
      </w:r>
      <w:r>
        <w:rPr>
          <w:rFonts w:hint="eastAsia" w:ascii="仿宋" w:hAnsi="仿宋" w:eastAsia="仿宋" w:cs="仿宋"/>
          <w:snapToGrid/>
          <w:color w:val="auto"/>
          <w:kern w:val="2"/>
          <w:szCs w:val="21"/>
          <w:highlight w:val="none"/>
          <w:lang w:eastAsia="zh-CN"/>
        </w:rPr>
        <w:t>）未响应磋商文件实质性要求</w:t>
      </w:r>
      <w:r>
        <w:rPr>
          <w:rFonts w:hint="eastAsia" w:ascii="仿宋" w:hAnsi="仿宋" w:eastAsia="仿宋" w:cs="仿宋"/>
          <w:snapToGrid/>
          <w:color w:val="auto"/>
          <w:kern w:val="2"/>
          <w:szCs w:val="21"/>
          <w:highlight w:val="none"/>
          <w:lang w:val="en-US" w:eastAsia="zh-CN"/>
        </w:rPr>
        <w:t>的</w:t>
      </w:r>
      <w:r>
        <w:rPr>
          <w:rFonts w:hint="eastAsia" w:ascii="仿宋" w:hAnsi="仿宋" w:eastAsia="仿宋" w:cs="仿宋"/>
          <w:snapToGrid/>
          <w:color w:val="auto"/>
          <w:kern w:val="2"/>
          <w:szCs w:val="21"/>
          <w:highlight w:val="none"/>
          <w:lang w:eastAsia="zh-CN"/>
        </w:rPr>
        <w:t>；</w:t>
      </w:r>
    </w:p>
    <w:p w14:paraId="167820E0">
      <w:pPr>
        <w:widowControl w:val="0"/>
        <w:spacing w:after="120"/>
        <w:ind w:firstLine="420" w:firstLineChars="200"/>
        <w:jc w:val="both"/>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12）提交的磋商保证金无效的或者未按照磋商文件的规定提交磋商保证金；</w:t>
      </w:r>
    </w:p>
    <w:p w14:paraId="72744FC0">
      <w:pPr>
        <w:widowControl w:val="0"/>
        <w:kinsoku/>
        <w:autoSpaceDE/>
        <w:autoSpaceDN/>
        <w:adjustRightInd/>
        <w:snapToGrid/>
        <w:spacing w:line="360" w:lineRule="auto"/>
        <w:ind w:firstLine="420" w:firstLineChars="200"/>
        <w:jc w:val="both"/>
        <w:textAlignment w:val="auto"/>
        <w:rPr>
          <w:rFonts w:hint="eastAsia" w:ascii="仿宋" w:hAnsi="仿宋" w:eastAsia="仿宋" w:cs="仿宋"/>
          <w:snapToGrid/>
          <w:color w:val="auto"/>
          <w:kern w:val="2"/>
          <w:szCs w:val="21"/>
          <w:highlight w:val="none"/>
          <w:lang w:eastAsia="zh-CN"/>
        </w:rPr>
      </w:pPr>
      <w:r>
        <w:rPr>
          <w:rFonts w:hint="eastAsia" w:ascii="仿宋" w:hAnsi="仿宋" w:eastAsia="仿宋" w:cs="仿宋"/>
          <w:snapToGrid/>
          <w:color w:val="auto"/>
          <w:kern w:val="2"/>
          <w:szCs w:val="21"/>
          <w:highlight w:val="none"/>
          <w:lang w:eastAsia="zh-CN"/>
        </w:rPr>
        <w:t>1</w:t>
      </w:r>
      <w:r>
        <w:rPr>
          <w:rFonts w:hint="eastAsia" w:ascii="仿宋" w:hAnsi="仿宋" w:eastAsia="仿宋" w:cs="仿宋"/>
          <w:snapToGrid/>
          <w:color w:val="auto"/>
          <w:kern w:val="2"/>
          <w:szCs w:val="21"/>
          <w:highlight w:val="none"/>
          <w:lang w:val="en-US" w:eastAsia="zh-CN"/>
        </w:rPr>
        <w:t>3</w:t>
      </w:r>
      <w:r>
        <w:rPr>
          <w:rFonts w:hint="eastAsia" w:ascii="仿宋" w:hAnsi="仿宋" w:eastAsia="仿宋" w:cs="仿宋"/>
          <w:snapToGrid/>
          <w:color w:val="auto"/>
          <w:kern w:val="2"/>
          <w:szCs w:val="21"/>
          <w:highlight w:val="none"/>
          <w:lang w:eastAsia="zh-CN"/>
        </w:rPr>
        <w:t>）法律、法规和磋商文件规定的其他无效情形。</w:t>
      </w:r>
    </w:p>
    <w:p w14:paraId="7DD8BED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7"/>
          <w:sz w:val="21"/>
          <w:szCs w:val="21"/>
          <w:highlight w:val="none"/>
        </w:rPr>
        <w:t>(2)报价评审</w:t>
      </w:r>
    </w:p>
    <w:p w14:paraId="377187D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1)响应文件未提供“供应商须知前附表”报价文件中规定的“响</w:t>
      </w:r>
      <w:r>
        <w:rPr>
          <w:rFonts w:hint="eastAsia" w:ascii="仿宋" w:hAnsi="仿宋" w:eastAsia="仿宋" w:cs="仿宋"/>
          <w:color w:val="auto"/>
          <w:spacing w:val="6"/>
          <w:sz w:val="21"/>
          <w:szCs w:val="21"/>
          <w:highlight w:val="none"/>
        </w:rPr>
        <w:t>应报价表”;</w:t>
      </w:r>
    </w:p>
    <w:p w14:paraId="0DFBF00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2)未采用人民币报价或者未按照磋商文件标明的币种报价；</w:t>
      </w:r>
    </w:p>
    <w:p w14:paraId="62353F2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3)供应商未就所竞标项目</w:t>
      </w:r>
      <w:r>
        <w:rPr>
          <w:rFonts w:hint="eastAsia" w:ascii="仿宋" w:hAnsi="仿宋" w:eastAsia="仿宋" w:cs="仿宋"/>
          <w:color w:val="auto"/>
          <w:spacing w:val="5"/>
          <w:sz w:val="21"/>
          <w:szCs w:val="21"/>
          <w:highlight w:val="none"/>
          <w:lang w:val="en-US" w:eastAsia="zh-CN"/>
        </w:rPr>
        <w:t>/分标</w:t>
      </w:r>
      <w:r>
        <w:rPr>
          <w:rFonts w:hint="eastAsia" w:ascii="仿宋" w:hAnsi="仿宋" w:eastAsia="仿宋" w:cs="仿宋"/>
          <w:color w:val="auto"/>
          <w:spacing w:val="5"/>
          <w:sz w:val="21"/>
          <w:szCs w:val="21"/>
          <w:highlight w:val="none"/>
        </w:rPr>
        <w:t>进行报价或者存在漏项报价；供应商未就所竞标项目</w:t>
      </w:r>
      <w:r>
        <w:rPr>
          <w:rFonts w:hint="eastAsia" w:ascii="仿宋" w:hAnsi="仿宋" w:eastAsia="仿宋" w:cs="仿宋"/>
          <w:color w:val="auto"/>
          <w:spacing w:val="5"/>
          <w:sz w:val="21"/>
          <w:szCs w:val="21"/>
          <w:highlight w:val="none"/>
          <w:lang w:val="en-US" w:eastAsia="zh-CN"/>
        </w:rPr>
        <w:t>/分标</w:t>
      </w:r>
      <w:r>
        <w:rPr>
          <w:rFonts w:hint="eastAsia" w:ascii="仿宋" w:hAnsi="仿宋" w:eastAsia="仿宋" w:cs="仿宋"/>
          <w:color w:val="auto"/>
          <w:spacing w:val="5"/>
          <w:sz w:val="21"/>
          <w:szCs w:val="21"/>
          <w:highlight w:val="none"/>
        </w:rPr>
        <w:t>的单项内</w:t>
      </w:r>
      <w:r>
        <w:rPr>
          <w:rFonts w:hint="eastAsia" w:ascii="仿宋" w:hAnsi="仿宋" w:eastAsia="仿宋" w:cs="仿宋"/>
          <w:color w:val="auto"/>
          <w:spacing w:val="4"/>
          <w:sz w:val="21"/>
          <w:szCs w:val="21"/>
          <w:highlight w:val="none"/>
        </w:rPr>
        <w:t>容作唯一报</w:t>
      </w:r>
      <w:r>
        <w:rPr>
          <w:rFonts w:hint="eastAsia" w:ascii="仿宋" w:hAnsi="仿宋" w:eastAsia="仿宋" w:cs="仿宋"/>
          <w:color w:val="auto"/>
          <w:spacing w:val="-2"/>
          <w:sz w:val="21"/>
          <w:szCs w:val="21"/>
          <w:highlight w:val="none"/>
        </w:rPr>
        <w:t>价；供应商未就所竞标项目</w:t>
      </w:r>
      <w:r>
        <w:rPr>
          <w:rFonts w:hint="eastAsia" w:ascii="仿宋" w:hAnsi="仿宋" w:eastAsia="仿宋" w:cs="仿宋"/>
          <w:color w:val="auto"/>
          <w:spacing w:val="-2"/>
          <w:sz w:val="21"/>
          <w:szCs w:val="21"/>
          <w:highlight w:val="none"/>
          <w:lang w:val="en-US" w:eastAsia="zh-CN"/>
        </w:rPr>
        <w:t>/分标</w:t>
      </w:r>
      <w:r>
        <w:rPr>
          <w:rFonts w:hint="eastAsia" w:ascii="仿宋" w:hAnsi="仿宋" w:eastAsia="仿宋" w:cs="仿宋"/>
          <w:color w:val="auto"/>
          <w:spacing w:val="-2"/>
          <w:sz w:val="21"/>
          <w:szCs w:val="21"/>
          <w:highlight w:val="none"/>
        </w:rPr>
        <w:t>的全部内容作唯一总价</w:t>
      </w:r>
      <w:r>
        <w:rPr>
          <w:rFonts w:hint="eastAsia" w:ascii="仿宋" w:hAnsi="仿宋" w:eastAsia="仿宋" w:cs="仿宋"/>
          <w:color w:val="auto"/>
          <w:spacing w:val="-3"/>
          <w:sz w:val="21"/>
          <w:szCs w:val="21"/>
          <w:highlight w:val="none"/>
        </w:rPr>
        <w:t>报价；供应商响应文件中存在有选择、有条件报价的(磋</w:t>
      </w:r>
      <w:r>
        <w:rPr>
          <w:rFonts w:hint="eastAsia" w:ascii="仿宋" w:hAnsi="仿宋" w:eastAsia="仿宋" w:cs="仿宋"/>
          <w:color w:val="auto"/>
          <w:spacing w:val="6"/>
          <w:sz w:val="21"/>
          <w:szCs w:val="21"/>
          <w:highlight w:val="none"/>
        </w:rPr>
        <w:t>商文件允许有备选方案或者其他约定的除外);</w:t>
      </w:r>
    </w:p>
    <w:p w14:paraId="3931459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4)响应报价(包含首次报价、最后报价)超过所竞标项目</w:t>
      </w:r>
      <w:r>
        <w:rPr>
          <w:rFonts w:hint="eastAsia" w:ascii="仿宋" w:hAnsi="仿宋" w:eastAsia="仿宋" w:cs="仿宋"/>
          <w:color w:val="auto"/>
          <w:spacing w:val="12"/>
          <w:sz w:val="21"/>
          <w:szCs w:val="21"/>
          <w:highlight w:val="none"/>
          <w:lang w:val="en-US" w:eastAsia="zh-CN"/>
        </w:rPr>
        <w:t>/分标</w:t>
      </w:r>
      <w:r>
        <w:rPr>
          <w:rFonts w:hint="eastAsia" w:ascii="仿宋" w:hAnsi="仿宋" w:eastAsia="仿宋" w:cs="仿宋"/>
          <w:color w:val="auto"/>
          <w:spacing w:val="12"/>
          <w:sz w:val="21"/>
          <w:szCs w:val="21"/>
          <w:highlight w:val="none"/>
        </w:rPr>
        <w:t>规定的采购预算金额或者最</w:t>
      </w:r>
      <w:r>
        <w:rPr>
          <w:rFonts w:hint="eastAsia" w:ascii="仿宋" w:hAnsi="仿宋" w:eastAsia="仿宋" w:cs="仿宋"/>
          <w:color w:val="auto"/>
          <w:spacing w:val="11"/>
          <w:sz w:val="21"/>
          <w:szCs w:val="21"/>
          <w:highlight w:val="none"/>
        </w:rPr>
        <w:t>高限价的(如</w:t>
      </w:r>
      <w:r>
        <w:rPr>
          <w:rFonts w:hint="eastAsia" w:ascii="仿宋" w:hAnsi="仿宋" w:eastAsia="仿宋" w:cs="仿宋"/>
          <w:color w:val="auto"/>
          <w:spacing w:val="9"/>
          <w:sz w:val="21"/>
          <w:szCs w:val="21"/>
          <w:highlight w:val="none"/>
        </w:rPr>
        <w:t>本项目公布了最高限价);响应报价(包含首次报价、最后报价)超过磋商文件分项采购预算金额或者最</w:t>
      </w:r>
      <w:r>
        <w:rPr>
          <w:rFonts w:hint="eastAsia" w:ascii="仿宋" w:hAnsi="仿宋" w:eastAsia="仿宋" w:cs="仿宋"/>
          <w:color w:val="auto"/>
          <w:spacing w:val="13"/>
          <w:sz w:val="21"/>
          <w:szCs w:val="21"/>
          <w:highlight w:val="none"/>
        </w:rPr>
        <w:t>高限价的(如本项目公布了最高限价);</w:t>
      </w:r>
    </w:p>
    <w:p w14:paraId="55CEA2C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5)修正后的报价，供应商不确认的；或者经供应商确认修正后的响应报价(包含首次报价、最后报</w:t>
      </w:r>
      <w:r>
        <w:rPr>
          <w:rFonts w:hint="eastAsia" w:ascii="仿宋" w:hAnsi="仿宋" w:eastAsia="仿宋" w:cs="仿宋"/>
          <w:color w:val="auto"/>
          <w:spacing w:val="9"/>
          <w:sz w:val="21"/>
          <w:szCs w:val="21"/>
          <w:highlight w:val="none"/>
        </w:rPr>
        <w:t>价)超过所竞标项目规定的采购预算金额或者最高限价(如本项目公布了最高限价);或</w:t>
      </w:r>
      <w:r>
        <w:rPr>
          <w:rFonts w:hint="eastAsia" w:ascii="仿宋" w:hAnsi="仿宋" w:eastAsia="仿宋" w:cs="仿宋"/>
          <w:color w:val="auto"/>
          <w:spacing w:val="8"/>
          <w:sz w:val="21"/>
          <w:szCs w:val="21"/>
          <w:highlight w:val="none"/>
        </w:rPr>
        <w:t>者经供应商确认</w:t>
      </w:r>
      <w:r>
        <w:rPr>
          <w:rFonts w:hint="eastAsia" w:ascii="仿宋" w:hAnsi="仿宋" w:eastAsia="仿宋" w:cs="仿宋"/>
          <w:color w:val="auto"/>
          <w:spacing w:val="7"/>
          <w:sz w:val="21"/>
          <w:szCs w:val="21"/>
          <w:highlight w:val="none"/>
        </w:rPr>
        <w:t>修正后响应报价(包含首次报价、最后报价)超过磋商文件分项采购预算金额或者最高限价的(如本项目</w:t>
      </w:r>
      <w:r>
        <w:rPr>
          <w:rFonts w:hint="eastAsia" w:ascii="仿宋" w:hAnsi="仿宋" w:eastAsia="仿宋" w:cs="仿宋"/>
          <w:color w:val="auto"/>
          <w:spacing w:val="11"/>
          <w:sz w:val="21"/>
          <w:szCs w:val="21"/>
          <w:highlight w:val="none"/>
        </w:rPr>
        <w:t>公布了最高限价)。</w:t>
      </w:r>
    </w:p>
    <w:p w14:paraId="21F76B8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6)响应文件响应的标的数量及单位与竞争性磋商文件要求</w:t>
      </w:r>
      <w:r>
        <w:rPr>
          <w:rFonts w:hint="eastAsia" w:ascii="仿宋" w:hAnsi="仿宋" w:eastAsia="仿宋" w:cs="仿宋"/>
          <w:color w:val="auto"/>
          <w:spacing w:val="3"/>
          <w:sz w:val="21"/>
          <w:szCs w:val="21"/>
          <w:highlight w:val="none"/>
        </w:rPr>
        <w:t>实质性不一致的。</w:t>
      </w:r>
    </w:p>
    <w:p w14:paraId="6AE0619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3.6磋商小组对响应文件进行评审，未实质性响应磋商文件的响应文件按无效处理，磋商小组应当将</w:t>
      </w:r>
      <w:r>
        <w:rPr>
          <w:rFonts w:hint="eastAsia" w:ascii="仿宋" w:hAnsi="仿宋" w:eastAsia="仿宋" w:cs="仿宋"/>
          <w:color w:val="auto"/>
          <w:sz w:val="21"/>
          <w:szCs w:val="21"/>
          <w:highlight w:val="none"/>
        </w:rPr>
        <w:t>资格和符合性不通过的情况告知有关供应商。磋商小组从符合磋商</w:t>
      </w:r>
      <w:r>
        <w:rPr>
          <w:rFonts w:hint="eastAsia" w:ascii="仿宋" w:hAnsi="仿宋" w:eastAsia="仿宋" w:cs="仿宋"/>
          <w:color w:val="auto"/>
          <w:spacing w:val="-1"/>
          <w:sz w:val="21"/>
          <w:szCs w:val="21"/>
          <w:highlight w:val="none"/>
        </w:rPr>
        <w:t>文件规定的相应资格条件的供应商名单</w:t>
      </w:r>
      <w:r>
        <w:rPr>
          <w:rFonts w:hint="eastAsia" w:ascii="仿宋" w:hAnsi="仿宋" w:eastAsia="仿宋" w:cs="仿宋"/>
          <w:color w:val="auto"/>
          <w:spacing w:val="4"/>
          <w:sz w:val="21"/>
          <w:szCs w:val="21"/>
          <w:highlight w:val="none"/>
        </w:rPr>
        <w:t>中确定不少于3家的供应商参加磋商。</w:t>
      </w:r>
    </w:p>
    <w:p w14:paraId="77A4AD6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3.7非政府购买服务项目，通过符合性审查的合格供应商不足3家的，不得进入磋商环节，采购人或</w:t>
      </w:r>
      <w:r>
        <w:rPr>
          <w:rFonts w:hint="eastAsia" w:ascii="仿宋" w:hAnsi="仿宋" w:eastAsia="仿宋" w:cs="仿宋"/>
          <w:color w:val="auto"/>
          <w:sz w:val="21"/>
          <w:szCs w:val="21"/>
          <w:highlight w:val="none"/>
        </w:rPr>
        <w:t>者采购代理机构应当重新开展采购活动。政府购买服务项目，按《财政部关于政</w:t>
      </w:r>
      <w:r>
        <w:rPr>
          <w:rFonts w:hint="eastAsia" w:ascii="仿宋" w:hAnsi="仿宋" w:eastAsia="仿宋" w:cs="仿宋"/>
          <w:color w:val="auto"/>
          <w:spacing w:val="-1"/>
          <w:sz w:val="21"/>
          <w:szCs w:val="21"/>
          <w:highlight w:val="none"/>
        </w:rPr>
        <w:t>府采购竞争性磋商采购方</w:t>
      </w:r>
      <w:r>
        <w:rPr>
          <w:rFonts w:hint="eastAsia" w:ascii="仿宋" w:hAnsi="仿宋" w:eastAsia="仿宋" w:cs="仿宋"/>
          <w:color w:val="auto"/>
          <w:spacing w:val="6"/>
          <w:sz w:val="21"/>
          <w:szCs w:val="21"/>
          <w:highlight w:val="none"/>
        </w:rPr>
        <w:t>式管理暂行办法有关问题的补充通知》(财库〔2015〕124号)规定，采购过程中通过符合性审查的供应</w:t>
      </w:r>
      <w:r>
        <w:rPr>
          <w:rFonts w:hint="eastAsia" w:ascii="仿宋" w:hAnsi="仿宋" w:eastAsia="仿宋" w:cs="仿宋"/>
          <w:color w:val="auto"/>
          <w:spacing w:val="12"/>
          <w:sz w:val="21"/>
          <w:szCs w:val="21"/>
          <w:highlight w:val="none"/>
        </w:rPr>
        <w:t>商(社会资本)只有2家的，磋商采购活动可以继</w:t>
      </w:r>
      <w:r>
        <w:rPr>
          <w:rFonts w:hint="eastAsia" w:ascii="仿宋" w:hAnsi="仿宋" w:eastAsia="仿宋" w:cs="仿宋"/>
          <w:color w:val="auto"/>
          <w:spacing w:val="11"/>
          <w:sz w:val="21"/>
          <w:szCs w:val="21"/>
          <w:highlight w:val="none"/>
        </w:rPr>
        <w:t>续进行。</w:t>
      </w:r>
    </w:p>
    <w:p w14:paraId="2B3E695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9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8"/>
          <w:sz w:val="21"/>
          <w:szCs w:val="21"/>
          <w:highlight w:val="none"/>
        </w:rPr>
        <w:t>4.磋商程序</w:t>
      </w:r>
    </w:p>
    <w:p w14:paraId="24AF1A4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4.1磋商小组按照“供应商须知前附表”确定的顺序，集中与单一供</w:t>
      </w:r>
      <w:r>
        <w:rPr>
          <w:rFonts w:hint="eastAsia" w:ascii="仿宋" w:hAnsi="仿宋" w:eastAsia="仿宋" w:cs="仿宋"/>
          <w:color w:val="auto"/>
          <w:spacing w:val="1"/>
          <w:sz w:val="21"/>
          <w:szCs w:val="21"/>
          <w:highlight w:val="none"/>
        </w:rPr>
        <w:t>应商分别进行磋商，并给予所有</w:t>
      </w:r>
      <w:r>
        <w:rPr>
          <w:rFonts w:hint="eastAsia" w:ascii="仿宋" w:hAnsi="仿宋" w:eastAsia="仿宋" w:cs="仿宋"/>
          <w:color w:val="auto"/>
          <w:sz w:val="21"/>
          <w:szCs w:val="21"/>
          <w:highlight w:val="none"/>
        </w:rPr>
        <w:t>参加磋商的供应商平等的磋商机会。符合磋商资格的供应商必须在接到磋商通知后规定时间内参加磋商，未在规定时间内参加磋商的视同放弃参加磋商权利，其响应文件按无效响应处理。</w:t>
      </w:r>
    </w:p>
    <w:p w14:paraId="2FF6066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4.2在磋商过程中，磋商小组可以根据磋商文件和磋商情况实质性</w:t>
      </w:r>
      <w:r>
        <w:rPr>
          <w:rFonts w:hint="eastAsia" w:ascii="仿宋" w:hAnsi="仿宋" w:eastAsia="仿宋" w:cs="仿宋"/>
          <w:color w:val="auto"/>
          <w:spacing w:val="1"/>
          <w:sz w:val="21"/>
          <w:szCs w:val="21"/>
          <w:highlight w:val="none"/>
        </w:rPr>
        <w:t>变动采购需求中的</w:t>
      </w:r>
      <w:r>
        <w:rPr>
          <w:rFonts w:hint="eastAsia" w:ascii="仿宋" w:hAnsi="仿宋" w:eastAsia="仿宋" w:cs="仿宋"/>
          <w:color w:val="auto"/>
          <w:spacing w:val="1"/>
          <w:sz w:val="21"/>
          <w:szCs w:val="21"/>
          <w:highlight w:val="none"/>
          <w:lang w:val="en-US" w:eastAsia="zh-CN"/>
        </w:rPr>
        <w:t>商务</w:t>
      </w:r>
      <w:r>
        <w:rPr>
          <w:rFonts w:hint="eastAsia" w:ascii="仿宋" w:hAnsi="仿宋" w:eastAsia="仿宋" w:cs="仿宋"/>
          <w:color w:val="auto"/>
          <w:spacing w:val="1"/>
          <w:sz w:val="21"/>
          <w:szCs w:val="21"/>
          <w:highlight w:val="none"/>
        </w:rPr>
        <w:t>、服务要求</w:t>
      </w:r>
      <w:r>
        <w:rPr>
          <w:rFonts w:hint="eastAsia" w:ascii="仿宋" w:hAnsi="仿宋" w:eastAsia="仿宋" w:cs="仿宋"/>
          <w:color w:val="auto"/>
          <w:sz w:val="21"/>
          <w:szCs w:val="21"/>
          <w:highlight w:val="none"/>
        </w:rPr>
        <w:t>以及合同草案条款，但不得变动磋商文件中的其他内容。实质性变动的内容，须经采购人代表确认。可能实质性变动的内容为采购需求中的</w:t>
      </w:r>
      <w:r>
        <w:rPr>
          <w:rFonts w:hint="eastAsia" w:ascii="仿宋" w:hAnsi="仿宋" w:eastAsia="仿宋" w:cs="仿宋"/>
          <w:color w:val="auto"/>
          <w:sz w:val="21"/>
          <w:szCs w:val="21"/>
          <w:highlight w:val="none"/>
          <w:lang w:val="en-US" w:eastAsia="zh-CN"/>
        </w:rPr>
        <w:t>商务</w:t>
      </w:r>
      <w:r>
        <w:rPr>
          <w:rFonts w:hint="eastAsia" w:ascii="仿宋" w:hAnsi="仿宋" w:eastAsia="仿宋" w:cs="仿宋"/>
          <w:color w:val="auto"/>
          <w:sz w:val="21"/>
          <w:szCs w:val="21"/>
          <w:highlight w:val="none"/>
        </w:rPr>
        <w:t>、服务要求以及合同草案条款。</w:t>
      </w:r>
    </w:p>
    <w:p w14:paraId="5CFC06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4.3对磋商文件作出的实质性变动是磋商文件的有效组成部分，由磋商小组及时以</w:t>
      </w:r>
      <w:r>
        <w:rPr>
          <w:rFonts w:hint="eastAsia" w:ascii="仿宋" w:hAnsi="仿宋" w:eastAsia="仿宋" w:cs="仿宋"/>
          <w:color w:val="auto"/>
          <w:spacing w:val="1"/>
          <w:sz w:val="21"/>
          <w:szCs w:val="21"/>
          <w:highlight w:val="none"/>
        </w:rPr>
        <w:t>电子澄清函形式同</w:t>
      </w:r>
      <w:r>
        <w:rPr>
          <w:rFonts w:hint="eastAsia" w:ascii="仿宋" w:hAnsi="仿宋" w:eastAsia="仿宋" w:cs="仿宋"/>
          <w:color w:val="auto"/>
          <w:sz w:val="21"/>
          <w:szCs w:val="21"/>
          <w:highlight w:val="none"/>
        </w:rPr>
        <w:t>时通知所有参加磋商的供应商。</w:t>
      </w:r>
    </w:p>
    <w:p w14:paraId="43A0C8F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4.4供应商必须按照磋商文件的变动情况和磋商小组的要求以回函的形式重新提交响应文件，并加盖</w:t>
      </w:r>
      <w:r>
        <w:rPr>
          <w:rFonts w:hint="eastAsia" w:ascii="仿宋" w:hAnsi="仿宋" w:eastAsia="仿宋" w:cs="仿宋"/>
          <w:color w:val="auto"/>
          <w:sz w:val="21"/>
          <w:szCs w:val="21"/>
          <w:highlight w:val="none"/>
        </w:rPr>
        <w:t>供应商公章。供应商为自然人的，必须由本人签字并附身份证明。参加磋商的供应商</w:t>
      </w:r>
      <w:r>
        <w:rPr>
          <w:rFonts w:hint="eastAsia" w:ascii="仿宋" w:hAnsi="仿宋" w:eastAsia="仿宋" w:cs="仿宋"/>
          <w:color w:val="auto"/>
          <w:spacing w:val="-1"/>
          <w:sz w:val="21"/>
          <w:szCs w:val="21"/>
          <w:highlight w:val="none"/>
        </w:rPr>
        <w:t>未在规定时间内重新提交响应文件的，视同退出磋商。</w:t>
      </w:r>
    </w:p>
    <w:p w14:paraId="72EA9A9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4.5磋商中，磋商的任何一方不得透露与磋商有关的其他供应商的技术资料、价格和其他信息。</w:t>
      </w:r>
    </w:p>
    <w:p w14:paraId="06357DB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4.6磋商小组应对磋商过程和重要磋商内容</w:t>
      </w:r>
      <w:r>
        <w:rPr>
          <w:rFonts w:hint="eastAsia" w:ascii="仿宋" w:hAnsi="仿宋" w:eastAsia="仿宋" w:cs="仿宋"/>
          <w:color w:val="auto"/>
          <w:spacing w:val="1"/>
          <w:sz w:val="21"/>
          <w:szCs w:val="21"/>
          <w:highlight w:val="none"/>
        </w:rPr>
        <w:t>进行记录，作为评审报告一部分，磋商小组在记录上签字</w:t>
      </w:r>
      <w:r>
        <w:rPr>
          <w:rFonts w:hint="eastAsia" w:ascii="仿宋" w:hAnsi="仿宋" w:eastAsia="仿宋" w:cs="仿宋"/>
          <w:color w:val="auto"/>
          <w:sz w:val="21"/>
          <w:szCs w:val="21"/>
          <w:highlight w:val="none"/>
        </w:rPr>
        <w:t>确认</w:t>
      </w:r>
      <w:r>
        <w:rPr>
          <w:rFonts w:hint="eastAsia" w:ascii="仿宋" w:hAnsi="仿宋" w:eastAsia="仿宋" w:cs="仿宋"/>
          <w:color w:val="auto"/>
          <w:sz w:val="21"/>
          <w:szCs w:val="21"/>
          <w:highlight w:val="none"/>
          <w:lang w:eastAsia="zh-CN"/>
        </w:rPr>
        <w:t>。</w:t>
      </w:r>
    </w:p>
    <w:p w14:paraId="0A0F61A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4.7磋商过程中重新提交的响应文件，供应商可以在开</w:t>
      </w:r>
      <w:r>
        <w:rPr>
          <w:rFonts w:hint="eastAsia" w:ascii="仿宋" w:hAnsi="仿宋" w:eastAsia="仿宋" w:cs="仿宋"/>
          <w:color w:val="auto"/>
          <w:spacing w:val="1"/>
          <w:sz w:val="21"/>
          <w:szCs w:val="21"/>
          <w:highlight w:val="none"/>
        </w:rPr>
        <w:t>启前补充、修改。</w:t>
      </w:r>
    </w:p>
    <w:p w14:paraId="1250677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4.8对磋商过程提交的响应文件进行有效性、完整性和响应程度审查，通过审查的合格供应商不足3</w:t>
      </w:r>
      <w:r>
        <w:rPr>
          <w:rFonts w:hint="eastAsia" w:ascii="仿宋" w:hAnsi="仿宋" w:eastAsia="仿宋" w:cs="仿宋"/>
          <w:color w:val="auto"/>
          <w:sz w:val="21"/>
          <w:szCs w:val="21"/>
          <w:highlight w:val="none"/>
        </w:rPr>
        <w:t>家的，采购人或者采购代理机构应当重新开</w:t>
      </w:r>
      <w:r>
        <w:rPr>
          <w:rFonts w:hint="eastAsia" w:ascii="仿宋" w:hAnsi="仿宋" w:eastAsia="仿宋" w:cs="仿宋"/>
          <w:color w:val="auto"/>
          <w:spacing w:val="-1"/>
          <w:sz w:val="21"/>
          <w:szCs w:val="21"/>
          <w:highlight w:val="none"/>
        </w:rPr>
        <w:t>展采购活动。</w:t>
      </w:r>
    </w:p>
    <w:p w14:paraId="6DC588A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38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9"/>
          <w:sz w:val="21"/>
          <w:szCs w:val="21"/>
          <w:highlight w:val="none"/>
        </w:rPr>
        <w:t>5.</w:t>
      </w:r>
      <w:r>
        <w:rPr>
          <w:rFonts w:hint="eastAsia" w:ascii="仿宋" w:hAnsi="仿宋" w:eastAsia="仿宋" w:cs="仿宋"/>
          <w:color w:val="auto"/>
          <w:spacing w:val="47"/>
          <w:sz w:val="21"/>
          <w:szCs w:val="21"/>
          <w:highlight w:val="none"/>
        </w:rPr>
        <w:t xml:space="preserve"> </w:t>
      </w:r>
      <w:r>
        <w:rPr>
          <w:rFonts w:hint="eastAsia" w:ascii="仿宋" w:hAnsi="仿宋" w:eastAsia="仿宋" w:cs="仿宋"/>
          <w:b/>
          <w:bCs/>
          <w:color w:val="auto"/>
          <w:spacing w:val="-9"/>
          <w:sz w:val="21"/>
          <w:szCs w:val="21"/>
          <w:highlight w:val="none"/>
        </w:rPr>
        <w:t>最</w:t>
      </w:r>
      <w:r>
        <w:rPr>
          <w:rFonts w:hint="eastAsia" w:ascii="仿宋" w:hAnsi="仿宋" w:eastAsia="仿宋" w:cs="仿宋"/>
          <w:color w:val="auto"/>
          <w:spacing w:val="-49"/>
          <w:sz w:val="21"/>
          <w:szCs w:val="21"/>
          <w:highlight w:val="none"/>
        </w:rPr>
        <w:t xml:space="preserve"> </w:t>
      </w:r>
      <w:r>
        <w:rPr>
          <w:rFonts w:hint="eastAsia" w:ascii="仿宋" w:hAnsi="仿宋" w:eastAsia="仿宋" w:cs="仿宋"/>
          <w:b/>
          <w:bCs/>
          <w:color w:val="auto"/>
          <w:spacing w:val="-9"/>
          <w:sz w:val="21"/>
          <w:szCs w:val="21"/>
          <w:highlight w:val="none"/>
        </w:rPr>
        <w:t>后</w:t>
      </w:r>
      <w:r>
        <w:rPr>
          <w:rFonts w:hint="eastAsia" w:ascii="仿宋" w:hAnsi="仿宋" w:eastAsia="仿宋" w:cs="仿宋"/>
          <w:color w:val="auto"/>
          <w:spacing w:val="-50"/>
          <w:sz w:val="21"/>
          <w:szCs w:val="21"/>
          <w:highlight w:val="none"/>
        </w:rPr>
        <w:t xml:space="preserve"> </w:t>
      </w:r>
      <w:r>
        <w:rPr>
          <w:rFonts w:hint="eastAsia" w:ascii="仿宋" w:hAnsi="仿宋" w:eastAsia="仿宋" w:cs="仿宋"/>
          <w:b/>
          <w:bCs/>
          <w:color w:val="auto"/>
          <w:spacing w:val="-9"/>
          <w:sz w:val="21"/>
          <w:szCs w:val="21"/>
          <w:highlight w:val="none"/>
        </w:rPr>
        <w:t>报</w:t>
      </w:r>
      <w:r>
        <w:rPr>
          <w:rFonts w:hint="eastAsia" w:ascii="仿宋" w:hAnsi="仿宋" w:eastAsia="仿宋" w:cs="仿宋"/>
          <w:color w:val="auto"/>
          <w:spacing w:val="-49"/>
          <w:sz w:val="21"/>
          <w:szCs w:val="21"/>
          <w:highlight w:val="none"/>
        </w:rPr>
        <w:t xml:space="preserve"> </w:t>
      </w:r>
      <w:r>
        <w:rPr>
          <w:rFonts w:hint="eastAsia" w:ascii="仿宋" w:hAnsi="仿宋" w:eastAsia="仿宋" w:cs="仿宋"/>
          <w:b/>
          <w:bCs/>
          <w:color w:val="auto"/>
          <w:spacing w:val="-9"/>
          <w:sz w:val="21"/>
          <w:szCs w:val="21"/>
          <w:highlight w:val="none"/>
        </w:rPr>
        <w:t>价</w:t>
      </w:r>
    </w:p>
    <w:p w14:paraId="623C890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5.1磋商文件能够详细列明采购标的的技术、服务要求的，磋商结束后，由磋商</w:t>
      </w:r>
      <w:r>
        <w:rPr>
          <w:rFonts w:hint="eastAsia" w:ascii="仿宋" w:hAnsi="仿宋" w:eastAsia="仿宋" w:cs="仿宋"/>
          <w:color w:val="auto"/>
          <w:spacing w:val="1"/>
          <w:sz w:val="21"/>
          <w:szCs w:val="21"/>
          <w:highlight w:val="none"/>
        </w:rPr>
        <w:t>小组要求所有继续参</w:t>
      </w:r>
      <w:r>
        <w:rPr>
          <w:rFonts w:hint="eastAsia" w:ascii="仿宋" w:hAnsi="仿宋" w:eastAsia="仿宋" w:cs="仿宋"/>
          <w:color w:val="auto"/>
          <w:spacing w:val="4"/>
          <w:sz w:val="21"/>
          <w:szCs w:val="21"/>
          <w:highlight w:val="none"/>
        </w:rPr>
        <w:t>加磋商的供应商在规定时间内提交最后报价，除本章第5.3条外，提交最后报价</w:t>
      </w:r>
      <w:r>
        <w:rPr>
          <w:rFonts w:hint="eastAsia" w:ascii="仿宋" w:hAnsi="仿宋" w:eastAsia="仿宋" w:cs="仿宋"/>
          <w:color w:val="auto"/>
          <w:spacing w:val="3"/>
          <w:sz w:val="21"/>
          <w:szCs w:val="21"/>
          <w:highlight w:val="none"/>
        </w:rPr>
        <w:t>的供应商不得少于3</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1"/>
          <w:sz w:val="21"/>
          <w:szCs w:val="21"/>
          <w:highlight w:val="none"/>
        </w:rPr>
        <w:t>家，否则必须重新采购。</w:t>
      </w:r>
    </w:p>
    <w:p w14:paraId="7CC1BE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5.2磋商文件不能详细列明采购标的的技术、服务要求，需经磋商由供应商提供</w:t>
      </w:r>
      <w:r>
        <w:rPr>
          <w:rFonts w:hint="eastAsia" w:ascii="仿宋" w:hAnsi="仿宋" w:eastAsia="仿宋" w:cs="仿宋"/>
          <w:color w:val="auto"/>
          <w:spacing w:val="1"/>
          <w:sz w:val="21"/>
          <w:szCs w:val="21"/>
          <w:highlight w:val="none"/>
        </w:rPr>
        <w:t>最后设计方案或者解</w:t>
      </w:r>
      <w:r>
        <w:rPr>
          <w:rFonts w:hint="eastAsia" w:ascii="仿宋" w:hAnsi="仿宋" w:eastAsia="仿宋" w:cs="仿宋"/>
          <w:color w:val="auto"/>
          <w:spacing w:val="2"/>
          <w:sz w:val="21"/>
          <w:szCs w:val="21"/>
          <w:highlight w:val="none"/>
        </w:rPr>
        <w:t>决方案的，磋商结束后，由磋商小组按照少数服从多数的原则投票推荐3家以上供应商的设计方案或者解</w:t>
      </w:r>
      <w:r>
        <w:rPr>
          <w:rFonts w:hint="eastAsia" w:ascii="仿宋" w:hAnsi="仿宋" w:eastAsia="仿宋" w:cs="仿宋"/>
          <w:color w:val="auto"/>
          <w:sz w:val="21"/>
          <w:szCs w:val="21"/>
          <w:highlight w:val="none"/>
        </w:rPr>
        <w:t>决方案，并要求其在规定时间内提交最后报价。</w:t>
      </w:r>
    </w:p>
    <w:p w14:paraId="6BB2535A">
      <w:pPr>
        <w:keepNext w:val="0"/>
        <w:keepLines w:val="0"/>
        <w:pageBreakBefore w:val="0"/>
        <w:widowControl/>
        <w:tabs>
          <w:tab w:val="left" w:pos="108"/>
        </w:tabs>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5.3最后报价是供应商响应文件的有效组成部分。符合《政府采购竞争性磋商采购方</w:t>
      </w:r>
      <w:r>
        <w:rPr>
          <w:rFonts w:hint="eastAsia" w:ascii="仿宋" w:hAnsi="仿宋" w:eastAsia="仿宋" w:cs="仿宋"/>
          <w:color w:val="auto"/>
          <w:sz w:val="21"/>
          <w:szCs w:val="21"/>
          <w:highlight w:val="none"/>
        </w:rPr>
        <w:t xml:space="preserve">式管理暂行办法》  </w:t>
      </w:r>
      <w:r>
        <w:rPr>
          <w:rFonts w:hint="eastAsia" w:ascii="仿宋" w:hAnsi="仿宋" w:eastAsia="仿宋" w:cs="仿宋"/>
          <w:color w:val="auto"/>
          <w:sz w:val="21"/>
          <w:szCs w:val="21"/>
          <w:highlight w:val="none"/>
        </w:rPr>
        <w:tab/>
      </w:r>
      <w:r>
        <w:rPr>
          <w:rFonts w:hint="eastAsia" w:ascii="仿宋" w:hAnsi="仿宋" w:eastAsia="仿宋" w:cs="仿宋"/>
          <w:color w:val="auto"/>
          <w:spacing w:val="5"/>
          <w:sz w:val="21"/>
          <w:szCs w:val="21"/>
          <w:highlight w:val="none"/>
        </w:rPr>
        <w:t>(财库〔2014〕214号)第三条第四项“市场竞争不充分的科研项目，以及需要扶持的科技成果转化项</w:t>
      </w:r>
      <w:r>
        <w:rPr>
          <w:rFonts w:hint="eastAsia" w:ascii="仿宋" w:hAnsi="仿宋" w:eastAsia="仿宋" w:cs="仿宋"/>
          <w:color w:val="auto"/>
          <w:spacing w:val="4"/>
          <w:sz w:val="21"/>
          <w:szCs w:val="21"/>
          <w:highlight w:val="none"/>
        </w:rPr>
        <w:t>目”</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6"/>
          <w:sz w:val="21"/>
          <w:szCs w:val="21"/>
          <w:highlight w:val="none"/>
        </w:rPr>
        <w:t>的，提交最后报价的供应商可以为2家。</w:t>
      </w:r>
    </w:p>
    <w:p w14:paraId="660514F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5.4已经提交响应文件的供应商，在提交最后报价之前，可以根据磋商情况退出磋商，退出磋</w:t>
      </w:r>
      <w:r>
        <w:rPr>
          <w:rFonts w:hint="eastAsia" w:ascii="仿宋" w:hAnsi="仿宋" w:eastAsia="仿宋" w:cs="仿宋"/>
          <w:color w:val="auto"/>
          <w:spacing w:val="1"/>
          <w:sz w:val="21"/>
          <w:szCs w:val="21"/>
          <w:highlight w:val="none"/>
        </w:rPr>
        <w:t>商的供</w:t>
      </w:r>
      <w:r>
        <w:rPr>
          <w:rFonts w:hint="eastAsia" w:ascii="仿宋" w:hAnsi="仿宋" w:eastAsia="仿宋" w:cs="仿宋"/>
          <w:color w:val="auto"/>
          <w:spacing w:val="-1"/>
          <w:sz w:val="21"/>
          <w:szCs w:val="21"/>
          <w:highlight w:val="none"/>
        </w:rPr>
        <w:t>应商的响应文件按无效响应处理。</w:t>
      </w:r>
    </w:p>
    <w:p w14:paraId="065B014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5.5供应商未在规定时间内提交最后报价</w:t>
      </w:r>
      <w:r>
        <w:rPr>
          <w:rFonts w:hint="eastAsia" w:ascii="仿宋" w:hAnsi="仿宋" w:eastAsia="仿宋" w:cs="仿宋"/>
          <w:color w:val="auto"/>
          <w:spacing w:val="1"/>
          <w:sz w:val="21"/>
          <w:szCs w:val="21"/>
          <w:highlight w:val="none"/>
        </w:rPr>
        <w:t>的，视同退出磋商，其响应文件按无效处理。</w:t>
      </w:r>
    </w:p>
    <w:p w14:paraId="69C4242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5.6磋商小组收齐本项目</w:t>
      </w:r>
      <w:r>
        <w:rPr>
          <w:rFonts w:hint="eastAsia" w:ascii="仿宋" w:hAnsi="仿宋" w:eastAsia="仿宋" w:cs="仿宋"/>
          <w:color w:val="auto"/>
          <w:spacing w:val="2"/>
          <w:sz w:val="21"/>
          <w:szCs w:val="21"/>
          <w:highlight w:val="none"/>
          <w:lang w:val="en-US" w:eastAsia="zh-CN"/>
        </w:rPr>
        <w:t>/某一分标</w:t>
      </w:r>
      <w:r>
        <w:rPr>
          <w:rFonts w:hint="eastAsia" w:ascii="仿宋" w:hAnsi="仿宋" w:eastAsia="仿宋" w:cs="仿宋"/>
          <w:color w:val="auto"/>
          <w:spacing w:val="2"/>
          <w:sz w:val="21"/>
          <w:szCs w:val="21"/>
          <w:highlight w:val="none"/>
        </w:rPr>
        <w:t>最后报价后统一开启，磋商小组对最后报价进行有效性、完</w:t>
      </w:r>
      <w:r>
        <w:rPr>
          <w:rFonts w:hint="eastAsia" w:ascii="仿宋" w:hAnsi="仿宋" w:eastAsia="仿宋" w:cs="仿宋"/>
          <w:color w:val="auto"/>
          <w:spacing w:val="1"/>
          <w:sz w:val="21"/>
          <w:szCs w:val="21"/>
          <w:highlight w:val="none"/>
        </w:rPr>
        <w:t>整性和响应程度</w:t>
      </w:r>
      <w:r>
        <w:rPr>
          <w:rFonts w:hint="eastAsia" w:ascii="仿宋" w:hAnsi="仿宋" w:eastAsia="仿宋" w:cs="仿宋"/>
          <w:color w:val="auto"/>
          <w:spacing w:val="3"/>
          <w:sz w:val="21"/>
          <w:szCs w:val="21"/>
          <w:highlight w:val="none"/>
        </w:rPr>
        <w:t>的审查。</w:t>
      </w:r>
    </w:p>
    <w:p w14:paraId="146FE95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5.7最终响应文件的报价出现前后不一致的，按照本章第3.4条的规定修正。</w:t>
      </w:r>
    </w:p>
    <w:p w14:paraId="3ACE26F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5.8修正后的最后报价出现下列情形的，按无效响应处理：</w:t>
      </w:r>
    </w:p>
    <w:p w14:paraId="05E98B0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2"/>
          <w:sz w:val="21"/>
          <w:szCs w:val="21"/>
          <w:highlight w:val="none"/>
        </w:rPr>
        <w:t>(1)供应商不确认的(全流程电子化评标采取在线确认);</w:t>
      </w:r>
    </w:p>
    <w:p w14:paraId="742F1E8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(2)经供应商确认修正后的响应报价(包含首次报价、最后报价)超过所竞标项</w:t>
      </w:r>
      <w:r>
        <w:rPr>
          <w:rFonts w:hint="eastAsia" w:ascii="仿宋" w:hAnsi="仿宋" w:eastAsia="仿宋" w:cs="仿宋"/>
          <w:color w:val="auto"/>
          <w:spacing w:val="9"/>
          <w:sz w:val="21"/>
          <w:szCs w:val="21"/>
          <w:highlight w:val="none"/>
        </w:rPr>
        <w:t>目</w:t>
      </w:r>
      <w:r>
        <w:rPr>
          <w:rFonts w:hint="eastAsia" w:ascii="仿宋" w:hAnsi="仿宋" w:eastAsia="仿宋" w:cs="仿宋"/>
          <w:color w:val="auto"/>
          <w:spacing w:val="9"/>
          <w:sz w:val="21"/>
          <w:szCs w:val="21"/>
          <w:highlight w:val="none"/>
          <w:lang w:val="en-US" w:eastAsia="zh-CN"/>
        </w:rPr>
        <w:t>/分标</w:t>
      </w:r>
      <w:r>
        <w:rPr>
          <w:rFonts w:hint="eastAsia" w:ascii="仿宋" w:hAnsi="仿宋" w:eastAsia="仿宋" w:cs="仿宋"/>
          <w:color w:val="auto"/>
          <w:spacing w:val="9"/>
          <w:sz w:val="21"/>
          <w:szCs w:val="21"/>
          <w:highlight w:val="none"/>
        </w:rPr>
        <w:t>规定的采购预算</w:t>
      </w:r>
      <w:r>
        <w:rPr>
          <w:rFonts w:hint="eastAsia" w:ascii="仿宋" w:hAnsi="仿宋" w:eastAsia="仿宋" w:cs="仿宋"/>
          <w:color w:val="auto"/>
          <w:spacing w:val="10"/>
          <w:sz w:val="21"/>
          <w:szCs w:val="21"/>
          <w:highlight w:val="none"/>
        </w:rPr>
        <w:t>金额或者最高限价的(如本项目公布了最高限价);</w:t>
      </w:r>
    </w:p>
    <w:p w14:paraId="398448E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6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(3)经供应商确认修正后的响应报价(包含首次报价、最后报价)超过分项采购预算金额或者</w:t>
      </w:r>
      <w:r>
        <w:rPr>
          <w:rFonts w:hint="eastAsia" w:ascii="仿宋" w:hAnsi="仿宋" w:eastAsia="仿宋" w:cs="仿宋"/>
          <w:color w:val="auto"/>
          <w:spacing w:val="9"/>
          <w:sz w:val="21"/>
          <w:szCs w:val="21"/>
          <w:highlight w:val="none"/>
        </w:rPr>
        <w:t>最高</w:t>
      </w:r>
      <w:r>
        <w:rPr>
          <w:rFonts w:hint="eastAsia" w:ascii="仿宋" w:hAnsi="仿宋" w:eastAsia="仿宋" w:cs="仿宋"/>
          <w:color w:val="auto"/>
          <w:spacing w:val="12"/>
          <w:sz w:val="21"/>
          <w:szCs w:val="21"/>
          <w:highlight w:val="none"/>
        </w:rPr>
        <w:t>限价的(如本项目公布了最高限价)。</w:t>
      </w:r>
    </w:p>
    <w:p w14:paraId="65790D4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5.9经供应商确认修正后的最后报价作为</w:t>
      </w:r>
      <w:r>
        <w:rPr>
          <w:rFonts w:hint="eastAsia" w:ascii="仿宋" w:hAnsi="仿宋" w:eastAsia="仿宋" w:cs="仿宋"/>
          <w:color w:val="auto"/>
          <w:spacing w:val="1"/>
          <w:sz w:val="21"/>
          <w:szCs w:val="21"/>
          <w:highlight w:val="none"/>
        </w:rPr>
        <w:t>评审及签订合同的依据。</w:t>
      </w:r>
    </w:p>
    <w:p w14:paraId="20912A4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4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5.10供应商出现最后报价按无效响应处理或者响应文件按无效处理时，磋</w:t>
      </w:r>
      <w:r>
        <w:rPr>
          <w:rFonts w:hint="eastAsia" w:ascii="仿宋" w:hAnsi="仿宋" w:eastAsia="仿宋" w:cs="仿宋"/>
          <w:color w:val="auto"/>
          <w:spacing w:val="4"/>
          <w:sz w:val="21"/>
          <w:szCs w:val="21"/>
          <w:highlight w:val="none"/>
        </w:rPr>
        <w:t>商小组应当告知有关供应</w:t>
      </w:r>
      <w:r>
        <w:rPr>
          <w:rFonts w:hint="eastAsia" w:ascii="仿宋" w:hAnsi="仿宋" w:eastAsia="仿宋" w:cs="仿宋"/>
          <w:color w:val="auto"/>
          <w:spacing w:val="-2"/>
          <w:sz w:val="21"/>
          <w:szCs w:val="21"/>
          <w:highlight w:val="none"/>
        </w:rPr>
        <w:t>商。</w:t>
      </w:r>
    </w:p>
    <w:p w14:paraId="2A823CF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5.11最后报价结束后，磋商小组不得再与供应商进行任何形式的商谈。</w:t>
      </w:r>
    </w:p>
    <w:p w14:paraId="2DC9131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5.12</w:t>
      </w:r>
      <w:r>
        <w:rPr>
          <w:rFonts w:hint="eastAsia" w:ascii="仿宋" w:hAnsi="仿宋" w:eastAsia="仿宋" w:cs="仿宋"/>
          <w:color w:val="auto"/>
          <w:spacing w:val="1"/>
          <w:sz w:val="21"/>
          <w:szCs w:val="21"/>
          <w:highlight w:val="none"/>
        </w:rPr>
        <w:t>采购评审中出现下列情形之一的，</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应当启动异常低价</w:t>
      </w:r>
      <w:r>
        <w:rPr>
          <w:rFonts w:hint="eastAsia" w:ascii="仿宋" w:hAnsi="仿宋" w:eastAsia="仿宋" w:cs="仿宋"/>
          <w:color w:val="auto"/>
          <w:spacing w:val="1"/>
          <w:sz w:val="21"/>
          <w:szCs w:val="21"/>
          <w:highlight w:val="none"/>
          <w:lang w:val="en-US" w:eastAsia="zh-CN"/>
        </w:rPr>
        <w:t>响应</w:t>
      </w:r>
      <w:r>
        <w:rPr>
          <w:rFonts w:hint="eastAsia" w:ascii="仿宋" w:hAnsi="仿宋" w:eastAsia="仿宋" w:cs="仿宋"/>
          <w:color w:val="auto"/>
          <w:spacing w:val="1"/>
          <w:sz w:val="21"/>
          <w:szCs w:val="21"/>
          <w:highlight w:val="none"/>
        </w:rPr>
        <w:t>审查程序：</w:t>
      </w:r>
    </w:p>
    <w:p w14:paraId="6D72512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A.最后报价</w:t>
      </w:r>
      <w:r>
        <w:rPr>
          <w:rFonts w:hint="eastAsia" w:ascii="仿宋" w:hAnsi="仿宋" w:eastAsia="仿宋" w:cs="仿宋"/>
          <w:color w:val="auto"/>
          <w:spacing w:val="1"/>
          <w:sz w:val="21"/>
          <w:szCs w:val="21"/>
          <w:highlight w:val="none"/>
        </w:rPr>
        <w:t>低于全部通过符合性审查</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平均值</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＜全部通过符合性审查</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平均值×</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 xml:space="preserve">%； </w:t>
      </w:r>
    </w:p>
    <w:p w14:paraId="48E9900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B.</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低于通过符合性审查的次低报价</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＜通过符合性审查的次低报价</w:t>
      </w:r>
      <w:r>
        <w:rPr>
          <w:rFonts w:hint="eastAsia" w:ascii="仿宋" w:hAnsi="仿宋" w:eastAsia="仿宋" w:cs="仿宋"/>
          <w:color w:val="auto"/>
          <w:spacing w:val="1"/>
          <w:sz w:val="21"/>
          <w:szCs w:val="21"/>
          <w:highlight w:val="none"/>
          <w:lang w:eastAsia="zh-CN"/>
        </w:rPr>
        <w:t>供应商最后报价</w:t>
      </w: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 xml:space="preserve">%； </w:t>
      </w:r>
    </w:p>
    <w:p w14:paraId="09A3057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C.</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低于采购项目最高限价</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%的，即</w:t>
      </w:r>
      <w:r>
        <w:rPr>
          <w:rFonts w:hint="eastAsia" w:ascii="仿宋" w:hAnsi="仿宋" w:eastAsia="仿宋" w:cs="仿宋"/>
          <w:color w:val="auto"/>
          <w:spacing w:val="1"/>
          <w:sz w:val="21"/>
          <w:szCs w:val="21"/>
          <w:highlight w:val="none"/>
          <w:lang w:eastAsia="zh-CN"/>
        </w:rPr>
        <w:t>最后报价</w:t>
      </w:r>
      <w:r>
        <w:rPr>
          <w:rFonts w:hint="eastAsia" w:ascii="仿宋" w:hAnsi="仿宋" w:eastAsia="仿宋" w:cs="仿宋"/>
          <w:color w:val="auto"/>
          <w:spacing w:val="1"/>
          <w:sz w:val="21"/>
          <w:szCs w:val="21"/>
          <w:highlight w:val="none"/>
        </w:rPr>
        <w:t>＜采购项目最高限价×</w:t>
      </w:r>
      <w:r>
        <w:rPr>
          <w:rFonts w:hint="eastAsia" w:ascii="仿宋" w:hAnsi="仿宋" w:eastAsia="仿宋" w:cs="仿宋"/>
          <w:color w:val="auto"/>
          <w:spacing w:val="1"/>
          <w:sz w:val="21"/>
          <w:szCs w:val="21"/>
          <w:highlight w:val="none"/>
          <w:lang w:val="en-US" w:eastAsia="zh-CN"/>
        </w:rPr>
        <w:t>65</w:t>
      </w:r>
      <w:r>
        <w:rPr>
          <w:rFonts w:hint="eastAsia" w:ascii="仿宋" w:hAnsi="仿宋" w:eastAsia="仿宋" w:cs="仿宋"/>
          <w:color w:val="auto"/>
          <w:spacing w:val="1"/>
          <w:sz w:val="21"/>
          <w:szCs w:val="21"/>
          <w:highlight w:val="none"/>
        </w:rPr>
        <w:t>%；</w:t>
      </w:r>
    </w:p>
    <w:p w14:paraId="3C47264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D.</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基于专业判断，认为</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报价过低，有可能影响产品质量或者不能诚信履约的其他情形。</w:t>
      </w:r>
    </w:p>
    <w:p w14:paraId="2C1CA9F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相关法律法规对</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报价有规定的，从其规定。</w:t>
      </w:r>
    </w:p>
    <w:p w14:paraId="6CBCB82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启动异常低价</w:t>
      </w:r>
      <w:r>
        <w:rPr>
          <w:rFonts w:hint="eastAsia" w:ascii="仿宋" w:hAnsi="仿宋" w:eastAsia="仿宋" w:cs="仿宋"/>
          <w:color w:val="auto"/>
          <w:spacing w:val="1"/>
          <w:sz w:val="21"/>
          <w:szCs w:val="21"/>
          <w:highlight w:val="none"/>
          <w:lang w:val="en-US" w:eastAsia="zh-CN"/>
        </w:rPr>
        <w:t>响应</w:t>
      </w:r>
      <w:r>
        <w:rPr>
          <w:rFonts w:hint="eastAsia" w:ascii="仿宋" w:hAnsi="仿宋" w:eastAsia="仿宋" w:cs="仿宋"/>
          <w:color w:val="auto"/>
          <w:spacing w:val="1"/>
          <w:sz w:val="21"/>
          <w:szCs w:val="21"/>
          <w:highlight w:val="none"/>
        </w:rPr>
        <w:t>审查后，属于上述A项至D项情形的，应当要求相关</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在</w:t>
      </w:r>
      <w:r>
        <w:rPr>
          <w:rFonts w:hint="eastAsia" w:ascii="仿宋" w:hAnsi="仿宋" w:eastAsia="仿宋" w:cs="仿宋"/>
          <w:color w:val="auto"/>
          <w:spacing w:val="1"/>
          <w:sz w:val="21"/>
          <w:szCs w:val="21"/>
          <w:highlight w:val="none"/>
          <w:lang w:eastAsia="zh-CN"/>
        </w:rPr>
        <w:t>评审</w:t>
      </w:r>
      <w:r>
        <w:rPr>
          <w:rFonts w:hint="eastAsia" w:ascii="仿宋" w:hAnsi="仿宋" w:eastAsia="仿宋" w:cs="仿宋"/>
          <w:color w:val="auto"/>
          <w:spacing w:val="1"/>
          <w:sz w:val="21"/>
          <w:szCs w:val="21"/>
          <w:highlight w:val="none"/>
        </w:rPr>
        <w:t>现场合理的时间内对</w:t>
      </w:r>
      <w:r>
        <w:rPr>
          <w:rFonts w:hint="eastAsia" w:ascii="仿宋" w:hAnsi="仿宋" w:eastAsia="仿宋" w:cs="仿宋"/>
          <w:color w:val="auto"/>
          <w:spacing w:val="1"/>
          <w:sz w:val="21"/>
          <w:szCs w:val="21"/>
          <w:highlight w:val="none"/>
          <w:lang w:eastAsia="zh-CN"/>
        </w:rPr>
        <w:t>响应</w:t>
      </w:r>
      <w:r>
        <w:rPr>
          <w:rFonts w:hint="eastAsia" w:ascii="仿宋" w:hAnsi="仿宋" w:eastAsia="仿宋" w:cs="仿宋"/>
          <w:color w:val="auto"/>
          <w:spacing w:val="1"/>
          <w:sz w:val="21"/>
          <w:szCs w:val="21"/>
          <w:highlight w:val="none"/>
        </w:rPr>
        <w:t>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的合理时间一般不少于30分钟。其中，属于上述C项情形，</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已随</w:t>
      </w:r>
      <w:r>
        <w:rPr>
          <w:rFonts w:hint="eastAsia" w:ascii="仿宋" w:hAnsi="仿宋" w:eastAsia="仿宋" w:cs="仿宋"/>
          <w:color w:val="auto"/>
          <w:spacing w:val="1"/>
          <w:sz w:val="21"/>
          <w:szCs w:val="21"/>
          <w:highlight w:val="none"/>
          <w:lang w:eastAsia="zh-CN"/>
        </w:rPr>
        <w:t>响应文件</w:t>
      </w:r>
      <w:r>
        <w:rPr>
          <w:rFonts w:hint="eastAsia" w:ascii="仿宋" w:hAnsi="仿宋" w:eastAsia="仿宋" w:cs="仿宋"/>
          <w:color w:val="auto"/>
          <w:spacing w:val="1"/>
          <w:sz w:val="21"/>
          <w:szCs w:val="21"/>
          <w:highlight w:val="none"/>
        </w:rPr>
        <w:t>一并提交相关书面说明及必要的证明材料的，在</w:t>
      </w:r>
      <w:r>
        <w:rPr>
          <w:rFonts w:hint="eastAsia" w:ascii="仿宋" w:hAnsi="仿宋" w:eastAsia="仿宋" w:cs="仿宋"/>
          <w:color w:val="auto"/>
          <w:spacing w:val="1"/>
          <w:sz w:val="21"/>
          <w:szCs w:val="21"/>
          <w:highlight w:val="none"/>
          <w:lang w:eastAsia="zh-CN"/>
        </w:rPr>
        <w:t>评审</w:t>
      </w:r>
      <w:r>
        <w:rPr>
          <w:rFonts w:hint="eastAsia" w:ascii="仿宋" w:hAnsi="仿宋" w:eastAsia="仿宋" w:cs="仿宋"/>
          <w:color w:val="auto"/>
          <w:spacing w:val="1"/>
          <w:sz w:val="21"/>
          <w:szCs w:val="21"/>
          <w:highlight w:val="none"/>
        </w:rPr>
        <w:t>现场可不再重复提交。</w:t>
      </w:r>
    </w:p>
    <w:p w14:paraId="4240F8A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4"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color w:val="auto"/>
          <w:spacing w:val="1"/>
          <w:sz w:val="21"/>
          <w:szCs w:val="21"/>
          <w:highlight w:val="none"/>
          <w:lang w:eastAsia="zh-CN"/>
        </w:rPr>
        <w:t>供应商</w:t>
      </w:r>
      <w:r>
        <w:rPr>
          <w:rFonts w:hint="eastAsia" w:ascii="仿宋" w:hAnsi="仿宋" w:eastAsia="仿宋" w:cs="仿宋"/>
          <w:color w:val="auto"/>
          <w:spacing w:val="1"/>
          <w:sz w:val="21"/>
          <w:szCs w:val="21"/>
          <w:highlight w:val="none"/>
        </w:rPr>
        <w:t>不能提供书面说明、证明材料，或者提供的书面说明、证明材料不能证明其报价合理性的，</w:t>
      </w:r>
      <w:r>
        <w:rPr>
          <w:rFonts w:hint="eastAsia" w:ascii="仿宋" w:hAnsi="仿宋" w:eastAsia="仿宋" w:cs="仿宋"/>
          <w:color w:val="auto"/>
          <w:spacing w:val="1"/>
          <w:sz w:val="21"/>
          <w:szCs w:val="21"/>
          <w:highlight w:val="none"/>
          <w:lang w:eastAsia="zh-CN"/>
        </w:rPr>
        <w:t>磋商小组</w:t>
      </w:r>
      <w:r>
        <w:rPr>
          <w:rFonts w:hint="eastAsia" w:ascii="仿宋" w:hAnsi="仿宋" w:eastAsia="仿宋" w:cs="仿宋"/>
          <w:color w:val="auto"/>
          <w:spacing w:val="1"/>
          <w:sz w:val="21"/>
          <w:szCs w:val="21"/>
          <w:highlight w:val="none"/>
        </w:rPr>
        <w:t>应当将其作为无效</w:t>
      </w:r>
      <w:r>
        <w:rPr>
          <w:rFonts w:hint="eastAsia" w:ascii="仿宋" w:hAnsi="仿宋" w:eastAsia="仿宋" w:cs="仿宋"/>
          <w:color w:val="auto"/>
          <w:spacing w:val="1"/>
          <w:sz w:val="21"/>
          <w:szCs w:val="21"/>
          <w:highlight w:val="none"/>
          <w:lang w:eastAsia="zh-CN"/>
        </w:rPr>
        <w:t>响应</w:t>
      </w:r>
      <w:r>
        <w:rPr>
          <w:rFonts w:hint="eastAsia" w:ascii="仿宋" w:hAnsi="仿宋" w:eastAsia="仿宋" w:cs="仿宋"/>
          <w:color w:val="auto"/>
          <w:spacing w:val="1"/>
          <w:sz w:val="21"/>
          <w:szCs w:val="21"/>
          <w:highlight w:val="none"/>
        </w:rPr>
        <w:t>处理。</w:t>
      </w:r>
    </w:p>
    <w:p w14:paraId="0CB1509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1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2"/>
          <w:sz w:val="21"/>
          <w:szCs w:val="21"/>
          <w:highlight w:val="none"/>
        </w:rPr>
        <w:t>6.比较与评价</w:t>
      </w:r>
    </w:p>
    <w:p w14:paraId="457483A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36"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6.1评审方法：综合评分法。</w:t>
      </w:r>
    </w:p>
    <w:p w14:paraId="553290F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8"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6.2经磋商确定最终采购需求和提交最后报价的供应商后，由磋商小组采用综合评分法对提交最后报</w:t>
      </w:r>
      <w:r>
        <w:rPr>
          <w:rFonts w:hint="eastAsia" w:ascii="仿宋" w:hAnsi="仿宋" w:eastAsia="仿宋" w:cs="仿宋"/>
          <w:color w:val="auto"/>
          <w:spacing w:val="-1"/>
          <w:sz w:val="21"/>
          <w:szCs w:val="21"/>
          <w:highlight w:val="none"/>
        </w:rPr>
        <w:t>价的供应商的响应文件和最后报价进行综合评分。</w:t>
      </w:r>
    </w:p>
    <w:p w14:paraId="79AB061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6.3评审时，磋商小组各成员应当独立对每个有效响应的文件进行评价、打分，然后汇总每个供应商每项评分因素的得分。</w:t>
      </w:r>
    </w:p>
    <w:p w14:paraId="6EB156D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40AA6E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）磋商小组按照磋商文件中规定的评审标准计算各供应商的报价得分。项目评审过程中，不得去掉最后报价中的最高报价和最低报价。</w:t>
      </w:r>
    </w:p>
    <w:p w14:paraId="5EBFAE7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16" w:firstLineChars="200"/>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）各供应商的得分为磋商小组所有成员的有效评分的算术平均数。</w:t>
      </w:r>
    </w:p>
    <w:p w14:paraId="73840584">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eastAsia="zh-CN"/>
        </w:rPr>
        <w:t>6.4评审价为供应商的最后报价进行政策性扣除后的价格，评审价只是作为评审时使用。最终成交供应商的成交金额等于最后报价（如有修正，以确认修正后的最后报价为准）。</w:t>
      </w:r>
    </w:p>
    <w:p w14:paraId="48E4AC00">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val="en-US" w:eastAsia="zh-CN"/>
        </w:rPr>
        <w:t>6.5</w:t>
      </w:r>
      <w:r>
        <w:rPr>
          <w:rFonts w:hint="eastAsia" w:ascii="仿宋" w:hAnsi="仿宋" w:eastAsia="仿宋" w:cs="仿宋"/>
          <w:snapToGrid w:val="0"/>
          <w:color w:val="auto"/>
          <w:spacing w:val="2"/>
          <w:kern w:val="0"/>
          <w:sz w:val="21"/>
          <w:szCs w:val="21"/>
          <w:highlight w:val="none"/>
          <w:lang w:eastAsia="zh-CN"/>
        </w:rPr>
        <w:t>磋商小组根据综合评分情况，按照评审得分由高到低顺序推荐3名以上成交候选供应商，并编写评审报告。</w:t>
      </w:r>
      <w:r>
        <w:rPr>
          <w:rFonts w:hint="eastAsia" w:ascii="仿宋" w:hAnsi="仿宋" w:eastAsia="仿宋" w:cs="仿宋"/>
          <w:snapToGrid w:val="0"/>
          <w:color w:val="auto"/>
          <w:spacing w:val="2"/>
          <w:kern w:val="0"/>
          <w:szCs w:val="21"/>
          <w:highlight w:val="none"/>
          <w:lang w:eastAsia="zh-CN"/>
        </w:rPr>
        <w:t>符合本章第</w:t>
      </w:r>
      <w:r>
        <w:rPr>
          <w:rFonts w:hint="eastAsia" w:ascii="仿宋" w:hAnsi="仿宋" w:eastAsia="仿宋" w:cs="仿宋"/>
          <w:snapToGrid w:val="0"/>
          <w:color w:val="auto"/>
          <w:spacing w:val="2"/>
          <w:kern w:val="0"/>
          <w:szCs w:val="21"/>
          <w:highlight w:val="none"/>
          <w:lang w:val="en-US" w:eastAsia="zh-CN"/>
        </w:rPr>
        <w:t>5</w:t>
      </w:r>
      <w:r>
        <w:rPr>
          <w:rFonts w:hint="eastAsia" w:ascii="仿宋" w:hAnsi="仿宋" w:eastAsia="仿宋" w:cs="仿宋"/>
          <w:snapToGrid w:val="0"/>
          <w:color w:val="auto"/>
          <w:spacing w:val="2"/>
          <w:kern w:val="0"/>
          <w:szCs w:val="21"/>
          <w:highlight w:val="none"/>
          <w:lang w:eastAsia="zh-CN"/>
        </w:rPr>
        <w:t>.3条情形的，</w:t>
      </w:r>
      <w:r>
        <w:rPr>
          <w:rFonts w:hint="eastAsia" w:ascii="仿宋" w:hAnsi="仿宋" w:eastAsia="仿宋" w:cs="仿宋"/>
          <w:snapToGrid w:val="0"/>
          <w:color w:val="auto"/>
          <w:spacing w:val="2"/>
          <w:kern w:val="0"/>
          <w:sz w:val="21"/>
          <w:szCs w:val="21"/>
          <w:highlight w:val="none"/>
          <w:lang w:eastAsia="zh-CN"/>
        </w:rPr>
        <w:t>可以推荐2家成交候选供应商。评审得分相同的，按照最后报价由低到高的顺序推荐。评审得分且最后报价相同的，按照技术指标优劣顺序推荐</w:t>
      </w:r>
      <w:r>
        <w:rPr>
          <w:rFonts w:hint="eastAsia" w:ascii="仿宋" w:hAnsi="仿宋" w:eastAsia="仿宋" w:cs="仿宋"/>
          <w:snapToGrid w:val="0"/>
          <w:color w:val="auto"/>
          <w:spacing w:val="2"/>
          <w:kern w:val="0"/>
          <w:szCs w:val="21"/>
          <w:highlight w:val="none"/>
          <w:lang w:eastAsia="zh-CN"/>
        </w:rPr>
        <w:t>。</w:t>
      </w:r>
    </w:p>
    <w:p w14:paraId="03460FE1">
      <w:pPr>
        <w:widowControl/>
        <w:kinsoku w:val="0"/>
        <w:autoSpaceDE w:val="0"/>
        <w:autoSpaceDN w:val="0"/>
        <w:adjustRightInd w:val="0"/>
        <w:snapToGrid w:val="0"/>
        <w:spacing w:line="460" w:lineRule="exact"/>
        <w:ind w:firstLine="428" w:firstLineChars="200"/>
        <w:jc w:val="left"/>
        <w:textAlignment w:val="baseline"/>
        <w:rPr>
          <w:rFonts w:hint="eastAsia" w:ascii="仿宋" w:hAnsi="仿宋" w:eastAsia="仿宋" w:cs="仿宋"/>
          <w:snapToGrid w:val="0"/>
          <w:color w:val="auto"/>
          <w:spacing w:val="2"/>
          <w:kern w:val="0"/>
          <w:szCs w:val="21"/>
          <w:highlight w:val="none"/>
          <w:lang w:eastAsia="zh-CN"/>
        </w:rPr>
      </w:pPr>
      <w:r>
        <w:rPr>
          <w:rFonts w:hint="eastAsia" w:ascii="仿宋" w:hAnsi="仿宋" w:eastAsia="仿宋" w:cs="仿宋"/>
          <w:snapToGrid w:val="0"/>
          <w:color w:val="auto"/>
          <w:spacing w:val="2"/>
          <w:kern w:val="0"/>
          <w:szCs w:val="21"/>
          <w:highlight w:val="none"/>
          <w:lang w:eastAsia="zh-CN"/>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DD6C8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8" w:firstLineChars="200"/>
        <w:textAlignment w:val="baseline"/>
        <w:rPr>
          <w:rFonts w:hint="eastAsia" w:ascii="仿宋" w:hAnsi="仿宋" w:eastAsia="仿宋" w:cs="仿宋"/>
          <w:color w:val="auto"/>
          <w:sz w:val="25"/>
          <w:szCs w:val="25"/>
          <w:highlight w:val="none"/>
        </w:rPr>
      </w:pPr>
      <w:r>
        <w:rPr>
          <w:rFonts w:hint="eastAsia" w:ascii="仿宋" w:hAnsi="仿宋" w:eastAsia="仿宋" w:cs="仿宋"/>
          <w:b/>
          <w:bCs/>
          <w:color w:val="auto"/>
          <w:spacing w:val="-6"/>
          <w:sz w:val="25"/>
          <w:szCs w:val="25"/>
          <w:highlight w:val="none"/>
        </w:rPr>
        <w:t>7.评审标准</w:t>
      </w:r>
    </w:p>
    <w:p w14:paraId="1705F75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7.1</w:t>
      </w:r>
      <w:r>
        <w:rPr>
          <w:rFonts w:hint="eastAsia" w:ascii="仿宋" w:hAnsi="仿宋" w:eastAsia="仿宋" w:cs="仿宋"/>
          <w:color w:val="auto"/>
          <w:sz w:val="21"/>
          <w:szCs w:val="21"/>
          <w:highlight w:val="none"/>
          <w:lang w:eastAsia="zh-CN"/>
        </w:rPr>
        <w:t>评审依据：磋商小组将以磋商响应文件为评审依据，对供应商的报价、技术、商务等方面内容按百分制打分。（计分方法按四舍五入取至百分位）</w:t>
      </w:r>
    </w:p>
    <w:p w14:paraId="49F83890">
      <w:pPr>
        <w:pStyle w:val="3"/>
        <w:rPr>
          <w:rFonts w:hint="eastAsia" w:ascii="仿宋" w:hAnsi="仿宋" w:eastAsia="仿宋" w:cs="仿宋"/>
          <w:color w:val="auto"/>
          <w:sz w:val="21"/>
          <w:szCs w:val="21"/>
          <w:highlight w:val="none"/>
          <w:lang w:eastAsia="zh-CN"/>
        </w:rPr>
        <w:sectPr>
          <w:footerReference r:id="rId9" w:type="default"/>
          <w:pgSz w:w="11910" w:h="16830"/>
          <w:pgMar w:top="1134" w:right="885" w:bottom="1146" w:left="855" w:header="0" w:footer="925" w:gutter="0"/>
          <w:pgNumType w:fmt="decimal"/>
          <w:cols w:space="720" w:num="1"/>
        </w:sectPr>
      </w:pPr>
    </w:p>
    <w:tbl>
      <w:tblPr>
        <w:tblStyle w:val="2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5"/>
        <w:gridCol w:w="6006"/>
        <w:gridCol w:w="851"/>
      </w:tblGrid>
      <w:tr w14:paraId="06AB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1920ABE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1405" w:type="dxa"/>
            <w:vAlign w:val="center"/>
          </w:tcPr>
          <w:p w14:paraId="3BBD421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评审因素</w:t>
            </w:r>
          </w:p>
        </w:tc>
        <w:tc>
          <w:tcPr>
            <w:tcW w:w="6006" w:type="dxa"/>
            <w:vAlign w:val="center"/>
          </w:tcPr>
          <w:p w14:paraId="4853C96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评审因素具体内容</w:t>
            </w:r>
          </w:p>
        </w:tc>
        <w:tc>
          <w:tcPr>
            <w:tcW w:w="851" w:type="dxa"/>
            <w:vAlign w:val="center"/>
          </w:tcPr>
          <w:p w14:paraId="33CF566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分值</w:t>
            </w:r>
          </w:p>
        </w:tc>
      </w:tr>
      <w:tr w14:paraId="1FB3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8" w:type="dxa"/>
            <w:vAlign w:val="center"/>
          </w:tcPr>
          <w:p w14:paraId="1B5778C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1405" w:type="dxa"/>
            <w:vAlign w:val="center"/>
          </w:tcPr>
          <w:p w14:paraId="1FFD180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价格分</w:t>
            </w:r>
          </w:p>
        </w:tc>
        <w:tc>
          <w:tcPr>
            <w:tcW w:w="6006" w:type="dxa"/>
          </w:tcPr>
          <w:p w14:paraId="07394B8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（1）评审价为供应商的最后报价进行政策性扣除后的价格，评审价只是作为评审时使用。最终成交供应商的成交金额等于最后报价（如有修正，以确认修正后的最后报价为准）。</w:t>
            </w:r>
          </w:p>
          <w:p w14:paraId="01BEEA8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t>（2）政策性扣除计算方法。</w:t>
            </w:r>
          </w:p>
          <w:p w14:paraId="72063C78">
            <w:pPr>
              <w:pStyle w:val="13"/>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rPr>
            </w:pPr>
            <w:r>
              <w:rPr>
                <w:rFonts w:hint="eastAsia" w:ascii="仿宋" w:hAnsi="仿宋" w:eastAsia="仿宋" w:cs="仿宋"/>
                <w:bCs/>
                <w:snapToGrid/>
                <w:color w:val="auto"/>
                <w:kern w:val="2"/>
                <w:sz w:val="24"/>
                <w:szCs w:val="24"/>
                <w:highlight w:val="none"/>
                <w:lang w:eastAsia="zh-CN"/>
              </w:rPr>
              <w:t>☑适用于专门面向中小企业采购项目，按照《政府采购促进中小企业发展管理办法》（财库〔2020〕46号）的规定，对小微企业的最后报价不再执行价格评审优惠的扶持政策。</w:t>
            </w:r>
          </w:p>
          <w:p w14:paraId="16511294">
            <w:pPr>
              <w:pStyle w:val="13"/>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snapToGrid/>
                <w:color w:val="auto"/>
                <w:kern w:val="2"/>
                <w:sz w:val="24"/>
                <w:szCs w:val="24"/>
                <w:highlight w:val="none"/>
              </w:rPr>
              <w:t>除上述情况外，</w:t>
            </w:r>
            <w:r>
              <w:rPr>
                <w:rFonts w:hint="eastAsia" w:ascii="仿宋" w:hAnsi="仿宋" w:eastAsia="仿宋" w:cs="仿宋"/>
                <w:bCs/>
                <w:snapToGrid/>
                <w:color w:val="auto"/>
                <w:kern w:val="2"/>
                <w:sz w:val="24"/>
                <w:szCs w:val="24"/>
                <w:highlight w:val="none"/>
                <w:lang w:eastAsia="zh-CN"/>
              </w:rPr>
              <w:t>评审价</w:t>
            </w:r>
            <w:r>
              <w:rPr>
                <w:rFonts w:hint="eastAsia" w:ascii="仿宋" w:hAnsi="仿宋" w:eastAsia="仿宋" w:cs="仿宋"/>
                <w:bCs/>
                <w:snapToGrid/>
                <w:color w:val="auto"/>
                <w:kern w:val="2"/>
                <w:sz w:val="24"/>
                <w:szCs w:val="24"/>
                <w:highlight w:val="none"/>
              </w:rPr>
              <w:t>=</w:t>
            </w:r>
            <w:r>
              <w:rPr>
                <w:rFonts w:hint="eastAsia" w:ascii="仿宋" w:hAnsi="仿宋" w:eastAsia="仿宋" w:cs="仿宋"/>
                <w:bCs/>
                <w:snapToGrid/>
                <w:color w:val="auto"/>
                <w:kern w:val="2"/>
                <w:sz w:val="24"/>
                <w:szCs w:val="24"/>
                <w:highlight w:val="none"/>
                <w:lang w:eastAsia="zh-CN"/>
              </w:rPr>
              <w:t>最后报价</w:t>
            </w:r>
            <w:r>
              <w:rPr>
                <w:rFonts w:hint="eastAsia" w:ascii="仿宋" w:hAnsi="仿宋" w:eastAsia="仿宋" w:cs="仿宋"/>
                <w:bCs/>
                <w:snapToGrid/>
                <w:color w:val="auto"/>
                <w:kern w:val="2"/>
                <w:sz w:val="24"/>
                <w:szCs w:val="24"/>
                <w:highlight w:val="none"/>
              </w:rPr>
              <w:t>。</w:t>
            </w:r>
          </w:p>
          <w:p w14:paraId="0ABD0579">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（3）满足磋商文件要求且评审价最低的评审价为评审基准价，基准价得分为10分。</w:t>
            </w:r>
          </w:p>
          <w:p w14:paraId="38FF98EF">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 xml:space="preserve">（4）价格分计算公式：        </w:t>
            </w:r>
          </w:p>
          <w:p w14:paraId="5FC5E9F9">
            <w:pPr>
              <w:pStyle w:val="4"/>
              <w:keepNext w:val="0"/>
              <w:keepLines w:val="0"/>
              <w:pageBreakBefore w:val="0"/>
              <w:wordWrap/>
              <w:overflowPunct/>
              <w:topLinePunct w:val="0"/>
              <w:bidi w:val="0"/>
              <w:spacing w:line="400" w:lineRule="exact"/>
              <w:ind w:left="479" w:leftChars="228" w:firstLine="0" w:firstLineChars="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价格分=(评审基准价／评审价)×10分</w:t>
            </w:r>
            <w:r>
              <w:rPr>
                <w:rFonts w:hint="eastAsia" w:ascii="仿宋" w:hAnsi="仿宋" w:eastAsia="仿宋" w:cs="仿宋"/>
                <w:bCs/>
                <w:snapToGrid/>
                <w:color w:val="auto"/>
                <w:kern w:val="2"/>
                <w:sz w:val="24"/>
                <w:szCs w:val="24"/>
                <w:highlight w:val="none"/>
                <w:lang w:val="en-US" w:eastAsia="zh-CN" w:bidi="ar-SA"/>
              </w:rPr>
              <w:br w:type="textWrapping"/>
            </w:r>
            <w:r>
              <w:rPr>
                <w:rFonts w:hint="eastAsia" w:ascii="仿宋" w:hAnsi="仿宋" w:eastAsia="仿宋" w:cs="仿宋"/>
                <w:bCs/>
                <w:snapToGrid/>
                <w:color w:val="auto"/>
                <w:kern w:val="2"/>
                <w:sz w:val="24"/>
                <w:szCs w:val="24"/>
                <w:highlight w:val="none"/>
                <w:lang w:val="en-US" w:eastAsia="zh-CN" w:bidi="ar-SA"/>
              </w:rPr>
              <w:t>（5）异常低价审查</w:t>
            </w:r>
          </w:p>
          <w:p w14:paraId="7178C01E">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评审中出现下列情形之一的，评标委员会应当启动异常低价投标审查程序：</w:t>
            </w:r>
          </w:p>
          <w:p w14:paraId="75B09FCF">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①投标报价低于全部通过符合性审查供应商投标报价平均值65%的，即投标报价&lt;全部通过符合性审查供应商投标报价平均值×65%；</w:t>
            </w:r>
          </w:p>
          <w:p w14:paraId="4EDB1CB1">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②投标报价低于通过符合性审查的次低报价供应商投标报价65%的，即投标报价&lt;通过符合性审查的次低报价供应商投标报价×65%；</w:t>
            </w:r>
          </w:p>
          <w:p w14:paraId="03C7B91A">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③投标报价低于所投标项目最高限价65%的，即投标报价&lt;所投标项最高限价×65%；</w:t>
            </w:r>
          </w:p>
          <w:p w14:paraId="7200F322">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④评标委员会基于专业判断，认为供应商报价过低，有可能影响产品质量或者不能诚信履约的其他情形。</w:t>
            </w:r>
          </w:p>
          <w:p w14:paraId="4A4175BE">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评标委员会启动异常低价投标审查后，属于前述第①项至第④项情形的，相关供应商应在收到评标委员会通知后的30分钟内对投标价格作出解释，提供项目具体成本测算等与报价合理性相关的书面说明及必要的证明材料，包括但不限于原材料成本、人工成本、制造费用等。其中，属于上述第③项的情形时，供应商已随投标文件一并提交相关书面说明及必要的证明材料的，可不再重复提交。</w:t>
            </w:r>
          </w:p>
          <w:p w14:paraId="023E9399">
            <w:pPr>
              <w:pStyle w:val="4"/>
              <w:keepNext w:val="0"/>
              <w:keepLines w:val="0"/>
              <w:pageBreakBefore w:val="0"/>
              <w:wordWrap/>
              <w:overflowPunct/>
              <w:topLinePunct w:val="0"/>
              <w:bidi w:val="0"/>
              <w:spacing w:line="400" w:lineRule="exact"/>
              <w:ind w:left="0" w:leftChars="0" w:firstLine="480" w:firstLineChars="2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192A67B">
            <w:pPr>
              <w:pStyle w:val="4"/>
              <w:ind w:left="0" w:leftChars="0" w:firstLine="0" w:firstLineChars="0"/>
              <w:rPr>
                <w:rFonts w:hint="eastAsia" w:ascii="仿宋" w:hAnsi="仿宋" w:eastAsia="仿宋" w:cs="仿宋"/>
                <w:color w:val="auto"/>
                <w:highlight w:val="none"/>
              </w:rPr>
            </w:pPr>
          </w:p>
        </w:tc>
        <w:tc>
          <w:tcPr>
            <w:tcW w:w="851" w:type="dxa"/>
            <w:vAlign w:val="center"/>
          </w:tcPr>
          <w:p w14:paraId="31D00F4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10</w:t>
            </w:r>
            <w:r>
              <w:rPr>
                <w:rFonts w:hint="eastAsia" w:ascii="仿宋" w:hAnsi="仿宋" w:eastAsia="仿宋" w:cs="仿宋"/>
                <w:snapToGrid/>
                <w:color w:val="auto"/>
                <w:kern w:val="0"/>
                <w:sz w:val="24"/>
                <w:szCs w:val="24"/>
                <w:highlight w:val="none"/>
                <w:lang w:eastAsia="zh-CN"/>
              </w:rPr>
              <w:t>分</w:t>
            </w:r>
          </w:p>
        </w:tc>
      </w:tr>
      <w:tr w14:paraId="4F6C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562233D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2</w:t>
            </w:r>
          </w:p>
        </w:tc>
        <w:tc>
          <w:tcPr>
            <w:tcW w:w="1405" w:type="dxa"/>
            <w:vAlign w:val="center"/>
          </w:tcPr>
          <w:p w14:paraId="7216358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技术分</w:t>
            </w:r>
          </w:p>
        </w:tc>
        <w:tc>
          <w:tcPr>
            <w:tcW w:w="6857" w:type="dxa"/>
            <w:gridSpan w:val="2"/>
          </w:tcPr>
          <w:p w14:paraId="6E83A3F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b/>
                <w:bCs w:val="0"/>
                <w:snapToGrid/>
                <w:color w:val="auto"/>
                <w:kern w:val="0"/>
                <w:sz w:val="24"/>
                <w:szCs w:val="24"/>
                <w:highlight w:val="none"/>
                <w:lang w:eastAsia="zh-CN"/>
              </w:rPr>
            </w:pPr>
            <w:r>
              <w:rPr>
                <w:rFonts w:hint="eastAsia" w:ascii="仿宋" w:hAnsi="仿宋" w:eastAsia="仿宋" w:cs="仿宋"/>
                <w:b/>
                <w:bCs w:val="0"/>
                <w:snapToGrid/>
                <w:color w:val="auto"/>
                <w:kern w:val="0"/>
                <w:sz w:val="24"/>
                <w:szCs w:val="24"/>
                <w:highlight w:val="none"/>
                <w:lang w:eastAsia="zh-CN"/>
              </w:rPr>
              <w:t>评审因素</w:t>
            </w:r>
          </w:p>
        </w:tc>
      </w:tr>
      <w:tr w14:paraId="449B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828" w:type="dxa"/>
            <w:vAlign w:val="center"/>
          </w:tcPr>
          <w:p w14:paraId="6D94FE0A">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2.1</w:t>
            </w:r>
          </w:p>
        </w:tc>
        <w:tc>
          <w:tcPr>
            <w:tcW w:w="1405" w:type="dxa"/>
            <w:vAlign w:val="center"/>
          </w:tcPr>
          <w:p w14:paraId="4B025E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color w:val="auto"/>
                <w:sz w:val="24"/>
                <w:szCs w:val="24"/>
                <w:highlight w:val="none"/>
              </w:rPr>
              <w:t>运维实施方案分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满分28分</w:t>
            </w:r>
            <w:r>
              <w:rPr>
                <w:rFonts w:hint="eastAsia" w:ascii="仿宋" w:hAnsi="仿宋" w:eastAsia="仿宋" w:cs="仿宋"/>
                <w:bCs/>
                <w:color w:val="auto"/>
                <w:sz w:val="24"/>
                <w:szCs w:val="24"/>
                <w:highlight w:val="none"/>
                <w:lang w:eastAsia="zh-CN"/>
              </w:rPr>
              <w:t>）</w:t>
            </w:r>
          </w:p>
        </w:tc>
        <w:tc>
          <w:tcPr>
            <w:tcW w:w="6006" w:type="dxa"/>
            <w:vAlign w:val="center"/>
          </w:tcPr>
          <w:p w14:paraId="75E970C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 xml:space="preserve"> 分）：运维实施方案可行性差、不可靠、不具体，对本项目了解程度一般，无应急预案。</w:t>
            </w:r>
          </w:p>
          <w:p w14:paraId="76AEDBF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w:t>
            </w:r>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 xml:space="preserve"> 分）：运维实施方案基本可行，措施较具体。方案中针对各污水处理设施、配套污水管网及提升泵站等运维措施较具体；设备故障处理方案可行性一般；开展运维工作所需的各项资源准备基本满足需求、作业流程较清晰；有基本的质量管控、保障措施，人员调度方法较合理，出现故障3小时内应急处置；应急预案方案较详细、较合理、可操作性一般。</w:t>
            </w:r>
          </w:p>
          <w:p w14:paraId="7CEA45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21</w:t>
            </w:r>
            <w:r>
              <w:rPr>
                <w:rFonts w:hint="eastAsia" w:ascii="仿宋" w:hAnsi="仿宋" w:eastAsia="仿宋" w:cs="仿宋"/>
                <w:bCs/>
                <w:color w:val="auto"/>
                <w:sz w:val="24"/>
                <w:szCs w:val="24"/>
                <w:highlight w:val="none"/>
              </w:rPr>
              <w:t xml:space="preserve"> 分）：运维实施方案可行、较先进、有一定的针对性，措施具体。方案中针对各黑臭水体及其污水处理设施、提升泵站等运维措施具体；设备故障处理方案具有一定针对性，可行性较好；开展运维工作所需的各项资源准备较充分、作业流程清晰；质量管控、保障措施较好，人员调度方法合理，出现故障2小时内应急处置；应急预案方案详细、合理、可操作性较好。</w:t>
            </w:r>
          </w:p>
          <w:p w14:paraId="2B94027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四挡（</w:t>
            </w:r>
            <w:r>
              <w:rPr>
                <w:rFonts w:hint="eastAsia" w:ascii="仿宋" w:hAnsi="仿宋" w:eastAsia="仿宋" w:cs="仿宋"/>
                <w:bCs/>
                <w:color w:val="auto"/>
                <w:sz w:val="24"/>
                <w:szCs w:val="24"/>
                <w:highlight w:val="none"/>
                <w:lang w:val="en-US" w:eastAsia="zh-CN"/>
              </w:rPr>
              <w:t>28</w:t>
            </w:r>
            <w:r>
              <w:rPr>
                <w:rFonts w:hint="eastAsia" w:ascii="仿宋" w:hAnsi="仿宋" w:eastAsia="仿宋" w:cs="仿宋"/>
                <w:bCs/>
                <w:color w:val="auto"/>
                <w:sz w:val="24"/>
                <w:szCs w:val="24"/>
                <w:highlight w:val="none"/>
              </w:rPr>
              <w:t>分）：运维实施方案可行、先进、针对性好，措施详细。方案中针对各各黑臭水体及其污水处理设施、提升泵站等运维措施详细；设备故障处理方案具有针对性，可行性好；开展运维工作所需的各项资源准备充分、作业流程清晰明确；质量管控、保障措施有力，人员调度方法科学，有利于全面开展工作，出现故障1小时内应急处置；应急预案方案详细、合理、可操作性强。</w:t>
            </w:r>
          </w:p>
        </w:tc>
        <w:tc>
          <w:tcPr>
            <w:tcW w:w="851" w:type="dxa"/>
            <w:vAlign w:val="center"/>
          </w:tcPr>
          <w:p w14:paraId="57BAB9D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28</w:t>
            </w:r>
            <w:r>
              <w:rPr>
                <w:rFonts w:hint="eastAsia" w:ascii="仿宋" w:hAnsi="仿宋" w:eastAsia="仿宋" w:cs="仿宋"/>
                <w:snapToGrid/>
                <w:color w:val="auto"/>
                <w:kern w:val="0"/>
                <w:sz w:val="24"/>
                <w:szCs w:val="24"/>
                <w:highlight w:val="none"/>
                <w:lang w:eastAsia="zh-CN"/>
              </w:rPr>
              <w:t>分</w:t>
            </w:r>
          </w:p>
        </w:tc>
      </w:tr>
      <w:tr w14:paraId="1520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5B556266">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kern w:val="0"/>
                <w:sz w:val="24"/>
                <w:szCs w:val="24"/>
                <w:highlight w:val="none"/>
                <w:lang w:val="en-US" w:eastAsia="zh-CN" w:bidi="ar-SA"/>
              </w:rPr>
            </w:pPr>
            <w:r>
              <w:rPr>
                <w:rFonts w:hint="eastAsia" w:ascii="仿宋" w:hAnsi="仿宋" w:eastAsia="仿宋" w:cs="仿宋"/>
                <w:bCs/>
                <w:snapToGrid/>
                <w:color w:val="auto"/>
                <w:sz w:val="24"/>
                <w:szCs w:val="24"/>
                <w:highlight w:val="none"/>
                <w:lang w:val="en-US" w:eastAsia="zh-CN"/>
              </w:rPr>
              <w:t>2.2</w:t>
            </w:r>
          </w:p>
        </w:tc>
        <w:tc>
          <w:tcPr>
            <w:tcW w:w="1405" w:type="dxa"/>
            <w:vAlign w:val="center"/>
          </w:tcPr>
          <w:p w14:paraId="0CE322BD">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各项管理规章制度及台账的建立与管理建立与管理方案分</w:t>
            </w: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u w:val="none"/>
                <w:lang w:val="en-US" w:eastAsia="zh-CN"/>
              </w:rPr>
              <w:t>21</w:t>
            </w:r>
            <w:r>
              <w:rPr>
                <w:rFonts w:hint="eastAsia" w:ascii="仿宋" w:hAnsi="仿宋" w:eastAsia="仿宋" w:cs="仿宋"/>
                <w:color w:val="auto"/>
                <w:sz w:val="24"/>
                <w:szCs w:val="24"/>
                <w:highlight w:val="none"/>
              </w:rPr>
              <w:t>分）</w:t>
            </w:r>
          </w:p>
        </w:tc>
        <w:tc>
          <w:tcPr>
            <w:tcW w:w="6006" w:type="dxa"/>
            <w:vAlign w:val="center"/>
          </w:tcPr>
          <w:p w14:paraId="22F96BE3">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人在响应文件中提供的各项管理规章制度及台账的建立与管理建立与管理方案主要内容包含但不限于：①各级管理制度、规章制度、考核制度；②台账记录具有交接班记录、设备运行台帐、设备维护维修台帐、污泥处理台帐、水质分析台帐、日常维护台帐、应急演练记录、安全教育培训记录等台帐；③信息上报管理制度。</w:t>
            </w:r>
          </w:p>
          <w:p w14:paraId="7F87EAFF">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一档（7 分）：各项管理规章制度及台账的建立与管理建立与管理方案一般，基本合理，可操作性一般。</w:t>
            </w:r>
          </w:p>
          <w:p w14:paraId="63E7EFA7">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二档（14分）：各项管理规章制度及台账的建立与管理方案较详细、较合理、可操作性较好。</w:t>
            </w:r>
          </w:p>
          <w:p w14:paraId="2D3D853C">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三档（21分）：各项管理规章制度及台账的建立与管理方案详细、合理、可操作性强、符合规范。</w:t>
            </w:r>
          </w:p>
        </w:tc>
        <w:tc>
          <w:tcPr>
            <w:tcW w:w="851" w:type="dxa"/>
            <w:vAlign w:val="center"/>
          </w:tcPr>
          <w:p w14:paraId="2D15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rPr>
              <w:t>21分</w:t>
            </w:r>
          </w:p>
        </w:tc>
      </w:tr>
      <w:tr w14:paraId="216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Align w:val="center"/>
          </w:tcPr>
          <w:p w14:paraId="261A92C1">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2.3</w:t>
            </w:r>
          </w:p>
        </w:tc>
        <w:tc>
          <w:tcPr>
            <w:tcW w:w="1405" w:type="dxa"/>
            <w:vAlign w:val="center"/>
          </w:tcPr>
          <w:p w14:paraId="75EA3E96">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bCs/>
                <w:snapToGrid/>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服务承诺分（满分</w:t>
            </w:r>
            <w:r>
              <w:rPr>
                <w:rFonts w:hint="eastAsia" w:ascii="仿宋" w:hAnsi="仿宋" w:eastAsia="仿宋" w:cs="仿宋"/>
                <w:color w:val="auto"/>
                <w:sz w:val="24"/>
                <w:szCs w:val="24"/>
                <w:highlight w:val="none"/>
                <w:u w:val="none"/>
                <w:lang w:val="en-US" w:eastAsia="zh-CN"/>
              </w:rPr>
              <w:t>21</w:t>
            </w:r>
            <w:r>
              <w:rPr>
                <w:rFonts w:hint="eastAsia" w:ascii="仿宋" w:hAnsi="仿宋" w:eastAsia="仿宋" w:cs="仿宋"/>
                <w:color w:val="auto"/>
                <w:sz w:val="24"/>
                <w:szCs w:val="24"/>
                <w:highlight w:val="none"/>
              </w:rPr>
              <w:t>分）</w:t>
            </w:r>
          </w:p>
        </w:tc>
        <w:tc>
          <w:tcPr>
            <w:tcW w:w="6006" w:type="dxa"/>
            <w:vAlign w:val="center"/>
          </w:tcPr>
          <w:p w14:paraId="784EFC7F">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一档（5分）：服务承诺各项内容基本响应运维服务采购需求，针对性较差，可行性较差。</w:t>
            </w:r>
          </w:p>
          <w:p w14:paraId="5A9CCE73">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二档（10分）：服务承诺基本满足采购需求，且有相关的服务措施和服务承诺，有人员安排方案，可行性一般。</w:t>
            </w:r>
          </w:p>
          <w:p w14:paraId="70350698">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三档（15分）：服务承诺较好满足采购需求，且有具体相关的服务措施和服务承诺，有明确的人员安排配备，比较合理、较有针对性。</w:t>
            </w:r>
          </w:p>
          <w:p w14:paraId="415947FF">
            <w:pPr>
              <w:keepNext w:val="0"/>
              <w:keepLines w:val="0"/>
              <w:pageBreakBefore w:val="0"/>
              <w:widowControl/>
              <w:shd w:val="clear" w:color="auto" w:fill="auto"/>
              <w:tabs>
                <w:tab w:val="left" w:pos="1160"/>
              </w:tabs>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四档（21分）：服务承诺各项内容全部响应运维服务采购需求，服务承诺中的运维服务内容、运维管理服务措施、人员配备安排及设备配置方案承诺具体明确，承诺服务更优且科学合理，有针对性和合理化建议，可行性较强。</w:t>
            </w:r>
          </w:p>
        </w:tc>
        <w:tc>
          <w:tcPr>
            <w:tcW w:w="851" w:type="dxa"/>
            <w:vAlign w:val="center"/>
          </w:tcPr>
          <w:p w14:paraId="5388C5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val="en-US" w:eastAsia="zh-CN"/>
              </w:rPr>
              <w:t>21</w:t>
            </w:r>
            <w:r>
              <w:rPr>
                <w:rFonts w:hint="eastAsia" w:ascii="仿宋" w:hAnsi="仿宋" w:eastAsia="仿宋" w:cs="仿宋"/>
                <w:snapToGrid/>
                <w:color w:val="auto"/>
                <w:kern w:val="0"/>
                <w:sz w:val="24"/>
                <w:szCs w:val="24"/>
                <w:highlight w:val="none"/>
                <w:lang w:eastAsia="zh-CN"/>
              </w:rPr>
              <w:t>分</w:t>
            </w:r>
          </w:p>
        </w:tc>
      </w:tr>
      <w:tr w14:paraId="50D4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49585E14">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3</w:t>
            </w:r>
          </w:p>
        </w:tc>
        <w:tc>
          <w:tcPr>
            <w:tcW w:w="1405" w:type="dxa"/>
            <w:vAlign w:val="center"/>
          </w:tcPr>
          <w:p w14:paraId="6957D852">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商务分</w:t>
            </w:r>
          </w:p>
        </w:tc>
        <w:tc>
          <w:tcPr>
            <w:tcW w:w="6857" w:type="dxa"/>
            <w:gridSpan w:val="2"/>
            <w:vAlign w:val="center"/>
          </w:tcPr>
          <w:p w14:paraId="14A0C6A3">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评审因素</w:t>
            </w:r>
          </w:p>
        </w:tc>
      </w:tr>
      <w:tr w14:paraId="7AEC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828" w:type="dxa"/>
            <w:vAlign w:val="center"/>
          </w:tcPr>
          <w:p w14:paraId="60414497">
            <w:pPr>
              <w:pStyle w:val="13"/>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3.1</w:t>
            </w:r>
          </w:p>
        </w:tc>
        <w:tc>
          <w:tcPr>
            <w:tcW w:w="1405" w:type="dxa"/>
            <w:vAlign w:val="center"/>
          </w:tcPr>
          <w:p w14:paraId="1E3046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color w:val="auto"/>
                <w:sz w:val="24"/>
                <w:szCs w:val="24"/>
                <w:highlight w:val="none"/>
                <w:lang w:eastAsia="zh-CN"/>
              </w:rPr>
              <w:t>履约能力保障分</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满分12</w:t>
            </w:r>
            <w:r>
              <w:rPr>
                <w:rFonts w:hint="eastAsia" w:ascii="仿宋" w:hAnsi="仿宋" w:eastAsia="仿宋" w:cs="仿宋"/>
                <w:bCs/>
                <w:color w:val="auto"/>
                <w:sz w:val="24"/>
                <w:szCs w:val="24"/>
                <w:highlight w:val="none"/>
              </w:rPr>
              <w:t>分）</w:t>
            </w:r>
          </w:p>
        </w:tc>
        <w:tc>
          <w:tcPr>
            <w:tcW w:w="6006" w:type="dxa"/>
            <w:vAlign w:val="center"/>
          </w:tcPr>
          <w:p w14:paraId="4FEA80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①拟投入项目的技术负责人为环境专业工程师或以上职称的得6分，为助理工程师职称的得3分，此项满分6分。</w:t>
            </w:r>
          </w:p>
          <w:p w14:paraId="2ABE00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②拟投入项目的专业技术人员（除技术负责人以外）具有</w:t>
            </w:r>
            <w:r>
              <w:rPr>
                <w:rFonts w:hint="eastAsia" w:ascii="仿宋" w:hAnsi="仿宋" w:eastAsia="仿宋" w:cs="仿宋"/>
                <w:bCs/>
                <w:color w:val="auto"/>
                <w:sz w:val="24"/>
                <w:szCs w:val="24"/>
                <w:highlight w:val="none"/>
                <w:lang w:val="en-US" w:eastAsia="zh-CN"/>
              </w:rPr>
              <w:t>中级</w:t>
            </w:r>
            <w:r>
              <w:rPr>
                <w:rFonts w:hint="eastAsia" w:ascii="仿宋" w:hAnsi="仿宋" w:eastAsia="仿宋" w:cs="仿宋"/>
                <w:bCs/>
                <w:color w:val="auto"/>
                <w:sz w:val="24"/>
                <w:szCs w:val="24"/>
                <w:highlight w:val="none"/>
                <w:lang w:eastAsia="zh-CN"/>
              </w:rPr>
              <w:t>工程师或以上职称的，每人得</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分；具有助理工程师职称的，每人得1分；此项满分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分。</w:t>
            </w:r>
          </w:p>
          <w:p w14:paraId="3C3007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③拟投入项目的机电维修人员具有有效的电工证的，每人得</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分，此项满分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分。</w:t>
            </w:r>
          </w:p>
          <w:p w14:paraId="349CEE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color w:val="auto"/>
                <w:sz w:val="24"/>
                <w:szCs w:val="24"/>
                <w:highlight w:val="none"/>
                <w:lang w:eastAsia="zh-CN"/>
              </w:rPr>
              <w:t>注：须提供以上拟投入人员相关</w:t>
            </w:r>
            <w:r>
              <w:rPr>
                <w:rFonts w:hint="eastAsia" w:ascii="仿宋" w:hAnsi="仿宋" w:eastAsia="仿宋" w:cs="仿宋"/>
                <w:bCs/>
                <w:color w:val="auto"/>
                <w:sz w:val="24"/>
                <w:szCs w:val="24"/>
                <w:highlight w:val="none"/>
                <w:lang w:val="en-US" w:eastAsia="zh-CN"/>
              </w:rPr>
              <w:t>的证书、社保证明或劳动合同；同一个岗位不能多人兼任</w:t>
            </w:r>
            <w:r>
              <w:rPr>
                <w:rFonts w:hint="eastAsia" w:ascii="仿宋" w:hAnsi="仿宋" w:eastAsia="仿宋" w:cs="仿宋"/>
                <w:bCs/>
                <w:color w:val="auto"/>
                <w:sz w:val="24"/>
                <w:szCs w:val="24"/>
                <w:highlight w:val="none"/>
                <w:lang w:eastAsia="zh-CN"/>
              </w:rPr>
              <w:t>。</w:t>
            </w:r>
          </w:p>
        </w:tc>
        <w:tc>
          <w:tcPr>
            <w:tcW w:w="851" w:type="dxa"/>
            <w:vAlign w:val="center"/>
          </w:tcPr>
          <w:p w14:paraId="02E11ED6">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val="en-US" w:eastAsia="zh-CN"/>
              </w:rPr>
              <w:t>12</w:t>
            </w:r>
            <w:r>
              <w:rPr>
                <w:rFonts w:hint="eastAsia" w:ascii="仿宋" w:hAnsi="仿宋" w:eastAsia="仿宋" w:cs="仿宋"/>
                <w:snapToGrid/>
                <w:color w:val="auto"/>
                <w:kern w:val="0"/>
                <w:sz w:val="24"/>
                <w:szCs w:val="24"/>
                <w:highlight w:val="none"/>
                <w:lang w:eastAsia="zh-CN"/>
              </w:rPr>
              <w:t>分</w:t>
            </w:r>
          </w:p>
        </w:tc>
      </w:tr>
      <w:tr w14:paraId="3A3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8" w:type="dxa"/>
            <w:vAlign w:val="center"/>
          </w:tcPr>
          <w:p w14:paraId="0BE5F246">
            <w:pPr>
              <w:pStyle w:val="13"/>
              <w:keepNext w:val="0"/>
              <w:keepLines w:val="0"/>
              <w:pageBreakBefore w:val="0"/>
              <w:kinsoku/>
              <w:wordWrap/>
              <w:overflowPunct/>
              <w:topLinePunct w:val="0"/>
              <w:autoSpaceDE/>
              <w:autoSpaceDN/>
              <w:bidi w:val="0"/>
              <w:adjustRightInd/>
              <w:snapToGrid/>
              <w:spacing w:beforeAutospacing="0" w:afterAutospacing="0" w:line="400" w:lineRule="exact"/>
              <w:ind w:right="0" w:rightChars="0" w:firstLine="240" w:firstLineChars="100"/>
              <w:jc w:val="both"/>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3.2</w:t>
            </w:r>
          </w:p>
        </w:tc>
        <w:tc>
          <w:tcPr>
            <w:tcW w:w="1405" w:type="dxa"/>
            <w:vAlign w:val="center"/>
          </w:tcPr>
          <w:p w14:paraId="677AED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color w:val="auto"/>
                <w:sz w:val="24"/>
                <w:szCs w:val="24"/>
                <w:highlight w:val="none"/>
              </w:rPr>
              <w:t>业绩分（满分</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tc>
        <w:tc>
          <w:tcPr>
            <w:tcW w:w="6006" w:type="dxa"/>
            <w:vAlign w:val="center"/>
          </w:tcPr>
          <w:p w14:paraId="1615E8D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供应商自202</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1月1日</w:t>
            </w:r>
            <w:r>
              <w:rPr>
                <w:rFonts w:hint="eastAsia" w:ascii="仿宋" w:hAnsi="仿宋" w:eastAsia="仿宋" w:cs="仿宋"/>
                <w:bCs/>
                <w:color w:val="auto"/>
                <w:sz w:val="24"/>
                <w:szCs w:val="24"/>
                <w:highlight w:val="none"/>
              </w:rPr>
              <w:t>以来，完成过或承接过同类项目</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污水处理类或污水处理运营类</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业绩的，每个业绩得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分。</w:t>
            </w:r>
          </w:p>
          <w:p w14:paraId="2603805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Cs/>
                <w:snapToGrid/>
                <w:color w:val="auto"/>
                <w:sz w:val="24"/>
                <w:szCs w:val="24"/>
                <w:highlight w:val="none"/>
              </w:rPr>
            </w:pPr>
            <w:r>
              <w:rPr>
                <w:rFonts w:hint="eastAsia" w:ascii="仿宋" w:hAnsi="仿宋" w:eastAsia="仿宋" w:cs="仿宋"/>
                <w:bCs/>
                <w:color w:val="auto"/>
                <w:sz w:val="24"/>
                <w:szCs w:val="24"/>
                <w:highlight w:val="none"/>
              </w:rPr>
              <w:t>注：投标人须在投标文件中提供合同复印件加盖电子印章，不提供的不得分。</w:t>
            </w:r>
          </w:p>
        </w:tc>
        <w:tc>
          <w:tcPr>
            <w:tcW w:w="851" w:type="dxa"/>
            <w:vAlign w:val="center"/>
          </w:tcPr>
          <w:p w14:paraId="186D2890">
            <w:pPr>
              <w:pStyle w:val="13"/>
              <w:keepNext w:val="0"/>
              <w:keepLines w:val="0"/>
              <w:pageBreakBefore w:val="0"/>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仿宋" w:hAnsi="仿宋" w:eastAsia="仿宋" w:cs="仿宋"/>
                <w:bCs/>
                <w:snapToGrid/>
                <w:color w:val="auto"/>
                <w:sz w:val="24"/>
                <w:szCs w:val="24"/>
                <w:highlight w:val="none"/>
                <w:lang w:val="en-US" w:eastAsia="zh-CN"/>
              </w:rPr>
            </w:pPr>
            <w:r>
              <w:rPr>
                <w:rFonts w:hint="eastAsia" w:ascii="仿宋" w:hAnsi="仿宋" w:eastAsia="仿宋" w:cs="仿宋"/>
                <w:bCs/>
                <w:snapToGrid/>
                <w:color w:val="auto"/>
                <w:sz w:val="24"/>
                <w:szCs w:val="24"/>
                <w:highlight w:val="none"/>
                <w:lang w:val="en-US" w:eastAsia="zh-CN"/>
              </w:rPr>
              <w:t>8分</w:t>
            </w:r>
          </w:p>
        </w:tc>
      </w:tr>
    </w:tbl>
    <w:p w14:paraId="2BE622D1">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sectPr>
          <w:footerReference r:id="rId10" w:type="default"/>
          <w:pgSz w:w="11910" w:h="16830"/>
          <w:pgMar w:top="1124" w:right="875" w:bottom="1101" w:left="865" w:header="0" w:footer="957" w:gutter="0"/>
          <w:pgNumType w:fmt="decimal"/>
          <w:cols w:space="720" w:num="1"/>
        </w:sectPr>
      </w:pPr>
    </w:p>
    <w:p w14:paraId="4B5B8ED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724"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21"/>
          <w:sz w:val="32"/>
          <w:szCs w:val="32"/>
          <w:highlight w:val="none"/>
        </w:rPr>
        <w:t>第二节评审报告</w:t>
      </w:r>
    </w:p>
    <w:p w14:paraId="588AD2B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0"/>
          <w:sz w:val="21"/>
          <w:szCs w:val="21"/>
          <w:highlight w:val="none"/>
        </w:rPr>
        <w:t>1.成交标准</w:t>
      </w:r>
    </w:p>
    <w:p w14:paraId="6E96CA0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both"/>
        <w:textAlignment w:val="baseline"/>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磋商小组根据综合评分情况，按照评审得分由高到低顺序推荐3名以上成交候选供应商</w:t>
      </w:r>
      <w:r>
        <w:rPr>
          <w:rFonts w:hint="eastAsia"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rPr>
        <w:t>并编写评审报告。</w:t>
      </w:r>
      <w:r>
        <w:rPr>
          <w:rFonts w:hint="eastAsia" w:ascii="仿宋" w:hAnsi="仿宋" w:eastAsia="仿宋" w:cs="仿宋"/>
          <w:color w:val="auto"/>
          <w:kern w:val="0"/>
          <w:szCs w:val="21"/>
          <w:highlight w:val="none"/>
        </w:rPr>
        <w:t>符合本章第</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.3条情形的</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 w:val="21"/>
          <w:szCs w:val="21"/>
          <w:highlight w:val="none"/>
        </w:rPr>
        <w:t>可以推荐2家成交候选供应商。评审得分相同的，按照最后报价由低到高的顺序推荐</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spacing w:val="9"/>
          <w:sz w:val="21"/>
          <w:szCs w:val="21"/>
          <w:highlight w:val="none"/>
        </w:rPr>
        <w:t>评审得分且最后报价(不计算价格折扣)相同的，</w:t>
      </w:r>
      <w:r>
        <w:rPr>
          <w:rFonts w:hint="eastAsia" w:ascii="仿宋" w:hAnsi="仿宋" w:eastAsia="仿宋" w:cs="仿宋"/>
          <w:color w:val="auto"/>
          <w:spacing w:val="2"/>
          <w:sz w:val="21"/>
          <w:szCs w:val="21"/>
          <w:highlight w:val="none"/>
        </w:rPr>
        <w:t>按照技术指标优劣顺序推荐(按技术分得分由高到低排序，技术分得分相同的按</w:t>
      </w:r>
      <w:r>
        <w:rPr>
          <w:rFonts w:hint="eastAsia" w:ascii="仿宋" w:hAnsi="仿宋" w:eastAsia="仿宋" w:cs="仿宋"/>
          <w:color w:val="auto"/>
          <w:spacing w:val="1"/>
          <w:sz w:val="21"/>
          <w:szCs w:val="21"/>
          <w:highlight w:val="none"/>
        </w:rPr>
        <w:t>照项目实施方案得分</w:t>
      </w:r>
      <w:r>
        <w:rPr>
          <w:rFonts w:hint="eastAsia" w:ascii="仿宋" w:hAnsi="仿宋" w:eastAsia="仿宋" w:cs="仿宋"/>
          <w:color w:val="auto"/>
          <w:spacing w:val="7"/>
          <w:sz w:val="21"/>
          <w:szCs w:val="21"/>
          <w:highlight w:val="none"/>
        </w:rPr>
        <w:t>由高到低排序)。评审得分、最后报价(不计算价格折</w:t>
      </w:r>
      <w:r>
        <w:rPr>
          <w:rFonts w:hint="eastAsia" w:ascii="仿宋" w:hAnsi="仿宋" w:eastAsia="仿宋" w:cs="仿宋"/>
          <w:color w:val="auto"/>
          <w:spacing w:val="6"/>
          <w:sz w:val="21"/>
          <w:szCs w:val="21"/>
          <w:highlight w:val="none"/>
        </w:rPr>
        <w:t>扣)、技术分得分、项目实施方案分得分均相</w:t>
      </w:r>
      <w:r>
        <w:rPr>
          <w:rFonts w:hint="eastAsia" w:ascii="仿宋" w:hAnsi="仿宋" w:eastAsia="仿宋" w:cs="仿宋"/>
          <w:color w:val="auto"/>
          <w:spacing w:val="-1"/>
          <w:sz w:val="21"/>
          <w:szCs w:val="21"/>
          <w:highlight w:val="none"/>
        </w:rPr>
        <w:t>同的，由磋商小组随机抽取推荐。</w:t>
      </w:r>
    </w:p>
    <w:p w14:paraId="5D846FD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22"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b/>
          <w:bCs/>
          <w:color w:val="auto"/>
          <w:spacing w:val="25"/>
          <w:sz w:val="21"/>
          <w:szCs w:val="21"/>
          <w:highlight w:val="none"/>
        </w:rPr>
        <w:t>2.</w:t>
      </w:r>
      <w:r>
        <w:rPr>
          <w:rFonts w:hint="eastAsia" w:ascii="仿宋" w:hAnsi="仿宋" w:eastAsia="仿宋" w:cs="仿宋"/>
          <w:b/>
          <w:bCs/>
          <w:color w:val="auto"/>
          <w:spacing w:val="20"/>
          <w:sz w:val="21"/>
          <w:szCs w:val="21"/>
          <w:highlight w:val="none"/>
        </w:rPr>
        <w:t>评标争议事项处理</w:t>
      </w:r>
    </w:p>
    <w:p w14:paraId="7FFE678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磋商小组成员对需要共同认定的事项存在争议的，应当按照少数服从多数的原则</w:t>
      </w:r>
      <w:r>
        <w:rPr>
          <w:rFonts w:hint="eastAsia" w:ascii="仿宋" w:hAnsi="仿宋" w:eastAsia="仿宋" w:cs="仿宋"/>
          <w:color w:val="auto"/>
          <w:spacing w:val="-1"/>
          <w:sz w:val="21"/>
          <w:szCs w:val="21"/>
          <w:highlight w:val="none"/>
        </w:rPr>
        <w:t>作出结论。持不同意</w:t>
      </w:r>
      <w:r>
        <w:rPr>
          <w:rFonts w:hint="eastAsia" w:ascii="仿宋" w:hAnsi="仿宋" w:eastAsia="仿宋" w:cs="仿宋"/>
          <w:color w:val="auto"/>
          <w:sz w:val="21"/>
          <w:szCs w:val="21"/>
          <w:highlight w:val="none"/>
        </w:rPr>
        <w:t xml:space="preserve"> 见的磋商小组成员应当在评审报告上签署不同意见及理由，否则视为同意评审报告。</w:t>
      </w:r>
    </w:p>
    <w:p w14:paraId="5C0EC840">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4F77F5A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684" w:firstLineChars="200"/>
        <w:jc w:val="center"/>
        <w:textAlignment w:val="baseline"/>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第三节评审过程的保密与录像</w:t>
      </w:r>
    </w:p>
    <w:p w14:paraId="394F498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08" w:firstLineChars="200"/>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1.保</w:t>
      </w:r>
      <w:r>
        <w:rPr>
          <w:rFonts w:hint="eastAsia" w:ascii="仿宋" w:hAnsi="仿宋" w:eastAsia="仿宋" w:cs="仿宋"/>
          <w:color w:val="auto"/>
          <w:spacing w:val="-33"/>
          <w:sz w:val="21"/>
          <w:szCs w:val="21"/>
          <w:highlight w:val="none"/>
        </w:rPr>
        <w:t xml:space="preserve"> </w:t>
      </w:r>
      <w:r>
        <w:rPr>
          <w:rFonts w:hint="eastAsia" w:ascii="仿宋" w:hAnsi="仿宋" w:eastAsia="仿宋" w:cs="仿宋"/>
          <w:color w:val="auto"/>
          <w:spacing w:val="-3"/>
          <w:sz w:val="21"/>
          <w:szCs w:val="21"/>
          <w:highlight w:val="none"/>
        </w:rPr>
        <w:t>密</w:t>
      </w:r>
    </w:p>
    <w:p w14:paraId="53F3B3B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评审活动在严格保密的情况下进行。评审过程中凡是与响应文件评审和比较、中</w:t>
      </w:r>
      <w:r>
        <w:rPr>
          <w:rFonts w:hint="eastAsia" w:ascii="仿宋" w:hAnsi="仿宋" w:eastAsia="仿宋" w:cs="仿宋"/>
          <w:color w:val="auto"/>
          <w:spacing w:val="-1"/>
          <w:sz w:val="21"/>
          <w:szCs w:val="21"/>
          <w:highlight w:val="none"/>
        </w:rPr>
        <w:t>标成交供应商推荐等</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3"/>
          <w:sz w:val="21"/>
          <w:szCs w:val="21"/>
          <w:highlight w:val="none"/>
        </w:rPr>
        <w:t>评审有关的情况，以及涉及国家秘密和商业秘密等信息，磋商小组成员、采购人和采购代理机构工作人员、</w:t>
      </w:r>
      <w:r>
        <w:rPr>
          <w:rFonts w:hint="eastAsia" w:ascii="仿宋" w:hAnsi="仿宋" w:eastAsia="仿宋" w:cs="仿宋"/>
          <w:color w:val="auto"/>
          <w:spacing w:val="-1"/>
          <w:sz w:val="21"/>
          <w:szCs w:val="21"/>
          <w:highlight w:val="none"/>
        </w:rPr>
        <w:t>相关监督人员等与评审有关的人员应当予以保密。</w:t>
      </w:r>
    </w:p>
    <w:p w14:paraId="6A7B02C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08"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22"/>
          <w:sz w:val="21"/>
          <w:szCs w:val="21"/>
          <w:highlight w:val="none"/>
        </w:rPr>
        <w:t>2.录音录像</w:t>
      </w:r>
    </w:p>
    <w:p w14:paraId="38D1EBE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采购代理机构对评审工作现场及操作屏幕进行全过程录音录像，录音录像资料作为</w:t>
      </w:r>
      <w:r>
        <w:rPr>
          <w:rFonts w:hint="eastAsia" w:ascii="仿宋" w:hAnsi="仿宋" w:eastAsia="仿宋" w:cs="仿宋"/>
          <w:color w:val="auto"/>
          <w:spacing w:val="-1"/>
          <w:sz w:val="21"/>
          <w:szCs w:val="21"/>
          <w:highlight w:val="none"/>
        </w:rPr>
        <w:t>采购项目文件随其</w:t>
      </w:r>
      <w:r>
        <w:rPr>
          <w:rFonts w:hint="eastAsia" w:ascii="仿宋" w:hAnsi="仿宋" w:eastAsia="仿宋" w:cs="仿宋"/>
          <w:color w:val="auto"/>
          <w:sz w:val="21"/>
          <w:szCs w:val="21"/>
          <w:highlight w:val="none"/>
        </w:rPr>
        <w:t xml:space="preserve"> 他文件一并存档。</w:t>
      </w:r>
    </w:p>
    <w:p w14:paraId="3A246293">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textAlignment w:val="baseline"/>
        <w:rPr>
          <w:rFonts w:hint="eastAsia" w:ascii="仿宋" w:hAnsi="仿宋" w:eastAsia="仿宋" w:cs="仿宋"/>
          <w:color w:val="auto"/>
          <w:highlight w:val="none"/>
        </w:rPr>
        <w:sectPr>
          <w:footerReference r:id="rId11" w:type="default"/>
          <w:pgSz w:w="11910" w:h="16830"/>
          <w:pgMar w:top="1430" w:right="1786" w:bottom="1101" w:left="1786" w:header="0" w:footer="957" w:gutter="0"/>
          <w:pgNumType w:fmt="decimal"/>
          <w:cols w:space="720" w:num="1"/>
        </w:sectPr>
      </w:pPr>
    </w:p>
    <w:p w14:paraId="70A7804D">
      <w:pPr>
        <w:pStyle w:val="9"/>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20" w:firstLineChars="200"/>
        <w:jc w:val="center"/>
        <w:textAlignment w:val="baseline"/>
        <w:rPr>
          <w:rFonts w:hint="eastAsia" w:ascii="仿宋" w:hAnsi="仿宋" w:eastAsia="仿宋" w:cs="仿宋"/>
          <w:color w:val="auto"/>
          <w:highlight w:val="none"/>
        </w:rPr>
      </w:pPr>
    </w:p>
    <w:p w14:paraId="04A7D28E">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947" w:firstLineChars="200"/>
        <w:jc w:val="center"/>
        <w:textAlignment w:val="baseline"/>
        <w:outlineLvl w:val="0"/>
        <w:rPr>
          <w:rFonts w:hint="eastAsia" w:ascii="仿宋" w:hAnsi="仿宋" w:eastAsia="仿宋" w:cs="仿宋"/>
          <w:color w:val="auto"/>
          <w:sz w:val="44"/>
          <w:szCs w:val="44"/>
          <w:highlight w:val="none"/>
        </w:rPr>
      </w:pPr>
      <w:bookmarkStart w:id="54" w:name="_Toc22532"/>
      <w:r>
        <w:rPr>
          <w:rFonts w:hint="eastAsia" w:ascii="仿宋" w:hAnsi="仿宋" w:eastAsia="仿宋" w:cs="仿宋"/>
          <w:b/>
          <w:bCs/>
          <w:color w:val="auto"/>
          <w:spacing w:val="16"/>
          <w:sz w:val="44"/>
          <w:szCs w:val="44"/>
          <w:highlight w:val="none"/>
        </w:rPr>
        <w:t>第五章响应文件格式</w:t>
      </w:r>
      <w:bookmarkEnd w:id="54"/>
    </w:p>
    <w:p w14:paraId="7653BDF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880" w:firstLineChars="200"/>
        <w:textAlignment w:val="baseline"/>
        <w:rPr>
          <w:rFonts w:hint="eastAsia" w:ascii="仿宋" w:hAnsi="仿宋" w:eastAsia="仿宋" w:cs="仿宋"/>
          <w:color w:val="auto"/>
          <w:sz w:val="44"/>
          <w:szCs w:val="44"/>
          <w:highlight w:val="none"/>
        </w:rPr>
        <w:sectPr>
          <w:pgSz w:w="11910" w:h="16830"/>
          <w:pgMar w:top="1430" w:right="1786" w:bottom="1101" w:left="1786" w:header="0" w:footer="957" w:gutter="0"/>
          <w:pgNumType w:fmt="decimal"/>
          <w:cols w:space="720" w:num="1"/>
        </w:sectPr>
      </w:pPr>
    </w:p>
    <w:p w14:paraId="4D14B281">
      <w:pPr>
        <w:widowControl w:val="0"/>
        <w:shd w:val="clear" w:color="auto" w:fill="auto"/>
        <w:kinsoku/>
        <w:autoSpaceDE/>
        <w:autoSpaceDN/>
        <w:adjustRightInd/>
        <w:snapToGrid/>
        <w:spacing w:line="240" w:lineRule="atLeast"/>
        <w:jc w:val="both"/>
        <w:textAlignment w:val="auto"/>
        <w:outlineLvl w:val="1"/>
        <w:rPr>
          <w:rFonts w:hint="eastAsia" w:ascii="仿宋" w:hAnsi="仿宋" w:eastAsia="仿宋" w:cs="仿宋"/>
          <w:b/>
          <w:snapToGrid/>
          <w:color w:val="auto"/>
          <w:kern w:val="2"/>
          <w:sz w:val="28"/>
          <w:szCs w:val="28"/>
          <w:highlight w:val="none"/>
          <w:lang w:eastAsia="zh-CN"/>
        </w:rPr>
      </w:pPr>
      <w:bookmarkStart w:id="55" w:name="_Toc20536"/>
      <w:bookmarkStart w:id="56" w:name="_Toc21864"/>
      <w:bookmarkStart w:id="57" w:name="_Toc24462"/>
      <w:r>
        <w:rPr>
          <w:rFonts w:hint="eastAsia" w:ascii="仿宋" w:hAnsi="仿宋" w:eastAsia="仿宋" w:cs="仿宋"/>
          <w:b/>
          <w:snapToGrid/>
          <w:color w:val="auto"/>
          <w:kern w:val="2"/>
          <w:sz w:val="28"/>
          <w:szCs w:val="28"/>
          <w:highlight w:val="none"/>
          <w:lang w:eastAsia="zh-CN"/>
        </w:rPr>
        <w:t>一、资格文件格式</w:t>
      </w:r>
      <w:bookmarkEnd w:id="55"/>
      <w:bookmarkEnd w:id="56"/>
      <w:bookmarkEnd w:id="57"/>
    </w:p>
    <w:p w14:paraId="7D5FB679">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58" w:name="_Toc12859"/>
      <w:bookmarkStart w:id="59" w:name="_Toc22945"/>
      <w:bookmarkStart w:id="60" w:name="_Toc27008"/>
      <w:r>
        <w:rPr>
          <w:rFonts w:hint="eastAsia" w:ascii="仿宋" w:hAnsi="仿宋" w:eastAsia="仿宋" w:cs="仿宋"/>
          <w:b/>
          <w:snapToGrid/>
          <w:color w:val="auto"/>
          <w:kern w:val="2"/>
          <w:sz w:val="24"/>
          <w:szCs w:val="24"/>
          <w:highlight w:val="none"/>
          <w:lang w:eastAsia="zh-CN"/>
        </w:rPr>
        <w:t>1.资格证明文件封面格式：</w:t>
      </w:r>
      <w:bookmarkEnd w:id="58"/>
      <w:bookmarkEnd w:id="59"/>
      <w:bookmarkEnd w:id="60"/>
      <w:r>
        <w:rPr>
          <w:rFonts w:hint="eastAsia" w:ascii="仿宋" w:hAnsi="仿宋" w:eastAsia="仿宋" w:cs="仿宋"/>
          <w:b/>
          <w:snapToGrid/>
          <w:color w:val="auto"/>
          <w:kern w:val="2"/>
          <w:sz w:val="24"/>
          <w:szCs w:val="24"/>
          <w:highlight w:val="none"/>
          <w:lang w:eastAsia="zh-CN"/>
        </w:rPr>
        <w:t xml:space="preserve"> </w:t>
      </w:r>
    </w:p>
    <w:p w14:paraId="3630CE1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p>
    <w:p w14:paraId="7D77AEFB">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7DFBF874">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snapToGrid/>
          <w:color w:val="auto"/>
          <w:kern w:val="2"/>
          <w:sz w:val="24"/>
          <w:szCs w:val="20"/>
          <w:highlight w:val="none"/>
          <w:lang w:eastAsia="zh-CN"/>
        </w:rPr>
      </w:pPr>
    </w:p>
    <w:p w14:paraId="2AA8C34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资  格  文  件</w:t>
      </w:r>
    </w:p>
    <w:p w14:paraId="67A3B936">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6AFEEA4C">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1A94EB4F">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7FB0AEC8">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43F84149">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6828BBEA">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25DB7397">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17F64962">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66ED1423">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r>
        <w:rPr>
          <w:rFonts w:hint="eastAsia" w:ascii="仿宋" w:hAnsi="仿宋" w:eastAsia="仿宋" w:cs="仿宋"/>
          <w:bCs/>
          <w:snapToGrid/>
          <w:color w:val="auto"/>
          <w:kern w:val="2"/>
          <w:sz w:val="32"/>
          <w:szCs w:val="32"/>
          <w:highlight w:val="none"/>
          <w:lang w:val="en-US" w:eastAsia="zh-CN" w:bidi="ar-SA"/>
        </w:rPr>
        <w:t>供应商名称：</w:t>
      </w:r>
    </w:p>
    <w:p w14:paraId="169A39D7">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2360D935">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00690769">
      <w:pPr>
        <w:widowControl w:val="0"/>
        <w:shd w:val="clear" w:color="auto" w:fill="auto"/>
        <w:kinsoku/>
        <w:autoSpaceDE/>
        <w:autoSpaceDN/>
        <w:adjustRightInd/>
        <w:snapToGrid w:val="0"/>
        <w:spacing w:before="50" w:after="50" w:line="240" w:lineRule="auto"/>
        <w:ind w:firstLine="1280" w:firstLineChars="400"/>
        <w:jc w:val="both"/>
        <w:textAlignment w:val="auto"/>
        <w:rPr>
          <w:rFonts w:hint="eastAsia" w:ascii="仿宋" w:hAnsi="仿宋" w:eastAsia="仿宋" w:cs="仿宋"/>
          <w:bCs/>
          <w:snapToGrid/>
          <w:color w:val="auto"/>
          <w:kern w:val="2"/>
          <w:sz w:val="32"/>
          <w:szCs w:val="32"/>
          <w:highlight w:val="none"/>
          <w:lang w:val="en-US" w:eastAsia="zh-CN" w:bidi="ar-SA"/>
        </w:rPr>
      </w:pPr>
    </w:p>
    <w:p w14:paraId="36605BAC">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年    月    日</w:t>
      </w:r>
    </w:p>
    <w:p w14:paraId="4865E4F7">
      <w:pPr>
        <w:widowControl w:val="0"/>
        <w:kinsoku/>
        <w:autoSpaceDE/>
        <w:autoSpaceDN/>
        <w:adjustRightInd/>
        <w:snapToGrid/>
        <w:spacing w:line="240" w:lineRule="auto"/>
        <w:jc w:val="both"/>
        <w:textAlignment w:val="auto"/>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p>
    <w:p w14:paraId="095D93C2">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61" w:name="_Toc22249"/>
      <w:bookmarkStart w:id="62" w:name="_Toc9625"/>
      <w:bookmarkStart w:id="63" w:name="_Toc12909"/>
      <w:r>
        <w:rPr>
          <w:rFonts w:hint="eastAsia" w:ascii="仿宋" w:hAnsi="仿宋" w:eastAsia="仿宋" w:cs="仿宋"/>
          <w:b/>
          <w:snapToGrid/>
          <w:color w:val="auto"/>
          <w:kern w:val="2"/>
          <w:sz w:val="24"/>
          <w:szCs w:val="24"/>
          <w:highlight w:val="none"/>
          <w:lang w:eastAsia="zh-CN"/>
        </w:rPr>
        <w:t>2.资格证明文件目录</w:t>
      </w:r>
      <w:bookmarkEnd w:id="61"/>
      <w:bookmarkEnd w:id="62"/>
      <w:bookmarkEnd w:id="63"/>
    </w:p>
    <w:p w14:paraId="22CACA7E">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after="50" w:line="360" w:lineRule="auto"/>
        <w:ind w:firstLine="480" w:firstLineChars="200"/>
        <w:jc w:val="left"/>
        <w:textAlignment w:val="auto"/>
        <w:outlineLvl w:val="9"/>
        <w:rPr>
          <w:rFonts w:hint="eastAsia" w:ascii="仿宋" w:hAnsi="仿宋" w:eastAsia="仿宋" w:cs="仿宋"/>
          <w:b w:val="0"/>
          <w:bCs/>
          <w:snapToGrid/>
          <w:color w:val="auto"/>
          <w:kern w:val="2"/>
          <w:sz w:val="24"/>
          <w:szCs w:val="24"/>
          <w:highlight w:val="none"/>
          <w:lang w:eastAsia="zh-CN"/>
        </w:rPr>
      </w:pPr>
      <w:r>
        <w:rPr>
          <w:rFonts w:hint="eastAsia" w:ascii="仿宋" w:hAnsi="仿宋" w:eastAsia="仿宋" w:cs="仿宋"/>
          <w:b w:val="0"/>
          <w:bCs/>
          <w:snapToGrid/>
          <w:color w:val="auto"/>
          <w:kern w:val="2"/>
          <w:sz w:val="24"/>
          <w:szCs w:val="24"/>
          <w:highlight w:val="none"/>
          <w:lang w:eastAsia="zh-CN"/>
        </w:rPr>
        <w:t>根据磋商文件规定及供应商提供的材料自行编写目录（部分格式后附）。</w:t>
      </w:r>
    </w:p>
    <w:p w14:paraId="63EE342E">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3D32A8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E3858E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84F04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3E21D0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2E1F25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B6C5FF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7418C4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0C21EB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06C035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A62BD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BDA808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3AFE39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151773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DC73A2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6D2B9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B9FA66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5187D744">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val="en-US" w:eastAsia="zh-CN"/>
        </w:rPr>
      </w:pPr>
      <w:bookmarkStart w:id="64" w:name="_Toc7670"/>
      <w:bookmarkStart w:id="65" w:name="_Toc2568"/>
      <w:bookmarkStart w:id="66" w:name="_Toc30696"/>
      <w:r>
        <w:rPr>
          <w:rFonts w:hint="eastAsia" w:ascii="仿宋" w:hAnsi="仿宋" w:eastAsia="仿宋" w:cs="仿宋"/>
          <w:b/>
          <w:snapToGrid/>
          <w:color w:val="auto"/>
          <w:kern w:val="2"/>
          <w:sz w:val="24"/>
          <w:szCs w:val="24"/>
          <w:highlight w:val="none"/>
          <w:lang w:val="en-US" w:eastAsia="zh-CN"/>
        </w:rPr>
        <w:t>3.崇左市政府采购供应商信用承诺函</w:t>
      </w:r>
      <w:bookmarkEnd w:id="64"/>
      <w:bookmarkEnd w:id="65"/>
      <w:bookmarkEnd w:id="66"/>
    </w:p>
    <w:p w14:paraId="3515D9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0"/>
          <w:sz w:val="36"/>
          <w:szCs w:val="36"/>
          <w:highlight w:val="none"/>
          <w:lang w:val="en-US" w:eastAsia="zh-CN" w:bidi="ar"/>
        </w:rPr>
        <w:t>崇左市政府采购供应商信用承诺函（格式）</w:t>
      </w:r>
    </w:p>
    <w:p w14:paraId="4FB41D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napToGrid/>
          <w:color w:val="auto"/>
          <w:kern w:val="0"/>
          <w:sz w:val="32"/>
          <w:szCs w:val="32"/>
          <w:highlight w:val="none"/>
          <w:lang w:val="en-US" w:eastAsia="zh-CN" w:bidi="ar"/>
        </w:rPr>
      </w:pPr>
    </w:p>
    <w:p w14:paraId="13A242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0"/>
          <w:sz w:val="24"/>
          <w:szCs w:val="24"/>
          <w:highlight w:val="none"/>
          <w:lang w:val="en-US" w:eastAsia="zh-CN" w:bidi="ar"/>
        </w:rPr>
        <w:t>致</w:t>
      </w:r>
      <w:r>
        <w:rPr>
          <w:rFonts w:hint="eastAsia" w:ascii="仿宋" w:hAnsi="仿宋" w:eastAsia="仿宋" w:cs="仿宋"/>
          <w:snapToGrid/>
          <w:color w:val="auto"/>
          <w:kern w:val="0"/>
          <w:sz w:val="24"/>
          <w:szCs w:val="24"/>
          <w:highlight w:val="none"/>
          <w:u w:val="single"/>
          <w:lang w:val="en-US" w:eastAsia="zh-CN" w:bidi="ar"/>
        </w:rPr>
        <w:t>（采购代理机构名称）</w:t>
      </w:r>
      <w:r>
        <w:rPr>
          <w:rFonts w:hint="eastAsia" w:ascii="仿宋" w:hAnsi="仿宋" w:eastAsia="仿宋" w:cs="仿宋"/>
          <w:snapToGrid/>
          <w:color w:val="auto"/>
          <w:kern w:val="0"/>
          <w:sz w:val="24"/>
          <w:szCs w:val="24"/>
          <w:highlight w:val="none"/>
          <w:u w:val="none"/>
          <w:lang w:val="en-US" w:eastAsia="zh-CN" w:bidi="ar"/>
        </w:rPr>
        <w:t>:</w:t>
      </w:r>
    </w:p>
    <w:p w14:paraId="3F1262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spacing w:val="-6"/>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我方自愿参加</w:t>
      </w:r>
      <w:r>
        <w:rPr>
          <w:rFonts w:hint="eastAsia" w:ascii="仿宋" w:hAnsi="仿宋" w:eastAsia="仿宋" w:cs="仿宋"/>
          <w:snapToGrid/>
          <w:color w:val="auto"/>
          <w:kern w:val="0"/>
          <w:sz w:val="24"/>
          <w:szCs w:val="24"/>
          <w:highlight w:val="none"/>
          <w:u w:val="single"/>
          <w:lang w:val="en-US" w:eastAsia="zh-CN" w:bidi="ar"/>
        </w:rPr>
        <w:t xml:space="preserve"> （项目名称） </w:t>
      </w:r>
      <w:r>
        <w:rPr>
          <w:rFonts w:hint="eastAsia" w:ascii="仿宋" w:hAnsi="仿宋" w:eastAsia="仿宋" w:cs="仿宋"/>
          <w:snapToGrid/>
          <w:color w:val="auto"/>
          <w:kern w:val="0"/>
          <w:sz w:val="24"/>
          <w:szCs w:val="24"/>
          <w:highlight w:val="none"/>
          <w:lang w:val="en-US" w:eastAsia="zh-CN" w:bidi="ar"/>
        </w:rPr>
        <w:t>项目</w:t>
      </w:r>
      <w:r>
        <w:rPr>
          <w:rFonts w:hint="eastAsia" w:ascii="仿宋" w:hAnsi="仿宋" w:eastAsia="仿宋" w:cs="仿宋"/>
          <w:snapToGrid/>
          <w:color w:val="auto"/>
          <w:spacing w:val="6"/>
          <w:kern w:val="2"/>
          <w:sz w:val="24"/>
          <w:szCs w:val="24"/>
          <w:highlight w:val="none"/>
          <w:lang w:eastAsia="zh-CN"/>
        </w:rPr>
        <w:t>（项目编号：</w:t>
      </w:r>
      <w:r>
        <w:rPr>
          <w:rFonts w:hint="eastAsia" w:ascii="仿宋" w:hAnsi="仿宋" w:eastAsia="仿宋" w:cs="仿宋"/>
          <w:snapToGrid/>
          <w:color w:val="auto"/>
          <w:spacing w:val="6"/>
          <w:kern w:val="2"/>
          <w:sz w:val="24"/>
          <w:szCs w:val="24"/>
          <w:highlight w:val="none"/>
          <w:u w:val="single"/>
          <w:lang w:eastAsia="zh-CN"/>
        </w:rPr>
        <w:t xml:space="preserve">       </w:t>
      </w:r>
      <w:r>
        <w:rPr>
          <w:rFonts w:hint="eastAsia" w:ascii="仿宋" w:hAnsi="仿宋" w:eastAsia="仿宋" w:cs="仿宋"/>
          <w:snapToGrid/>
          <w:color w:val="auto"/>
          <w:spacing w:val="6"/>
          <w:kern w:val="2"/>
          <w:sz w:val="24"/>
          <w:szCs w:val="24"/>
          <w:highlight w:val="none"/>
          <w:u w:val="single"/>
          <w:lang w:val="en-US" w:eastAsia="zh-CN"/>
        </w:rPr>
        <w:t xml:space="preserve">  </w:t>
      </w:r>
      <w:r>
        <w:rPr>
          <w:rFonts w:hint="eastAsia" w:ascii="仿宋" w:hAnsi="仿宋" w:eastAsia="仿宋" w:cs="仿宋"/>
          <w:snapToGrid/>
          <w:color w:val="auto"/>
          <w:spacing w:val="6"/>
          <w:kern w:val="2"/>
          <w:sz w:val="24"/>
          <w:szCs w:val="24"/>
          <w:highlight w:val="none"/>
          <w:lang w:eastAsia="zh-CN"/>
        </w:rPr>
        <w:t>）</w:t>
      </w:r>
      <w:r>
        <w:rPr>
          <w:rFonts w:hint="eastAsia" w:ascii="仿宋" w:hAnsi="仿宋" w:eastAsia="仿宋" w:cs="仿宋"/>
          <w:snapToGrid/>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仿宋" w:hAnsi="仿宋" w:eastAsia="仿宋" w:cs="仿宋"/>
          <w:snapToGrid/>
          <w:color w:val="auto"/>
          <w:spacing w:val="-6"/>
          <w:kern w:val="0"/>
          <w:sz w:val="24"/>
          <w:szCs w:val="24"/>
          <w:highlight w:val="none"/>
          <w:lang w:val="en-US" w:eastAsia="zh-CN" w:bidi="ar"/>
        </w:rPr>
        <w:t xml:space="preserve">： </w:t>
      </w:r>
    </w:p>
    <w:p w14:paraId="5316B9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1.我方</w:t>
      </w:r>
      <w:r>
        <w:rPr>
          <w:rFonts w:hint="eastAsia" w:ascii="仿宋" w:hAnsi="仿宋" w:eastAsia="仿宋" w:cs="仿宋"/>
          <w:snapToGrid/>
          <w:color w:val="auto"/>
          <w:spacing w:val="6"/>
          <w:kern w:val="2"/>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63FB2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2.我方具有符合采购文件资格要求的财务状况报告。 </w:t>
      </w:r>
    </w:p>
    <w:p w14:paraId="5ECA52C9">
      <w:pPr>
        <w:keepNext w:val="0"/>
        <w:keepLines w:val="0"/>
        <w:pageBreakBefore w:val="0"/>
        <w:widowControl/>
        <w:suppressLineNumbers w:val="0"/>
        <w:kinsoku/>
        <w:wordWrap/>
        <w:overflowPunct/>
        <w:topLinePunct w:val="0"/>
        <w:autoSpaceDE/>
        <w:autoSpaceDN/>
        <w:bidi w:val="0"/>
        <w:adjustRightInd/>
        <w:snapToGrid/>
        <w:spacing w:line="360" w:lineRule="auto"/>
        <w:ind w:firstLine="456" w:firstLineChars="200"/>
        <w:jc w:val="both"/>
        <w:textAlignment w:val="auto"/>
        <w:rPr>
          <w:rFonts w:hint="eastAsia" w:ascii="仿宋" w:hAnsi="仿宋" w:eastAsia="仿宋" w:cs="仿宋"/>
          <w:snapToGrid/>
          <w:color w:val="auto"/>
          <w:spacing w:val="-17"/>
          <w:kern w:val="2"/>
          <w:sz w:val="24"/>
          <w:szCs w:val="24"/>
          <w:highlight w:val="none"/>
          <w:lang w:eastAsia="zh-CN"/>
        </w:rPr>
      </w:pPr>
      <w:r>
        <w:rPr>
          <w:rFonts w:hint="eastAsia" w:ascii="仿宋" w:hAnsi="仿宋" w:eastAsia="仿宋" w:cs="仿宋"/>
          <w:snapToGrid/>
          <w:color w:val="auto"/>
          <w:spacing w:val="-6"/>
          <w:kern w:val="0"/>
          <w:sz w:val="24"/>
          <w:szCs w:val="24"/>
          <w:highlight w:val="none"/>
          <w:lang w:val="en-US" w:eastAsia="zh-CN" w:bidi="ar"/>
        </w:rPr>
        <w:t>3.我方具有符合采购文件资格要求的依法缴纳税收和社会保障资金的良好记录。</w:t>
      </w:r>
      <w:r>
        <w:rPr>
          <w:rFonts w:hint="eastAsia" w:ascii="仿宋" w:hAnsi="仿宋" w:eastAsia="仿宋" w:cs="仿宋"/>
          <w:snapToGrid/>
          <w:color w:val="auto"/>
          <w:spacing w:val="-17"/>
          <w:kern w:val="0"/>
          <w:sz w:val="24"/>
          <w:szCs w:val="24"/>
          <w:highlight w:val="none"/>
          <w:lang w:val="en-US" w:eastAsia="zh-CN" w:bidi="ar"/>
        </w:rPr>
        <w:t xml:space="preserve"> </w:t>
      </w:r>
    </w:p>
    <w:p w14:paraId="50C1F2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4.我方具有符合采购文件资格要求履行合同所必需的设备和专业技术能力。 </w:t>
      </w:r>
    </w:p>
    <w:p w14:paraId="01ACA5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
        </w:rPr>
        <w:t xml:space="preserve">5.我方参加政府采购活动前3年内在经营活动中没有重大违法记录。 </w:t>
      </w:r>
    </w:p>
    <w:p w14:paraId="12881C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我方对以上承诺内容的真实性负责。如有虚假，将依法承担相应责任。</w:t>
      </w:r>
    </w:p>
    <w:p w14:paraId="6FBB87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p>
    <w:p w14:paraId="64A245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0"/>
          <w:sz w:val="24"/>
          <w:szCs w:val="24"/>
          <w:highlight w:val="none"/>
          <w:lang w:val="en-US" w:eastAsia="zh-CN" w:bidi="ar"/>
        </w:rPr>
      </w:pPr>
    </w:p>
    <w:p w14:paraId="427A9D04">
      <w:pPr>
        <w:keepNext w:val="0"/>
        <w:keepLines w:val="0"/>
        <w:pageBreakBefore w:val="0"/>
        <w:widowControl/>
        <w:suppressLineNumbers w:val="0"/>
        <w:kinsoku/>
        <w:wordWrap/>
        <w:overflowPunct/>
        <w:topLinePunct w:val="0"/>
        <w:autoSpaceDE/>
        <w:autoSpaceDN/>
        <w:bidi w:val="0"/>
        <w:adjustRightInd/>
        <w:snapToGrid/>
        <w:spacing w:line="360" w:lineRule="auto"/>
        <w:ind w:firstLine="3600" w:firstLineChars="15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r>
        <w:rPr>
          <w:rFonts w:hint="eastAsia" w:ascii="仿宋" w:hAnsi="仿宋" w:eastAsia="仿宋" w:cs="仿宋"/>
          <w:snapToGrid/>
          <w:color w:val="auto"/>
          <w:kern w:val="0"/>
          <w:sz w:val="24"/>
          <w:szCs w:val="24"/>
          <w:highlight w:val="none"/>
          <w:lang w:val="en-US" w:eastAsia="zh-CN" w:bidi="ar"/>
        </w:rPr>
        <w:t xml:space="preserve">： </w:t>
      </w:r>
    </w:p>
    <w:p w14:paraId="1B701B9B">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3600" w:firstLineChars="1500"/>
        <w:jc w:val="left"/>
        <w:textAlignment w:val="auto"/>
        <w:rPr>
          <w:rFonts w:hint="eastAsia" w:ascii="仿宋" w:hAnsi="仿宋" w:eastAsia="仿宋" w:cs="仿宋"/>
          <w:snapToGrid/>
          <w:color w:val="auto"/>
          <w:kern w:val="0"/>
          <w:sz w:val="24"/>
          <w:szCs w:val="24"/>
          <w:highlight w:val="none"/>
          <w:lang w:val="en-US" w:eastAsia="zh-CN" w:bidi="ar"/>
        </w:rPr>
      </w:pPr>
      <w:r>
        <w:rPr>
          <w:rFonts w:hint="eastAsia" w:ascii="仿宋" w:hAnsi="仿宋" w:eastAsia="仿宋" w:cs="仿宋"/>
          <w:snapToGrid/>
          <w:color w:val="auto"/>
          <w:kern w:val="0"/>
          <w:sz w:val="24"/>
          <w:szCs w:val="24"/>
          <w:highlight w:val="none"/>
          <w:lang w:val="en-US" w:eastAsia="zh-CN" w:bidi="ar"/>
        </w:rPr>
        <w:t>日期：</w:t>
      </w:r>
    </w:p>
    <w:p w14:paraId="3898326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仿宋" w:hAnsi="仿宋" w:eastAsia="仿宋" w:cs="仿宋"/>
          <w:snapToGrid/>
          <w:color w:val="auto"/>
          <w:kern w:val="0"/>
          <w:sz w:val="24"/>
          <w:szCs w:val="24"/>
          <w:highlight w:val="none"/>
          <w:lang w:val="en-US" w:eastAsia="zh-CN" w:bidi="ar"/>
        </w:rPr>
      </w:pPr>
    </w:p>
    <w:p w14:paraId="0CF0B838">
      <w:pPr>
        <w:widowControl w:val="0"/>
        <w:kinsoku/>
        <w:autoSpaceDE/>
        <w:autoSpaceDN/>
        <w:adjustRightInd/>
        <w:snapToGrid/>
        <w:spacing w:line="360" w:lineRule="auto"/>
        <w:jc w:val="both"/>
        <w:textAlignment w:val="auto"/>
        <w:rPr>
          <w:rFonts w:hint="eastAsia" w:ascii="仿宋" w:hAnsi="仿宋" w:eastAsia="仿宋" w:cs="仿宋"/>
          <w:b/>
          <w:snapToGrid/>
          <w:color w:val="auto"/>
          <w:kern w:val="2"/>
          <w:sz w:val="24"/>
          <w:szCs w:val="24"/>
          <w:highlight w:val="none"/>
          <w:lang w:val="en-US" w:eastAsia="zh-CN"/>
        </w:rPr>
      </w:pPr>
      <w:r>
        <w:rPr>
          <w:rFonts w:hint="eastAsia" w:ascii="仿宋" w:hAnsi="仿宋" w:eastAsia="仿宋" w:cs="仿宋"/>
          <w:snapToGrid/>
          <w:color w:val="auto"/>
          <w:kern w:val="0"/>
          <w:sz w:val="24"/>
          <w:szCs w:val="24"/>
          <w:highlight w:val="none"/>
          <w:lang w:val="en-US" w:eastAsia="zh-CN" w:bidi="ar"/>
        </w:rPr>
        <w:t>注：1.</w:t>
      </w:r>
      <w:r>
        <w:rPr>
          <w:rFonts w:hint="eastAsia" w:ascii="仿宋" w:hAnsi="仿宋" w:eastAsia="仿宋" w:cs="仿宋"/>
          <w:i w:val="0"/>
          <w:iCs w:val="0"/>
          <w:caps w:val="0"/>
          <w:snapToGrid/>
          <w:color w:val="auto"/>
          <w:spacing w:val="0"/>
          <w:kern w:val="0"/>
          <w:sz w:val="24"/>
          <w:szCs w:val="24"/>
          <w:highlight w:val="none"/>
          <w:lang w:val="en-US" w:eastAsia="zh-CN" w:bidi="ar-SA"/>
        </w:rPr>
        <w:t>参与政府采购活动的供应商可按第1点的内容：“</w:t>
      </w:r>
      <w:r>
        <w:rPr>
          <w:rFonts w:hint="eastAsia" w:ascii="仿宋" w:hAnsi="仿宋" w:eastAsia="仿宋" w:cs="仿宋"/>
          <w:snapToGrid/>
          <w:color w:val="auto"/>
          <w:kern w:val="0"/>
          <w:sz w:val="24"/>
          <w:szCs w:val="24"/>
          <w:highlight w:val="none"/>
          <w:lang w:val="en-US" w:eastAsia="zh-CN" w:bidi="ar"/>
        </w:rPr>
        <w:t>我方</w:t>
      </w:r>
      <w:r>
        <w:rPr>
          <w:rFonts w:hint="eastAsia" w:ascii="仿宋" w:hAnsi="仿宋" w:eastAsia="仿宋" w:cs="仿宋"/>
          <w:snapToGrid/>
          <w:color w:val="auto"/>
          <w:spacing w:val="6"/>
          <w:kern w:val="0"/>
          <w:sz w:val="24"/>
          <w:szCs w:val="24"/>
          <w:highlight w:val="none"/>
          <w:lang w:val="en-US" w:eastAsia="zh-CN" w:bidi="ar-SA"/>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 w:hAnsi="仿宋" w:eastAsia="仿宋" w:cs="仿宋"/>
          <w:snapToGrid/>
          <w:color w:val="auto"/>
          <w:kern w:val="0"/>
          <w:sz w:val="24"/>
          <w:szCs w:val="24"/>
          <w:highlight w:val="none"/>
          <w:lang w:val="en-US" w:eastAsia="zh-CN" w:bidi="ar"/>
        </w:rPr>
        <w:t>我方</w:t>
      </w:r>
      <w:r>
        <w:rPr>
          <w:rFonts w:hint="eastAsia" w:ascii="仿宋" w:hAnsi="仿宋" w:eastAsia="仿宋" w:cs="仿宋"/>
          <w:snapToGrid/>
          <w:color w:val="auto"/>
          <w:spacing w:val="6"/>
          <w:kern w:val="0"/>
          <w:sz w:val="24"/>
          <w:szCs w:val="24"/>
          <w:highlight w:val="none"/>
          <w:lang w:val="en-US" w:eastAsia="zh-CN" w:bidi="ar-SA"/>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 w:hAnsi="仿宋" w:eastAsia="仿宋" w:cs="仿宋"/>
          <w:b w:val="0"/>
          <w:bCs w:val="0"/>
          <w:snapToGrid/>
          <w:color w:val="auto"/>
          <w:spacing w:val="6"/>
          <w:kern w:val="0"/>
          <w:sz w:val="24"/>
          <w:szCs w:val="24"/>
          <w:highlight w:val="none"/>
          <w:u w:val="none"/>
          <w:lang w:val="en-US" w:eastAsia="zh-CN" w:bidi="ar-SA"/>
        </w:rPr>
        <w:t>只要第1点承诺的内容包含有：具有独立承担民事责任的能力、在参加本次政府采购活动前已取得总公司的授权等内容的即为有效的承诺。</w:t>
      </w:r>
      <w:r>
        <w:rPr>
          <w:rFonts w:hint="eastAsia" w:ascii="仿宋" w:hAnsi="仿宋" w:eastAsia="仿宋" w:cs="仿宋"/>
          <w:snapToGrid/>
          <w:color w:val="auto"/>
          <w:spacing w:val="6"/>
          <w:kern w:val="0"/>
          <w:sz w:val="24"/>
          <w:szCs w:val="24"/>
          <w:highlight w:val="none"/>
          <w:lang w:val="en-US" w:eastAsia="zh-CN" w:bidi="ar-SA"/>
        </w:rPr>
        <w:t>2.第1点所指的行业特殊情况使用了“等”字表示列举未尽，即行业特殊情况包含但不限于银行、保险、石油石化、电力、电信。</w:t>
      </w:r>
    </w:p>
    <w:p w14:paraId="4C3D0257">
      <w:pPr>
        <w:widowControl w:val="0"/>
        <w:kinsoku/>
        <w:autoSpaceDE/>
        <w:autoSpaceDN/>
        <w:adjustRightInd/>
        <w:snapToGrid/>
        <w:spacing w:line="240" w:lineRule="auto"/>
        <w:jc w:val="both"/>
        <w:textAlignment w:val="auto"/>
        <w:rPr>
          <w:rFonts w:hint="eastAsia" w:ascii="仿宋" w:hAnsi="仿宋" w:eastAsia="仿宋" w:cs="仿宋"/>
          <w:b/>
          <w:snapToGrid/>
          <w:color w:val="auto"/>
          <w:kern w:val="2"/>
          <w:sz w:val="24"/>
          <w:szCs w:val="24"/>
          <w:highlight w:val="none"/>
          <w:lang w:val="en-US" w:eastAsia="zh-CN"/>
        </w:rPr>
      </w:pPr>
      <w:r>
        <w:rPr>
          <w:rFonts w:hint="eastAsia" w:ascii="仿宋" w:hAnsi="仿宋" w:eastAsia="仿宋" w:cs="仿宋"/>
          <w:b/>
          <w:snapToGrid/>
          <w:color w:val="auto"/>
          <w:kern w:val="2"/>
          <w:sz w:val="24"/>
          <w:szCs w:val="24"/>
          <w:highlight w:val="none"/>
          <w:lang w:val="en-US" w:eastAsia="zh-CN"/>
        </w:rPr>
        <w:br w:type="page"/>
      </w:r>
    </w:p>
    <w:p w14:paraId="6A2D5702">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67" w:name="_Toc11648"/>
      <w:bookmarkStart w:id="68" w:name="_Toc30783"/>
      <w:bookmarkStart w:id="69" w:name="_Toc23040"/>
      <w:r>
        <w:rPr>
          <w:rFonts w:hint="eastAsia" w:ascii="仿宋" w:hAnsi="仿宋" w:eastAsia="仿宋" w:cs="仿宋"/>
          <w:b/>
          <w:snapToGrid/>
          <w:color w:val="auto"/>
          <w:kern w:val="2"/>
          <w:sz w:val="24"/>
          <w:szCs w:val="24"/>
          <w:highlight w:val="none"/>
          <w:lang w:val="en-US" w:eastAsia="zh-CN"/>
        </w:rPr>
        <w:t>4.</w:t>
      </w:r>
      <w:r>
        <w:rPr>
          <w:rFonts w:hint="eastAsia" w:ascii="仿宋" w:hAnsi="仿宋" w:eastAsia="仿宋" w:cs="仿宋"/>
          <w:b/>
          <w:snapToGrid/>
          <w:color w:val="auto"/>
          <w:kern w:val="2"/>
          <w:sz w:val="24"/>
          <w:szCs w:val="24"/>
          <w:highlight w:val="none"/>
          <w:lang w:eastAsia="zh-CN"/>
        </w:rPr>
        <w:t>供应商直接控股、管理关系信息表</w:t>
      </w:r>
      <w:bookmarkEnd w:id="67"/>
      <w:bookmarkEnd w:id="68"/>
      <w:bookmarkEnd w:id="69"/>
    </w:p>
    <w:p w14:paraId="2D36F2E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供应商直接控股股东信息表</w:t>
      </w:r>
    </w:p>
    <w:p w14:paraId="3A8D53C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B822F5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2CC9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9B355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ECC7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F0DA2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03120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备注</w:t>
            </w:r>
          </w:p>
        </w:tc>
      </w:tr>
      <w:tr w14:paraId="7A271F2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6BE9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7EE5F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08AF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B728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68CEB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7C3EFF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B152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A852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E9DDD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AE84B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7695A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4099BC4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41030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1BF1B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0504B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7A47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AA92D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118C07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FB252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DE467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60860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24BA7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587D3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bl>
    <w:p w14:paraId="0CDDAB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1DB14FD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D7505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2.本表所指的控股关系仅限于直接控股关系，不包括间接的控股关系。公司实际控制人与公司之间的关系不属于本表所指的直接控股关系。</w:t>
      </w:r>
    </w:p>
    <w:p w14:paraId="525D38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3.供应商不存在直接控股股东的，则在“直接控股股东名称”填“无”。</w:t>
      </w:r>
    </w:p>
    <w:p w14:paraId="3F7EC5A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A7962A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23D2BE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083A88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 xml:space="preserve">供应商（电子签章）： </w:t>
      </w:r>
    </w:p>
    <w:p w14:paraId="52038AA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714605B6">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br w:type="page"/>
      </w:r>
    </w:p>
    <w:p w14:paraId="747B978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供应商直接管理关系信息表</w:t>
      </w:r>
    </w:p>
    <w:p w14:paraId="04DFDA0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3CC55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BF786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EFD3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8BC15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B1A70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b/>
                <w:bCs/>
                <w:snapToGrid/>
                <w:color w:val="auto"/>
                <w:kern w:val="0"/>
                <w:sz w:val="24"/>
                <w:szCs w:val="24"/>
                <w:highlight w:val="none"/>
                <w:lang w:eastAsia="zh-CN"/>
              </w:rPr>
            </w:pPr>
            <w:r>
              <w:rPr>
                <w:rFonts w:hint="eastAsia" w:ascii="仿宋" w:hAnsi="仿宋" w:eastAsia="仿宋" w:cs="仿宋"/>
                <w:b/>
                <w:bCs/>
                <w:snapToGrid/>
                <w:color w:val="auto"/>
                <w:kern w:val="0"/>
                <w:sz w:val="24"/>
                <w:szCs w:val="24"/>
                <w:highlight w:val="none"/>
                <w:lang w:eastAsia="zh-CN"/>
              </w:rPr>
              <w:t>备注</w:t>
            </w:r>
          </w:p>
        </w:tc>
      </w:tr>
      <w:tr w14:paraId="47E15AB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7F9DC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2990E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7D24F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6BAA2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65E77B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35F46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0CD41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8EF03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B727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59D5E3F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3964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F835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8791E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7ABB3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r w14:paraId="16F2C25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F142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7A53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6993A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BB5D3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0"/>
                <w:sz w:val="24"/>
                <w:szCs w:val="24"/>
                <w:highlight w:val="none"/>
                <w:lang w:eastAsia="zh-CN"/>
              </w:rPr>
            </w:pPr>
          </w:p>
        </w:tc>
      </w:tr>
    </w:tbl>
    <w:p w14:paraId="6097E3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611A241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1.管理关系：是指不具有出资持股关系的其他单位之间存在的管理与被管理关系，如一些上下级关系的事业单位和团体组织。</w:t>
      </w:r>
    </w:p>
    <w:p w14:paraId="0834217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snapToGrid/>
          <w:color w:val="auto"/>
          <w:spacing w:val="-6"/>
          <w:kern w:val="2"/>
          <w:sz w:val="24"/>
          <w:szCs w:val="24"/>
          <w:highlight w:val="none"/>
          <w:lang w:eastAsia="zh-CN"/>
        </w:rPr>
        <w:t>本表所指的管理关系仅限于直接管理关系，不包括间接的管理关系。</w:t>
      </w:r>
    </w:p>
    <w:p w14:paraId="7AC9DA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3.供应商不存在直接管理关系的，则在“直接管理关系单位名称”填“无”。</w:t>
      </w:r>
    </w:p>
    <w:p w14:paraId="7C864CE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AE1CE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65BE47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0DF5EA8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2366C2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DBEFF2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907D7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640" w:firstLineChars="11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594142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EE3EA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745B074F">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70" w:name="_Toc11437"/>
      <w:bookmarkStart w:id="71" w:name="_Toc23535"/>
      <w:bookmarkStart w:id="72" w:name="_Toc23536"/>
      <w:r>
        <w:rPr>
          <w:rFonts w:hint="eastAsia" w:ascii="仿宋" w:hAnsi="仿宋" w:eastAsia="仿宋" w:cs="仿宋"/>
          <w:b/>
          <w:snapToGrid/>
          <w:color w:val="auto"/>
          <w:kern w:val="2"/>
          <w:sz w:val="24"/>
          <w:szCs w:val="24"/>
          <w:highlight w:val="none"/>
          <w:lang w:val="en-US" w:eastAsia="zh-CN"/>
        </w:rPr>
        <w:t>5.</w:t>
      </w:r>
      <w:r>
        <w:rPr>
          <w:rFonts w:hint="eastAsia" w:ascii="仿宋" w:hAnsi="仿宋" w:eastAsia="仿宋" w:cs="仿宋"/>
          <w:b/>
          <w:snapToGrid/>
          <w:color w:val="auto"/>
          <w:kern w:val="2"/>
          <w:sz w:val="24"/>
          <w:szCs w:val="24"/>
          <w:highlight w:val="none"/>
          <w:lang w:eastAsia="zh-CN"/>
        </w:rPr>
        <w:t>竞标声明</w:t>
      </w:r>
      <w:bookmarkEnd w:id="70"/>
      <w:bookmarkEnd w:id="71"/>
      <w:bookmarkEnd w:id="72"/>
    </w:p>
    <w:p w14:paraId="323089A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竞标声明</w:t>
      </w:r>
    </w:p>
    <w:p w14:paraId="384CFD8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致：</w:t>
      </w:r>
      <w:r>
        <w:rPr>
          <w:rFonts w:hint="eastAsia" w:ascii="仿宋" w:hAnsi="仿宋" w:eastAsia="仿宋" w:cs="仿宋"/>
          <w:snapToGrid/>
          <w:color w:val="auto"/>
          <w:kern w:val="2"/>
          <w:sz w:val="24"/>
          <w:szCs w:val="24"/>
          <w:highlight w:val="none"/>
          <w:u w:val="single"/>
          <w:lang w:eastAsia="zh-CN"/>
        </w:rPr>
        <w:t>（采购人名称）</w:t>
      </w:r>
      <w:r>
        <w:rPr>
          <w:rFonts w:hint="eastAsia" w:ascii="仿宋" w:hAnsi="仿宋" w:eastAsia="仿宋" w:cs="仿宋"/>
          <w:snapToGrid/>
          <w:color w:val="auto"/>
          <w:kern w:val="2"/>
          <w:sz w:val="24"/>
          <w:szCs w:val="24"/>
          <w:highlight w:val="none"/>
          <w:lang w:eastAsia="zh-CN"/>
        </w:rPr>
        <w:t>：</w:t>
      </w:r>
    </w:p>
    <w:p w14:paraId="5B0112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u w:val="single"/>
          <w:lang w:eastAsia="zh-CN"/>
        </w:rPr>
        <w:t>（供应商名称）</w:t>
      </w:r>
      <w:r>
        <w:rPr>
          <w:rFonts w:hint="eastAsia" w:ascii="仿宋" w:hAnsi="仿宋" w:eastAsia="仿宋" w:cs="仿宋"/>
          <w:snapToGrid/>
          <w:color w:val="auto"/>
          <w:kern w:val="2"/>
          <w:sz w:val="24"/>
          <w:szCs w:val="24"/>
          <w:highlight w:val="none"/>
          <w:lang w:eastAsia="zh-CN"/>
        </w:rPr>
        <w:t>系中华人民共和国合法供应商，经营地址</w:t>
      </w:r>
      <w:r>
        <w:rPr>
          <w:rFonts w:hint="eastAsia" w:ascii="仿宋" w:hAnsi="仿宋" w:eastAsia="仿宋" w:cs="仿宋"/>
          <w:snapToGrid/>
          <w:color w:val="auto"/>
          <w:kern w:val="2"/>
          <w:sz w:val="24"/>
          <w:szCs w:val="24"/>
          <w:highlight w:val="none"/>
          <w:u w:val="single"/>
          <w:lang w:eastAsia="zh-CN"/>
        </w:rPr>
        <w:t>：</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single"/>
          <w:lang w:eastAsia="zh-CN"/>
        </w:rPr>
        <w:t>。</w:t>
      </w:r>
    </w:p>
    <w:p w14:paraId="194327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我方愿意参加贵方组织的</w:t>
      </w:r>
      <w:r>
        <w:rPr>
          <w:rFonts w:hint="eastAsia" w:ascii="仿宋" w:hAnsi="仿宋" w:eastAsia="仿宋" w:cs="仿宋"/>
          <w:snapToGrid/>
          <w:color w:val="auto"/>
          <w:kern w:val="2"/>
          <w:sz w:val="24"/>
          <w:szCs w:val="24"/>
          <w:highlight w:val="none"/>
          <w:u w:val="single"/>
          <w:lang w:eastAsia="zh-CN"/>
        </w:rPr>
        <w:t>（项目名称）</w:t>
      </w:r>
      <w:r>
        <w:rPr>
          <w:rFonts w:hint="eastAsia" w:ascii="仿宋" w:hAnsi="仿宋" w:eastAsia="仿宋" w:cs="仿宋"/>
          <w:snapToGrid/>
          <w:color w:val="auto"/>
          <w:kern w:val="2"/>
          <w:sz w:val="24"/>
          <w:szCs w:val="24"/>
          <w:highlight w:val="none"/>
          <w:lang w:eastAsia="zh-CN"/>
        </w:rPr>
        <w:t>项目的竞标，为便于贵方公正、择优地确定成交供应商及其竞标产品和服务，我方就本次竞标有关事项郑重声明如下：</w:t>
      </w:r>
    </w:p>
    <w:p w14:paraId="1F1C785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1.我方向贵方提交的所有响应文件、资料都是准确的和真实的。</w:t>
      </w:r>
    </w:p>
    <w:p w14:paraId="39D708C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2.我方不是为本次采购项目提供整体设计、规范编制或者项目管理、监理、检测等服务的供应商。</w:t>
      </w:r>
    </w:p>
    <w:p w14:paraId="6C6EB77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3.在此，我方宣布同意如下：</w:t>
      </w:r>
    </w:p>
    <w:p w14:paraId="1BD3540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（1）将按磋商文件的约定履行合同责任和义务；</w:t>
      </w:r>
    </w:p>
    <w:p w14:paraId="45EED7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（2）已详细审查全部磋商文件，包括澄清或者更正公告（如有）；</w:t>
      </w:r>
    </w:p>
    <w:p w14:paraId="319D8C7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（3）同意提供按照贵方可能要求的与磋商有关的一切数据或者资料；</w:t>
      </w:r>
    </w:p>
    <w:p w14:paraId="62259F8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（4）响应磋商文件规定的竞标有效期。</w:t>
      </w:r>
    </w:p>
    <w:p w14:paraId="578BB1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4.我方承诺符合《中华人民共和国政府采购法》第二十二条规定：</w:t>
      </w:r>
    </w:p>
    <w:p w14:paraId="604ACAE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（1）具有独立承担民事责任的能力；</w:t>
      </w:r>
    </w:p>
    <w:p w14:paraId="0D78B2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（2）具有良好的商业信誉和健全的财务会计制度；</w:t>
      </w:r>
    </w:p>
    <w:p w14:paraId="03D364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（3）具有履行合同所必需的设备和专业技术能力；</w:t>
      </w:r>
    </w:p>
    <w:p w14:paraId="21F40F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（4）有依法缴纳税收和社会保障资金的良好记录；</w:t>
      </w:r>
    </w:p>
    <w:p w14:paraId="6DB0F3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（5）参加政府采购活动前三年内，在经营活动中没有重大违法记录；</w:t>
      </w:r>
    </w:p>
    <w:p w14:paraId="57F2FE5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（6）法律、行政法规规定的其他条件。</w:t>
      </w:r>
    </w:p>
    <w:p w14:paraId="0173BA1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仿宋" w:hAnsi="仿宋" w:eastAsia="仿宋" w:cs="仿宋"/>
          <w:snapToGrid/>
          <w:color w:val="auto"/>
          <w:kern w:val="2"/>
          <w:sz w:val="24"/>
          <w:szCs w:val="24"/>
          <w:highlight w:val="none"/>
          <w:lang w:val="en-US" w:eastAsia="zh-CN"/>
        </w:rPr>
        <w:t>失信主体</w:t>
      </w:r>
      <w:r>
        <w:rPr>
          <w:rFonts w:hint="eastAsia" w:ascii="仿宋" w:hAnsi="仿宋" w:eastAsia="仿宋" w:cs="仿宋"/>
          <w:snapToGrid/>
          <w:color w:val="auto"/>
          <w:kern w:val="2"/>
          <w:sz w:val="24"/>
          <w:szCs w:val="24"/>
          <w:highlight w:val="none"/>
          <w:lang w:eastAsia="zh-CN"/>
        </w:rPr>
        <w:t>、政府采购严重违法失信行为记录名单，完全符合《中华人民共和国政府采购法》第二十二条规定的供应商资格条件，我方对此声明负全部法律责任。</w:t>
      </w:r>
    </w:p>
    <w:p w14:paraId="79AD4B2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5333EA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□我方本次响应文件</w:t>
      </w:r>
      <w:r>
        <w:rPr>
          <w:rFonts w:hint="eastAsia" w:ascii="仿宋" w:hAnsi="仿宋" w:eastAsia="仿宋" w:cs="仿宋"/>
          <w:snapToGrid/>
          <w:color w:val="auto"/>
          <w:kern w:val="0"/>
          <w:sz w:val="24"/>
          <w:szCs w:val="24"/>
          <w:highlight w:val="none"/>
          <w:lang w:eastAsia="zh-CN"/>
        </w:rPr>
        <w:t>内容中</w:t>
      </w:r>
      <w:r>
        <w:rPr>
          <w:rFonts w:hint="eastAsia" w:ascii="仿宋" w:hAnsi="仿宋" w:eastAsia="仿宋" w:cs="仿宋"/>
          <w:snapToGrid/>
          <w:color w:val="auto"/>
          <w:kern w:val="2"/>
          <w:sz w:val="24"/>
          <w:szCs w:val="24"/>
          <w:highlight w:val="none"/>
          <w:lang w:eastAsia="zh-CN"/>
        </w:rPr>
        <w:t>未</w:t>
      </w:r>
      <w:r>
        <w:rPr>
          <w:rFonts w:hint="eastAsia" w:ascii="仿宋" w:hAnsi="仿宋" w:eastAsia="仿宋" w:cs="仿宋"/>
          <w:snapToGrid/>
          <w:color w:val="auto"/>
          <w:kern w:val="0"/>
          <w:sz w:val="24"/>
          <w:szCs w:val="24"/>
          <w:highlight w:val="none"/>
          <w:lang w:eastAsia="zh-CN"/>
        </w:rPr>
        <w:t>涉及商业秘密；</w:t>
      </w:r>
    </w:p>
    <w:p w14:paraId="4D92FF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□我方本次响应文件</w:t>
      </w:r>
      <w:r>
        <w:rPr>
          <w:rFonts w:hint="eastAsia" w:ascii="仿宋" w:hAnsi="仿宋" w:eastAsia="仿宋" w:cs="仿宋"/>
          <w:snapToGrid/>
          <w:color w:val="auto"/>
          <w:kern w:val="0"/>
          <w:sz w:val="24"/>
          <w:szCs w:val="24"/>
          <w:highlight w:val="none"/>
          <w:lang w:eastAsia="zh-CN"/>
        </w:rPr>
        <w:t>涉及商业秘密的内容有：</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0"/>
          <w:sz w:val="24"/>
          <w:szCs w:val="24"/>
          <w:highlight w:val="none"/>
          <w:lang w:eastAsia="zh-CN"/>
        </w:rPr>
        <w:t>；</w:t>
      </w:r>
    </w:p>
    <w:p w14:paraId="38CF85D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u w:val="single"/>
        </w:rPr>
      </w:pPr>
      <w:r>
        <w:rPr>
          <w:rFonts w:hint="eastAsia" w:ascii="仿宋" w:hAnsi="仿宋" w:eastAsia="仿宋" w:cs="仿宋"/>
          <w:snapToGrid/>
          <w:color w:val="auto"/>
          <w:sz w:val="24"/>
          <w:szCs w:val="24"/>
          <w:highlight w:val="none"/>
        </w:rPr>
        <w:t>7.与本磋商有关的一切正式往来信函请寄：邮政编号：</w:t>
      </w:r>
    </w:p>
    <w:p w14:paraId="516F4E0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电话/传真：</w:t>
      </w:r>
      <w:r>
        <w:rPr>
          <w:rFonts w:hint="eastAsia" w:ascii="仿宋" w:hAnsi="仿宋" w:eastAsia="仿宋" w:cs="仿宋"/>
          <w:snapToGrid/>
          <w:color w:val="auto"/>
          <w:sz w:val="24"/>
          <w:szCs w:val="24"/>
          <w:highlight w:val="none"/>
          <w:u w:val="single"/>
          <w:lang w:val="en-US" w:eastAsia="zh-CN"/>
        </w:rPr>
        <w:t xml:space="preserve">               </w:t>
      </w:r>
      <w:r>
        <w:rPr>
          <w:rFonts w:hint="eastAsia" w:ascii="仿宋" w:hAnsi="仿宋" w:eastAsia="仿宋" w:cs="仿宋"/>
          <w:snapToGrid/>
          <w:color w:val="auto"/>
          <w:sz w:val="24"/>
          <w:szCs w:val="24"/>
          <w:highlight w:val="none"/>
        </w:rPr>
        <w:t>电子邮箱：</w:t>
      </w:r>
      <w:r>
        <w:rPr>
          <w:rFonts w:hint="eastAsia" w:ascii="仿宋" w:hAnsi="仿宋" w:eastAsia="仿宋" w:cs="仿宋"/>
          <w:snapToGrid/>
          <w:color w:val="auto"/>
          <w:sz w:val="24"/>
          <w:szCs w:val="24"/>
          <w:highlight w:val="none"/>
          <w:u w:val="single"/>
          <w:lang w:val="en-US" w:eastAsia="zh-CN"/>
        </w:rPr>
        <w:t xml:space="preserve">               </w:t>
      </w:r>
    </w:p>
    <w:p w14:paraId="4B8CD982">
      <w:pPr>
        <w:pStyle w:val="11"/>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开户银行：</w:t>
      </w:r>
      <w:r>
        <w:rPr>
          <w:rFonts w:hint="eastAsia" w:ascii="仿宋" w:hAnsi="仿宋" w:eastAsia="仿宋" w:cs="仿宋"/>
          <w:snapToGrid/>
          <w:color w:val="auto"/>
          <w:sz w:val="24"/>
          <w:szCs w:val="24"/>
          <w:highlight w:val="none"/>
          <w:u w:val="single"/>
          <w:lang w:val="en-US" w:eastAsia="zh-CN"/>
        </w:rPr>
        <w:t xml:space="preserve">               账号</w:t>
      </w:r>
      <w:r>
        <w:rPr>
          <w:rFonts w:hint="eastAsia" w:ascii="仿宋" w:hAnsi="仿宋" w:eastAsia="仿宋" w:cs="仿宋"/>
          <w:snapToGrid/>
          <w:color w:val="auto"/>
          <w:sz w:val="24"/>
          <w:szCs w:val="24"/>
          <w:highlight w:val="none"/>
        </w:rPr>
        <w:t>：</w:t>
      </w:r>
      <w:r>
        <w:rPr>
          <w:rFonts w:hint="eastAsia" w:ascii="仿宋" w:hAnsi="仿宋" w:eastAsia="仿宋" w:cs="仿宋"/>
          <w:snapToGrid/>
          <w:color w:val="auto"/>
          <w:sz w:val="24"/>
          <w:szCs w:val="24"/>
          <w:highlight w:val="none"/>
          <w:u w:val="single"/>
          <w:lang w:val="en-US" w:eastAsia="zh-CN"/>
        </w:rPr>
        <w:t xml:space="preserve">               </w:t>
      </w:r>
    </w:p>
    <w:p w14:paraId="14754092">
      <w:pPr>
        <w:pStyle w:val="11"/>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8.以上事项如有虚假或者隐瞒，我方愿意承担一切后果，并不再寻求任何旨在减轻或者免除法律责任的辩解。</w:t>
      </w:r>
    </w:p>
    <w:p w14:paraId="4DE1671F">
      <w:pPr>
        <w:pStyle w:val="11"/>
        <w:keepNext w:val="0"/>
        <w:keepLines w:val="0"/>
        <w:pageBreakBefore w:val="0"/>
        <w:tabs>
          <w:tab w:val="left" w:pos="939"/>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特此承诺。</w:t>
      </w:r>
    </w:p>
    <w:p w14:paraId="78E5DAC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注：如为联合体竞标，盖章处须加盖联合体牵头人电子签章并由联合体牵头人法定代表人分别签字或者盖章或者电子签名，否则响应文件按无效处理。</w:t>
      </w:r>
    </w:p>
    <w:p w14:paraId="5016E5B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CF556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p>
    <w:p w14:paraId="04DD7E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3C78BF83">
      <w:pPr>
        <w:pStyle w:val="11"/>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年    月    日</w:t>
      </w:r>
    </w:p>
    <w:p w14:paraId="0B514227">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left"/>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73" w:name="_Toc7866"/>
      <w:bookmarkStart w:id="74" w:name="_Toc5811"/>
      <w:bookmarkStart w:id="75" w:name="_Toc24069"/>
      <w:r>
        <w:rPr>
          <w:rFonts w:hint="eastAsia" w:ascii="仿宋" w:hAnsi="仿宋" w:eastAsia="仿宋" w:cs="仿宋"/>
          <w:b/>
          <w:snapToGrid/>
          <w:color w:val="auto"/>
          <w:kern w:val="2"/>
          <w:sz w:val="28"/>
          <w:szCs w:val="28"/>
          <w:highlight w:val="none"/>
          <w:lang w:eastAsia="zh-CN"/>
        </w:rPr>
        <w:t>二、报价文件格式</w:t>
      </w:r>
      <w:bookmarkEnd w:id="73"/>
      <w:bookmarkEnd w:id="74"/>
      <w:bookmarkEnd w:id="75"/>
      <w:r>
        <w:rPr>
          <w:rFonts w:hint="eastAsia" w:ascii="仿宋" w:hAnsi="仿宋" w:eastAsia="仿宋" w:cs="仿宋"/>
          <w:b/>
          <w:snapToGrid/>
          <w:color w:val="auto"/>
          <w:kern w:val="2"/>
          <w:sz w:val="28"/>
          <w:szCs w:val="28"/>
          <w:highlight w:val="none"/>
          <w:lang w:eastAsia="zh-CN"/>
        </w:rPr>
        <w:t xml:space="preserve"> </w:t>
      </w:r>
    </w:p>
    <w:p w14:paraId="417FB2A9">
      <w:pPr>
        <w:widowControl w:val="0"/>
        <w:shd w:val="clear" w:color="auto" w:fill="auto"/>
        <w:kinsoku/>
        <w:autoSpaceDE/>
        <w:autoSpaceDN/>
        <w:adjustRightInd/>
        <w:snapToGrid w:val="0"/>
        <w:spacing w:before="156" w:beforeLines="50" w:after="50" w:line="360" w:lineRule="auto"/>
        <w:jc w:val="left"/>
        <w:textAlignment w:val="auto"/>
        <w:outlineLvl w:val="2"/>
        <w:rPr>
          <w:rFonts w:hint="eastAsia" w:ascii="仿宋" w:hAnsi="仿宋" w:eastAsia="仿宋" w:cs="仿宋"/>
          <w:b/>
          <w:snapToGrid/>
          <w:color w:val="auto"/>
          <w:kern w:val="2"/>
          <w:sz w:val="24"/>
          <w:szCs w:val="24"/>
          <w:highlight w:val="none"/>
          <w:lang w:eastAsia="zh-CN"/>
        </w:rPr>
      </w:pPr>
      <w:bookmarkStart w:id="76" w:name="_Toc14622"/>
      <w:bookmarkStart w:id="77" w:name="_Toc20232"/>
      <w:bookmarkStart w:id="78" w:name="_Toc26565"/>
      <w:r>
        <w:rPr>
          <w:rFonts w:hint="eastAsia" w:ascii="仿宋" w:hAnsi="仿宋" w:eastAsia="仿宋" w:cs="仿宋"/>
          <w:b/>
          <w:snapToGrid/>
          <w:color w:val="auto"/>
          <w:kern w:val="2"/>
          <w:sz w:val="24"/>
          <w:szCs w:val="24"/>
          <w:highlight w:val="none"/>
          <w:lang w:eastAsia="zh-CN"/>
        </w:rPr>
        <w:t>1.报价文件封面格式</w:t>
      </w:r>
      <w:bookmarkEnd w:id="76"/>
      <w:bookmarkEnd w:id="77"/>
      <w:bookmarkEnd w:id="78"/>
    </w:p>
    <w:p w14:paraId="63EB502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78F63D5D">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3FD67CA8">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9FF48C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DF9D93E">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报  价  文  件</w:t>
      </w:r>
    </w:p>
    <w:p w14:paraId="0982B9BB">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4037BAFE">
      <w:pPr>
        <w:widowControl w:val="0"/>
        <w:shd w:val="clear" w:color="auto" w:fill="auto"/>
        <w:kinsoku/>
        <w:autoSpaceDE/>
        <w:autoSpaceDN/>
        <w:adjustRightInd/>
        <w:snapToGrid w:val="0"/>
        <w:spacing w:before="156" w:beforeLines="50" w:after="50" w:line="240" w:lineRule="auto"/>
        <w:jc w:val="both"/>
        <w:textAlignment w:val="auto"/>
        <w:rPr>
          <w:rFonts w:hint="eastAsia" w:ascii="仿宋" w:hAnsi="仿宋" w:eastAsia="仿宋" w:cs="仿宋"/>
          <w:bCs/>
          <w:snapToGrid/>
          <w:color w:val="auto"/>
          <w:kern w:val="2"/>
          <w:sz w:val="24"/>
          <w:szCs w:val="20"/>
          <w:highlight w:val="none"/>
          <w:lang w:eastAsia="zh-CN"/>
        </w:rPr>
      </w:pPr>
    </w:p>
    <w:p w14:paraId="79525CA2">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13CC9937">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017B3C05">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07687DFE">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0D1F767E">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3FBBA130">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3A39D996">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r>
        <w:rPr>
          <w:rFonts w:hint="eastAsia" w:ascii="仿宋" w:hAnsi="仿宋" w:eastAsia="仿宋" w:cs="仿宋"/>
          <w:bCs/>
          <w:snapToGrid/>
          <w:color w:val="auto"/>
          <w:kern w:val="2"/>
          <w:sz w:val="32"/>
          <w:szCs w:val="32"/>
          <w:highlight w:val="none"/>
          <w:lang w:val="en-US" w:eastAsia="zh-CN" w:bidi="ar-SA"/>
        </w:rPr>
        <w:t>供应商名称：</w:t>
      </w:r>
    </w:p>
    <w:p w14:paraId="133F597E">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7B77E071">
      <w:pPr>
        <w:widowControl w:val="0"/>
        <w:shd w:val="clear" w:color="auto" w:fill="auto"/>
        <w:kinsoku/>
        <w:autoSpaceDE/>
        <w:autoSpaceDN/>
        <w:adjustRightInd/>
        <w:snapToGrid w:val="0"/>
        <w:spacing w:before="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val="en-US" w:eastAsia="zh-CN" w:bidi="ar-SA"/>
        </w:rPr>
      </w:pPr>
    </w:p>
    <w:p w14:paraId="044EF017">
      <w:pPr>
        <w:widowControl w:val="0"/>
        <w:shd w:val="clear" w:color="auto" w:fill="auto"/>
        <w:kinsoku/>
        <w:autoSpaceDE/>
        <w:autoSpaceDN/>
        <w:adjustRightInd/>
        <w:snapToGrid w:val="0"/>
        <w:spacing w:before="50" w:after="50" w:line="240" w:lineRule="auto"/>
        <w:ind w:firstLine="1280" w:firstLineChars="400"/>
        <w:jc w:val="both"/>
        <w:textAlignment w:val="auto"/>
        <w:rPr>
          <w:rFonts w:hint="eastAsia" w:ascii="仿宋" w:hAnsi="仿宋" w:eastAsia="仿宋" w:cs="仿宋"/>
          <w:bCs/>
          <w:snapToGrid/>
          <w:color w:val="auto"/>
          <w:kern w:val="2"/>
          <w:sz w:val="32"/>
          <w:szCs w:val="32"/>
          <w:highlight w:val="none"/>
          <w:lang w:val="en-US" w:eastAsia="zh-CN" w:bidi="ar-SA"/>
        </w:rPr>
      </w:pPr>
    </w:p>
    <w:p w14:paraId="08487087">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32"/>
          <w:szCs w:val="32"/>
          <w:highlight w:val="none"/>
          <w:lang w:eastAsia="zh-CN"/>
        </w:rPr>
        <w:t>年    月    日</w:t>
      </w:r>
    </w:p>
    <w:p w14:paraId="4578A21A">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79" w:name="_Toc3370"/>
      <w:bookmarkStart w:id="80" w:name="_Toc27437"/>
      <w:bookmarkStart w:id="81" w:name="_Toc25469"/>
      <w:r>
        <w:rPr>
          <w:rFonts w:hint="eastAsia" w:ascii="仿宋" w:hAnsi="仿宋" w:eastAsia="仿宋" w:cs="仿宋"/>
          <w:b/>
          <w:bCs/>
          <w:snapToGrid/>
          <w:color w:val="auto"/>
          <w:kern w:val="2"/>
          <w:sz w:val="24"/>
          <w:szCs w:val="24"/>
          <w:highlight w:val="none"/>
          <w:lang w:eastAsia="zh-CN"/>
        </w:rPr>
        <w:t>2.报价文件目录</w:t>
      </w:r>
      <w:bookmarkEnd w:id="79"/>
      <w:bookmarkEnd w:id="80"/>
      <w:bookmarkEnd w:id="81"/>
    </w:p>
    <w:p w14:paraId="2F3B27C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根据磋商文件规定及供应商提供的材料自行编写目录（部分格式后附）。</w:t>
      </w:r>
      <w:r>
        <w:rPr>
          <w:rFonts w:hint="eastAsia" w:ascii="仿宋" w:hAnsi="仿宋" w:eastAsia="仿宋" w:cs="仿宋"/>
          <w:b/>
          <w:bCs/>
          <w:snapToGrid/>
          <w:color w:val="auto"/>
          <w:kern w:val="2"/>
          <w:sz w:val="24"/>
          <w:szCs w:val="24"/>
          <w:highlight w:val="none"/>
          <w:lang w:eastAsia="zh-CN"/>
        </w:rPr>
        <w:br w:type="page"/>
      </w:r>
    </w:p>
    <w:p w14:paraId="7DEEA1E6">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bookmarkStart w:id="82" w:name="_Toc1229"/>
      <w:bookmarkStart w:id="83" w:name="_Toc3646"/>
      <w:bookmarkStart w:id="84" w:name="_Toc2718"/>
      <w:r>
        <w:rPr>
          <w:rFonts w:hint="eastAsia" w:ascii="仿宋" w:hAnsi="仿宋" w:eastAsia="仿宋" w:cs="仿宋"/>
          <w:b/>
          <w:bCs/>
          <w:snapToGrid/>
          <w:color w:val="auto"/>
          <w:kern w:val="2"/>
          <w:sz w:val="24"/>
          <w:szCs w:val="24"/>
          <w:highlight w:val="none"/>
          <w:lang w:val="en-US" w:eastAsia="zh-CN"/>
        </w:rPr>
        <w:t>3.</w:t>
      </w:r>
      <w:r>
        <w:rPr>
          <w:rFonts w:hint="eastAsia" w:ascii="仿宋" w:hAnsi="仿宋" w:eastAsia="仿宋" w:cs="仿宋"/>
          <w:b/>
          <w:bCs/>
          <w:snapToGrid/>
          <w:color w:val="auto"/>
          <w:kern w:val="2"/>
          <w:sz w:val="24"/>
          <w:szCs w:val="24"/>
          <w:highlight w:val="none"/>
          <w:lang w:eastAsia="zh-CN"/>
        </w:rPr>
        <w:t>竞标报价表</w:t>
      </w:r>
      <w:bookmarkEnd w:id="82"/>
      <w:bookmarkEnd w:id="83"/>
      <w:bookmarkEnd w:id="84"/>
    </w:p>
    <w:p w14:paraId="7A585C12">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竞  标  报  价  表</w:t>
      </w:r>
    </w:p>
    <w:p w14:paraId="3DD537DB">
      <w:pPr>
        <w:widowControl w:val="0"/>
        <w:kinsoku/>
        <w:autoSpaceDE/>
        <w:autoSpaceDN/>
        <w:adjustRightInd/>
        <w:snapToGrid w:val="0"/>
        <w:spacing w:before="50" w:after="50"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项目名称：</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4226BA23">
      <w:pPr>
        <w:widowControl w:val="0"/>
        <w:kinsoku/>
        <w:autoSpaceDE/>
        <w:autoSpaceDN/>
        <w:adjustRightInd/>
        <w:snapToGrid w:val="0"/>
        <w:spacing w:before="50" w:after="50"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项目编号：</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p w14:paraId="17AD3535">
      <w:pPr>
        <w:widowControl w:val="0"/>
        <w:kinsoku/>
        <w:autoSpaceDE/>
        <w:autoSpaceDN/>
        <w:adjustRightInd/>
        <w:snapToGrid/>
        <w:spacing w:before="0" w:after="0" w:line="240" w:lineRule="auto"/>
        <w:contextualSpacing/>
        <w:jc w:val="both"/>
        <w:textAlignment w:val="auto"/>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所竞分标（如有则填写，无分标时填写“无”或者留空）：</w:t>
      </w:r>
      <w:r>
        <w:rPr>
          <w:rFonts w:hint="eastAsia" w:ascii="仿宋" w:hAnsi="仿宋" w:eastAsia="仿宋" w:cs="仿宋"/>
          <w:snapToGrid/>
          <w:color w:val="auto"/>
          <w:kern w:val="2"/>
          <w:sz w:val="24"/>
          <w:szCs w:val="24"/>
          <w:highlight w:val="none"/>
          <w:u w:val="single"/>
          <w:lang w:eastAsia="zh-CN"/>
        </w:rPr>
        <w:t xml:space="preserve">                  </w:t>
      </w:r>
      <w:r>
        <w:rPr>
          <w:rFonts w:hint="eastAsia" w:ascii="仿宋" w:hAnsi="仿宋" w:eastAsia="仿宋" w:cs="仿宋"/>
          <w:snapToGrid/>
          <w:color w:val="auto"/>
          <w:kern w:val="2"/>
          <w:sz w:val="24"/>
          <w:szCs w:val="24"/>
          <w:highlight w:val="none"/>
          <w:lang w:eastAsia="zh-CN"/>
        </w:rPr>
        <w:t xml:space="preserve">                  </w:t>
      </w:r>
    </w:p>
    <w:tbl>
      <w:tblPr>
        <w:tblStyle w:val="21"/>
        <w:tblW w:w="94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1259"/>
        <w:gridCol w:w="1422"/>
        <w:gridCol w:w="2056"/>
        <w:gridCol w:w="1422"/>
      </w:tblGrid>
      <w:tr w14:paraId="4586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1FAFD22">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6C663F8D">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标的名称</w:t>
            </w:r>
          </w:p>
        </w:tc>
        <w:tc>
          <w:tcPr>
            <w:tcW w:w="1259" w:type="dxa"/>
            <w:tcBorders>
              <w:top w:val="single" w:color="000000" w:sz="2" w:space="0"/>
              <w:left w:val="single" w:color="000000" w:sz="2" w:space="0"/>
              <w:bottom w:val="single" w:color="000000" w:sz="2" w:space="0"/>
              <w:right w:val="single" w:color="000000" w:sz="2" w:space="0"/>
            </w:tcBorders>
            <w:noWrap w:val="0"/>
            <w:vAlign w:val="top"/>
          </w:tcPr>
          <w:p w14:paraId="47973461">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数量</w:t>
            </w:r>
            <w:r>
              <w:rPr>
                <w:rFonts w:hint="eastAsia" w:ascii="宋体" w:hAnsi="宋体" w:eastAsia="宋体" w:cs="宋体"/>
                <w:color w:val="auto"/>
                <w:spacing w:val="1"/>
                <w:sz w:val="21"/>
                <w:szCs w:val="21"/>
                <w:highlight w:val="none"/>
                <w:lang w:val="en-US" w:eastAsia="zh-CN"/>
              </w:rPr>
              <w:t>及单位</w:t>
            </w:r>
          </w:p>
        </w:tc>
        <w:tc>
          <w:tcPr>
            <w:tcW w:w="1422" w:type="dxa"/>
            <w:tcBorders>
              <w:top w:val="single" w:color="000000" w:sz="2" w:space="0"/>
              <w:left w:val="single" w:color="000000" w:sz="2" w:space="0"/>
              <w:bottom w:val="single" w:color="000000" w:sz="2" w:space="0"/>
              <w:right w:val="single" w:color="000000" w:sz="2" w:space="0"/>
            </w:tcBorders>
            <w:noWrap w:val="0"/>
            <w:vAlign w:val="top"/>
          </w:tcPr>
          <w:p w14:paraId="2880E568">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单价</w:t>
            </w:r>
          </w:p>
        </w:tc>
        <w:tc>
          <w:tcPr>
            <w:tcW w:w="2056" w:type="dxa"/>
            <w:tcBorders>
              <w:top w:val="single" w:color="000000" w:sz="2" w:space="0"/>
              <w:left w:val="single" w:color="000000" w:sz="2" w:space="0"/>
              <w:bottom w:val="single" w:color="000000" w:sz="2" w:space="0"/>
              <w:right w:val="single" w:color="000000" w:sz="2" w:space="0"/>
            </w:tcBorders>
            <w:noWrap w:val="0"/>
            <w:vAlign w:val="top"/>
          </w:tcPr>
          <w:p w14:paraId="6561E100">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z w:val="21"/>
                <w:szCs w:val="21"/>
                <w:highlight w:val="none"/>
                <w:lang w:val="en-US" w:eastAsia="zh-CN"/>
              </w:rPr>
              <w:t>合价</w:t>
            </w:r>
          </w:p>
        </w:tc>
        <w:tc>
          <w:tcPr>
            <w:tcW w:w="1422" w:type="dxa"/>
            <w:tcBorders>
              <w:top w:val="single" w:color="000000" w:sz="2" w:space="0"/>
              <w:left w:val="single" w:color="000000" w:sz="2" w:space="0"/>
              <w:bottom w:val="single" w:color="000000" w:sz="2" w:space="0"/>
              <w:right w:val="single" w:color="000000" w:sz="2" w:space="0"/>
            </w:tcBorders>
            <w:noWrap w:val="0"/>
            <w:vAlign w:val="top"/>
          </w:tcPr>
          <w:p w14:paraId="1A58877B">
            <w:pPr>
              <w:pStyle w:val="28"/>
              <w:keepNext w:val="0"/>
              <w:keepLines w:val="0"/>
              <w:pageBreakBefore w:val="0"/>
              <w:wordWrap/>
              <w:overflowPunct/>
              <w:topLinePunct w:val="0"/>
              <w:bidi w:val="0"/>
              <w:snapToGrid w:val="0"/>
              <w:spacing w:before="210" w:line="400" w:lineRule="exact"/>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备注</w:t>
            </w:r>
          </w:p>
        </w:tc>
      </w:tr>
      <w:tr w14:paraId="79D5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7A62B234">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eastAsia="宋体" w:cs="宋体"/>
                <w:color w:val="auto"/>
                <w:sz w:val="21"/>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3BBE71B8">
            <w:pPr>
              <w:pStyle w:val="28"/>
              <w:keepNext w:val="0"/>
              <w:keepLines w:val="0"/>
              <w:pageBreakBefore w:val="0"/>
              <w:wordWrap/>
              <w:overflowPunct/>
              <w:topLinePunct w:val="0"/>
              <w:bidi w:val="0"/>
              <w:snapToGrid w:val="0"/>
              <w:spacing w:before="107" w:line="400" w:lineRule="exact"/>
              <w:ind w:left="205" w:right="195"/>
              <w:jc w:val="center"/>
              <w:rPr>
                <w:rFonts w:hint="eastAsia" w:ascii="宋体" w:hAnsi="宋体" w:eastAsia="宋体" w:cs="宋体"/>
                <w:color w:val="auto"/>
                <w:sz w:val="21"/>
                <w:szCs w:val="21"/>
                <w:highlight w:val="none"/>
              </w:rPr>
            </w:pPr>
          </w:p>
        </w:tc>
        <w:tc>
          <w:tcPr>
            <w:tcW w:w="1259" w:type="dxa"/>
            <w:tcBorders>
              <w:top w:val="single" w:color="000000" w:sz="2" w:space="0"/>
              <w:left w:val="single" w:color="000000" w:sz="2" w:space="0"/>
              <w:bottom w:val="single" w:color="000000" w:sz="2" w:space="0"/>
              <w:right w:val="single" w:color="000000" w:sz="2" w:space="0"/>
            </w:tcBorders>
            <w:noWrap w:val="0"/>
            <w:vAlign w:val="center"/>
          </w:tcPr>
          <w:p w14:paraId="54227744">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422" w:type="dxa"/>
            <w:tcBorders>
              <w:top w:val="single" w:color="000000" w:sz="2" w:space="0"/>
              <w:left w:val="single" w:color="000000" w:sz="2" w:space="0"/>
              <w:bottom w:val="single" w:color="000000" w:sz="2" w:space="0"/>
              <w:right w:val="single" w:color="000000" w:sz="2" w:space="0"/>
            </w:tcBorders>
            <w:noWrap w:val="0"/>
            <w:vAlign w:val="center"/>
          </w:tcPr>
          <w:p w14:paraId="5C069105">
            <w:pPr>
              <w:pStyle w:val="28"/>
              <w:keepNext w:val="0"/>
              <w:keepLines w:val="0"/>
              <w:pageBreakBefore w:val="0"/>
              <w:wordWrap/>
              <w:overflowPunct/>
              <w:topLinePunct w:val="0"/>
              <w:bidi w:val="0"/>
              <w:snapToGrid w:val="0"/>
              <w:spacing w:before="68" w:line="400" w:lineRule="exact"/>
              <w:jc w:val="center"/>
              <w:rPr>
                <w:rFonts w:hint="eastAsia" w:ascii="宋体" w:hAnsi="宋体" w:eastAsia="宋体" w:cs="宋体"/>
                <w:color w:val="auto"/>
                <w:sz w:val="21"/>
                <w:szCs w:val="21"/>
                <w:highlight w:val="none"/>
              </w:rPr>
            </w:pPr>
          </w:p>
        </w:tc>
        <w:tc>
          <w:tcPr>
            <w:tcW w:w="2056" w:type="dxa"/>
            <w:tcBorders>
              <w:top w:val="single" w:color="000000" w:sz="2" w:space="0"/>
              <w:left w:val="single" w:color="000000" w:sz="2" w:space="0"/>
              <w:bottom w:val="single" w:color="000000" w:sz="2" w:space="0"/>
              <w:right w:val="single" w:color="000000" w:sz="2" w:space="0"/>
            </w:tcBorders>
            <w:noWrap w:val="0"/>
            <w:vAlign w:val="center"/>
          </w:tcPr>
          <w:p w14:paraId="05723F06">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1"/>
                <w:szCs w:val="21"/>
                <w:highlight w:val="none"/>
              </w:rPr>
            </w:pPr>
          </w:p>
        </w:tc>
        <w:tc>
          <w:tcPr>
            <w:tcW w:w="1422" w:type="dxa"/>
            <w:tcBorders>
              <w:top w:val="single" w:color="000000" w:sz="2" w:space="0"/>
              <w:left w:val="single" w:color="000000" w:sz="2" w:space="0"/>
              <w:bottom w:val="single" w:color="000000" w:sz="2" w:space="0"/>
              <w:right w:val="single" w:color="000000" w:sz="2" w:space="0"/>
            </w:tcBorders>
            <w:noWrap w:val="0"/>
            <w:vAlign w:val="center"/>
          </w:tcPr>
          <w:p w14:paraId="0FDCC7E9">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1"/>
                <w:szCs w:val="21"/>
                <w:highlight w:val="none"/>
              </w:rPr>
            </w:pPr>
          </w:p>
        </w:tc>
      </w:tr>
      <w:tr w14:paraId="1C37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454" w:type="dxa"/>
            <w:gridSpan w:val="6"/>
            <w:tcBorders>
              <w:top w:val="single" w:color="000000" w:sz="2" w:space="0"/>
              <w:left w:val="single" w:color="000000" w:sz="2" w:space="0"/>
              <w:bottom w:val="single" w:color="000000" w:sz="2" w:space="0"/>
              <w:right w:val="single" w:color="000000" w:sz="2" w:space="0"/>
            </w:tcBorders>
            <w:noWrap w:val="0"/>
            <w:vAlign w:val="center"/>
          </w:tcPr>
          <w:p w14:paraId="19F7CDDB">
            <w:pPr>
              <w:keepNext w:val="0"/>
              <w:keepLines w:val="0"/>
              <w:pageBreakBefore w:val="0"/>
              <w:wordWrap/>
              <w:overflowPunct/>
              <w:topLinePunct w:val="0"/>
              <w:bidi w:val="0"/>
              <w:snapToGrid w:val="0"/>
              <w:spacing w:before="50" w:after="50" w:line="400" w:lineRule="exact"/>
              <w:ind w:firstLine="527" w:firstLineChars="250"/>
              <w:jc w:val="both"/>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投标总报价：</w:t>
            </w:r>
            <w:r>
              <w:rPr>
                <w:rFonts w:hint="eastAsia" w:ascii="宋体" w:hAnsi="宋体" w:eastAsia="宋体" w:cs="宋体"/>
                <w:b/>
                <w:bCs/>
                <w:color w:val="auto"/>
                <w:sz w:val="21"/>
                <w:szCs w:val="21"/>
                <w:highlight w:val="none"/>
              </w:rPr>
              <w:t xml:space="preserve">（大写）人民币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eastAsia="zh-CN"/>
              </w:rPr>
              <w:t>）</w:t>
            </w:r>
          </w:p>
        </w:tc>
      </w:tr>
      <w:tr w14:paraId="5430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9454" w:type="dxa"/>
            <w:gridSpan w:val="6"/>
            <w:tcBorders>
              <w:top w:val="single" w:color="000000" w:sz="2" w:space="0"/>
              <w:left w:val="single" w:color="000000" w:sz="2" w:space="0"/>
              <w:right w:val="single" w:color="000000" w:sz="2" w:space="0"/>
            </w:tcBorders>
            <w:noWrap w:val="0"/>
            <w:vAlign w:val="center"/>
          </w:tcPr>
          <w:p w14:paraId="4EB454E5">
            <w:pPr>
              <w:pStyle w:val="28"/>
              <w:keepNext w:val="0"/>
              <w:keepLines w:val="0"/>
              <w:pageBreakBefore w:val="0"/>
              <w:wordWrap/>
              <w:overflowPunct/>
              <w:topLinePunct w:val="0"/>
              <w:bidi w:val="0"/>
              <w:snapToGrid w:val="0"/>
              <w:spacing w:before="161" w:line="400" w:lineRule="exact"/>
              <w:ind w:left="117"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合同履约期限：</w:t>
            </w:r>
            <w:r>
              <w:rPr>
                <w:rFonts w:hint="eastAsia" w:ascii="宋体" w:hAnsi="宋体" w:eastAsia="宋体" w:cs="宋体"/>
                <w:b/>
                <w:color w:val="auto"/>
                <w:sz w:val="21"/>
                <w:szCs w:val="21"/>
                <w:highlight w:val="none"/>
                <w:u w:val="single"/>
              </w:rPr>
              <w:t xml:space="preserve">                            </w:t>
            </w:r>
          </w:p>
        </w:tc>
      </w:tr>
    </w:tbl>
    <w:p w14:paraId="3ED2F76B">
      <w:pPr>
        <w:widowControl w:val="0"/>
        <w:kinsoku/>
        <w:autoSpaceDE/>
        <w:autoSpaceDN/>
        <w:adjustRightInd/>
        <w:snapToGrid w:val="0"/>
        <w:spacing w:before="50" w:after="50" w:line="360" w:lineRule="auto"/>
        <w:jc w:val="left"/>
        <w:textAlignment w:val="auto"/>
        <w:rPr>
          <w:rFonts w:hint="eastAsia" w:ascii="仿宋" w:hAnsi="仿宋" w:eastAsia="仿宋" w:cs="仿宋"/>
          <w:snapToGrid/>
          <w:color w:val="auto"/>
          <w:kern w:val="0"/>
          <w:sz w:val="21"/>
          <w:szCs w:val="21"/>
          <w:highlight w:val="none"/>
          <w:lang w:val="zh-CN" w:eastAsia="zh-CN"/>
        </w:rPr>
      </w:pPr>
    </w:p>
    <w:p w14:paraId="6896260F">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p>
    <w:p w14:paraId="127F7179">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 xml:space="preserve">注： </w:t>
      </w:r>
    </w:p>
    <w:p w14:paraId="5A25C4FC">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1、供应商需按本表格式填写，不得自行更改，也不得留空（</w:t>
      </w:r>
      <w:r>
        <w:rPr>
          <w:rFonts w:hint="eastAsia" w:ascii="仿宋" w:hAnsi="仿宋" w:eastAsia="仿宋" w:cs="仿宋"/>
          <w:snapToGrid/>
          <w:color w:val="auto"/>
          <w:kern w:val="2"/>
          <w:sz w:val="21"/>
          <w:szCs w:val="21"/>
          <w:highlight w:val="none"/>
          <w:lang w:eastAsia="zh-CN"/>
        </w:rPr>
        <w:t>备注一栏除外</w:t>
      </w:r>
      <w:r>
        <w:rPr>
          <w:rFonts w:hint="eastAsia" w:ascii="仿宋" w:hAnsi="仿宋" w:eastAsia="仿宋" w:cs="仿宋"/>
          <w:snapToGrid/>
          <w:color w:val="auto"/>
          <w:kern w:val="0"/>
          <w:sz w:val="21"/>
          <w:szCs w:val="21"/>
          <w:highlight w:val="none"/>
          <w:lang w:val="zh-CN" w:eastAsia="zh-CN"/>
        </w:rPr>
        <w:t>）, 如有多分标，按分标分别提供响应报价表，</w:t>
      </w:r>
      <w:r>
        <w:rPr>
          <w:rFonts w:hint="eastAsia" w:ascii="仿宋" w:hAnsi="仿宋" w:eastAsia="仿宋" w:cs="仿宋"/>
          <w:b/>
          <w:snapToGrid/>
          <w:color w:val="auto"/>
          <w:kern w:val="0"/>
          <w:sz w:val="21"/>
          <w:szCs w:val="21"/>
          <w:highlight w:val="none"/>
          <w:lang w:val="zh-CN" w:eastAsia="zh-CN"/>
        </w:rPr>
        <w:t>否则其响应按无效响应处理。</w:t>
      </w:r>
    </w:p>
    <w:p w14:paraId="171DD6F4">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b/>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2、如为联合体响应的，“供应商名称”处必须列明联合体各方名称，并标注联合体牵头人名称，且盖章处须加盖联合体各方公章，</w:t>
      </w:r>
      <w:r>
        <w:rPr>
          <w:rFonts w:hint="eastAsia" w:ascii="仿宋" w:hAnsi="仿宋" w:eastAsia="仿宋" w:cs="仿宋"/>
          <w:b/>
          <w:snapToGrid/>
          <w:color w:val="auto"/>
          <w:kern w:val="0"/>
          <w:sz w:val="21"/>
          <w:szCs w:val="21"/>
          <w:highlight w:val="none"/>
          <w:lang w:val="zh-CN" w:eastAsia="zh-CN"/>
        </w:rPr>
        <w:t>否则其响应按无效响应处理。</w:t>
      </w:r>
    </w:p>
    <w:p w14:paraId="2BCF3D57">
      <w:pPr>
        <w:widowControl w:val="0"/>
        <w:kinsoku/>
        <w:autoSpaceDE/>
        <w:autoSpaceDN/>
        <w:adjustRightInd/>
        <w:snapToGrid w:val="0"/>
        <w:spacing w:before="50" w:after="50" w:line="360" w:lineRule="auto"/>
        <w:ind w:firstLine="420" w:firstLineChars="200"/>
        <w:jc w:val="left"/>
        <w:textAlignment w:val="auto"/>
        <w:rPr>
          <w:rFonts w:hint="eastAsia" w:ascii="仿宋" w:hAnsi="仿宋" w:eastAsia="仿宋" w:cs="仿宋"/>
          <w:b/>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3、</w:t>
      </w:r>
      <w:r>
        <w:rPr>
          <w:rFonts w:hint="eastAsia" w:ascii="仿宋" w:hAnsi="仿宋" w:eastAsia="仿宋" w:cs="仿宋"/>
          <w:snapToGrid/>
          <w:color w:val="auto"/>
          <w:kern w:val="0"/>
          <w:sz w:val="21"/>
          <w:szCs w:val="21"/>
          <w:highlight w:val="none"/>
          <w:lang w:val="en-US" w:eastAsia="zh-CN"/>
        </w:rPr>
        <w:t>请</w:t>
      </w:r>
      <w:r>
        <w:rPr>
          <w:rFonts w:hint="eastAsia" w:ascii="仿宋" w:hAnsi="仿宋" w:eastAsia="仿宋" w:cs="仿宋"/>
          <w:snapToGrid/>
          <w:color w:val="auto"/>
          <w:kern w:val="2"/>
          <w:sz w:val="21"/>
          <w:szCs w:val="21"/>
          <w:highlight w:val="none"/>
          <w:lang w:eastAsia="zh-CN"/>
        </w:rPr>
        <w:t>根据所</w:t>
      </w:r>
      <w:r>
        <w:rPr>
          <w:rFonts w:hint="eastAsia" w:ascii="仿宋" w:hAnsi="仿宋" w:eastAsia="仿宋" w:cs="仿宋"/>
          <w:snapToGrid/>
          <w:color w:val="auto"/>
          <w:kern w:val="2"/>
          <w:sz w:val="21"/>
          <w:szCs w:val="21"/>
          <w:highlight w:val="none"/>
          <w:lang w:val="en-US" w:eastAsia="zh-CN"/>
        </w:rPr>
        <w:t>竞</w:t>
      </w:r>
      <w:r>
        <w:rPr>
          <w:rFonts w:hint="eastAsia" w:ascii="仿宋" w:hAnsi="仿宋" w:eastAsia="仿宋" w:cs="仿宋"/>
          <w:snapToGrid/>
          <w:color w:val="auto"/>
          <w:kern w:val="2"/>
          <w:sz w:val="21"/>
          <w:szCs w:val="21"/>
          <w:highlight w:val="none"/>
          <w:lang w:eastAsia="zh-CN"/>
        </w:rPr>
        <w:t>服务内容，</w:t>
      </w:r>
      <w:r>
        <w:rPr>
          <w:rFonts w:hint="eastAsia" w:ascii="仿宋" w:hAnsi="仿宋" w:eastAsia="仿宋" w:cs="仿宋"/>
          <w:b w:val="0"/>
          <w:snapToGrid/>
          <w:color w:val="auto"/>
          <w:kern w:val="2"/>
          <w:sz w:val="21"/>
          <w:szCs w:val="21"/>
          <w:highlight w:val="none"/>
          <w:lang w:eastAsia="zh-CN"/>
        </w:rPr>
        <w:t>逐条对应</w:t>
      </w:r>
      <w:r>
        <w:rPr>
          <w:rFonts w:hint="eastAsia" w:ascii="仿宋" w:hAnsi="仿宋" w:eastAsia="仿宋" w:cs="仿宋"/>
          <w:snapToGrid/>
          <w:color w:val="auto"/>
          <w:kern w:val="2"/>
          <w:sz w:val="21"/>
          <w:szCs w:val="21"/>
          <w:highlight w:val="none"/>
          <w:lang w:eastAsia="zh-CN"/>
        </w:rPr>
        <w:t>本项目</w:t>
      </w:r>
      <w:r>
        <w:rPr>
          <w:rFonts w:hint="eastAsia" w:ascii="仿宋" w:hAnsi="仿宋" w:eastAsia="仿宋" w:cs="仿宋"/>
          <w:snapToGrid/>
          <w:color w:val="auto"/>
          <w:kern w:val="2"/>
          <w:sz w:val="21"/>
          <w:szCs w:val="21"/>
          <w:highlight w:val="none"/>
          <w:lang w:val="en-US" w:eastAsia="zh-CN"/>
        </w:rPr>
        <w:t>竞争性磋商</w:t>
      </w:r>
      <w:r>
        <w:rPr>
          <w:rFonts w:hint="eastAsia" w:ascii="仿宋" w:hAnsi="仿宋" w:eastAsia="仿宋" w:cs="仿宋"/>
          <w:snapToGrid/>
          <w:color w:val="auto"/>
          <w:kern w:val="2"/>
          <w:sz w:val="21"/>
          <w:szCs w:val="21"/>
          <w:highlight w:val="none"/>
          <w:lang w:eastAsia="zh-CN"/>
        </w:rPr>
        <w:t>文件“第二章</w:t>
      </w:r>
      <w:r>
        <w:rPr>
          <w:rFonts w:hint="eastAsia" w:ascii="仿宋" w:hAnsi="仿宋" w:eastAsia="仿宋" w:cs="仿宋"/>
          <w:snapToGrid/>
          <w:color w:val="auto"/>
          <w:kern w:val="2"/>
          <w:sz w:val="21"/>
          <w:szCs w:val="21"/>
          <w:highlight w:val="none"/>
          <w:lang w:val="en-US" w:eastAsia="zh-CN"/>
        </w:rPr>
        <w:t xml:space="preserve"> </w:t>
      </w:r>
      <w:r>
        <w:rPr>
          <w:rFonts w:hint="eastAsia" w:ascii="仿宋" w:hAnsi="仿宋" w:eastAsia="仿宋" w:cs="仿宋"/>
          <w:snapToGrid/>
          <w:color w:val="auto"/>
          <w:kern w:val="2"/>
          <w:sz w:val="21"/>
          <w:szCs w:val="21"/>
          <w:highlight w:val="none"/>
          <w:lang w:eastAsia="zh-CN"/>
        </w:rPr>
        <w:t>采购需求”中“服务要求”的内容详细填写相应的具体内容。</w:t>
      </w:r>
    </w:p>
    <w:p w14:paraId="06891CD1">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4、特别提示：采购代理机构将对项目名称和项目编号，成交供应商名称、地址和成交金额，主要成交标的名称、服务范围、服务要求、服务时间、服务标准等予以公示。</w:t>
      </w:r>
    </w:p>
    <w:p w14:paraId="3D255192">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zh-CN" w:eastAsia="zh-CN"/>
        </w:rPr>
        <w:t>5、符合采购文件中列明的可享受中小企业扶持政策的供应商，请填写中小企业声明函。</w:t>
      </w:r>
    </w:p>
    <w:p w14:paraId="4A71E411">
      <w:pPr>
        <w:widowControl w:val="0"/>
        <w:kinsoku/>
        <w:autoSpaceDE/>
        <w:autoSpaceDN/>
        <w:adjustRightInd/>
        <w:snapToGrid w:val="0"/>
        <w:spacing w:line="360" w:lineRule="auto"/>
        <w:ind w:firstLine="420" w:firstLineChars="200"/>
        <w:jc w:val="left"/>
        <w:textAlignment w:val="auto"/>
        <w:rPr>
          <w:rFonts w:hint="eastAsia" w:ascii="仿宋" w:hAnsi="仿宋" w:eastAsia="仿宋" w:cs="仿宋"/>
          <w:snapToGrid/>
          <w:color w:val="auto"/>
          <w:kern w:val="0"/>
          <w:sz w:val="21"/>
          <w:szCs w:val="21"/>
          <w:highlight w:val="none"/>
          <w:lang w:val="zh-CN" w:eastAsia="zh-CN"/>
        </w:rPr>
      </w:pPr>
      <w:r>
        <w:rPr>
          <w:rFonts w:hint="eastAsia" w:ascii="仿宋" w:hAnsi="仿宋" w:eastAsia="仿宋" w:cs="仿宋"/>
          <w:snapToGrid/>
          <w:color w:val="auto"/>
          <w:kern w:val="0"/>
          <w:sz w:val="21"/>
          <w:szCs w:val="21"/>
          <w:highlight w:val="none"/>
          <w:lang w:val="en-US" w:eastAsia="zh-CN"/>
        </w:rPr>
        <w:t>6、</w:t>
      </w:r>
      <w:r>
        <w:rPr>
          <w:rFonts w:hint="eastAsia" w:ascii="仿宋" w:hAnsi="仿宋" w:eastAsia="仿宋" w:cs="仿宋"/>
          <w:snapToGrid/>
          <w:color w:val="auto"/>
          <w:kern w:val="0"/>
          <w:sz w:val="21"/>
          <w:szCs w:val="21"/>
          <w:highlight w:val="none"/>
          <w:lang w:val="zh-CN" w:eastAsia="zh-CN"/>
        </w:rPr>
        <w:t>供应商提供的中小企业声明函内容不实的，属于提供虚假材料谋取中标、成交，依照《中华人民共和国政府采购法》等国家有关规定追究相应责任。</w:t>
      </w:r>
    </w:p>
    <w:p w14:paraId="7D16A8EF">
      <w:pPr>
        <w:widowControl w:val="0"/>
        <w:kinsoku/>
        <w:autoSpaceDE w:val="0"/>
        <w:autoSpaceDN w:val="0"/>
        <w:adjustRightInd/>
        <w:snapToGrid/>
        <w:spacing w:line="360" w:lineRule="auto"/>
        <w:ind w:left="0" w:leftChars="0" w:firstLine="4560" w:firstLineChars="1900"/>
        <w:jc w:val="both"/>
        <w:textAlignment w:val="auto"/>
        <w:rPr>
          <w:rFonts w:hint="eastAsia" w:ascii="仿宋" w:hAnsi="仿宋" w:eastAsia="仿宋" w:cs="仿宋"/>
          <w:snapToGrid/>
          <w:color w:val="auto"/>
          <w:kern w:val="0"/>
          <w:sz w:val="24"/>
          <w:szCs w:val="24"/>
          <w:highlight w:val="none"/>
          <w:lang w:eastAsia="zh-CN"/>
        </w:rPr>
      </w:pPr>
    </w:p>
    <w:p w14:paraId="43D4A1C2">
      <w:pPr>
        <w:widowControl w:val="0"/>
        <w:kinsoku/>
        <w:autoSpaceDE w:val="0"/>
        <w:autoSpaceDN w:val="0"/>
        <w:adjustRightInd/>
        <w:snapToGrid/>
        <w:spacing w:line="360" w:lineRule="auto"/>
        <w:ind w:left="0" w:leftChars="0" w:firstLine="4560" w:firstLineChars="1900"/>
        <w:jc w:val="both"/>
        <w:textAlignment w:val="auto"/>
        <w:rPr>
          <w:rFonts w:hint="eastAsia" w:ascii="仿宋" w:hAnsi="仿宋" w:eastAsia="仿宋" w:cs="仿宋"/>
          <w:snapToGrid/>
          <w:color w:val="auto"/>
          <w:kern w:val="0"/>
          <w:sz w:val="24"/>
          <w:szCs w:val="24"/>
          <w:highlight w:val="none"/>
          <w:lang w:eastAsia="zh-CN"/>
        </w:rPr>
      </w:pPr>
      <w:r>
        <w:rPr>
          <w:rFonts w:hint="eastAsia" w:ascii="仿宋" w:hAnsi="仿宋" w:eastAsia="仿宋" w:cs="仿宋"/>
          <w:snapToGrid/>
          <w:color w:val="auto"/>
          <w:kern w:val="0"/>
          <w:sz w:val="24"/>
          <w:szCs w:val="24"/>
          <w:highlight w:val="none"/>
          <w:lang w:eastAsia="zh-CN"/>
        </w:rPr>
        <w:t>供应商名称（盖公章）：</w:t>
      </w:r>
    </w:p>
    <w:p w14:paraId="7EBA456A">
      <w:pPr>
        <w:widowControl w:val="0"/>
        <w:kinsoku/>
        <w:autoSpaceDE w:val="0"/>
        <w:autoSpaceDN w:val="0"/>
        <w:adjustRightInd/>
        <w:snapToGrid/>
        <w:spacing w:line="360" w:lineRule="auto"/>
        <w:ind w:firstLine="4560" w:firstLineChars="1900"/>
        <w:jc w:val="both"/>
        <w:textAlignment w:val="auto"/>
        <w:rPr>
          <w:rFonts w:hint="eastAsia" w:ascii="仿宋" w:hAnsi="仿宋" w:eastAsia="仿宋" w:cs="仿宋"/>
          <w:snapToGrid/>
          <w:color w:val="auto"/>
          <w:kern w:val="0"/>
          <w:sz w:val="24"/>
          <w:szCs w:val="21"/>
          <w:highlight w:val="none"/>
          <w:lang w:val="zh-CN" w:eastAsia="zh-CN"/>
        </w:rPr>
      </w:pPr>
      <w:r>
        <w:rPr>
          <w:rFonts w:hint="eastAsia" w:ascii="仿宋" w:hAnsi="仿宋" w:eastAsia="仿宋" w:cs="仿宋"/>
          <w:snapToGrid/>
          <w:color w:val="auto"/>
          <w:kern w:val="0"/>
          <w:sz w:val="24"/>
          <w:szCs w:val="21"/>
          <w:highlight w:val="none"/>
          <w:lang w:val="zh-CN" w:eastAsia="zh-CN"/>
        </w:rPr>
        <w:t>日期：  年  月   日</w:t>
      </w:r>
    </w:p>
    <w:p w14:paraId="6C90999F">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left"/>
        <w:textAlignment w:val="auto"/>
        <w:outlineLvl w:val="1"/>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bookmarkStart w:id="85" w:name="_Toc634"/>
      <w:bookmarkStart w:id="86" w:name="_Toc4479"/>
      <w:bookmarkStart w:id="87" w:name="_Toc22222"/>
      <w:r>
        <w:rPr>
          <w:rFonts w:hint="eastAsia" w:ascii="仿宋" w:hAnsi="仿宋" w:eastAsia="仿宋" w:cs="仿宋"/>
          <w:b/>
          <w:snapToGrid/>
          <w:color w:val="auto"/>
          <w:kern w:val="2"/>
          <w:sz w:val="28"/>
          <w:szCs w:val="28"/>
          <w:highlight w:val="none"/>
          <w:lang w:eastAsia="zh-CN"/>
        </w:rPr>
        <w:t>三、商务技术文件格式</w:t>
      </w:r>
      <w:bookmarkEnd w:id="85"/>
      <w:bookmarkEnd w:id="86"/>
      <w:bookmarkEnd w:id="87"/>
      <w:r>
        <w:rPr>
          <w:rFonts w:hint="eastAsia" w:ascii="仿宋" w:hAnsi="仿宋" w:eastAsia="仿宋" w:cs="仿宋"/>
          <w:b/>
          <w:snapToGrid/>
          <w:color w:val="auto"/>
          <w:kern w:val="2"/>
          <w:sz w:val="28"/>
          <w:szCs w:val="28"/>
          <w:highlight w:val="none"/>
          <w:lang w:eastAsia="zh-CN"/>
        </w:rPr>
        <w:t xml:space="preserve"> </w:t>
      </w:r>
    </w:p>
    <w:p w14:paraId="2722F7FE">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bookmarkStart w:id="88" w:name="_Toc25545"/>
      <w:bookmarkStart w:id="89" w:name="_Toc15412"/>
      <w:bookmarkStart w:id="90" w:name="_Toc424"/>
      <w:r>
        <w:rPr>
          <w:rFonts w:hint="eastAsia" w:ascii="仿宋" w:hAnsi="仿宋" w:eastAsia="仿宋" w:cs="仿宋"/>
          <w:b/>
          <w:snapToGrid/>
          <w:color w:val="auto"/>
          <w:kern w:val="2"/>
          <w:sz w:val="24"/>
          <w:szCs w:val="24"/>
          <w:highlight w:val="none"/>
          <w:lang w:eastAsia="zh-CN"/>
        </w:rPr>
        <w:t>1.商务技术文件封面格式</w:t>
      </w:r>
      <w:bookmarkEnd w:id="88"/>
      <w:bookmarkEnd w:id="89"/>
      <w:bookmarkEnd w:id="90"/>
    </w:p>
    <w:p w14:paraId="0A928A32">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58CA589A">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44"/>
          <w:szCs w:val="44"/>
          <w:highlight w:val="none"/>
          <w:lang w:eastAsia="zh-CN"/>
        </w:rPr>
      </w:pPr>
      <w:r>
        <w:rPr>
          <w:rFonts w:hint="eastAsia" w:ascii="仿宋" w:hAnsi="仿宋" w:eastAsia="仿宋" w:cs="仿宋"/>
          <w:snapToGrid/>
          <w:color w:val="auto"/>
          <w:kern w:val="2"/>
          <w:sz w:val="44"/>
          <w:szCs w:val="44"/>
          <w:highlight w:val="none"/>
          <w:lang w:eastAsia="zh-CN"/>
        </w:rPr>
        <w:t>电 子 响 应 文 件</w:t>
      </w:r>
    </w:p>
    <w:p w14:paraId="6C0E6F03">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2F2A35EF">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6BA9E95E">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bCs/>
          <w:snapToGrid/>
          <w:color w:val="auto"/>
          <w:kern w:val="2"/>
          <w:sz w:val="44"/>
          <w:szCs w:val="44"/>
          <w:highlight w:val="none"/>
          <w:lang w:eastAsia="zh-CN"/>
        </w:rPr>
      </w:pPr>
      <w:r>
        <w:rPr>
          <w:rFonts w:hint="eastAsia" w:ascii="仿宋" w:hAnsi="仿宋" w:eastAsia="仿宋" w:cs="仿宋"/>
          <w:bCs/>
          <w:snapToGrid/>
          <w:color w:val="auto"/>
          <w:kern w:val="2"/>
          <w:sz w:val="44"/>
          <w:szCs w:val="44"/>
          <w:highlight w:val="none"/>
          <w:lang w:eastAsia="zh-CN"/>
        </w:rPr>
        <w:t>商  务  技  术  文  件</w:t>
      </w:r>
    </w:p>
    <w:p w14:paraId="08B97D6D">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72A922DB">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kern w:val="2"/>
          <w:sz w:val="24"/>
          <w:szCs w:val="24"/>
          <w:highlight w:val="none"/>
          <w:lang w:eastAsia="zh-CN"/>
        </w:rPr>
      </w:pPr>
    </w:p>
    <w:p w14:paraId="2CBFFBBC">
      <w:pPr>
        <w:widowControl w:val="0"/>
        <w:shd w:val="clear" w:color="auto" w:fill="auto"/>
        <w:kinsoku/>
        <w:autoSpaceDE/>
        <w:autoSpaceDN/>
        <w:adjustRightInd/>
        <w:snapToGrid w:val="0"/>
        <w:spacing w:before="156" w:beforeLines="50" w:after="50" w:line="240" w:lineRule="auto"/>
        <w:ind w:firstLine="640" w:firstLineChars="200"/>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项目名称：</w:t>
      </w:r>
    </w:p>
    <w:p w14:paraId="7803EED9">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6822A304">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项目编号：</w:t>
      </w:r>
    </w:p>
    <w:p w14:paraId="7B9BD0A5">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 xml:space="preserve"> </w:t>
      </w:r>
    </w:p>
    <w:p w14:paraId="6BDEE84C">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r>
        <w:rPr>
          <w:rFonts w:hint="eastAsia" w:ascii="仿宋" w:hAnsi="仿宋" w:eastAsia="仿宋" w:cs="仿宋"/>
          <w:bCs/>
          <w:snapToGrid/>
          <w:color w:val="auto"/>
          <w:kern w:val="2"/>
          <w:sz w:val="32"/>
          <w:szCs w:val="32"/>
          <w:highlight w:val="none"/>
          <w:lang w:eastAsia="zh-CN"/>
        </w:rPr>
        <w:t>所竞</w:t>
      </w:r>
      <w:r>
        <w:rPr>
          <w:rFonts w:hint="eastAsia" w:ascii="仿宋" w:hAnsi="仿宋" w:eastAsia="仿宋" w:cs="仿宋"/>
          <w:bCs/>
          <w:snapToGrid/>
          <w:color w:val="auto"/>
          <w:kern w:val="2"/>
          <w:sz w:val="32"/>
          <w:szCs w:val="32"/>
          <w:highlight w:val="none"/>
          <w:lang w:val="en-US" w:eastAsia="zh-CN"/>
        </w:rPr>
        <w:t>标段</w:t>
      </w:r>
      <w:r>
        <w:rPr>
          <w:rFonts w:hint="eastAsia" w:ascii="仿宋" w:hAnsi="仿宋" w:eastAsia="仿宋" w:cs="仿宋"/>
          <w:bCs/>
          <w:snapToGrid/>
          <w:color w:val="auto"/>
          <w:kern w:val="2"/>
          <w:sz w:val="32"/>
          <w:szCs w:val="32"/>
          <w:highlight w:val="none"/>
          <w:lang w:eastAsia="zh-CN"/>
        </w:rPr>
        <w:t>：</w:t>
      </w:r>
    </w:p>
    <w:p w14:paraId="09B9B0A6">
      <w:pPr>
        <w:widowControl w:val="0"/>
        <w:shd w:val="clear" w:color="auto" w:fill="auto"/>
        <w:kinsoku/>
        <w:autoSpaceDE/>
        <w:autoSpaceDN/>
        <w:adjustRightInd/>
        <w:snapToGrid w:val="0"/>
        <w:spacing w:before="156" w:beforeLines="50" w:after="50" w:line="240" w:lineRule="auto"/>
        <w:ind w:firstLine="720" w:firstLineChars="225"/>
        <w:jc w:val="both"/>
        <w:textAlignment w:val="auto"/>
        <w:rPr>
          <w:rFonts w:hint="eastAsia" w:ascii="仿宋" w:hAnsi="仿宋" w:eastAsia="仿宋" w:cs="仿宋"/>
          <w:bCs/>
          <w:snapToGrid/>
          <w:color w:val="auto"/>
          <w:kern w:val="2"/>
          <w:sz w:val="32"/>
          <w:szCs w:val="32"/>
          <w:highlight w:val="none"/>
          <w:lang w:eastAsia="zh-CN"/>
        </w:rPr>
      </w:pPr>
    </w:p>
    <w:p w14:paraId="334EF498">
      <w:pPr>
        <w:pStyle w:val="6"/>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64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kern w:val="2"/>
          <w:sz w:val="32"/>
          <w:szCs w:val="32"/>
          <w:highlight w:val="none"/>
          <w:lang w:val="en-US" w:eastAsia="zh-CN" w:bidi="ar-SA"/>
        </w:rPr>
        <w:t>供应商名称：</w:t>
      </w:r>
    </w:p>
    <w:p w14:paraId="2A1599DC">
      <w:pPr>
        <w:pStyle w:val="6"/>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4E7F501B">
      <w:pPr>
        <w:pStyle w:val="6"/>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71A13312">
      <w:pPr>
        <w:pStyle w:val="6"/>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p>
    <w:p w14:paraId="0EADD13B">
      <w:pPr>
        <w:widowControl w:val="0"/>
        <w:shd w:val="clear" w:color="auto" w:fill="auto"/>
        <w:kinsoku/>
        <w:autoSpaceDE/>
        <w:autoSpaceDN/>
        <w:adjustRightInd/>
        <w:snapToGrid w:val="0"/>
        <w:spacing w:before="156" w:beforeLines="50" w:after="50" w:line="240" w:lineRule="auto"/>
        <w:jc w:val="center"/>
        <w:textAlignment w:val="auto"/>
        <w:rPr>
          <w:rFonts w:hint="eastAsia" w:ascii="仿宋" w:hAnsi="仿宋" w:eastAsia="仿宋" w:cs="仿宋"/>
          <w:snapToGrid/>
          <w:color w:val="auto"/>
          <w:kern w:val="2"/>
          <w:sz w:val="32"/>
          <w:szCs w:val="32"/>
          <w:highlight w:val="none"/>
          <w:lang w:eastAsia="zh-CN"/>
        </w:rPr>
      </w:pPr>
      <w:r>
        <w:rPr>
          <w:rFonts w:hint="eastAsia" w:ascii="仿宋" w:hAnsi="仿宋" w:eastAsia="仿宋" w:cs="仿宋"/>
          <w:snapToGrid/>
          <w:color w:val="auto"/>
          <w:kern w:val="2"/>
          <w:sz w:val="32"/>
          <w:szCs w:val="32"/>
          <w:highlight w:val="none"/>
          <w:lang w:eastAsia="zh-CN"/>
        </w:rPr>
        <w:t>年    月    日</w:t>
      </w:r>
    </w:p>
    <w:p w14:paraId="39BE8DFE">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91" w:name="_Toc19005"/>
      <w:bookmarkStart w:id="92" w:name="_Toc21480"/>
      <w:bookmarkStart w:id="93" w:name="_Toc16915"/>
      <w:r>
        <w:rPr>
          <w:rFonts w:hint="eastAsia" w:ascii="仿宋" w:hAnsi="仿宋" w:eastAsia="仿宋" w:cs="仿宋"/>
          <w:b/>
          <w:bCs/>
          <w:snapToGrid/>
          <w:color w:val="auto"/>
          <w:kern w:val="2"/>
          <w:sz w:val="24"/>
          <w:szCs w:val="24"/>
          <w:highlight w:val="none"/>
          <w:lang w:eastAsia="zh-CN"/>
        </w:rPr>
        <w:t>2.商务技术文件目录</w:t>
      </w:r>
      <w:bookmarkEnd w:id="91"/>
      <w:bookmarkEnd w:id="92"/>
      <w:bookmarkEnd w:id="93"/>
    </w:p>
    <w:p w14:paraId="0C34FDE4">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根据磋商文件规定及供应商提供的材料自行编写目录（部分格式后附）。</w:t>
      </w:r>
    </w:p>
    <w:p w14:paraId="4CB6C5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30448D28">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94" w:name="_Toc27543"/>
      <w:bookmarkStart w:id="95" w:name="_Toc893"/>
      <w:bookmarkStart w:id="96" w:name="_Toc4718"/>
      <w:r>
        <w:rPr>
          <w:rFonts w:hint="eastAsia" w:ascii="仿宋" w:hAnsi="仿宋" w:eastAsia="仿宋" w:cs="仿宋"/>
          <w:b/>
          <w:bCs/>
          <w:snapToGrid/>
          <w:color w:val="auto"/>
          <w:kern w:val="2"/>
          <w:sz w:val="24"/>
          <w:szCs w:val="24"/>
          <w:highlight w:val="none"/>
          <w:lang w:val="en-US" w:eastAsia="zh-CN"/>
        </w:rPr>
        <w:t>3.</w:t>
      </w:r>
      <w:r>
        <w:rPr>
          <w:rFonts w:hint="eastAsia" w:ascii="仿宋" w:hAnsi="仿宋" w:eastAsia="仿宋" w:cs="仿宋"/>
          <w:b/>
          <w:bCs/>
          <w:snapToGrid/>
          <w:color w:val="auto"/>
          <w:kern w:val="2"/>
          <w:sz w:val="24"/>
          <w:szCs w:val="24"/>
          <w:highlight w:val="none"/>
          <w:lang w:eastAsia="zh-CN"/>
        </w:rPr>
        <w:t>无串通竞标行为的承诺函</w:t>
      </w:r>
      <w:bookmarkEnd w:id="94"/>
      <w:bookmarkEnd w:id="95"/>
      <w:bookmarkEnd w:id="96"/>
    </w:p>
    <w:p w14:paraId="19C0529A">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无串通竞标行为的承诺函</w:t>
      </w:r>
    </w:p>
    <w:p w14:paraId="3754BC1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一、我方承诺无下列相互串通竞标的情形：</w:t>
      </w:r>
    </w:p>
    <w:p w14:paraId="38513DB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1.不同供应商的响应文件由同一单位或者个人编制； </w:t>
      </w:r>
    </w:p>
    <w:p w14:paraId="2ACA737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2.不同供应商委托同一单位或者个人办理竞标事宜；</w:t>
      </w:r>
    </w:p>
    <w:p w14:paraId="134E3D7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3.不同供应商的响应文件载明的项目管理员为同一个人；</w:t>
      </w:r>
    </w:p>
    <w:p w14:paraId="73CF4A3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4.不</w:t>
      </w:r>
      <w:r>
        <w:rPr>
          <w:rFonts w:hint="eastAsia" w:ascii="仿宋" w:hAnsi="仿宋" w:eastAsia="仿宋" w:cs="仿宋"/>
          <w:snapToGrid/>
          <w:color w:val="auto"/>
          <w:spacing w:val="-6"/>
          <w:kern w:val="2"/>
          <w:sz w:val="24"/>
          <w:szCs w:val="24"/>
          <w:highlight w:val="none"/>
          <w:lang w:eastAsia="zh-CN"/>
        </w:rPr>
        <w:t>同供应商的响应文件异常一致或者竞标报价呈规律性差异；</w:t>
      </w:r>
    </w:p>
    <w:p w14:paraId="2CE58FF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5.不同供应商的响应文件相互混装；</w:t>
      </w:r>
    </w:p>
    <w:p w14:paraId="7379EE9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6.不同供应商的磋商保证金从同一单位或者个人账户转出。</w:t>
      </w:r>
    </w:p>
    <w:p w14:paraId="6836615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二、我方承诺无下列恶意串通的情形：</w:t>
      </w:r>
    </w:p>
    <w:p w14:paraId="66E98CD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1.供应商直接或者间接从采购人或者采购代理机构处获得其他供应商的相关信息并修改其响应文件；</w:t>
      </w:r>
    </w:p>
    <w:p w14:paraId="3CC911F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2.供应商按照采购人或者采购代理机构的授意撤换、修改响应文件；</w:t>
      </w:r>
    </w:p>
    <w:p w14:paraId="48709F8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3.供</w:t>
      </w:r>
      <w:r>
        <w:rPr>
          <w:rFonts w:hint="eastAsia" w:ascii="仿宋" w:hAnsi="仿宋" w:eastAsia="仿宋" w:cs="仿宋"/>
          <w:snapToGrid/>
          <w:color w:val="auto"/>
          <w:spacing w:val="-6"/>
          <w:kern w:val="2"/>
          <w:sz w:val="24"/>
          <w:szCs w:val="24"/>
          <w:highlight w:val="none"/>
          <w:lang w:eastAsia="zh-CN"/>
        </w:rPr>
        <w:t>应商之间协商报价、技术方案等响应文件的实质性内容；</w:t>
      </w:r>
    </w:p>
    <w:p w14:paraId="6CFEC93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4.属于同一集团、协会、商会等组织成员的供应商按照该组织要求协同参加政府采购活动；</w:t>
      </w:r>
    </w:p>
    <w:p w14:paraId="4C3B74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5.供应商之间事先约定一致抬高或者压低竞标报价，或者在竞争性磋商项目中事先约定轮流以高价位或者低价位成交，或者事先约定由某一特定供应商成交，然后再参加竞标；</w:t>
      </w:r>
    </w:p>
    <w:p w14:paraId="0493040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6.供应商之间商定部分供应商放弃参加政府采购活动或者放弃成交；</w:t>
      </w:r>
    </w:p>
    <w:p w14:paraId="7F3EA54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7.供应商与采购人或者采购代理机构之间、供应商相互之间，为</w:t>
      </w:r>
      <w:r>
        <w:rPr>
          <w:rFonts w:hint="eastAsia" w:ascii="仿宋" w:hAnsi="仿宋" w:eastAsia="仿宋" w:cs="仿宋"/>
          <w:snapToGrid/>
          <w:color w:val="auto"/>
          <w:spacing w:val="-6"/>
          <w:kern w:val="2"/>
          <w:sz w:val="24"/>
          <w:szCs w:val="24"/>
          <w:highlight w:val="none"/>
          <w:lang w:eastAsia="zh-CN"/>
        </w:rPr>
        <w:t>谋求特定供应商成交或者排斥其他供应商的其他串通行为。</w:t>
      </w:r>
    </w:p>
    <w:p w14:paraId="4686EC0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CC0008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以上情形一经核查属实，我方愿意承担一切后果，并不再寻求任何旨在减轻或者免除法律责任的辩解。</w:t>
      </w:r>
    </w:p>
    <w:p w14:paraId="533D4476">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114E61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4F0F88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212DD583">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br w:type="page"/>
      </w:r>
      <w:bookmarkStart w:id="97" w:name="_Toc179"/>
      <w:bookmarkStart w:id="98" w:name="_Toc12011"/>
      <w:bookmarkStart w:id="99" w:name="_Toc855"/>
      <w:r>
        <w:rPr>
          <w:rFonts w:hint="eastAsia" w:ascii="仿宋" w:hAnsi="仿宋" w:eastAsia="仿宋" w:cs="仿宋"/>
          <w:b/>
          <w:bCs w:val="0"/>
          <w:snapToGrid/>
          <w:color w:val="auto"/>
          <w:kern w:val="2"/>
          <w:sz w:val="24"/>
          <w:szCs w:val="24"/>
          <w:highlight w:val="none"/>
          <w:lang w:val="en-US" w:eastAsia="zh-CN"/>
        </w:rPr>
        <w:t>4.</w:t>
      </w:r>
      <w:r>
        <w:rPr>
          <w:rFonts w:hint="eastAsia" w:ascii="仿宋" w:hAnsi="仿宋" w:eastAsia="仿宋" w:cs="仿宋"/>
          <w:b/>
          <w:bCs w:val="0"/>
          <w:snapToGrid/>
          <w:color w:val="auto"/>
          <w:kern w:val="2"/>
          <w:sz w:val="24"/>
          <w:szCs w:val="24"/>
          <w:highlight w:val="none"/>
          <w:lang w:eastAsia="zh-CN"/>
        </w:rPr>
        <w:t>法定代表人证明书</w:t>
      </w:r>
      <w:bookmarkEnd w:id="97"/>
      <w:bookmarkEnd w:id="98"/>
      <w:bookmarkEnd w:id="99"/>
    </w:p>
    <w:p w14:paraId="088B20A5">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法定代表人证明书</w:t>
      </w:r>
    </w:p>
    <w:p w14:paraId="766F416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供应商名称：</w:t>
      </w:r>
      <w:r>
        <w:rPr>
          <w:rFonts w:hint="eastAsia" w:ascii="仿宋" w:hAnsi="仿宋" w:eastAsia="仿宋" w:cs="仿宋"/>
          <w:snapToGrid/>
          <w:color w:val="auto"/>
          <w:kern w:val="2"/>
          <w:sz w:val="24"/>
          <w:szCs w:val="24"/>
          <w:highlight w:val="none"/>
          <w:u w:val="single"/>
          <w:lang w:val="en-US" w:eastAsia="zh-CN"/>
        </w:rPr>
        <w:t xml:space="preserve">                              </w:t>
      </w:r>
    </w:p>
    <w:p w14:paraId="0A3C0AC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地    址：</w:t>
      </w:r>
      <w:r>
        <w:rPr>
          <w:rFonts w:hint="eastAsia" w:ascii="仿宋" w:hAnsi="仿宋" w:eastAsia="仿宋" w:cs="仿宋"/>
          <w:snapToGrid/>
          <w:color w:val="auto"/>
          <w:kern w:val="2"/>
          <w:sz w:val="24"/>
          <w:szCs w:val="24"/>
          <w:highlight w:val="none"/>
          <w:u w:val="single"/>
          <w:lang w:val="en-US" w:eastAsia="zh-CN"/>
        </w:rPr>
        <w:t xml:space="preserve">                              </w:t>
      </w:r>
    </w:p>
    <w:p w14:paraId="0C94E4B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姓    名：</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none"/>
          <w:lang w:val="en-US" w:eastAsia="zh-CN"/>
        </w:rPr>
        <w:t xml:space="preserve">   </w:t>
      </w:r>
      <w:r>
        <w:rPr>
          <w:rFonts w:hint="eastAsia" w:ascii="仿宋" w:hAnsi="仿宋" w:eastAsia="仿宋" w:cs="仿宋"/>
          <w:snapToGrid/>
          <w:color w:val="auto"/>
          <w:kern w:val="2"/>
          <w:sz w:val="24"/>
          <w:szCs w:val="24"/>
          <w:highlight w:val="none"/>
          <w:lang w:eastAsia="zh-CN"/>
        </w:rPr>
        <w:t>性     别：</w:t>
      </w:r>
      <w:r>
        <w:rPr>
          <w:rFonts w:hint="eastAsia" w:ascii="仿宋" w:hAnsi="仿宋" w:eastAsia="仿宋" w:cs="仿宋"/>
          <w:snapToGrid/>
          <w:color w:val="auto"/>
          <w:kern w:val="2"/>
          <w:sz w:val="24"/>
          <w:szCs w:val="24"/>
          <w:highlight w:val="none"/>
          <w:u w:val="single"/>
          <w:lang w:val="en-US" w:eastAsia="zh-CN"/>
        </w:rPr>
        <w:t xml:space="preserve">               </w:t>
      </w:r>
    </w:p>
    <w:p w14:paraId="403EADA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2"/>
          <w:sz w:val="24"/>
          <w:szCs w:val="24"/>
          <w:highlight w:val="none"/>
          <w:lang w:eastAsia="zh-CN"/>
        </w:rPr>
        <w:t>年    龄：</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u w:val="none"/>
          <w:lang w:val="en-US" w:eastAsia="zh-CN"/>
        </w:rPr>
        <w:t xml:space="preserve">   </w:t>
      </w:r>
      <w:r>
        <w:rPr>
          <w:rFonts w:hint="eastAsia" w:ascii="仿宋" w:hAnsi="仿宋" w:eastAsia="仿宋" w:cs="仿宋"/>
          <w:snapToGrid/>
          <w:color w:val="auto"/>
          <w:kern w:val="2"/>
          <w:sz w:val="24"/>
          <w:szCs w:val="24"/>
          <w:highlight w:val="none"/>
          <w:lang w:eastAsia="zh-CN"/>
        </w:rPr>
        <w:t>职     务：</w:t>
      </w:r>
      <w:r>
        <w:rPr>
          <w:rFonts w:hint="eastAsia" w:ascii="仿宋" w:hAnsi="仿宋" w:eastAsia="仿宋" w:cs="仿宋"/>
          <w:snapToGrid/>
          <w:color w:val="auto"/>
          <w:kern w:val="2"/>
          <w:sz w:val="24"/>
          <w:szCs w:val="24"/>
          <w:highlight w:val="none"/>
          <w:u w:val="single"/>
          <w:lang w:val="en-US" w:eastAsia="zh-CN"/>
        </w:rPr>
        <w:t xml:space="preserve">                </w:t>
      </w:r>
    </w:p>
    <w:p w14:paraId="06DAEDB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身份证号码：</w:t>
      </w:r>
      <w:r>
        <w:rPr>
          <w:rFonts w:hint="eastAsia" w:ascii="仿宋" w:hAnsi="仿宋" w:eastAsia="仿宋" w:cs="仿宋"/>
          <w:snapToGrid/>
          <w:color w:val="auto"/>
          <w:kern w:val="2"/>
          <w:sz w:val="24"/>
          <w:szCs w:val="24"/>
          <w:highlight w:val="none"/>
          <w:u w:val="single"/>
          <w:lang w:val="en-US" w:eastAsia="zh-CN"/>
        </w:rPr>
        <w:t xml:space="preserve">               </w:t>
      </w:r>
    </w:p>
    <w:p w14:paraId="373AE5F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系</w:t>
      </w:r>
      <w:r>
        <w:rPr>
          <w:rFonts w:hint="eastAsia" w:ascii="仿宋" w:hAnsi="仿宋" w:eastAsia="仿宋" w:cs="仿宋"/>
          <w:snapToGrid/>
          <w:color w:val="auto"/>
          <w:kern w:val="2"/>
          <w:sz w:val="24"/>
          <w:szCs w:val="24"/>
          <w:highlight w:val="none"/>
          <w:u w:val="single"/>
          <w:lang w:eastAsia="zh-CN"/>
        </w:rPr>
        <w:t>（供应商名称）</w:t>
      </w:r>
      <w:r>
        <w:rPr>
          <w:rFonts w:hint="eastAsia" w:ascii="仿宋" w:hAnsi="仿宋" w:eastAsia="仿宋" w:cs="仿宋"/>
          <w:snapToGrid/>
          <w:color w:val="auto"/>
          <w:kern w:val="2"/>
          <w:sz w:val="24"/>
          <w:szCs w:val="24"/>
          <w:highlight w:val="none"/>
          <w:lang w:eastAsia="zh-CN"/>
        </w:rPr>
        <w:t>的法定代表人。</w:t>
      </w:r>
    </w:p>
    <w:p w14:paraId="7565C04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特此证明。</w:t>
      </w:r>
    </w:p>
    <w:p w14:paraId="2ACAA5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634DAC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311075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A3AB08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附件：法定代表人有效身份证正反面复印件</w:t>
      </w:r>
    </w:p>
    <w:p w14:paraId="43CB6E2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FD511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7D308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1C2BFD6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kern w:val="2"/>
          <w:sz w:val="24"/>
          <w:szCs w:val="24"/>
          <w:highlight w:val="none"/>
          <w:lang w:eastAsia="zh-CN"/>
        </w:rPr>
      </w:pPr>
    </w:p>
    <w:p w14:paraId="2733467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E4C688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注：自然人竞标的无需提供，联合体竞标的只需牵头人出具。</w:t>
      </w:r>
    </w:p>
    <w:p w14:paraId="479FE37F">
      <w:pPr>
        <w:keepNext w:val="0"/>
        <w:keepLines w:val="0"/>
        <w:pageBreakBefore w:val="0"/>
        <w:widowControl w:val="0"/>
        <w:kinsoku/>
        <w:topLinePunct w:val="0"/>
        <w:autoSpaceDE/>
        <w:autoSpaceDN/>
        <w:bidi w:val="0"/>
        <w:adjustRightInd w:val="0"/>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p w14:paraId="47F9B3C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p>
    <w:p w14:paraId="5182F881">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100" w:name="_Toc22138"/>
      <w:bookmarkStart w:id="101" w:name="_Toc10332"/>
      <w:bookmarkStart w:id="102" w:name="_Toc6874"/>
      <w:bookmarkStart w:id="103" w:name="_Hlk65853643"/>
      <w:r>
        <w:rPr>
          <w:rFonts w:hint="eastAsia" w:ascii="仿宋" w:hAnsi="仿宋" w:eastAsia="仿宋" w:cs="仿宋"/>
          <w:b/>
          <w:bCs/>
          <w:snapToGrid/>
          <w:color w:val="auto"/>
          <w:kern w:val="2"/>
          <w:sz w:val="24"/>
          <w:szCs w:val="24"/>
          <w:highlight w:val="none"/>
          <w:lang w:val="en-US" w:eastAsia="zh-CN"/>
        </w:rPr>
        <w:t>5.</w:t>
      </w:r>
      <w:r>
        <w:rPr>
          <w:rFonts w:hint="eastAsia" w:ascii="仿宋" w:hAnsi="仿宋" w:eastAsia="仿宋" w:cs="仿宋"/>
          <w:b/>
          <w:bCs/>
          <w:snapToGrid/>
          <w:color w:val="auto"/>
          <w:kern w:val="2"/>
          <w:sz w:val="24"/>
          <w:szCs w:val="24"/>
          <w:highlight w:val="none"/>
          <w:lang w:eastAsia="zh-CN"/>
        </w:rPr>
        <w:t>授权委托书</w:t>
      </w:r>
      <w:bookmarkEnd w:id="100"/>
      <w:bookmarkEnd w:id="101"/>
      <w:bookmarkEnd w:id="102"/>
    </w:p>
    <w:p w14:paraId="695A9A4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授权委托书</w:t>
      </w:r>
    </w:p>
    <w:p w14:paraId="40EA511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（非联合体竞标格式）</w:t>
      </w:r>
    </w:p>
    <w:p w14:paraId="6484B39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（如有委托时）</w:t>
      </w:r>
    </w:p>
    <w:p w14:paraId="1CC91B7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53BDDF3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致：</w:t>
      </w:r>
      <w:r>
        <w:rPr>
          <w:rFonts w:hint="eastAsia" w:ascii="仿宋" w:hAnsi="仿宋" w:eastAsia="仿宋" w:cs="仿宋"/>
          <w:snapToGrid/>
          <w:color w:val="auto"/>
          <w:kern w:val="2"/>
          <w:sz w:val="24"/>
          <w:szCs w:val="24"/>
          <w:highlight w:val="none"/>
          <w:u w:val="single"/>
          <w:lang w:eastAsia="zh-CN"/>
        </w:rPr>
        <w:t>（采购人名称）</w:t>
      </w:r>
      <w:r>
        <w:rPr>
          <w:rFonts w:hint="eastAsia" w:ascii="仿宋" w:hAnsi="仿宋" w:eastAsia="仿宋" w:cs="仿宋"/>
          <w:snapToGrid/>
          <w:color w:val="auto"/>
          <w:kern w:val="2"/>
          <w:sz w:val="24"/>
          <w:szCs w:val="24"/>
          <w:highlight w:val="none"/>
          <w:lang w:eastAsia="zh-CN"/>
        </w:rPr>
        <w:t>：</w:t>
      </w:r>
    </w:p>
    <w:p w14:paraId="090971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w:t>
      </w:r>
      <w:r>
        <w:rPr>
          <w:rFonts w:hint="eastAsia" w:ascii="仿宋" w:hAnsi="仿宋" w:eastAsia="仿宋" w:cs="仿宋"/>
          <w:snapToGrid/>
          <w:color w:val="auto"/>
          <w:kern w:val="2"/>
          <w:sz w:val="24"/>
          <w:szCs w:val="24"/>
          <w:highlight w:val="none"/>
          <w:u w:val="single"/>
          <w:lang w:eastAsia="zh-CN"/>
        </w:rPr>
        <w:t xml:space="preserve">  （姓名）  </w:t>
      </w:r>
      <w:r>
        <w:rPr>
          <w:rFonts w:hint="eastAsia" w:ascii="仿宋" w:hAnsi="仿宋" w:eastAsia="仿宋" w:cs="仿宋"/>
          <w:snapToGrid/>
          <w:color w:val="auto"/>
          <w:kern w:val="2"/>
          <w:sz w:val="24"/>
          <w:szCs w:val="24"/>
          <w:highlight w:val="none"/>
          <w:lang w:eastAsia="zh-CN"/>
        </w:rPr>
        <w:t>系</w:t>
      </w:r>
      <w:r>
        <w:rPr>
          <w:rFonts w:hint="eastAsia" w:ascii="仿宋" w:hAnsi="仿宋" w:eastAsia="仿宋" w:cs="仿宋"/>
          <w:snapToGrid/>
          <w:color w:val="auto"/>
          <w:kern w:val="2"/>
          <w:sz w:val="24"/>
          <w:szCs w:val="24"/>
          <w:highlight w:val="none"/>
          <w:u w:val="single"/>
          <w:lang w:eastAsia="zh-CN"/>
        </w:rPr>
        <w:t xml:space="preserve">  （供应商名称）  </w:t>
      </w:r>
      <w:r>
        <w:rPr>
          <w:rFonts w:hint="eastAsia" w:ascii="仿宋" w:hAnsi="仿宋" w:eastAsia="仿宋" w:cs="仿宋"/>
          <w:snapToGrid/>
          <w:color w:val="auto"/>
          <w:kern w:val="2"/>
          <w:sz w:val="24"/>
          <w:szCs w:val="24"/>
          <w:highlight w:val="none"/>
          <w:lang w:eastAsia="zh-CN"/>
        </w:rPr>
        <w:t>的（</w:t>
      </w:r>
      <w:r>
        <w:rPr>
          <w:rFonts w:hint="eastAsia" w:ascii="仿宋" w:hAnsi="仿宋" w:eastAsia="仿宋" w:cs="仿宋"/>
          <w:snapToGrid/>
          <w:color w:val="auto"/>
          <w:kern w:val="2"/>
          <w:sz w:val="24"/>
          <w:szCs w:val="24"/>
          <w:highlight w:val="none"/>
          <w:u w:val="single"/>
          <w:lang w:eastAsia="zh-CN"/>
        </w:rPr>
        <w:sym w:font="Wingdings 2" w:char="00A3"/>
      </w:r>
      <w:r>
        <w:rPr>
          <w:rFonts w:hint="eastAsia" w:ascii="仿宋" w:hAnsi="仿宋" w:eastAsia="仿宋" w:cs="仿宋"/>
          <w:snapToGrid/>
          <w:color w:val="auto"/>
          <w:kern w:val="2"/>
          <w:sz w:val="24"/>
          <w:szCs w:val="24"/>
          <w:highlight w:val="none"/>
          <w:u w:val="single"/>
          <w:lang w:eastAsia="zh-CN"/>
        </w:rPr>
        <w:t>法定代表人/□负责人/□自然人本人</w:t>
      </w:r>
      <w:r>
        <w:rPr>
          <w:rFonts w:hint="eastAsia" w:ascii="仿宋" w:hAnsi="仿宋" w:eastAsia="仿宋" w:cs="仿宋"/>
          <w:snapToGrid/>
          <w:color w:val="auto"/>
          <w:kern w:val="2"/>
          <w:sz w:val="24"/>
          <w:szCs w:val="24"/>
          <w:highlight w:val="none"/>
          <w:lang w:eastAsia="zh-CN"/>
        </w:rPr>
        <w:t>），现授权</w:t>
      </w:r>
      <w:r>
        <w:rPr>
          <w:rFonts w:hint="eastAsia" w:ascii="仿宋" w:hAnsi="仿宋" w:eastAsia="仿宋" w:cs="仿宋"/>
          <w:snapToGrid/>
          <w:color w:val="auto"/>
          <w:kern w:val="2"/>
          <w:sz w:val="24"/>
          <w:szCs w:val="24"/>
          <w:highlight w:val="none"/>
          <w:u w:val="single"/>
          <w:lang w:eastAsia="zh-CN"/>
        </w:rPr>
        <w:t xml:space="preserve"> （姓名） </w:t>
      </w:r>
      <w:r>
        <w:rPr>
          <w:rFonts w:hint="eastAsia" w:ascii="仿宋" w:hAnsi="仿宋" w:eastAsia="仿宋" w:cs="仿宋"/>
          <w:snapToGrid/>
          <w:color w:val="auto"/>
          <w:kern w:val="2"/>
          <w:sz w:val="24"/>
          <w:szCs w:val="24"/>
          <w:highlight w:val="none"/>
          <w:lang w:eastAsia="zh-CN"/>
        </w:rPr>
        <w:t>以我方的名义参加项目的竞标活动，并代表我方全权办理针对上述项目的所有采购程序和环节的具体事务和签署相关文件。</w:t>
      </w:r>
    </w:p>
    <w:p w14:paraId="2F8DB5F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我方对委托代理人的签字或者电子签名事项负全部责任。</w:t>
      </w:r>
    </w:p>
    <w:p w14:paraId="14ED72D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本授权书自签署之日起生效，在撤销授权的书面通知以前，本授权书一直有效。委托代理人在授权书有效期内签署的所有文件不因授权的撤销而失效。</w:t>
      </w:r>
    </w:p>
    <w:p w14:paraId="6054398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委托代理人无转委托权，特此委托。</w:t>
      </w:r>
    </w:p>
    <w:p w14:paraId="715408A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附：法定代表人身份证明书及委托代理人有效身份证正反面复印件</w:t>
      </w:r>
    </w:p>
    <w:p w14:paraId="3FE8C68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1843F1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委托代理人（签字或者电子签名）：</w:t>
      </w:r>
      <w:r>
        <w:rPr>
          <w:rFonts w:hint="eastAsia" w:ascii="仿宋" w:hAnsi="仿宋" w:eastAsia="仿宋" w:cs="仿宋"/>
          <w:snapToGrid/>
          <w:color w:val="auto"/>
          <w:kern w:val="2"/>
          <w:sz w:val="24"/>
          <w:szCs w:val="24"/>
          <w:highlight w:val="none"/>
          <w:u w:val="single"/>
          <w:lang w:val="en-US" w:eastAsia="zh-CN"/>
        </w:rPr>
        <w:t xml:space="preserve">               </w:t>
      </w:r>
    </w:p>
    <w:p w14:paraId="497B84D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val="en-US" w:eastAsia="zh-CN"/>
        </w:rPr>
      </w:pPr>
      <w:r>
        <w:rPr>
          <w:rFonts w:hint="eastAsia" w:ascii="仿宋" w:hAnsi="仿宋" w:eastAsia="仿宋" w:cs="仿宋"/>
          <w:snapToGrid/>
          <w:color w:val="auto"/>
          <w:kern w:val="2"/>
          <w:sz w:val="24"/>
          <w:szCs w:val="24"/>
          <w:highlight w:val="none"/>
          <w:lang w:eastAsia="zh-CN"/>
        </w:rPr>
        <w:t>法定代表人（签字或者盖章或者电子签名）：</w:t>
      </w:r>
      <w:r>
        <w:rPr>
          <w:rFonts w:hint="eastAsia" w:ascii="仿宋" w:hAnsi="仿宋" w:eastAsia="仿宋" w:cs="仿宋"/>
          <w:snapToGrid/>
          <w:color w:val="auto"/>
          <w:kern w:val="2"/>
          <w:sz w:val="24"/>
          <w:szCs w:val="24"/>
          <w:highlight w:val="none"/>
          <w:u w:val="single"/>
          <w:lang w:val="en-US" w:eastAsia="zh-CN"/>
        </w:rPr>
        <w:t xml:space="preserve">               </w:t>
      </w:r>
    </w:p>
    <w:p w14:paraId="3091043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委托代理人身份证号码：</w:t>
      </w:r>
      <w:r>
        <w:rPr>
          <w:rFonts w:hint="eastAsia" w:ascii="仿宋" w:hAnsi="仿宋" w:eastAsia="仿宋" w:cs="仿宋"/>
          <w:snapToGrid/>
          <w:color w:val="auto"/>
          <w:kern w:val="2"/>
          <w:sz w:val="24"/>
          <w:szCs w:val="24"/>
          <w:highlight w:val="none"/>
          <w:u w:val="single"/>
          <w:lang w:val="en-US" w:eastAsia="zh-CN"/>
        </w:rPr>
        <w:t xml:space="preserve">               </w:t>
      </w:r>
    </w:p>
    <w:p w14:paraId="653AFF5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A0A2FD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2AF71F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3360" w:firstLineChars="14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p w14:paraId="35AF056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259877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注：1.法定代表人必须在授权委托书上签字或者盖章或者电子签名，委托代理人必须在授权委托书上签字或者电子签名，</w:t>
      </w:r>
      <w:r>
        <w:rPr>
          <w:rFonts w:hint="eastAsia" w:ascii="仿宋" w:hAnsi="仿宋" w:eastAsia="仿宋" w:cs="仿宋"/>
          <w:b/>
          <w:snapToGrid/>
          <w:color w:val="auto"/>
          <w:kern w:val="2"/>
          <w:sz w:val="24"/>
          <w:szCs w:val="24"/>
          <w:highlight w:val="none"/>
          <w:lang w:eastAsia="zh-CN"/>
        </w:rPr>
        <w:t>否则其响应文件按无效响应处理。</w:t>
      </w:r>
    </w:p>
    <w:p w14:paraId="076E5B1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w:t>
      </w:r>
      <w:bookmarkStart w:id="104" w:name="_Hlk65853109"/>
      <w:bookmarkStart w:id="105" w:name="_Hlk65853542"/>
      <w:r>
        <w:rPr>
          <w:rFonts w:hint="eastAsia" w:ascii="仿宋" w:hAnsi="仿宋" w:eastAsia="仿宋" w:cs="仿宋"/>
          <w:snapToGrid/>
          <w:color w:val="auto"/>
          <w:kern w:val="2"/>
          <w:sz w:val="24"/>
          <w:szCs w:val="24"/>
          <w:highlight w:val="none"/>
          <w:lang w:eastAsia="zh-CN"/>
        </w:rPr>
        <w:t>法人、其他组织竞标时“我方”是指“我单位”，自然人竞标时“我方”是指“本人”。</w:t>
      </w:r>
      <w:bookmarkEnd w:id="104"/>
    </w:p>
    <w:bookmarkEnd w:id="105"/>
    <w:p w14:paraId="074E8A4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01E784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r>
        <w:rPr>
          <w:rFonts w:hint="eastAsia" w:ascii="仿宋" w:hAnsi="仿宋" w:eastAsia="仿宋" w:cs="仿宋"/>
          <w:b/>
          <w:bCs/>
          <w:snapToGrid/>
          <w:color w:val="auto"/>
          <w:kern w:val="2"/>
          <w:sz w:val="24"/>
          <w:szCs w:val="24"/>
          <w:highlight w:val="none"/>
          <w:lang w:eastAsia="zh-CN"/>
        </w:rPr>
        <w:t>授权委托书</w:t>
      </w:r>
    </w:p>
    <w:p w14:paraId="49D9D1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（联合体竞标格式）</w:t>
      </w:r>
    </w:p>
    <w:p w14:paraId="6F4691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（如有委托时）</w:t>
      </w:r>
    </w:p>
    <w:p w14:paraId="337C95E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4A7E950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本授权委托书声明：根据</w:t>
      </w:r>
      <w:r>
        <w:rPr>
          <w:rFonts w:hint="eastAsia" w:ascii="仿宋" w:hAnsi="仿宋" w:eastAsia="仿宋" w:cs="仿宋"/>
          <w:snapToGrid/>
          <w:color w:val="auto"/>
          <w:kern w:val="2"/>
          <w:sz w:val="24"/>
          <w:szCs w:val="24"/>
          <w:highlight w:val="none"/>
          <w:u w:val="single"/>
          <w:lang w:eastAsia="zh-CN"/>
        </w:rPr>
        <w:t>（牵头人名称）</w:t>
      </w:r>
      <w:r>
        <w:rPr>
          <w:rFonts w:hint="eastAsia" w:ascii="仿宋" w:hAnsi="仿宋" w:eastAsia="仿宋" w:cs="仿宋"/>
          <w:snapToGrid/>
          <w:color w:val="auto"/>
          <w:kern w:val="2"/>
          <w:sz w:val="24"/>
          <w:szCs w:val="24"/>
          <w:highlight w:val="none"/>
          <w:lang w:eastAsia="zh-CN"/>
        </w:rPr>
        <w:t>与</w:t>
      </w:r>
      <w:r>
        <w:rPr>
          <w:rFonts w:hint="eastAsia" w:ascii="仿宋" w:hAnsi="仿宋" w:eastAsia="仿宋" w:cs="仿宋"/>
          <w:snapToGrid/>
          <w:color w:val="auto"/>
          <w:kern w:val="2"/>
          <w:sz w:val="24"/>
          <w:szCs w:val="24"/>
          <w:highlight w:val="none"/>
          <w:u w:val="single"/>
          <w:lang w:eastAsia="zh-CN"/>
        </w:rPr>
        <w:t>（联合体其他成员名称）</w:t>
      </w:r>
      <w:r>
        <w:rPr>
          <w:rFonts w:hint="eastAsia" w:ascii="仿宋" w:hAnsi="仿宋" w:eastAsia="仿宋" w:cs="仿宋"/>
          <w:snapToGrid/>
          <w:color w:val="auto"/>
          <w:kern w:val="2"/>
          <w:sz w:val="24"/>
          <w:szCs w:val="24"/>
          <w:highlight w:val="none"/>
          <w:lang w:eastAsia="zh-CN"/>
        </w:rPr>
        <w:t>签订的《联合体竞标协议书》的内容，</w:t>
      </w:r>
      <w:r>
        <w:rPr>
          <w:rFonts w:hint="eastAsia" w:ascii="仿宋" w:hAnsi="仿宋" w:eastAsia="仿宋" w:cs="仿宋"/>
          <w:snapToGrid/>
          <w:color w:val="auto"/>
          <w:kern w:val="2"/>
          <w:sz w:val="24"/>
          <w:szCs w:val="24"/>
          <w:highlight w:val="none"/>
          <w:u w:val="single"/>
          <w:lang w:eastAsia="zh-CN"/>
        </w:rPr>
        <w:t>（牵头人名称）</w:t>
      </w:r>
      <w:r>
        <w:rPr>
          <w:rFonts w:hint="eastAsia" w:ascii="仿宋" w:hAnsi="仿宋" w:eastAsia="仿宋" w:cs="仿宋"/>
          <w:snapToGrid/>
          <w:color w:val="auto"/>
          <w:kern w:val="2"/>
          <w:sz w:val="24"/>
          <w:szCs w:val="24"/>
          <w:highlight w:val="none"/>
          <w:lang w:eastAsia="zh-CN"/>
        </w:rPr>
        <w:t>的法定代表人</w:t>
      </w:r>
      <w:r>
        <w:rPr>
          <w:rFonts w:hint="eastAsia" w:ascii="仿宋" w:hAnsi="仿宋" w:eastAsia="仿宋" w:cs="仿宋"/>
          <w:snapToGrid/>
          <w:color w:val="auto"/>
          <w:kern w:val="2"/>
          <w:sz w:val="24"/>
          <w:szCs w:val="24"/>
          <w:highlight w:val="none"/>
          <w:u w:val="single"/>
          <w:lang w:eastAsia="zh-CN"/>
        </w:rPr>
        <w:t>（姓名）</w:t>
      </w:r>
      <w:r>
        <w:rPr>
          <w:rFonts w:hint="eastAsia" w:ascii="仿宋" w:hAnsi="仿宋" w:eastAsia="仿宋" w:cs="仿宋"/>
          <w:snapToGrid/>
          <w:color w:val="auto"/>
          <w:kern w:val="2"/>
          <w:sz w:val="24"/>
          <w:szCs w:val="24"/>
          <w:highlight w:val="none"/>
          <w:lang w:eastAsia="zh-CN"/>
        </w:rPr>
        <w:t>现授权</w:t>
      </w:r>
      <w:r>
        <w:rPr>
          <w:rFonts w:hint="eastAsia" w:ascii="仿宋" w:hAnsi="仿宋" w:eastAsia="仿宋" w:cs="仿宋"/>
          <w:snapToGrid/>
          <w:color w:val="auto"/>
          <w:kern w:val="2"/>
          <w:sz w:val="24"/>
          <w:szCs w:val="24"/>
          <w:highlight w:val="none"/>
          <w:u w:val="single"/>
          <w:lang w:eastAsia="zh-CN"/>
        </w:rPr>
        <w:t>（姓名）</w:t>
      </w:r>
      <w:r>
        <w:rPr>
          <w:rFonts w:hint="eastAsia" w:ascii="仿宋" w:hAnsi="仿宋" w:eastAsia="仿宋" w:cs="仿宋"/>
          <w:snapToGrid/>
          <w:color w:val="auto"/>
          <w:kern w:val="2"/>
          <w:sz w:val="24"/>
          <w:szCs w:val="24"/>
          <w:highlight w:val="none"/>
          <w:lang w:eastAsia="zh-CN"/>
        </w:rPr>
        <w:t>为联合委托代理人，并代表我方全权办理针对上述项目的所有采购程序和环节的具体事务和签署相关文件。</w:t>
      </w:r>
    </w:p>
    <w:p w14:paraId="70164D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我方对委托代理人的签字或者电子签名事项负全部责任。</w:t>
      </w:r>
    </w:p>
    <w:p w14:paraId="63D9248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本授权书自签署之日起生效，在撤销授权的书面通知以前，本授权书一直有效。委托代理人在授权书有效期内签署的所有文件不因授权的撤销而失效。</w:t>
      </w:r>
    </w:p>
    <w:p w14:paraId="62B04A0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委托代理人无转委托权，特此委托。</w:t>
      </w:r>
    </w:p>
    <w:p w14:paraId="74770C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附：法定代表人身份证明书及委托代理人有效身份证正反面复印件</w:t>
      </w:r>
    </w:p>
    <w:p w14:paraId="6AC905C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5A55C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牵头人法定代表人（签字或者盖章或者电子签名）：</w:t>
      </w:r>
      <w:r>
        <w:rPr>
          <w:rFonts w:hint="eastAsia" w:ascii="仿宋" w:hAnsi="仿宋" w:eastAsia="仿宋" w:cs="仿宋"/>
          <w:snapToGrid/>
          <w:color w:val="auto"/>
          <w:kern w:val="2"/>
          <w:sz w:val="24"/>
          <w:szCs w:val="24"/>
          <w:highlight w:val="none"/>
          <w:u w:val="single"/>
          <w:lang w:val="en-US" w:eastAsia="zh-CN"/>
        </w:rPr>
        <w:t xml:space="preserve">               </w:t>
      </w:r>
    </w:p>
    <w:p w14:paraId="6B9371E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牵头人（电子签章）：</w:t>
      </w:r>
    </w:p>
    <w:p w14:paraId="70BDFFF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日期：    年   月   日</w:t>
      </w:r>
    </w:p>
    <w:p w14:paraId="2C9D79E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9AE99F8">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被授权人（签字或者电子签名）：</w:t>
      </w:r>
      <w:r>
        <w:rPr>
          <w:rFonts w:hint="eastAsia" w:ascii="仿宋" w:hAnsi="仿宋" w:eastAsia="仿宋" w:cs="仿宋"/>
          <w:snapToGrid/>
          <w:color w:val="auto"/>
          <w:kern w:val="2"/>
          <w:sz w:val="24"/>
          <w:szCs w:val="24"/>
          <w:highlight w:val="none"/>
          <w:u w:val="single"/>
          <w:lang w:val="en-US" w:eastAsia="zh-CN"/>
        </w:rPr>
        <w:t xml:space="preserve">               </w:t>
      </w:r>
    </w:p>
    <w:p w14:paraId="498242EE">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日期：    年   月   日</w:t>
      </w:r>
    </w:p>
    <w:p w14:paraId="7E61A76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10CC152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注：1.法定代表人必须在授权委托书上签字或者盖章或者电子签名，委托代理人必须在授权委托书上签字或者电子签名，</w:t>
      </w:r>
      <w:r>
        <w:rPr>
          <w:rFonts w:hint="eastAsia" w:ascii="仿宋" w:hAnsi="仿宋" w:eastAsia="仿宋" w:cs="仿宋"/>
          <w:b/>
          <w:snapToGrid/>
          <w:color w:val="auto"/>
          <w:kern w:val="2"/>
          <w:sz w:val="24"/>
          <w:szCs w:val="24"/>
          <w:highlight w:val="none"/>
          <w:lang w:eastAsia="zh-CN"/>
        </w:rPr>
        <w:t>否则其响应文件按无效响应处理。</w:t>
      </w:r>
    </w:p>
    <w:p w14:paraId="240F4D9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pacing w:val="-11"/>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2.法人、其他组织竞标时“我方”是指“我单位”，自然人竞标时“我方”是指“本人”。</w:t>
      </w:r>
    </w:p>
    <w:bookmarkEnd w:id="103"/>
    <w:p w14:paraId="5E69769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06" w:name="_Toc14247"/>
      <w:bookmarkStart w:id="107" w:name="_Toc18931"/>
      <w:bookmarkStart w:id="108" w:name="_Toc375"/>
      <w:r>
        <w:rPr>
          <w:rFonts w:hint="eastAsia" w:ascii="仿宋" w:hAnsi="仿宋" w:eastAsia="仿宋" w:cs="仿宋"/>
          <w:b/>
          <w:bCs/>
          <w:snapToGrid/>
          <w:color w:val="auto"/>
          <w:kern w:val="2"/>
          <w:sz w:val="24"/>
          <w:szCs w:val="24"/>
          <w:highlight w:val="none"/>
          <w:lang w:val="en-US" w:eastAsia="zh-CN"/>
        </w:rPr>
        <w:t>6.</w:t>
      </w:r>
      <w:r>
        <w:rPr>
          <w:rFonts w:hint="eastAsia" w:ascii="仿宋" w:hAnsi="仿宋" w:eastAsia="仿宋" w:cs="仿宋"/>
          <w:b/>
          <w:bCs/>
          <w:snapToGrid/>
          <w:color w:val="auto"/>
          <w:kern w:val="2"/>
          <w:sz w:val="24"/>
          <w:szCs w:val="24"/>
          <w:highlight w:val="none"/>
          <w:lang w:eastAsia="zh-CN"/>
        </w:rPr>
        <w:t>商务要求偏离表</w:t>
      </w:r>
      <w:bookmarkEnd w:id="106"/>
      <w:bookmarkEnd w:id="107"/>
      <w:bookmarkEnd w:id="108"/>
    </w:p>
    <w:p w14:paraId="78EF498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val="0"/>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商务要求偏离表</w:t>
      </w:r>
    </w:p>
    <w:p w14:paraId="0F3AE04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i/>
          <w:snapToGrid/>
          <w:color w:val="auto"/>
          <w:kern w:val="2"/>
          <w:sz w:val="24"/>
          <w:szCs w:val="24"/>
          <w:highlight w:val="none"/>
          <w:lang w:eastAsia="zh-CN"/>
        </w:rPr>
      </w:pPr>
      <w:r>
        <w:rPr>
          <w:rFonts w:hint="eastAsia" w:ascii="仿宋" w:hAnsi="仿宋" w:eastAsia="仿宋" w:cs="仿宋"/>
          <w:bCs/>
          <w:i/>
          <w:snapToGrid/>
          <w:color w:val="auto"/>
          <w:kern w:val="2"/>
          <w:sz w:val="24"/>
          <w:szCs w:val="24"/>
          <w:highlight w:val="none"/>
          <w:lang w:eastAsia="zh-CN"/>
        </w:rPr>
        <w:t>（注：按采购需求具体条款修改）</w:t>
      </w:r>
    </w:p>
    <w:p w14:paraId="37D5C8F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A6BE85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182E2AA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1A428E9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p w14:paraId="2AF4F70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p>
    <w:tbl>
      <w:tblPr>
        <w:tblStyle w:val="21"/>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CBFF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24299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项号</w:t>
            </w:r>
          </w:p>
        </w:tc>
        <w:tc>
          <w:tcPr>
            <w:tcW w:w="2668" w:type="dxa"/>
            <w:tcBorders>
              <w:top w:val="single" w:color="auto" w:sz="4" w:space="0"/>
              <w:left w:val="single" w:color="auto" w:sz="4" w:space="0"/>
              <w:bottom w:val="single" w:color="auto" w:sz="4" w:space="0"/>
              <w:right w:val="single" w:color="auto" w:sz="4" w:space="0"/>
            </w:tcBorders>
            <w:vAlign w:val="center"/>
          </w:tcPr>
          <w:p w14:paraId="4AE341F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采购文件的商务要求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1899B9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rPr>
              <w:t>响应文件承诺的商务要求</w:t>
            </w:r>
          </w:p>
        </w:tc>
        <w:tc>
          <w:tcPr>
            <w:tcW w:w="2112" w:type="dxa"/>
            <w:tcBorders>
              <w:top w:val="single" w:color="auto" w:sz="4" w:space="0"/>
              <w:left w:val="single" w:color="auto" w:sz="4" w:space="0"/>
              <w:bottom w:val="single" w:color="auto" w:sz="4" w:space="0"/>
              <w:right w:val="single" w:color="auto" w:sz="4" w:space="0"/>
            </w:tcBorders>
            <w:vAlign w:val="center"/>
          </w:tcPr>
          <w:p w14:paraId="34CE297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eastAsia="zh-CN"/>
              </w:rPr>
              <w:t>偏离说明</w:t>
            </w:r>
          </w:p>
        </w:tc>
      </w:tr>
      <w:tr w14:paraId="06B28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418235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67EE0B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2EF728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384CDA7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2C2C2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22E85B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52F9F5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47FFEB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6F7CA08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17F73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142A4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668" w:type="dxa"/>
            <w:tcBorders>
              <w:top w:val="single" w:color="auto" w:sz="4" w:space="0"/>
              <w:left w:val="single" w:color="auto" w:sz="4" w:space="0"/>
              <w:bottom w:val="single" w:color="auto" w:sz="4" w:space="0"/>
              <w:right w:val="single" w:color="auto" w:sz="4" w:space="0"/>
            </w:tcBorders>
            <w:vAlign w:val="center"/>
          </w:tcPr>
          <w:p w14:paraId="69E4AF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350" w:type="dxa"/>
            <w:tcBorders>
              <w:top w:val="single" w:color="auto" w:sz="4" w:space="0"/>
              <w:left w:val="single" w:color="auto" w:sz="4" w:space="0"/>
              <w:bottom w:val="single" w:color="auto" w:sz="4" w:space="0"/>
              <w:right w:val="single" w:color="auto" w:sz="4" w:space="0"/>
            </w:tcBorders>
            <w:vAlign w:val="center"/>
          </w:tcPr>
          <w:p w14:paraId="6E5150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2112" w:type="dxa"/>
            <w:tcBorders>
              <w:top w:val="single" w:color="auto" w:sz="4" w:space="0"/>
              <w:left w:val="single" w:color="auto" w:sz="4" w:space="0"/>
              <w:bottom w:val="single" w:color="auto" w:sz="4" w:space="0"/>
              <w:right w:val="single" w:color="auto" w:sz="4" w:space="0"/>
            </w:tcBorders>
            <w:vAlign w:val="center"/>
          </w:tcPr>
          <w:p w14:paraId="1A0024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bl>
    <w:p w14:paraId="09888C0C">
      <w:pPr>
        <w:pStyle w:val="8"/>
        <w:keepNext w:val="0"/>
        <w:keepLines w:val="0"/>
        <w:pageBreakBefore w:val="0"/>
        <w:kinsoku/>
        <w:topLinePunct w:val="0"/>
        <w:autoSpaceDE/>
        <w:autoSpaceDN/>
        <w:bidi w:val="0"/>
        <w:adjustRightInd/>
        <w:snapToGrid/>
        <w:spacing w:beforeAutospacing="0" w:after="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注：</w:t>
      </w:r>
    </w:p>
    <w:p w14:paraId="46DB4BDF">
      <w:pPr>
        <w:pStyle w:val="8"/>
        <w:keepNext w:val="0"/>
        <w:keepLines w:val="0"/>
        <w:pageBreakBefore w:val="0"/>
        <w:kinsoku/>
        <w:topLinePunct w:val="0"/>
        <w:autoSpaceDE/>
        <w:autoSpaceDN/>
        <w:bidi w:val="0"/>
        <w:adjustRightInd/>
        <w:snapToGrid/>
        <w:spacing w:beforeAutospacing="0" w:after="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rPr>
      </w:pPr>
      <w:r>
        <w:rPr>
          <w:rFonts w:hint="eastAsia" w:ascii="仿宋" w:hAnsi="仿宋" w:eastAsia="仿宋" w:cs="仿宋"/>
          <w:snapToGrid/>
          <w:color w:val="auto"/>
          <w:kern w:val="0"/>
          <w:sz w:val="24"/>
          <w:szCs w:val="24"/>
          <w:highlight w:val="none"/>
        </w:rPr>
        <w:t>1.说明：应对照磋商文件“第三章采购需求”中的商务要求逐条作出明确响应，并作出偏离说明。</w:t>
      </w:r>
    </w:p>
    <w:p w14:paraId="4FDB5133">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0"/>
          <w:sz w:val="24"/>
          <w:szCs w:val="24"/>
          <w:highlight w:val="none"/>
          <w:lang w:eastAsia="zh-CN"/>
        </w:rPr>
        <w:t>2.供应商应根据自身的承诺，对照磋商文件要求在“偏离说明”中注明“正偏离”、“负偏离”或者“无偏离”。既不属于“正偏离”也不属于“负偏离”即为“无偏离”。</w:t>
      </w:r>
    </w:p>
    <w:p w14:paraId="1B331D4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6038A7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1920" w:firstLineChars="8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1F9D7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08D31976">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28FDF62C">
      <w:pPr>
        <w:keepNext w:val="0"/>
        <w:keepLines w:val="0"/>
        <w:pageBreakBefore w:val="0"/>
        <w:widowControl w:val="0"/>
        <w:kinsoku/>
        <w:topLinePunct w:val="0"/>
        <w:autoSpaceDE/>
        <w:autoSpaceDN/>
        <w:bidi w:val="0"/>
        <w:adjustRightInd w:val="0"/>
        <w:snapToGrid w:val="0"/>
        <w:spacing w:beforeAutospacing="0" w:afterAutospacing="0" w:line="360" w:lineRule="auto"/>
        <w:ind w:right="0" w:rightChars="0"/>
        <w:jc w:val="left"/>
        <w:textAlignment w:val="auto"/>
        <w:outlineLvl w:val="2"/>
        <w:rPr>
          <w:rFonts w:hint="eastAsia" w:ascii="仿宋" w:hAnsi="仿宋" w:eastAsia="仿宋" w:cs="仿宋"/>
          <w:bCs/>
          <w:snapToGrid/>
          <w:color w:val="auto"/>
          <w:kern w:val="2"/>
          <w:sz w:val="24"/>
          <w:szCs w:val="24"/>
          <w:highlight w:val="none"/>
          <w:lang w:eastAsia="zh-CN"/>
        </w:rPr>
      </w:pPr>
      <w:r>
        <w:rPr>
          <w:rFonts w:hint="eastAsia" w:ascii="仿宋" w:hAnsi="仿宋" w:eastAsia="仿宋" w:cs="仿宋"/>
          <w:bCs/>
          <w:snapToGrid/>
          <w:color w:val="auto"/>
          <w:kern w:val="2"/>
          <w:sz w:val="24"/>
          <w:szCs w:val="24"/>
          <w:highlight w:val="none"/>
          <w:lang w:eastAsia="zh-CN"/>
        </w:rPr>
        <w:br w:type="page"/>
      </w:r>
      <w:bookmarkStart w:id="109" w:name="_Toc30767"/>
      <w:bookmarkStart w:id="110" w:name="_Toc24511"/>
      <w:bookmarkStart w:id="111" w:name="_Toc10721"/>
      <w:r>
        <w:rPr>
          <w:rFonts w:hint="eastAsia" w:ascii="仿宋" w:hAnsi="仿宋" w:eastAsia="仿宋" w:cs="仿宋"/>
          <w:b/>
          <w:bCs w:val="0"/>
          <w:snapToGrid/>
          <w:color w:val="auto"/>
          <w:kern w:val="2"/>
          <w:sz w:val="24"/>
          <w:szCs w:val="24"/>
          <w:highlight w:val="none"/>
          <w:lang w:val="en-US" w:eastAsia="zh-CN"/>
        </w:rPr>
        <w:t>7.</w:t>
      </w:r>
      <w:r>
        <w:rPr>
          <w:rFonts w:hint="eastAsia" w:ascii="仿宋" w:hAnsi="仿宋" w:eastAsia="仿宋" w:cs="仿宋"/>
          <w:b/>
          <w:bCs w:val="0"/>
          <w:snapToGrid/>
          <w:color w:val="auto"/>
          <w:kern w:val="2"/>
          <w:sz w:val="24"/>
          <w:szCs w:val="24"/>
          <w:highlight w:val="none"/>
          <w:lang w:eastAsia="zh-CN"/>
        </w:rPr>
        <w:t>技术要求偏离表</w:t>
      </w:r>
      <w:bookmarkEnd w:id="109"/>
      <w:bookmarkEnd w:id="110"/>
      <w:bookmarkEnd w:id="111"/>
    </w:p>
    <w:p w14:paraId="4BDE943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val="0"/>
          <w:snapToGrid/>
          <w:color w:val="auto"/>
          <w:kern w:val="2"/>
          <w:sz w:val="24"/>
          <w:szCs w:val="24"/>
          <w:highlight w:val="none"/>
          <w:lang w:eastAsia="zh-CN"/>
        </w:rPr>
      </w:pPr>
      <w:r>
        <w:rPr>
          <w:rFonts w:hint="eastAsia" w:ascii="仿宋" w:hAnsi="仿宋" w:eastAsia="仿宋" w:cs="仿宋"/>
          <w:b/>
          <w:bCs w:val="0"/>
          <w:snapToGrid/>
          <w:color w:val="auto"/>
          <w:kern w:val="2"/>
          <w:sz w:val="24"/>
          <w:szCs w:val="24"/>
          <w:highlight w:val="none"/>
          <w:lang w:eastAsia="zh-CN"/>
        </w:rPr>
        <w:t>技术要求偏离表</w:t>
      </w:r>
    </w:p>
    <w:p w14:paraId="11A9039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4ACF2544">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494B4F1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val="en-US" w:eastAsia="zh-CN" w:bidi="ar-SA"/>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p w14:paraId="7191EBD5">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0"/>
          <w:sz w:val="24"/>
          <w:szCs w:val="24"/>
          <w:highlight w:val="none"/>
          <w:lang w:val="en-US" w:eastAsia="zh-CN" w:bidi="ar-SA"/>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4"/>
        <w:gridCol w:w="3684"/>
        <w:gridCol w:w="2857"/>
        <w:gridCol w:w="1558"/>
      </w:tblGrid>
      <w:tr w14:paraId="37DA1B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4A80A9C8">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项号</w:t>
            </w:r>
          </w:p>
        </w:tc>
        <w:tc>
          <w:tcPr>
            <w:tcW w:w="2034" w:type="pct"/>
            <w:tcBorders>
              <w:left w:val="single" w:color="auto" w:sz="4" w:space="0"/>
            </w:tcBorders>
            <w:vAlign w:val="center"/>
          </w:tcPr>
          <w:p w14:paraId="2F5CA2D3">
            <w:pPr>
              <w:pStyle w:val="10"/>
              <w:kinsoku/>
              <w:autoSpaceDE/>
              <w:autoSpaceDN/>
              <w:adjustRightInd/>
              <w:snapToGrid/>
              <w:spacing w:line="360" w:lineRule="auto"/>
              <w:ind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rPr>
              <w:t>采购文件</w:t>
            </w:r>
            <w:r>
              <w:rPr>
                <w:rFonts w:hint="eastAsia" w:ascii="仿宋" w:hAnsi="仿宋" w:eastAsia="仿宋" w:cs="仿宋"/>
                <w:snapToGrid/>
                <w:color w:val="auto"/>
                <w:kern w:val="2"/>
                <w:sz w:val="24"/>
                <w:szCs w:val="24"/>
                <w:highlight w:val="none"/>
                <w:lang w:eastAsia="zh-CN"/>
              </w:rPr>
              <w:t>的</w:t>
            </w:r>
            <w:r>
              <w:rPr>
                <w:rFonts w:hint="eastAsia" w:ascii="仿宋" w:hAnsi="仿宋" w:eastAsia="仿宋" w:cs="仿宋"/>
                <w:b w:val="0"/>
                <w:snapToGrid/>
                <w:color w:val="auto"/>
                <w:kern w:val="2"/>
                <w:sz w:val="24"/>
                <w:szCs w:val="24"/>
                <w:highlight w:val="none"/>
              </w:rPr>
              <w:t>技术要求</w:t>
            </w:r>
          </w:p>
        </w:tc>
        <w:tc>
          <w:tcPr>
            <w:tcW w:w="1577" w:type="pct"/>
            <w:vAlign w:val="center"/>
          </w:tcPr>
          <w:p w14:paraId="2E652FF6">
            <w:pPr>
              <w:pStyle w:val="10"/>
              <w:kinsoku/>
              <w:autoSpaceDE/>
              <w:autoSpaceDN/>
              <w:adjustRightInd/>
              <w:snapToGrid/>
              <w:spacing w:line="360" w:lineRule="auto"/>
              <w:ind w:firstLine="0" w:firstLineChars="0"/>
              <w:contextualSpacing/>
              <w:jc w:val="center"/>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rPr>
              <w:t>响应文件承诺</w:t>
            </w:r>
            <w:r>
              <w:rPr>
                <w:rFonts w:hint="eastAsia" w:ascii="仿宋" w:hAnsi="仿宋" w:eastAsia="仿宋" w:cs="仿宋"/>
                <w:snapToGrid/>
                <w:color w:val="auto"/>
                <w:kern w:val="2"/>
                <w:sz w:val="24"/>
                <w:szCs w:val="24"/>
                <w:highlight w:val="none"/>
                <w:lang w:eastAsia="zh-CN"/>
              </w:rPr>
              <w:t>的技术要求</w:t>
            </w:r>
          </w:p>
        </w:tc>
        <w:tc>
          <w:tcPr>
            <w:tcW w:w="860" w:type="pct"/>
            <w:vAlign w:val="center"/>
          </w:tcPr>
          <w:p w14:paraId="12E83D69">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12" w:name="_Toc254970732"/>
            <w:bookmarkStart w:id="113" w:name="_Toc295404984"/>
            <w:bookmarkStart w:id="114" w:name="_Toc373333692"/>
            <w:bookmarkStart w:id="115" w:name="_Toc254970591"/>
            <w:bookmarkStart w:id="116" w:name="_Toc297193188"/>
            <w:bookmarkStart w:id="117" w:name="_Toc173066404"/>
            <w:bookmarkStart w:id="118" w:name="_Toc383699909"/>
            <w:bookmarkStart w:id="119" w:name="_Toc301781614"/>
            <w:bookmarkStart w:id="120" w:name="_Toc173211903"/>
            <w:r>
              <w:rPr>
                <w:rFonts w:hint="eastAsia" w:ascii="仿宋" w:hAnsi="仿宋" w:eastAsia="仿宋" w:cs="仿宋"/>
                <w:snapToGrid/>
                <w:color w:val="auto"/>
                <w:kern w:val="2"/>
                <w:sz w:val="24"/>
                <w:szCs w:val="24"/>
                <w:highlight w:val="none"/>
              </w:rPr>
              <w:t>偏离</w:t>
            </w:r>
            <w:bookmarkEnd w:id="112"/>
            <w:bookmarkEnd w:id="113"/>
            <w:bookmarkEnd w:id="114"/>
            <w:bookmarkEnd w:id="115"/>
            <w:bookmarkEnd w:id="116"/>
            <w:bookmarkEnd w:id="117"/>
            <w:bookmarkEnd w:id="118"/>
            <w:bookmarkEnd w:id="119"/>
            <w:bookmarkEnd w:id="120"/>
            <w:bookmarkStart w:id="121" w:name="_Toc254970592"/>
            <w:bookmarkStart w:id="122" w:name="_Toc295404985"/>
            <w:bookmarkStart w:id="123" w:name="_Toc173066405"/>
            <w:bookmarkStart w:id="124" w:name="_Toc254970733"/>
            <w:bookmarkStart w:id="125" w:name="_Toc173211904"/>
            <w:bookmarkStart w:id="126" w:name="_Toc383699910"/>
            <w:bookmarkStart w:id="127" w:name="_Toc373333693"/>
            <w:bookmarkStart w:id="128" w:name="_Toc297193189"/>
            <w:bookmarkStart w:id="129" w:name="_Toc301781615"/>
            <w:r>
              <w:rPr>
                <w:rFonts w:hint="eastAsia" w:ascii="仿宋" w:hAnsi="仿宋" w:eastAsia="仿宋" w:cs="仿宋"/>
                <w:snapToGrid/>
                <w:color w:val="auto"/>
                <w:kern w:val="2"/>
                <w:sz w:val="24"/>
                <w:szCs w:val="24"/>
                <w:highlight w:val="none"/>
              </w:rPr>
              <w:t>说明</w:t>
            </w:r>
            <w:bookmarkEnd w:id="121"/>
            <w:bookmarkEnd w:id="122"/>
            <w:bookmarkEnd w:id="123"/>
            <w:bookmarkEnd w:id="124"/>
            <w:bookmarkEnd w:id="125"/>
            <w:bookmarkEnd w:id="126"/>
            <w:bookmarkEnd w:id="127"/>
            <w:bookmarkEnd w:id="128"/>
            <w:bookmarkEnd w:id="129"/>
          </w:p>
        </w:tc>
      </w:tr>
      <w:tr w14:paraId="5477A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25E73A7B">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30" w:name="_Toc295404986"/>
            <w:bookmarkStart w:id="131" w:name="_Toc173066406"/>
            <w:bookmarkStart w:id="132" w:name="_Toc301781616"/>
            <w:bookmarkStart w:id="133" w:name="_Toc297193190"/>
            <w:bookmarkStart w:id="134" w:name="_Toc254970593"/>
            <w:bookmarkStart w:id="135" w:name="_Toc373333694"/>
            <w:bookmarkStart w:id="136" w:name="_Toc173211905"/>
            <w:bookmarkStart w:id="137" w:name="_Toc254970734"/>
            <w:bookmarkStart w:id="138" w:name="_Toc383699911"/>
            <w:r>
              <w:rPr>
                <w:rFonts w:hint="eastAsia" w:ascii="仿宋" w:hAnsi="仿宋" w:eastAsia="仿宋" w:cs="仿宋"/>
                <w:snapToGrid/>
                <w:color w:val="auto"/>
                <w:kern w:val="2"/>
                <w:sz w:val="24"/>
                <w:szCs w:val="24"/>
                <w:highlight w:val="none"/>
              </w:rPr>
              <w:t>1</w:t>
            </w:r>
            <w:bookmarkEnd w:id="130"/>
            <w:bookmarkEnd w:id="131"/>
            <w:bookmarkEnd w:id="132"/>
            <w:bookmarkEnd w:id="133"/>
            <w:bookmarkEnd w:id="134"/>
            <w:bookmarkEnd w:id="135"/>
            <w:bookmarkEnd w:id="136"/>
            <w:bookmarkEnd w:id="137"/>
            <w:bookmarkEnd w:id="138"/>
          </w:p>
        </w:tc>
        <w:tc>
          <w:tcPr>
            <w:tcW w:w="2034" w:type="pct"/>
            <w:tcBorders>
              <w:left w:val="single" w:color="auto" w:sz="4" w:space="0"/>
            </w:tcBorders>
            <w:vAlign w:val="center"/>
          </w:tcPr>
          <w:p w14:paraId="662A5051">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264B4D97">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5E4C83F8">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6256B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0A05B8D7">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39" w:name="_Toc373333695"/>
            <w:bookmarkStart w:id="140" w:name="_Toc295404987"/>
            <w:bookmarkStart w:id="141" w:name="_Toc254970735"/>
            <w:bookmarkStart w:id="142" w:name="_Toc383699912"/>
            <w:bookmarkStart w:id="143" w:name="_Toc173211906"/>
            <w:bookmarkStart w:id="144" w:name="_Toc254970594"/>
            <w:bookmarkStart w:id="145" w:name="_Toc297193191"/>
            <w:bookmarkStart w:id="146" w:name="_Toc173066407"/>
            <w:bookmarkStart w:id="147" w:name="_Toc301781617"/>
            <w:r>
              <w:rPr>
                <w:rFonts w:hint="eastAsia" w:ascii="仿宋" w:hAnsi="仿宋" w:eastAsia="仿宋" w:cs="仿宋"/>
                <w:snapToGrid/>
                <w:color w:val="auto"/>
                <w:kern w:val="2"/>
                <w:sz w:val="24"/>
                <w:szCs w:val="24"/>
                <w:highlight w:val="none"/>
              </w:rPr>
              <w:t>2</w:t>
            </w:r>
            <w:bookmarkEnd w:id="139"/>
            <w:bookmarkEnd w:id="140"/>
            <w:bookmarkEnd w:id="141"/>
            <w:bookmarkEnd w:id="142"/>
            <w:bookmarkEnd w:id="143"/>
            <w:bookmarkEnd w:id="144"/>
            <w:bookmarkEnd w:id="145"/>
            <w:bookmarkEnd w:id="146"/>
            <w:bookmarkEnd w:id="147"/>
          </w:p>
        </w:tc>
        <w:tc>
          <w:tcPr>
            <w:tcW w:w="2034" w:type="pct"/>
            <w:tcBorders>
              <w:left w:val="single" w:color="auto" w:sz="4" w:space="0"/>
            </w:tcBorders>
            <w:vAlign w:val="center"/>
          </w:tcPr>
          <w:p w14:paraId="5CAA0D5A">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19E00AE6">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2E24267E">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7B1AC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2B58429B">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bookmarkStart w:id="148" w:name="_Toc295404988"/>
            <w:bookmarkStart w:id="149" w:name="_Toc254970736"/>
            <w:bookmarkStart w:id="150" w:name="_Toc373333696"/>
            <w:bookmarkStart w:id="151" w:name="_Toc254970595"/>
            <w:bookmarkStart w:id="152" w:name="_Toc301781618"/>
            <w:bookmarkStart w:id="153" w:name="_Toc297193192"/>
            <w:bookmarkStart w:id="154" w:name="_Toc173066408"/>
            <w:bookmarkStart w:id="155" w:name="_Toc383699913"/>
            <w:bookmarkStart w:id="156" w:name="_Toc173211907"/>
            <w:r>
              <w:rPr>
                <w:rFonts w:hint="eastAsia" w:ascii="仿宋" w:hAnsi="仿宋" w:eastAsia="仿宋" w:cs="仿宋"/>
                <w:snapToGrid/>
                <w:color w:val="auto"/>
                <w:kern w:val="2"/>
                <w:sz w:val="24"/>
                <w:szCs w:val="24"/>
                <w:highlight w:val="none"/>
              </w:rPr>
              <w:t>3</w:t>
            </w:r>
            <w:bookmarkEnd w:id="148"/>
            <w:bookmarkEnd w:id="149"/>
            <w:bookmarkEnd w:id="150"/>
            <w:bookmarkEnd w:id="151"/>
            <w:bookmarkEnd w:id="152"/>
            <w:bookmarkEnd w:id="153"/>
            <w:bookmarkEnd w:id="154"/>
            <w:bookmarkEnd w:id="155"/>
            <w:bookmarkEnd w:id="156"/>
          </w:p>
        </w:tc>
        <w:tc>
          <w:tcPr>
            <w:tcW w:w="2034" w:type="pct"/>
            <w:tcBorders>
              <w:left w:val="single" w:color="auto" w:sz="4" w:space="0"/>
            </w:tcBorders>
            <w:vAlign w:val="center"/>
          </w:tcPr>
          <w:p w14:paraId="46388C20">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0A34D3D6">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597E0DB7">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1C7CB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69A2A1D5">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w:t>
            </w:r>
          </w:p>
        </w:tc>
        <w:tc>
          <w:tcPr>
            <w:tcW w:w="2034" w:type="pct"/>
            <w:tcBorders>
              <w:left w:val="single" w:color="auto" w:sz="4" w:space="0"/>
            </w:tcBorders>
            <w:vAlign w:val="center"/>
          </w:tcPr>
          <w:p w14:paraId="113C73CF">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65518464">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6470C9CA">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r w14:paraId="1504C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27" w:type="pct"/>
            <w:vAlign w:val="center"/>
          </w:tcPr>
          <w:p w14:paraId="79A946B1">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r>
              <w:rPr>
                <w:rFonts w:hint="eastAsia" w:ascii="仿宋" w:hAnsi="仿宋" w:eastAsia="仿宋" w:cs="仿宋"/>
                <w:snapToGrid/>
                <w:color w:val="auto"/>
                <w:kern w:val="2"/>
                <w:sz w:val="24"/>
                <w:szCs w:val="24"/>
                <w:highlight w:val="none"/>
                <w:lang w:eastAsia="zh-CN"/>
              </w:rPr>
              <w:t>……</w:t>
            </w:r>
          </w:p>
        </w:tc>
        <w:tc>
          <w:tcPr>
            <w:tcW w:w="2034" w:type="pct"/>
            <w:tcBorders>
              <w:left w:val="single" w:color="auto" w:sz="4" w:space="0"/>
            </w:tcBorders>
            <w:vAlign w:val="center"/>
          </w:tcPr>
          <w:p w14:paraId="662F6A38">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1577" w:type="pct"/>
            <w:vAlign w:val="center"/>
          </w:tcPr>
          <w:p w14:paraId="691CAB9A">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c>
          <w:tcPr>
            <w:tcW w:w="860" w:type="pct"/>
            <w:vAlign w:val="center"/>
          </w:tcPr>
          <w:p w14:paraId="7A7F666B">
            <w:pPr>
              <w:pStyle w:val="1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rPr>
            </w:pPr>
          </w:p>
        </w:tc>
      </w:tr>
    </w:tbl>
    <w:p w14:paraId="67D98830">
      <w:pPr>
        <w:keepNext w:val="0"/>
        <w:keepLines w:val="0"/>
        <w:pageBreakBefore w:val="0"/>
        <w:widowControl w:val="0"/>
        <w:kinsoku/>
        <w:topLinePunct w:val="0"/>
        <w:autoSpaceDE/>
        <w:autoSpaceDN/>
        <w:bidi w:val="0"/>
        <w:adjustRightInd w:val="0"/>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7F48EEE4">
      <w:pPr>
        <w:pStyle w:val="10"/>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注：</w:t>
      </w:r>
    </w:p>
    <w:p w14:paraId="3807F2C5">
      <w:pPr>
        <w:pStyle w:val="10"/>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1. 说明：应对照磋商文件“第三章 采购需求”中的技术要求逐条作出明确响应，并作出偏离说明。</w:t>
      </w:r>
    </w:p>
    <w:p w14:paraId="64471911">
      <w:pPr>
        <w:pStyle w:val="10"/>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2.供应商应根据自身的承诺，对照磋商文件要求，在“偏离说明”中注明“正偏离”、“负偏离”或者“无偏离”。既不属于“正偏离”也不属于“负偏离”即为“无偏离”。</w:t>
      </w:r>
    </w:p>
    <w:p w14:paraId="3DA8FEB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EF3CEC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8BA1D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7F227A45">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054FDCEA">
      <w:pPr>
        <w:keepNext w:val="0"/>
        <w:keepLines w:val="0"/>
        <w:pageBreakBefore w:val="0"/>
        <w:widowControl w:val="0"/>
        <w:kinsoku/>
        <w:topLinePunct w:val="0"/>
        <w:autoSpaceDE/>
        <w:autoSpaceDN/>
        <w:bidi w:val="0"/>
        <w:adjustRightInd/>
        <w:snapToGrid w:val="0"/>
        <w:spacing w:beforeAutospacing="0" w:afterAutospacing="0" w:line="360" w:lineRule="auto"/>
        <w:ind w:right="0" w:rightChars="0"/>
        <w:jc w:val="left"/>
        <w:textAlignment w:val="auto"/>
        <w:outlineLvl w:val="2"/>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57" w:name="_Toc12497"/>
      <w:bookmarkStart w:id="158" w:name="_Toc24164"/>
      <w:bookmarkStart w:id="159" w:name="_Toc19213"/>
      <w:r>
        <w:rPr>
          <w:rFonts w:hint="eastAsia" w:ascii="仿宋" w:hAnsi="仿宋" w:eastAsia="仿宋" w:cs="仿宋"/>
          <w:b/>
          <w:bCs/>
          <w:snapToGrid/>
          <w:color w:val="auto"/>
          <w:kern w:val="2"/>
          <w:sz w:val="24"/>
          <w:szCs w:val="24"/>
          <w:highlight w:val="none"/>
          <w:lang w:val="en-US" w:eastAsia="zh-CN"/>
        </w:rPr>
        <w:t>8.</w:t>
      </w:r>
      <w:r>
        <w:rPr>
          <w:rFonts w:hint="eastAsia" w:ascii="仿宋" w:hAnsi="仿宋" w:eastAsia="仿宋" w:cs="仿宋"/>
          <w:b/>
          <w:bCs/>
          <w:snapToGrid/>
          <w:color w:val="auto"/>
          <w:kern w:val="2"/>
          <w:sz w:val="24"/>
          <w:szCs w:val="24"/>
          <w:highlight w:val="none"/>
          <w:lang w:eastAsia="zh-CN"/>
        </w:rPr>
        <w:t>项目实施人员一览表格式</w:t>
      </w:r>
      <w:bookmarkEnd w:id="157"/>
      <w:bookmarkEnd w:id="158"/>
      <w:bookmarkEnd w:id="159"/>
    </w:p>
    <w:p w14:paraId="335479A4">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项目实施人员一览表</w:t>
      </w:r>
    </w:p>
    <w:p w14:paraId="42D0F13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采购项目编号：</w:t>
      </w:r>
    </w:p>
    <w:p w14:paraId="282A2F0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采购项目名称：</w:t>
      </w:r>
    </w:p>
    <w:p w14:paraId="4BE1737B">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0"/>
          <w:sz w:val="24"/>
          <w:szCs w:val="24"/>
          <w:highlight w:val="none"/>
          <w:lang w:val="en-US" w:eastAsia="zh-CN" w:bidi="ar-SA"/>
        </w:rPr>
        <w:t>所竞标段：</w:t>
      </w:r>
      <w:r>
        <w:rPr>
          <w:rFonts w:hint="eastAsia" w:ascii="仿宋" w:hAnsi="仿宋" w:eastAsia="仿宋" w:cs="仿宋"/>
          <w:snapToGrid/>
          <w:color w:val="auto"/>
          <w:kern w:val="0"/>
          <w:sz w:val="24"/>
          <w:szCs w:val="24"/>
          <w:highlight w:val="none"/>
          <w:u w:val="single"/>
          <w:lang w:val="en-US" w:eastAsia="zh-CN" w:bidi="ar-SA"/>
        </w:rPr>
        <w:t xml:space="preserve">    </w:t>
      </w:r>
      <w:r>
        <w:rPr>
          <w:rFonts w:hint="eastAsia" w:ascii="仿宋" w:hAnsi="仿宋" w:eastAsia="仿宋" w:cs="仿宋"/>
          <w:snapToGrid/>
          <w:color w:val="auto"/>
          <w:kern w:val="0"/>
          <w:sz w:val="24"/>
          <w:szCs w:val="24"/>
          <w:highlight w:val="none"/>
          <w:lang w:val="en-US" w:eastAsia="zh-CN" w:bidi="ar-SA"/>
        </w:rPr>
        <w:t>标段</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782"/>
        <w:gridCol w:w="2815"/>
        <w:gridCol w:w="1547"/>
        <w:gridCol w:w="1788"/>
        <w:gridCol w:w="1221"/>
      </w:tblGrid>
      <w:tr w14:paraId="11DE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0F8B2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姓名</w:t>
            </w:r>
          </w:p>
        </w:tc>
        <w:tc>
          <w:tcPr>
            <w:tcW w:w="432" w:type="pct"/>
            <w:vAlign w:val="center"/>
          </w:tcPr>
          <w:p w14:paraId="1543EBB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职务</w:t>
            </w:r>
          </w:p>
        </w:tc>
        <w:tc>
          <w:tcPr>
            <w:tcW w:w="1554" w:type="pct"/>
            <w:vAlign w:val="center"/>
          </w:tcPr>
          <w:p w14:paraId="4D5916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专业技术资格（职称）或者职业资格或者执业资格证或者其他证书</w:t>
            </w:r>
          </w:p>
        </w:tc>
        <w:tc>
          <w:tcPr>
            <w:tcW w:w="854" w:type="pct"/>
            <w:vAlign w:val="center"/>
          </w:tcPr>
          <w:p w14:paraId="68DD906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证书编号</w:t>
            </w:r>
          </w:p>
        </w:tc>
        <w:tc>
          <w:tcPr>
            <w:tcW w:w="987" w:type="pct"/>
            <w:vAlign w:val="center"/>
          </w:tcPr>
          <w:p w14:paraId="5879A0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专业</w:t>
            </w:r>
          </w:p>
        </w:tc>
        <w:tc>
          <w:tcPr>
            <w:tcW w:w="674" w:type="pct"/>
            <w:vAlign w:val="center"/>
          </w:tcPr>
          <w:p w14:paraId="642DB1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备注</w:t>
            </w:r>
          </w:p>
        </w:tc>
      </w:tr>
      <w:tr w14:paraId="2C03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C89667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4500412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5E8F44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13158CE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5ADC27C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3169855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31D0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428654F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3F1FAD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309BC35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3394954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6B79E3D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142B82A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r w14:paraId="5AFA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14:paraId="166FB4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432" w:type="pct"/>
            <w:vAlign w:val="center"/>
          </w:tcPr>
          <w:p w14:paraId="054ACC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1554" w:type="pct"/>
            <w:vAlign w:val="center"/>
          </w:tcPr>
          <w:p w14:paraId="19A0D9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854" w:type="pct"/>
            <w:vAlign w:val="center"/>
          </w:tcPr>
          <w:p w14:paraId="7DA1CC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987" w:type="pct"/>
            <w:vAlign w:val="center"/>
          </w:tcPr>
          <w:p w14:paraId="5B83E3D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c>
          <w:tcPr>
            <w:tcW w:w="674" w:type="pct"/>
            <w:vAlign w:val="center"/>
          </w:tcPr>
          <w:p w14:paraId="22B22D6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contextualSpacing/>
              <w:jc w:val="center"/>
              <w:textAlignment w:val="auto"/>
              <w:outlineLvl w:val="9"/>
              <w:rPr>
                <w:rFonts w:hint="eastAsia" w:ascii="仿宋" w:hAnsi="仿宋" w:eastAsia="仿宋" w:cs="仿宋"/>
                <w:snapToGrid/>
                <w:color w:val="auto"/>
                <w:kern w:val="2"/>
                <w:sz w:val="24"/>
                <w:szCs w:val="24"/>
                <w:highlight w:val="none"/>
                <w:lang w:eastAsia="zh-CN"/>
              </w:rPr>
            </w:pPr>
          </w:p>
        </w:tc>
      </w:tr>
    </w:tbl>
    <w:p w14:paraId="4F4BFA3F">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w:t>
      </w:r>
    </w:p>
    <w:p w14:paraId="316C87C2">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1.在填写时，如本表格不适合供应商的实际情况，可参照本表格式自行制表填写。</w:t>
      </w:r>
    </w:p>
    <w:p w14:paraId="177DA66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0CD501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2400" w:firstLineChars="1000"/>
        <w:contextualSpacing/>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法定代表人或者委托代理人（签字或者电子签名</w:t>
      </w:r>
      <w:r>
        <w:rPr>
          <w:rFonts w:hint="eastAsia" w:ascii="仿宋" w:hAnsi="仿宋" w:eastAsia="仿宋" w:cs="仿宋"/>
          <w:snapToGrid/>
          <w:color w:val="auto"/>
          <w:kern w:val="2"/>
          <w:sz w:val="24"/>
          <w:szCs w:val="24"/>
          <w:highlight w:val="none"/>
          <w:lang w:val="en-US" w:eastAsia="zh-CN"/>
        </w:rPr>
        <w:t>或盖章</w:t>
      </w:r>
      <w:r>
        <w:rPr>
          <w:rFonts w:hint="eastAsia" w:ascii="仿宋" w:hAnsi="仿宋" w:eastAsia="仿宋" w:cs="仿宋"/>
          <w:snapToGrid/>
          <w:color w:val="auto"/>
          <w:kern w:val="2"/>
          <w:sz w:val="24"/>
          <w:szCs w:val="24"/>
          <w:highlight w:val="none"/>
          <w:lang w:eastAsia="zh-CN"/>
        </w:rPr>
        <w:t>）：</w:t>
      </w:r>
    </w:p>
    <w:p w14:paraId="32116B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供应商（电子签章）：</w:t>
      </w:r>
    </w:p>
    <w:p w14:paraId="02F900B4">
      <w:pPr>
        <w:keepNext w:val="0"/>
        <w:keepLines w:val="0"/>
        <w:pageBreakBefore w:val="0"/>
        <w:widowControl w:val="0"/>
        <w:tabs>
          <w:tab w:val="left" w:pos="939"/>
        </w:tabs>
        <w:kinsoku/>
        <w:wordWrap/>
        <w:overflowPunct/>
        <w:topLinePunct w:val="0"/>
        <w:autoSpaceDE/>
        <w:autoSpaceDN/>
        <w:bidi w:val="0"/>
        <w:adjustRightInd/>
        <w:snapToGrid/>
        <w:spacing w:beforeAutospacing="0" w:afterAutospacing="0" w:line="360" w:lineRule="auto"/>
        <w:ind w:left="0" w:leftChars="0" w:right="0" w:rightChars="0" w:firstLine="3360" w:firstLineChars="1400"/>
        <w:contextualSpacing/>
        <w:jc w:val="left"/>
        <w:textAlignment w:val="auto"/>
        <w:outlineLvl w:val="9"/>
        <w:rPr>
          <w:rFonts w:hint="eastAsia" w:ascii="仿宋" w:hAnsi="仿宋" w:eastAsia="仿宋" w:cs="仿宋"/>
          <w:snapToGrid/>
          <w:color w:val="auto"/>
          <w:kern w:val="2"/>
          <w:sz w:val="24"/>
          <w:szCs w:val="24"/>
          <w:highlight w:val="none"/>
          <w:lang w:val="en-US" w:eastAsia="zh-CN" w:bidi="ar-SA"/>
        </w:rPr>
      </w:pPr>
      <w:r>
        <w:rPr>
          <w:rFonts w:hint="eastAsia" w:ascii="仿宋" w:hAnsi="仿宋" w:eastAsia="仿宋" w:cs="仿宋"/>
          <w:snapToGrid/>
          <w:color w:val="auto"/>
          <w:kern w:val="2"/>
          <w:sz w:val="24"/>
          <w:szCs w:val="24"/>
          <w:highlight w:val="none"/>
          <w:lang w:val="en-US" w:eastAsia="zh-CN" w:bidi="ar-SA"/>
        </w:rPr>
        <w:t>年    月    日</w:t>
      </w:r>
    </w:p>
    <w:p w14:paraId="5BC76635">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p>
    <w:p w14:paraId="75179DF1">
      <w:pPr>
        <w:keepNext w:val="0"/>
        <w:keepLines w:val="0"/>
        <w:pageBreakBefore w:val="0"/>
        <w:widowControl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kern w:val="2"/>
          <w:sz w:val="24"/>
          <w:szCs w:val="24"/>
          <w:highlight w:val="none"/>
          <w:lang w:eastAsia="zh-CN"/>
        </w:rPr>
      </w:pPr>
    </w:p>
    <w:p w14:paraId="63363D2A">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1"/>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br w:type="page"/>
      </w:r>
      <w:bookmarkStart w:id="160" w:name="_Toc19224"/>
      <w:bookmarkStart w:id="161" w:name="_Toc7334"/>
      <w:bookmarkStart w:id="162" w:name="_Toc6966"/>
      <w:r>
        <w:rPr>
          <w:rFonts w:hint="eastAsia" w:ascii="仿宋" w:hAnsi="仿宋" w:eastAsia="仿宋" w:cs="仿宋"/>
          <w:b/>
          <w:bCs/>
          <w:snapToGrid/>
          <w:color w:val="auto"/>
          <w:kern w:val="2"/>
          <w:sz w:val="24"/>
          <w:szCs w:val="24"/>
          <w:highlight w:val="none"/>
          <w:lang w:val="en-US" w:eastAsia="zh-CN"/>
        </w:rPr>
        <w:t>四、</w:t>
      </w:r>
      <w:r>
        <w:rPr>
          <w:rFonts w:hint="eastAsia" w:ascii="仿宋" w:hAnsi="仿宋" w:eastAsia="仿宋" w:cs="仿宋"/>
          <w:b/>
          <w:bCs/>
          <w:snapToGrid/>
          <w:color w:val="auto"/>
          <w:kern w:val="2"/>
          <w:sz w:val="24"/>
          <w:szCs w:val="24"/>
          <w:highlight w:val="none"/>
          <w:lang w:eastAsia="zh-CN"/>
        </w:rPr>
        <w:t>其他文书、文件格式</w:t>
      </w:r>
      <w:bookmarkEnd w:id="160"/>
      <w:bookmarkEnd w:id="161"/>
      <w:bookmarkEnd w:id="162"/>
    </w:p>
    <w:p w14:paraId="09932E4B">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163" w:name="_Toc71365926"/>
      <w:bookmarkStart w:id="164" w:name="_Toc5034"/>
      <w:bookmarkStart w:id="165" w:name="_Toc4065"/>
      <w:bookmarkStart w:id="166" w:name="_Toc32517"/>
      <w:r>
        <w:rPr>
          <w:rFonts w:hint="eastAsia" w:ascii="仿宋" w:hAnsi="仿宋" w:eastAsia="仿宋" w:cs="仿宋"/>
          <w:b/>
          <w:bCs/>
          <w:snapToGrid/>
          <w:color w:val="auto"/>
          <w:kern w:val="2"/>
          <w:sz w:val="24"/>
          <w:szCs w:val="24"/>
          <w:highlight w:val="none"/>
          <w:lang w:val="en-US" w:eastAsia="zh-CN"/>
        </w:rPr>
        <w:t>1.</w:t>
      </w:r>
      <w:r>
        <w:rPr>
          <w:rFonts w:hint="eastAsia" w:ascii="仿宋" w:hAnsi="仿宋" w:eastAsia="仿宋" w:cs="仿宋"/>
          <w:b/>
          <w:bCs/>
          <w:snapToGrid/>
          <w:color w:val="auto"/>
          <w:kern w:val="2"/>
          <w:sz w:val="24"/>
          <w:szCs w:val="24"/>
          <w:highlight w:val="none"/>
          <w:lang w:eastAsia="zh-CN"/>
        </w:rPr>
        <w:t>中小企业声明函（服务）</w:t>
      </w:r>
      <w:bookmarkEnd w:id="163"/>
      <w:bookmarkEnd w:id="164"/>
      <w:bookmarkEnd w:id="165"/>
      <w:bookmarkEnd w:id="166"/>
    </w:p>
    <w:p w14:paraId="0D5C14E2">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中小企业声明函（服务）</w:t>
      </w:r>
    </w:p>
    <w:p w14:paraId="7C8BFE0D">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kern w:val="2"/>
          <w:sz w:val="24"/>
          <w:szCs w:val="24"/>
          <w:highlight w:val="none"/>
          <w:u w:val="single"/>
          <w:lang w:val="en-US" w:eastAsia="zh-CN" w:bidi="ar-SA"/>
        </w:rPr>
        <w:t>（单位名称）</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（项目名称）</w:t>
      </w:r>
      <w:r>
        <w:rPr>
          <w:rFonts w:hint="eastAsia" w:ascii="仿宋" w:hAnsi="仿宋" w:eastAsia="仿宋" w:cs="仿宋"/>
          <w:color w:val="auto"/>
          <w:kern w:val="2"/>
          <w:sz w:val="24"/>
          <w:szCs w:val="24"/>
          <w:highlight w:val="none"/>
          <w:lang w:val="en-US" w:eastAsia="zh-CN" w:bidi="ar-SA"/>
        </w:rPr>
        <w:t>采购活动，服务全部由符合政策要求的中小企业承接。相关企业（含联合体中的中小企业、签订分包意向协议的中小企业）的具体情况如下：</w:t>
      </w:r>
    </w:p>
    <w:p w14:paraId="4DAD7559">
      <w:pPr>
        <w:keepNext w:val="0"/>
        <w:keepLines w:val="0"/>
        <w:pageBreakBefore w:val="0"/>
        <w:widowControl w:val="0"/>
        <w:tabs>
          <w:tab w:val="left" w:pos="1384"/>
          <w:tab w:val="left" w:pos="4562"/>
          <w:tab w:val="left" w:pos="6803"/>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1.</w:t>
      </w:r>
      <w:r>
        <w:rPr>
          <w:rFonts w:hint="eastAsia" w:ascii="仿宋" w:hAnsi="仿宋" w:eastAsia="仿宋" w:cs="仿宋"/>
          <w:snapToGrid/>
          <w:color w:val="auto"/>
          <w:kern w:val="2"/>
          <w:sz w:val="24"/>
          <w:szCs w:val="24"/>
          <w:highlight w:val="none"/>
          <w:u w:val="single"/>
          <w:lang w:eastAsia="zh-CN"/>
        </w:rPr>
        <w:t>（标的名称）</w:t>
      </w:r>
      <w:r>
        <w:rPr>
          <w:rFonts w:hint="eastAsia" w:ascii="仿宋" w:hAnsi="仿宋" w:eastAsia="仿宋" w:cs="仿宋"/>
          <w:snapToGrid/>
          <w:color w:val="auto"/>
          <w:kern w:val="2"/>
          <w:sz w:val="24"/>
          <w:szCs w:val="24"/>
          <w:highlight w:val="none"/>
          <w:lang w:eastAsia="zh-CN"/>
        </w:rPr>
        <w:t>，属于</w:t>
      </w:r>
      <w:r>
        <w:rPr>
          <w:rFonts w:hint="eastAsia" w:ascii="仿宋" w:hAnsi="仿宋" w:eastAsia="仿宋" w:cs="仿宋"/>
          <w:snapToGrid/>
          <w:color w:val="auto"/>
          <w:kern w:val="2"/>
          <w:sz w:val="24"/>
          <w:szCs w:val="24"/>
          <w:highlight w:val="none"/>
          <w:u w:val="single"/>
          <w:lang w:eastAsia="zh-CN"/>
        </w:rPr>
        <w:t>（采购文件中明确的所属行业）</w:t>
      </w:r>
      <w:r>
        <w:rPr>
          <w:rFonts w:hint="eastAsia" w:ascii="仿宋" w:hAnsi="仿宋" w:eastAsia="仿宋" w:cs="仿宋"/>
          <w:snapToGrid/>
          <w:color w:val="auto"/>
          <w:kern w:val="2"/>
          <w:sz w:val="24"/>
          <w:szCs w:val="24"/>
          <w:highlight w:val="none"/>
          <w:lang w:eastAsia="zh-CN"/>
        </w:rPr>
        <w:t>；承接企业为</w:t>
      </w:r>
      <w:r>
        <w:rPr>
          <w:rFonts w:hint="eastAsia" w:ascii="仿宋" w:hAnsi="仿宋" w:eastAsia="仿宋" w:cs="仿宋"/>
          <w:snapToGrid/>
          <w:color w:val="auto"/>
          <w:kern w:val="2"/>
          <w:sz w:val="24"/>
          <w:szCs w:val="24"/>
          <w:highlight w:val="none"/>
          <w:u w:val="single"/>
          <w:lang w:eastAsia="zh-CN"/>
        </w:rPr>
        <w:t>（企业名称）</w:t>
      </w:r>
      <w:r>
        <w:rPr>
          <w:rFonts w:hint="eastAsia" w:ascii="仿宋" w:hAnsi="仿宋" w:eastAsia="仿宋" w:cs="仿宋"/>
          <w:snapToGrid/>
          <w:color w:val="auto"/>
          <w:kern w:val="2"/>
          <w:sz w:val="24"/>
          <w:szCs w:val="24"/>
          <w:highlight w:val="none"/>
          <w:lang w:eastAsia="zh-CN"/>
        </w:rPr>
        <w:t>，从业人员人，营业收入为万元，资产总额为万元，属于</w:t>
      </w:r>
      <w:r>
        <w:rPr>
          <w:rFonts w:hint="eastAsia" w:ascii="仿宋" w:hAnsi="仿宋" w:eastAsia="仿宋" w:cs="仿宋"/>
          <w:snapToGrid/>
          <w:color w:val="auto"/>
          <w:kern w:val="2"/>
          <w:sz w:val="24"/>
          <w:szCs w:val="24"/>
          <w:highlight w:val="none"/>
          <w:u w:val="single"/>
          <w:lang w:eastAsia="zh-CN"/>
        </w:rPr>
        <w:t>（中型企业、小型企业、微型企业）</w:t>
      </w:r>
      <w:r>
        <w:rPr>
          <w:rFonts w:hint="eastAsia" w:ascii="仿宋" w:hAnsi="仿宋" w:eastAsia="仿宋" w:cs="仿宋"/>
          <w:snapToGrid/>
          <w:color w:val="auto"/>
          <w:kern w:val="2"/>
          <w:sz w:val="24"/>
          <w:szCs w:val="24"/>
          <w:highlight w:val="none"/>
          <w:lang w:eastAsia="zh-CN"/>
        </w:rPr>
        <w:t>；</w:t>
      </w:r>
    </w:p>
    <w:p w14:paraId="76EDF988">
      <w:pPr>
        <w:keepNext w:val="0"/>
        <w:keepLines w:val="0"/>
        <w:pageBreakBefore w:val="0"/>
        <w:widowControl w:val="0"/>
        <w:tabs>
          <w:tab w:val="left" w:pos="1065"/>
          <w:tab w:val="left" w:pos="4262"/>
          <w:tab w:val="left" w:pos="6477"/>
        </w:tabs>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u w:val="single"/>
          <w:lang w:eastAsia="zh-CN"/>
        </w:rPr>
      </w:pPr>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snapToGrid/>
          <w:color w:val="auto"/>
          <w:kern w:val="2"/>
          <w:sz w:val="24"/>
          <w:szCs w:val="24"/>
          <w:highlight w:val="none"/>
          <w:u w:val="single"/>
          <w:lang w:eastAsia="zh-CN"/>
        </w:rPr>
        <w:t>（标的名称）</w:t>
      </w:r>
      <w:r>
        <w:rPr>
          <w:rFonts w:hint="eastAsia" w:ascii="仿宋" w:hAnsi="仿宋" w:eastAsia="仿宋" w:cs="仿宋"/>
          <w:snapToGrid/>
          <w:color w:val="auto"/>
          <w:kern w:val="2"/>
          <w:sz w:val="24"/>
          <w:szCs w:val="24"/>
          <w:highlight w:val="none"/>
          <w:lang w:eastAsia="zh-CN"/>
        </w:rPr>
        <w:t>，属于</w:t>
      </w:r>
      <w:r>
        <w:rPr>
          <w:rFonts w:hint="eastAsia" w:ascii="仿宋" w:hAnsi="仿宋" w:eastAsia="仿宋" w:cs="仿宋"/>
          <w:snapToGrid/>
          <w:color w:val="auto"/>
          <w:kern w:val="2"/>
          <w:sz w:val="24"/>
          <w:szCs w:val="24"/>
          <w:highlight w:val="none"/>
          <w:u w:val="single"/>
          <w:lang w:eastAsia="zh-CN"/>
        </w:rPr>
        <w:t>（采购文件中明确的所属行业）</w:t>
      </w:r>
      <w:r>
        <w:rPr>
          <w:rFonts w:hint="eastAsia" w:ascii="仿宋" w:hAnsi="仿宋" w:eastAsia="仿宋" w:cs="仿宋"/>
          <w:snapToGrid/>
          <w:color w:val="auto"/>
          <w:kern w:val="2"/>
          <w:sz w:val="24"/>
          <w:szCs w:val="24"/>
          <w:highlight w:val="none"/>
          <w:lang w:eastAsia="zh-CN"/>
        </w:rPr>
        <w:t>；承接企业为</w:t>
      </w:r>
      <w:r>
        <w:rPr>
          <w:rFonts w:hint="eastAsia" w:ascii="仿宋" w:hAnsi="仿宋" w:eastAsia="仿宋" w:cs="仿宋"/>
          <w:snapToGrid/>
          <w:color w:val="auto"/>
          <w:kern w:val="2"/>
          <w:sz w:val="24"/>
          <w:szCs w:val="24"/>
          <w:highlight w:val="none"/>
          <w:u w:val="single"/>
          <w:lang w:eastAsia="zh-CN"/>
        </w:rPr>
        <w:t>（企业名称）</w:t>
      </w:r>
      <w:r>
        <w:rPr>
          <w:rFonts w:hint="eastAsia" w:ascii="仿宋" w:hAnsi="仿宋" w:eastAsia="仿宋" w:cs="仿宋"/>
          <w:snapToGrid/>
          <w:color w:val="auto"/>
          <w:kern w:val="2"/>
          <w:sz w:val="24"/>
          <w:szCs w:val="24"/>
          <w:highlight w:val="none"/>
          <w:lang w:eastAsia="zh-CN"/>
        </w:rPr>
        <w:t>，从业人员人，营业收入为万元，资产总额为万元，属于</w:t>
      </w:r>
      <w:r>
        <w:rPr>
          <w:rFonts w:hint="eastAsia" w:ascii="仿宋" w:hAnsi="仿宋" w:eastAsia="仿宋" w:cs="仿宋"/>
          <w:snapToGrid/>
          <w:color w:val="auto"/>
          <w:kern w:val="2"/>
          <w:sz w:val="24"/>
          <w:szCs w:val="24"/>
          <w:highlight w:val="none"/>
          <w:u w:val="single"/>
          <w:lang w:eastAsia="zh-CN"/>
        </w:rPr>
        <w:t>（中型企业、小型企业、微型企业）</w:t>
      </w:r>
      <w:r>
        <w:rPr>
          <w:rFonts w:hint="eastAsia" w:ascii="仿宋" w:hAnsi="仿宋" w:eastAsia="仿宋" w:cs="仿宋"/>
          <w:snapToGrid/>
          <w:color w:val="auto"/>
          <w:kern w:val="2"/>
          <w:sz w:val="24"/>
          <w:szCs w:val="24"/>
          <w:highlight w:val="none"/>
          <w:lang w:eastAsia="zh-CN"/>
        </w:rPr>
        <w:t>；</w:t>
      </w:r>
    </w:p>
    <w:p w14:paraId="433257C0">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3635FCFA">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872A797">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本企业对上述声明内容的真实性负责。如有虚假，将依法承担相应责任。</w:t>
      </w:r>
    </w:p>
    <w:p w14:paraId="0C37BF56">
      <w:pPr>
        <w:keepNext w:val="0"/>
        <w:keepLines w:val="0"/>
        <w:pageBreakBefore w:val="0"/>
        <w:widowControl w:val="0"/>
        <w:kinsoku/>
        <w:topLinePunct w:val="0"/>
        <w:bidi w:val="0"/>
        <w:spacing w:beforeAutospacing="0" w:after="0" w:afterAutospacing="0" w:line="360" w:lineRule="auto"/>
        <w:ind w:left="0" w:leftChars="0" w:right="0" w:rightChars="0" w:firstLine="480" w:firstLineChars="200"/>
        <w:jc w:val="left"/>
        <w:outlineLvl w:val="9"/>
        <w:rPr>
          <w:rFonts w:hint="eastAsia" w:ascii="仿宋" w:hAnsi="仿宋" w:eastAsia="仿宋" w:cs="仿宋"/>
          <w:color w:val="auto"/>
          <w:kern w:val="2"/>
          <w:sz w:val="24"/>
          <w:szCs w:val="24"/>
          <w:highlight w:val="none"/>
          <w:lang w:val="en-US" w:eastAsia="zh-CN" w:bidi="ar-SA"/>
        </w:rPr>
      </w:pPr>
    </w:p>
    <w:p w14:paraId="7E9D604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3840" w:firstLineChars="16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企业名称（章）： </w:t>
      </w:r>
    </w:p>
    <w:p w14:paraId="34F30DA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right="0" w:rightChars="0" w:firstLine="3840" w:firstLineChars="1600"/>
        <w:jc w:val="left"/>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 期：</w:t>
      </w:r>
    </w:p>
    <w:p w14:paraId="5E5E16D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1311F8E">
      <w:pPr>
        <w:keepNext w:val="0"/>
        <w:keepLines w:val="0"/>
        <w:pageBreakBefore w:val="0"/>
        <w:widowControl w:val="0"/>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br w:type="page"/>
      </w:r>
      <w:bookmarkStart w:id="167" w:name="_Toc2502"/>
      <w:bookmarkStart w:id="168" w:name="_Toc1069"/>
      <w:bookmarkStart w:id="169" w:name="_Toc6465"/>
      <w:r>
        <w:rPr>
          <w:rFonts w:hint="eastAsia" w:ascii="仿宋" w:hAnsi="仿宋" w:eastAsia="仿宋" w:cs="仿宋"/>
          <w:b/>
          <w:bCs/>
          <w:snapToGrid/>
          <w:color w:val="auto"/>
          <w:kern w:val="2"/>
          <w:sz w:val="24"/>
          <w:szCs w:val="24"/>
          <w:highlight w:val="none"/>
          <w:lang w:val="en-US" w:eastAsia="zh-CN"/>
        </w:rPr>
        <w:t>2.</w:t>
      </w:r>
      <w:r>
        <w:rPr>
          <w:rFonts w:hint="eastAsia" w:ascii="仿宋" w:hAnsi="仿宋" w:eastAsia="仿宋" w:cs="仿宋"/>
          <w:b/>
          <w:bCs/>
          <w:snapToGrid/>
          <w:color w:val="auto"/>
          <w:kern w:val="2"/>
          <w:sz w:val="24"/>
          <w:szCs w:val="24"/>
          <w:highlight w:val="none"/>
          <w:lang w:eastAsia="zh-CN"/>
        </w:rPr>
        <w:t>残疾人福利性单位声明函</w:t>
      </w:r>
      <w:bookmarkEnd w:id="167"/>
      <w:bookmarkEnd w:id="168"/>
      <w:bookmarkEnd w:id="169"/>
    </w:p>
    <w:p w14:paraId="6AD57E3D">
      <w:pPr>
        <w:keepNext w:val="0"/>
        <w:keepLines w:val="0"/>
        <w:pageBreakBefore w:val="0"/>
        <w:widowControl w:val="0"/>
        <w:kinsoku/>
        <w:topLinePunct w:val="0"/>
        <w:autoSpaceDE/>
        <w:autoSpaceDN/>
        <w:bidi w:val="0"/>
        <w:adjustRightInd/>
        <w:snapToGrid/>
        <w:spacing w:beforeAutospacing="0" w:afterAutospacing="0" w:line="360" w:lineRule="auto"/>
        <w:ind w:right="0" w:rightChars="0"/>
        <w:contextualSpacing/>
        <w:jc w:val="center"/>
        <w:textAlignment w:val="auto"/>
        <w:outlineLvl w:val="9"/>
        <w:rPr>
          <w:rFonts w:hint="eastAsia" w:ascii="仿宋" w:hAnsi="仿宋" w:eastAsia="仿宋" w:cs="仿宋"/>
          <w:b/>
          <w:bCs/>
          <w:snapToGrid/>
          <w:color w:val="auto"/>
          <w:kern w:val="2"/>
          <w:sz w:val="24"/>
          <w:szCs w:val="24"/>
          <w:highlight w:val="none"/>
          <w:lang w:eastAsia="zh-CN"/>
        </w:rPr>
      </w:pPr>
      <w:r>
        <w:rPr>
          <w:rFonts w:hint="eastAsia" w:ascii="仿宋" w:hAnsi="仿宋" w:eastAsia="仿宋" w:cs="仿宋"/>
          <w:b/>
          <w:bCs/>
          <w:snapToGrid/>
          <w:color w:val="auto"/>
          <w:kern w:val="2"/>
          <w:sz w:val="24"/>
          <w:szCs w:val="24"/>
          <w:highlight w:val="none"/>
          <w:lang w:eastAsia="zh-CN"/>
        </w:rPr>
        <w:t>残疾人福利性单位声明函</w:t>
      </w:r>
    </w:p>
    <w:p w14:paraId="0F00E5D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D46DD51">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本单位对上述声明的真实性负责。如有虚假，将依法承担相应责任。</w:t>
      </w:r>
    </w:p>
    <w:p w14:paraId="2114F5A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49202B7">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E746D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840" w:firstLineChars="16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单位名称（盖章）：</w:t>
      </w:r>
    </w:p>
    <w:p w14:paraId="31603F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3840" w:firstLineChars="16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日  期：</w:t>
      </w:r>
    </w:p>
    <w:p w14:paraId="002D974C">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43FED72A">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517146F9">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p>
    <w:p w14:paraId="3B14B05D">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注：请根据自己的真实情况出具《残疾人福利性单位声明函》。依法享受中小企业</w:t>
      </w:r>
      <w:r>
        <w:rPr>
          <w:rFonts w:hint="eastAsia" w:ascii="仿宋" w:hAnsi="仿宋" w:eastAsia="仿宋" w:cs="仿宋"/>
          <w:snapToGrid/>
          <w:color w:val="auto"/>
          <w:kern w:val="2"/>
          <w:sz w:val="24"/>
          <w:szCs w:val="24"/>
          <w:highlight w:val="none"/>
          <w:lang w:val="en-US" w:eastAsia="zh-CN"/>
        </w:rPr>
        <w:t>扶持</w:t>
      </w:r>
      <w:r>
        <w:rPr>
          <w:rFonts w:hint="eastAsia" w:ascii="仿宋" w:hAnsi="仿宋" w:eastAsia="仿宋" w:cs="仿宋"/>
          <w:snapToGrid/>
          <w:color w:val="auto"/>
          <w:kern w:val="2"/>
          <w:sz w:val="24"/>
          <w:szCs w:val="24"/>
          <w:highlight w:val="none"/>
          <w:lang w:eastAsia="zh-CN"/>
        </w:rPr>
        <w:t>政策的，采购人或者采购代理机构在公告</w:t>
      </w:r>
      <w:r>
        <w:rPr>
          <w:rFonts w:hint="eastAsia" w:ascii="仿宋" w:hAnsi="仿宋" w:eastAsia="仿宋" w:cs="仿宋"/>
          <w:snapToGrid/>
          <w:color w:val="auto"/>
          <w:kern w:val="2"/>
          <w:sz w:val="24"/>
          <w:szCs w:val="24"/>
          <w:highlight w:val="none"/>
          <w:lang w:val="en-US" w:eastAsia="zh-CN"/>
        </w:rPr>
        <w:t>成交</w:t>
      </w:r>
      <w:r>
        <w:rPr>
          <w:rFonts w:hint="eastAsia" w:ascii="仿宋" w:hAnsi="仿宋" w:eastAsia="仿宋" w:cs="仿宋"/>
          <w:snapToGrid/>
          <w:color w:val="auto"/>
          <w:kern w:val="2"/>
          <w:sz w:val="24"/>
          <w:szCs w:val="24"/>
          <w:highlight w:val="none"/>
          <w:lang w:eastAsia="zh-CN"/>
        </w:rPr>
        <w:t>结果时，同时公告其《残疾人福利性单位声明函》，接受社会监督。</w:t>
      </w:r>
    </w:p>
    <w:p w14:paraId="255E3860">
      <w:pPr>
        <w:keepNext w:val="0"/>
        <w:keepLines w:val="0"/>
        <w:pageBreakBefore w:val="0"/>
        <w:widowControl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kern w:val="2"/>
          <w:sz w:val="24"/>
          <w:szCs w:val="24"/>
          <w:highlight w:val="none"/>
          <w:lang w:eastAsia="zh-CN"/>
        </w:rPr>
        <w:sectPr>
          <w:headerReference r:id="rId12" w:type="default"/>
          <w:footerReference r:id="rId13" w:type="default"/>
          <w:pgSz w:w="11910" w:h="16830"/>
          <w:pgMar w:top="820" w:right="1426" w:bottom="1069" w:left="1640" w:header="0" w:footer="927" w:gutter="0"/>
          <w:pgNumType w:fmt="decimal"/>
          <w:cols w:space="720" w:num="1"/>
        </w:sectPr>
      </w:pPr>
      <w:r>
        <w:rPr>
          <w:rFonts w:hint="eastAsia" w:ascii="仿宋" w:hAnsi="仿宋" w:eastAsia="仿宋" w:cs="仿宋"/>
          <w:snapToGrid/>
          <w:color w:val="auto"/>
          <w:kern w:val="2"/>
          <w:sz w:val="24"/>
          <w:szCs w:val="24"/>
          <w:highlight w:val="none"/>
          <w:lang w:eastAsia="zh-CN"/>
        </w:rPr>
        <w:br w:type="page"/>
      </w:r>
    </w:p>
    <w:p w14:paraId="665BBFCB">
      <w:pPr>
        <w:widowControl w:val="0"/>
        <w:spacing w:line="360" w:lineRule="auto"/>
        <w:outlineLvl w:val="2"/>
        <w:rPr>
          <w:rFonts w:hint="eastAsia" w:ascii="仿宋" w:hAnsi="仿宋" w:eastAsia="仿宋" w:cs="仿宋"/>
          <w:b/>
          <w:bCs/>
          <w:i w:val="0"/>
          <w:iCs w:val="0"/>
          <w:caps w:val="0"/>
          <w:snapToGrid/>
          <w:color w:val="auto"/>
          <w:spacing w:val="0"/>
          <w:kern w:val="2"/>
          <w:sz w:val="24"/>
          <w:szCs w:val="24"/>
          <w:highlight w:val="none"/>
          <w:shd w:val="clear"/>
          <w:lang w:val="en-US" w:eastAsia="zh-CN" w:bidi="ar"/>
        </w:rPr>
      </w:pPr>
      <w:bookmarkStart w:id="170" w:name="_Toc29169"/>
      <w:r>
        <w:rPr>
          <w:rFonts w:hint="eastAsia" w:ascii="仿宋" w:hAnsi="仿宋" w:eastAsia="仿宋" w:cs="仿宋"/>
          <w:b/>
          <w:bCs/>
          <w:snapToGrid/>
          <w:color w:val="auto"/>
          <w:kern w:val="2"/>
          <w:sz w:val="24"/>
          <w:szCs w:val="24"/>
          <w:highlight w:val="none"/>
          <w:lang w:val="en-US" w:eastAsia="zh-CN" w:bidi="ar"/>
        </w:rPr>
        <w:t>3.</w:t>
      </w:r>
      <w:r>
        <w:rPr>
          <w:rFonts w:hint="eastAsia" w:ascii="仿宋" w:hAnsi="仿宋" w:eastAsia="仿宋" w:cs="仿宋"/>
          <w:b/>
          <w:bCs/>
          <w:i w:val="0"/>
          <w:iCs w:val="0"/>
          <w:caps w:val="0"/>
          <w:snapToGrid/>
          <w:color w:val="auto"/>
          <w:spacing w:val="0"/>
          <w:kern w:val="2"/>
          <w:sz w:val="24"/>
          <w:szCs w:val="24"/>
          <w:highlight w:val="none"/>
          <w:shd w:val="clear"/>
          <w:lang w:val="en-US" w:eastAsia="zh-CN" w:bidi="ar"/>
        </w:rPr>
        <w:t>关于符合本国产品标准的声明函</w:t>
      </w:r>
      <w:r>
        <w:rPr>
          <w:rFonts w:hint="eastAsia" w:ascii="仿宋" w:hAnsi="仿宋" w:eastAsia="仿宋" w:cs="仿宋"/>
          <w:b/>
          <w:bCs/>
          <w:snapToGrid/>
          <w:color w:val="auto"/>
          <w:kern w:val="2"/>
          <w:sz w:val="24"/>
          <w:szCs w:val="24"/>
          <w:highlight w:val="none"/>
          <w:lang w:val="en-US" w:eastAsia="zh-CN" w:bidi="ar"/>
        </w:rPr>
        <w:t>的格式：</w:t>
      </w:r>
      <w:bookmarkEnd w:id="170"/>
    </w:p>
    <w:p w14:paraId="30ACF7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b/>
          <w:i w:val="0"/>
          <w:iCs w:val="0"/>
          <w:caps w:val="0"/>
          <w:color w:val="auto"/>
          <w:spacing w:val="0"/>
          <w:kern w:val="2"/>
          <w:sz w:val="30"/>
          <w:szCs w:val="30"/>
          <w:highlight w:val="none"/>
          <w:shd w:val="clear" w:color="auto" w:fill="auto"/>
          <w:lang w:val="en-US" w:eastAsia="zh-CN" w:bidi="ar"/>
        </w:rPr>
      </w:pPr>
    </w:p>
    <w:p w14:paraId="294823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b/>
          <w:i w:val="0"/>
          <w:iCs w:val="0"/>
          <w:caps w:val="0"/>
          <w:color w:val="auto"/>
          <w:spacing w:val="0"/>
          <w:kern w:val="2"/>
          <w:sz w:val="30"/>
          <w:szCs w:val="30"/>
          <w:highlight w:val="none"/>
          <w:shd w:val="clear" w:color="auto" w:fill="auto"/>
          <w:lang w:val="en-US" w:eastAsia="zh-CN" w:bidi="ar"/>
        </w:rPr>
        <w:t>关于符合本国产品标准的声明函</w:t>
      </w:r>
    </w:p>
    <w:p w14:paraId="309C045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p>
    <w:p w14:paraId="45C7239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61737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1.</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Style w:val="25"/>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，生产厂为</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（厂名）</w:t>
      </w:r>
      <w:r>
        <w:rPr>
          <w:rStyle w:val="25"/>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，厂址为</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的中国境内生产的组件成本占比≥</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（规定比例）</w:t>
      </w:r>
      <w:r>
        <w:rPr>
          <w:rStyle w:val="25"/>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3</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（关键组件）</w:t>
      </w:r>
      <w:r>
        <w:rPr>
          <w:rStyle w:val="25"/>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4</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在中国境内生产。</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（产品名称1）</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（关键工序）</w:t>
      </w:r>
      <w:r>
        <w:rPr>
          <w:rStyle w:val="25"/>
          <w:rFonts w:hint="eastAsia" w:ascii="仿宋" w:hAnsi="仿宋" w:eastAsia="仿宋" w:cs="仿宋"/>
          <w:i w:val="0"/>
          <w:iCs w:val="0"/>
          <w:caps w:val="0"/>
          <w:color w:val="auto"/>
          <w:spacing w:val="0"/>
          <w:kern w:val="2"/>
          <w:sz w:val="24"/>
          <w:szCs w:val="24"/>
          <w:highlight w:val="none"/>
          <w:u w:val="none"/>
          <w:shd w:val="clear" w:color="auto" w:fill="FFFFFF"/>
          <w:vertAlign w:val="superscript"/>
          <w:lang w:val="en-US" w:eastAsia="zh-CN" w:bidi="ar-SA"/>
        </w:rPr>
        <w:t>5</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在中国境内完成。</w:t>
      </w:r>
    </w:p>
    <w:p w14:paraId="095F38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2.</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，生产厂为</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（厂名）</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，厂址为</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（生产厂址）</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的中国境内生产的组件成本占比≥</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（规定比例）</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（关键组件）</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在中国境内生产。</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（产品名称2）</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的</w:t>
      </w:r>
      <w:r>
        <w:rPr>
          <w:rStyle w:val="25"/>
          <w:rFonts w:hint="eastAsia" w:ascii="仿宋" w:hAnsi="仿宋" w:eastAsia="仿宋" w:cs="仿宋"/>
          <w:i w:val="0"/>
          <w:iCs w:val="0"/>
          <w:caps w:val="0"/>
          <w:color w:val="auto"/>
          <w:spacing w:val="0"/>
          <w:kern w:val="2"/>
          <w:sz w:val="24"/>
          <w:szCs w:val="24"/>
          <w:highlight w:val="none"/>
          <w:u w:val="single"/>
          <w:shd w:val="clear" w:color="auto" w:fill="FFFFFF"/>
          <w:lang w:val="en-US" w:eastAsia="zh-CN" w:bidi="ar-SA"/>
        </w:rPr>
        <w:t>（关键工序）</w:t>
      </w: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在中国境内完成。</w:t>
      </w:r>
    </w:p>
    <w:p w14:paraId="033F86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w:t>
      </w:r>
    </w:p>
    <w:p w14:paraId="2BA15D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本公司（单位）对上述声明内容的真实性负责。如有虚假，愿承担相应法律责任。</w:t>
      </w:r>
    </w:p>
    <w:p w14:paraId="3E5020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both"/>
        <w:rPr>
          <w:rFonts w:hint="eastAsia" w:ascii="仿宋" w:hAnsi="仿宋" w:eastAsia="仿宋" w:cs="仿宋"/>
          <w:i w:val="0"/>
          <w:iCs w:val="0"/>
          <w:caps w:val="0"/>
          <w:color w:val="auto"/>
          <w:spacing w:val="0"/>
          <w:kern w:val="2"/>
          <w:sz w:val="24"/>
          <w:szCs w:val="24"/>
          <w:highlight w:val="none"/>
          <w:lang w:val="en-US" w:eastAsia="zh-CN" w:bidi="ar"/>
        </w:rPr>
      </w:pPr>
    </w:p>
    <w:p w14:paraId="532822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公司（单位）名称（盖章）：　        </w:t>
      </w:r>
    </w:p>
    <w:p w14:paraId="595150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日期：　     年　  月　  日         </w:t>
      </w:r>
    </w:p>
    <w:p w14:paraId="6C3194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仿宋" w:hAnsi="仿宋" w:eastAsia="仿宋" w:cs="仿宋"/>
          <w:i w:val="0"/>
          <w:iCs w:val="0"/>
          <w:caps w:val="0"/>
          <w:color w:val="auto"/>
          <w:spacing w:val="0"/>
          <w:kern w:val="2"/>
          <w:sz w:val="24"/>
          <w:szCs w:val="24"/>
          <w:highlight w:val="none"/>
          <w:lang w:val="en-US" w:eastAsia="zh-CN" w:bidi="ar"/>
        </w:rPr>
      </w:pPr>
      <w:r>
        <w:rPr>
          <w:rFonts w:hint="eastAsia" w:ascii="仿宋" w:hAnsi="仿宋" w:eastAsia="仿宋" w:cs="仿宋"/>
          <w:i w:val="0"/>
          <w:iCs w:val="0"/>
          <w:caps w:val="0"/>
          <w:color w:val="auto"/>
          <w:spacing w:val="0"/>
          <w:kern w:val="2"/>
          <w:sz w:val="24"/>
          <w:szCs w:val="24"/>
          <w:highlight w:val="none"/>
          <w:shd w:val="clear" w:color="auto" w:fill="auto"/>
          <w:lang w:val="en-US" w:eastAsia="zh-CN" w:bidi="ar"/>
        </w:rPr>
        <w:t>__________________</w:t>
      </w:r>
    </w:p>
    <w:p w14:paraId="6F36AF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1.产品如有型号，请在“产品名称”栏一并填写。</w:t>
      </w:r>
    </w:p>
    <w:p w14:paraId="1B172D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2.生产厂名与厂址应与生产厂营业执照载明的相关信息保持一致。</w:t>
      </w:r>
    </w:p>
    <w:p w14:paraId="2BF617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3.该产品的中国境内生产的组件成本占比相关要求实施前，“规定比例”栏可不填，下同。</w:t>
      </w:r>
    </w:p>
    <w:p w14:paraId="2CFDF0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both"/>
        <w:rPr>
          <w:rFonts w:hint="eastAsia" w:ascii="仿宋" w:hAnsi="仿宋" w:eastAsia="仿宋" w:cs="仿宋"/>
          <w:i w:val="0"/>
          <w:iCs w:val="0"/>
          <w:caps w:val="0"/>
          <w:color w:val="auto"/>
          <w:spacing w:val="0"/>
          <w:kern w:val="2"/>
          <w:sz w:val="21"/>
          <w:szCs w:val="21"/>
          <w:highlight w:val="none"/>
          <w:lang w:val="en-US" w:eastAsia="zh-CN" w:bidi="ar"/>
        </w:rPr>
      </w:pPr>
      <w:r>
        <w:rPr>
          <w:rFonts w:hint="eastAsia" w:ascii="仿宋" w:hAnsi="仿宋" w:eastAsia="仿宋" w:cs="仿宋"/>
          <w:i w:val="0"/>
          <w:iCs w:val="0"/>
          <w:caps w:val="0"/>
          <w:color w:val="auto"/>
          <w:spacing w:val="0"/>
          <w:kern w:val="2"/>
          <w:sz w:val="21"/>
          <w:szCs w:val="21"/>
          <w:highlight w:val="none"/>
          <w:shd w:val="clear" w:color="auto" w:fill="auto"/>
          <w:lang w:val="en-US" w:eastAsia="zh-CN" w:bidi="ar"/>
        </w:rPr>
        <w:t>4.该产品的关键组件要求实施前，“关键组件”栏可不填，下同。</w:t>
      </w:r>
    </w:p>
    <w:p w14:paraId="4CCFDBBC">
      <w:pPr>
        <w:widowControl w:val="0"/>
        <w:kinsoku/>
        <w:autoSpaceDE/>
        <w:autoSpaceDN/>
        <w:adjustRightInd/>
        <w:snapToGrid/>
        <w:spacing w:line="360" w:lineRule="auto"/>
        <w:ind w:right="420" w:firstLine="420" w:firstLineChars="200"/>
        <w:jc w:val="both"/>
        <w:textAlignment w:val="auto"/>
        <w:rPr>
          <w:rFonts w:hint="eastAsia" w:ascii="仿宋" w:hAnsi="仿宋" w:eastAsia="仿宋" w:cs="仿宋"/>
          <w:snapToGrid/>
          <w:color w:val="auto"/>
          <w:kern w:val="2"/>
          <w:sz w:val="21"/>
          <w:szCs w:val="21"/>
          <w:highlight w:val="none"/>
          <w:lang w:eastAsia="zh-CN"/>
        </w:rPr>
      </w:pPr>
      <w:r>
        <w:rPr>
          <w:rFonts w:hint="eastAsia" w:ascii="仿宋" w:hAnsi="仿宋" w:eastAsia="仿宋" w:cs="仿宋"/>
          <w:i w:val="0"/>
          <w:iCs w:val="0"/>
          <w:caps w:val="0"/>
          <w:snapToGrid/>
          <w:color w:val="auto"/>
          <w:spacing w:val="0"/>
          <w:kern w:val="2"/>
          <w:sz w:val="21"/>
          <w:szCs w:val="21"/>
          <w:highlight w:val="none"/>
          <w:shd w:val="clear" w:color="auto" w:fill="auto"/>
          <w:lang w:eastAsia="zh-CN"/>
        </w:rPr>
        <w:t>5.该产品的关键工序要求实施前，“关键工序”栏可不填，下同。</w:t>
      </w:r>
    </w:p>
    <w:p w14:paraId="223477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p>
    <w:p w14:paraId="2D060002">
      <w:pPr>
        <w:widowControl/>
        <w:shd w:val="clear" w:color="auto" w:fill="FFFFFF"/>
        <w:spacing w:line="480" w:lineRule="atLeast"/>
        <w:jc w:val="both"/>
        <w:rPr>
          <w:rFonts w:hint="eastAsia" w:ascii="仿宋" w:hAnsi="仿宋" w:eastAsia="仿宋" w:cs="仿宋"/>
          <w:color w:val="auto"/>
          <w:sz w:val="24"/>
          <w:highlight w:val="none"/>
        </w:rPr>
        <w:sectPr>
          <w:pgSz w:w="11911" w:h="16838"/>
          <w:pgMar w:top="1134" w:right="1134" w:bottom="1134" w:left="1134" w:header="720" w:footer="720" w:gutter="0"/>
          <w:pgNumType w:fmt="decimal"/>
          <w:cols w:space="720" w:num="1"/>
        </w:sectPr>
      </w:pPr>
      <w:r>
        <w:rPr>
          <w:rFonts w:hint="eastAsia" w:ascii="仿宋" w:hAnsi="仿宋" w:eastAsia="仿宋" w:cs="仿宋"/>
          <w:i w:val="0"/>
          <w:iCs w:val="0"/>
          <w:caps w:val="0"/>
          <w:snapToGrid/>
          <w:color w:val="auto"/>
          <w:spacing w:val="0"/>
          <w:kern w:val="2"/>
          <w:sz w:val="24"/>
          <w:szCs w:val="24"/>
          <w:highlight w:val="none"/>
          <w:shd w:val="clear" w:color="auto" w:fill="FFFFFF"/>
          <w:lang w:val="en-US" w:eastAsia="zh-CN"/>
        </w:rPr>
        <w:t>注：</w:t>
      </w:r>
      <w:r>
        <w:rPr>
          <w:rFonts w:hint="eastAsia" w:ascii="仿宋" w:hAnsi="仿宋" w:eastAsia="仿宋" w:cs="仿宋"/>
          <w:i w:val="0"/>
          <w:iCs w:val="0"/>
          <w:caps w:val="0"/>
          <w:snapToGrid/>
          <w:color w:val="auto"/>
          <w:spacing w:val="0"/>
          <w:kern w:val="2"/>
          <w:sz w:val="24"/>
          <w:szCs w:val="24"/>
          <w:highlight w:val="none"/>
          <w:shd w:val="clear" w:color="auto" w:fill="FFFFFF"/>
          <w:lang w:eastAsia="zh-CN"/>
        </w:rPr>
        <w:t>成交供应商提供的《声明函》或有关证明文件随成交结果同时公告。</w:t>
      </w:r>
    </w:p>
    <w:p w14:paraId="7EE5528A">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eastAsia="zh-CN"/>
        </w:rPr>
      </w:pPr>
      <w:bookmarkStart w:id="171" w:name="_Toc30035"/>
      <w:bookmarkStart w:id="172" w:name="_Toc21858"/>
      <w:bookmarkStart w:id="173" w:name="_Toc13804"/>
      <w:r>
        <w:rPr>
          <w:rFonts w:hint="eastAsia" w:ascii="仿宋" w:hAnsi="仿宋" w:eastAsia="仿宋" w:cs="仿宋"/>
          <w:b/>
          <w:bCs/>
          <w:snapToGrid/>
          <w:color w:val="auto"/>
          <w:kern w:val="2"/>
          <w:sz w:val="24"/>
          <w:szCs w:val="24"/>
          <w:highlight w:val="none"/>
          <w:lang w:val="en-US" w:eastAsia="zh-CN" w:bidi="ar-SA"/>
        </w:rPr>
        <w:t>4.</w:t>
      </w:r>
      <w:r>
        <w:rPr>
          <w:rFonts w:hint="eastAsia" w:ascii="仿宋" w:hAnsi="仿宋" w:eastAsia="仿宋" w:cs="仿宋"/>
          <w:b/>
          <w:bCs/>
          <w:snapToGrid/>
          <w:color w:val="auto"/>
          <w:kern w:val="2"/>
          <w:sz w:val="24"/>
          <w:szCs w:val="24"/>
          <w:highlight w:val="none"/>
          <w:lang w:eastAsia="zh-CN"/>
        </w:rPr>
        <w:t>质疑函（格式）</w:t>
      </w:r>
      <w:bookmarkEnd w:id="171"/>
      <w:bookmarkEnd w:id="172"/>
      <w:bookmarkEnd w:id="173"/>
    </w:p>
    <w:p w14:paraId="4AB73498">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质疑函（格式）</w:t>
      </w:r>
    </w:p>
    <w:p w14:paraId="4D865431">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一、质疑供应商基本信息：</w:t>
      </w:r>
    </w:p>
    <w:p w14:paraId="6B7C4AE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质疑供应商：</w:t>
      </w:r>
    </w:p>
    <w:p w14:paraId="62FC1AA3">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0F67CD5F">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联系人：联系电话：</w:t>
      </w:r>
    </w:p>
    <w:p w14:paraId="48AB827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授权代表：</w:t>
      </w:r>
    </w:p>
    <w:p w14:paraId="5D0BEB0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联系电话：</w:t>
      </w:r>
    </w:p>
    <w:p w14:paraId="60B56B31">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0D0D91F5">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二、质疑项目基本情况：</w:t>
      </w:r>
    </w:p>
    <w:p w14:paraId="31DAEFC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质疑</w:t>
      </w:r>
      <w:r>
        <w:rPr>
          <w:rFonts w:hint="eastAsia" w:ascii="仿宋" w:hAnsi="仿宋" w:eastAsia="仿宋" w:cs="仿宋"/>
          <w:snapToGrid/>
          <w:color w:val="auto"/>
          <w:sz w:val="24"/>
          <w:szCs w:val="24"/>
          <w:highlight w:val="none"/>
        </w:rPr>
        <w:t>项目的名称：</w:t>
      </w:r>
    </w:p>
    <w:p w14:paraId="15D35795">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质疑</w:t>
      </w:r>
      <w:r>
        <w:rPr>
          <w:rFonts w:hint="eastAsia" w:ascii="仿宋" w:hAnsi="仿宋" w:eastAsia="仿宋" w:cs="仿宋"/>
          <w:snapToGrid/>
          <w:color w:val="auto"/>
          <w:sz w:val="24"/>
          <w:szCs w:val="24"/>
          <w:highlight w:val="none"/>
        </w:rPr>
        <w:t>项目的编号：</w:t>
      </w:r>
    </w:p>
    <w:p w14:paraId="5B98019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采购人名称：</w:t>
      </w:r>
    </w:p>
    <w:p w14:paraId="7CDB13B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w:t>
      </w:r>
    </w:p>
    <w:p w14:paraId="5C35B168">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□采购文件   采购文件获取日期：</w:t>
      </w:r>
    </w:p>
    <w:p w14:paraId="031E788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□采购过程   </w:t>
      </w:r>
    </w:p>
    <w:p w14:paraId="1061F587">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 xml:space="preserve">□成交结果   </w:t>
      </w:r>
    </w:p>
    <w:p w14:paraId="131DF6BE">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三、质疑事项具体内容</w:t>
      </w:r>
    </w:p>
    <w:p w14:paraId="5802E134">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质疑事项1：</w:t>
      </w:r>
    </w:p>
    <w:p w14:paraId="75DF3D0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事实依据：</w:t>
      </w:r>
    </w:p>
    <w:p w14:paraId="66C99173">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法律依据：</w:t>
      </w:r>
    </w:p>
    <w:p w14:paraId="3E66B8C7">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质疑事项2</w:t>
      </w:r>
    </w:p>
    <w:p w14:paraId="032A6E07">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w:t>
      </w:r>
    </w:p>
    <w:p w14:paraId="2AF16B4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四、与质疑事项相关的质疑请求：</w:t>
      </w:r>
    </w:p>
    <w:p w14:paraId="5DE3712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请求：</w:t>
      </w:r>
    </w:p>
    <w:p w14:paraId="198AFE83">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p>
    <w:p w14:paraId="52C72F23">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 xml:space="preserve">签字（签章）：                                       </w:t>
      </w:r>
    </w:p>
    <w:p w14:paraId="41C1F34F">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公章：</w:t>
      </w:r>
    </w:p>
    <w:p w14:paraId="13CF046E">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snapToGrid/>
          <w:color w:val="auto"/>
          <w:sz w:val="24"/>
          <w:szCs w:val="24"/>
          <w:highlight w:val="none"/>
        </w:rPr>
        <w:t>日期：</w:t>
      </w:r>
    </w:p>
    <w:p w14:paraId="7277C658">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说明：</w:t>
      </w:r>
    </w:p>
    <w:p w14:paraId="5AA738C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snapToGrid/>
          <w:color w:val="auto"/>
          <w:sz w:val="24"/>
          <w:szCs w:val="24"/>
          <w:highlight w:val="none"/>
        </w:rPr>
        <w:t>1.供应商提出质疑时，应提交质疑函和必要的证明材料</w:t>
      </w:r>
      <w:r>
        <w:rPr>
          <w:rFonts w:hint="eastAsia" w:ascii="仿宋" w:hAnsi="仿宋" w:eastAsia="仿宋" w:cs="仿宋"/>
          <w:b/>
          <w:bCs/>
          <w:snapToGrid/>
          <w:color w:val="auto"/>
          <w:sz w:val="24"/>
          <w:szCs w:val="24"/>
          <w:highlight w:val="none"/>
        </w:rPr>
        <w:t>。</w:t>
      </w:r>
    </w:p>
    <w:p w14:paraId="5492A408">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B81A44">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3.质疑函的质疑事项应具体、明确，并有必要的事实依据和法律依据。</w:t>
      </w:r>
    </w:p>
    <w:p w14:paraId="07847B61">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4.质疑函的质疑请求应与质疑事项相关。</w:t>
      </w:r>
    </w:p>
    <w:p w14:paraId="2BF2EF6B">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contextualSpacing/>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5.质疑供应商为法人或者其他组织的，质疑函应由法定代表人、主要负责人，或者其授权代表签字或者盖章，并加盖公章。</w:t>
      </w:r>
    </w:p>
    <w:p w14:paraId="574E5E7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p>
    <w:p w14:paraId="52ACDCCB">
      <w:pPr>
        <w:widowControl w:val="0"/>
        <w:kinsoku/>
        <w:autoSpaceDE/>
        <w:autoSpaceDN/>
        <w:adjustRightInd/>
        <w:snapToGrid/>
        <w:spacing w:line="240" w:lineRule="auto"/>
        <w:jc w:val="both"/>
        <w:textAlignment w:val="auto"/>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br w:type="page"/>
      </w:r>
    </w:p>
    <w:p w14:paraId="27EF1C38">
      <w:pPr>
        <w:keepNext w:val="0"/>
        <w:keepLines w:val="0"/>
        <w:pageBreakBefore w:val="0"/>
        <w:widowControl w:val="0"/>
        <w:numPr>
          <w:ilvl w:val="0"/>
          <w:numId w:val="0"/>
        </w:numPr>
        <w:kinsoku/>
        <w:topLinePunct w:val="0"/>
        <w:autoSpaceDE/>
        <w:autoSpaceDN/>
        <w:bidi w:val="0"/>
        <w:adjustRightInd/>
        <w:snapToGrid/>
        <w:spacing w:beforeAutospacing="0" w:afterAutospacing="0" w:line="360" w:lineRule="auto"/>
        <w:ind w:right="0" w:rightChars="0"/>
        <w:jc w:val="left"/>
        <w:textAlignment w:val="auto"/>
        <w:outlineLvl w:val="2"/>
        <w:rPr>
          <w:rFonts w:hint="eastAsia" w:ascii="仿宋" w:hAnsi="仿宋" w:eastAsia="仿宋" w:cs="仿宋"/>
          <w:b/>
          <w:bCs/>
          <w:snapToGrid/>
          <w:color w:val="auto"/>
          <w:kern w:val="2"/>
          <w:sz w:val="24"/>
          <w:szCs w:val="24"/>
          <w:highlight w:val="none"/>
          <w:lang w:val="en-US" w:eastAsia="zh-CN" w:bidi="ar-SA"/>
        </w:rPr>
      </w:pPr>
      <w:bookmarkStart w:id="174" w:name="_Toc30591"/>
      <w:bookmarkStart w:id="175" w:name="_Toc10480"/>
      <w:bookmarkStart w:id="176" w:name="_Toc26170"/>
      <w:r>
        <w:rPr>
          <w:rFonts w:hint="eastAsia" w:ascii="仿宋" w:hAnsi="仿宋" w:eastAsia="仿宋" w:cs="仿宋"/>
          <w:b/>
          <w:bCs/>
          <w:snapToGrid/>
          <w:color w:val="auto"/>
          <w:kern w:val="2"/>
          <w:sz w:val="24"/>
          <w:szCs w:val="24"/>
          <w:highlight w:val="none"/>
          <w:lang w:val="en-US" w:eastAsia="zh-CN" w:bidi="ar-SA"/>
        </w:rPr>
        <w:t>4.投诉书（格式）</w:t>
      </w:r>
      <w:bookmarkEnd w:id="174"/>
      <w:bookmarkEnd w:id="175"/>
      <w:bookmarkEnd w:id="176"/>
    </w:p>
    <w:p w14:paraId="3CCA8AB3">
      <w:pPr>
        <w:pStyle w:val="13"/>
        <w:keepNext w:val="0"/>
        <w:keepLines w:val="0"/>
        <w:pageBreakBefore w:val="0"/>
        <w:kinsoku/>
        <w:topLinePunct w:val="0"/>
        <w:autoSpaceDE/>
        <w:autoSpaceDN/>
        <w:bidi w:val="0"/>
        <w:adjustRightInd/>
        <w:snapToGrid w:val="0"/>
        <w:spacing w:beforeAutospacing="0" w:afterAutospacing="0" w:line="360" w:lineRule="auto"/>
        <w:ind w:right="0" w:rightChars="0"/>
        <w:jc w:val="center"/>
        <w:textAlignment w:val="auto"/>
        <w:outlineLvl w:val="9"/>
        <w:rPr>
          <w:rFonts w:hint="eastAsia" w:ascii="仿宋" w:hAnsi="仿宋" w:eastAsia="仿宋" w:cs="仿宋"/>
          <w:b/>
          <w:bCs/>
          <w:snapToGrid/>
          <w:color w:val="auto"/>
          <w:kern w:val="2"/>
          <w:sz w:val="24"/>
          <w:szCs w:val="24"/>
          <w:highlight w:val="none"/>
          <w:lang w:val="en-US" w:eastAsia="zh-CN" w:bidi="ar-SA"/>
        </w:rPr>
      </w:pPr>
      <w:r>
        <w:rPr>
          <w:rFonts w:hint="eastAsia" w:ascii="仿宋" w:hAnsi="仿宋" w:eastAsia="仿宋" w:cs="仿宋"/>
          <w:b/>
          <w:bCs/>
          <w:snapToGrid/>
          <w:color w:val="auto"/>
          <w:kern w:val="2"/>
          <w:sz w:val="24"/>
          <w:szCs w:val="24"/>
          <w:highlight w:val="none"/>
          <w:lang w:val="en-US" w:eastAsia="zh-CN" w:bidi="ar-SA"/>
        </w:rPr>
        <w:t>投诉书（格式）</w:t>
      </w:r>
    </w:p>
    <w:p w14:paraId="3527366B">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一、投诉相关主体基本情况：</w:t>
      </w:r>
    </w:p>
    <w:p w14:paraId="7C4F045F">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供应商：</w:t>
      </w:r>
    </w:p>
    <w:p w14:paraId="5F14755A">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地址：邮编：</w:t>
      </w:r>
    </w:p>
    <w:p w14:paraId="5F172D64">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法定代表人/主要负责人：</w:t>
      </w:r>
    </w:p>
    <w:p w14:paraId="0ACEB778">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联系电话：</w:t>
      </w:r>
    </w:p>
    <w:p w14:paraId="7A2375E3">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授权代表：联系电话：</w:t>
      </w:r>
    </w:p>
    <w:p w14:paraId="6B4DDA25">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w:t>
      </w:r>
    </w:p>
    <w:p w14:paraId="454CD65A">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邮编：</w:t>
      </w:r>
    </w:p>
    <w:p w14:paraId="23E2A658">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被投诉人1：</w:t>
      </w:r>
    </w:p>
    <w:p w14:paraId="19ECC159">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w:t>
      </w:r>
    </w:p>
    <w:p w14:paraId="76BB3391">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邮编：</w:t>
      </w:r>
    </w:p>
    <w:p w14:paraId="378548E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联系人：联系电话：</w:t>
      </w:r>
    </w:p>
    <w:p w14:paraId="4A9193C6">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被投诉人2：</w:t>
      </w:r>
    </w:p>
    <w:p w14:paraId="2496C70C">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w:t>
      </w:r>
    </w:p>
    <w:p w14:paraId="68F0912B">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相关供应商：</w:t>
      </w:r>
    </w:p>
    <w:p w14:paraId="5925C301">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地址：邮编：</w:t>
      </w:r>
    </w:p>
    <w:p w14:paraId="01F1D675">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联系人：联系电话：</w:t>
      </w:r>
    </w:p>
    <w:p w14:paraId="2CB39192">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bCs/>
          <w:snapToGrid/>
          <w:color w:val="auto"/>
          <w:sz w:val="24"/>
          <w:szCs w:val="24"/>
          <w:highlight w:val="none"/>
        </w:rPr>
        <w:t>二、投诉项目基本情况：</w:t>
      </w:r>
    </w:p>
    <w:p w14:paraId="52F05887">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采购</w:t>
      </w:r>
      <w:r>
        <w:rPr>
          <w:rFonts w:hint="eastAsia" w:ascii="仿宋" w:hAnsi="仿宋" w:eastAsia="仿宋" w:cs="仿宋"/>
          <w:snapToGrid/>
          <w:color w:val="auto"/>
          <w:sz w:val="24"/>
          <w:szCs w:val="24"/>
          <w:highlight w:val="none"/>
        </w:rPr>
        <w:t>项目的名称：</w:t>
      </w:r>
    </w:p>
    <w:p w14:paraId="42A28FF4">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rPr>
        <w:t>采购</w:t>
      </w:r>
      <w:r>
        <w:rPr>
          <w:rFonts w:hint="eastAsia" w:ascii="仿宋" w:hAnsi="仿宋" w:eastAsia="仿宋" w:cs="仿宋"/>
          <w:snapToGrid/>
          <w:color w:val="auto"/>
          <w:sz w:val="24"/>
          <w:szCs w:val="24"/>
          <w:highlight w:val="none"/>
        </w:rPr>
        <w:t>项目的编号：</w:t>
      </w:r>
    </w:p>
    <w:p w14:paraId="7A7F7C02">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采购人名称：</w:t>
      </w:r>
    </w:p>
    <w:p w14:paraId="7083827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代理机构名称：</w:t>
      </w:r>
    </w:p>
    <w:p w14:paraId="3F4FD46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采购文件公告：</w:t>
      </w:r>
      <w:r>
        <w:rPr>
          <w:rFonts w:hint="eastAsia" w:ascii="仿宋" w:hAnsi="仿宋" w:eastAsia="仿宋" w:cs="仿宋"/>
          <w:bCs/>
          <w:snapToGrid/>
          <w:color w:val="auto"/>
          <w:sz w:val="24"/>
          <w:szCs w:val="24"/>
          <w:highlight w:val="none"/>
          <w:u w:val="single"/>
        </w:rPr>
        <w:t>是/否</w:t>
      </w:r>
      <w:r>
        <w:rPr>
          <w:rFonts w:hint="eastAsia" w:ascii="仿宋" w:hAnsi="仿宋" w:eastAsia="仿宋" w:cs="仿宋"/>
          <w:bCs/>
          <w:snapToGrid/>
          <w:color w:val="auto"/>
          <w:sz w:val="24"/>
          <w:szCs w:val="24"/>
          <w:highlight w:val="none"/>
        </w:rPr>
        <w:t>公告期限：</w:t>
      </w:r>
    </w:p>
    <w:p w14:paraId="642EA8FE">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Cs/>
          <w:snapToGrid/>
          <w:color w:val="auto"/>
          <w:sz w:val="24"/>
          <w:szCs w:val="24"/>
          <w:highlight w:val="none"/>
        </w:rPr>
        <w:t>采购结果公告：</w:t>
      </w:r>
      <w:r>
        <w:rPr>
          <w:rFonts w:hint="eastAsia" w:ascii="仿宋" w:hAnsi="仿宋" w:eastAsia="仿宋" w:cs="仿宋"/>
          <w:bCs/>
          <w:snapToGrid/>
          <w:color w:val="auto"/>
          <w:sz w:val="24"/>
          <w:szCs w:val="24"/>
          <w:highlight w:val="none"/>
          <w:u w:val="single"/>
        </w:rPr>
        <w:t>是/否</w:t>
      </w:r>
      <w:r>
        <w:rPr>
          <w:rFonts w:hint="eastAsia" w:ascii="仿宋" w:hAnsi="仿宋" w:eastAsia="仿宋" w:cs="仿宋"/>
          <w:bCs/>
          <w:snapToGrid/>
          <w:color w:val="auto"/>
          <w:sz w:val="24"/>
          <w:szCs w:val="24"/>
          <w:highlight w:val="none"/>
        </w:rPr>
        <w:t>公告期限：</w:t>
      </w:r>
    </w:p>
    <w:p w14:paraId="44AFE93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三、质疑基本情况</w:t>
      </w:r>
    </w:p>
    <w:p w14:paraId="657E46E2">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投诉人于</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年</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月</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日，向</w:t>
      </w:r>
      <w:r>
        <w:rPr>
          <w:rFonts w:hint="eastAsia" w:ascii="仿宋" w:hAnsi="仿宋" w:eastAsia="仿宋" w:cs="仿宋"/>
          <w:snapToGrid/>
          <w:color w:val="auto"/>
          <w:sz w:val="24"/>
          <w:szCs w:val="24"/>
          <w:highlight w:val="none"/>
          <w:lang w:val="en-US" w:eastAsia="zh-CN"/>
        </w:rPr>
        <w:t xml:space="preserve">   </w:t>
      </w:r>
      <w:r>
        <w:rPr>
          <w:rFonts w:hint="eastAsia" w:ascii="仿宋" w:hAnsi="仿宋" w:eastAsia="仿宋" w:cs="仿宋"/>
          <w:snapToGrid/>
          <w:color w:val="auto"/>
          <w:sz w:val="24"/>
          <w:szCs w:val="24"/>
          <w:highlight w:val="none"/>
        </w:rPr>
        <w:t>提出质疑，质疑事项为：</w:t>
      </w:r>
    </w:p>
    <w:p w14:paraId="6616C612">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18EF5A4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7F06761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bCs/>
          <w:snapToGrid/>
          <w:color w:val="auto"/>
          <w:sz w:val="24"/>
          <w:szCs w:val="24"/>
          <w:highlight w:val="none"/>
          <w:u w:val="single"/>
        </w:rPr>
        <w:t>采购人/代理机构</w:t>
      </w:r>
      <w:r>
        <w:rPr>
          <w:rFonts w:hint="eastAsia" w:ascii="仿宋" w:hAnsi="仿宋" w:eastAsia="仿宋" w:cs="仿宋"/>
          <w:bCs/>
          <w:snapToGrid/>
          <w:color w:val="auto"/>
          <w:sz w:val="24"/>
          <w:szCs w:val="24"/>
          <w:highlight w:val="none"/>
        </w:rPr>
        <w:t>于</w:t>
      </w:r>
      <w:r>
        <w:rPr>
          <w:rFonts w:hint="eastAsia" w:ascii="仿宋" w:hAnsi="仿宋" w:eastAsia="仿宋" w:cs="仿宋"/>
          <w:snapToGrid/>
          <w:color w:val="auto"/>
          <w:sz w:val="24"/>
          <w:szCs w:val="24"/>
          <w:highlight w:val="none"/>
        </w:rPr>
        <w:t>年月日，</w:t>
      </w:r>
      <w:r>
        <w:rPr>
          <w:rFonts w:hint="eastAsia" w:ascii="仿宋" w:hAnsi="仿宋" w:eastAsia="仿宋" w:cs="仿宋"/>
          <w:bCs/>
          <w:snapToGrid/>
          <w:color w:val="auto"/>
          <w:sz w:val="24"/>
          <w:szCs w:val="24"/>
          <w:highlight w:val="none"/>
        </w:rPr>
        <w:t xml:space="preserve">就质疑事项作出了答复/没有在法定期限内作出答复。                                                                                             </w:t>
      </w:r>
    </w:p>
    <w:p w14:paraId="341ED36D">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四、投诉事项具体内容</w:t>
      </w:r>
    </w:p>
    <w:p w14:paraId="4DB782E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snapToGrid/>
          <w:color w:val="auto"/>
          <w:sz w:val="24"/>
          <w:szCs w:val="24"/>
          <w:highlight w:val="none"/>
        </w:rPr>
        <w:t>投诉事项1：</w:t>
      </w:r>
    </w:p>
    <w:p w14:paraId="1A2A647B">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事实依据：</w:t>
      </w:r>
    </w:p>
    <w:p w14:paraId="17A61E44">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69980DA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r>
        <w:rPr>
          <w:rFonts w:hint="eastAsia" w:ascii="仿宋" w:hAnsi="仿宋" w:eastAsia="仿宋" w:cs="仿宋"/>
          <w:bCs/>
          <w:snapToGrid/>
          <w:color w:val="auto"/>
          <w:sz w:val="24"/>
          <w:szCs w:val="24"/>
          <w:highlight w:val="none"/>
        </w:rPr>
        <w:t>法律依据：</w:t>
      </w:r>
    </w:p>
    <w:p w14:paraId="1DEE99EE">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u w:val="single"/>
        </w:rPr>
      </w:pPr>
    </w:p>
    <w:p w14:paraId="40D77FA2">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snapToGrid/>
          <w:color w:val="auto"/>
          <w:sz w:val="24"/>
          <w:szCs w:val="24"/>
          <w:highlight w:val="none"/>
        </w:rPr>
        <w:t xml:space="preserve">投诉事项2  </w:t>
      </w:r>
    </w:p>
    <w:p w14:paraId="127EB4C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bCs/>
          <w:snapToGrid/>
          <w:color w:val="auto"/>
          <w:sz w:val="24"/>
          <w:szCs w:val="24"/>
          <w:highlight w:val="none"/>
        </w:rPr>
      </w:pPr>
      <w:r>
        <w:rPr>
          <w:rFonts w:hint="eastAsia" w:ascii="仿宋" w:hAnsi="仿宋" w:eastAsia="仿宋" w:cs="仿宋"/>
          <w:bCs/>
          <w:snapToGrid/>
          <w:color w:val="auto"/>
          <w:sz w:val="24"/>
          <w:szCs w:val="24"/>
          <w:highlight w:val="none"/>
        </w:rPr>
        <w:t>……</w:t>
      </w:r>
    </w:p>
    <w:p w14:paraId="74AB5A4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五、与投诉事项相关的投诉请求：</w:t>
      </w:r>
    </w:p>
    <w:p w14:paraId="57924BD8">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请求：</w:t>
      </w:r>
    </w:p>
    <w:p w14:paraId="39471A55">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5DDF0AC2">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签字（签章）：                                       公章：</w:t>
      </w:r>
    </w:p>
    <w:p w14:paraId="67F31729">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p>
    <w:p w14:paraId="439194CB">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日期：</w:t>
      </w:r>
    </w:p>
    <w:p w14:paraId="4369B685">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p>
    <w:p w14:paraId="294F340F">
      <w:pPr>
        <w:pStyle w:val="13"/>
        <w:keepNext w:val="0"/>
        <w:keepLines w:val="0"/>
        <w:pageBreakBefore w:val="0"/>
        <w:kinsoku/>
        <w:topLinePunct w:val="0"/>
        <w:autoSpaceDE/>
        <w:autoSpaceDN/>
        <w:bidi w:val="0"/>
        <w:adjustRightInd/>
        <w:snapToGrid w:val="0"/>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说明：</w:t>
      </w:r>
    </w:p>
    <w:p w14:paraId="63CAADF0">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bCs/>
          <w:snapToGrid/>
          <w:color w:val="auto"/>
          <w:sz w:val="24"/>
          <w:szCs w:val="24"/>
          <w:highlight w:val="none"/>
        </w:rPr>
      </w:pPr>
      <w:r>
        <w:rPr>
          <w:rFonts w:hint="eastAsia" w:ascii="仿宋" w:hAnsi="仿宋" w:eastAsia="仿宋" w:cs="仿宋"/>
          <w:b/>
          <w:snapToGrid/>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napToGrid/>
          <w:color w:val="auto"/>
          <w:sz w:val="24"/>
          <w:szCs w:val="24"/>
          <w:highlight w:val="none"/>
        </w:rPr>
        <w:t>。</w:t>
      </w:r>
    </w:p>
    <w:p w14:paraId="740CEA97">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C608356">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3.投诉书应简要列明质疑事项，质疑函、质疑答复等作为附件材料提供。</w:t>
      </w:r>
    </w:p>
    <w:p w14:paraId="4E2A0A9A">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4.投诉书的投诉事项应具体、明确，并有必要的事实依据和法律依据。</w:t>
      </w:r>
    </w:p>
    <w:p w14:paraId="5B6B0AFC">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5.投诉书的投诉请求应与投诉事项相关。</w:t>
      </w:r>
    </w:p>
    <w:p w14:paraId="0BBA2C1F">
      <w:pPr>
        <w:pStyle w:val="13"/>
        <w:keepNext w:val="0"/>
        <w:keepLines w:val="0"/>
        <w:pageBreakBefore w:val="0"/>
        <w:kinsoku/>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仿宋" w:hAnsi="仿宋" w:eastAsia="仿宋" w:cs="仿宋"/>
          <w:b/>
          <w:snapToGrid/>
          <w:color w:val="auto"/>
          <w:sz w:val="24"/>
          <w:szCs w:val="24"/>
          <w:highlight w:val="none"/>
        </w:rPr>
      </w:pPr>
      <w:r>
        <w:rPr>
          <w:rFonts w:hint="eastAsia" w:ascii="仿宋" w:hAnsi="仿宋" w:eastAsia="仿宋" w:cs="仿宋"/>
          <w:b/>
          <w:snapToGrid/>
          <w:color w:val="auto"/>
          <w:sz w:val="24"/>
          <w:szCs w:val="24"/>
          <w:highlight w:val="none"/>
        </w:rPr>
        <w:t>6.投诉人为法人或者其他组织的，投诉书应由法定代表人、主要负责人，或者其授权代表签字或者盖章，并加盖公章。</w:t>
      </w:r>
    </w:p>
    <w:p w14:paraId="0790098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bookmarkStart w:id="177" w:name="_Toc74323461"/>
      <w:r>
        <w:rPr>
          <w:rFonts w:hint="eastAsia" w:ascii="仿宋" w:hAnsi="仿宋" w:eastAsia="仿宋" w:cs="仿宋"/>
          <w:snapToGrid/>
          <w:color w:val="auto"/>
          <w:kern w:val="2"/>
          <w:sz w:val="24"/>
          <w:szCs w:val="24"/>
          <w:highlight w:val="none"/>
          <w:lang w:eastAsia="zh-CN"/>
        </w:rPr>
        <w:br w:type="page"/>
      </w:r>
    </w:p>
    <w:p w14:paraId="06EDE8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b/>
          <w:bCs/>
          <w:snapToGrid/>
          <w:color w:val="auto"/>
          <w:kern w:val="2"/>
          <w:sz w:val="36"/>
          <w:szCs w:val="36"/>
          <w:highlight w:val="none"/>
          <w:lang w:eastAsia="zh-CN"/>
        </w:rPr>
      </w:pPr>
      <w:bookmarkStart w:id="178" w:name="_Toc25944"/>
      <w:bookmarkStart w:id="179" w:name="_Toc22143"/>
      <w:bookmarkStart w:id="180" w:name="_Toc11531"/>
    </w:p>
    <w:p w14:paraId="60FA8A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0"/>
        <w:rPr>
          <w:rFonts w:hint="eastAsia" w:ascii="仿宋" w:hAnsi="仿宋" w:eastAsia="仿宋" w:cs="仿宋"/>
          <w:snapToGrid/>
          <w:color w:val="auto"/>
          <w:kern w:val="2"/>
          <w:szCs w:val="24"/>
          <w:highlight w:val="none"/>
          <w:lang w:eastAsia="zh-CN"/>
        </w:rPr>
      </w:pPr>
      <w:r>
        <w:rPr>
          <w:rFonts w:hint="eastAsia" w:ascii="仿宋" w:hAnsi="仿宋" w:eastAsia="仿宋" w:cs="仿宋"/>
          <w:b/>
          <w:bCs/>
          <w:snapToGrid/>
          <w:color w:val="auto"/>
          <w:kern w:val="2"/>
          <w:sz w:val="36"/>
          <w:szCs w:val="36"/>
          <w:highlight w:val="none"/>
          <w:lang w:eastAsia="zh-CN"/>
        </w:rPr>
        <w:t>第六章</w:t>
      </w:r>
      <w:r>
        <w:rPr>
          <w:rFonts w:hint="eastAsia" w:ascii="仿宋" w:hAnsi="仿宋" w:eastAsia="仿宋" w:cs="仿宋"/>
          <w:b/>
          <w:bCs/>
          <w:snapToGrid/>
          <w:color w:val="auto"/>
          <w:kern w:val="2"/>
          <w:sz w:val="36"/>
          <w:szCs w:val="36"/>
          <w:highlight w:val="none"/>
          <w:lang w:val="en-US" w:eastAsia="zh-CN"/>
        </w:rPr>
        <w:t xml:space="preserve">  </w:t>
      </w:r>
      <w:bookmarkEnd w:id="177"/>
      <w:bookmarkEnd w:id="178"/>
      <w:bookmarkEnd w:id="179"/>
      <w:bookmarkEnd w:id="180"/>
      <w:r>
        <w:rPr>
          <w:rFonts w:hint="eastAsia" w:ascii="仿宋" w:hAnsi="仿宋" w:eastAsia="仿宋" w:cs="仿宋"/>
          <w:b/>
          <w:bCs/>
          <w:snapToGrid/>
          <w:color w:val="auto"/>
          <w:kern w:val="2"/>
          <w:sz w:val="32"/>
          <w:szCs w:val="32"/>
          <w:highlight w:val="none"/>
          <w:lang w:eastAsia="zh-CN"/>
        </w:rPr>
        <w:t>政府采购合同</w:t>
      </w:r>
      <w:r>
        <w:rPr>
          <w:rFonts w:hint="eastAsia" w:ascii="仿宋" w:hAnsi="仿宋" w:eastAsia="仿宋" w:cs="仿宋"/>
          <w:b/>
          <w:snapToGrid/>
          <w:color w:val="auto"/>
          <w:kern w:val="2"/>
          <w:sz w:val="32"/>
          <w:szCs w:val="32"/>
          <w:highlight w:val="none"/>
          <w:lang w:eastAsia="zh-CN"/>
        </w:rPr>
        <w:t>文本</w:t>
      </w:r>
    </w:p>
    <w:p w14:paraId="18013D57">
      <w:pPr>
        <w:widowControl w:val="0"/>
        <w:kinsoku/>
        <w:autoSpaceDE/>
        <w:autoSpaceDN/>
        <w:adjustRightInd/>
        <w:snapToGrid/>
        <w:spacing w:line="520" w:lineRule="exact"/>
        <w:jc w:val="both"/>
        <w:textAlignment w:val="auto"/>
        <w:rPr>
          <w:rFonts w:hint="eastAsia" w:ascii="仿宋" w:hAnsi="仿宋" w:eastAsia="仿宋" w:cs="仿宋"/>
          <w:b/>
          <w:snapToGrid/>
          <w:color w:val="auto"/>
          <w:kern w:val="2"/>
          <w:sz w:val="32"/>
          <w:szCs w:val="32"/>
          <w:highlight w:val="none"/>
          <w:lang w:eastAsia="zh-CN"/>
        </w:rPr>
      </w:pPr>
    </w:p>
    <w:p w14:paraId="02764902">
      <w:pPr>
        <w:jc w:val="center"/>
        <w:rPr>
          <w:rFonts w:hint="eastAsia" w:ascii="仿宋" w:hAnsi="仿宋" w:eastAsia="仿宋" w:cs="仿宋"/>
          <w:b/>
          <w:bCs/>
          <w:sz w:val="24"/>
          <w:szCs w:val="24"/>
          <w:shd w:val="clear" w:color="auto" w:fill="FFFFFF"/>
          <w:lang w:eastAsia="zh-CN"/>
        </w:rPr>
      </w:pPr>
      <w:r>
        <w:rPr>
          <w:rFonts w:hint="eastAsia" w:eastAsia="宋体" w:cs="黑体"/>
          <w:sz w:val="36"/>
          <w:szCs w:val="36"/>
          <w:shd w:val="clear" w:color="auto" w:fill="FFFFFF"/>
          <w:lang w:eastAsia="zh-CN"/>
        </w:rPr>
        <w:br w:type="page"/>
      </w:r>
      <w:r>
        <w:rPr>
          <w:rFonts w:hint="eastAsia" w:ascii="仿宋" w:hAnsi="仿宋" w:eastAsia="仿宋" w:cs="仿宋"/>
          <w:b/>
          <w:bCs/>
          <w:sz w:val="24"/>
          <w:szCs w:val="24"/>
          <w:shd w:val="clear" w:color="auto" w:fill="FFFFFF"/>
          <w:lang w:eastAsia="zh-CN"/>
        </w:rPr>
        <w:t>崇左市江州区五个黑臭水体及污水泵站运营服务项目</w:t>
      </w:r>
      <w:r>
        <w:rPr>
          <w:rFonts w:hint="eastAsia" w:ascii="仿宋" w:hAnsi="仿宋" w:eastAsia="仿宋" w:cs="仿宋"/>
          <w:b/>
          <w:bCs/>
          <w:sz w:val="24"/>
          <w:szCs w:val="24"/>
          <w:shd w:val="clear" w:color="auto" w:fill="FFFFFF"/>
          <w:lang w:val="en-US" w:eastAsia="zh-CN"/>
        </w:rPr>
        <w:t>合同</w:t>
      </w:r>
    </w:p>
    <w:p w14:paraId="2F40C173">
      <w:pPr>
        <w:pStyle w:val="18"/>
        <w:pageBreakBefore w:val="0"/>
        <w:shd w:val="clear" w:color="auto" w:fill="FFFFFF"/>
        <w:wordWrap/>
        <w:overflowPunct/>
        <w:topLinePunct w:val="0"/>
        <w:bidi w:val="0"/>
        <w:spacing w:line="360" w:lineRule="auto"/>
        <w:ind w:left="0" w:leftChars="0" w:right="0" w:rightChars="0"/>
        <w:jc w:val="both"/>
        <w:rPr>
          <w:rFonts w:hint="eastAsia" w:ascii="仿宋" w:hAnsi="仿宋" w:eastAsia="仿宋" w:cs="仿宋"/>
          <w:sz w:val="24"/>
          <w:szCs w:val="24"/>
        </w:rPr>
      </w:pPr>
    </w:p>
    <w:p w14:paraId="15FEBCDA">
      <w:pPr>
        <w:pStyle w:val="18"/>
        <w:pageBreakBefore w:val="0"/>
        <w:shd w:val="clear" w:color="auto" w:fill="FFFFFF"/>
        <w:wordWrap/>
        <w:overflowPunct/>
        <w:topLinePunct w:val="0"/>
        <w:bidi w:val="0"/>
        <w:spacing w:line="360" w:lineRule="auto"/>
        <w:ind w:left="0" w:leftChars="0" w:right="0" w:rightChars="0"/>
        <w:jc w:val="both"/>
        <w:rPr>
          <w:rFonts w:hint="eastAsia" w:ascii="仿宋" w:hAnsi="仿宋" w:eastAsia="仿宋" w:cs="仿宋"/>
          <w:sz w:val="24"/>
          <w:szCs w:val="24"/>
          <w:u w:val="single"/>
          <w:shd w:val="clear" w:color="auto" w:fill="FFFFFF"/>
        </w:rPr>
      </w:pPr>
      <w:r>
        <w:rPr>
          <w:rFonts w:hint="eastAsia" w:ascii="仿宋" w:hAnsi="仿宋" w:eastAsia="仿宋" w:cs="仿宋"/>
          <w:sz w:val="24"/>
          <w:szCs w:val="24"/>
          <w:shd w:val="clear" w:color="auto" w:fill="FFFFFF"/>
        </w:rPr>
        <w:t>委托方 （甲方）：</w:t>
      </w:r>
      <w:r>
        <w:rPr>
          <w:rFonts w:hint="eastAsia" w:ascii="仿宋" w:hAnsi="仿宋" w:eastAsia="仿宋" w:cs="仿宋"/>
          <w:sz w:val="24"/>
          <w:szCs w:val="24"/>
          <w:u w:val="single"/>
          <w:shd w:val="clear" w:color="auto" w:fill="FFFFFF"/>
        </w:rPr>
        <w:t>崇左市江州区住房</w:t>
      </w:r>
      <w:r>
        <w:rPr>
          <w:rFonts w:hint="eastAsia" w:ascii="仿宋" w:hAnsi="仿宋" w:eastAsia="仿宋" w:cs="仿宋"/>
          <w:sz w:val="24"/>
          <w:szCs w:val="24"/>
          <w:u w:val="single"/>
          <w:shd w:val="clear" w:color="auto" w:fill="FFFFFF"/>
          <w:lang w:val="en-US" w:eastAsia="zh-CN"/>
        </w:rPr>
        <w:t>和</w:t>
      </w:r>
      <w:r>
        <w:rPr>
          <w:rFonts w:hint="eastAsia" w:ascii="仿宋" w:hAnsi="仿宋" w:eastAsia="仿宋" w:cs="仿宋"/>
          <w:sz w:val="24"/>
          <w:szCs w:val="24"/>
          <w:u w:val="single"/>
          <w:shd w:val="clear" w:color="auto" w:fill="FFFFFF"/>
        </w:rPr>
        <w:t>城乡建设局</w:t>
      </w:r>
    </w:p>
    <w:p w14:paraId="69A52C22">
      <w:pPr>
        <w:pStyle w:val="18"/>
        <w:pageBreakBefore w:val="0"/>
        <w:shd w:val="clear" w:color="auto" w:fill="FFFFFF"/>
        <w:wordWrap/>
        <w:overflowPunct/>
        <w:topLinePunct w:val="0"/>
        <w:bidi w:val="0"/>
        <w:spacing w:line="360" w:lineRule="auto"/>
        <w:ind w:left="0" w:leftChars="0" w:right="0" w:rightChars="0"/>
        <w:jc w:val="both"/>
        <w:rPr>
          <w:rFonts w:hint="eastAsia" w:ascii="仿宋" w:hAnsi="仿宋" w:eastAsia="仿宋" w:cs="仿宋"/>
          <w:sz w:val="24"/>
          <w:szCs w:val="24"/>
          <w:u w:val="single"/>
          <w:shd w:val="clear" w:color="auto" w:fill="FFFFFF"/>
        </w:rPr>
      </w:pPr>
      <w:r>
        <w:rPr>
          <w:rFonts w:hint="eastAsia" w:ascii="仿宋" w:hAnsi="仿宋" w:eastAsia="仿宋" w:cs="仿宋"/>
          <w:sz w:val="24"/>
          <w:szCs w:val="24"/>
          <w:shd w:val="clear" w:color="auto" w:fill="FFFFFF"/>
        </w:rPr>
        <w:t>受委托方（乙方）：</w:t>
      </w:r>
      <w:r>
        <w:rPr>
          <w:rFonts w:hint="eastAsia" w:ascii="仿宋" w:hAnsi="仿宋" w:eastAsia="仿宋" w:cs="仿宋"/>
          <w:sz w:val="24"/>
          <w:szCs w:val="24"/>
          <w:u w:val="single"/>
          <w:shd w:val="clear" w:color="auto" w:fill="FFFFFF"/>
        </w:rPr>
        <w:t xml:space="preserve">                        </w:t>
      </w:r>
    </w:p>
    <w:p w14:paraId="2FF906EA">
      <w:pPr>
        <w:pStyle w:val="18"/>
        <w:pageBreakBefore w:val="0"/>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根据《中华人民共和国民法典》及有关规定，甲、乙双方遵循平等、合作、守信的基础上就</w:t>
      </w:r>
      <w:r>
        <w:rPr>
          <w:rFonts w:hint="eastAsia" w:ascii="仿宋" w:hAnsi="仿宋" w:eastAsia="仿宋" w:cs="仿宋"/>
          <w:sz w:val="24"/>
          <w:szCs w:val="24"/>
          <w:u w:val="single"/>
          <w:shd w:val="clear" w:color="auto" w:fill="FFFFFF"/>
          <w:lang w:eastAsia="zh-CN"/>
        </w:rPr>
        <w:t>崇左市江州区五个黑臭水体及污水泵站运营服务项目</w:t>
      </w:r>
      <w:r>
        <w:rPr>
          <w:rFonts w:hint="eastAsia" w:ascii="仿宋" w:hAnsi="仿宋" w:eastAsia="仿宋" w:cs="仿宋"/>
          <w:sz w:val="24"/>
          <w:szCs w:val="24"/>
          <w:u w:val="single"/>
          <w:shd w:val="clear" w:color="auto" w:fill="FFFFFF"/>
        </w:rPr>
        <w:t>运维管理</w:t>
      </w:r>
      <w:r>
        <w:rPr>
          <w:rFonts w:hint="eastAsia" w:ascii="仿宋" w:hAnsi="仿宋" w:eastAsia="仿宋" w:cs="仿宋"/>
          <w:sz w:val="24"/>
          <w:szCs w:val="24"/>
          <w:shd w:val="clear" w:color="auto" w:fill="FFFFFF"/>
        </w:rPr>
        <w:t>事项协商一致，共同达成如下合同。</w:t>
      </w:r>
    </w:p>
    <w:p w14:paraId="33E3AFC3">
      <w:pPr>
        <w:pStyle w:val="18"/>
        <w:keepNext w:val="0"/>
        <w:keepLines w:val="0"/>
        <w:pageBreakBefore w:val="0"/>
        <w:shd w:val="clear" w:color="auto" w:fill="FFFFFF"/>
        <w:wordWrap/>
        <w:overflowPunct/>
        <w:topLinePunct w:val="0"/>
        <w:bidi w:val="0"/>
        <w:spacing w:line="360" w:lineRule="auto"/>
        <w:ind w:left="0" w:leftChars="0" w:right="0" w:rightChars="0" w:firstLine="482" w:firstLineChars="200"/>
        <w:jc w:val="both"/>
        <w:textAlignment w:val="baseline"/>
        <w:rPr>
          <w:rFonts w:hint="eastAsia" w:ascii="仿宋" w:hAnsi="仿宋" w:eastAsia="仿宋" w:cs="仿宋"/>
          <w:sz w:val="24"/>
          <w:szCs w:val="24"/>
        </w:rPr>
      </w:pPr>
      <w:r>
        <w:rPr>
          <w:rFonts w:hint="eastAsia" w:ascii="仿宋" w:hAnsi="仿宋" w:eastAsia="仿宋" w:cs="仿宋"/>
          <w:b/>
          <w:bCs/>
          <w:sz w:val="24"/>
          <w:szCs w:val="24"/>
          <w:shd w:val="clear" w:color="auto" w:fill="FFFFFF"/>
        </w:rPr>
        <w:t>一、项目概况</w:t>
      </w:r>
    </w:p>
    <w:p w14:paraId="2EE51B59">
      <w:pPr>
        <w:pStyle w:val="18"/>
        <w:keepNext w:val="0"/>
        <w:keepLines w:val="0"/>
        <w:pageBreakBefore w:val="0"/>
        <w:shd w:val="clear" w:color="auto" w:fill="FFFFFF"/>
        <w:wordWrap/>
        <w:overflowPunct/>
        <w:topLinePunct w:val="0"/>
        <w:bidi w:val="0"/>
        <w:spacing w:line="360" w:lineRule="auto"/>
        <w:ind w:left="0" w:leftChars="0" w:right="0" w:rightChars="0" w:firstLine="480" w:firstLineChars="20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项目名称：</w:t>
      </w:r>
      <w:r>
        <w:rPr>
          <w:rFonts w:hint="eastAsia" w:ascii="仿宋" w:hAnsi="仿宋" w:eastAsia="仿宋" w:cs="仿宋"/>
          <w:sz w:val="24"/>
          <w:szCs w:val="24"/>
          <w:lang w:eastAsia="zh-CN"/>
        </w:rPr>
        <w:t>崇左市江州区五个黑臭水体及污水泵站运营服务项目</w:t>
      </w:r>
    </w:p>
    <w:p w14:paraId="1A56B43F">
      <w:pPr>
        <w:keepNext w:val="0"/>
        <w:keepLines w:val="0"/>
        <w:pageBreakBefore w:val="0"/>
        <w:wordWrap/>
        <w:overflowPunct/>
        <w:topLinePunct w:val="0"/>
        <w:bidi w:val="0"/>
        <w:spacing w:line="360" w:lineRule="auto"/>
        <w:ind w:left="0" w:leftChars="0" w:right="0" w:rightChars="0" w:firstLine="480" w:firstLineChars="200"/>
        <w:jc w:val="both"/>
        <w:textAlignment w:val="baseline"/>
        <w:rPr>
          <w:rFonts w:hint="eastAsia" w:ascii="仿宋" w:hAnsi="仿宋" w:eastAsia="仿宋" w:cs="仿宋"/>
          <w:snapToGrid w:val="0"/>
          <w:color w:val="000000"/>
          <w:kern w:val="0"/>
          <w:sz w:val="24"/>
          <w:szCs w:val="24"/>
          <w:lang w:val="en-US" w:eastAsia="zh-CN" w:bidi="ar"/>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项目运营范围：</w:t>
      </w:r>
      <w:r>
        <w:rPr>
          <w:rFonts w:hint="eastAsia" w:ascii="仿宋" w:hAnsi="仿宋" w:eastAsia="仿宋" w:cs="仿宋"/>
          <w:snapToGrid w:val="0"/>
          <w:color w:val="000000"/>
          <w:kern w:val="0"/>
          <w:sz w:val="24"/>
          <w:szCs w:val="24"/>
          <w:lang w:val="en-US" w:eastAsia="zh-CN" w:bidi="ar"/>
        </w:rPr>
        <w:t>本次运营的池塘共有5个，分别为：（1）民族中学池塘、（2）江北二桥头公园池塘、（3）西塘池塘、（4）烈士陵园对面2池塘、（5）党校池塘。</w:t>
      </w:r>
    </w:p>
    <w:p w14:paraId="5CE1D84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shd w:val="clear" w:color="auto" w:fill="FFFFFF"/>
        </w:rPr>
      </w:pPr>
      <w:r>
        <w:rPr>
          <w:rFonts w:hint="eastAsia" w:ascii="仿宋" w:hAnsi="仿宋" w:eastAsia="仿宋" w:cs="仿宋"/>
          <w:snapToGrid w:val="0"/>
          <w:color w:val="000000"/>
          <w:kern w:val="0"/>
          <w:sz w:val="24"/>
          <w:szCs w:val="24"/>
          <w:shd w:val="clear" w:fill="FFFFFF"/>
          <w:lang w:val="en-US" w:eastAsia="en-US" w:bidi="ar-SA"/>
        </w:rPr>
        <w:t>3</w:t>
      </w:r>
      <w:r>
        <w:rPr>
          <w:rFonts w:hint="eastAsia" w:ascii="仿宋" w:hAnsi="仿宋" w:eastAsia="仿宋" w:cs="仿宋"/>
          <w:snapToGrid w:val="0"/>
          <w:color w:val="000000"/>
          <w:kern w:val="0"/>
          <w:sz w:val="24"/>
          <w:szCs w:val="24"/>
          <w:shd w:val="clear" w:fill="FFFFFF"/>
          <w:lang w:val="en-US" w:eastAsia="zh-CN" w:bidi="ar-SA"/>
        </w:rPr>
        <w:t>.</w:t>
      </w:r>
      <w:r>
        <w:rPr>
          <w:rFonts w:hint="eastAsia" w:ascii="仿宋" w:hAnsi="仿宋" w:eastAsia="仿宋" w:cs="仿宋"/>
          <w:sz w:val="24"/>
          <w:szCs w:val="24"/>
          <w:shd w:val="clear" w:color="auto" w:fill="FFFFFF"/>
        </w:rPr>
        <w:t>运营</w:t>
      </w:r>
      <w:bookmarkStart w:id="181" w:name="_Hlk101273915"/>
      <w:bookmarkEnd w:id="181"/>
      <w:r>
        <w:rPr>
          <w:rFonts w:hint="eastAsia" w:ascii="仿宋" w:hAnsi="仿宋" w:eastAsia="仿宋" w:cs="仿宋"/>
          <w:sz w:val="24"/>
          <w:szCs w:val="24"/>
          <w:shd w:val="clear" w:color="auto" w:fill="FFFFFF"/>
          <w:lang w:val="en-US" w:eastAsia="zh-CN"/>
        </w:rPr>
        <w:t>目标</w:t>
      </w:r>
      <w:r>
        <w:rPr>
          <w:rFonts w:hint="eastAsia" w:ascii="仿宋" w:hAnsi="仿宋" w:eastAsia="仿宋" w:cs="仿宋"/>
          <w:sz w:val="24"/>
          <w:szCs w:val="24"/>
          <w:shd w:val="clear" w:color="auto" w:fill="FFFFFF"/>
        </w:rPr>
        <w:t>：</w:t>
      </w:r>
    </w:p>
    <w:p w14:paraId="520E563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lang w:bidi="ar"/>
        </w:rPr>
      </w:pPr>
      <w:r>
        <w:rPr>
          <w:rFonts w:hint="eastAsia" w:ascii="仿宋" w:hAnsi="仿宋" w:eastAsia="仿宋" w:cs="仿宋"/>
          <w:sz w:val="24"/>
          <w:szCs w:val="24"/>
          <w:lang w:val="en-US" w:eastAsia="zh-CN" w:bidi="ar"/>
        </w:rPr>
        <w:t>3.1</w:t>
      </w:r>
      <w:r>
        <w:rPr>
          <w:rFonts w:hint="eastAsia" w:ascii="仿宋" w:hAnsi="仿宋" w:eastAsia="仿宋" w:cs="仿宋"/>
          <w:sz w:val="24"/>
          <w:szCs w:val="24"/>
          <w:lang w:bidi="ar"/>
        </w:rPr>
        <w:t>池塘水质目标</w:t>
      </w:r>
    </w:p>
    <w:p w14:paraId="69FF72B9">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lang w:bidi="ar"/>
        </w:rPr>
      </w:pPr>
      <w:r>
        <w:rPr>
          <w:rFonts w:hint="eastAsia" w:ascii="仿宋" w:hAnsi="仿宋" w:eastAsia="仿宋" w:cs="仿宋"/>
          <w:sz w:val="24"/>
          <w:szCs w:val="24"/>
          <w:lang w:bidi="ar"/>
        </w:rPr>
        <w:t>运营的水质目标是区域内水体消除黑臭，依据《城市黑臭水体整治工作指南》，即监测指标都达标：透明度（cm）＞25，溶解氧（mg/L）＞2，氧化还原电位（mV）＞50，氨氮（mg/L）＜8，群众满意度测评达到90%以上。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14:paraId="6DF1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4CFDB8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监测项目</w:t>
            </w:r>
          </w:p>
        </w:tc>
        <w:tc>
          <w:tcPr>
            <w:tcW w:w="1812" w:type="dxa"/>
            <w:vAlign w:val="center"/>
          </w:tcPr>
          <w:p w14:paraId="5BC170DF">
            <w:r>
              <w:rPr>
                <w:rFonts w:hint="eastAsia" w:ascii="仿宋" w:hAnsi="仿宋" w:eastAsia="仿宋" w:cs="仿宋"/>
                <w:sz w:val="24"/>
                <w:szCs w:val="24"/>
                <w:lang w:bidi="ar"/>
              </w:rPr>
              <w:t>透明度</w:t>
            </w:r>
          </w:p>
          <w:p w14:paraId="0D357B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（cm）</w:t>
            </w:r>
          </w:p>
        </w:tc>
        <w:tc>
          <w:tcPr>
            <w:tcW w:w="1812" w:type="dxa"/>
            <w:vAlign w:val="center"/>
          </w:tcPr>
          <w:p w14:paraId="5EA9CB02">
            <w:r>
              <w:rPr>
                <w:rFonts w:hint="eastAsia" w:ascii="仿宋" w:hAnsi="仿宋" w:eastAsia="仿宋" w:cs="仿宋"/>
                <w:sz w:val="24"/>
                <w:szCs w:val="24"/>
                <w:lang w:bidi="ar"/>
              </w:rPr>
              <w:t>溶解氧</w:t>
            </w:r>
          </w:p>
          <w:p w14:paraId="46FA4D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（mg/L）</w:t>
            </w:r>
          </w:p>
        </w:tc>
        <w:tc>
          <w:tcPr>
            <w:tcW w:w="1812" w:type="dxa"/>
            <w:vAlign w:val="center"/>
          </w:tcPr>
          <w:p w14:paraId="6AECAD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氧化还原电（mv）</w:t>
            </w:r>
          </w:p>
        </w:tc>
        <w:tc>
          <w:tcPr>
            <w:tcW w:w="1813" w:type="dxa"/>
            <w:vAlign w:val="center"/>
          </w:tcPr>
          <w:p w14:paraId="5176D152">
            <w:r>
              <w:rPr>
                <w:rFonts w:hint="eastAsia" w:ascii="仿宋" w:hAnsi="仿宋" w:eastAsia="仿宋" w:cs="仿宋"/>
                <w:sz w:val="24"/>
                <w:szCs w:val="24"/>
                <w:lang w:bidi="ar"/>
              </w:rPr>
              <w:t>氨氮</w:t>
            </w:r>
          </w:p>
          <w:p w14:paraId="21347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（mg/L）</w:t>
            </w:r>
          </w:p>
        </w:tc>
      </w:tr>
      <w:tr w14:paraId="0C68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Align w:val="center"/>
          </w:tcPr>
          <w:p w14:paraId="292199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达标值</w:t>
            </w:r>
          </w:p>
        </w:tc>
        <w:tc>
          <w:tcPr>
            <w:tcW w:w="1812" w:type="dxa"/>
            <w:vAlign w:val="center"/>
          </w:tcPr>
          <w:p w14:paraId="56162A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＞25</w:t>
            </w:r>
          </w:p>
        </w:tc>
        <w:tc>
          <w:tcPr>
            <w:tcW w:w="1812" w:type="dxa"/>
            <w:vAlign w:val="center"/>
          </w:tcPr>
          <w:p w14:paraId="67B0E2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＞2</w:t>
            </w:r>
          </w:p>
        </w:tc>
        <w:tc>
          <w:tcPr>
            <w:tcW w:w="1812" w:type="dxa"/>
            <w:vAlign w:val="center"/>
          </w:tcPr>
          <w:p w14:paraId="7BCAAA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＞50</w:t>
            </w:r>
          </w:p>
        </w:tc>
        <w:tc>
          <w:tcPr>
            <w:tcW w:w="1813" w:type="dxa"/>
            <w:vAlign w:val="center"/>
          </w:tcPr>
          <w:p w14:paraId="1851A9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仿宋" w:hAnsi="仿宋" w:eastAsia="仿宋" w:cs="仿宋"/>
                <w:sz w:val="24"/>
                <w:szCs w:val="24"/>
                <w:lang w:bidi="ar"/>
              </w:rPr>
            </w:pPr>
            <w:r>
              <w:rPr>
                <w:rFonts w:hint="eastAsia" w:ascii="仿宋" w:hAnsi="仿宋" w:eastAsia="仿宋" w:cs="仿宋"/>
                <w:sz w:val="24"/>
                <w:szCs w:val="24"/>
                <w:lang w:bidi="ar"/>
              </w:rPr>
              <w:t>＜8</w:t>
            </w:r>
          </w:p>
        </w:tc>
      </w:tr>
    </w:tbl>
    <w:p w14:paraId="213F7AA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lang w:bidi="ar"/>
        </w:rPr>
      </w:pPr>
      <w:r>
        <w:rPr>
          <w:rFonts w:hint="eastAsia" w:ascii="仿宋" w:hAnsi="仿宋" w:eastAsia="仿宋" w:cs="仿宋"/>
          <w:sz w:val="24"/>
          <w:szCs w:val="24"/>
          <w:lang w:val="en-US" w:eastAsia="zh-CN" w:bidi="ar"/>
        </w:rPr>
        <w:t>3.2</w:t>
      </w:r>
      <w:r>
        <w:rPr>
          <w:rFonts w:hint="eastAsia" w:ascii="仿宋" w:hAnsi="仿宋" w:eastAsia="仿宋" w:cs="仿宋"/>
          <w:sz w:val="24"/>
          <w:szCs w:val="24"/>
          <w:lang w:bidi="ar"/>
        </w:rPr>
        <w:t xml:space="preserve"> 其他目标</w:t>
      </w:r>
    </w:p>
    <w:p w14:paraId="028DFD2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lang w:bidi="ar"/>
        </w:rPr>
      </w:pPr>
      <w:r>
        <w:rPr>
          <w:rFonts w:hint="eastAsia" w:ascii="仿宋" w:hAnsi="仿宋" w:eastAsia="仿宋" w:cs="仿宋"/>
          <w:sz w:val="24"/>
          <w:szCs w:val="24"/>
          <w:lang w:bidi="ar"/>
        </w:rPr>
        <w:t>（1）污水泵站设施的运营、维护，包括但不限于污水提升泵站设施的巡视、检查，日常维修、抢修、抢险等。保持泵站设备设施的正常运行。</w:t>
      </w:r>
    </w:p>
    <w:p w14:paraId="201113D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baseline"/>
        <w:rPr>
          <w:rFonts w:hint="eastAsia" w:ascii="仿宋" w:hAnsi="仿宋" w:eastAsia="仿宋" w:cs="仿宋"/>
          <w:sz w:val="24"/>
          <w:szCs w:val="24"/>
          <w:lang w:bidi="ar"/>
        </w:rPr>
      </w:pPr>
      <w:r>
        <w:rPr>
          <w:rFonts w:hint="eastAsia" w:ascii="仿宋" w:hAnsi="仿宋" w:eastAsia="仿宋" w:cs="仿宋"/>
          <w:sz w:val="24"/>
          <w:szCs w:val="24"/>
          <w:lang w:bidi="ar"/>
        </w:rPr>
        <w:t>（2）运营周期内保证岸上的绿化植被如草皮、小灌木、乔木等植被的存活率、园林设施如凉亭、观景台、护栏等完好；水下的水生植物、动物的存活率及植被覆盖率。此外还包括区域范围内垃圾清扫及转运，保持整洁卫生，为市民提供一个良好的休憩环境。</w:t>
      </w:r>
    </w:p>
    <w:p w14:paraId="2F0C4AFD">
      <w:pPr>
        <w:pStyle w:val="18"/>
        <w:pageBreakBefore w:val="0"/>
        <w:shd w:val="clear" w:color="auto" w:fill="FFFFFF"/>
        <w:wordWrap/>
        <w:overflowPunct/>
        <w:topLinePunct w:val="0"/>
        <w:bidi w:val="0"/>
        <w:spacing w:line="360" w:lineRule="auto"/>
        <w:ind w:left="0" w:leftChars="0" w:right="0" w:rightChars="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二、合作期限：</w:t>
      </w:r>
    </w:p>
    <w:p w14:paraId="31DC1117">
      <w:pPr>
        <w:pStyle w:val="18"/>
        <w:pageBreakBefore w:val="0"/>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签订合同之日起</w:t>
      </w:r>
      <w:r>
        <w:rPr>
          <w:rFonts w:hint="eastAsia" w:ascii="仿宋" w:hAnsi="仿宋" w:eastAsia="仿宋" w:cs="仿宋"/>
          <w:sz w:val="24"/>
          <w:szCs w:val="24"/>
          <w:lang w:val="en-US" w:eastAsia="zh-CN"/>
        </w:rPr>
        <w:t>1</w:t>
      </w:r>
      <w:r>
        <w:rPr>
          <w:rFonts w:hint="eastAsia" w:ascii="仿宋" w:hAnsi="仿宋" w:eastAsia="仿宋" w:cs="仿宋"/>
          <w:sz w:val="24"/>
          <w:szCs w:val="24"/>
        </w:rPr>
        <w:t>年</w:t>
      </w:r>
      <w:r>
        <w:rPr>
          <w:rFonts w:hint="eastAsia" w:ascii="仿宋" w:hAnsi="仿宋" w:eastAsia="仿宋" w:cs="仿宋"/>
          <w:sz w:val="24"/>
          <w:szCs w:val="24"/>
          <w:shd w:val="clear" w:color="auto" w:fill="FFFFFF"/>
        </w:rPr>
        <w:t>，自</w:t>
      </w:r>
      <w:r>
        <w:rPr>
          <w:rFonts w:hint="eastAsia" w:ascii="仿宋" w:hAnsi="仿宋" w:eastAsia="仿宋" w:cs="仿宋"/>
          <w:sz w:val="24"/>
          <w:szCs w:val="24"/>
          <w:u w:val="single"/>
          <w:shd w:val="clear" w:color="auto" w:fill="FFFFFF"/>
        </w:rPr>
        <w:t xml:space="preserve"> 20</w:t>
      </w:r>
      <w:r>
        <w:rPr>
          <w:rFonts w:hint="eastAsia" w:ascii="仿宋" w:hAnsi="仿宋" w:eastAsia="仿宋" w:cs="仿宋"/>
          <w:sz w:val="24"/>
          <w:szCs w:val="24"/>
          <w:u w:val="single"/>
          <w:shd w:val="clear" w:color="auto" w:fill="FFFFFF"/>
          <w:lang w:val="en-US" w:eastAsia="zh-CN"/>
        </w:rPr>
        <w:t>26</w:t>
      </w:r>
      <w:r>
        <w:rPr>
          <w:rFonts w:hint="eastAsia" w:ascii="仿宋" w:hAnsi="仿宋" w:eastAsia="仿宋" w:cs="仿宋"/>
          <w:sz w:val="24"/>
          <w:szCs w:val="24"/>
          <w:shd w:val="clear" w:color="auto" w:fill="FFFFFF"/>
        </w:rPr>
        <w:t>年</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月</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 xml:space="preserve">日 至 </w:t>
      </w:r>
      <w:r>
        <w:rPr>
          <w:rFonts w:hint="eastAsia" w:ascii="仿宋" w:hAnsi="仿宋" w:eastAsia="仿宋" w:cs="仿宋"/>
          <w:sz w:val="24"/>
          <w:szCs w:val="24"/>
          <w:u w:val="single"/>
          <w:shd w:val="clear" w:color="auto" w:fill="FFFFFF"/>
        </w:rPr>
        <w:t xml:space="preserve"> 20</w:t>
      </w:r>
      <w:r>
        <w:rPr>
          <w:rFonts w:hint="eastAsia" w:ascii="仿宋" w:hAnsi="仿宋" w:eastAsia="仿宋" w:cs="仿宋"/>
          <w:sz w:val="24"/>
          <w:szCs w:val="24"/>
          <w:u w:val="single"/>
          <w:shd w:val="clear" w:color="auto" w:fill="FFFFFF"/>
          <w:lang w:val="en-US" w:eastAsia="zh-CN"/>
        </w:rPr>
        <w:t>26</w:t>
      </w:r>
      <w:r>
        <w:rPr>
          <w:rFonts w:hint="eastAsia" w:ascii="仿宋" w:hAnsi="仿宋" w:eastAsia="仿宋" w:cs="仿宋"/>
          <w:sz w:val="24"/>
          <w:szCs w:val="24"/>
          <w:shd w:val="clear" w:color="auto" w:fill="FFFFFF"/>
        </w:rPr>
        <w:t>年</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月</w:t>
      </w:r>
      <w:r>
        <w:rPr>
          <w:rFonts w:hint="eastAsia" w:ascii="仿宋" w:hAnsi="仿宋" w:eastAsia="仿宋" w:cs="仿宋"/>
          <w:sz w:val="24"/>
          <w:szCs w:val="24"/>
          <w:u w:val="single"/>
          <w:shd w:val="clear" w:color="auto" w:fill="FFFFFF"/>
        </w:rPr>
        <w:t xml:space="preserve">    </w:t>
      </w:r>
      <w:r>
        <w:rPr>
          <w:rFonts w:hint="eastAsia" w:ascii="仿宋" w:hAnsi="仿宋" w:eastAsia="仿宋" w:cs="仿宋"/>
          <w:sz w:val="24"/>
          <w:szCs w:val="24"/>
          <w:shd w:val="clear" w:color="auto" w:fill="FFFFFF"/>
        </w:rPr>
        <w:t>日，</w:t>
      </w:r>
      <w:r>
        <w:rPr>
          <w:rFonts w:hint="eastAsia" w:ascii="仿宋" w:hAnsi="仿宋" w:eastAsia="仿宋" w:cs="仿宋"/>
          <w:sz w:val="24"/>
          <w:szCs w:val="24"/>
        </w:rPr>
        <w:t>项目</w:t>
      </w:r>
      <w:r>
        <w:rPr>
          <w:rFonts w:hint="eastAsia" w:ascii="仿宋" w:hAnsi="仿宋" w:eastAsia="仿宋" w:cs="仿宋"/>
          <w:sz w:val="24"/>
          <w:szCs w:val="24"/>
          <w:u w:val="single"/>
          <w:shd w:val="clear" w:color="auto" w:fill="FFFFFF"/>
        </w:rPr>
        <w:t>运维管理</w:t>
      </w:r>
      <w:r>
        <w:rPr>
          <w:rFonts w:hint="eastAsia" w:ascii="仿宋" w:hAnsi="仿宋" w:eastAsia="仿宋" w:cs="仿宋"/>
          <w:sz w:val="24"/>
          <w:szCs w:val="24"/>
        </w:rPr>
        <w:t>期间，乙方严格按照运行管理规定负责实施整治的黑臭水体及污水泵站。</w:t>
      </w:r>
    </w:p>
    <w:p w14:paraId="50872284">
      <w:pPr>
        <w:pageBreakBefore w:val="0"/>
        <w:wordWrap/>
        <w:overflowPunct/>
        <w:topLinePunct w:val="0"/>
        <w:bidi w:val="0"/>
        <w:spacing w:line="360" w:lineRule="auto"/>
        <w:ind w:left="0" w:leftChars="0" w:right="0" w:rightChars="0"/>
        <w:jc w:val="both"/>
        <w:rPr>
          <w:rFonts w:hint="eastAsia" w:ascii="仿宋" w:hAnsi="仿宋" w:eastAsia="仿宋" w:cs="仿宋"/>
          <w:sz w:val="24"/>
          <w:szCs w:val="24"/>
          <w:highlight w:val="green"/>
          <w:shd w:val="clear" w:color="auto" w:fill="FFFFFF"/>
        </w:rPr>
      </w:pPr>
      <w:r>
        <w:rPr>
          <w:rFonts w:hint="eastAsia" w:ascii="仿宋" w:hAnsi="仿宋" w:eastAsia="仿宋" w:cs="仿宋"/>
          <w:b/>
          <w:bCs/>
          <w:sz w:val="24"/>
          <w:szCs w:val="24"/>
          <w:shd w:val="clear" w:color="auto" w:fill="FFFFFF"/>
          <w:lang w:val="en-US" w:eastAsia="zh-CN"/>
        </w:rPr>
        <w:t>三</w:t>
      </w:r>
      <w:r>
        <w:rPr>
          <w:rFonts w:hint="eastAsia" w:ascii="仿宋" w:hAnsi="仿宋" w:eastAsia="仿宋" w:cs="仿宋"/>
          <w:b/>
          <w:bCs/>
          <w:sz w:val="24"/>
          <w:szCs w:val="24"/>
          <w:shd w:val="clear" w:color="auto" w:fill="FFFFFF"/>
        </w:rPr>
        <w:t>、合同金额及支付方式</w:t>
      </w:r>
    </w:p>
    <w:p w14:paraId="093CD67F">
      <w:pPr>
        <w:pStyle w:val="18"/>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w:t>
      </w:r>
      <w:bookmarkStart w:id="182" w:name="_Hlk101274165"/>
      <w:bookmarkEnd w:id="182"/>
      <w:r>
        <w:rPr>
          <w:rFonts w:hint="eastAsia" w:ascii="仿宋" w:hAnsi="仿宋" w:eastAsia="仿宋" w:cs="仿宋"/>
          <w:sz w:val="24"/>
          <w:szCs w:val="24"/>
          <w:highlight w:val="none"/>
          <w:shd w:val="clear" w:color="auto" w:fill="FFFFFF"/>
          <w:lang w:val="en-US" w:eastAsia="zh-CN"/>
        </w:rPr>
        <w:t>.</w:t>
      </w:r>
      <w:r>
        <w:rPr>
          <w:rFonts w:hint="eastAsia" w:ascii="仿宋" w:hAnsi="仿宋" w:eastAsia="仿宋" w:cs="仿宋"/>
          <w:sz w:val="24"/>
          <w:szCs w:val="24"/>
          <w:highlight w:val="none"/>
          <w:shd w:val="clear" w:color="auto" w:fill="FFFFFF"/>
        </w:rPr>
        <w:t xml:space="preserve">合同金额为： </w:t>
      </w:r>
      <w:r>
        <w:rPr>
          <w:rFonts w:hint="eastAsia" w:ascii="仿宋" w:hAnsi="仿宋" w:eastAsia="仿宋" w:cs="仿宋"/>
          <w:sz w:val="24"/>
          <w:szCs w:val="24"/>
          <w:highlight w:val="none"/>
          <w:u w:val="single"/>
          <w:shd w:val="clear" w:color="auto" w:fill="FFFFFF"/>
        </w:rPr>
        <w:t>佰 拾 万 仟 整（￥ 000）</w:t>
      </w:r>
      <w:r>
        <w:rPr>
          <w:rFonts w:hint="eastAsia" w:ascii="仿宋" w:hAnsi="仿宋" w:eastAsia="仿宋" w:cs="仿宋"/>
          <w:sz w:val="24"/>
          <w:szCs w:val="24"/>
          <w:highlight w:val="none"/>
          <w:shd w:val="clear" w:color="auto" w:fill="FFFFFF"/>
        </w:rPr>
        <w:t>。</w:t>
      </w:r>
    </w:p>
    <w:p w14:paraId="72053F7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color w:val="auto"/>
          <w:kern w:val="0"/>
          <w:sz w:val="24"/>
          <w:szCs w:val="24"/>
          <w:highlight w:val="none"/>
          <w:shd w:val="clear" w:color="auto" w:fill="FFFFFF"/>
          <w:lang w:bidi="ar"/>
        </w:rPr>
        <w:t>2</w:t>
      </w:r>
      <w:r>
        <w:rPr>
          <w:rFonts w:hint="eastAsia" w:ascii="仿宋" w:hAnsi="仿宋" w:eastAsia="仿宋" w:cs="仿宋"/>
          <w:color w:val="auto"/>
          <w:kern w:val="0"/>
          <w:sz w:val="24"/>
          <w:szCs w:val="24"/>
          <w:highlight w:val="none"/>
          <w:shd w:val="clear" w:color="auto" w:fill="FFFFFF"/>
          <w:lang w:val="en-US" w:eastAsia="zh-CN" w:bidi="ar"/>
        </w:rPr>
        <w:t>.</w:t>
      </w:r>
      <w:r>
        <w:rPr>
          <w:rFonts w:hint="eastAsia" w:ascii="仿宋" w:hAnsi="仿宋" w:eastAsia="仿宋" w:cs="仿宋"/>
          <w:color w:val="auto"/>
          <w:sz w:val="24"/>
          <w:szCs w:val="24"/>
          <w:shd w:val="clear" w:color="auto" w:fill="FFFFFF"/>
        </w:rPr>
        <w:t>设备零部件损坏需维修或更换，单项费用3000元（含3000元）以内的，由</w:t>
      </w:r>
      <w:r>
        <w:rPr>
          <w:rFonts w:hint="eastAsia" w:ascii="仿宋" w:hAnsi="仿宋" w:eastAsia="仿宋" w:cs="仿宋"/>
          <w:color w:val="auto"/>
          <w:sz w:val="24"/>
          <w:szCs w:val="24"/>
          <w:shd w:val="clear" w:color="auto" w:fill="FFFFFF"/>
          <w:lang w:val="en-US" w:eastAsia="zh-CN"/>
        </w:rPr>
        <w:t>运营</w:t>
      </w:r>
      <w:r>
        <w:rPr>
          <w:rFonts w:hint="eastAsia" w:ascii="仿宋" w:hAnsi="仿宋" w:eastAsia="仿宋" w:cs="仿宋"/>
          <w:color w:val="auto"/>
          <w:sz w:val="24"/>
          <w:szCs w:val="24"/>
          <w:shd w:val="clear" w:color="auto" w:fill="FFFFFF"/>
        </w:rPr>
        <w:t>方负责，单项费用3000元以上经双方现场勘察，必要时请第三方公司评估，如属于设备正常老化或非</w:t>
      </w:r>
      <w:r>
        <w:rPr>
          <w:rFonts w:hint="eastAsia" w:ascii="仿宋" w:hAnsi="仿宋" w:eastAsia="仿宋" w:cs="仿宋"/>
          <w:color w:val="auto"/>
          <w:sz w:val="24"/>
          <w:szCs w:val="24"/>
          <w:shd w:val="clear" w:color="auto" w:fill="FFFFFF"/>
          <w:lang w:val="en-US" w:eastAsia="zh-CN"/>
        </w:rPr>
        <w:t>运营</w:t>
      </w:r>
      <w:r>
        <w:rPr>
          <w:rFonts w:hint="eastAsia" w:ascii="仿宋" w:hAnsi="仿宋" w:eastAsia="仿宋" w:cs="仿宋"/>
          <w:color w:val="auto"/>
          <w:sz w:val="24"/>
          <w:szCs w:val="24"/>
          <w:shd w:val="clear" w:color="auto" w:fill="FFFFFF"/>
        </w:rPr>
        <w:t>方</w:t>
      </w:r>
      <w:r>
        <w:rPr>
          <w:rFonts w:hint="eastAsia" w:ascii="仿宋" w:hAnsi="仿宋" w:eastAsia="仿宋" w:cs="仿宋"/>
          <w:color w:val="auto"/>
          <w:sz w:val="24"/>
          <w:szCs w:val="24"/>
          <w:shd w:val="clear" w:color="auto" w:fill="FFFFFF"/>
          <w:lang w:val="en-US" w:eastAsia="zh-CN"/>
        </w:rPr>
        <w:t>造成</w:t>
      </w:r>
      <w:r>
        <w:rPr>
          <w:rFonts w:hint="eastAsia" w:ascii="仿宋" w:hAnsi="仿宋" w:eastAsia="仿宋" w:cs="仿宋"/>
          <w:color w:val="auto"/>
          <w:sz w:val="24"/>
          <w:szCs w:val="24"/>
          <w:shd w:val="clear" w:color="auto" w:fill="FFFFFF"/>
        </w:rPr>
        <w:t>的人为故意损坏、非操作失误导致损坏需要维修的，超出部分费用由甲方负责，如属于</w:t>
      </w:r>
      <w:r>
        <w:rPr>
          <w:rFonts w:hint="eastAsia" w:ascii="仿宋" w:hAnsi="仿宋" w:eastAsia="仿宋" w:cs="仿宋"/>
          <w:color w:val="auto"/>
          <w:sz w:val="24"/>
          <w:szCs w:val="24"/>
          <w:shd w:val="clear" w:color="auto" w:fill="FFFFFF"/>
          <w:lang w:val="en-US" w:eastAsia="zh-CN"/>
        </w:rPr>
        <w:t>运营</w:t>
      </w:r>
      <w:r>
        <w:rPr>
          <w:rFonts w:hint="eastAsia" w:ascii="仿宋" w:hAnsi="仿宋" w:eastAsia="仿宋" w:cs="仿宋"/>
          <w:color w:val="auto"/>
          <w:sz w:val="24"/>
          <w:szCs w:val="24"/>
          <w:shd w:val="clear" w:color="auto" w:fill="FFFFFF"/>
        </w:rPr>
        <w:t>方原因的人为故意损坏、操作失误导致损坏需维修的，费用由</w:t>
      </w:r>
      <w:r>
        <w:rPr>
          <w:rFonts w:hint="eastAsia" w:ascii="仿宋" w:hAnsi="仿宋" w:eastAsia="仿宋" w:cs="仿宋"/>
          <w:color w:val="auto"/>
          <w:sz w:val="24"/>
          <w:szCs w:val="24"/>
          <w:shd w:val="clear" w:color="auto" w:fill="FFFFFF"/>
          <w:lang w:val="en-US" w:eastAsia="zh-CN"/>
        </w:rPr>
        <w:t>运营</w:t>
      </w:r>
      <w:r>
        <w:rPr>
          <w:rFonts w:hint="eastAsia" w:ascii="仿宋" w:hAnsi="仿宋" w:eastAsia="仿宋" w:cs="仿宋"/>
          <w:color w:val="auto"/>
          <w:sz w:val="24"/>
          <w:szCs w:val="24"/>
          <w:shd w:val="clear" w:color="auto" w:fill="FFFFFF"/>
        </w:rPr>
        <w:t>方负责。</w:t>
      </w:r>
    </w:p>
    <w:p w14:paraId="41DF097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bookmarkStart w:id="183" w:name="_Hlk101274014"/>
      <w:bookmarkEnd w:id="183"/>
      <w:r>
        <w:rPr>
          <w:rFonts w:hint="eastAsia" w:ascii="仿宋" w:hAnsi="仿宋" w:eastAsia="仿宋" w:cs="仿宋"/>
          <w:color w:val="auto"/>
          <w:sz w:val="24"/>
          <w:szCs w:val="24"/>
          <w:shd w:val="clear" w:color="auto" w:fill="FFFFFF"/>
          <w:lang w:val="en-US" w:eastAsia="zh-CN"/>
        </w:rPr>
        <w:t>3.</w:t>
      </w:r>
      <w:r>
        <w:rPr>
          <w:rFonts w:hint="eastAsia" w:ascii="仿宋" w:hAnsi="仿宋" w:eastAsia="仿宋" w:cs="仿宋"/>
          <w:color w:val="auto"/>
          <w:sz w:val="24"/>
          <w:szCs w:val="24"/>
          <w:shd w:val="clear" w:color="auto" w:fill="FFFFFF"/>
        </w:rPr>
        <w:t>本项目的第三方运维定期检测费、泵站电费等已包含在合同价款中。日常监测、定期检测等数据应确保符合环保要求。</w:t>
      </w:r>
    </w:p>
    <w:p w14:paraId="30628A8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4.</w:t>
      </w:r>
      <w:r>
        <w:rPr>
          <w:rFonts w:hint="eastAsia" w:ascii="仿宋" w:hAnsi="仿宋" w:eastAsia="仿宋" w:cs="仿宋"/>
          <w:color w:val="auto"/>
          <w:sz w:val="24"/>
          <w:szCs w:val="24"/>
          <w:shd w:val="clear" w:color="auto" w:fill="FFFFFF"/>
        </w:rPr>
        <w:t>支付方式：</w:t>
      </w:r>
      <w:r>
        <w:rPr>
          <w:rFonts w:hint="eastAsia" w:ascii="仿宋" w:hAnsi="仿宋" w:eastAsia="仿宋" w:cs="仿宋"/>
          <w:color w:val="auto"/>
          <w:sz w:val="24"/>
          <w:szCs w:val="24"/>
          <w:lang w:bidi="ar"/>
        </w:rPr>
        <w:t>年度运营周期开始，乙方可申请本周期</w:t>
      </w:r>
      <w:r>
        <w:rPr>
          <w:rFonts w:hint="eastAsia" w:ascii="仿宋" w:hAnsi="仿宋" w:eastAsia="仿宋" w:cs="仿宋"/>
          <w:color w:val="auto"/>
          <w:sz w:val="24"/>
          <w:szCs w:val="24"/>
          <w:lang w:val="en-US" w:eastAsia="zh-CN" w:bidi="ar"/>
        </w:rPr>
        <w:t>30</w:t>
      </w:r>
      <w:r>
        <w:rPr>
          <w:rFonts w:hint="eastAsia" w:ascii="仿宋" w:hAnsi="仿宋" w:eastAsia="仿宋" w:cs="仿宋"/>
          <w:color w:val="auto"/>
          <w:sz w:val="24"/>
          <w:szCs w:val="24"/>
          <w:lang w:bidi="ar"/>
        </w:rPr>
        <w:t>%运营维护费预付款，甲方在收到请款函及有效的发票后10个工作日内支付运营维护费预付款。年度运营情况绩效考评结束后，乙方根据考评分数进行本周期运营维护费余款请款，甲方在收到请款函及有效的发票后10个工作日内支付运营维护费</w:t>
      </w:r>
      <w:r>
        <w:rPr>
          <w:rFonts w:hint="eastAsia" w:ascii="仿宋" w:hAnsi="仿宋" w:eastAsia="仿宋" w:cs="仿宋"/>
          <w:color w:val="auto"/>
          <w:sz w:val="24"/>
          <w:szCs w:val="24"/>
          <w:shd w:val="clear" w:color="auto" w:fill="FFFFFF"/>
        </w:rPr>
        <w:t>。</w:t>
      </w:r>
    </w:p>
    <w:p w14:paraId="79C5D0E8">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lang w:val="en-US" w:eastAsia="zh-CN"/>
        </w:rPr>
        <w:t>5.</w:t>
      </w:r>
      <w:r>
        <w:rPr>
          <w:rFonts w:hint="eastAsia" w:ascii="仿宋" w:hAnsi="仿宋" w:eastAsia="仿宋" w:cs="仿宋"/>
          <w:color w:val="auto"/>
          <w:sz w:val="24"/>
          <w:szCs w:val="24"/>
          <w:shd w:val="clear" w:color="auto" w:fill="FFFFFF"/>
        </w:rPr>
        <w:t>甲方在收到乙方的付款申请及足额税务专用发票并审核完毕的5个工作日支付此次服务费。</w:t>
      </w:r>
    </w:p>
    <w:p w14:paraId="19285479">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bookmarkStart w:id="184" w:name="_Hlk101274153"/>
      <w:bookmarkEnd w:id="184"/>
      <w:r>
        <w:rPr>
          <w:rFonts w:hint="eastAsia" w:ascii="仿宋" w:hAnsi="仿宋" w:eastAsia="仿宋" w:cs="仿宋"/>
          <w:color w:val="auto"/>
          <w:sz w:val="24"/>
          <w:szCs w:val="24"/>
          <w:shd w:val="clear" w:color="auto" w:fill="FFFFFF"/>
          <w:lang w:val="en-US" w:eastAsia="zh-CN"/>
        </w:rPr>
        <w:t>6.</w:t>
      </w:r>
      <w:r>
        <w:rPr>
          <w:rFonts w:hint="eastAsia" w:ascii="仿宋" w:hAnsi="仿宋" w:eastAsia="仿宋" w:cs="仿宋"/>
          <w:color w:val="auto"/>
          <w:sz w:val="24"/>
          <w:szCs w:val="24"/>
          <w:shd w:val="clear" w:color="auto" w:fill="FFFFFF"/>
        </w:rPr>
        <w:t>甲方所有设备及附属配套设施交付前应安排专人与乙方共同清点，双方清点无误后签署移交单，正式移交乙方。</w:t>
      </w:r>
    </w:p>
    <w:p w14:paraId="4C63B22A">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color w:val="auto"/>
          <w:sz w:val="24"/>
          <w:szCs w:val="24"/>
          <w:shd w:val="clear" w:color="auto" w:fill="FFFFFF"/>
        </w:rPr>
      </w:pPr>
      <w:r>
        <w:rPr>
          <w:rFonts w:hint="eastAsia" w:ascii="仿宋" w:hAnsi="仿宋" w:eastAsia="仿宋" w:cs="仿宋"/>
          <w:b/>
          <w:bCs/>
          <w:color w:val="auto"/>
          <w:sz w:val="24"/>
          <w:szCs w:val="24"/>
          <w:shd w:val="clear" w:color="auto" w:fill="FFFFFF"/>
          <w:lang w:val="en-US" w:eastAsia="zh-CN"/>
        </w:rPr>
        <w:t>四</w:t>
      </w:r>
      <w:r>
        <w:rPr>
          <w:rFonts w:hint="eastAsia" w:ascii="仿宋" w:hAnsi="仿宋" w:eastAsia="仿宋" w:cs="仿宋"/>
          <w:b/>
          <w:bCs/>
          <w:color w:val="auto"/>
          <w:sz w:val="24"/>
          <w:szCs w:val="24"/>
          <w:shd w:val="clear" w:color="auto" w:fill="FFFFFF"/>
        </w:rPr>
        <w:t>、甲方责任</w:t>
      </w:r>
    </w:p>
    <w:p w14:paraId="36F2A925">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w:t>
      </w:r>
      <w:r>
        <w:rPr>
          <w:rFonts w:hint="eastAsia" w:ascii="仿宋" w:hAnsi="仿宋" w:eastAsia="仿宋" w:cs="仿宋"/>
          <w:color w:val="auto"/>
          <w:sz w:val="24"/>
          <w:szCs w:val="24"/>
          <w:shd w:val="clear" w:color="auto" w:fill="FFFFFF"/>
          <w:lang w:val="en-US" w:eastAsia="zh-CN"/>
        </w:rPr>
        <w:t>.</w:t>
      </w:r>
      <w:r>
        <w:rPr>
          <w:rFonts w:hint="eastAsia" w:ascii="仿宋" w:hAnsi="仿宋" w:eastAsia="仿宋" w:cs="仿宋"/>
          <w:color w:val="auto"/>
          <w:sz w:val="24"/>
          <w:szCs w:val="24"/>
          <w:shd w:val="clear" w:color="auto" w:fill="FFFFFF"/>
        </w:rPr>
        <w:t>提供运维服务条件</w:t>
      </w:r>
    </w:p>
    <w:p w14:paraId="0CDFA9E1">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甲方应负责提供运维服务所需要的条件，包括：</w:t>
      </w:r>
    </w:p>
    <w:p w14:paraId="597F021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（1）交付运维前水电、管道、道路及通讯线路等正常使用。</w:t>
      </w:r>
    </w:p>
    <w:p w14:paraId="50A9CE8E">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（2）黑臭水体及污水泵站相应设备达到交付标准，并通过相关单位验收。</w:t>
      </w:r>
    </w:p>
    <w:p w14:paraId="35579F2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kern w:val="0"/>
          <w:sz w:val="24"/>
          <w:szCs w:val="24"/>
          <w:shd w:val="clear" w:color="auto" w:fill="FFFFFF"/>
        </w:rPr>
      </w:pPr>
      <w:r>
        <w:rPr>
          <w:rFonts w:hint="eastAsia" w:ascii="仿宋" w:hAnsi="仿宋" w:eastAsia="仿宋" w:cs="仿宋"/>
          <w:color w:val="auto"/>
          <w:sz w:val="24"/>
          <w:szCs w:val="24"/>
          <w:shd w:val="clear" w:color="auto" w:fill="FFFFFF"/>
        </w:rPr>
        <w:t>（3）</w:t>
      </w:r>
      <w:r>
        <w:rPr>
          <w:rFonts w:hint="eastAsia" w:ascii="仿宋" w:hAnsi="仿宋" w:eastAsia="仿宋" w:cs="仿宋"/>
          <w:color w:val="auto"/>
          <w:kern w:val="0"/>
          <w:sz w:val="24"/>
          <w:szCs w:val="24"/>
          <w:shd w:val="clear" w:color="auto" w:fill="FFFFFF"/>
        </w:rPr>
        <w:t>本项目所有设备及附属配套（包括构筑物、机械设备、污水管网、厂区绿植、检查井、配电设备、简介牌、标示牌、栏杆等）在移交乙方运营管理前须保持完好状态。</w:t>
      </w:r>
    </w:p>
    <w:p w14:paraId="694D43F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w:t>
      </w:r>
      <w:r>
        <w:rPr>
          <w:rFonts w:hint="eastAsia" w:ascii="仿宋" w:hAnsi="仿宋" w:eastAsia="仿宋" w:cs="仿宋"/>
          <w:color w:val="auto"/>
          <w:sz w:val="24"/>
          <w:szCs w:val="24"/>
          <w:shd w:val="clear" w:color="auto" w:fill="FFFFFF"/>
          <w:lang w:val="en-US" w:eastAsia="zh-CN"/>
        </w:rPr>
        <w:t>.</w:t>
      </w:r>
      <w:r>
        <w:rPr>
          <w:rFonts w:hint="eastAsia" w:ascii="仿宋" w:hAnsi="仿宋" w:eastAsia="仿宋" w:cs="仿宋"/>
          <w:color w:val="auto"/>
          <w:sz w:val="24"/>
          <w:szCs w:val="24"/>
          <w:shd w:val="clear" w:color="auto" w:fill="FFFFFF"/>
        </w:rPr>
        <w:t>提供基础资料</w:t>
      </w:r>
    </w:p>
    <w:p w14:paraId="30FDAE4E">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甲方应当在移交处理设施前向乙方提供合同范围内设备处理设施及设备处理设施运维所必需的有关基础资料，并对所提供资料的真实性、准确性和完整性负责，包括：</w:t>
      </w:r>
    </w:p>
    <w:p w14:paraId="4F967A7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color w:val="auto"/>
          <w:sz w:val="24"/>
          <w:szCs w:val="24"/>
          <w:shd w:val="clear" w:color="auto" w:fill="FFFFFF"/>
        </w:rPr>
        <w:t>（1）提供</w:t>
      </w:r>
      <w:r>
        <w:rPr>
          <w:rFonts w:hint="eastAsia" w:ascii="仿宋" w:hAnsi="仿宋" w:eastAsia="仿宋" w:cs="仿宋"/>
          <w:color w:val="auto"/>
          <w:sz w:val="24"/>
          <w:szCs w:val="24"/>
        </w:rPr>
        <w:t>江州区黑臭水体及污水泵站</w:t>
      </w:r>
      <w:r>
        <w:rPr>
          <w:rFonts w:hint="eastAsia" w:ascii="仿宋" w:hAnsi="仿宋" w:eastAsia="仿宋" w:cs="仿宋"/>
          <w:color w:val="auto"/>
          <w:sz w:val="24"/>
          <w:szCs w:val="24"/>
          <w:shd w:val="clear" w:color="auto" w:fill="FFFFFF"/>
        </w:rPr>
        <w:t>设施的</w:t>
      </w:r>
      <w:r>
        <w:rPr>
          <w:rFonts w:hint="eastAsia" w:ascii="仿宋" w:hAnsi="仿宋" w:eastAsia="仿宋" w:cs="仿宋"/>
          <w:sz w:val="24"/>
          <w:szCs w:val="24"/>
          <w:shd w:val="clear" w:color="auto" w:fill="FFFFFF"/>
        </w:rPr>
        <w:t>图纸、主要设施设备质保文件和使用说明书等技术资料。</w:t>
      </w:r>
    </w:p>
    <w:p w14:paraId="16FB6DC5">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（2）向乙方提供</w:t>
      </w:r>
      <w:r>
        <w:rPr>
          <w:rFonts w:hint="eastAsia" w:ascii="仿宋" w:hAnsi="仿宋" w:eastAsia="仿宋" w:cs="仿宋"/>
          <w:sz w:val="24"/>
          <w:szCs w:val="24"/>
        </w:rPr>
        <w:t>黑臭水体及污水泵站</w:t>
      </w:r>
      <w:r>
        <w:rPr>
          <w:rFonts w:hint="eastAsia" w:ascii="仿宋" w:hAnsi="仿宋" w:eastAsia="仿宋" w:cs="仿宋"/>
          <w:sz w:val="24"/>
          <w:szCs w:val="24"/>
          <w:shd w:val="clear" w:color="auto" w:fill="FFFFFF"/>
        </w:rPr>
        <w:t>的平面总布置图及项目征地红线图等材料。</w:t>
      </w:r>
    </w:p>
    <w:p w14:paraId="4DEC80EB">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（3）提供黑臭水体及污水泵站设备设施的详细清单，交付前安排专人与乙方共同清点，双方清点无误后签字盖章确认。</w:t>
      </w:r>
    </w:p>
    <w:p w14:paraId="25E8E525">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支付运维服务费用</w:t>
      </w:r>
    </w:p>
    <w:p w14:paraId="21852C0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甲方应按合同约定向乙方及时支付运维服务费。</w:t>
      </w:r>
    </w:p>
    <w:p w14:paraId="52B97DEB">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督促开展运维服务</w:t>
      </w:r>
    </w:p>
    <w:p w14:paraId="452E9477">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甲方负责定期或不定期检查乙方是否按合同约定的服务内容开展服务工作，对不满足本合同约定的现象或行为下达限期整改指令，乙方必须按照指令的要求限期内完成整改，否则甲方有权暂停支付服务经费，可视情节轻重给予乙方书面警告并扣减</w:t>
      </w:r>
      <w:r>
        <w:rPr>
          <w:rFonts w:hint="eastAsia" w:ascii="仿宋" w:hAnsi="仿宋" w:eastAsia="仿宋" w:cs="仿宋"/>
          <w:sz w:val="24"/>
          <w:szCs w:val="24"/>
          <w:shd w:val="clear" w:color="auto" w:fill="FFFFFF"/>
          <w:lang w:val="en-US" w:eastAsia="zh-CN"/>
        </w:rPr>
        <w:t>合同</w:t>
      </w:r>
      <w:r>
        <w:rPr>
          <w:rFonts w:hint="eastAsia" w:ascii="仿宋" w:hAnsi="仿宋" w:eastAsia="仿宋" w:cs="仿宋"/>
          <w:sz w:val="24"/>
          <w:szCs w:val="24"/>
          <w:shd w:val="clear" w:color="auto" w:fill="FFFFFF"/>
        </w:rPr>
        <w:t>服务经费的5</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-10%作为违约金，同时甲方可安排合同外的第三方人员完成整改指令，乙方不能对此进行干预，由此产生的费用从服务经费扣除。甲方不能妨碍乙方正常的生产经营活动。</w:t>
      </w:r>
    </w:p>
    <w:p w14:paraId="053E252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监督责任</w:t>
      </w:r>
    </w:p>
    <w:p w14:paraId="1940D6AF">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乙方产生的以下行为，甲方有权解除合同：</w:t>
      </w:r>
    </w:p>
    <w:p w14:paraId="32FA51F1">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（1）不履行合同。</w:t>
      </w:r>
    </w:p>
    <w:p w14:paraId="5AE300BA">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highlight w:val="none"/>
          <w:shd w:val="clear" w:color="auto" w:fill="FFFFFF"/>
        </w:rPr>
      </w:pPr>
      <w:r>
        <w:rPr>
          <w:rFonts w:hint="eastAsia" w:ascii="仿宋" w:hAnsi="仿宋" w:eastAsia="仿宋" w:cs="仿宋"/>
          <w:sz w:val="24"/>
          <w:szCs w:val="24"/>
          <w:shd w:val="clear" w:color="auto" w:fill="FFFFFF"/>
        </w:rPr>
        <w:t>（2）乙方由于运维不力，污水处理后未达到合同约定的排放标准造成环境污染等环保事故，乙方承担事故的一切责</w:t>
      </w:r>
      <w:r>
        <w:rPr>
          <w:rFonts w:hint="eastAsia" w:ascii="仿宋" w:hAnsi="仿宋" w:eastAsia="仿宋" w:cs="仿宋"/>
          <w:sz w:val="24"/>
          <w:szCs w:val="24"/>
          <w:highlight w:val="none"/>
          <w:shd w:val="clear" w:color="auto" w:fill="FFFFFF"/>
        </w:rPr>
        <w:t>任。</w:t>
      </w:r>
      <w:r>
        <w:rPr>
          <w:rFonts w:hint="eastAsia" w:ascii="仿宋" w:hAnsi="仿宋" w:eastAsia="仿宋" w:cs="仿宋"/>
          <w:i w:val="0"/>
          <w:iCs w:val="0"/>
          <w:caps w:val="0"/>
          <w:color w:val="404040"/>
          <w:spacing w:val="0"/>
          <w:sz w:val="24"/>
          <w:szCs w:val="24"/>
          <w:highlight w:val="none"/>
        </w:rPr>
        <w:t>甲</w:t>
      </w:r>
      <w:r>
        <w:rPr>
          <w:rFonts w:hint="eastAsia" w:ascii="仿宋" w:hAnsi="仿宋" w:eastAsia="仿宋" w:cs="仿宋"/>
          <w:sz w:val="24"/>
          <w:szCs w:val="24"/>
          <w:shd w:val="clear" w:color="auto" w:fill="FFFFFF"/>
        </w:rPr>
        <w:t>方有权定期或不定期对乙方的运营维护工作进行检查和评估，乙方应予以配合。若乙方服务质量不达标，甲方有权扣减相应费用或终止合同</w:t>
      </w:r>
      <w:r>
        <w:rPr>
          <w:rFonts w:hint="eastAsia" w:ascii="仿宋" w:hAnsi="仿宋" w:eastAsia="仿宋" w:cs="仿宋"/>
          <w:sz w:val="24"/>
          <w:szCs w:val="24"/>
          <w:shd w:val="clear" w:color="auto" w:fill="FFFFFF"/>
          <w:lang w:eastAsia="zh-CN"/>
        </w:rPr>
        <w:t>。</w:t>
      </w:r>
    </w:p>
    <w:p w14:paraId="0E25F972">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（3）主管部门或甲方提出整改意见，运维单位拒绝整改或未在期限内完成整改。</w:t>
      </w:r>
    </w:p>
    <w:p w14:paraId="44F9A65D">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（4）因管理运维不当，出现重大事故而造成重大社会影响。</w:t>
      </w:r>
    </w:p>
    <w:p w14:paraId="3378F0AB">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（5）甲方通知乙方更换不称职的运维项目负责人乙方拒不更换。</w:t>
      </w:r>
    </w:p>
    <w:p w14:paraId="6AE40070">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（6）乙方不配合主管部门、甲方开展项目管理、迎检等工作。</w:t>
      </w:r>
    </w:p>
    <w:p w14:paraId="12D2F1AB">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五</w:t>
      </w:r>
      <w:r>
        <w:rPr>
          <w:rFonts w:hint="eastAsia" w:ascii="仿宋" w:hAnsi="仿宋" w:eastAsia="仿宋" w:cs="仿宋"/>
          <w:b/>
          <w:bCs/>
          <w:sz w:val="24"/>
          <w:szCs w:val="24"/>
          <w:shd w:val="clear" w:color="auto" w:fill="FFFFFF"/>
        </w:rPr>
        <w:t>、乙方责任</w:t>
      </w:r>
    </w:p>
    <w:p w14:paraId="7D5F4F5E">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运维项目负责人</w:t>
      </w:r>
    </w:p>
    <w:p w14:paraId="2984030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运维项目负责人应为合同双方所确认的人选，乙方应书面告知甲方运维项目负责人的相关信息。包括但不限于：运维项目负责人的姓名、职称、相关证书编号、联系方式、授权范围、劳动合同等，运维项目负责人于乙方授权后代表乙方负责履行合同。乙方不提交上述文件前，运维项目负责人无权履行职责，甲方有权要求更换运维项目负责人，由此产生的费用和法律责任由乙方承担。</w:t>
      </w:r>
    </w:p>
    <w:p w14:paraId="76C21A79">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运维项目负责人按合同约定组织处理设施运维工作。在紧急情况下为确保设施安全和人员安全，在无法与甲方代表及时取得联系时，运维项目负责人有权采取必要的措施保证与处理设施有关的人身、财产的安全，但应在48小时内向甲方代表补充书面报告。</w:t>
      </w:r>
    </w:p>
    <w:p w14:paraId="4C70EEC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i w:val="0"/>
          <w:iCs w:val="0"/>
          <w:caps w:val="0"/>
          <w:color w:val="404040"/>
          <w:spacing w:val="0"/>
          <w:sz w:val="24"/>
          <w:szCs w:val="24"/>
          <w:highlight w:val="red"/>
        </w:rPr>
      </w:pPr>
      <w:r>
        <w:rPr>
          <w:rFonts w:hint="eastAsia" w:ascii="仿宋" w:hAnsi="仿宋" w:eastAsia="仿宋" w:cs="仿宋"/>
          <w:sz w:val="24"/>
          <w:szCs w:val="24"/>
          <w:shd w:val="clear" w:color="auto" w:fill="FFFFFF"/>
        </w:rPr>
        <w:t>（3）乙方需要更换运维项目负责人的，应提前7天书面通知甲方，并征得甲方书面同意。通知中应当载明继任运维项目负责人的资格、管理经验等资料，继任运维项目负责人继续履行原合同约定的职责。未经甲方书面同意，乙方不得擅自更</w:t>
      </w:r>
      <w:r>
        <w:rPr>
          <w:rFonts w:hint="eastAsia" w:ascii="仿宋" w:hAnsi="仿宋" w:eastAsia="仿宋" w:cs="仿宋"/>
          <w:sz w:val="24"/>
          <w:szCs w:val="24"/>
          <w:highlight w:val="none"/>
          <w:shd w:val="clear" w:color="auto" w:fill="FFFFFF"/>
        </w:rPr>
        <w:t>换更换项目负责人。</w:t>
      </w:r>
      <w:r>
        <w:rPr>
          <w:rFonts w:hint="eastAsia" w:ascii="仿宋" w:hAnsi="仿宋" w:eastAsia="仿宋" w:cs="仿宋"/>
          <w:color w:val="auto"/>
          <w:sz w:val="24"/>
          <w:szCs w:val="24"/>
          <w:highlight w:val="none"/>
          <w:shd w:val="clear" w:color="auto" w:fill="FFFFFF"/>
          <w:lang w:val="en-US" w:eastAsia="zh-CN"/>
        </w:rPr>
        <w:t>若</w:t>
      </w:r>
      <w:r>
        <w:rPr>
          <w:rFonts w:hint="eastAsia" w:ascii="仿宋" w:hAnsi="仿宋" w:eastAsia="仿宋" w:cs="仿宋"/>
          <w:i w:val="0"/>
          <w:iCs w:val="0"/>
          <w:caps w:val="0"/>
          <w:color w:val="auto"/>
          <w:spacing w:val="0"/>
          <w:sz w:val="24"/>
          <w:szCs w:val="24"/>
          <w:highlight w:val="none"/>
        </w:rPr>
        <w:t>乙方擅自更换项目负责人导致甲方利益受损时，乙方应按合同金额5%向甲方支付违约金，并赔</w:t>
      </w:r>
      <w:r>
        <w:rPr>
          <w:rFonts w:hint="eastAsia" w:ascii="仿宋" w:hAnsi="仿宋" w:eastAsia="仿宋" w:cs="仿宋"/>
          <w:i w:val="0"/>
          <w:iCs w:val="0"/>
          <w:caps w:val="0"/>
          <w:color w:val="404040"/>
          <w:spacing w:val="0"/>
          <w:sz w:val="24"/>
          <w:szCs w:val="24"/>
          <w:highlight w:val="none"/>
        </w:rPr>
        <w:t>偿</w:t>
      </w:r>
      <w:r>
        <w:rPr>
          <w:rFonts w:hint="eastAsia" w:ascii="仿宋" w:hAnsi="仿宋" w:eastAsia="仿宋" w:cs="仿宋"/>
          <w:i w:val="0"/>
          <w:iCs w:val="0"/>
          <w:caps w:val="0"/>
          <w:color w:val="auto"/>
          <w:spacing w:val="0"/>
          <w:sz w:val="24"/>
          <w:szCs w:val="24"/>
          <w:highlight w:val="none"/>
        </w:rPr>
        <w:t>甲方因此遭受的实际损失</w:t>
      </w:r>
      <w:r>
        <w:rPr>
          <w:rFonts w:hint="eastAsia" w:ascii="仿宋" w:hAnsi="仿宋" w:eastAsia="仿宋" w:cs="仿宋"/>
          <w:i w:val="0"/>
          <w:iCs w:val="0"/>
          <w:caps w:val="0"/>
          <w:color w:val="auto"/>
          <w:spacing w:val="0"/>
          <w:sz w:val="24"/>
          <w:szCs w:val="24"/>
          <w:highlight w:val="none"/>
          <w:lang w:eastAsia="zh-CN"/>
        </w:rPr>
        <w:t>。</w:t>
      </w:r>
    </w:p>
    <w:p w14:paraId="561BF061">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乙方应在接到甲方更换运维项目负责人通知后，7天内进行更换，并将新任命的运维项目负责人的资格、管理经验等资料书面通知甲方。继任运维项目负责人继续履行原合同约定的职责。乙方无正当理由拒绝更换运维项目负责人的，应按照合同条款的约定承担违约责任。</w:t>
      </w:r>
    </w:p>
    <w:p w14:paraId="3231C5ED">
      <w:pPr>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kern w:val="0"/>
          <w:sz w:val="24"/>
          <w:szCs w:val="24"/>
        </w:rPr>
        <w:t>乙方的权利</w:t>
      </w:r>
    </w:p>
    <w:p w14:paraId="5C016054">
      <w:pPr>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（1）应按合同约定提供运营维护服务，确保水质达标。</w:t>
      </w:r>
    </w:p>
    <w:p w14:paraId="09B5D675">
      <w:pPr>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（2）应遵守相关法律法规，保证服务质量，接受甲方的监督和检查。</w:t>
      </w:r>
    </w:p>
    <w:p w14:paraId="53E11661">
      <w:pPr>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（3）负责运营维护期间的人员、设备安全，承担相应责任。</w:t>
      </w:r>
    </w:p>
    <w:p w14:paraId="2209C82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乙方义务</w:t>
      </w:r>
    </w:p>
    <w:p w14:paraId="19A0B33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乙方在履行合同过程中应遵守法律规章和运行维护服务标准，并履行以下义务：</w:t>
      </w:r>
    </w:p>
    <w:p w14:paraId="4FCBB13F">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（1）至少每个季度向甲方报送一次其运维服务范围内所有设施的体检报告。</w:t>
      </w:r>
    </w:p>
    <w:p w14:paraId="11234ED0">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（2）按合同约定完成</w:t>
      </w:r>
      <w:r>
        <w:rPr>
          <w:rFonts w:hint="eastAsia" w:ascii="仿宋" w:hAnsi="仿宋" w:eastAsia="仿宋" w:cs="仿宋"/>
          <w:sz w:val="24"/>
          <w:szCs w:val="24"/>
          <w:lang w:eastAsia="zh-CN"/>
        </w:rPr>
        <w:t>崇左市江州区五个黑臭水体及污水泵站运营服务项目</w:t>
      </w:r>
      <w:r>
        <w:rPr>
          <w:rFonts w:hint="eastAsia" w:ascii="仿宋" w:hAnsi="仿宋" w:eastAsia="仿宋" w:cs="仿宋"/>
          <w:sz w:val="24"/>
          <w:szCs w:val="24"/>
          <w:shd w:val="clear" w:color="auto" w:fill="FFFFFF"/>
        </w:rPr>
        <w:t>的运维管理工作。</w:t>
      </w:r>
    </w:p>
    <w:p w14:paraId="7CE70F8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（3）采取必要的安全措施，确保其人员、材料和设备的安全，防止因处理设施运维造成的人身伤害和财产损失。</w:t>
      </w:r>
    </w:p>
    <w:p w14:paraId="307AE8F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（4）在进行合同约定的各项工作时，不得侵害甲方与他人使用公用道路、水源、市政管网等公共设施的权利，避免对邻近的他人或公共设施产生干扰。</w:t>
      </w:r>
    </w:p>
    <w:p w14:paraId="3704453B">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（5）及时支付雇用人员工资，不得出现员工集体讨薪或因此产生的维权事件。</w:t>
      </w:r>
    </w:p>
    <w:p w14:paraId="3310229C">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sz w:val="24"/>
          <w:szCs w:val="24"/>
          <w:shd w:val="clear" w:color="auto" w:fill="FFFFFF"/>
        </w:rPr>
        <w:t>（6）在服务期内乙方应当承担因环保部门及工作需要新增的服务内容（合同外新增内容双方另行协商费用</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rPr>
        <w:t>费用由双方协商确定，并签订补充协议</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w:t>
      </w:r>
    </w:p>
    <w:p w14:paraId="7A2420C2">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（7）按照运维企业基本条件要求，为本运维项目配置包括但不限于人员配备、运维车辆、运维工器具，明确配置的数量、到位时间、相关技术参数规格等要求。</w:t>
      </w:r>
    </w:p>
    <w:p w14:paraId="00781A70">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（8）协助政府、环保部门等有关单位开展工作。</w:t>
      </w:r>
    </w:p>
    <w:p w14:paraId="2157ACAC">
      <w:pPr>
        <w:pageBreakBefore w:val="0"/>
        <w:widowControl/>
        <w:shd w:val="clear" w:color="auto" w:fill="FFFFFF"/>
        <w:kinsoku/>
        <w:wordWrap/>
        <w:overflowPunct w:val="0"/>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（9）应履行的其他义务。</w:t>
      </w:r>
    </w:p>
    <w:p w14:paraId="19E9A7B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保险条款</w:t>
      </w:r>
    </w:p>
    <w:p w14:paraId="4233455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为防止意外损失，乙方应其员工购买人身意外。由于意外事故造成员工人身损害的，责任由乙方自行负责。甲方不承担因乙方责任所引起的乙方的损失或损害。</w:t>
      </w:r>
    </w:p>
    <w:p w14:paraId="703BD6E0">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lang w:val="en-US" w:eastAsia="zh-CN"/>
        </w:rPr>
        <w:t>六</w:t>
      </w:r>
      <w:r>
        <w:rPr>
          <w:rFonts w:hint="eastAsia" w:ascii="仿宋" w:hAnsi="仿宋" w:eastAsia="仿宋" w:cs="仿宋"/>
          <w:b/>
          <w:bCs/>
          <w:sz w:val="24"/>
          <w:szCs w:val="24"/>
          <w:shd w:val="clear" w:color="auto" w:fill="FFFFFF"/>
        </w:rPr>
        <w:t>、乙方服务具体要求</w:t>
      </w:r>
    </w:p>
    <w:p w14:paraId="50251ED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运行维护管理</w:t>
      </w:r>
    </w:p>
    <w:p w14:paraId="0521EEF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1.1</w:t>
      </w:r>
      <w:r>
        <w:rPr>
          <w:rFonts w:hint="eastAsia" w:ascii="仿宋" w:hAnsi="仿宋" w:eastAsia="仿宋" w:cs="仿宋"/>
          <w:sz w:val="24"/>
          <w:szCs w:val="24"/>
          <w:shd w:val="clear" w:color="auto" w:fill="FFFFFF"/>
        </w:rPr>
        <w:t>本次运营的池塘共有5个，分别为：（1）</w:t>
      </w:r>
      <w:r>
        <w:rPr>
          <w:rFonts w:hint="eastAsia" w:ascii="仿宋" w:hAnsi="仿宋" w:eastAsia="仿宋" w:cs="仿宋"/>
          <w:sz w:val="24"/>
          <w:szCs w:val="24"/>
          <w:shd w:val="clear" w:color="auto" w:fill="FFFFFF"/>
          <w:lang w:eastAsia="zh-CN"/>
        </w:rPr>
        <w:t>民族中学池塘</w:t>
      </w: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eastAsia="zh-CN"/>
        </w:rPr>
        <w:t>江北二桥头公园池塘</w:t>
      </w: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eastAsia="zh-CN"/>
        </w:rPr>
        <w:t>西塘池塘</w:t>
      </w: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eastAsia="zh-CN"/>
        </w:rPr>
        <w:t>烈士陵园对面2池塘</w:t>
      </w:r>
      <w:r>
        <w:rPr>
          <w:rFonts w:hint="eastAsia" w:ascii="仿宋" w:hAnsi="仿宋" w:eastAsia="仿宋" w:cs="仿宋"/>
          <w:sz w:val="24"/>
          <w:szCs w:val="24"/>
          <w:shd w:val="clear" w:color="auto" w:fill="FFFFFF"/>
        </w:rPr>
        <w:t>、（5）</w:t>
      </w:r>
      <w:r>
        <w:rPr>
          <w:rFonts w:hint="eastAsia" w:ascii="仿宋" w:hAnsi="仿宋" w:eastAsia="仿宋" w:cs="仿宋"/>
          <w:sz w:val="24"/>
          <w:szCs w:val="24"/>
          <w:shd w:val="clear" w:color="auto" w:fill="FFFFFF"/>
          <w:lang w:eastAsia="zh-CN"/>
        </w:rPr>
        <w:t>党校池塘。</w:t>
      </w:r>
      <w:r>
        <w:rPr>
          <w:rFonts w:hint="eastAsia" w:ascii="仿宋" w:hAnsi="仿宋" w:eastAsia="仿宋" w:cs="仿宋"/>
          <w:sz w:val="24"/>
          <w:szCs w:val="24"/>
          <w:shd w:val="clear" w:color="auto" w:fill="FFFFFF"/>
          <w:lang w:val="en-US" w:eastAsia="zh-CN"/>
        </w:rPr>
        <w:t xml:space="preserve">  </w:t>
      </w:r>
    </w:p>
    <w:p w14:paraId="368FC7B2">
      <w:pPr>
        <w:pageBreakBefore w:val="0"/>
        <w:widowControl/>
        <w:shd w:val="clear" w:color="auto" w:fill="FFFFFF"/>
        <w:wordWrap/>
        <w:overflowPunct/>
        <w:topLinePunct w:val="0"/>
        <w:bidi w:val="0"/>
        <w:spacing w:line="360" w:lineRule="auto"/>
        <w:ind w:left="0" w:leftChars="0" w:right="0" w:rightChars="0" w:firstLine="480" w:firstLineChars="200"/>
        <w:jc w:val="both"/>
        <w:rPr>
          <w:rFonts w:hint="default" w:ascii="仿宋" w:hAnsi="仿宋" w:eastAsia="仿宋" w:cs="仿宋"/>
          <w:sz w:val="24"/>
          <w:szCs w:val="24"/>
          <w:shd w:val="clear" w:color="auto" w:fill="FFFFFF"/>
          <w:lang w:val="en-US" w:eastAsia="zh-CN"/>
        </w:rPr>
      </w:pPr>
      <w:r>
        <w:rPr>
          <w:rFonts w:hint="eastAsia" w:ascii="仿宋" w:hAnsi="仿宋" w:eastAsia="仿宋" w:cs="仿宋"/>
          <w:sz w:val="24"/>
          <w:szCs w:val="24"/>
          <w:shd w:val="clear" w:color="auto" w:fill="FFFFFF"/>
          <w:lang w:val="en-US" w:eastAsia="zh-CN"/>
        </w:rPr>
        <w:t>具体</w:t>
      </w:r>
      <w:r>
        <w:rPr>
          <w:rFonts w:hint="eastAsia" w:ascii="仿宋" w:hAnsi="仿宋" w:eastAsia="仿宋" w:cs="仿宋"/>
          <w:sz w:val="24"/>
          <w:szCs w:val="24"/>
          <w:shd w:val="clear" w:color="auto" w:fill="FFFFFF"/>
        </w:rPr>
        <w:t>项目运营范围</w:t>
      </w:r>
      <w:r>
        <w:rPr>
          <w:rFonts w:hint="eastAsia" w:ascii="仿宋" w:hAnsi="仿宋" w:eastAsia="仿宋" w:cs="仿宋"/>
          <w:sz w:val="24"/>
          <w:szCs w:val="24"/>
          <w:shd w:val="clear" w:color="auto" w:fill="FFFFFF"/>
          <w:lang w:val="en-US" w:eastAsia="zh-CN"/>
        </w:rPr>
        <w:t>的水域面积</w:t>
      </w:r>
    </w:p>
    <w:tbl>
      <w:tblPr>
        <w:tblStyle w:val="21"/>
        <w:tblW w:w="9678" w:type="dxa"/>
        <w:tblInd w:w="-179" w:type="dxa"/>
        <w:tblLayout w:type="fixed"/>
        <w:tblCellMar>
          <w:top w:w="0" w:type="dxa"/>
          <w:left w:w="108" w:type="dxa"/>
          <w:bottom w:w="0" w:type="dxa"/>
          <w:right w:w="108" w:type="dxa"/>
        </w:tblCellMar>
      </w:tblPr>
      <w:tblGrid>
        <w:gridCol w:w="982"/>
        <w:gridCol w:w="4891"/>
        <w:gridCol w:w="3805"/>
      </w:tblGrid>
      <w:tr w14:paraId="56D1CA0D">
        <w:tblPrEx>
          <w:tblCellMar>
            <w:top w:w="0" w:type="dxa"/>
            <w:left w:w="108" w:type="dxa"/>
            <w:bottom w:w="0" w:type="dxa"/>
            <w:right w:w="108" w:type="dxa"/>
          </w:tblCellMar>
        </w:tblPrEx>
        <w:trPr>
          <w:trHeight w:val="342"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03D99FD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序号</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597C5BDF">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工程名称</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2B639C0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水域面积（m2）</w:t>
            </w:r>
          </w:p>
        </w:tc>
      </w:tr>
      <w:tr w14:paraId="70F9FA25">
        <w:tblPrEx>
          <w:tblCellMar>
            <w:top w:w="0" w:type="dxa"/>
            <w:left w:w="108" w:type="dxa"/>
            <w:bottom w:w="0" w:type="dxa"/>
            <w:right w:w="108" w:type="dxa"/>
          </w:tblCellMar>
        </w:tblPrEx>
        <w:trPr>
          <w:trHeight w:val="388"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6DD0C174">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4B3B8443">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民族中学池塘</w:t>
            </w:r>
            <w:r>
              <w:rPr>
                <w:rFonts w:hint="eastAsia" w:ascii="仿宋" w:hAnsi="仿宋" w:eastAsia="仿宋" w:cs="仿宋"/>
                <w:sz w:val="24"/>
                <w:szCs w:val="24"/>
                <w:shd w:val="clear" w:color="auto" w:fill="FFFFFF"/>
              </w:rPr>
              <w:t>治理工程</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751460E8">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1800</w:t>
            </w:r>
          </w:p>
        </w:tc>
      </w:tr>
      <w:tr w14:paraId="06883646">
        <w:tblPrEx>
          <w:tblCellMar>
            <w:top w:w="0" w:type="dxa"/>
            <w:left w:w="108" w:type="dxa"/>
            <w:bottom w:w="0" w:type="dxa"/>
            <w:right w:w="108" w:type="dxa"/>
          </w:tblCellMar>
        </w:tblPrEx>
        <w:trPr>
          <w:trHeight w:val="342"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31378EB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14C5590C">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江北二桥头公园池塘</w:t>
            </w:r>
            <w:r>
              <w:rPr>
                <w:rFonts w:hint="eastAsia" w:ascii="仿宋" w:hAnsi="仿宋" w:eastAsia="仿宋" w:cs="仿宋"/>
                <w:sz w:val="24"/>
                <w:szCs w:val="24"/>
                <w:shd w:val="clear" w:color="auto" w:fill="FFFFFF"/>
              </w:rPr>
              <w:t>治理工程</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6CB865FA">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800</w:t>
            </w:r>
          </w:p>
        </w:tc>
      </w:tr>
      <w:tr w14:paraId="6057C366">
        <w:tblPrEx>
          <w:tblCellMar>
            <w:top w:w="0" w:type="dxa"/>
            <w:left w:w="108" w:type="dxa"/>
            <w:bottom w:w="0" w:type="dxa"/>
            <w:right w:w="108" w:type="dxa"/>
          </w:tblCellMar>
        </w:tblPrEx>
        <w:trPr>
          <w:trHeight w:val="342"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7EBC0C44">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536F9D6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西塘池塘</w:t>
            </w:r>
            <w:r>
              <w:rPr>
                <w:rFonts w:hint="eastAsia" w:ascii="仿宋" w:hAnsi="仿宋" w:eastAsia="仿宋" w:cs="仿宋"/>
                <w:sz w:val="24"/>
                <w:szCs w:val="24"/>
                <w:shd w:val="clear" w:color="auto" w:fill="FFFFFF"/>
              </w:rPr>
              <w:t>治理工程</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5B79D0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2600</w:t>
            </w:r>
          </w:p>
        </w:tc>
      </w:tr>
      <w:tr w14:paraId="1ECAD4E5">
        <w:tblPrEx>
          <w:tblCellMar>
            <w:top w:w="0" w:type="dxa"/>
            <w:left w:w="108" w:type="dxa"/>
            <w:bottom w:w="0" w:type="dxa"/>
            <w:right w:w="108" w:type="dxa"/>
          </w:tblCellMar>
        </w:tblPrEx>
        <w:trPr>
          <w:trHeight w:val="342"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0E9313B4">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6DDB999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烈士陵园对面2池塘</w:t>
            </w:r>
            <w:r>
              <w:rPr>
                <w:rFonts w:hint="eastAsia" w:ascii="仿宋" w:hAnsi="仿宋" w:eastAsia="仿宋" w:cs="仿宋"/>
                <w:sz w:val="24"/>
                <w:szCs w:val="24"/>
                <w:shd w:val="clear" w:color="auto" w:fill="FFFFFF"/>
              </w:rPr>
              <w:t>治理工程</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532DAAE7">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3800</w:t>
            </w:r>
          </w:p>
        </w:tc>
      </w:tr>
      <w:tr w14:paraId="184FBB18">
        <w:tblPrEx>
          <w:tblCellMar>
            <w:top w:w="0" w:type="dxa"/>
            <w:left w:w="108" w:type="dxa"/>
            <w:bottom w:w="0" w:type="dxa"/>
            <w:right w:w="108" w:type="dxa"/>
          </w:tblCellMar>
        </w:tblPrEx>
        <w:trPr>
          <w:trHeight w:val="192" w:hRule="atLeast"/>
        </w:trPr>
        <w:tc>
          <w:tcPr>
            <w:tcW w:w="982" w:type="dxa"/>
            <w:tcBorders>
              <w:top w:val="single" w:color="000000" w:sz="4" w:space="0"/>
              <w:left w:val="single" w:color="000000" w:sz="4" w:space="0"/>
              <w:bottom w:val="single" w:color="000000" w:sz="4" w:space="0"/>
              <w:right w:val="single" w:color="000000" w:sz="4" w:space="0"/>
            </w:tcBorders>
            <w:noWrap/>
            <w:vAlign w:val="top"/>
          </w:tcPr>
          <w:p w14:paraId="50D77EED">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w:t>
            </w:r>
          </w:p>
        </w:tc>
        <w:tc>
          <w:tcPr>
            <w:tcW w:w="4891" w:type="dxa"/>
            <w:tcBorders>
              <w:top w:val="single" w:color="000000" w:sz="4" w:space="0"/>
              <w:left w:val="single" w:color="000000" w:sz="4" w:space="0"/>
              <w:bottom w:val="single" w:color="000000" w:sz="4" w:space="0"/>
              <w:right w:val="single" w:color="000000" w:sz="4" w:space="0"/>
            </w:tcBorders>
            <w:noWrap/>
            <w:vAlign w:val="top"/>
          </w:tcPr>
          <w:p w14:paraId="3313E026">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lang w:eastAsia="zh-CN"/>
              </w:rPr>
              <w:t>党校池塘</w:t>
            </w:r>
            <w:r>
              <w:rPr>
                <w:rFonts w:hint="eastAsia" w:ascii="仿宋" w:hAnsi="仿宋" w:eastAsia="仿宋" w:cs="仿宋"/>
                <w:sz w:val="24"/>
                <w:szCs w:val="24"/>
                <w:shd w:val="clear" w:color="auto" w:fill="FFFFFF"/>
              </w:rPr>
              <w:t>治理工程</w:t>
            </w:r>
          </w:p>
        </w:tc>
        <w:tc>
          <w:tcPr>
            <w:tcW w:w="3805" w:type="dxa"/>
            <w:tcBorders>
              <w:top w:val="single" w:color="000000" w:sz="4" w:space="0"/>
              <w:left w:val="single" w:color="000000" w:sz="4" w:space="0"/>
              <w:bottom w:val="single" w:color="000000" w:sz="4" w:space="0"/>
              <w:right w:val="single" w:color="000000" w:sz="4" w:space="0"/>
            </w:tcBorders>
            <w:noWrap/>
            <w:vAlign w:val="top"/>
          </w:tcPr>
          <w:p w14:paraId="7534EBC0">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4100</w:t>
            </w:r>
          </w:p>
        </w:tc>
      </w:tr>
    </w:tbl>
    <w:p w14:paraId="6068B45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运营管理台账和档案管理工作</w:t>
      </w:r>
    </w:p>
    <w:p w14:paraId="09F3D161">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各台账和记录：包含进出水数据、用电、运行、药剂、厂（站）区各类设备运行和维护情况、在线数据、问题与整改记录、水质检测记录等，完成相关资料立卷及归档，并按管理要求移交或报送甲方或甲方指定的单位。</w:t>
      </w:r>
    </w:p>
    <w:p w14:paraId="53250FE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（2）设备巡察：按时巡察，及时发现问题，及时汇报，及时处理，确保设备正常运转，确保水质达标排放。</w:t>
      </w:r>
    </w:p>
    <w:p w14:paraId="1DB6924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（3）水质化验：按时按量对各处理工序的水质进行检测，对水质排放做到心中有数。</w:t>
      </w:r>
    </w:p>
    <w:p w14:paraId="21D4B55B">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项目管理工作</w:t>
      </w:r>
    </w:p>
    <w:p w14:paraId="012F1857">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（1）人员的培训：对所有操作及管理人员进行岗前培训，确保操作规范和安全生产。</w:t>
      </w:r>
    </w:p>
    <w:p w14:paraId="54A811C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（2）建立健全运行服务质量管理文件以及与其运维项目相适应的规章制度、工艺文件、作业指导书、设备操作规程等文件。</w:t>
      </w:r>
    </w:p>
    <w:p w14:paraId="75B6B5FF">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（3）迎检工作：时刻做好迎检准备，按相关法规要求开展合同服务工作。</w:t>
      </w:r>
    </w:p>
    <w:p w14:paraId="5B83785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（4）接受社会监督，对群众投诉、有关单位反映的问题应及时前往现场，核查问题原因并根据实际情况开展后续工作，做到有记录有答复。</w:t>
      </w:r>
    </w:p>
    <w:p w14:paraId="6427195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设备停运时的报备工作</w:t>
      </w:r>
    </w:p>
    <w:p w14:paraId="0C9F188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无特殊情况不得擅自停运污水处理设施。确因检修、停用等原因确需停运全部或者部分污水处理设施的，应当在十个工作日前将停运原因、相应应急处理措施等向</w:t>
      </w:r>
      <w:r>
        <w:rPr>
          <w:rFonts w:hint="eastAsia" w:ascii="仿宋" w:hAnsi="仿宋" w:eastAsia="仿宋" w:cs="仿宋"/>
          <w:color w:val="auto"/>
          <w:sz w:val="24"/>
          <w:szCs w:val="24"/>
          <w:highlight w:val="none"/>
          <w:shd w:val="clear" w:color="auto" w:fill="FFFFFF"/>
        </w:rPr>
        <w:t>乡镇</w:t>
      </w:r>
      <w:r>
        <w:rPr>
          <w:rFonts w:hint="eastAsia" w:ascii="仿宋" w:hAnsi="仿宋" w:eastAsia="仿宋" w:cs="仿宋"/>
          <w:color w:val="auto"/>
          <w:sz w:val="24"/>
          <w:szCs w:val="24"/>
          <w:highlight w:val="none"/>
          <w:shd w:val="clear" w:color="auto" w:fill="FFFFFF"/>
          <w:lang w:eastAsia="zh-CN"/>
        </w:rPr>
        <w:t>（街道）</w:t>
      </w:r>
      <w:r>
        <w:rPr>
          <w:rFonts w:hint="eastAsia" w:ascii="仿宋" w:hAnsi="仿宋" w:eastAsia="仿宋" w:cs="仿宋"/>
          <w:color w:val="auto"/>
          <w:sz w:val="24"/>
          <w:szCs w:val="24"/>
          <w:highlight w:val="none"/>
          <w:shd w:val="clear" w:color="auto" w:fill="FFFFFF"/>
        </w:rPr>
        <w:t>人民政府</w:t>
      </w:r>
      <w:r>
        <w:rPr>
          <w:rFonts w:hint="eastAsia" w:ascii="仿宋" w:hAnsi="仿宋" w:eastAsia="仿宋" w:cs="仿宋"/>
          <w:color w:val="auto"/>
          <w:sz w:val="24"/>
          <w:szCs w:val="24"/>
          <w:highlight w:val="none"/>
          <w:shd w:val="clear" w:color="auto" w:fill="FFFFFF"/>
          <w:lang w:eastAsia="zh-CN"/>
        </w:rPr>
        <w:t>（办事处）</w:t>
      </w:r>
      <w:r>
        <w:rPr>
          <w:rFonts w:hint="eastAsia" w:ascii="仿宋" w:hAnsi="仿宋" w:eastAsia="仿宋" w:cs="仿宋"/>
          <w:color w:val="auto"/>
          <w:sz w:val="24"/>
          <w:szCs w:val="24"/>
          <w:highlight w:val="none"/>
          <w:shd w:val="clear" w:color="auto" w:fill="FFFFFF"/>
        </w:rPr>
        <w:t>或者县（市、区）污水处理设施主管部门报告，并通知甲方及相关单位。</w:t>
      </w:r>
    </w:p>
    <w:p w14:paraId="5D40E8D0">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val="en-US" w:eastAsia="zh-CN"/>
        </w:rPr>
        <w:t>七</w:t>
      </w:r>
      <w:r>
        <w:rPr>
          <w:rFonts w:hint="eastAsia" w:ascii="仿宋" w:hAnsi="仿宋" w:eastAsia="仿宋" w:cs="仿宋"/>
          <w:b/>
          <w:bCs/>
          <w:color w:val="auto"/>
          <w:sz w:val="24"/>
          <w:szCs w:val="24"/>
          <w:highlight w:val="none"/>
          <w:shd w:val="clear" w:color="auto" w:fill="FFFFFF"/>
        </w:rPr>
        <w:t>、项目的运营管理考核</w:t>
      </w:r>
      <w:r>
        <w:rPr>
          <w:rFonts w:hint="eastAsia" w:ascii="仿宋" w:hAnsi="仿宋" w:eastAsia="仿宋" w:cs="仿宋"/>
          <w:b/>
          <w:bCs/>
          <w:color w:val="auto"/>
          <w:sz w:val="24"/>
          <w:szCs w:val="24"/>
          <w:highlight w:val="none"/>
          <w:shd w:val="clear" w:color="auto" w:fill="FFFFFF"/>
          <w:lang w:eastAsia="zh-CN"/>
        </w:rPr>
        <w:t>指标</w:t>
      </w:r>
    </w:p>
    <w:p w14:paraId="3E1FA19B">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运营年原则上不能出现中央环保督查通报及重大污染事故发生。如因主观因素包括但不限于偷排、漏排、倾倒或者处置有放射性的废物、含传染病病原体的废物、有毒物质或其他危险废物等导致的中央环保督查通报及重大污染事故，则该年运营费用为0，不进行运营考核;如因客观因素包括但不限于特大暴雨、洪水、污水倒灌、管道破裂等导致的中央环保督查通报及重大污染事故发生，不可抗力结束后，乙方负责恢复原状，正常运营维护，依据考核指标正常考核。</w:t>
      </w:r>
    </w:p>
    <w:p w14:paraId="0964E750">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lang w:val="en-US" w:eastAsia="zh-CN"/>
        </w:rPr>
        <w:t>2.</w:t>
      </w:r>
      <w:r>
        <w:rPr>
          <w:rFonts w:hint="eastAsia" w:ascii="仿宋" w:hAnsi="仿宋" w:eastAsia="仿宋" w:cs="仿宋"/>
          <w:color w:val="auto"/>
          <w:sz w:val="24"/>
          <w:szCs w:val="24"/>
          <w:highlight w:val="none"/>
          <w:shd w:val="clear" w:color="auto" w:fill="FFFFFF"/>
        </w:rPr>
        <w:t>如该运营年没有出现中央环保督查通报及重大污染事故</w:t>
      </w:r>
      <w:r>
        <w:rPr>
          <w:rFonts w:hint="eastAsia" w:ascii="仿宋" w:hAnsi="仿宋" w:eastAsia="仿宋" w:cs="仿宋"/>
          <w:color w:val="auto"/>
          <w:sz w:val="24"/>
          <w:szCs w:val="24"/>
          <w:highlight w:val="none"/>
          <w:shd w:val="clear" w:color="auto" w:fill="FFFFFF"/>
          <w:lang w:eastAsia="zh-CN"/>
        </w:rPr>
        <w:t>。</w:t>
      </w:r>
    </w:p>
    <w:p w14:paraId="4CF3C7EB">
      <w:pPr>
        <w:pageBreakBefore w:val="0"/>
        <w:wordWrap/>
        <w:overflowPunct/>
        <w:topLinePunct w:val="0"/>
        <w:bidi w:val="0"/>
        <w:spacing w:line="360" w:lineRule="auto"/>
        <w:ind w:left="0" w:leftChars="0" w:right="0" w:rightChars="0" w:firstLine="482" w:firstLineChars="200"/>
        <w:jc w:val="both"/>
        <w:outlineLvl w:val="2"/>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val="en-US" w:eastAsia="zh-CN"/>
        </w:rPr>
        <w:t>八</w:t>
      </w:r>
      <w:r>
        <w:rPr>
          <w:rFonts w:hint="eastAsia" w:ascii="仿宋" w:hAnsi="仿宋" w:eastAsia="仿宋" w:cs="仿宋"/>
          <w:b/>
          <w:bCs/>
          <w:color w:val="auto"/>
          <w:sz w:val="24"/>
          <w:szCs w:val="24"/>
          <w:highlight w:val="none"/>
          <w:shd w:val="clear" w:color="auto" w:fill="FFFFFF"/>
        </w:rPr>
        <w:t>、</w:t>
      </w:r>
      <w:r>
        <w:rPr>
          <w:rFonts w:hint="eastAsia" w:ascii="仿宋" w:hAnsi="仿宋" w:eastAsia="仿宋" w:cs="仿宋"/>
          <w:b/>
          <w:bCs/>
          <w:color w:val="auto"/>
          <w:sz w:val="24"/>
          <w:szCs w:val="24"/>
          <w:highlight w:val="none"/>
          <w:shd w:val="clear" w:color="auto" w:fill="FFFFFF"/>
          <w:lang w:eastAsia="zh-CN"/>
        </w:rPr>
        <w:t>运营情况绩效考核</w:t>
      </w:r>
    </w:p>
    <w:p w14:paraId="1A01147D">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1.乙方应在每年运营周期结束后5个工作日内将本周期的</w:t>
      </w:r>
      <w:r>
        <w:rPr>
          <w:rFonts w:hint="eastAsia" w:ascii="仿宋" w:hAnsi="仿宋" w:eastAsia="仿宋" w:cs="仿宋"/>
          <w:b w:val="0"/>
          <w:bCs w:val="0"/>
          <w:color w:val="auto"/>
          <w:sz w:val="24"/>
          <w:szCs w:val="24"/>
          <w:highlight w:val="none"/>
          <w:shd w:val="clear" w:color="auto" w:fill="FFFFFF"/>
          <w:lang w:val="en-US" w:eastAsia="zh-CN"/>
        </w:rPr>
        <w:t>本</w:t>
      </w:r>
      <w:r>
        <w:rPr>
          <w:rFonts w:hint="eastAsia" w:ascii="仿宋" w:hAnsi="仿宋" w:eastAsia="仿宋" w:cs="仿宋"/>
          <w:b w:val="0"/>
          <w:bCs w:val="0"/>
          <w:color w:val="auto"/>
          <w:sz w:val="24"/>
          <w:szCs w:val="24"/>
          <w:highlight w:val="none"/>
          <w:shd w:val="clear" w:color="auto" w:fill="FFFFFF"/>
        </w:rPr>
        <w:t>项目运营管理自评报告提交给甲方;甲方在接到乙方提交的报告后10天内组织相关人员进行运营情况绩效考核。绩效评价结果划分等级统一为:优(90-100分)，良(80-89分)，中(60-79分)，差(0-59分)四个等级。</w:t>
      </w:r>
    </w:p>
    <w:p w14:paraId="34418685">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2.甲方在运营期对乙方进行绩效考核，根据考核得分对应的比例支付运营维护费。详见下表:</w:t>
      </w:r>
    </w:p>
    <w:tbl>
      <w:tblPr>
        <w:tblStyle w:val="22"/>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1940"/>
        <w:gridCol w:w="3222"/>
      </w:tblGrid>
      <w:tr w14:paraId="366F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7F3E1EE">
            <w:pPr>
              <w:keepNext w:val="0"/>
              <w:keepLines w:val="0"/>
              <w:pageBreakBefore w:val="0"/>
              <w:widowControl w:val="0"/>
              <w:wordWrap/>
              <w:overflowPunct/>
              <w:topLinePunct w:val="0"/>
              <w:bidi w:val="0"/>
              <w:spacing w:line="360" w:lineRule="auto"/>
              <w:ind w:left="0" w:leftChars="0" w:right="0" w:rightChars="0" w:firstLine="482" w:firstLineChars="200"/>
              <w:jc w:val="both"/>
              <w:outlineLvl w:val="2"/>
              <w:rPr>
                <w:rFonts w:hint="eastAsia" w:ascii="仿宋" w:hAnsi="仿宋" w:eastAsia="仿宋" w:cs="仿宋"/>
                <w:b/>
                <w:bCs/>
                <w:color w:val="auto"/>
                <w:sz w:val="24"/>
                <w:szCs w:val="24"/>
                <w:highlight w:val="none"/>
                <w:shd w:val="clear" w:color="auto" w:fill="FFFFFF"/>
                <w:vertAlign w:val="baseline"/>
              </w:rPr>
            </w:pPr>
            <w:r>
              <w:rPr>
                <w:rFonts w:hint="eastAsia" w:ascii="仿宋" w:hAnsi="仿宋" w:eastAsia="仿宋" w:cs="仿宋"/>
                <w:b/>
                <w:bCs/>
                <w:color w:val="auto"/>
                <w:sz w:val="24"/>
                <w:szCs w:val="24"/>
                <w:highlight w:val="none"/>
                <w:shd w:val="clear" w:color="auto" w:fill="FFFFFF"/>
              </w:rPr>
              <w:t>考核得分</w:t>
            </w:r>
          </w:p>
        </w:tc>
        <w:tc>
          <w:tcPr>
            <w:tcW w:w="2130" w:type="dxa"/>
          </w:tcPr>
          <w:p w14:paraId="6E2F3628">
            <w:pPr>
              <w:keepNext w:val="0"/>
              <w:keepLines w:val="0"/>
              <w:pageBreakBefore w:val="0"/>
              <w:widowControl w:val="0"/>
              <w:wordWrap/>
              <w:overflowPunct/>
              <w:topLinePunct w:val="0"/>
              <w:bidi w:val="0"/>
              <w:spacing w:line="360" w:lineRule="auto"/>
              <w:ind w:left="0" w:leftChars="0" w:right="0" w:rightChars="0"/>
              <w:jc w:val="both"/>
              <w:outlineLvl w:val="2"/>
              <w:rPr>
                <w:rFonts w:hint="eastAsia" w:ascii="仿宋" w:hAnsi="仿宋" w:eastAsia="仿宋" w:cs="仿宋"/>
                <w:b/>
                <w:bCs/>
                <w:color w:val="auto"/>
                <w:sz w:val="24"/>
                <w:szCs w:val="24"/>
                <w:highlight w:val="none"/>
                <w:shd w:val="clear" w:color="auto" w:fill="FFFFFF"/>
                <w:vertAlign w:val="baseline"/>
                <w:lang w:eastAsia="zh-CN"/>
              </w:rPr>
            </w:pPr>
            <w:r>
              <w:rPr>
                <w:rFonts w:hint="eastAsia" w:ascii="仿宋" w:hAnsi="仿宋" w:eastAsia="仿宋" w:cs="仿宋"/>
                <w:b/>
                <w:bCs/>
                <w:color w:val="auto"/>
                <w:sz w:val="24"/>
                <w:szCs w:val="24"/>
                <w:highlight w:val="none"/>
                <w:shd w:val="clear" w:color="auto" w:fill="FFFFFF"/>
                <w:vertAlign w:val="baseline"/>
                <w:lang w:eastAsia="zh-CN"/>
              </w:rPr>
              <w:t>评价等级</w:t>
            </w:r>
          </w:p>
        </w:tc>
        <w:tc>
          <w:tcPr>
            <w:tcW w:w="1940" w:type="dxa"/>
          </w:tcPr>
          <w:p w14:paraId="4D6513FD">
            <w:pPr>
              <w:keepNext w:val="0"/>
              <w:keepLines w:val="0"/>
              <w:pageBreakBefore w:val="0"/>
              <w:widowControl w:val="0"/>
              <w:wordWrap/>
              <w:overflowPunct/>
              <w:topLinePunct w:val="0"/>
              <w:bidi w:val="0"/>
              <w:spacing w:line="360" w:lineRule="auto"/>
              <w:ind w:left="0" w:leftChars="0" w:right="0" w:rightChars="0"/>
              <w:jc w:val="both"/>
              <w:outlineLvl w:val="2"/>
              <w:rPr>
                <w:rFonts w:hint="eastAsia" w:ascii="仿宋" w:hAnsi="仿宋" w:eastAsia="仿宋" w:cs="仿宋"/>
                <w:b/>
                <w:bCs/>
                <w:color w:val="auto"/>
                <w:sz w:val="24"/>
                <w:szCs w:val="24"/>
                <w:highlight w:val="none"/>
                <w:shd w:val="clear" w:color="auto" w:fill="FFFFFF"/>
                <w:vertAlign w:val="baseline"/>
                <w:lang w:eastAsia="zh-CN"/>
              </w:rPr>
            </w:pPr>
            <w:r>
              <w:rPr>
                <w:rFonts w:hint="eastAsia" w:ascii="仿宋" w:hAnsi="仿宋" w:eastAsia="仿宋" w:cs="仿宋"/>
                <w:b/>
                <w:bCs/>
                <w:color w:val="auto"/>
                <w:sz w:val="24"/>
                <w:szCs w:val="24"/>
                <w:highlight w:val="none"/>
                <w:shd w:val="clear" w:color="auto" w:fill="FFFFFF"/>
                <w:vertAlign w:val="baseline"/>
                <w:lang w:eastAsia="zh-CN"/>
              </w:rPr>
              <w:t>支付比例（</w:t>
            </w:r>
            <w:r>
              <w:rPr>
                <w:rFonts w:hint="eastAsia" w:ascii="仿宋" w:hAnsi="仿宋" w:eastAsia="仿宋" w:cs="仿宋"/>
                <w:b/>
                <w:bCs/>
                <w:color w:val="auto"/>
                <w:sz w:val="24"/>
                <w:szCs w:val="24"/>
                <w:highlight w:val="none"/>
                <w:shd w:val="clear" w:color="auto" w:fill="FFFFFF"/>
                <w:vertAlign w:val="baseline"/>
                <w:lang w:val="en-US" w:eastAsia="zh-CN"/>
              </w:rPr>
              <w:t>%</w:t>
            </w:r>
            <w:r>
              <w:rPr>
                <w:rFonts w:hint="eastAsia" w:ascii="仿宋" w:hAnsi="仿宋" w:eastAsia="仿宋" w:cs="仿宋"/>
                <w:b/>
                <w:bCs/>
                <w:color w:val="auto"/>
                <w:sz w:val="24"/>
                <w:szCs w:val="24"/>
                <w:highlight w:val="none"/>
                <w:shd w:val="clear" w:color="auto" w:fill="FFFFFF"/>
                <w:vertAlign w:val="baseline"/>
                <w:lang w:eastAsia="zh-CN"/>
              </w:rPr>
              <w:t>）</w:t>
            </w:r>
          </w:p>
        </w:tc>
        <w:tc>
          <w:tcPr>
            <w:tcW w:w="3222" w:type="dxa"/>
          </w:tcPr>
          <w:p w14:paraId="48E72254">
            <w:pPr>
              <w:keepNext w:val="0"/>
              <w:keepLines w:val="0"/>
              <w:pageBreakBefore w:val="0"/>
              <w:widowControl w:val="0"/>
              <w:wordWrap/>
              <w:overflowPunct/>
              <w:topLinePunct w:val="0"/>
              <w:bidi w:val="0"/>
              <w:spacing w:line="360" w:lineRule="auto"/>
              <w:ind w:left="0" w:leftChars="0" w:right="0" w:rightChars="0"/>
              <w:jc w:val="both"/>
              <w:outlineLvl w:val="2"/>
              <w:rPr>
                <w:rFonts w:hint="eastAsia" w:ascii="仿宋" w:hAnsi="仿宋" w:eastAsia="仿宋" w:cs="仿宋"/>
                <w:b/>
                <w:bCs/>
                <w:color w:val="auto"/>
                <w:sz w:val="24"/>
                <w:szCs w:val="24"/>
                <w:highlight w:val="none"/>
                <w:shd w:val="clear" w:color="auto" w:fill="FFFFFF"/>
                <w:vertAlign w:val="baseline"/>
                <w:lang w:eastAsia="zh-CN"/>
              </w:rPr>
            </w:pPr>
            <w:r>
              <w:rPr>
                <w:rFonts w:hint="eastAsia" w:ascii="仿宋" w:hAnsi="仿宋" w:eastAsia="仿宋" w:cs="仿宋"/>
                <w:b/>
                <w:bCs/>
                <w:color w:val="auto"/>
                <w:sz w:val="24"/>
                <w:szCs w:val="24"/>
                <w:highlight w:val="none"/>
                <w:shd w:val="clear" w:color="auto" w:fill="FFFFFF"/>
                <w:vertAlign w:val="baseline"/>
                <w:lang w:eastAsia="zh-CN"/>
              </w:rPr>
              <w:t>备注</w:t>
            </w:r>
          </w:p>
        </w:tc>
      </w:tr>
      <w:tr w14:paraId="7092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02212BC">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val="en-US" w:eastAsia="zh-CN"/>
              </w:rPr>
            </w:pPr>
            <w:r>
              <w:rPr>
                <w:rFonts w:hint="eastAsia" w:ascii="仿宋" w:hAnsi="仿宋" w:eastAsia="仿宋" w:cs="仿宋"/>
                <w:b w:val="0"/>
                <w:bCs w:val="0"/>
                <w:color w:val="auto"/>
                <w:sz w:val="24"/>
                <w:szCs w:val="24"/>
                <w:highlight w:val="none"/>
                <w:shd w:val="clear" w:color="auto" w:fill="FFFFFF"/>
                <w:vertAlign w:val="baseline"/>
                <w:lang w:val="en-US" w:eastAsia="zh-CN"/>
              </w:rPr>
              <w:t>X≥90分</w:t>
            </w:r>
          </w:p>
        </w:tc>
        <w:tc>
          <w:tcPr>
            <w:tcW w:w="2130" w:type="dxa"/>
            <w:vAlign w:val="center"/>
          </w:tcPr>
          <w:p w14:paraId="5B8D0D36">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eastAsia="zh-CN"/>
              </w:rPr>
            </w:pPr>
            <w:r>
              <w:rPr>
                <w:rFonts w:hint="eastAsia" w:ascii="仿宋" w:hAnsi="仿宋" w:eastAsia="仿宋" w:cs="仿宋"/>
                <w:b w:val="0"/>
                <w:bCs w:val="0"/>
                <w:color w:val="auto"/>
                <w:sz w:val="24"/>
                <w:szCs w:val="24"/>
                <w:highlight w:val="none"/>
                <w:shd w:val="clear" w:color="auto" w:fill="FFFFFF"/>
                <w:vertAlign w:val="baseline"/>
                <w:lang w:eastAsia="zh-CN"/>
              </w:rPr>
              <w:t>优秀</w:t>
            </w:r>
          </w:p>
        </w:tc>
        <w:tc>
          <w:tcPr>
            <w:tcW w:w="1940" w:type="dxa"/>
            <w:vAlign w:val="center"/>
          </w:tcPr>
          <w:p w14:paraId="5C9DA227">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宋体" w:cs="仿宋"/>
                <w:b w:val="0"/>
                <w:bCs w:val="0"/>
                <w:color w:val="auto"/>
                <w:sz w:val="24"/>
                <w:szCs w:val="24"/>
                <w:highlight w:val="none"/>
                <w:shd w:val="clear" w:color="auto" w:fill="FFFFFF"/>
                <w:vertAlign w:val="baseline"/>
                <w:lang w:val="en-US" w:eastAsia="zh-CN"/>
              </w:rPr>
            </w:pPr>
            <w:r>
              <w:rPr>
                <w:rFonts w:hint="eastAsia" w:ascii="仿宋" w:hAnsi="仿宋" w:eastAsia="仿宋" w:cs="仿宋"/>
                <w:b w:val="0"/>
                <w:bCs w:val="0"/>
                <w:color w:val="auto"/>
                <w:sz w:val="24"/>
                <w:szCs w:val="24"/>
                <w:highlight w:val="none"/>
                <w:shd w:val="clear" w:color="auto" w:fill="FFFFFF"/>
                <w:vertAlign w:val="baseline"/>
                <w:lang w:val="en-US" w:eastAsia="zh-CN"/>
              </w:rPr>
              <w:t>100</w:t>
            </w:r>
            <w:r>
              <w:rPr>
                <w:rFonts w:hint="eastAsia" w:eastAsia="宋体"/>
                <w:lang w:val="en-US" w:eastAsia="zh-CN"/>
              </w:rPr>
              <w:t>%</w:t>
            </w:r>
          </w:p>
        </w:tc>
        <w:tc>
          <w:tcPr>
            <w:tcW w:w="3222" w:type="dxa"/>
            <w:vMerge w:val="restart"/>
          </w:tcPr>
          <w:p w14:paraId="4B115234">
            <w:pPr>
              <w:keepNext w:val="0"/>
              <w:keepLines w:val="0"/>
              <w:pageBreakBefore w:val="0"/>
              <w:widowControl w:val="0"/>
              <w:wordWrap/>
              <w:overflowPunct/>
              <w:topLinePunct w:val="0"/>
              <w:bidi w:val="0"/>
              <w:spacing w:line="360" w:lineRule="auto"/>
              <w:ind w:left="0" w:leftChars="0" w:right="0" w:rightChars="0" w:firstLine="485" w:firstLineChars="0"/>
              <w:jc w:val="both"/>
              <w:outlineLvl w:val="9"/>
              <w:rPr>
                <w:rFonts w:hint="eastAsia" w:ascii="仿宋" w:hAnsi="仿宋" w:eastAsia="仿宋" w:cs="仿宋"/>
                <w:b w:val="0"/>
                <w:bCs w:val="0"/>
                <w:color w:val="auto"/>
                <w:sz w:val="24"/>
                <w:szCs w:val="24"/>
                <w:highlight w:val="none"/>
                <w:shd w:val="clear" w:color="auto" w:fill="FFFFFF"/>
                <w:vertAlign w:val="baseline"/>
                <w:lang w:eastAsia="zh-CN"/>
              </w:rPr>
            </w:pPr>
          </w:p>
          <w:p w14:paraId="63558D85">
            <w:pPr>
              <w:keepNext w:val="0"/>
              <w:keepLines w:val="0"/>
              <w:pageBreakBefore w:val="0"/>
              <w:widowControl w:val="0"/>
              <w:wordWrap/>
              <w:overflowPunct/>
              <w:topLinePunct w:val="0"/>
              <w:bidi w:val="0"/>
              <w:spacing w:line="360" w:lineRule="auto"/>
              <w:ind w:left="0" w:leftChars="0" w:right="0" w:rightChars="0" w:firstLine="485" w:firstLineChars="0"/>
              <w:jc w:val="both"/>
              <w:outlineLvl w:val="2"/>
              <w:rPr>
                <w:rFonts w:hint="eastAsia" w:ascii="仿宋" w:hAnsi="仿宋" w:eastAsia="仿宋" w:cs="仿宋"/>
                <w:b w:val="0"/>
                <w:bCs w:val="0"/>
                <w:color w:val="auto"/>
                <w:sz w:val="24"/>
                <w:szCs w:val="24"/>
                <w:highlight w:val="none"/>
                <w:shd w:val="clear" w:color="auto" w:fill="FFFFFF"/>
                <w:vertAlign w:val="baseline"/>
                <w:lang w:eastAsia="zh-CN"/>
              </w:rPr>
            </w:pPr>
          </w:p>
        </w:tc>
      </w:tr>
      <w:tr w14:paraId="27CA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8E7E03F">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kern w:val="2"/>
                <w:sz w:val="24"/>
                <w:szCs w:val="24"/>
                <w:highlight w:val="none"/>
                <w:shd w:val="clear" w:color="auto" w:fill="FFFFFF"/>
                <w:vertAlign w:val="baseline"/>
                <w:lang w:val="en-US" w:eastAsia="zh-CN" w:bidi="ar-SA"/>
              </w:rPr>
            </w:pPr>
            <w:r>
              <w:rPr>
                <w:rFonts w:hint="eastAsia" w:ascii="仿宋" w:hAnsi="仿宋" w:eastAsia="仿宋" w:cs="仿宋"/>
                <w:b w:val="0"/>
                <w:bCs w:val="0"/>
                <w:color w:val="auto"/>
                <w:sz w:val="24"/>
                <w:szCs w:val="24"/>
                <w:highlight w:val="none"/>
                <w:shd w:val="clear" w:color="auto" w:fill="FFFFFF"/>
                <w:vertAlign w:val="baseline"/>
                <w:lang w:val="en-US" w:eastAsia="zh-CN"/>
              </w:rPr>
              <w:t>80分≤X＜90分</w:t>
            </w:r>
          </w:p>
        </w:tc>
        <w:tc>
          <w:tcPr>
            <w:tcW w:w="2130" w:type="dxa"/>
            <w:vAlign w:val="center"/>
          </w:tcPr>
          <w:p w14:paraId="48FDB413">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eastAsia="zh-CN"/>
              </w:rPr>
            </w:pPr>
            <w:r>
              <w:rPr>
                <w:rFonts w:hint="eastAsia" w:ascii="仿宋" w:hAnsi="仿宋" w:eastAsia="仿宋" w:cs="仿宋"/>
                <w:b w:val="0"/>
                <w:bCs w:val="0"/>
                <w:color w:val="auto"/>
                <w:sz w:val="24"/>
                <w:szCs w:val="24"/>
                <w:highlight w:val="none"/>
                <w:shd w:val="clear" w:color="auto" w:fill="FFFFFF"/>
                <w:vertAlign w:val="baseline"/>
                <w:lang w:eastAsia="zh-CN"/>
              </w:rPr>
              <w:t>良好</w:t>
            </w:r>
          </w:p>
        </w:tc>
        <w:tc>
          <w:tcPr>
            <w:tcW w:w="1940" w:type="dxa"/>
            <w:vAlign w:val="center"/>
          </w:tcPr>
          <w:p w14:paraId="787C8382">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val="en-US" w:eastAsia="zh-CN"/>
              </w:rPr>
            </w:pPr>
            <w:r>
              <w:rPr>
                <w:rFonts w:hint="eastAsia" w:ascii="仿宋" w:hAnsi="仿宋" w:eastAsia="仿宋" w:cs="仿宋"/>
                <w:b w:val="0"/>
                <w:bCs w:val="0"/>
                <w:color w:val="auto"/>
                <w:sz w:val="24"/>
                <w:szCs w:val="24"/>
                <w:highlight w:val="none"/>
                <w:shd w:val="clear" w:color="auto" w:fill="FFFFFF"/>
                <w:vertAlign w:val="baseline"/>
                <w:lang w:val="en-US" w:eastAsia="zh-CN"/>
              </w:rPr>
              <w:t>95%</w:t>
            </w:r>
          </w:p>
        </w:tc>
        <w:tc>
          <w:tcPr>
            <w:tcW w:w="3222" w:type="dxa"/>
            <w:vMerge w:val="continue"/>
          </w:tcPr>
          <w:p w14:paraId="33E3396D">
            <w:pPr>
              <w:keepNext w:val="0"/>
              <w:keepLines w:val="0"/>
              <w:pageBreakBefore w:val="0"/>
              <w:widowControl w:val="0"/>
              <w:wordWrap/>
              <w:overflowPunct/>
              <w:topLinePunct w:val="0"/>
              <w:bidi w:val="0"/>
              <w:spacing w:line="360" w:lineRule="auto"/>
              <w:ind w:left="0" w:leftChars="0" w:right="0" w:rightChars="0"/>
              <w:jc w:val="both"/>
              <w:outlineLvl w:val="9"/>
              <w:rPr>
                <w:rFonts w:hint="eastAsia" w:ascii="仿宋" w:hAnsi="仿宋" w:eastAsia="仿宋" w:cs="仿宋"/>
                <w:b w:val="0"/>
                <w:bCs w:val="0"/>
                <w:color w:val="auto"/>
                <w:sz w:val="24"/>
                <w:szCs w:val="24"/>
                <w:highlight w:val="none"/>
                <w:shd w:val="clear" w:color="auto" w:fill="FFFFFF"/>
                <w:vertAlign w:val="baseline"/>
              </w:rPr>
            </w:pPr>
          </w:p>
        </w:tc>
      </w:tr>
      <w:tr w14:paraId="5F32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A3B3E5F">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rPr>
            </w:pPr>
            <w:r>
              <w:rPr>
                <w:rFonts w:hint="eastAsia" w:ascii="仿宋" w:hAnsi="仿宋" w:eastAsia="仿宋" w:cs="仿宋"/>
                <w:b w:val="0"/>
                <w:bCs w:val="0"/>
                <w:color w:val="auto"/>
                <w:sz w:val="24"/>
                <w:szCs w:val="24"/>
                <w:highlight w:val="none"/>
                <w:shd w:val="clear" w:color="auto" w:fill="FFFFFF"/>
                <w:vertAlign w:val="baseline"/>
                <w:lang w:val="en-US" w:eastAsia="zh-CN"/>
              </w:rPr>
              <w:t>60分≤X＜80分</w:t>
            </w:r>
          </w:p>
        </w:tc>
        <w:tc>
          <w:tcPr>
            <w:tcW w:w="2130" w:type="dxa"/>
            <w:vAlign w:val="center"/>
          </w:tcPr>
          <w:p w14:paraId="1D30F0A3">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eastAsia="zh-CN"/>
              </w:rPr>
            </w:pPr>
            <w:r>
              <w:rPr>
                <w:rFonts w:hint="eastAsia" w:ascii="仿宋" w:hAnsi="仿宋" w:eastAsia="仿宋" w:cs="仿宋"/>
                <w:b w:val="0"/>
                <w:bCs w:val="0"/>
                <w:color w:val="auto"/>
                <w:sz w:val="24"/>
                <w:szCs w:val="24"/>
                <w:highlight w:val="none"/>
                <w:shd w:val="clear" w:color="auto" w:fill="FFFFFF"/>
                <w:vertAlign w:val="baseline"/>
                <w:lang w:eastAsia="zh-CN"/>
              </w:rPr>
              <w:t>合格</w:t>
            </w:r>
          </w:p>
        </w:tc>
        <w:tc>
          <w:tcPr>
            <w:tcW w:w="1940" w:type="dxa"/>
            <w:vAlign w:val="center"/>
          </w:tcPr>
          <w:p w14:paraId="4F4FB63C">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rPr>
            </w:pPr>
            <w:r>
              <w:rPr>
                <w:rFonts w:hint="eastAsia" w:ascii="仿宋" w:hAnsi="仿宋" w:eastAsia="仿宋" w:cs="仿宋"/>
                <w:b w:val="0"/>
                <w:bCs w:val="0"/>
                <w:color w:val="auto"/>
                <w:sz w:val="24"/>
                <w:szCs w:val="24"/>
                <w:highlight w:val="none"/>
                <w:shd w:val="clear" w:color="auto" w:fill="FFFFFF"/>
                <w:vertAlign w:val="baseline"/>
                <w:lang w:val="en-US" w:eastAsia="zh-CN"/>
              </w:rPr>
              <w:t>85%</w:t>
            </w:r>
          </w:p>
        </w:tc>
        <w:tc>
          <w:tcPr>
            <w:tcW w:w="3222" w:type="dxa"/>
            <w:vMerge w:val="continue"/>
          </w:tcPr>
          <w:p w14:paraId="195ACF89">
            <w:pPr>
              <w:keepNext w:val="0"/>
              <w:keepLines w:val="0"/>
              <w:pageBreakBefore w:val="0"/>
              <w:widowControl w:val="0"/>
              <w:wordWrap/>
              <w:overflowPunct/>
              <w:topLinePunct w:val="0"/>
              <w:bidi w:val="0"/>
              <w:spacing w:line="360" w:lineRule="auto"/>
              <w:ind w:left="0" w:leftChars="0" w:right="0" w:rightChars="0"/>
              <w:jc w:val="both"/>
              <w:outlineLvl w:val="9"/>
              <w:rPr>
                <w:rFonts w:hint="eastAsia" w:ascii="仿宋" w:hAnsi="仿宋" w:eastAsia="仿宋" w:cs="仿宋"/>
                <w:b w:val="0"/>
                <w:bCs w:val="0"/>
                <w:color w:val="auto"/>
                <w:sz w:val="24"/>
                <w:szCs w:val="24"/>
                <w:highlight w:val="none"/>
                <w:shd w:val="clear" w:color="auto" w:fill="FFFFFF"/>
                <w:vertAlign w:val="baseline"/>
              </w:rPr>
            </w:pPr>
          </w:p>
        </w:tc>
      </w:tr>
      <w:tr w14:paraId="00B4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E39F7D6">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rPr>
            </w:pPr>
            <w:r>
              <w:rPr>
                <w:rFonts w:hint="eastAsia" w:ascii="仿宋" w:hAnsi="仿宋" w:eastAsia="仿宋" w:cs="仿宋"/>
                <w:b w:val="0"/>
                <w:bCs w:val="0"/>
                <w:color w:val="auto"/>
                <w:sz w:val="24"/>
                <w:szCs w:val="24"/>
                <w:highlight w:val="none"/>
                <w:shd w:val="clear" w:color="auto" w:fill="FFFFFF"/>
                <w:vertAlign w:val="baseline"/>
                <w:lang w:val="en-US" w:eastAsia="zh-CN"/>
              </w:rPr>
              <w:t>X＜60分</w:t>
            </w:r>
          </w:p>
        </w:tc>
        <w:tc>
          <w:tcPr>
            <w:tcW w:w="2130" w:type="dxa"/>
            <w:vAlign w:val="center"/>
          </w:tcPr>
          <w:p w14:paraId="0F93475B">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eastAsia="zh-CN"/>
              </w:rPr>
            </w:pPr>
            <w:r>
              <w:rPr>
                <w:rFonts w:hint="eastAsia" w:ascii="仿宋" w:hAnsi="仿宋" w:eastAsia="仿宋" w:cs="仿宋"/>
                <w:b w:val="0"/>
                <w:bCs w:val="0"/>
                <w:color w:val="auto"/>
                <w:sz w:val="24"/>
                <w:szCs w:val="24"/>
                <w:highlight w:val="none"/>
                <w:shd w:val="clear" w:color="auto" w:fill="FFFFFF"/>
                <w:vertAlign w:val="baseline"/>
                <w:lang w:eastAsia="zh-CN"/>
              </w:rPr>
              <w:t>不合格</w:t>
            </w:r>
          </w:p>
        </w:tc>
        <w:tc>
          <w:tcPr>
            <w:tcW w:w="1940" w:type="dxa"/>
            <w:vAlign w:val="center"/>
          </w:tcPr>
          <w:p w14:paraId="634E410A">
            <w:pPr>
              <w:keepNext w:val="0"/>
              <w:keepLines w:val="0"/>
              <w:pageBreakBefore w:val="0"/>
              <w:widowControl w:val="0"/>
              <w:wordWrap/>
              <w:overflowPunct/>
              <w:topLinePunct w:val="0"/>
              <w:bidi w:val="0"/>
              <w:spacing w:line="360" w:lineRule="auto"/>
              <w:ind w:left="0" w:leftChars="0" w:right="0" w:rightChars="0"/>
              <w:jc w:val="center"/>
              <w:outlineLvl w:val="2"/>
              <w:rPr>
                <w:rFonts w:hint="eastAsia" w:ascii="仿宋" w:hAnsi="仿宋" w:eastAsia="仿宋" w:cs="仿宋"/>
                <w:b w:val="0"/>
                <w:bCs w:val="0"/>
                <w:color w:val="auto"/>
                <w:sz w:val="24"/>
                <w:szCs w:val="24"/>
                <w:highlight w:val="none"/>
                <w:shd w:val="clear" w:color="auto" w:fill="FFFFFF"/>
                <w:vertAlign w:val="baseline"/>
                <w:lang w:val="en-US" w:eastAsia="zh-CN"/>
              </w:rPr>
            </w:pPr>
            <w:r>
              <w:rPr>
                <w:rFonts w:hint="eastAsia" w:ascii="仿宋" w:hAnsi="仿宋" w:eastAsia="仿宋" w:cs="仿宋"/>
                <w:b w:val="0"/>
                <w:bCs w:val="0"/>
                <w:color w:val="auto"/>
                <w:sz w:val="24"/>
                <w:szCs w:val="24"/>
                <w:highlight w:val="none"/>
                <w:shd w:val="clear" w:color="auto" w:fill="FFFFFF"/>
                <w:vertAlign w:val="baseline"/>
                <w:lang w:val="en-US" w:eastAsia="zh-CN"/>
              </w:rPr>
              <w:t>0</w:t>
            </w:r>
          </w:p>
        </w:tc>
        <w:tc>
          <w:tcPr>
            <w:tcW w:w="3222" w:type="dxa"/>
          </w:tcPr>
          <w:p w14:paraId="29CB8B94">
            <w:pPr>
              <w:keepNext w:val="0"/>
              <w:keepLines w:val="0"/>
              <w:pageBreakBefore w:val="0"/>
              <w:widowControl w:val="0"/>
              <w:wordWrap/>
              <w:overflowPunct/>
              <w:topLinePunct w:val="0"/>
              <w:bidi w:val="0"/>
              <w:spacing w:line="360" w:lineRule="auto"/>
              <w:ind w:left="0" w:leftChars="0" w:right="0" w:rightChars="0"/>
              <w:jc w:val="both"/>
              <w:outlineLvl w:val="2"/>
              <w:rPr>
                <w:rFonts w:hint="eastAsia" w:ascii="仿宋" w:hAnsi="仿宋" w:eastAsia="仿宋" w:cs="仿宋"/>
                <w:b w:val="0"/>
                <w:bCs w:val="0"/>
                <w:color w:val="auto"/>
                <w:sz w:val="24"/>
                <w:szCs w:val="24"/>
                <w:highlight w:val="none"/>
                <w:shd w:val="clear" w:color="auto" w:fill="FFFFFF"/>
                <w:vertAlign w:val="baseline"/>
                <w:lang w:eastAsia="zh-CN"/>
              </w:rPr>
            </w:pPr>
            <w:r>
              <w:rPr>
                <w:rFonts w:hint="eastAsia" w:ascii="仿宋" w:hAnsi="仿宋" w:eastAsia="仿宋" w:cs="仿宋"/>
                <w:b w:val="0"/>
                <w:bCs w:val="0"/>
                <w:color w:val="auto"/>
                <w:sz w:val="24"/>
                <w:szCs w:val="24"/>
                <w:highlight w:val="none"/>
                <w:shd w:val="clear" w:color="auto" w:fill="FFFFFF"/>
                <w:vertAlign w:val="baseline"/>
                <w:lang w:eastAsia="zh-CN"/>
              </w:rPr>
              <w:t>整改至合格为止，连续两次不合格，将采取惩戒措施。</w:t>
            </w:r>
          </w:p>
        </w:tc>
      </w:tr>
    </w:tbl>
    <w:p w14:paraId="351EB83B">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得分≥60分以上的视为合格，乙方可以根据得分获得相应比例的运营维护费，得分&lt;60分的视为不合格的，乙方必须进行整改，直至合格为止，整改费用由乙方承担，甲方不予补贴。连续两次不合格，甲方有权终止合同，并停止支付运营维护费。</w:t>
      </w:r>
    </w:p>
    <w:p w14:paraId="1C22D3B7">
      <w:pPr>
        <w:pageBreakBefore w:val="0"/>
        <w:wordWrap/>
        <w:overflowPunct/>
        <w:topLinePunct w:val="0"/>
        <w:bidi w:val="0"/>
        <w:spacing w:line="360" w:lineRule="auto"/>
        <w:ind w:left="0" w:leftChars="0" w:right="0" w:rightChars="0" w:firstLine="482" w:firstLineChars="200"/>
        <w:jc w:val="both"/>
        <w:outlineLvl w:val="2"/>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lang w:val="en-US" w:eastAsia="zh-CN"/>
        </w:rPr>
        <w:t>九、</w:t>
      </w:r>
      <w:r>
        <w:rPr>
          <w:rFonts w:hint="eastAsia" w:ascii="仿宋" w:hAnsi="仿宋" w:eastAsia="仿宋" w:cs="仿宋"/>
          <w:b/>
          <w:bCs/>
          <w:color w:val="auto"/>
          <w:sz w:val="24"/>
          <w:szCs w:val="24"/>
          <w:highlight w:val="none"/>
          <w:shd w:val="clear" w:color="auto" w:fill="FFFFFF"/>
        </w:rPr>
        <w:t>运营维护要求</w:t>
      </w:r>
    </w:p>
    <w:p w14:paraId="3CD9AF24">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sz w:val="24"/>
          <w:szCs w:val="24"/>
        </w:rPr>
      </w:pPr>
      <w:r>
        <w:rPr>
          <w:rFonts w:hint="eastAsia" w:ascii="仿宋" w:hAnsi="仿宋" w:eastAsia="仿宋" w:cs="仿宋"/>
          <w:color w:val="auto"/>
          <w:sz w:val="24"/>
          <w:szCs w:val="24"/>
          <w:highlight w:val="none"/>
          <w:shd w:val="clear" w:color="auto" w:fill="FFFFFF"/>
        </w:rPr>
        <w:t>1</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水质标准：乙方应确保运营维护期间，水体水质达到国家及地方相关标准。</w:t>
      </w:r>
    </w:p>
    <w:p w14:paraId="0C056B30">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日常运营：乙方应负责水体的日常巡查、清洁、设备维护等工作。</w:t>
      </w:r>
    </w:p>
    <w:p w14:paraId="2BBDDBB4">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监测报告：乙方应定期（如每月/每季度）对水体进行水质监测，并向甲方提交监测报告。</w:t>
      </w:r>
    </w:p>
    <w:p w14:paraId="56F17685">
      <w:pPr>
        <w:pageBreakBefore w:val="0"/>
        <w:wordWrap/>
        <w:overflowPunct/>
        <w:topLinePunct w:val="0"/>
        <w:bidi w:val="0"/>
        <w:spacing w:line="360" w:lineRule="auto"/>
        <w:ind w:left="0" w:leftChars="0" w:right="0" w:rightChars="0" w:firstLine="480" w:firstLineChars="200"/>
        <w:jc w:val="both"/>
        <w:outlineLvl w:val="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应急处理：乙方应制定应急预案，以应对突发水污染事件或其他紧急情况。</w:t>
      </w:r>
    </w:p>
    <w:p w14:paraId="4A69B2C4">
      <w:pPr>
        <w:pageBreakBefore w:val="0"/>
        <w:wordWrap/>
        <w:overflowPunct/>
        <w:topLinePunct w:val="0"/>
        <w:bidi w:val="0"/>
        <w:spacing w:line="360" w:lineRule="auto"/>
        <w:ind w:left="0" w:leftChars="0" w:right="0" w:rightChars="0" w:firstLine="482" w:firstLineChars="200"/>
        <w:jc w:val="both"/>
        <w:outlineLvl w:val="2"/>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十、验收与评估</w:t>
      </w:r>
    </w:p>
    <w:p w14:paraId="528EDCA9">
      <w:pPr>
        <w:pStyle w:val="20"/>
        <w:pageBreakBefore w:val="0"/>
        <w:wordWrap/>
        <w:overflowPunct/>
        <w:topLinePunct w:val="0"/>
        <w:bidi w:val="0"/>
        <w:spacing w:after="0" w:line="360" w:lineRule="auto"/>
        <w:ind w:left="0" w:leftChars="0" w:right="0" w:rightChars="0" w:firstLine="48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执行本合同约定的水质标准和相关技术要求。</w:t>
      </w:r>
    </w:p>
    <w:p w14:paraId="4EA47564">
      <w:pPr>
        <w:pStyle w:val="20"/>
        <w:pageBreakBefore w:val="0"/>
        <w:wordWrap/>
        <w:overflowPunct/>
        <w:topLinePunct w:val="0"/>
        <w:bidi w:val="0"/>
        <w:spacing w:after="0" w:line="360" w:lineRule="auto"/>
        <w:ind w:left="0" w:leftChars="0" w:right="0" w:rightChars="0" w:firstLine="48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乙方完成阶段性工作或合同期满时，应向甲方提交考核申请。甲方应在收到通知后10个工作日内进行考核，逾期不开始考核的，乙方可视同考核验收合格。考核合格后由甲乙双方签署验收单并加盖采购人公章，甲 乙双方各执一份。</w:t>
      </w:r>
    </w:p>
    <w:p w14:paraId="58980B8E">
      <w:pPr>
        <w:pStyle w:val="20"/>
        <w:pageBreakBefore w:val="0"/>
        <w:wordWrap/>
        <w:overflowPunct/>
        <w:topLinePunct w:val="0"/>
        <w:bidi w:val="0"/>
        <w:spacing w:after="0" w:line="360" w:lineRule="auto"/>
        <w:ind w:left="0" w:leftChars="0" w:right="0" w:rightChars="0" w:firstLine="48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甲方有权定期对乙方的运营维护工作进行评估，乙方应予以配合</w:t>
      </w:r>
    </w:p>
    <w:p w14:paraId="468BEE07">
      <w:pPr>
        <w:pStyle w:val="9"/>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甲方验收时以书面形式提出异议的，乙方应自收到甲方书面异议后五个工作日内及时予以解决，否则甲方有权不出具服务验收合格单</w:t>
      </w:r>
    </w:p>
    <w:p w14:paraId="19FC766D">
      <w:pPr>
        <w:pStyle w:val="9"/>
        <w:pageBreakBefore w:val="0"/>
        <w:wordWrap/>
        <w:overflowPunct/>
        <w:topLinePunct w:val="0"/>
        <w:bidi w:val="0"/>
        <w:spacing w:line="360" w:lineRule="auto"/>
        <w:ind w:left="0" w:leftChars="0" w:right="0" w:rightChars="0" w:firstLine="42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shd w:val="clear" w:color="auto" w:fill="FFFFFF"/>
        </w:rPr>
        <w:t>十一、</w:t>
      </w:r>
      <w:r>
        <w:rPr>
          <w:rFonts w:hint="eastAsia" w:ascii="仿宋" w:hAnsi="仿宋" w:eastAsia="仿宋" w:cs="仿宋"/>
          <w:b/>
          <w:bCs/>
          <w:color w:val="auto"/>
          <w:sz w:val="24"/>
          <w:szCs w:val="24"/>
          <w:highlight w:val="none"/>
        </w:rPr>
        <w:t>不可抗力</w:t>
      </w:r>
    </w:p>
    <w:p w14:paraId="48C0184B">
      <w:pPr>
        <w:pStyle w:val="32"/>
        <w:keepNext w:val="0"/>
        <w:keepLines w:val="0"/>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iCs w:val="0"/>
          <w:caps w:val="0"/>
          <w:color w:val="auto"/>
          <w:spacing w:val="0"/>
          <w:sz w:val="24"/>
          <w:szCs w:val="24"/>
          <w:highlight w:val="none"/>
        </w:rPr>
        <w:t>在合同有效期内，任何一方因不可抗力事件导致不能履行合同，合同履行期可延长，延长期与不可抗力影响期相同。若因乙方管理疏忽导致的损失，由乙方全额承担</w:t>
      </w:r>
      <w:r>
        <w:rPr>
          <w:rFonts w:hint="eastAsia" w:ascii="仿宋" w:hAnsi="仿宋" w:eastAsia="仿宋" w:cs="仿宋"/>
          <w:color w:val="auto"/>
          <w:sz w:val="24"/>
          <w:szCs w:val="24"/>
          <w:highlight w:val="none"/>
        </w:rPr>
        <w:t>。</w:t>
      </w:r>
    </w:p>
    <w:p w14:paraId="0C9E7FAA">
      <w:pPr>
        <w:pStyle w:val="32"/>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不可抗力事件发生后，应立即通知对方，并寄送有关权威机构出具的证明。</w:t>
      </w:r>
    </w:p>
    <w:p w14:paraId="4D8EDEEF">
      <w:pPr>
        <w:pStyle w:val="32"/>
        <w:pageBreakBefore w:val="0"/>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不可抗力事件延续一百二十天以上，双方应通过友好协商，确定是否继续履行合同。</w:t>
      </w:r>
    </w:p>
    <w:p w14:paraId="7A1000A2">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十二、甲方违约</w:t>
      </w:r>
    </w:p>
    <w:p w14:paraId="59FDA3F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在合同履行过程中发生的下列情形，属于甲方违约。</w:t>
      </w:r>
    </w:p>
    <w:p w14:paraId="1EDFE4A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（1）因甲方原因未按合同约定办理移交手续超过30天。</w:t>
      </w:r>
    </w:p>
    <w:p w14:paraId="7C180E7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（2）甲方无故拖欠乙方服务费时间长达2个月以上的。</w:t>
      </w:r>
    </w:p>
    <w:p w14:paraId="2F79DF7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（3）甲方未能按照合同约定履行其他义务的。</w:t>
      </w:r>
    </w:p>
    <w:p w14:paraId="13062C5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甲方违约的责任</w:t>
      </w:r>
    </w:p>
    <w:p w14:paraId="5A217DE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甲方违反合同约定造成乙方损失，甲方应按合同金额5%向乙方支付违约金。</w:t>
      </w:r>
    </w:p>
    <w:p w14:paraId="2CA95151">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十三、乙方违约</w:t>
      </w:r>
    </w:p>
    <w:p w14:paraId="5C7AB19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在合同履行过程中发生的下列情形，属于乙方违约。</w:t>
      </w:r>
    </w:p>
    <w:p w14:paraId="28DF6159">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（1）乙方违反合同约定进行转包或违法分包的。</w:t>
      </w:r>
    </w:p>
    <w:p w14:paraId="061D4E87">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（2）因乙方原因导致处理设施功能性损坏或丧失的。</w:t>
      </w:r>
    </w:p>
    <w:p w14:paraId="666682E9">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（3）乙方明确表示或者以其行为表明不履行合同义务的。</w:t>
      </w:r>
    </w:p>
    <w:p w14:paraId="5E558D12">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（4）乙方未能按照合同约定履行合同服务内容的。</w:t>
      </w:r>
    </w:p>
    <w:p w14:paraId="1042CE1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（5）乙方不具备履约能力的。</w:t>
      </w:r>
    </w:p>
    <w:p w14:paraId="741ACCAC">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（6）因乙方原因出现重大环保事故的。</w:t>
      </w:r>
    </w:p>
    <w:p w14:paraId="6C9AF5A7">
      <w:pPr>
        <w:keepNext w:val="0"/>
        <w:keepLines w:val="0"/>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乙方违约的责任</w:t>
      </w:r>
    </w:p>
    <w:p w14:paraId="0731DE30">
      <w:pPr>
        <w:keepNext w:val="0"/>
        <w:keepLines w:val="0"/>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乙方应承担因其违约行为而产生的法律责任和费用，</w:t>
      </w:r>
      <w:bookmarkStart w:id="185" w:name="_Hlk142668642"/>
      <w:r>
        <w:rPr>
          <w:rFonts w:hint="eastAsia" w:ascii="仿宋" w:hAnsi="仿宋" w:eastAsia="仿宋" w:cs="仿宋"/>
          <w:color w:val="auto"/>
          <w:sz w:val="24"/>
          <w:szCs w:val="24"/>
          <w:highlight w:val="none"/>
          <w:shd w:val="clear" w:color="auto" w:fill="FFFFFF"/>
        </w:rPr>
        <w:t>乙方应按合同金额</w:t>
      </w:r>
      <w:r>
        <w:rPr>
          <w:rFonts w:hint="eastAsia" w:ascii="仿宋" w:hAnsi="仿宋" w:eastAsia="仿宋" w:cs="仿宋"/>
          <w:color w:val="auto"/>
          <w:sz w:val="24"/>
          <w:szCs w:val="24"/>
          <w:highlight w:val="none"/>
          <w:shd w:val="clear" w:color="auto" w:fill="FFFFFF"/>
          <w:lang w:val="en-US" w:eastAsia="zh-CN"/>
        </w:rPr>
        <w:t>10</w:t>
      </w:r>
      <w:r>
        <w:rPr>
          <w:rFonts w:hint="eastAsia" w:ascii="仿宋" w:hAnsi="仿宋" w:eastAsia="仿宋" w:cs="仿宋"/>
          <w:color w:val="auto"/>
          <w:sz w:val="24"/>
          <w:szCs w:val="24"/>
          <w:highlight w:val="none"/>
          <w:shd w:val="clear" w:color="auto" w:fill="FFFFFF"/>
        </w:rPr>
        <w:t>%向甲方支付违约金。</w:t>
      </w:r>
      <w:bookmarkEnd w:id="185"/>
    </w:p>
    <w:p w14:paraId="57C5BA90">
      <w:pPr>
        <w:keepNext w:val="0"/>
        <w:keepLines w:val="0"/>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lang w:val="en-US" w:eastAsia="zh-CN"/>
        </w:rPr>
        <w:t>若甲方要求乙方继续履行合同的，乙方必须无条件继续履行，直至合同期限届满或甲方同意终止。</w:t>
      </w:r>
    </w:p>
    <w:p w14:paraId="5BBE6288">
      <w:pPr>
        <w:keepNext w:val="0"/>
        <w:keepLines w:val="0"/>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因乙方违约解除合同</w:t>
      </w:r>
    </w:p>
    <w:p w14:paraId="2CC70902">
      <w:pPr>
        <w:keepNext w:val="0"/>
        <w:keepLines w:val="0"/>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除合同条款另有约定外，出现第十</w:t>
      </w:r>
      <w:r>
        <w:rPr>
          <w:rFonts w:hint="eastAsia" w:ascii="仿宋" w:hAnsi="仿宋" w:eastAsia="仿宋" w:cs="仿宋"/>
          <w:color w:val="auto"/>
          <w:sz w:val="24"/>
          <w:szCs w:val="24"/>
          <w:highlight w:val="none"/>
          <w:shd w:val="clear" w:color="auto" w:fill="FFFFFF"/>
          <w:lang w:val="en-US" w:eastAsia="zh-CN"/>
        </w:rPr>
        <w:t>三条第1项</w:t>
      </w:r>
      <w:r>
        <w:rPr>
          <w:rFonts w:hint="eastAsia" w:ascii="仿宋" w:hAnsi="仿宋" w:eastAsia="仿宋" w:cs="仿宋"/>
          <w:color w:val="auto"/>
          <w:sz w:val="24"/>
          <w:szCs w:val="24"/>
          <w:highlight w:val="none"/>
          <w:shd w:val="clear" w:color="auto" w:fill="FFFFFF"/>
        </w:rPr>
        <w:t>中〔乙方违约的情形〕约定的违约情况，或甲方发出整改通知后，乙方在指定的合理期限内仍不纠正违约行为并致使合同目的不能实现的，甲方有权解除合同。乙方擅自提前解除或终止服务时，应按合同金额20%向甲方支付违约金，并承担甲方临时安排第三方继续完成服务工作而产生的所有费用。</w:t>
      </w:r>
    </w:p>
    <w:p w14:paraId="111548C7">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因乙方违约解除合同后的</w:t>
      </w:r>
    </w:p>
    <w:p w14:paraId="19D2876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因乙方原因导致合同解除的，则合同当事人应在合同解除后28 天内完成估价、付款和清算，并按以下约定执行：</w:t>
      </w:r>
    </w:p>
    <w:p w14:paraId="417ECDF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trike/>
          <w:dstrike w:val="0"/>
          <w:sz w:val="24"/>
          <w:szCs w:val="24"/>
          <w:shd w:val="clear" w:color="auto" w:fill="FFFFFF"/>
        </w:rPr>
      </w:pPr>
      <w:r>
        <w:rPr>
          <w:rFonts w:hint="eastAsia" w:ascii="仿宋" w:hAnsi="仿宋" w:eastAsia="仿宋" w:cs="仿宋"/>
          <w:sz w:val="24"/>
          <w:szCs w:val="24"/>
          <w:shd w:val="clear" w:color="auto" w:fill="FFFFFF"/>
        </w:rPr>
        <w:t>（1）合同解除后，由甲方确定乙方实际完成运维工作对应的运维服务费用。</w:t>
      </w:r>
    </w:p>
    <w:p w14:paraId="57DA4C7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val="en-US" w:eastAsia="zh-CN"/>
        </w:rPr>
        <w:t>2</w:t>
      </w:r>
      <w:r>
        <w:rPr>
          <w:rFonts w:hint="eastAsia" w:ascii="仿宋" w:hAnsi="仿宋" w:eastAsia="仿宋" w:cs="仿宋"/>
          <w:sz w:val="24"/>
          <w:szCs w:val="24"/>
          <w:shd w:val="clear" w:color="auto" w:fill="FFFFFF"/>
        </w:rPr>
        <w:t>）合同解除后，乙方应支付因解除合同给甲方造成的损失。</w:t>
      </w:r>
    </w:p>
    <w:p w14:paraId="5F4BD783">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val="en-US" w:eastAsia="zh-CN"/>
        </w:rPr>
        <w:t>3</w:t>
      </w:r>
      <w:r>
        <w:rPr>
          <w:rFonts w:hint="eastAsia" w:ascii="仿宋" w:hAnsi="仿宋" w:eastAsia="仿宋" w:cs="仿宋"/>
          <w:sz w:val="24"/>
          <w:szCs w:val="24"/>
          <w:shd w:val="clear" w:color="auto" w:fill="FFFFFF"/>
        </w:rPr>
        <w:t>）合同解除后，乙方应按照甲方要求指示完成运维现场的清理和撤离。</w:t>
      </w:r>
    </w:p>
    <w:p w14:paraId="775FCF4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sz w:val="24"/>
          <w:szCs w:val="24"/>
          <w:shd w:val="clear" w:color="auto" w:fill="FFFFFF"/>
          <w:lang w:val="en-US" w:eastAsia="zh-CN"/>
        </w:rPr>
        <w:t>4</w:t>
      </w:r>
      <w:r>
        <w:rPr>
          <w:rFonts w:hint="eastAsia" w:ascii="仿宋" w:hAnsi="仿宋" w:eastAsia="仿宋" w:cs="仿宋"/>
          <w:sz w:val="24"/>
          <w:szCs w:val="24"/>
          <w:shd w:val="clear" w:color="auto" w:fill="FFFFFF"/>
        </w:rPr>
        <w:t>）甲方和乙方应在合同解除后进行清算，出具最终结清付款凭证，结清全部款项。</w:t>
      </w:r>
    </w:p>
    <w:p w14:paraId="673C68C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trike/>
          <w:dstrike w:val="0"/>
          <w:sz w:val="24"/>
          <w:szCs w:val="24"/>
        </w:rPr>
      </w:pPr>
      <w:r>
        <w:rPr>
          <w:rFonts w:hint="eastAsia" w:ascii="仿宋" w:hAnsi="仿宋" w:eastAsia="仿宋" w:cs="仿宋"/>
          <w:sz w:val="24"/>
          <w:szCs w:val="24"/>
        </w:rPr>
        <w:t>本项目对服务质量和效果、效率和持续性要求较高；因此乙方承诺在本项目服务期间，除不可抗力原因外，无论任何原因（除</w:t>
      </w:r>
      <w:r>
        <w:rPr>
          <w:rFonts w:hint="eastAsia" w:ascii="仿宋" w:hAnsi="仿宋" w:eastAsia="仿宋" w:cs="仿宋"/>
          <w:color w:val="auto"/>
          <w:sz w:val="24"/>
          <w:szCs w:val="24"/>
          <w:highlight w:val="none"/>
          <w:shd w:val="clear" w:color="auto" w:fill="FFFFFF"/>
        </w:rPr>
        <w:t>十</w:t>
      </w:r>
      <w:r>
        <w:rPr>
          <w:rFonts w:hint="eastAsia" w:ascii="仿宋" w:hAnsi="仿宋" w:eastAsia="仿宋" w:cs="仿宋"/>
          <w:color w:val="auto"/>
          <w:sz w:val="24"/>
          <w:szCs w:val="24"/>
          <w:highlight w:val="none"/>
          <w:shd w:val="clear" w:color="auto" w:fill="FFFFFF"/>
          <w:lang w:val="en-US" w:eastAsia="zh-CN"/>
        </w:rPr>
        <w:t>三条第1项</w:t>
      </w:r>
      <w:r>
        <w:rPr>
          <w:rFonts w:hint="eastAsia" w:ascii="仿宋" w:hAnsi="仿宋" w:eastAsia="仿宋" w:cs="仿宋"/>
          <w:sz w:val="24"/>
          <w:szCs w:val="24"/>
        </w:rPr>
        <w:t>第2点外），不能擅自终止项目服务工作。</w:t>
      </w:r>
    </w:p>
    <w:p w14:paraId="6E35B79B">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shd w:val="clear" w:color="auto" w:fill="FFFFFF"/>
        </w:rPr>
        <w:t>十四、其他</w:t>
      </w:r>
    </w:p>
    <w:p w14:paraId="6910CEA9">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江州区负责实施整治的黑臭水体及污水泵站运营期间的所有收益归甲方所有，乙方不得向其他主体另行收取费用。</w:t>
      </w:r>
    </w:p>
    <w:p w14:paraId="36D18BB8">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乙方提供的服务如果侵犯了第三方合法权益而引发的任何纠纷或诉讼，均由乙方负责交涉并承担全部责任。</w:t>
      </w:r>
    </w:p>
    <w:p w14:paraId="6966E892">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乙方签订合同后3个工作日内应安排技术人员进入厂区开展运营工作，提供技术指导等服务。</w:t>
      </w:r>
    </w:p>
    <w:p w14:paraId="4FDF8B04">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十五、合同到期</w:t>
      </w:r>
    </w:p>
    <w:p w14:paraId="0E9084A2">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合同到期结束或提前终止时，乙方应将本项目所有设备及附属配套（包括构筑物、机械设备、污水管网、厂区植物、检查井、配电设备、简介牌、标示牌、栏杆等）在撤场前须保持完好状态。如上述设备及附属配套撤场前未能保持完好状态，属乙方原因造成的，乙方根据实际整改并达到移交要求后，甲方应同意接收，该部分整改费用由乙方负责，如乙方拒绝整改，甲方有权自行安排第三方公司进行整改，整改费用从合同费用中扣除。上述完好状态不包括设备自然老化、磨损等。</w:t>
      </w:r>
    </w:p>
    <w:p w14:paraId="042A706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至双方约定的交还日期，仍存在乙方未完成整改的缺陷项目的，在项目如期交还后，缺陷项目由乙方继续进行整改或由甲方另行安排他人整改，所需费用由乙方承担。</w:t>
      </w:r>
    </w:p>
    <w:p w14:paraId="2EBD9366">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十六、不可抗力事件处理</w:t>
      </w:r>
    </w:p>
    <w:p w14:paraId="48C65465">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在合同有效期内，乙方因不可抗力事件导致不能履行合同，则合同履行期可延长，其延长期与不可抗力影响期相同。如因乙方管理疏忽造成的损失乙方全部负责。</w:t>
      </w:r>
    </w:p>
    <w:p w14:paraId="65DDB329">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sz w:val="24"/>
          <w:szCs w:val="24"/>
          <w:shd w:val="clear" w:color="auto" w:fill="FFFFFF"/>
        </w:rPr>
      </w:pPr>
      <w:r>
        <w:rPr>
          <w:rFonts w:hint="eastAsia" w:ascii="仿宋" w:hAnsi="仿宋" w:eastAsia="仿宋" w:cs="仿宋"/>
          <w:b/>
          <w:bCs/>
          <w:sz w:val="24"/>
          <w:szCs w:val="24"/>
          <w:shd w:val="clear" w:color="auto" w:fill="FFFFFF"/>
        </w:rPr>
        <w:t>十七、合同争议解决</w:t>
      </w:r>
    </w:p>
    <w:p w14:paraId="49C2F56A">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合同经甲乙双方法定代表人（负责人/自然人）或相应授权代表签字并加盖单位公章后生效。</w:t>
      </w:r>
    </w:p>
    <w:p w14:paraId="51A6A17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合同执行中涉及采购资金和采购内容修改或补充的，需经相关部门审批，并签订书面补充协议报相关部门备案，方可作为主合同不可分割的一部分。</w:t>
      </w:r>
    </w:p>
    <w:p w14:paraId="5BBDE90F">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w:t>
      </w:r>
      <w:r>
        <w:rPr>
          <w:rFonts w:hint="eastAsia" w:ascii="仿宋" w:hAnsi="仿宋" w:eastAsia="仿宋" w:cs="仿宋"/>
          <w:color w:val="auto"/>
          <w:sz w:val="24"/>
          <w:szCs w:val="24"/>
          <w:highlight w:val="none"/>
          <w:shd w:val="clear" w:color="auto" w:fill="FFFFFF"/>
          <w:lang w:val="en-US" w:eastAsia="zh-CN"/>
        </w:rPr>
        <w:t>.</w:t>
      </w:r>
      <w:r>
        <w:rPr>
          <w:rFonts w:hint="eastAsia" w:ascii="仿宋" w:hAnsi="仿宋" w:eastAsia="仿宋" w:cs="仿宋"/>
          <w:color w:val="auto"/>
          <w:sz w:val="24"/>
          <w:szCs w:val="24"/>
          <w:highlight w:val="none"/>
          <w:shd w:val="clear" w:color="auto" w:fill="FFFFFF"/>
        </w:rPr>
        <w:t>履行合同时发生纠纷，应友好协商解决；如协商不成的，任何一方可向</w:t>
      </w:r>
      <w:r>
        <w:rPr>
          <w:rFonts w:hint="eastAsia" w:ascii="仿宋" w:hAnsi="仿宋" w:eastAsia="仿宋" w:cs="仿宋"/>
          <w:color w:val="auto"/>
          <w:sz w:val="24"/>
          <w:szCs w:val="24"/>
          <w:highlight w:val="none"/>
          <w:shd w:val="clear" w:color="auto" w:fill="FFFFFF"/>
          <w:lang w:eastAsia="zh-CN"/>
        </w:rPr>
        <w:t>江州区人</w:t>
      </w:r>
      <w:r>
        <w:rPr>
          <w:rFonts w:hint="eastAsia" w:ascii="仿宋" w:hAnsi="仿宋" w:eastAsia="仿宋" w:cs="仿宋"/>
          <w:color w:val="auto"/>
          <w:sz w:val="24"/>
          <w:szCs w:val="24"/>
          <w:highlight w:val="none"/>
          <w:shd w:val="clear" w:color="auto" w:fill="FFFFFF"/>
        </w:rPr>
        <w:t>民法院起诉。</w:t>
      </w:r>
    </w:p>
    <w:p w14:paraId="3A1BDF7B">
      <w:pPr>
        <w:pageBreakBefore w:val="0"/>
        <w:widowControl/>
        <w:shd w:val="clear" w:color="auto" w:fill="FFFFFF"/>
        <w:wordWrap/>
        <w:overflowPunct/>
        <w:topLinePunct w:val="0"/>
        <w:bidi w:val="0"/>
        <w:spacing w:line="360" w:lineRule="auto"/>
        <w:ind w:left="0" w:leftChars="0" w:right="0" w:rightChars="0" w:firstLine="482" w:firstLineChars="200"/>
        <w:jc w:val="both"/>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十八、合同的变更、续签、终止与转让</w:t>
      </w:r>
    </w:p>
    <w:p w14:paraId="64EDA6B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shd w:val="clear" w:color="auto" w:fill="FFFFFF"/>
        </w:rPr>
        <w:t>1</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本合同一经签订，甲乙双方不得擅自变更合同内容。</w:t>
      </w:r>
    </w:p>
    <w:p w14:paraId="5132C05D">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合同续签：合同执行期间，乙方无违约情况，</w:t>
      </w:r>
      <w:r>
        <w:rPr>
          <w:rFonts w:hint="eastAsia" w:ascii="仿宋" w:hAnsi="仿宋" w:eastAsia="仿宋" w:cs="仿宋"/>
          <w:sz w:val="24"/>
          <w:szCs w:val="24"/>
          <w:shd w:val="clear" w:color="auto" w:fill="FFFFFF"/>
          <w:lang w:val="en-US" w:eastAsia="zh-CN"/>
        </w:rPr>
        <w:t>乙方如有意愿继续运维本项目，可在本合同终止日前30日内以书面形式向甲方提出续签申请。在甲方再次就本项目进行采购时，乙方在满足采购文件规定的基本条件下，享有与报价最低者进行价格跟进的优先续约权。</w:t>
      </w:r>
    </w:p>
    <w:p w14:paraId="7A04EB14">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乙方不得擅自转让其应履行的合同义务。</w:t>
      </w:r>
    </w:p>
    <w:p w14:paraId="4083CE26">
      <w:pPr>
        <w:pageBreakBefore w:val="0"/>
        <w:widowControl/>
        <w:shd w:val="clear" w:color="auto" w:fill="FFFFFF"/>
        <w:wordWrap/>
        <w:overflowPunct/>
        <w:topLinePunct w:val="0"/>
        <w:bidi w:val="0"/>
        <w:spacing w:line="360" w:lineRule="auto"/>
        <w:ind w:left="0" w:leftChars="0" w:right="0" w:rightChars="0" w:firstLine="480" w:firstLineChars="200"/>
        <w:jc w:val="both"/>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4</w:t>
      </w:r>
      <w:r>
        <w:rPr>
          <w:rFonts w:hint="eastAsia" w:ascii="仿宋" w:hAnsi="仿宋" w:eastAsia="仿宋" w:cs="仿宋"/>
          <w:sz w:val="24"/>
          <w:szCs w:val="24"/>
          <w:shd w:val="clear" w:color="auto" w:fill="FFFFFF"/>
          <w:lang w:val="en-US" w:eastAsia="zh-CN"/>
        </w:rPr>
        <w:t>.</w:t>
      </w:r>
      <w:r>
        <w:rPr>
          <w:rFonts w:hint="eastAsia" w:ascii="仿宋" w:hAnsi="仿宋" w:eastAsia="仿宋" w:cs="仿宋"/>
          <w:sz w:val="24"/>
          <w:szCs w:val="24"/>
          <w:shd w:val="clear" w:color="auto" w:fill="FFFFFF"/>
        </w:rPr>
        <w:t>本合同未尽事宜，双方可协商解决或另行签订补充协议，补充协议与本合同具有同等法律效力，为本合同不可分割的组成部分。</w:t>
      </w:r>
    </w:p>
    <w:p w14:paraId="2D12D5BD">
      <w:pPr>
        <w:keepNext w:val="0"/>
        <w:keepLines w:val="0"/>
        <w:pageBreakBefore w:val="0"/>
        <w:widowControl w:val="0"/>
        <w:kinsoku/>
        <w:wordWrap/>
        <w:overflowPunct/>
        <w:topLinePunct w:val="0"/>
        <w:autoSpaceDE/>
        <w:autoSpaceDN/>
        <w:bidi w:val="0"/>
        <w:adjustRightInd/>
        <w:snapToGrid/>
        <w:spacing w:line="360" w:lineRule="auto"/>
        <w:ind w:left="239" w:leftChars="114" w:firstLine="241" w:firstLineChars="1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b/>
          <w:snapToGrid/>
          <w:color w:val="auto"/>
          <w:kern w:val="2"/>
          <w:sz w:val="24"/>
          <w:szCs w:val="24"/>
          <w:highlight w:val="none"/>
          <w:lang w:eastAsia="zh-CN"/>
        </w:rPr>
        <w:t>第十</w:t>
      </w:r>
      <w:r>
        <w:rPr>
          <w:rFonts w:hint="eastAsia" w:ascii="仿宋" w:hAnsi="仿宋" w:eastAsia="仿宋" w:cs="仿宋"/>
          <w:b/>
          <w:snapToGrid/>
          <w:color w:val="auto"/>
          <w:kern w:val="2"/>
          <w:sz w:val="24"/>
          <w:szCs w:val="24"/>
          <w:highlight w:val="none"/>
          <w:lang w:val="en-US" w:eastAsia="zh-CN"/>
        </w:rPr>
        <w:t>九</w:t>
      </w:r>
      <w:r>
        <w:rPr>
          <w:rFonts w:hint="eastAsia" w:ascii="仿宋" w:hAnsi="仿宋" w:eastAsia="仿宋" w:cs="仿宋"/>
          <w:b/>
          <w:snapToGrid/>
          <w:color w:val="auto"/>
          <w:kern w:val="2"/>
          <w:sz w:val="24"/>
          <w:szCs w:val="24"/>
          <w:highlight w:val="none"/>
          <w:lang w:eastAsia="zh-CN"/>
        </w:rPr>
        <w:t>条　</w:t>
      </w:r>
      <w:r>
        <w:rPr>
          <w:rFonts w:hint="eastAsia" w:ascii="仿宋" w:hAnsi="仿宋" w:eastAsia="仿宋" w:cs="仿宋"/>
          <w:snapToGrid/>
          <w:color w:val="auto"/>
          <w:kern w:val="2"/>
          <w:sz w:val="24"/>
          <w:szCs w:val="24"/>
          <w:highlight w:val="none"/>
          <w:lang w:eastAsia="zh-CN"/>
        </w:rPr>
        <w:t>本合同一式</w:t>
      </w:r>
      <w:r>
        <w:rPr>
          <w:rFonts w:hint="eastAsia" w:ascii="仿宋" w:hAnsi="仿宋" w:eastAsia="仿宋" w:cs="仿宋"/>
          <w:snapToGrid/>
          <w:color w:val="auto"/>
          <w:kern w:val="2"/>
          <w:sz w:val="24"/>
          <w:szCs w:val="24"/>
          <w:highlight w:val="none"/>
          <w:u w:val="single"/>
          <w:lang w:val="en-US" w:eastAsia="zh-CN"/>
        </w:rPr>
        <w:t xml:space="preserve">   </w:t>
      </w:r>
      <w:r>
        <w:rPr>
          <w:rFonts w:hint="eastAsia" w:ascii="仿宋" w:hAnsi="仿宋" w:eastAsia="仿宋" w:cs="仿宋"/>
          <w:snapToGrid/>
          <w:color w:val="auto"/>
          <w:kern w:val="2"/>
          <w:sz w:val="24"/>
          <w:szCs w:val="24"/>
          <w:highlight w:val="none"/>
          <w:lang w:eastAsia="zh-CN"/>
        </w:rPr>
        <w:t>份，具有同等法律效力、采购代理机构各一份，甲乙双方各</w:t>
      </w:r>
      <w:r>
        <w:rPr>
          <w:rFonts w:hint="eastAsia" w:ascii="仿宋" w:hAnsi="仿宋" w:eastAsia="仿宋" w:cs="仿宋"/>
          <w:snapToGrid/>
          <w:color w:val="auto"/>
          <w:kern w:val="2"/>
          <w:sz w:val="24"/>
          <w:szCs w:val="24"/>
          <w:highlight w:val="none"/>
          <w:lang w:val="en-US" w:eastAsia="zh-CN"/>
        </w:rPr>
        <w:t xml:space="preserve"> </w:t>
      </w:r>
      <w:r>
        <w:rPr>
          <w:rFonts w:hint="eastAsia" w:ascii="仿宋" w:hAnsi="仿宋" w:eastAsia="仿宋" w:cs="仿宋"/>
          <w:snapToGrid/>
          <w:color w:val="auto"/>
          <w:kern w:val="2"/>
          <w:sz w:val="24"/>
          <w:szCs w:val="24"/>
          <w:highlight w:val="none"/>
          <w:lang w:eastAsia="zh-CN"/>
        </w:rPr>
        <w:t>份（可根据需要另增加）。</w:t>
      </w:r>
    </w:p>
    <w:p w14:paraId="234E71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本合同甲乙双方签字盖章后生效。</w:t>
      </w:r>
    </w:p>
    <w:p w14:paraId="7C44A4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本合同自签订之日起2个工作日内，甲方应当将采购合同在广西壮族自治区财政厅指定的媒体上公告。</w:t>
      </w:r>
    </w:p>
    <w:tbl>
      <w:tblPr>
        <w:tblStyle w:val="21"/>
        <w:tblpPr w:leftFromText="180" w:rightFromText="180" w:vertAnchor="text" w:horzAnchor="margin" w:tblpY="2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3"/>
      </w:tblGrid>
      <w:tr w14:paraId="4D1F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8"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50528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甲方：（章）</w:t>
            </w:r>
          </w:p>
          <w:p w14:paraId="4244BB9E">
            <w:pPr>
              <w:widowControl w:val="0"/>
              <w:kinsoku/>
              <w:autoSpaceDE/>
              <w:autoSpaceDN/>
              <w:adjustRightInd/>
              <w:snapToGrid w:val="0"/>
              <w:spacing w:line="360" w:lineRule="auto"/>
              <w:ind w:firstLine="1080" w:firstLineChars="450"/>
              <w:jc w:val="righ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A921261">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乙方：（章）       </w:t>
            </w:r>
          </w:p>
          <w:p w14:paraId="24A417E8">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       </w:t>
            </w:r>
          </w:p>
          <w:p w14:paraId="6638A5DD">
            <w:pPr>
              <w:widowControl w:val="0"/>
              <w:kinsoku/>
              <w:autoSpaceDE/>
              <w:autoSpaceDN/>
              <w:adjustRightInd/>
              <w:snapToGrid w:val="0"/>
              <w:spacing w:line="360" w:lineRule="auto"/>
              <w:jc w:val="righ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 年   月   日</w:t>
            </w:r>
          </w:p>
        </w:tc>
      </w:tr>
      <w:tr w14:paraId="6DE9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CED7C6D">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单位地址：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6B62D7A">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单位地址： </w:t>
            </w:r>
          </w:p>
        </w:tc>
      </w:tr>
      <w:tr w14:paraId="7338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5A71BB7">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5260CB2">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法定代表人：</w:t>
            </w:r>
          </w:p>
        </w:tc>
      </w:tr>
      <w:tr w14:paraId="1BF1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92F4493">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C32F616">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委托代理人：</w:t>
            </w:r>
          </w:p>
        </w:tc>
      </w:tr>
      <w:tr w14:paraId="41C3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BD69423">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3415275">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电话：</w:t>
            </w:r>
          </w:p>
        </w:tc>
      </w:tr>
      <w:tr w14:paraId="0F20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316E80C">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开户银行： </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DBA0CFA">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开户银行： </w:t>
            </w:r>
          </w:p>
        </w:tc>
      </w:tr>
      <w:tr w14:paraId="7160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379C1285">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B20FF70">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账号：</w:t>
            </w:r>
          </w:p>
        </w:tc>
      </w:tr>
      <w:tr w14:paraId="7E88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47A5E7D">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5CF6024">
            <w:pPr>
              <w:widowControl w:val="0"/>
              <w:kinsoku/>
              <w:autoSpaceDE/>
              <w:autoSpaceDN/>
              <w:adjustRightInd/>
              <w:snapToGrid w:val="0"/>
              <w:spacing w:line="36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邮政编码：</w:t>
            </w:r>
          </w:p>
        </w:tc>
      </w:tr>
    </w:tbl>
    <w:p w14:paraId="60279D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napToGrid/>
          <w:color w:val="auto"/>
          <w:kern w:val="2"/>
          <w:sz w:val="24"/>
          <w:szCs w:val="24"/>
          <w:highlight w:val="none"/>
          <w:lang w:eastAsia="zh-CN"/>
        </w:rPr>
      </w:pPr>
    </w:p>
    <w:p w14:paraId="6F20F531">
      <w:pPr>
        <w:widowControl/>
        <w:kinsoku/>
        <w:autoSpaceDE/>
        <w:autoSpaceDN/>
        <w:adjustRightInd/>
        <w:snapToGrid/>
        <w:spacing w:line="360" w:lineRule="auto"/>
        <w:jc w:val="left"/>
        <w:textAlignment w:val="auto"/>
        <w:rPr>
          <w:rFonts w:hint="eastAsia" w:ascii="仿宋" w:hAnsi="仿宋" w:eastAsia="仿宋" w:cs="仿宋"/>
          <w:snapToGrid/>
          <w:color w:val="auto"/>
          <w:kern w:val="2"/>
          <w:sz w:val="24"/>
          <w:szCs w:val="24"/>
          <w:highlight w:val="none"/>
          <w:lang w:eastAsia="zh-CN"/>
        </w:rPr>
      </w:pPr>
    </w:p>
    <w:sectPr>
      <w:pgSz w:w="11910" w:h="16830"/>
      <w:pgMar w:top="1440" w:right="1080" w:bottom="1440" w:left="1080" w:header="0" w:footer="92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EA3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53C01">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053C01">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BF0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0C37B">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00C37B">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0631">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9FC9">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AC9FC9">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AAF3">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7E40F">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57E40F">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60B4">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A6539">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8A6539">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B3A3F">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683F5">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81683F5">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CC071">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58BD6">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D58BD6">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1AF3">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8778D">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08778D">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E38CE">
    <w:pPr>
      <w:pStyle w:val="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61CBD"/>
    <w:multiLevelType w:val="singleLevel"/>
    <w:tmpl w:val="98461CBD"/>
    <w:lvl w:ilvl="0" w:tentative="0">
      <w:start w:val="1"/>
      <w:numFmt w:val="decimal"/>
      <w:pStyle w:val="5"/>
      <w:lvlText w:val="%1."/>
      <w:lvlJc w:val="left"/>
      <w:pPr>
        <w:tabs>
          <w:tab w:val="left" w:pos="360"/>
        </w:tabs>
        <w:ind w:left="360" w:hanging="360"/>
      </w:pPr>
    </w:lvl>
  </w:abstractNum>
  <w:abstractNum w:abstractNumId="1">
    <w:nsid w:val="EB05B845"/>
    <w:multiLevelType w:val="singleLevel"/>
    <w:tmpl w:val="EB05B845"/>
    <w:lvl w:ilvl="0" w:tentative="0">
      <w:start w:val="2"/>
      <w:numFmt w:val="decimal"/>
      <w:suff w:val="nothing"/>
      <w:lvlText w:val="（%1）"/>
      <w:lvlJc w:val="left"/>
    </w:lvl>
  </w:abstractNum>
  <w:abstractNum w:abstractNumId="2">
    <w:nsid w:val="1FFFC925"/>
    <w:multiLevelType w:val="singleLevel"/>
    <w:tmpl w:val="1FFFC925"/>
    <w:lvl w:ilvl="0" w:tentative="0">
      <w:start w:val="2"/>
      <w:numFmt w:val="decimal"/>
      <w:lvlText w:val="%1."/>
      <w:lvlJc w:val="left"/>
      <w:pPr>
        <w:tabs>
          <w:tab w:val="left" w:pos="312"/>
        </w:tabs>
        <w:ind w:left="42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NmI5ZGY0NGQ5OGEyODUzY2E3MWM2YjNkMTgwZWQ4MjkifQ=="/>
  </w:docVars>
  <w:rsids>
    <w:rsidRoot w:val="00000000"/>
    <w:rsid w:val="008B73C2"/>
    <w:rsid w:val="008D4EE8"/>
    <w:rsid w:val="00936276"/>
    <w:rsid w:val="01475100"/>
    <w:rsid w:val="01505F15"/>
    <w:rsid w:val="01F40F97"/>
    <w:rsid w:val="02054F52"/>
    <w:rsid w:val="026305F6"/>
    <w:rsid w:val="050A6EA2"/>
    <w:rsid w:val="08407A10"/>
    <w:rsid w:val="0A070FC3"/>
    <w:rsid w:val="0ACC485F"/>
    <w:rsid w:val="0C8D626F"/>
    <w:rsid w:val="0E326C3F"/>
    <w:rsid w:val="0F0E0560"/>
    <w:rsid w:val="0FB35FED"/>
    <w:rsid w:val="0FCA0507"/>
    <w:rsid w:val="0FE73EE9"/>
    <w:rsid w:val="104F21BA"/>
    <w:rsid w:val="10EA5A3E"/>
    <w:rsid w:val="11506EE9"/>
    <w:rsid w:val="11A55627"/>
    <w:rsid w:val="12AD35D5"/>
    <w:rsid w:val="1336140F"/>
    <w:rsid w:val="13E64BE3"/>
    <w:rsid w:val="13F7169A"/>
    <w:rsid w:val="14FB763A"/>
    <w:rsid w:val="156813DB"/>
    <w:rsid w:val="17BEB6E7"/>
    <w:rsid w:val="17E4768B"/>
    <w:rsid w:val="18493992"/>
    <w:rsid w:val="1A71776B"/>
    <w:rsid w:val="1B684130"/>
    <w:rsid w:val="1BC43A6F"/>
    <w:rsid w:val="1BD7059F"/>
    <w:rsid w:val="1C375FCC"/>
    <w:rsid w:val="1C470141"/>
    <w:rsid w:val="1CE65C54"/>
    <w:rsid w:val="1E0D7210"/>
    <w:rsid w:val="1EFB07B2"/>
    <w:rsid w:val="20FC3C98"/>
    <w:rsid w:val="223A6D13"/>
    <w:rsid w:val="22456F79"/>
    <w:rsid w:val="23BF0FAD"/>
    <w:rsid w:val="24286B52"/>
    <w:rsid w:val="24575689"/>
    <w:rsid w:val="253432D4"/>
    <w:rsid w:val="26DE174A"/>
    <w:rsid w:val="26DE5BEE"/>
    <w:rsid w:val="26EB5D00"/>
    <w:rsid w:val="27357FE7"/>
    <w:rsid w:val="277327DA"/>
    <w:rsid w:val="27C76682"/>
    <w:rsid w:val="28794165"/>
    <w:rsid w:val="287C498E"/>
    <w:rsid w:val="2AF7102C"/>
    <w:rsid w:val="2C1005F7"/>
    <w:rsid w:val="2C5E1941"/>
    <w:rsid w:val="2CCD64E8"/>
    <w:rsid w:val="2D8868B3"/>
    <w:rsid w:val="2E13617D"/>
    <w:rsid w:val="2F5359ED"/>
    <w:rsid w:val="2FB219C5"/>
    <w:rsid w:val="307B2670"/>
    <w:rsid w:val="30B22424"/>
    <w:rsid w:val="32220B4F"/>
    <w:rsid w:val="32BA2316"/>
    <w:rsid w:val="352B4695"/>
    <w:rsid w:val="3567472C"/>
    <w:rsid w:val="367744E1"/>
    <w:rsid w:val="36C21BE7"/>
    <w:rsid w:val="36E20DE2"/>
    <w:rsid w:val="370276D6"/>
    <w:rsid w:val="37B7401D"/>
    <w:rsid w:val="37C91FA2"/>
    <w:rsid w:val="38777184"/>
    <w:rsid w:val="3A9643BE"/>
    <w:rsid w:val="3B181276"/>
    <w:rsid w:val="3B577589"/>
    <w:rsid w:val="3BDD7DCA"/>
    <w:rsid w:val="3C1D7108"/>
    <w:rsid w:val="3D2A2933"/>
    <w:rsid w:val="3E960AF3"/>
    <w:rsid w:val="3E9A01F4"/>
    <w:rsid w:val="3EA352FB"/>
    <w:rsid w:val="3EC7320B"/>
    <w:rsid w:val="3F2301EA"/>
    <w:rsid w:val="3F520ACF"/>
    <w:rsid w:val="4097091A"/>
    <w:rsid w:val="40EA022E"/>
    <w:rsid w:val="413B0E4D"/>
    <w:rsid w:val="414D154E"/>
    <w:rsid w:val="421F5007"/>
    <w:rsid w:val="45132EF1"/>
    <w:rsid w:val="45796DB6"/>
    <w:rsid w:val="45F20916"/>
    <w:rsid w:val="48496F13"/>
    <w:rsid w:val="4A197D7C"/>
    <w:rsid w:val="4B0D42D4"/>
    <w:rsid w:val="4B5F6A4E"/>
    <w:rsid w:val="4C1930A0"/>
    <w:rsid w:val="4C1B441C"/>
    <w:rsid w:val="4C5C44C0"/>
    <w:rsid w:val="4CA35CD4"/>
    <w:rsid w:val="4DAA3230"/>
    <w:rsid w:val="4EAD0E27"/>
    <w:rsid w:val="4EC4765E"/>
    <w:rsid w:val="4ED45D3F"/>
    <w:rsid w:val="4FBF21ED"/>
    <w:rsid w:val="50CB6599"/>
    <w:rsid w:val="51025EB1"/>
    <w:rsid w:val="51183927"/>
    <w:rsid w:val="51A46F68"/>
    <w:rsid w:val="52C85940"/>
    <w:rsid w:val="54EB1352"/>
    <w:rsid w:val="55186EDD"/>
    <w:rsid w:val="556F3961"/>
    <w:rsid w:val="55C95832"/>
    <w:rsid w:val="56A75EA3"/>
    <w:rsid w:val="57803FD4"/>
    <w:rsid w:val="57905034"/>
    <w:rsid w:val="57C93BCD"/>
    <w:rsid w:val="581666E6"/>
    <w:rsid w:val="5856124E"/>
    <w:rsid w:val="586B6A32"/>
    <w:rsid w:val="5B370E4D"/>
    <w:rsid w:val="5C490CD0"/>
    <w:rsid w:val="5C891B7C"/>
    <w:rsid w:val="5CAE2661"/>
    <w:rsid w:val="5D3A5EE6"/>
    <w:rsid w:val="5EAB4A37"/>
    <w:rsid w:val="60224158"/>
    <w:rsid w:val="60326087"/>
    <w:rsid w:val="62BE1E54"/>
    <w:rsid w:val="649B41FB"/>
    <w:rsid w:val="649D4417"/>
    <w:rsid w:val="65D11E9E"/>
    <w:rsid w:val="67C43A69"/>
    <w:rsid w:val="68603225"/>
    <w:rsid w:val="68CF3BE2"/>
    <w:rsid w:val="69993B3C"/>
    <w:rsid w:val="699A7177"/>
    <w:rsid w:val="69AC1035"/>
    <w:rsid w:val="6A837C0B"/>
    <w:rsid w:val="6AA701F3"/>
    <w:rsid w:val="6ACA531D"/>
    <w:rsid w:val="6AF1726A"/>
    <w:rsid w:val="6B7B2C59"/>
    <w:rsid w:val="6DCC786D"/>
    <w:rsid w:val="6DFB0AFA"/>
    <w:rsid w:val="6F3B14D6"/>
    <w:rsid w:val="6F637F10"/>
    <w:rsid w:val="70342F1D"/>
    <w:rsid w:val="71186863"/>
    <w:rsid w:val="711F32B7"/>
    <w:rsid w:val="720225E3"/>
    <w:rsid w:val="72C15774"/>
    <w:rsid w:val="73D4376A"/>
    <w:rsid w:val="73D5184B"/>
    <w:rsid w:val="74A013B9"/>
    <w:rsid w:val="7671169E"/>
    <w:rsid w:val="76AD7DBE"/>
    <w:rsid w:val="76BF505A"/>
    <w:rsid w:val="7872306D"/>
    <w:rsid w:val="796E5F2A"/>
    <w:rsid w:val="7A8D5F6F"/>
    <w:rsid w:val="7D5E73DF"/>
    <w:rsid w:val="7DE247F1"/>
    <w:rsid w:val="7DE70059"/>
    <w:rsid w:val="7EF7251E"/>
    <w:rsid w:val="7F1C1F84"/>
    <w:rsid w:val="7F243128"/>
    <w:rsid w:val="7FEFB580"/>
    <w:rsid w:val="E9FE2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9"/>
    <w:pPr>
      <w:keepNext/>
      <w:keepLines/>
      <w:spacing w:before="260" w:after="260" w:line="415" w:lineRule="auto"/>
      <w:ind w:firstLine="0" w:firstLineChars="0"/>
      <w:outlineLvl w:val="1"/>
    </w:pPr>
    <w:rPr>
      <w:rFonts w:asciiTheme="majorHAnsi" w:hAnsiTheme="majorHAnsi" w:eastAsiaTheme="majorEastAsia" w:cstheme="majorBidi"/>
      <w:b/>
      <w:bCs/>
      <w:szCs w:val="32"/>
    </w:rPr>
  </w:style>
  <w:style w:type="paragraph" w:styleId="3">
    <w:name w:val="heading 3"/>
    <w:basedOn w:val="1"/>
    <w:next w:val="1"/>
    <w:autoRedefine/>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5">
    <w:name w:val="List Number"/>
    <w:basedOn w:val="1"/>
    <w:qFormat/>
    <w:uiPriority w:val="0"/>
    <w:pPr>
      <w:numPr>
        <w:ilvl w:val="0"/>
        <w:numId w:val="1"/>
      </w:numPr>
    </w:pPr>
  </w:style>
  <w:style w:type="paragraph" w:styleId="6">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8">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9">
    <w:name w:val="Body Text"/>
    <w:basedOn w:val="1"/>
    <w:autoRedefine/>
    <w:semiHidden/>
    <w:qFormat/>
    <w:uiPriority w:val="0"/>
    <w:rPr>
      <w:rFonts w:ascii="Arial" w:hAnsi="Arial" w:eastAsia="Arial" w:cs="Arial"/>
      <w:sz w:val="21"/>
      <w:szCs w:val="21"/>
      <w:lang w:val="en-US" w:eastAsia="en-US" w:bidi="ar-SA"/>
    </w:rPr>
  </w:style>
  <w:style w:type="paragraph" w:styleId="10">
    <w:name w:val="Body Text Indent"/>
    <w:basedOn w:val="1"/>
    <w:qFormat/>
    <w:uiPriority w:val="0"/>
    <w:pPr>
      <w:widowControl w:val="0"/>
      <w:ind w:firstLine="830" w:firstLineChars="352"/>
      <w:jc w:val="both"/>
    </w:pPr>
    <w:rPr>
      <w:rFonts w:ascii="仿宋_GB2312" w:hAnsi="Times New Roman" w:eastAsia="仿宋_GB2312" w:cs="Times New Roman"/>
      <w:kern w:val="0"/>
      <w:sz w:val="32"/>
      <w:szCs w:val="20"/>
      <w:lang w:val="en-US" w:eastAsia="zh-CN" w:bidi="ar-SA"/>
    </w:rPr>
  </w:style>
  <w:style w:type="paragraph" w:styleId="11">
    <w:name w:val="List 2"/>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12">
    <w:name w:val="toc 3"/>
    <w:basedOn w:val="1"/>
    <w:next w:val="1"/>
    <w:autoRedefine/>
    <w:qFormat/>
    <w:uiPriority w:val="0"/>
    <w:pPr>
      <w:ind w:left="840" w:leftChars="400"/>
    </w:pPr>
  </w:style>
  <w:style w:type="paragraph" w:styleId="13">
    <w:name w:val="Plain Text"/>
    <w:basedOn w:val="1"/>
    <w:next w:val="4"/>
    <w:qFormat/>
    <w:uiPriority w:val="0"/>
    <w:pPr>
      <w:widowControl w:val="0"/>
      <w:jc w:val="both"/>
    </w:pPr>
    <w:rPr>
      <w:rFonts w:ascii="宋体" w:hAnsi="Courier New" w:eastAsia="宋体" w:cs="Times New Roman"/>
      <w:kern w:val="0"/>
      <w:sz w:val="20"/>
      <w:szCs w:val="21"/>
      <w:lang w:val="en-US" w:eastAsia="zh-CN" w:bidi="ar-SA"/>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val="0"/>
      <w:jc w:val="both"/>
    </w:pPr>
    <w:rPr>
      <w:rFonts w:ascii="Calibri" w:hAnsi="Calibri" w:eastAsia="宋体" w:cs="Times New Roman"/>
      <w:kern w:val="0"/>
      <w:sz w:val="24"/>
      <w:szCs w:val="24"/>
      <w:lang w:val="en-US" w:eastAsia="zh-CN" w:bidi="ar-SA"/>
    </w:rPr>
  </w:style>
  <w:style w:type="paragraph" w:styleId="19">
    <w:name w:val="Title"/>
    <w:next w:val="1"/>
    <w:autoRedefine/>
    <w:qFormat/>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styleId="20">
    <w:name w:val="Body Text First Indent 2"/>
    <w:basedOn w:val="10"/>
    <w:unhideWhenUsed/>
    <w:qFormat/>
    <w:uiPriority w:val="99"/>
    <w:pPr>
      <w:spacing w:after="120"/>
      <w:ind w:left="420" w:leftChars="200" w:firstLine="420" w:firstLineChars="200"/>
    </w:pPr>
    <w:rPr>
      <w:rFonts w:ascii="Times New Roman" w:eastAsia="宋体"/>
      <w:kern w:val="2"/>
      <w:sz w:val="21"/>
      <w:szCs w:val="24"/>
      <w:lang w:val="en-US" w:eastAsia="zh-CN"/>
    </w:r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rPr>
  </w:style>
  <w:style w:type="character" w:styleId="25">
    <w:name w:val="Emphasis"/>
    <w:autoRedefine/>
    <w:qFormat/>
    <w:uiPriority w:val="0"/>
    <w:rPr>
      <w:i/>
    </w:rPr>
  </w:style>
  <w:style w:type="paragraph" w:customStyle="1" w:styleId="26">
    <w:name w:val="样式 行距: 1.5 倍行距 首行缩进:  2 字符"/>
    <w:qFormat/>
    <w:uiPriority w:val="0"/>
    <w:pPr>
      <w:widowControl w:val="0"/>
      <w:adjustRightInd w:val="0"/>
      <w:snapToGrid w:val="0"/>
      <w:spacing w:line="460" w:lineRule="exact"/>
      <w:jc w:val="both"/>
    </w:pPr>
    <w:rPr>
      <w:rFonts w:ascii="Times New Roman" w:hAnsi="Times New Roman" w:eastAsia="宋体" w:cs="Times New Roman"/>
      <w:kern w:val="2"/>
      <w:sz w:val="24"/>
      <w:szCs w:val="24"/>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autoRedefine/>
    <w:semiHidden/>
    <w:qFormat/>
    <w:uiPriority w:val="0"/>
    <w:rPr>
      <w:rFonts w:ascii="宋体" w:hAnsi="宋体" w:eastAsia="宋体" w:cs="宋体"/>
      <w:sz w:val="22"/>
      <w:szCs w:val="22"/>
      <w:lang w:val="en-US" w:eastAsia="en-US" w:bidi="ar-SA"/>
    </w:rPr>
  </w:style>
  <w:style w:type="paragraph" w:customStyle="1" w:styleId="29">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0">
    <w:name w:val="纯文本1"/>
    <w:basedOn w:val="1"/>
    <w:next w:val="1"/>
    <w:qFormat/>
    <w:uiPriority w:val="1650"/>
    <w:rPr>
      <w:rFonts w:ascii="宋体" w:hAnsi="宋体" w:cs="Courier New"/>
      <w:kern w:val="0"/>
      <w:sz w:val="20"/>
      <w:szCs w:val="21"/>
    </w:rPr>
  </w:style>
  <w:style w:type="table" w:customStyle="1" w:styleId="31">
    <w:name w:val="Table Normal_0"/>
    <w:autoRedefine/>
    <w:semiHidden/>
    <w:unhideWhenUsed/>
    <w:qFormat/>
    <w:uiPriority w:val="0"/>
    <w:tblPr>
      <w:tblCellMar>
        <w:top w:w="0" w:type="dxa"/>
        <w:left w:w="0" w:type="dxa"/>
        <w:bottom w:w="0" w:type="dxa"/>
        <w:right w:w="0" w:type="dxa"/>
      </w:tblCellMar>
    </w:tbl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90</Pages>
  <Words>19185</Words>
  <Characters>21194</Characters>
  <Lines>1</Lines>
  <Paragraphs>1</Paragraphs>
  <TotalTime>11</TotalTime>
  <ScaleCrop>false</ScaleCrop>
  <LinksUpToDate>false</LinksUpToDate>
  <CharactersWithSpaces>21465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2026-02-02T11:34:00Z</dcterms:created>
  <dc:creator>lenovo</dc:creator>
  <cp:lastModifiedBy>黄秋玉</cp:lastModifiedBy>
  <dcterms:modified xsi:type="dcterms:W3CDTF">2026-05-28T01:33:11Z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2026-02-01T11:34:56Z</vt:filetime>
  </property>
  <property fmtid="{D5CDD505-2E9C-101B-9397-08002B2CF9AE}" pid="4" name="UsrData">
    <vt:lpwstr>697ec9d3ac2b00001f4faabcwl</vt:lpwstr>
  </property>
  <property fmtid="{D5CDD505-2E9C-101B-9397-08002B2CF9AE}" pid="5" name="KSOTemplateDocerSaveRecord">
    <vt:lpwstr>eyJoZGlkIjoiMzEwNTM5NzYwMDRjMzkwZTVkZjY2ODkwMGIxNGU0OTUiLCJ1c2VySWQiOiIyODU5MjM2ODIifQ==</vt:lpwstr>
  </property>
  <property fmtid="{D5CDD505-2E9C-101B-9397-08002B2CF9AE}" pid="6" name="KSOProductBuildVer">
    <vt:lpwstr>2052-12.1.0.26375</vt:lpwstr>
  </property>
  <property fmtid="{D5CDD505-2E9C-101B-9397-08002B2CF9AE}" pid="7" name="ICV">
    <vt:lpwstr>0E88353A7E804322A970BA3405FED206_13</vt:lpwstr>
  </property>
</Properties>
</file>