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3AC72">
      <w:pPr>
        <w:pStyle w:val="14"/>
        <w:ind w:firstLine="5"/>
        <w:jc w:val="center"/>
        <w:rPr>
          <w:rFonts w:hint="eastAsia" w:hAnsi="宋体" w:cs="宋体"/>
          <w:b/>
          <w:color w:val="auto"/>
          <w:highlight w:val="none"/>
        </w:rPr>
      </w:pPr>
    </w:p>
    <w:p w14:paraId="2BD458D2">
      <w:pPr>
        <w:pStyle w:val="14"/>
        <w:ind w:firstLine="5"/>
        <w:jc w:val="center"/>
        <w:rPr>
          <w:rFonts w:hint="eastAsia" w:hAnsi="宋体" w:cs="宋体"/>
          <w:b/>
          <w:color w:val="auto"/>
          <w:highlight w:val="none"/>
        </w:rPr>
      </w:pPr>
    </w:p>
    <w:p w14:paraId="48EFDDF4">
      <w:pPr>
        <w:pStyle w:val="14"/>
        <w:ind w:firstLine="5"/>
        <w:jc w:val="center"/>
        <w:rPr>
          <w:rFonts w:hint="eastAsia" w:hAnsi="宋体" w:cs="宋体"/>
          <w:color w:val="auto"/>
          <w:sz w:val="30"/>
          <w:szCs w:val="72"/>
          <w:highlight w:val="none"/>
        </w:rPr>
      </w:pPr>
    </w:p>
    <w:p w14:paraId="1CD8E790">
      <w:pPr>
        <w:pStyle w:val="14"/>
        <w:jc w:val="center"/>
        <w:rPr>
          <w:rFonts w:hint="eastAsia" w:hAnsi="宋体" w:cs="宋体"/>
          <w:b/>
          <w:color w:val="auto"/>
          <w:spacing w:val="-18"/>
          <w:sz w:val="96"/>
          <w:highlight w:val="none"/>
        </w:rPr>
      </w:pPr>
    </w:p>
    <w:p w14:paraId="3F70365B">
      <w:pPr>
        <w:pStyle w:val="14"/>
        <w:jc w:val="center"/>
        <w:rPr>
          <w:rFonts w:hint="eastAsia" w:hAnsi="宋体" w:cs="宋体"/>
          <w:b/>
          <w:bCs/>
          <w:color w:val="auto"/>
          <w:sz w:val="72"/>
          <w:szCs w:val="72"/>
          <w:highlight w:val="none"/>
        </w:rPr>
      </w:pPr>
      <w:r>
        <w:rPr>
          <w:rFonts w:hint="eastAsia" w:hAnsi="宋体" w:cs="宋体"/>
          <w:b/>
          <w:bCs/>
          <w:color w:val="auto"/>
          <w:sz w:val="72"/>
          <w:szCs w:val="72"/>
          <w:highlight w:val="none"/>
        </w:rPr>
        <w:t>竞争性谈判文件</w:t>
      </w:r>
    </w:p>
    <w:p w14:paraId="07342918">
      <w:pPr>
        <w:spacing w:before="318" w:beforeLines="100" w:after="159" w:afterLines="50" w:line="360" w:lineRule="auto"/>
        <w:jc w:val="center"/>
        <w:rPr>
          <w:rFonts w:hint="eastAsia" w:ascii="宋体" w:hAnsi="宋体"/>
          <w:color w:val="auto"/>
          <w:szCs w:val="21"/>
          <w:highlight w:val="none"/>
        </w:rPr>
      </w:pPr>
      <w:r>
        <w:rPr>
          <w:rFonts w:hint="eastAsia" w:ascii="宋体" w:hAnsi="宋体"/>
          <w:color w:val="auto"/>
          <w:szCs w:val="21"/>
          <w:highlight w:val="none"/>
        </w:rPr>
        <w:t>（全流程电子化评审）</w:t>
      </w:r>
    </w:p>
    <w:p w14:paraId="572CD6C9">
      <w:pPr>
        <w:snapToGrid w:val="0"/>
        <w:spacing w:line="360" w:lineRule="auto"/>
        <w:rPr>
          <w:rFonts w:hint="eastAsia" w:ascii="宋体" w:hAnsi="宋体" w:cs="宋体"/>
          <w:color w:val="auto"/>
          <w:sz w:val="30"/>
          <w:szCs w:val="72"/>
          <w:highlight w:val="none"/>
        </w:rPr>
      </w:pPr>
    </w:p>
    <w:p w14:paraId="101A7C56">
      <w:pPr>
        <w:pStyle w:val="10"/>
        <w:rPr>
          <w:rFonts w:hint="eastAsia" w:ascii="宋体" w:hAnsi="宋体" w:cs="宋体"/>
          <w:color w:val="auto"/>
          <w:sz w:val="30"/>
          <w:szCs w:val="72"/>
          <w:highlight w:val="none"/>
        </w:rPr>
      </w:pPr>
    </w:p>
    <w:p w14:paraId="6361939B">
      <w:pPr>
        <w:pStyle w:val="10"/>
        <w:rPr>
          <w:rFonts w:hint="eastAsia" w:ascii="宋体" w:hAnsi="宋体" w:cs="宋体"/>
          <w:color w:val="auto"/>
          <w:sz w:val="30"/>
          <w:szCs w:val="72"/>
          <w:highlight w:val="none"/>
        </w:rPr>
      </w:pPr>
    </w:p>
    <w:p w14:paraId="2E1A0691">
      <w:pPr>
        <w:pStyle w:val="10"/>
        <w:rPr>
          <w:rFonts w:hint="eastAsia" w:ascii="宋体" w:hAnsi="宋体" w:cs="宋体"/>
          <w:color w:val="auto"/>
          <w:sz w:val="30"/>
          <w:szCs w:val="72"/>
          <w:highlight w:val="none"/>
        </w:rPr>
      </w:pPr>
    </w:p>
    <w:p w14:paraId="514452F8">
      <w:pPr>
        <w:pStyle w:val="10"/>
        <w:rPr>
          <w:rFonts w:hint="eastAsia" w:ascii="宋体" w:hAnsi="宋体" w:cs="宋体"/>
          <w:color w:val="auto"/>
          <w:sz w:val="30"/>
          <w:szCs w:val="72"/>
          <w:highlight w:val="none"/>
        </w:rPr>
      </w:pPr>
    </w:p>
    <w:p w14:paraId="0FFC8A0F">
      <w:pPr>
        <w:pStyle w:val="14"/>
        <w:ind w:firstLine="1800" w:firstLineChars="600"/>
        <w:jc w:val="left"/>
        <w:rPr>
          <w:rFonts w:hint="eastAsia" w:hAnsi="宋体" w:cs="宋体"/>
          <w:bCs/>
          <w:color w:val="auto"/>
          <w:sz w:val="30"/>
          <w:szCs w:val="72"/>
          <w:highlight w:val="none"/>
        </w:rPr>
      </w:pPr>
      <w:r>
        <w:rPr>
          <w:rFonts w:hint="eastAsia" w:hAnsi="宋体" w:cs="宋体"/>
          <w:bCs/>
          <w:color w:val="auto"/>
          <w:sz w:val="30"/>
          <w:szCs w:val="72"/>
          <w:highlight w:val="none"/>
        </w:rPr>
        <w:t>项目名称：智能装备创新实训室建设</w:t>
      </w:r>
    </w:p>
    <w:p w14:paraId="71EF0324">
      <w:pPr>
        <w:pStyle w:val="14"/>
        <w:ind w:firstLine="1800" w:firstLineChars="600"/>
        <w:jc w:val="left"/>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项目编号：</w:t>
      </w:r>
      <w:r>
        <w:rPr>
          <w:rFonts w:hint="eastAsia" w:hAnsi="宋体" w:cs="宋体"/>
          <w:bCs/>
          <w:color w:val="auto"/>
          <w:sz w:val="30"/>
          <w:szCs w:val="72"/>
          <w:highlight w:val="none"/>
          <w:lang w:eastAsia="zh-CN"/>
        </w:rPr>
        <w:t>GXZC2026-J1-001090-GXCJ</w:t>
      </w:r>
    </w:p>
    <w:p w14:paraId="3AAFF29F">
      <w:pPr>
        <w:pStyle w:val="14"/>
        <w:ind w:firstLine="1800" w:firstLineChars="600"/>
        <w:jc w:val="left"/>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采购单位：</w:t>
      </w:r>
      <w:r>
        <w:rPr>
          <w:rFonts w:hint="eastAsia" w:hAnsi="宋体" w:cs="宋体"/>
          <w:bCs/>
          <w:color w:val="auto"/>
          <w:sz w:val="30"/>
          <w:szCs w:val="72"/>
          <w:highlight w:val="none"/>
          <w:lang w:eastAsia="zh-CN"/>
        </w:rPr>
        <w:t>广西机电职业技术学院</w:t>
      </w:r>
    </w:p>
    <w:p w14:paraId="6A824298">
      <w:pPr>
        <w:pStyle w:val="14"/>
        <w:ind w:firstLine="1800" w:firstLineChars="600"/>
        <w:jc w:val="left"/>
        <w:rPr>
          <w:rFonts w:hint="eastAsia" w:hAnsi="宋体" w:cs="宋体"/>
          <w:bCs/>
          <w:color w:val="auto"/>
          <w:sz w:val="30"/>
          <w:szCs w:val="72"/>
          <w:highlight w:val="none"/>
        </w:rPr>
      </w:pPr>
      <w:r>
        <w:rPr>
          <w:rFonts w:hint="eastAsia" w:hAnsi="宋体" w:cs="宋体"/>
          <w:bCs/>
          <w:color w:val="auto"/>
          <w:sz w:val="30"/>
          <w:szCs w:val="72"/>
          <w:highlight w:val="none"/>
        </w:rPr>
        <w:t>采购代理机构：广西城建咨询设计有限公司</w:t>
      </w:r>
    </w:p>
    <w:p w14:paraId="3F4F7D2F">
      <w:pPr>
        <w:pStyle w:val="14"/>
        <w:jc w:val="center"/>
        <w:rPr>
          <w:rFonts w:hint="eastAsia" w:hAnsi="宋体" w:cs="宋体"/>
          <w:bCs/>
          <w:color w:val="auto"/>
          <w:sz w:val="30"/>
          <w:szCs w:val="72"/>
          <w:highlight w:val="none"/>
        </w:rPr>
      </w:pPr>
    </w:p>
    <w:p w14:paraId="4FE32CDA">
      <w:pPr>
        <w:pStyle w:val="14"/>
        <w:jc w:val="center"/>
        <w:rPr>
          <w:rFonts w:hint="eastAsia" w:hAnsi="宋体" w:cs="宋体"/>
          <w:color w:val="auto"/>
          <w:sz w:val="22"/>
          <w:szCs w:val="24"/>
          <w:highlight w:val="none"/>
        </w:rPr>
        <w:sectPr>
          <w:headerReference r:id="rId4" w:type="first"/>
          <w:headerReference r:id="rId3" w:type="default"/>
          <w:footerReference r:id="rId5" w:type="default"/>
          <w:footerReference r:id="rId6" w:type="even"/>
          <w:pgSz w:w="11905" w:h="16838"/>
          <w:pgMar w:top="1417" w:right="1417" w:bottom="1417" w:left="1417" w:header="850" w:footer="992" w:gutter="0"/>
          <w:pgNumType w:start="0"/>
          <w:cols w:space="720" w:num="1"/>
          <w:titlePg/>
          <w:docGrid w:type="lines" w:linePitch="318" w:charSpace="0"/>
        </w:sectPr>
      </w:pPr>
      <w:r>
        <w:rPr>
          <w:rFonts w:hint="eastAsia" w:hAnsi="宋体" w:cs="宋体"/>
          <w:color w:val="auto"/>
          <w:sz w:val="32"/>
          <w:szCs w:val="24"/>
          <w:highlight w:val="none"/>
        </w:rPr>
        <w:t>202</w:t>
      </w:r>
      <w:r>
        <w:rPr>
          <w:rFonts w:hint="eastAsia" w:hAnsi="宋体" w:cs="宋体"/>
          <w:color w:val="auto"/>
          <w:sz w:val="32"/>
          <w:szCs w:val="24"/>
          <w:highlight w:val="none"/>
          <w:lang w:val="en-US" w:eastAsia="zh-CN"/>
        </w:rPr>
        <w:t>6</w:t>
      </w:r>
      <w:r>
        <w:rPr>
          <w:rFonts w:hint="eastAsia" w:hAnsi="宋体" w:cs="宋体"/>
          <w:color w:val="auto"/>
          <w:sz w:val="32"/>
          <w:szCs w:val="24"/>
          <w:highlight w:val="none"/>
        </w:rPr>
        <w:t>年</w:t>
      </w:r>
      <w:r>
        <w:rPr>
          <w:rFonts w:hint="eastAsia" w:hAnsi="宋体" w:cs="宋体"/>
          <w:color w:val="auto"/>
          <w:sz w:val="32"/>
          <w:szCs w:val="24"/>
          <w:highlight w:val="none"/>
          <w:lang w:val="en-US" w:eastAsia="zh-CN"/>
        </w:rPr>
        <w:t>05</w:t>
      </w:r>
      <w:r>
        <w:rPr>
          <w:rFonts w:hint="eastAsia" w:hAnsi="宋体" w:cs="宋体"/>
          <w:color w:val="auto"/>
          <w:sz w:val="32"/>
          <w:szCs w:val="24"/>
          <w:highlight w:val="none"/>
        </w:rPr>
        <w:t>月</w:t>
      </w:r>
      <w:r>
        <w:rPr>
          <w:rFonts w:hint="eastAsia" w:hAnsi="宋体" w:cs="宋体"/>
          <w:color w:val="auto"/>
          <w:sz w:val="32"/>
          <w:szCs w:val="24"/>
          <w:highlight w:val="none"/>
          <w:lang w:val="en-US" w:eastAsia="zh-CN"/>
        </w:rPr>
        <w:t>09</w:t>
      </w:r>
      <w:r>
        <w:rPr>
          <w:rFonts w:hint="eastAsia" w:hAnsi="宋体" w:cs="宋体"/>
          <w:color w:val="auto"/>
          <w:sz w:val="32"/>
          <w:szCs w:val="24"/>
          <w:highlight w:val="none"/>
        </w:rPr>
        <w:t>日</w:t>
      </w:r>
      <w:r>
        <w:rPr>
          <w:rFonts w:hAnsi="宋体" w:cs="宋体"/>
          <w:b/>
          <w:color w:val="auto"/>
          <w:sz w:val="36"/>
          <w:szCs w:val="144"/>
          <w:highlight w:val="none"/>
        </w:rPr>
        <w:t xml:space="preserve">  </w:t>
      </w:r>
    </w:p>
    <w:p w14:paraId="350E75BC">
      <w:pPr>
        <w:spacing w:line="360" w:lineRule="auto"/>
        <w:rPr>
          <w:rFonts w:hint="eastAsia" w:ascii="宋体" w:hAnsi="宋体" w:cs="宋体"/>
          <w:b/>
          <w:color w:val="auto"/>
          <w:sz w:val="44"/>
          <w:szCs w:val="44"/>
          <w:highlight w:val="none"/>
        </w:rPr>
      </w:pPr>
    </w:p>
    <w:p w14:paraId="63811D34">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598B8DA3">
      <w:pPr>
        <w:spacing w:line="400" w:lineRule="exact"/>
        <w:jc w:val="center"/>
        <w:rPr>
          <w:rFonts w:hint="eastAsia" w:ascii="宋体" w:hAnsi="宋体" w:cs="宋体"/>
          <w:b/>
          <w:color w:val="auto"/>
          <w:sz w:val="44"/>
          <w:szCs w:val="44"/>
          <w:highlight w:val="none"/>
        </w:rPr>
      </w:pPr>
    </w:p>
    <w:p w14:paraId="673AA189">
      <w:pPr>
        <w:pStyle w:val="15"/>
        <w:tabs>
          <w:tab w:val="right" w:leader="dot" w:pos="9071"/>
        </w:tabs>
        <w:rPr>
          <w:b/>
          <w:bCs/>
          <w:color w:val="auto"/>
          <w:sz w:val="28"/>
          <w:szCs w:val="28"/>
          <w:highlight w:val="none"/>
        </w:rPr>
      </w:pPr>
      <w:r>
        <w:rPr>
          <w:rFonts w:ascii="宋体" w:hAnsi="宋体" w:cs="宋体"/>
          <w:b/>
          <w:color w:val="auto"/>
          <w:sz w:val="24"/>
          <w:highlight w:val="none"/>
        </w:rPr>
        <w:fldChar w:fldCharType="begin"/>
      </w:r>
      <w:r>
        <w:rPr>
          <w:rFonts w:ascii="宋体" w:hAnsi="宋体" w:cs="宋体"/>
          <w:b/>
          <w:color w:val="auto"/>
          <w:sz w:val="24"/>
          <w:highlight w:val="none"/>
        </w:rPr>
        <w:instrText xml:space="preserve">TOC \o "1-1" \h \u </w:instrText>
      </w:r>
      <w:r>
        <w:rPr>
          <w:rFonts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"_Toc16507" </w:instrText>
      </w:r>
      <w:r>
        <w:rPr>
          <w:color w:val="auto"/>
          <w:highlight w:val="none"/>
        </w:rPr>
        <w:fldChar w:fldCharType="separate"/>
      </w:r>
      <w:r>
        <w:rPr>
          <w:rFonts w:hint="eastAsia" w:ascii="宋体" w:hAnsi="宋体" w:cs="宋体"/>
          <w:b/>
          <w:bCs/>
          <w:color w:val="auto"/>
          <w:sz w:val="28"/>
          <w:szCs w:val="28"/>
          <w:highlight w:val="none"/>
        </w:rPr>
        <w:t>第一章 竞争性谈判公告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_Toc16507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b/>
          <w:bCs/>
          <w:color w:val="auto"/>
          <w:sz w:val="28"/>
          <w:szCs w:val="28"/>
          <w:highlight w:val="none"/>
        </w:rPr>
        <w:fldChar w:fldCharType="end"/>
      </w:r>
    </w:p>
    <w:p w14:paraId="33349C63">
      <w:pPr>
        <w:pStyle w:val="15"/>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"_Toc1417" </w:instrText>
      </w:r>
      <w:r>
        <w:rPr>
          <w:color w:val="auto"/>
          <w:highlight w:val="none"/>
        </w:rPr>
        <w:fldChar w:fldCharType="separate"/>
      </w:r>
      <w:r>
        <w:rPr>
          <w:rFonts w:hint="eastAsia" w:ascii="宋体" w:hAnsi="宋体" w:cs="宋体"/>
          <w:b/>
          <w:bCs/>
          <w:color w:val="auto"/>
          <w:sz w:val="28"/>
          <w:szCs w:val="28"/>
          <w:highlight w:val="none"/>
        </w:rPr>
        <w:t>第二章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_Toc1417 \h </w:instrText>
      </w:r>
      <w:r>
        <w:rPr>
          <w:b/>
          <w:bCs/>
          <w:color w:val="auto"/>
          <w:sz w:val="28"/>
          <w:szCs w:val="28"/>
          <w:highlight w:val="none"/>
        </w:rPr>
        <w:fldChar w:fldCharType="separate"/>
      </w:r>
      <w:r>
        <w:rPr>
          <w:b/>
          <w:bCs/>
          <w:color w:val="auto"/>
          <w:sz w:val="28"/>
          <w:szCs w:val="28"/>
          <w:highlight w:val="none"/>
        </w:rPr>
        <w:t>5</w:t>
      </w:r>
      <w:r>
        <w:rPr>
          <w:b/>
          <w:bCs/>
          <w:color w:val="auto"/>
          <w:sz w:val="28"/>
          <w:szCs w:val="28"/>
          <w:highlight w:val="none"/>
        </w:rPr>
        <w:fldChar w:fldCharType="end"/>
      </w:r>
      <w:r>
        <w:rPr>
          <w:b/>
          <w:bCs/>
          <w:color w:val="auto"/>
          <w:sz w:val="28"/>
          <w:szCs w:val="28"/>
          <w:highlight w:val="none"/>
        </w:rPr>
        <w:fldChar w:fldCharType="end"/>
      </w:r>
    </w:p>
    <w:p w14:paraId="6E730156">
      <w:pPr>
        <w:pStyle w:val="15"/>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"_Toc23210" </w:instrText>
      </w:r>
      <w:r>
        <w:rPr>
          <w:color w:val="auto"/>
          <w:highlight w:val="none"/>
        </w:rPr>
        <w:fldChar w:fldCharType="separate"/>
      </w:r>
      <w:r>
        <w:rPr>
          <w:rFonts w:hint="eastAsia" w:ascii="宋体" w:hAnsi="宋体" w:cs="宋体"/>
          <w:b/>
          <w:bCs/>
          <w:color w:val="auto"/>
          <w:sz w:val="28"/>
          <w:szCs w:val="28"/>
          <w:highlight w:val="none"/>
        </w:rPr>
        <w:t>第三章 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_Toc23210 \h </w:instrText>
      </w:r>
      <w:r>
        <w:rPr>
          <w:b/>
          <w:bCs/>
          <w:color w:val="auto"/>
          <w:sz w:val="28"/>
          <w:szCs w:val="28"/>
          <w:highlight w:val="none"/>
        </w:rPr>
        <w:fldChar w:fldCharType="separate"/>
      </w:r>
      <w:r>
        <w:rPr>
          <w:b/>
          <w:bCs/>
          <w:color w:val="auto"/>
          <w:sz w:val="28"/>
          <w:szCs w:val="28"/>
          <w:highlight w:val="none"/>
        </w:rPr>
        <w:t>30</w:t>
      </w:r>
      <w:r>
        <w:rPr>
          <w:b/>
          <w:bCs/>
          <w:color w:val="auto"/>
          <w:sz w:val="28"/>
          <w:szCs w:val="28"/>
          <w:highlight w:val="none"/>
        </w:rPr>
        <w:fldChar w:fldCharType="end"/>
      </w:r>
      <w:r>
        <w:rPr>
          <w:b/>
          <w:bCs/>
          <w:color w:val="auto"/>
          <w:sz w:val="28"/>
          <w:szCs w:val="28"/>
          <w:highlight w:val="none"/>
        </w:rPr>
        <w:fldChar w:fldCharType="end"/>
      </w:r>
    </w:p>
    <w:p w14:paraId="106AF770">
      <w:pPr>
        <w:pStyle w:val="15"/>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"_Toc5080" </w:instrText>
      </w:r>
      <w:r>
        <w:rPr>
          <w:color w:val="auto"/>
          <w:highlight w:val="none"/>
        </w:rPr>
        <w:fldChar w:fldCharType="separate"/>
      </w:r>
      <w:r>
        <w:rPr>
          <w:rFonts w:hint="eastAsia" w:ascii="宋体" w:hAnsi="宋体" w:cs="宋体"/>
          <w:b/>
          <w:bCs/>
          <w:color w:val="auto"/>
          <w:sz w:val="28"/>
          <w:szCs w:val="28"/>
          <w:highlight w:val="none"/>
        </w:rPr>
        <w:t xml:space="preserve">第四章 </w:t>
      </w:r>
      <w:r>
        <w:rPr>
          <w:rFonts w:hint="eastAsia" w:ascii="宋体" w:hAnsi="宋体" w:cs="宋体"/>
          <w:b/>
          <w:bCs/>
          <w:color w:val="auto"/>
          <w:sz w:val="28"/>
          <w:szCs w:val="28"/>
          <w:highlight w:val="none"/>
          <w:lang w:eastAsia="zh-CN"/>
        </w:rPr>
        <w:t>评审程序、评审方法和成交标准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_Toc5080 \h </w:instrText>
      </w:r>
      <w:r>
        <w:rPr>
          <w:b/>
          <w:bCs/>
          <w:color w:val="auto"/>
          <w:sz w:val="28"/>
          <w:szCs w:val="28"/>
          <w:highlight w:val="none"/>
        </w:rPr>
        <w:fldChar w:fldCharType="separate"/>
      </w:r>
      <w:r>
        <w:rPr>
          <w:b/>
          <w:bCs/>
          <w:color w:val="auto"/>
          <w:sz w:val="28"/>
          <w:szCs w:val="28"/>
          <w:highlight w:val="none"/>
        </w:rPr>
        <w:t>45</w:t>
      </w:r>
      <w:r>
        <w:rPr>
          <w:b/>
          <w:bCs/>
          <w:color w:val="auto"/>
          <w:sz w:val="28"/>
          <w:szCs w:val="28"/>
          <w:highlight w:val="none"/>
        </w:rPr>
        <w:fldChar w:fldCharType="end"/>
      </w:r>
      <w:r>
        <w:rPr>
          <w:b/>
          <w:bCs/>
          <w:color w:val="auto"/>
          <w:sz w:val="28"/>
          <w:szCs w:val="28"/>
          <w:highlight w:val="none"/>
        </w:rPr>
        <w:fldChar w:fldCharType="end"/>
      </w:r>
    </w:p>
    <w:p w14:paraId="065886D0">
      <w:pPr>
        <w:pStyle w:val="15"/>
        <w:tabs>
          <w:tab w:val="right" w:leader="dot" w:pos="9071"/>
        </w:tabs>
        <w:rPr>
          <w:b/>
          <w:bCs/>
          <w:color w:val="auto"/>
          <w:sz w:val="28"/>
          <w:szCs w:val="28"/>
          <w:highlight w:val="none"/>
        </w:rPr>
      </w:pPr>
      <w:r>
        <w:rPr>
          <w:color w:val="auto"/>
          <w:highlight w:val="none"/>
        </w:rPr>
        <w:fldChar w:fldCharType="begin"/>
      </w:r>
      <w:r>
        <w:rPr>
          <w:color w:val="auto"/>
          <w:highlight w:val="none"/>
        </w:rPr>
        <w:instrText xml:space="preserve"> HYPERLINK \l "_Toc3661" </w:instrText>
      </w:r>
      <w:r>
        <w:rPr>
          <w:color w:val="auto"/>
          <w:highlight w:val="none"/>
        </w:rPr>
        <w:fldChar w:fldCharType="separate"/>
      </w:r>
      <w:r>
        <w:rPr>
          <w:rFonts w:hint="eastAsia" w:ascii="宋体" w:hAnsi="宋体" w:cs="宋体"/>
          <w:b/>
          <w:bCs/>
          <w:color w:val="auto"/>
          <w:sz w:val="28"/>
          <w:szCs w:val="28"/>
          <w:highlight w:val="none"/>
        </w:rPr>
        <w:t>第五章 响应文件格式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_Toc3661 \h </w:instrText>
      </w:r>
      <w:r>
        <w:rPr>
          <w:b/>
          <w:bCs/>
          <w:color w:val="auto"/>
          <w:sz w:val="28"/>
          <w:szCs w:val="28"/>
          <w:highlight w:val="none"/>
        </w:rPr>
        <w:fldChar w:fldCharType="separate"/>
      </w:r>
      <w:r>
        <w:rPr>
          <w:b/>
          <w:bCs/>
          <w:color w:val="auto"/>
          <w:sz w:val="28"/>
          <w:szCs w:val="28"/>
          <w:highlight w:val="none"/>
        </w:rPr>
        <w:t>54</w:t>
      </w:r>
      <w:r>
        <w:rPr>
          <w:b/>
          <w:bCs/>
          <w:color w:val="auto"/>
          <w:sz w:val="28"/>
          <w:szCs w:val="28"/>
          <w:highlight w:val="none"/>
        </w:rPr>
        <w:fldChar w:fldCharType="end"/>
      </w:r>
      <w:r>
        <w:rPr>
          <w:b/>
          <w:bCs/>
          <w:color w:val="auto"/>
          <w:sz w:val="28"/>
          <w:szCs w:val="28"/>
          <w:highlight w:val="none"/>
        </w:rPr>
        <w:fldChar w:fldCharType="end"/>
      </w:r>
    </w:p>
    <w:p w14:paraId="3F807191">
      <w:pPr>
        <w:pStyle w:val="15"/>
        <w:tabs>
          <w:tab w:val="right" w:leader="dot" w:pos="9071"/>
        </w:tabs>
        <w:rPr>
          <w:color w:val="auto"/>
          <w:highlight w:val="none"/>
        </w:rPr>
      </w:pPr>
      <w:r>
        <w:rPr>
          <w:color w:val="auto"/>
          <w:highlight w:val="none"/>
        </w:rPr>
        <w:fldChar w:fldCharType="begin"/>
      </w:r>
      <w:r>
        <w:rPr>
          <w:color w:val="auto"/>
          <w:highlight w:val="none"/>
        </w:rPr>
        <w:instrText xml:space="preserve"> HYPERLINK \l "_Toc32223" </w:instrText>
      </w:r>
      <w:r>
        <w:rPr>
          <w:color w:val="auto"/>
          <w:highlight w:val="none"/>
        </w:rPr>
        <w:fldChar w:fldCharType="separate"/>
      </w:r>
      <w:r>
        <w:rPr>
          <w:rFonts w:hint="eastAsia" w:ascii="宋体" w:hAnsi="宋体" w:cs="宋体"/>
          <w:b/>
          <w:bCs/>
          <w:color w:val="auto"/>
          <w:sz w:val="28"/>
          <w:szCs w:val="28"/>
          <w:highlight w:val="none"/>
        </w:rPr>
        <w:t>第六章 合同文本</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_Toc32223 \h </w:instrText>
      </w:r>
      <w:r>
        <w:rPr>
          <w:b/>
          <w:bCs/>
          <w:color w:val="auto"/>
          <w:sz w:val="28"/>
          <w:szCs w:val="28"/>
          <w:highlight w:val="none"/>
        </w:rPr>
        <w:fldChar w:fldCharType="separate"/>
      </w:r>
      <w:r>
        <w:rPr>
          <w:b/>
          <w:bCs/>
          <w:color w:val="auto"/>
          <w:sz w:val="28"/>
          <w:szCs w:val="28"/>
          <w:highlight w:val="none"/>
        </w:rPr>
        <w:t>84</w:t>
      </w:r>
      <w:r>
        <w:rPr>
          <w:b/>
          <w:bCs/>
          <w:color w:val="auto"/>
          <w:sz w:val="28"/>
          <w:szCs w:val="28"/>
          <w:highlight w:val="none"/>
        </w:rPr>
        <w:fldChar w:fldCharType="end"/>
      </w:r>
      <w:r>
        <w:rPr>
          <w:b/>
          <w:bCs/>
          <w:color w:val="auto"/>
          <w:sz w:val="28"/>
          <w:szCs w:val="28"/>
          <w:highlight w:val="none"/>
        </w:rPr>
        <w:fldChar w:fldCharType="end"/>
      </w:r>
    </w:p>
    <w:p w14:paraId="751BE5EF">
      <w:pPr>
        <w:pStyle w:val="20"/>
        <w:tabs>
          <w:tab w:val="right" w:leader="dot" w:pos="8931"/>
          <w:tab w:val="clear" w:pos="8296"/>
        </w:tabs>
        <w:snapToGrid w:val="0"/>
        <w:spacing w:line="500" w:lineRule="atLeast"/>
        <w:ind w:left="0" w:leftChars="0"/>
        <w:rPr>
          <w:rFonts w:hint="eastAsia" w:ascii="宋体" w:hAnsi="宋体" w:cs="宋体"/>
          <w:b/>
          <w:color w:val="auto"/>
          <w:sz w:val="24"/>
          <w:highlight w:val="none"/>
        </w:rPr>
      </w:pPr>
      <w:r>
        <w:rPr>
          <w:rFonts w:ascii="宋体" w:hAnsi="宋体" w:cs="宋体"/>
          <w:color w:val="auto"/>
          <w:highlight w:val="none"/>
        </w:rPr>
        <w:fldChar w:fldCharType="end"/>
      </w:r>
    </w:p>
    <w:p w14:paraId="247357D0">
      <w:pPr>
        <w:spacing w:line="400" w:lineRule="exact"/>
        <w:jc w:val="left"/>
        <w:rPr>
          <w:rFonts w:hint="eastAsia" w:ascii="宋体" w:hAnsi="宋体" w:cs="宋体"/>
          <w:b/>
          <w:color w:val="auto"/>
          <w:sz w:val="32"/>
          <w:szCs w:val="32"/>
          <w:highlight w:val="none"/>
        </w:rPr>
      </w:pPr>
    </w:p>
    <w:p w14:paraId="3A4B1FBF">
      <w:pPr>
        <w:spacing w:line="400" w:lineRule="exact"/>
        <w:jc w:val="center"/>
        <w:rPr>
          <w:rFonts w:hint="eastAsia" w:ascii="宋体" w:hAnsi="宋体" w:cs="宋体"/>
          <w:b/>
          <w:color w:val="auto"/>
          <w:sz w:val="32"/>
          <w:szCs w:val="32"/>
          <w:highlight w:val="none"/>
        </w:rPr>
      </w:pPr>
    </w:p>
    <w:p w14:paraId="1E84BF57">
      <w:pPr>
        <w:spacing w:line="400" w:lineRule="exact"/>
        <w:jc w:val="center"/>
        <w:rPr>
          <w:rFonts w:hint="eastAsia" w:ascii="宋体" w:hAnsi="宋体" w:cs="宋体"/>
          <w:b/>
          <w:color w:val="auto"/>
          <w:sz w:val="32"/>
          <w:szCs w:val="32"/>
          <w:highlight w:val="none"/>
        </w:rPr>
      </w:pPr>
    </w:p>
    <w:p w14:paraId="3A949F3C">
      <w:pPr>
        <w:spacing w:line="400" w:lineRule="exact"/>
        <w:jc w:val="center"/>
        <w:rPr>
          <w:rFonts w:hint="eastAsia" w:ascii="宋体" w:hAnsi="宋体" w:cs="宋体"/>
          <w:b/>
          <w:color w:val="auto"/>
          <w:sz w:val="32"/>
          <w:szCs w:val="32"/>
          <w:highlight w:val="none"/>
        </w:rPr>
      </w:pPr>
    </w:p>
    <w:p w14:paraId="21A61F62">
      <w:pPr>
        <w:spacing w:line="400" w:lineRule="exact"/>
        <w:jc w:val="center"/>
        <w:rPr>
          <w:rFonts w:hint="eastAsia" w:ascii="宋体" w:hAnsi="宋体" w:cs="宋体"/>
          <w:b/>
          <w:color w:val="auto"/>
          <w:sz w:val="32"/>
          <w:szCs w:val="32"/>
          <w:highlight w:val="none"/>
        </w:rPr>
      </w:pPr>
    </w:p>
    <w:p w14:paraId="339724C8">
      <w:pPr>
        <w:spacing w:line="400" w:lineRule="exact"/>
        <w:rPr>
          <w:rFonts w:hint="eastAsia" w:ascii="宋体" w:hAnsi="宋体" w:cs="宋体"/>
          <w:b/>
          <w:color w:val="auto"/>
          <w:sz w:val="32"/>
          <w:szCs w:val="32"/>
          <w:highlight w:val="none"/>
        </w:rPr>
        <w:sectPr>
          <w:headerReference r:id="rId7" w:type="default"/>
          <w:footerReference r:id="rId8" w:type="default"/>
          <w:pgSz w:w="11905" w:h="16838"/>
          <w:pgMar w:top="1417" w:right="1417" w:bottom="1417" w:left="1417" w:header="850" w:footer="992" w:gutter="0"/>
          <w:pgNumType w:start="0"/>
          <w:cols w:space="720" w:num="1"/>
          <w:titlePg/>
          <w:docGrid w:type="lines" w:linePitch="318" w:charSpace="0"/>
        </w:sectPr>
      </w:pPr>
    </w:p>
    <w:p w14:paraId="1D1FD96C">
      <w:pPr>
        <w:pStyle w:val="2"/>
        <w:spacing w:before="0" w:after="0" w:line="240" w:lineRule="auto"/>
        <w:jc w:val="center"/>
        <w:rPr>
          <w:rFonts w:hint="eastAsia" w:ascii="宋体" w:hAnsi="宋体" w:cs="宋体"/>
          <w:color w:val="auto"/>
          <w:highlight w:val="none"/>
        </w:rPr>
      </w:pPr>
      <w:bookmarkStart w:id="0" w:name="_Toc16507"/>
      <w:bookmarkStart w:id="1" w:name="_Toc74322008"/>
      <w:r>
        <w:rPr>
          <w:rFonts w:hint="eastAsia" w:ascii="宋体" w:hAnsi="宋体" w:cs="宋体"/>
          <w:color w:val="auto"/>
          <w:highlight w:val="none"/>
        </w:rPr>
        <w:t>第一章 竞争性谈判公告</w:t>
      </w:r>
      <w:bookmarkEnd w:id="0"/>
      <w:bookmarkEnd w:id="1"/>
    </w:p>
    <w:p w14:paraId="12C3D833">
      <w:pPr>
        <w:jc w:val="center"/>
        <w:rPr>
          <w:rFonts w:hint="eastAsia" w:ascii="宋体" w:hAnsi="宋体" w:cs="宋体"/>
          <w:b/>
          <w:bCs/>
          <w:color w:val="auto"/>
          <w:sz w:val="32"/>
          <w:szCs w:val="32"/>
          <w:highlight w:val="none"/>
        </w:rPr>
      </w:pPr>
    </w:p>
    <w:p w14:paraId="61CAE29E">
      <w:pPr>
        <w:pBdr>
          <w:top w:val="single" w:color="auto" w:sz="4" w:space="1"/>
          <w:left w:val="single" w:color="auto" w:sz="4" w:space="4"/>
          <w:bottom w:val="single" w:color="auto" w:sz="4" w:space="1"/>
          <w:right w:val="single" w:color="auto" w:sz="4" w:space="0"/>
        </w:pBdr>
        <w:spacing w:line="360" w:lineRule="auto"/>
        <w:jc w:val="left"/>
        <w:rPr>
          <w:rFonts w:hint="eastAsia" w:ascii="宋体" w:hAnsi="宋体" w:cs="宋体"/>
          <w:b/>
          <w:color w:val="auto"/>
          <w:kern w:val="0"/>
          <w:sz w:val="24"/>
          <w:highlight w:val="none"/>
        </w:rPr>
      </w:pPr>
      <w:bookmarkStart w:id="2" w:name="_Toc71365369"/>
      <w:bookmarkStart w:id="3" w:name="_Toc35393636"/>
      <w:bookmarkStart w:id="4" w:name="_Toc35393805"/>
      <w:bookmarkStart w:id="5" w:name="_Toc28359095"/>
      <w:bookmarkStart w:id="6" w:name="_Toc71366047"/>
      <w:bookmarkStart w:id="7" w:name="_Toc28359018"/>
      <w:bookmarkStart w:id="8" w:name="_Hlk37430271"/>
      <w:r>
        <w:rPr>
          <w:rFonts w:hint="eastAsia" w:ascii="宋体" w:hAnsi="宋体" w:cs="宋体"/>
          <w:b/>
          <w:color w:val="auto"/>
          <w:kern w:val="0"/>
          <w:sz w:val="24"/>
          <w:highlight w:val="none"/>
          <w:lang w:bidi="ar"/>
        </w:rPr>
        <w:t>项目概况：</w:t>
      </w:r>
    </w:p>
    <w:p w14:paraId="742E08E7">
      <w:pPr>
        <w:keepNext w:val="0"/>
        <w:keepLines w:val="0"/>
        <w:pageBreakBefore w:val="0"/>
        <w:widowControl w:val="0"/>
        <w:pBdr>
          <w:top w:val="single" w:color="auto" w:sz="4" w:space="1"/>
          <w:left w:val="single" w:color="auto" w:sz="4" w:space="4"/>
          <w:bottom w:val="single" w:color="auto" w:sz="4" w:space="1"/>
          <w:right w:val="single" w:color="auto" w:sz="4" w:space="0"/>
        </w:pBd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智能装备创新实训室建设</w:t>
      </w:r>
      <w:r>
        <w:rPr>
          <w:rFonts w:hint="eastAsia" w:ascii="宋体" w:hAnsi="宋体" w:cs="宋体"/>
          <w:color w:val="auto"/>
          <w:kern w:val="0"/>
          <w:sz w:val="24"/>
          <w:highlight w:val="none"/>
          <w:lang w:bidi="ar"/>
        </w:rPr>
        <w:t>项目的潜在供应商应在</w:t>
      </w:r>
      <w:r>
        <w:rPr>
          <w:rFonts w:hint="eastAsia" w:ascii="宋体" w:hAnsi="宋体" w:cs="宋体"/>
          <w:color w:val="auto"/>
          <w:kern w:val="0"/>
          <w:sz w:val="24"/>
          <w:highlight w:val="none"/>
          <w:u w:val="single"/>
          <w:lang w:bidi="ar"/>
        </w:rPr>
        <w:t>广西政府采购云平台（https://www.gcy.zfcg.gxzf.gov.cn/）获取（下载）</w:t>
      </w:r>
      <w:r>
        <w:rPr>
          <w:rFonts w:hint="eastAsia" w:ascii="宋体" w:hAnsi="宋体" w:cs="宋体"/>
          <w:color w:val="auto"/>
          <w:kern w:val="0"/>
          <w:sz w:val="24"/>
          <w:highlight w:val="none"/>
          <w:lang w:bidi="ar"/>
        </w:rPr>
        <w:t>竞争性谈判文件，并于</w:t>
      </w:r>
      <w:r>
        <w:rPr>
          <w:rFonts w:hint="eastAsia" w:ascii="宋体" w:hAnsi="宋体" w:cs="宋体"/>
          <w:color w:val="auto"/>
          <w:kern w:val="0"/>
          <w:sz w:val="24"/>
          <w:highlight w:val="none"/>
          <w:u w:val="single"/>
          <w:lang w:bidi="ar"/>
        </w:rPr>
        <w:t>202</w:t>
      </w:r>
      <w:r>
        <w:rPr>
          <w:rFonts w:hint="eastAsia" w:ascii="宋体" w:hAnsi="宋体" w:cs="宋体"/>
          <w:color w:val="auto"/>
          <w:kern w:val="0"/>
          <w:sz w:val="24"/>
          <w:highlight w:val="none"/>
          <w:u w:val="single"/>
          <w:lang w:val="en-US" w:eastAsia="zh-CN" w:bidi="ar"/>
        </w:rPr>
        <w:t>6</w:t>
      </w:r>
      <w:r>
        <w:rPr>
          <w:rFonts w:hint="eastAsia" w:ascii="宋体" w:hAnsi="宋体" w:cs="宋体"/>
          <w:color w:val="auto"/>
          <w:kern w:val="0"/>
          <w:sz w:val="24"/>
          <w:highlight w:val="none"/>
          <w:u w:val="single"/>
          <w:lang w:bidi="ar"/>
        </w:rPr>
        <w:t>年</w:t>
      </w:r>
      <w:r>
        <w:rPr>
          <w:rFonts w:hint="eastAsia" w:ascii="宋体" w:hAnsi="宋体" w:cs="宋体"/>
          <w:color w:val="auto"/>
          <w:kern w:val="0"/>
          <w:sz w:val="24"/>
          <w:highlight w:val="none"/>
          <w:u w:val="single"/>
          <w:lang w:val="en-US" w:eastAsia="zh-CN" w:bidi="ar"/>
        </w:rPr>
        <w:t>05</w:t>
      </w:r>
      <w:r>
        <w:rPr>
          <w:rFonts w:hint="eastAsia" w:ascii="宋体" w:hAnsi="宋体" w:cs="宋体"/>
          <w:color w:val="auto"/>
          <w:kern w:val="0"/>
          <w:sz w:val="24"/>
          <w:highlight w:val="none"/>
          <w:u w:val="single"/>
          <w:lang w:bidi="ar"/>
        </w:rPr>
        <w:t>月</w:t>
      </w:r>
      <w:r>
        <w:rPr>
          <w:rFonts w:hint="eastAsia" w:ascii="宋体" w:hAnsi="宋体" w:cs="宋体"/>
          <w:color w:val="auto"/>
          <w:kern w:val="0"/>
          <w:sz w:val="24"/>
          <w:highlight w:val="none"/>
          <w:u w:val="single"/>
          <w:lang w:val="en-US" w:eastAsia="zh-CN" w:bidi="ar"/>
        </w:rPr>
        <w:t>14</w:t>
      </w:r>
      <w:r>
        <w:rPr>
          <w:rFonts w:hint="eastAsia" w:ascii="宋体" w:hAnsi="宋体" w:cs="宋体"/>
          <w:color w:val="auto"/>
          <w:kern w:val="0"/>
          <w:sz w:val="24"/>
          <w:highlight w:val="none"/>
          <w:u w:val="single"/>
          <w:lang w:bidi="ar"/>
        </w:rPr>
        <w:t>日</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时</w:t>
      </w:r>
      <w:r>
        <w:rPr>
          <w:rFonts w:hint="eastAsia" w:ascii="宋体" w:hAnsi="宋体" w:cs="宋体"/>
          <w:color w:val="auto"/>
          <w:kern w:val="0"/>
          <w:sz w:val="24"/>
          <w:highlight w:val="none"/>
          <w:u w:val="single"/>
          <w:lang w:val="en-US" w:eastAsia="zh-CN" w:bidi="ar"/>
        </w:rPr>
        <w:t>0</w:t>
      </w:r>
      <w:r>
        <w:rPr>
          <w:rFonts w:hint="eastAsia" w:ascii="宋体" w:hAnsi="宋体" w:cs="宋体"/>
          <w:color w:val="auto"/>
          <w:kern w:val="0"/>
          <w:sz w:val="24"/>
          <w:highlight w:val="none"/>
          <w:u w:val="single"/>
          <w:lang w:bidi="ar"/>
        </w:rPr>
        <w:t>0分</w:t>
      </w:r>
      <w:r>
        <w:rPr>
          <w:rFonts w:hint="eastAsia" w:ascii="宋体" w:hAnsi="宋体" w:cs="宋体"/>
          <w:color w:val="auto"/>
          <w:kern w:val="0"/>
          <w:sz w:val="24"/>
          <w:highlight w:val="none"/>
          <w:lang w:bidi="ar"/>
        </w:rPr>
        <w:t>（北京时间）前提交响应文件。</w:t>
      </w:r>
    </w:p>
    <w:p w14:paraId="21F8636D">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bookmarkStart w:id="47" w:name="_GoBack"/>
      <w:bookmarkEnd w:id="47"/>
    </w:p>
    <w:p w14:paraId="160A5B31">
      <w:pPr>
        <w:spacing w:line="470" w:lineRule="exact"/>
        <w:ind w:firstLine="840" w:firstLineChars="35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GXZC2026-J1-001090-GXCJ</w:t>
      </w:r>
    </w:p>
    <w:p w14:paraId="678A5BC8">
      <w:pPr>
        <w:spacing w:line="470" w:lineRule="exact"/>
        <w:ind w:firstLine="840" w:firstLineChars="35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智能装备创新实训室建设</w:t>
      </w:r>
    </w:p>
    <w:p w14:paraId="5E722CF8">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采购方式：竞争性谈判</w:t>
      </w:r>
    </w:p>
    <w:p w14:paraId="30E33B2D">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预算总金额（元）：</w:t>
      </w:r>
      <w:r>
        <w:rPr>
          <w:rFonts w:hint="eastAsia" w:ascii="宋体" w:hAnsi="宋体" w:cs="宋体"/>
          <w:color w:val="auto"/>
          <w:sz w:val="24"/>
          <w:highlight w:val="none"/>
          <w:lang w:val="en-US" w:eastAsia="zh-CN"/>
        </w:rPr>
        <w:t>1250</w:t>
      </w:r>
      <w:r>
        <w:rPr>
          <w:rFonts w:hint="eastAsia" w:ascii="宋体" w:hAnsi="宋体" w:cs="宋体"/>
          <w:color w:val="auto"/>
          <w:sz w:val="24"/>
          <w:highlight w:val="none"/>
        </w:rPr>
        <w:t>000.00</w:t>
      </w:r>
    </w:p>
    <w:p w14:paraId="3FF7CDC2">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采购需求：智能装备模块化创新设计套件</w:t>
      </w:r>
      <w:r>
        <w:rPr>
          <w:rFonts w:hint="eastAsia" w:ascii="宋体" w:hAnsi="宋体" w:cs="宋体"/>
          <w:color w:val="auto"/>
          <w:sz w:val="24"/>
          <w:highlight w:val="none"/>
          <w:lang w:val="en-US" w:eastAsia="zh-CN"/>
        </w:rPr>
        <w:t>25套、便携式智能装备教学套件25套、智联Cyber自动驾驶智能车2套、</w:t>
      </w:r>
      <w:r>
        <w:rPr>
          <w:rFonts w:hint="default" w:ascii="宋体" w:hAnsi="宋体" w:eastAsia="宋体" w:cs="宋体"/>
          <w:color w:val="auto"/>
          <w:sz w:val="24"/>
          <w:highlight w:val="none"/>
          <w:lang w:val="en-US" w:eastAsia="zh-CN"/>
        </w:rPr>
        <w:t>智联模块化多功能智能船</w:t>
      </w:r>
      <w:r>
        <w:rPr>
          <w:rFonts w:hint="eastAsia" w:ascii="宋体" w:hAnsi="宋体" w:eastAsia="宋体" w:cs="宋体"/>
          <w:color w:val="auto"/>
          <w:sz w:val="24"/>
          <w:highlight w:val="none"/>
          <w:lang w:val="en-US" w:eastAsia="zh-CN"/>
        </w:rPr>
        <w:t>1套，</w:t>
      </w:r>
      <w:r>
        <w:rPr>
          <w:rFonts w:hint="eastAsia" w:ascii="宋体" w:hAnsi="宋体" w:cs="宋体"/>
          <w:color w:val="auto"/>
          <w:sz w:val="24"/>
          <w:highlight w:val="none"/>
        </w:rPr>
        <w:t>具体详见竞争性谈判文件采购需求</w:t>
      </w:r>
      <w:r>
        <w:rPr>
          <w:rFonts w:hint="eastAsia" w:asciiTheme="minorEastAsia" w:hAnsiTheme="minorEastAsia" w:eastAsiaTheme="minorEastAsia" w:cstheme="minorEastAsia"/>
          <w:bCs/>
          <w:color w:val="auto"/>
          <w:sz w:val="24"/>
          <w:highlight w:val="none"/>
        </w:rPr>
        <w:t>。</w:t>
      </w:r>
    </w:p>
    <w:p w14:paraId="4C322D27">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最高限价（如有）：</w:t>
      </w:r>
      <w:r>
        <w:rPr>
          <w:rFonts w:hint="eastAsia" w:ascii="宋体" w:hAnsi="宋体" w:cs="宋体"/>
          <w:color w:val="auto"/>
          <w:sz w:val="24"/>
          <w:highlight w:val="none"/>
          <w:lang w:val="en-US" w:eastAsia="zh-CN"/>
        </w:rPr>
        <w:t>1250</w:t>
      </w:r>
      <w:r>
        <w:rPr>
          <w:rFonts w:hint="eastAsia" w:ascii="宋体" w:hAnsi="宋体" w:cs="宋体"/>
          <w:color w:val="auto"/>
          <w:sz w:val="24"/>
          <w:highlight w:val="none"/>
        </w:rPr>
        <w:t>000.00</w:t>
      </w:r>
    </w:p>
    <w:p w14:paraId="439C77C1">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olor w:val="auto"/>
          <w:sz w:val="24"/>
          <w:highlight w:val="none"/>
        </w:rPr>
        <w:t>自签订合同之日起30个工作日内全部交付并安装调试完毕。</w:t>
      </w:r>
    </w:p>
    <w:p w14:paraId="6ED993E9">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本项目是否接受联合体：否。</w:t>
      </w:r>
    </w:p>
    <w:p w14:paraId="5A7EC379">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二、供应商的资格条件：</w:t>
      </w:r>
    </w:p>
    <w:p w14:paraId="2D75FE89">
      <w:pPr>
        <w:spacing w:line="470" w:lineRule="exact"/>
        <w:ind w:firstLine="480" w:firstLineChars="200"/>
        <w:rPr>
          <w:rFonts w:hint="eastAsia" w:ascii="宋体" w:hAnsi="宋体" w:cs="宋体"/>
          <w:color w:val="auto"/>
          <w:sz w:val="24"/>
          <w:highlight w:val="none"/>
        </w:rPr>
      </w:pPr>
      <w:bookmarkStart w:id="9" w:name="_Hlk51746371"/>
      <w:r>
        <w:rPr>
          <w:rFonts w:hint="eastAsia" w:ascii="宋体" w:hAnsi="宋体" w:cs="宋体"/>
          <w:color w:val="auto"/>
          <w:sz w:val="24"/>
          <w:highlight w:val="none"/>
        </w:rPr>
        <w:t>1、满足《中华人民共和国政府采购法》第二十二条规定；</w:t>
      </w:r>
    </w:p>
    <w:p w14:paraId="64A5B181">
      <w:pPr>
        <w:spacing w:line="47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2、落实政府采购政策需满足的资格要求：专门面向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企业采购的项目；</w:t>
      </w:r>
    </w:p>
    <w:p w14:paraId="7C18B39F">
      <w:pPr>
        <w:spacing w:line="47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bookmarkEnd w:id="9"/>
      <w:r>
        <w:rPr>
          <w:rFonts w:hint="eastAsia" w:ascii="宋体" w:hAnsi="宋体" w:cs="宋体"/>
          <w:color w:val="auto"/>
          <w:sz w:val="24"/>
          <w:highlight w:val="none"/>
        </w:rPr>
        <w:t>无。</w:t>
      </w:r>
    </w:p>
    <w:p w14:paraId="44D93EFE">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三、获取采购文件</w:t>
      </w:r>
    </w:p>
    <w:p w14:paraId="7B8E8E5B">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日，每天上午00:00:00至11:59:59，下午12:00:00至23:59:59（北京时间，法定节假日除外）</w:t>
      </w:r>
    </w:p>
    <w:p w14:paraId="7B640F7B">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2.地点：广西政府采购云平台线上获取</w:t>
      </w:r>
    </w:p>
    <w:p w14:paraId="43B59632">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3.获取方式：网上下载。本项目不提供纸质文件，潜在供应商需在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2BE62DC8">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售价：0元。</w:t>
      </w:r>
    </w:p>
    <w:p w14:paraId="4670E876">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四、响应文件提交</w:t>
      </w:r>
    </w:p>
    <w:p w14:paraId="4D3A9B32">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1.截止时间：202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日 </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14:paraId="631C9044">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2.地点（网址）：通过“广西政府采购云平台”在线提交</w:t>
      </w:r>
    </w:p>
    <w:p w14:paraId="1E66432F">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4F768FD6">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1.开启时间：202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日 </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0（北京时间）</w:t>
      </w:r>
    </w:p>
    <w:p w14:paraId="6B9B8595">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xml:space="preserve">2.地点：广西政府采购云平台开标大厅 </w:t>
      </w:r>
    </w:p>
    <w:p w14:paraId="73B5E45F">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六、公告期限</w:t>
      </w:r>
    </w:p>
    <w:p w14:paraId="6180D064">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自本公告发布之日起3个工作日。</w:t>
      </w:r>
    </w:p>
    <w:p w14:paraId="6C9FD79D">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七、其他补充事宜</w:t>
      </w:r>
    </w:p>
    <w:p w14:paraId="48CD9105">
      <w:pPr>
        <w:spacing w:line="480" w:lineRule="exact"/>
        <w:ind w:firstLine="480" w:firstLineChars="200"/>
        <w:jc w:val="left"/>
        <w:outlineLvl w:val="4"/>
        <w:rPr>
          <w:rFonts w:hint="eastAsia" w:ascii="宋体" w:hAnsi="宋体" w:cs="宋体"/>
          <w:color w:val="auto"/>
          <w:kern w:val="0"/>
          <w:sz w:val="24"/>
          <w:highlight w:val="none"/>
          <w:lang w:val="zh-TW" w:bidi="zh-TW"/>
        </w:rPr>
      </w:pPr>
      <w:r>
        <w:rPr>
          <w:rFonts w:hint="eastAsia" w:ascii="宋体" w:hAnsi="宋体" w:cs="宋体"/>
          <w:bCs/>
          <w:color w:val="auto"/>
          <w:kern w:val="0"/>
          <w:sz w:val="24"/>
          <w:highlight w:val="none"/>
          <w:lang w:val="zh-TW" w:bidi="zh-TW"/>
        </w:rPr>
        <w:t>1.</w:t>
      </w:r>
      <w:r>
        <w:rPr>
          <w:rFonts w:hint="eastAsia" w:ascii="宋体" w:hAnsi="宋体" w:cs="宋体"/>
          <w:color w:val="auto"/>
          <w:kern w:val="0"/>
          <w:sz w:val="24"/>
          <w:highlight w:val="none"/>
          <w:lang w:bidi="zh-TW"/>
        </w:rPr>
        <w:t>竞标</w:t>
      </w:r>
      <w:r>
        <w:rPr>
          <w:rFonts w:hint="eastAsia" w:ascii="宋体" w:hAnsi="宋体" w:cs="宋体"/>
          <w:color w:val="auto"/>
          <w:kern w:val="0"/>
          <w:sz w:val="24"/>
          <w:highlight w:val="none"/>
          <w:lang w:val="zh-TW" w:eastAsia="zh-TW" w:bidi="zh-TW"/>
        </w:rPr>
        <w:t>保证金：</w:t>
      </w:r>
      <w:r>
        <w:rPr>
          <w:rFonts w:hint="eastAsia" w:ascii="宋体" w:hAnsi="宋体" w:cs="宋体"/>
          <w:color w:val="auto"/>
          <w:kern w:val="0"/>
          <w:sz w:val="24"/>
          <w:highlight w:val="none"/>
          <w:lang w:bidi="zh-TW"/>
        </w:rPr>
        <w:t>人民币（大写）壹万元整（￥1</w:t>
      </w:r>
      <w:r>
        <w:rPr>
          <w:rFonts w:hint="eastAsia" w:ascii="宋体" w:hAnsi="宋体" w:cs="宋体"/>
          <w:color w:val="auto"/>
          <w:kern w:val="0"/>
          <w:sz w:val="24"/>
          <w:highlight w:val="none"/>
          <w:lang w:val="en-US" w:eastAsia="zh-CN" w:bidi="zh-TW"/>
        </w:rPr>
        <w:t>0</w:t>
      </w:r>
      <w:r>
        <w:rPr>
          <w:rFonts w:hint="eastAsia" w:ascii="宋体" w:hAnsi="宋体" w:cs="宋体"/>
          <w:color w:val="auto"/>
          <w:kern w:val="0"/>
          <w:sz w:val="24"/>
          <w:highlight w:val="none"/>
          <w:lang w:bidi="zh-TW"/>
        </w:rPr>
        <w:t>000.00元）</w:t>
      </w:r>
      <w:r>
        <w:rPr>
          <w:rFonts w:hint="eastAsia" w:ascii="宋体" w:hAnsi="宋体" w:cs="宋体"/>
          <w:color w:val="auto"/>
          <w:kern w:val="0"/>
          <w:sz w:val="24"/>
          <w:highlight w:val="none"/>
          <w:lang w:val="zh-TW" w:bidi="zh-TW"/>
        </w:rPr>
        <w:t>；</w:t>
      </w:r>
      <w:r>
        <w:rPr>
          <w:rFonts w:hint="eastAsia" w:ascii="宋体" w:hAnsi="宋体" w:cs="宋体"/>
          <w:color w:val="auto"/>
          <w:kern w:val="0"/>
          <w:sz w:val="24"/>
          <w:highlight w:val="none"/>
          <w:lang w:val="zh-TW" w:eastAsia="zh-TW" w:bidi="zh-TW"/>
        </w:rPr>
        <w:t>须足额交纳</w:t>
      </w:r>
      <w:r>
        <w:rPr>
          <w:rFonts w:hint="eastAsia" w:ascii="宋体" w:hAnsi="宋体" w:cs="宋体"/>
          <w:color w:val="auto"/>
          <w:kern w:val="0"/>
          <w:sz w:val="24"/>
          <w:highlight w:val="none"/>
          <w:lang w:val="zh-TW" w:bidi="zh-TW"/>
        </w:rPr>
        <w:t>。</w:t>
      </w:r>
    </w:p>
    <w:p w14:paraId="17B01A9C">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zh-TW"/>
        </w:rPr>
        <w:t>竞标</w:t>
      </w:r>
      <w:r>
        <w:rPr>
          <w:rFonts w:hint="eastAsia" w:ascii="宋体" w:hAnsi="宋体" w:cs="宋体"/>
          <w:color w:val="auto"/>
          <w:kern w:val="0"/>
          <w:sz w:val="24"/>
          <w:highlight w:val="none"/>
          <w:lang w:val="zh-TW" w:eastAsia="zh-TW" w:bidi="zh-TW"/>
        </w:rPr>
        <w:t>保证金的交纳方式：银行转账、支票、汇票、本票或者银行、保险机构出具的保函，禁止采用现钞方式。采用银行转账方式的，在响应文件递交截止时间前交至采购代理机构指定账户并且到账【</w:t>
      </w:r>
      <w:r>
        <w:rPr>
          <w:rFonts w:hint="eastAsia" w:ascii="宋体" w:hAnsi="宋体" w:cs="宋体"/>
          <w:color w:val="auto"/>
          <w:kern w:val="0"/>
          <w:sz w:val="24"/>
          <w:highlight w:val="none"/>
          <w:u w:val="single"/>
          <w:lang w:val="zh-TW" w:eastAsia="zh-TW" w:bidi="zh-TW"/>
        </w:rPr>
        <w:t>开户名称：</w:t>
      </w:r>
      <w:r>
        <w:rPr>
          <w:rFonts w:hint="eastAsia" w:ascii="宋体" w:hAnsi="宋体" w:cs="宋体"/>
          <w:color w:val="auto"/>
          <w:kern w:val="0"/>
          <w:sz w:val="24"/>
          <w:highlight w:val="none"/>
          <w:u w:val="single"/>
          <w:lang w:val="zh-TW" w:bidi="zh-TW"/>
        </w:rPr>
        <w:t>广西城建咨询设计有限公司</w:t>
      </w:r>
      <w:r>
        <w:rPr>
          <w:rFonts w:hint="eastAsia" w:ascii="宋体" w:hAnsi="宋体" w:cs="宋体"/>
          <w:color w:val="auto"/>
          <w:kern w:val="0"/>
          <w:sz w:val="24"/>
          <w:highlight w:val="none"/>
          <w:u w:val="single"/>
          <w:lang w:val="zh-TW" w:eastAsia="zh-TW" w:bidi="zh-TW"/>
        </w:rPr>
        <w:t>，开户银行：建行南宁市民族大道东分理处，银行账号：4500 1604 6530 5070 3663</w:t>
      </w:r>
      <w:r>
        <w:rPr>
          <w:rFonts w:hint="eastAsia" w:ascii="宋体" w:hAnsi="宋体" w:cs="宋体"/>
          <w:color w:val="auto"/>
          <w:sz w:val="24"/>
          <w:highlight w:val="none"/>
          <w:u w:val="single"/>
        </w:rPr>
        <w:t>，转账时请注明项目编号或者项目名称</w:t>
      </w:r>
      <w:r>
        <w:rPr>
          <w:rFonts w:hint="eastAsia" w:ascii="宋体" w:hAnsi="宋体" w:cs="宋体"/>
          <w:color w:val="auto"/>
          <w:kern w:val="0"/>
          <w:sz w:val="24"/>
          <w:highlight w:val="none"/>
          <w:lang w:val="zh-TW" w:eastAsia="zh-TW" w:bidi="zh-TW"/>
        </w:rPr>
        <w:t>】，</w:t>
      </w:r>
      <w:r>
        <w:rPr>
          <w:rFonts w:hint="eastAsia" w:ascii="宋体" w:hAnsi="宋体" w:cs="宋体"/>
          <w:b/>
          <w:bCs/>
          <w:color w:val="auto"/>
          <w:kern w:val="0"/>
          <w:sz w:val="24"/>
          <w:highlight w:val="none"/>
          <w:lang w:val="zh-TW" w:eastAsia="zh-TW" w:bidi="zh-TW"/>
        </w:rPr>
        <w:t>采用支票、汇票、本票或者保函等方式的，在响应文件递交截止时间前，供应商应当递交单独密封的支票、汇票、本票或者保函原件，否则视为无效</w:t>
      </w:r>
      <w:r>
        <w:rPr>
          <w:rFonts w:hint="eastAsia" w:ascii="宋体" w:hAnsi="宋体" w:cs="宋体"/>
          <w:b/>
          <w:bCs/>
          <w:color w:val="auto"/>
          <w:kern w:val="0"/>
          <w:sz w:val="24"/>
          <w:highlight w:val="none"/>
          <w:lang w:bidi="zh-TW"/>
        </w:rPr>
        <w:t>竞标</w:t>
      </w:r>
      <w:r>
        <w:rPr>
          <w:rFonts w:hint="eastAsia" w:ascii="宋体" w:hAnsi="宋体" w:cs="宋体"/>
          <w:b/>
          <w:bCs/>
          <w:color w:val="auto"/>
          <w:kern w:val="0"/>
          <w:sz w:val="24"/>
          <w:highlight w:val="none"/>
          <w:lang w:val="zh-TW" w:eastAsia="zh-TW" w:bidi="zh-TW"/>
        </w:rPr>
        <w:t>保证金。</w:t>
      </w:r>
    </w:p>
    <w:p w14:paraId="7F09F58F">
      <w:pPr>
        <w:keepNext w:val="0"/>
        <w:keepLines w:val="0"/>
        <w:pageBreakBefore w:val="0"/>
        <w:widowControl w:val="0"/>
        <w:tabs>
          <w:tab w:val="left" w:pos="754"/>
        </w:tabs>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highlight w:val="none"/>
          <w:lang w:val="zh-TW" w:bidi="zh-TW"/>
        </w:rPr>
      </w:pPr>
      <w:bookmarkStart w:id="10" w:name="bookmark126"/>
      <w:bookmarkEnd w:id="10"/>
      <w:r>
        <w:rPr>
          <w:rFonts w:hint="eastAsia" w:ascii="宋体" w:hAnsi="宋体" w:cs="宋体"/>
          <w:color w:val="auto"/>
          <w:kern w:val="0"/>
          <w:sz w:val="24"/>
          <w:highlight w:val="none"/>
          <w:lang w:val="zh-TW" w:bidi="zh-TW"/>
        </w:rPr>
        <w:t>2.采购意向公开链接：</w:t>
      </w:r>
      <w:r>
        <w:rPr>
          <w:rFonts w:hint="eastAsia" w:ascii="宋体" w:hAnsi="宋体" w:eastAsia="宋体" w:cs="宋体"/>
          <w:color w:val="auto"/>
          <w:kern w:val="0"/>
          <w:sz w:val="24"/>
          <w:highlight w:val="none"/>
          <w:lang w:val="zh-TW" w:bidi="zh-TW"/>
        </w:rPr>
        <w:t>http://www.ccgp-guangxi.gov.cn/site/detail?parentId=66485&amp;articleId=zqy/R8yvJSshHPVmnjEzUg==</w:t>
      </w:r>
    </w:p>
    <w:p w14:paraId="6F1B963C">
      <w:pPr>
        <w:tabs>
          <w:tab w:val="left" w:pos="754"/>
        </w:tabs>
        <w:spacing w:line="480" w:lineRule="exact"/>
        <w:ind w:firstLine="480" w:firstLineChars="200"/>
        <w:jc w:val="left"/>
        <w:rPr>
          <w:rFonts w:hint="eastAsia" w:ascii="宋体" w:hAnsi="宋体" w:cs="宋体"/>
          <w:color w:val="auto"/>
          <w:kern w:val="0"/>
          <w:sz w:val="24"/>
          <w:highlight w:val="none"/>
          <w:lang w:val="zh-TW" w:eastAsia="zh-TW" w:bidi="zh-TW"/>
        </w:rPr>
      </w:pPr>
      <w:r>
        <w:rPr>
          <w:rFonts w:hint="eastAsia" w:ascii="宋体" w:hAnsi="宋体" w:cs="宋体"/>
          <w:color w:val="auto"/>
          <w:kern w:val="0"/>
          <w:sz w:val="24"/>
          <w:highlight w:val="none"/>
          <w:lang w:bidi="zh-TW"/>
        </w:rPr>
        <w:t>3</w:t>
      </w:r>
      <w:r>
        <w:rPr>
          <w:rFonts w:hint="eastAsia" w:ascii="宋体" w:hAnsi="宋体" w:cs="宋体"/>
          <w:color w:val="auto"/>
          <w:kern w:val="0"/>
          <w:sz w:val="24"/>
          <w:highlight w:val="none"/>
          <w:lang w:eastAsia="zh-TW" w:bidi="zh-TW"/>
        </w:rPr>
        <w:t>.</w:t>
      </w:r>
      <w:r>
        <w:rPr>
          <w:rFonts w:hint="eastAsia" w:ascii="宋体" w:hAnsi="宋体" w:cs="宋体"/>
          <w:color w:val="auto"/>
          <w:kern w:val="0"/>
          <w:sz w:val="24"/>
          <w:highlight w:val="none"/>
          <w:lang w:val="zh-TW" w:eastAsia="zh-TW" w:bidi="zh-TW"/>
        </w:rPr>
        <w:t>本项目需要落实的政府釆购政策：</w:t>
      </w:r>
    </w:p>
    <w:p w14:paraId="157459E1">
      <w:pPr>
        <w:spacing w:line="480" w:lineRule="exact"/>
        <w:ind w:firstLine="480" w:firstLineChars="200"/>
        <w:jc w:val="left"/>
        <w:rPr>
          <w:rFonts w:hint="eastAsia" w:ascii="宋体" w:hAnsi="宋体" w:cs="宋体"/>
          <w:color w:val="auto"/>
          <w:kern w:val="0"/>
          <w:sz w:val="24"/>
          <w:highlight w:val="none"/>
          <w:lang w:val="zh-TW" w:bidi="zh-TW"/>
        </w:rPr>
      </w:pPr>
      <w:bookmarkStart w:id="11" w:name="bookmark136"/>
      <w:bookmarkEnd w:id="11"/>
      <w:bookmarkStart w:id="12" w:name="bookmark135"/>
      <w:bookmarkEnd w:id="12"/>
      <w:r>
        <w:rPr>
          <w:rFonts w:hint="eastAsia" w:ascii="宋体" w:hAnsi="宋体" w:cs="宋体"/>
          <w:color w:val="auto"/>
          <w:kern w:val="0"/>
          <w:sz w:val="24"/>
          <w:highlight w:val="none"/>
          <w:lang w:val="zh-TW" w:bidi="zh-TW"/>
        </w:rPr>
        <w:t>（1）政府采购促进中小企业发展。</w:t>
      </w:r>
    </w:p>
    <w:p w14:paraId="1A82F7C5">
      <w:pPr>
        <w:spacing w:line="480" w:lineRule="exact"/>
        <w:ind w:firstLine="480" w:firstLineChars="200"/>
        <w:jc w:val="left"/>
        <w:rPr>
          <w:rFonts w:hint="eastAsia" w:ascii="宋体" w:hAnsi="宋体" w:cs="宋体"/>
          <w:color w:val="auto"/>
          <w:kern w:val="0"/>
          <w:sz w:val="24"/>
          <w:highlight w:val="none"/>
          <w:lang w:val="zh-TW" w:bidi="zh-TW"/>
        </w:rPr>
      </w:pPr>
      <w:r>
        <w:rPr>
          <w:rFonts w:hint="eastAsia" w:ascii="宋体" w:hAnsi="宋体" w:cs="宋体"/>
          <w:color w:val="auto"/>
          <w:kern w:val="0"/>
          <w:sz w:val="24"/>
          <w:highlight w:val="none"/>
          <w:lang w:val="zh-TW" w:bidi="zh-TW"/>
        </w:rPr>
        <w:t>（2）政府采购支持采用本国产品的政策。</w:t>
      </w:r>
    </w:p>
    <w:p w14:paraId="272595CE">
      <w:pPr>
        <w:spacing w:line="480" w:lineRule="exact"/>
        <w:ind w:firstLine="480" w:firstLineChars="200"/>
        <w:jc w:val="left"/>
        <w:rPr>
          <w:rFonts w:hint="eastAsia" w:ascii="宋体" w:hAnsi="宋体" w:cs="宋体"/>
          <w:color w:val="auto"/>
          <w:kern w:val="0"/>
          <w:sz w:val="24"/>
          <w:highlight w:val="none"/>
          <w:lang w:val="zh-TW" w:bidi="zh-TW"/>
        </w:rPr>
      </w:pPr>
      <w:r>
        <w:rPr>
          <w:rFonts w:hint="eastAsia" w:ascii="宋体" w:hAnsi="宋体" w:cs="宋体"/>
          <w:color w:val="auto"/>
          <w:kern w:val="0"/>
          <w:sz w:val="24"/>
          <w:highlight w:val="none"/>
          <w:lang w:val="zh-TW" w:bidi="zh-TW"/>
        </w:rPr>
        <w:t>（3）强制采购节能产品；优先采购节能产品、环境标志产品。</w:t>
      </w:r>
    </w:p>
    <w:p w14:paraId="731A6D3D">
      <w:pPr>
        <w:spacing w:line="480" w:lineRule="exact"/>
        <w:ind w:firstLine="480" w:firstLineChars="200"/>
        <w:jc w:val="left"/>
        <w:rPr>
          <w:rFonts w:hint="eastAsia" w:ascii="宋体" w:hAnsi="宋体" w:cs="宋体"/>
          <w:color w:val="auto"/>
          <w:kern w:val="0"/>
          <w:sz w:val="24"/>
          <w:highlight w:val="none"/>
          <w:lang w:val="zh-TW" w:bidi="zh-TW"/>
        </w:rPr>
      </w:pPr>
      <w:r>
        <w:rPr>
          <w:rFonts w:hint="eastAsia" w:ascii="宋体" w:hAnsi="宋体" w:cs="宋体"/>
          <w:color w:val="auto"/>
          <w:kern w:val="0"/>
          <w:sz w:val="24"/>
          <w:highlight w:val="none"/>
          <w:lang w:val="zh-TW" w:bidi="zh-TW"/>
        </w:rPr>
        <w:t>（4）政府采购促进残疾人就业政策。</w:t>
      </w:r>
    </w:p>
    <w:p w14:paraId="7E97AFBA">
      <w:pPr>
        <w:spacing w:line="480" w:lineRule="exact"/>
        <w:ind w:firstLine="480" w:firstLineChars="200"/>
        <w:jc w:val="left"/>
        <w:rPr>
          <w:rFonts w:hint="eastAsia" w:ascii="宋体" w:hAnsi="宋体" w:cs="宋体"/>
          <w:color w:val="auto"/>
          <w:kern w:val="0"/>
          <w:sz w:val="24"/>
          <w:highlight w:val="none"/>
          <w:lang w:val="zh-TW" w:bidi="zh-TW"/>
        </w:rPr>
      </w:pPr>
      <w:r>
        <w:rPr>
          <w:rFonts w:hint="eastAsia" w:ascii="宋体" w:hAnsi="宋体" w:cs="宋体"/>
          <w:color w:val="auto"/>
          <w:kern w:val="0"/>
          <w:sz w:val="24"/>
          <w:highlight w:val="none"/>
          <w:lang w:val="zh-TW" w:bidi="zh-TW"/>
        </w:rPr>
        <w:t>（5）政府采购支持监狱企业发展。</w:t>
      </w:r>
    </w:p>
    <w:p w14:paraId="0A6606D3">
      <w:pPr>
        <w:spacing w:line="480" w:lineRule="exact"/>
        <w:ind w:firstLine="480" w:firstLineChars="200"/>
        <w:jc w:val="left"/>
        <w:rPr>
          <w:rFonts w:hint="eastAsia" w:ascii="宋体" w:hAnsi="宋体" w:cs="宋体"/>
          <w:color w:val="auto"/>
          <w:kern w:val="0"/>
          <w:sz w:val="24"/>
          <w:highlight w:val="none"/>
          <w:lang w:val="zh-TW" w:bidi="zh-TW"/>
        </w:rPr>
      </w:pPr>
      <w:r>
        <w:rPr>
          <w:rFonts w:hint="eastAsia" w:ascii="宋体" w:hAnsi="宋体" w:cs="宋体"/>
          <w:color w:val="auto"/>
          <w:kern w:val="0"/>
          <w:sz w:val="24"/>
          <w:highlight w:val="none"/>
          <w:lang w:bidi="zh-TW"/>
        </w:rPr>
        <w:t>4</w:t>
      </w:r>
      <w:r>
        <w:rPr>
          <w:rFonts w:hint="eastAsia" w:ascii="宋体" w:hAnsi="宋体" w:cs="宋体"/>
          <w:color w:val="auto"/>
          <w:kern w:val="0"/>
          <w:sz w:val="24"/>
          <w:highlight w:val="none"/>
          <w:lang w:val="zh-TW" w:eastAsia="zh-TW" w:bidi="zh-TW"/>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釆购活动。</w:t>
      </w:r>
      <w:bookmarkStart w:id="13" w:name="bookmark94"/>
      <w:bookmarkEnd w:id="13"/>
    </w:p>
    <w:p w14:paraId="359F963C">
      <w:pPr>
        <w:spacing w:line="480" w:lineRule="exact"/>
        <w:ind w:firstLine="480" w:firstLineChars="200"/>
        <w:jc w:val="left"/>
        <w:rPr>
          <w:rFonts w:hint="eastAsia"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5.对在“信用中国”网站(https://www.creditchina.gov.cn/)被列入重大税收违法失信主体、严重失信主体名单以及“中国执行信息公开网”（https://zxgk.court.gov.cn/shixin/）列入失信被执行人</w:t>
      </w:r>
      <w:r>
        <w:rPr>
          <w:rFonts w:hint="eastAsia" w:ascii="宋体" w:hAnsi="宋体" w:eastAsia="宋体" w:cs="宋体"/>
          <w:color w:val="auto"/>
          <w:kern w:val="0"/>
          <w:sz w:val="24"/>
          <w:highlight w:val="none"/>
          <w:lang w:val="en-US" w:eastAsia="zh-CN" w:bidi="zh-TW"/>
        </w:rPr>
        <w:t>及“</w:t>
      </w:r>
      <w:r>
        <w:rPr>
          <w:rFonts w:hint="eastAsia" w:ascii="宋体" w:hAnsi="宋体" w:eastAsia="宋体" w:cs="宋体"/>
          <w:color w:val="auto"/>
          <w:kern w:val="0"/>
          <w:sz w:val="24"/>
          <w:highlight w:val="none"/>
          <w:lang w:val="zh-TW" w:eastAsia="zh-TW" w:bidi="zh-TW"/>
        </w:rPr>
        <w:t>中国政府釆购网</w:t>
      </w:r>
      <w:r>
        <w:rPr>
          <w:rFonts w:hint="eastAsia" w:ascii="宋体" w:hAnsi="宋体" w:eastAsia="宋体" w:cs="宋体"/>
          <w:color w:val="auto"/>
          <w:kern w:val="0"/>
          <w:sz w:val="24"/>
          <w:highlight w:val="none"/>
          <w:lang w:val="en-US" w:eastAsia="zh-CN" w:bidi="zh-TW"/>
        </w:rPr>
        <w:t>”</w:t>
      </w:r>
      <w:r>
        <w:rPr>
          <w:rFonts w:hint="eastAsia" w:ascii="宋体" w:hAnsi="宋体" w:eastAsia="宋体" w:cs="宋体"/>
          <w:color w:val="auto"/>
          <w:kern w:val="0"/>
          <w:sz w:val="24"/>
          <w:highlight w:val="none"/>
          <w:lang w:val="zh-TW" w:eastAsia="zh-TW" w:bidi="zh-TW"/>
        </w:rPr>
        <w:t>（www. ccgp. gov. cn） 被列入政府釆购严重违法失信行为记录名单及其他不符合《中华人民共和国政府采购法》第二十二条规定条件的供应商，不得参与政府采购活动。</w:t>
      </w:r>
    </w:p>
    <w:p w14:paraId="0C0FF826">
      <w:pPr>
        <w:tabs>
          <w:tab w:val="left" w:pos="1003"/>
        </w:tabs>
        <w:spacing w:line="480" w:lineRule="exact"/>
        <w:ind w:firstLine="480" w:firstLineChars="200"/>
        <w:jc w:val="left"/>
        <w:rPr>
          <w:rFonts w:hint="eastAsia" w:ascii="宋体" w:hAnsi="宋体" w:cs="宋体"/>
          <w:color w:val="auto"/>
          <w:kern w:val="0"/>
          <w:sz w:val="24"/>
          <w:highlight w:val="none"/>
          <w:lang w:val="zh-TW" w:eastAsia="zh-TW" w:bidi="zh-TW"/>
        </w:rPr>
      </w:pPr>
      <w:r>
        <w:rPr>
          <w:rFonts w:hint="eastAsia" w:ascii="宋体" w:hAnsi="宋体" w:cs="宋体"/>
          <w:color w:val="auto"/>
          <w:kern w:val="0"/>
          <w:sz w:val="24"/>
          <w:highlight w:val="none"/>
          <w:lang w:eastAsia="zh-TW" w:bidi="zh-TW"/>
        </w:rPr>
        <w:t>6.网上査询地址：</w:t>
      </w:r>
      <w:r>
        <w:rPr>
          <w:rFonts w:hint="eastAsia" w:ascii="宋体" w:hAnsi="宋体" w:cs="宋体"/>
          <w:color w:val="auto"/>
          <w:kern w:val="0"/>
          <w:sz w:val="24"/>
          <w:highlight w:val="none"/>
          <w:lang w:val="zh-TW" w:eastAsia="zh-TW" w:bidi="zh-TW"/>
        </w:rPr>
        <w:t>中国政府采购网（http://www.ccgp.gov.cn/）、广西壮族自治区政府采购网（http://zfcg.gxzf.gov.cn/)。</w:t>
      </w:r>
    </w:p>
    <w:p w14:paraId="76C3EEDD">
      <w:pPr>
        <w:spacing w:line="480" w:lineRule="exact"/>
        <w:ind w:firstLine="480" w:firstLineChars="200"/>
        <w:jc w:val="left"/>
        <w:rPr>
          <w:rFonts w:hint="eastAsia" w:ascii="宋体" w:hAnsi="宋体" w:cs="宋体"/>
          <w:color w:val="auto"/>
          <w:kern w:val="0"/>
          <w:sz w:val="24"/>
          <w:highlight w:val="none"/>
          <w:lang w:val="zh-TW" w:eastAsia="zh-TW" w:bidi="zh-TW"/>
        </w:rPr>
      </w:pPr>
      <w:r>
        <w:rPr>
          <w:rFonts w:hint="eastAsia" w:ascii="宋体" w:hAnsi="宋体" w:cs="宋体"/>
          <w:color w:val="auto"/>
          <w:kern w:val="0"/>
          <w:sz w:val="24"/>
          <w:highlight w:val="none"/>
          <w:lang w:bidi="zh-TW"/>
        </w:rPr>
        <w:t>7</w:t>
      </w:r>
      <w:r>
        <w:rPr>
          <w:rFonts w:hint="eastAsia" w:ascii="宋体" w:hAnsi="宋体" w:cs="宋体"/>
          <w:color w:val="auto"/>
          <w:kern w:val="0"/>
          <w:sz w:val="24"/>
          <w:highlight w:val="none"/>
          <w:lang w:val="zh-TW" w:eastAsia="zh-TW" w:bidi="zh-TW"/>
        </w:rPr>
        <w:t>.供应商竞标注意事项</w:t>
      </w:r>
    </w:p>
    <w:p w14:paraId="37C695CE">
      <w:pPr>
        <w:spacing w:line="470" w:lineRule="exact"/>
        <w:ind w:firstLine="480" w:firstLineChars="200"/>
        <w:rPr>
          <w:rFonts w:hint="eastAsia" w:ascii="宋体" w:hAnsi="宋体" w:cs="宋体"/>
          <w:color w:val="auto"/>
          <w:kern w:val="0"/>
          <w:sz w:val="24"/>
          <w:highlight w:val="none"/>
          <w:lang w:val="zh-TW" w:eastAsia="zh-TW" w:bidi="zh-TW"/>
        </w:rPr>
      </w:pPr>
      <w:r>
        <w:rPr>
          <w:rFonts w:hint="eastAsia" w:ascii="宋体" w:hAnsi="宋体" w:cs="宋体"/>
          <w:color w:val="auto"/>
          <w:kern w:val="0"/>
          <w:sz w:val="24"/>
          <w:highlight w:val="none"/>
          <w:lang w:val="zh-TW" w:eastAsia="zh-TW" w:bidi="zh-TW"/>
        </w:rPr>
        <w:t>（ 1 ） 本 项 目 为 全 流 程 电 子 化 采 购 项 目 ， 通 过 广 西 政 府 采 购 云 平 台 （https://www.gcy.zfcg.gxzf.gov.cn/）实行在线电子竞标，供应商应先安装“广西政府采购云平 台电子交易客户端 ”（请自行前往广西政府采购云平台进行下载），并按照本项目竞争性</w:t>
      </w:r>
      <w:r>
        <w:rPr>
          <w:rFonts w:hint="eastAsia" w:ascii="宋体" w:hAnsi="宋体" w:cs="宋体"/>
          <w:color w:val="auto"/>
          <w:kern w:val="0"/>
          <w:sz w:val="24"/>
          <w:highlight w:val="none"/>
          <w:lang w:val="zh-TW" w:bidi="zh-TW"/>
        </w:rPr>
        <w:t>谈判</w:t>
      </w:r>
      <w:r>
        <w:rPr>
          <w:rFonts w:hint="eastAsia" w:ascii="宋体" w:hAnsi="宋体" w:cs="宋体"/>
          <w:color w:val="auto"/>
          <w:kern w:val="0"/>
          <w:sz w:val="24"/>
          <w:highlight w:val="none"/>
          <w:lang w:val="zh-TW" w:eastAsia="zh-TW" w:bidi="zh-TW"/>
        </w:rPr>
        <w:t>文件和广西政府采购云平台的要求编制、加密后在提交响应文件截止时间前通过网络上传至广西政府采购云平台（加密的电子响应文件是指后缀名为“jmbs”的文件），供应商在广西政府采购云平台提 交电子响应文件时，请填写参加远程采购活动经办人联系方式。供应商登录广西政府采购云平台，依次进入“服务中心-项目采购-操作流程-电子招投标-政府采购项目电子交易管理操作指南-供应商 ”查看电子竞标具体操作流程。</w:t>
      </w:r>
    </w:p>
    <w:p w14:paraId="7DCD4991">
      <w:pPr>
        <w:spacing w:line="470" w:lineRule="exact"/>
        <w:ind w:firstLine="480" w:firstLineChars="200"/>
        <w:rPr>
          <w:rFonts w:hint="eastAsia" w:ascii="宋体" w:hAnsi="宋体" w:cs="宋体"/>
          <w:color w:val="auto"/>
          <w:kern w:val="0"/>
          <w:sz w:val="24"/>
          <w:highlight w:val="none"/>
          <w:lang w:val="zh-TW" w:eastAsia="zh-TW" w:bidi="zh-TW"/>
        </w:rPr>
      </w:pPr>
      <w:r>
        <w:rPr>
          <w:rFonts w:hint="eastAsia" w:ascii="宋体" w:hAnsi="宋体" w:cs="宋体"/>
          <w:color w:val="auto"/>
          <w:kern w:val="0"/>
          <w:sz w:val="24"/>
          <w:highlight w:val="none"/>
          <w:lang w:val="zh-TW" w:eastAsia="zh-TW" w:bidi="zh-TW"/>
        </w:rPr>
        <w:t>（2）未进行网上注册并办理数字证书（CA 认证）的供应商将无法参与本项目政府采购活动，供应商应当在提交响应文件截止时间前，完成电子交易平台上的 CA 数字证书办理及响应文件的提交（供应商可登录“广西政府采购网 ”，依次进入“办事服务-下载专区 ”或者登陆广西政府采购云平台，依次进入“服务中心-入驻与配置”中查看CA数字证书办理操作流程。如在操作过程中遇到问题或者需要技术支持，请致电广西政府采购云平台客服热线：95763）。</w:t>
      </w:r>
    </w:p>
    <w:p w14:paraId="62DA7B2B">
      <w:pPr>
        <w:spacing w:line="470" w:lineRule="exact"/>
        <w:ind w:firstLine="480" w:firstLineChars="200"/>
        <w:rPr>
          <w:rFonts w:hint="eastAsia" w:ascii="宋体" w:hAnsi="宋体" w:cs="宋体"/>
          <w:color w:val="auto"/>
          <w:kern w:val="0"/>
          <w:sz w:val="24"/>
          <w:highlight w:val="none"/>
          <w:lang w:val="zh-TW" w:eastAsia="zh-TW" w:bidi="zh-TW"/>
        </w:rPr>
      </w:pPr>
      <w:r>
        <w:rPr>
          <w:rFonts w:hint="eastAsia" w:ascii="宋体" w:hAnsi="宋体" w:cs="宋体"/>
          <w:color w:val="auto"/>
          <w:kern w:val="0"/>
          <w:sz w:val="24"/>
          <w:highlight w:val="none"/>
          <w:lang w:val="zh-TW" w:eastAsia="zh-TW" w:bidi="zh-TW"/>
        </w:rPr>
        <w:t>（3）CA证书在线解密：首次响应文件开启时，需携带制作响应文件时用来加密的有效数字证书（CA 认证）登录广西政府采购云平台电子开标大厅现场按规定时间对加密的响应文件进行解密，否则后果自负。</w:t>
      </w:r>
    </w:p>
    <w:p w14:paraId="5CDBC2E2">
      <w:pPr>
        <w:spacing w:line="470" w:lineRule="exact"/>
        <w:ind w:firstLine="480" w:firstLineChars="200"/>
        <w:rPr>
          <w:rFonts w:hint="eastAsia" w:ascii="宋体" w:hAnsi="宋体" w:cs="宋体"/>
          <w:color w:val="auto"/>
          <w:kern w:val="0"/>
          <w:sz w:val="24"/>
          <w:highlight w:val="none"/>
          <w:lang w:val="zh-TW" w:eastAsia="zh-TW" w:bidi="zh-TW"/>
        </w:rPr>
      </w:pPr>
      <w:r>
        <w:rPr>
          <w:rFonts w:hint="eastAsia" w:ascii="宋体" w:hAnsi="宋体" w:cs="宋体"/>
          <w:color w:val="auto"/>
          <w:kern w:val="0"/>
          <w:sz w:val="24"/>
          <w:highlight w:val="none"/>
          <w:lang w:val="zh-TW" w:eastAsia="zh-TW" w:bidi="zh-TW"/>
        </w:rPr>
        <w:t>注：1）为确保网上操作合法、有效和安全，请供应商确保在电子竞标过程中能够对相关数据电文进行加密和使用电子签章，妥善保管 CA 数字证书并使用有效的 CA 数字证书参与整个采购活动。2）供应商应当在提交响应文件截止时间前完成电子响应文件的提交（上传），提交响应文件截止时间前 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EA6A7EA">
      <w:pPr>
        <w:spacing w:line="470" w:lineRule="exact"/>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TW" w:eastAsia="zh-TW" w:bidi="zh-TW"/>
        </w:rPr>
        <w:t>（4）供应商需要在具备有摄像头及语音功能且互联网网络状况良好的电脑登录广西政府采购云平台远程开标大厅参与本次</w:t>
      </w:r>
      <w:r>
        <w:rPr>
          <w:rFonts w:hint="eastAsia" w:ascii="宋体" w:hAnsi="宋体" w:cs="宋体"/>
          <w:color w:val="auto"/>
          <w:kern w:val="0"/>
          <w:sz w:val="24"/>
          <w:highlight w:val="none"/>
          <w:lang w:val="zh-TW" w:bidi="zh-TW"/>
        </w:rPr>
        <w:t>谈判</w:t>
      </w:r>
      <w:r>
        <w:rPr>
          <w:rFonts w:hint="eastAsia" w:ascii="宋体" w:hAnsi="宋体" w:cs="宋体"/>
          <w:color w:val="auto"/>
          <w:kern w:val="0"/>
          <w:sz w:val="24"/>
          <w:highlight w:val="none"/>
          <w:lang w:val="zh-TW" w:eastAsia="zh-TW" w:bidi="zh-TW"/>
        </w:rPr>
        <w:t>，否则后果自负。</w:t>
      </w:r>
    </w:p>
    <w:p w14:paraId="4CF4E07F">
      <w:pPr>
        <w:spacing w:line="470" w:lineRule="exac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八、凡对本次采购提出询问，请按以下方式联系。</w:t>
      </w:r>
      <w:bookmarkEnd w:id="2"/>
      <w:bookmarkEnd w:id="3"/>
      <w:bookmarkEnd w:id="4"/>
      <w:bookmarkEnd w:id="5"/>
      <w:bookmarkEnd w:id="6"/>
      <w:bookmarkEnd w:id="7"/>
    </w:p>
    <w:p w14:paraId="4B3E754F">
      <w:pPr>
        <w:spacing w:line="470" w:lineRule="exact"/>
        <w:ind w:firstLine="840" w:firstLineChars="350"/>
        <w:rPr>
          <w:rFonts w:hint="eastAsia" w:ascii="宋体" w:hAnsi="宋体" w:cs="宋体"/>
          <w:color w:val="auto"/>
          <w:sz w:val="24"/>
          <w:highlight w:val="none"/>
        </w:rPr>
      </w:pPr>
      <w:bookmarkStart w:id="14" w:name="_Toc28359019"/>
      <w:bookmarkStart w:id="15" w:name="_Toc35393637"/>
      <w:bookmarkStart w:id="16" w:name="_Toc35393806"/>
      <w:bookmarkStart w:id="17" w:name="_Toc28359096"/>
      <w:r>
        <w:rPr>
          <w:rFonts w:hint="eastAsia" w:ascii="宋体" w:hAnsi="宋体" w:cs="宋体"/>
          <w:color w:val="auto"/>
          <w:sz w:val="24"/>
          <w:highlight w:val="none"/>
        </w:rPr>
        <w:t>1.采购人信息</w:t>
      </w:r>
    </w:p>
    <w:p w14:paraId="25978EA7">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xml:space="preserve">名    称：广西机电职业技术学院 </w:t>
      </w:r>
    </w:p>
    <w:p w14:paraId="76BF479C">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xml:space="preserve">地    址：南宁市西乡塘区大学东路101号 </w:t>
      </w:r>
    </w:p>
    <w:p w14:paraId="5F823353">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郑老师</w:t>
      </w:r>
      <w:r>
        <w:rPr>
          <w:rFonts w:hint="eastAsia" w:ascii="宋体" w:hAnsi="宋体" w:cs="宋体"/>
          <w:color w:val="auto"/>
          <w:sz w:val="24"/>
          <w:highlight w:val="none"/>
        </w:rPr>
        <w:t xml:space="preserve"> </w:t>
      </w:r>
    </w:p>
    <w:p w14:paraId="51483CD9">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xml:space="preserve">项目联系方式：0771-3276119  </w:t>
      </w:r>
    </w:p>
    <w:p w14:paraId="0E36263A">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4B954358">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xml:space="preserve">名    称：广西城建咨询设计有限公司 </w:t>
      </w:r>
    </w:p>
    <w:p w14:paraId="15C9EB2E">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xml:space="preserve">地    址：南宁市青秀区金湖路58号广西建设大厦三楼 </w:t>
      </w:r>
    </w:p>
    <w:p w14:paraId="597F7AC7">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xml:space="preserve">项目联系人：李建霞 </w:t>
      </w:r>
    </w:p>
    <w:p w14:paraId="4FC87C6B">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项目联系方式：0771-5587592、18275892310</w:t>
      </w:r>
    </w:p>
    <w:p w14:paraId="73000249">
      <w:pPr>
        <w:spacing w:line="470" w:lineRule="exac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　　　　　　　　　</w:t>
      </w:r>
    </w:p>
    <w:bookmarkEnd w:id="14"/>
    <w:bookmarkEnd w:id="15"/>
    <w:bookmarkEnd w:id="16"/>
    <w:bookmarkEnd w:id="17"/>
    <w:p w14:paraId="38AE2570">
      <w:pPr>
        <w:spacing w:line="470" w:lineRule="exact"/>
        <w:ind w:firstLine="5880" w:firstLineChars="2450"/>
        <w:jc w:val="right"/>
        <w:rPr>
          <w:rFonts w:hint="eastAsia" w:ascii="宋体" w:hAnsi="宋体" w:cs="宋体"/>
          <w:color w:val="auto"/>
          <w:sz w:val="24"/>
          <w:highlight w:val="none"/>
        </w:rPr>
      </w:pPr>
    </w:p>
    <w:p w14:paraId="1442EC36">
      <w:pPr>
        <w:spacing w:line="470" w:lineRule="exact"/>
        <w:ind w:firstLine="5880" w:firstLineChars="2450"/>
        <w:jc w:val="right"/>
        <w:rPr>
          <w:rFonts w:hint="eastAsia" w:ascii="宋体" w:hAnsi="宋体" w:cs="宋体"/>
          <w:color w:val="auto"/>
          <w:sz w:val="24"/>
          <w:highlight w:val="none"/>
        </w:rPr>
      </w:pPr>
      <w:r>
        <w:rPr>
          <w:rFonts w:hint="eastAsia" w:ascii="宋体" w:hAnsi="宋体" w:cs="宋体"/>
          <w:color w:val="auto"/>
          <w:sz w:val="24"/>
          <w:highlight w:val="none"/>
        </w:rPr>
        <w:t>广西城建咨询设计有限公司</w:t>
      </w:r>
    </w:p>
    <w:bookmarkEnd w:id="8"/>
    <w:p w14:paraId="77C5283A">
      <w:pPr>
        <w:spacing w:line="470" w:lineRule="exact"/>
        <w:ind w:firstLine="7560" w:firstLineChars="3150"/>
        <w:jc w:val="left"/>
        <w:rPr>
          <w:rFonts w:hint="eastAsia" w:ascii="宋体" w:hAnsi="宋体" w:cs="宋体"/>
          <w:color w:val="auto"/>
          <w:sz w:val="24"/>
          <w:highlight w:val="none"/>
          <w:u w:val="singl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日</w:t>
      </w:r>
    </w:p>
    <w:p w14:paraId="0F70B673">
      <w:pPr>
        <w:rPr>
          <w:rFonts w:hint="eastAsia" w:ascii="宋体" w:hAnsi="宋体" w:cs="宋体"/>
          <w:color w:val="auto"/>
          <w:highlight w:val="none"/>
        </w:rPr>
      </w:pPr>
      <w:bookmarkStart w:id="18" w:name="_Toc74322009"/>
      <w:r>
        <w:rPr>
          <w:rFonts w:hint="eastAsia" w:ascii="宋体" w:hAnsi="宋体" w:cs="宋体"/>
          <w:color w:val="auto"/>
          <w:highlight w:val="none"/>
        </w:rPr>
        <w:br w:type="page"/>
      </w:r>
    </w:p>
    <w:p w14:paraId="0DD462E4">
      <w:pPr>
        <w:pStyle w:val="2"/>
        <w:spacing w:before="0" w:after="0"/>
        <w:jc w:val="center"/>
        <w:rPr>
          <w:rFonts w:hint="eastAsia" w:ascii="宋体" w:hAnsi="宋体" w:cs="宋体"/>
          <w:color w:val="auto"/>
          <w:highlight w:val="none"/>
        </w:rPr>
      </w:pPr>
      <w:bookmarkStart w:id="19" w:name="_Toc1417"/>
      <w:r>
        <w:rPr>
          <w:rFonts w:hint="eastAsia" w:ascii="宋体" w:hAnsi="宋体" w:cs="宋体"/>
          <w:color w:val="auto"/>
          <w:highlight w:val="none"/>
        </w:rPr>
        <w:t>第二章 供应商须知</w:t>
      </w:r>
      <w:bookmarkEnd w:id="18"/>
      <w:bookmarkEnd w:id="19"/>
    </w:p>
    <w:p w14:paraId="7A2B3B40">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055D109C">
      <w:pPr>
        <w:spacing w:line="400" w:lineRule="exact"/>
        <w:jc w:val="center"/>
        <w:rPr>
          <w:rFonts w:hint="eastAsia" w:ascii="宋体" w:hAnsi="宋体" w:cs="宋体"/>
          <w:b/>
          <w:color w:val="auto"/>
          <w:sz w:val="32"/>
          <w:szCs w:val="32"/>
          <w:highlight w:val="none"/>
        </w:rPr>
      </w:pPr>
    </w:p>
    <w:tbl>
      <w:tblPr>
        <w:tblStyle w:val="27"/>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8181"/>
      </w:tblGrid>
      <w:tr w14:paraId="7BDB6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0970D3C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8181" w:type="dxa"/>
            <w:vAlign w:val="center"/>
          </w:tcPr>
          <w:p w14:paraId="561B25C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3EA1C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437C9A3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181" w:type="dxa"/>
            <w:vAlign w:val="center"/>
          </w:tcPr>
          <w:p w14:paraId="224FBF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供应商的资格条件：详见竞争性谈判公告</w:t>
            </w:r>
          </w:p>
        </w:tc>
      </w:tr>
      <w:tr w14:paraId="69EF0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65F58CA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5.1</w:t>
            </w:r>
          </w:p>
        </w:tc>
        <w:tc>
          <w:tcPr>
            <w:tcW w:w="8181" w:type="dxa"/>
            <w:vAlign w:val="center"/>
          </w:tcPr>
          <w:p w14:paraId="7EE26A9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是否接受联合体竞标: 详见竞争性谈判公告</w:t>
            </w:r>
          </w:p>
        </w:tc>
      </w:tr>
      <w:tr w14:paraId="40C53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1" w:type="dxa"/>
            <w:vAlign w:val="center"/>
          </w:tcPr>
          <w:p w14:paraId="5398A02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5.2</w:t>
            </w:r>
          </w:p>
        </w:tc>
        <w:tc>
          <w:tcPr>
            <w:tcW w:w="8181" w:type="dxa"/>
            <w:vAlign w:val="center"/>
          </w:tcPr>
          <w:p w14:paraId="2A79B8E5">
            <w:pPr>
              <w:spacing w:line="360" w:lineRule="auto"/>
              <w:rPr>
                <w:rFonts w:hint="eastAsia" w:ascii="宋体" w:hAnsi="宋体" w:cs="宋体"/>
                <w:color w:val="auto"/>
                <w:sz w:val="24"/>
                <w:highlight w:val="none"/>
              </w:rPr>
            </w:pPr>
            <w:r>
              <w:rPr>
                <w:rFonts w:hint="eastAsia" w:ascii="宋体" w:hAnsi="宋体" w:cs="宋体"/>
                <w:color w:val="auto"/>
                <w:sz w:val="24"/>
                <w:highlight w:val="none"/>
              </w:rPr>
              <w:t>如接受联合体竞标，联合体竞标要求如下：无。</w:t>
            </w:r>
          </w:p>
        </w:tc>
      </w:tr>
      <w:tr w14:paraId="4B580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91" w:type="dxa"/>
            <w:vAlign w:val="center"/>
          </w:tcPr>
          <w:p w14:paraId="4A9DA2C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6.2</w:t>
            </w:r>
          </w:p>
        </w:tc>
        <w:tc>
          <w:tcPr>
            <w:tcW w:w="8181" w:type="dxa"/>
            <w:vAlign w:val="center"/>
          </w:tcPr>
          <w:p w14:paraId="2F077456">
            <w:pPr>
              <w:pStyle w:val="8"/>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b/>
                <w:bCs/>
                <w:color w:val="auto"/>
                <w:sz w:val="24"/>
                <w:highlight w:val="none"/>
              </w:rPr>
              <w:t>√</w:t>
            </w:r>
            <w:r>
              <w:rPr>
                <w:rFonts w:hint="eastAsia" w:ascii="宋体" w:hAnsi="宋体" w:cs="宋体"/>
                <w:color w:val="auto"/>
                <w:sz w:val="24"/>
                <w:highlight w:val="none"/>
              </w:rPr>
              <w:t>本项目不允许分包。</w:t>
            </w:r>
          </w:p>
          <w:p w14:paraId="0F2B7D8E">
            <w:pPr>
              <w:pStyle w:val="8"/>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4247CEA5">
            <w:pPr>
              <w:pStyle w:val="8"/>
              <w:spacing w:line="360" w:lineRule="auto"/>
              <w:jc w:val="both"/>
              <w:rPr>
                <w:rFonts w:hint="eastAsia" w:ascii="宋体" w:hAnsi="宋体" w:cs="宋体"/>
                <w:color w:val="auto"/>
                <w:sz w:val="24"/>
                <w:highlight w:val="none"/>
                <w:u w:val="single"/>
              </w:rPr>
            </w:pPr>
            <w:r>
              <w:rPr>
                <w:rFonts w:hint="eastAsia" w:ascii="宋体" w:hAnsi="宋体" w:cs="宋体"/>
                <w:color w:val="auto"/>
                <w:sz w:val="24"/>
                <w:highlight w:val="none"/>
              </w:rPr>
              <w:t>分包内容：</w:t>
            </w:r>
          </w:p>
          <w:p w14:paraId="73FA5186">
            <w:pPr>
              <w:pStyle w:val="8"/>
              <w:spacing w:line="360" w:lineRule="auto"/>
              <w:jc w:val="both"/>
              <w:rPr>
                <w:rFonts w:hint="eastAsia"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     </w:t>
            </w:r>
          </w:p>
        </w:tc>
      </w:tr>
      <w:tr w14:paraId="09B80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5CD8494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12.1.1</w:t>
            </w:r>
          </w:p>
        </w:tc>
        <w:tc>
          <w:tcPr>
            <w:tcW w:w="8181" w:type="dxa"/>
            <w:vAlign w:val="center"/>
          </w:tcPr>
          <w:p w14:paraId="3B1CBA5F">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资格证明文件</w:t>
            </w:r>
          </w:p>
          <w:p w14:paraId="1645A266">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bCs/>
                <w:color w:val="auto"/>
                <w:sz w:val="24"/>
                <w:highlight w:val="none"/>
              </w:rPr>
              <w:t>（必须提供，否则响应文件按无效响应处理）</w:t>
            </w:r>
          </w:p>
          <w:p w14:paraId="2977A4A1">
            <w:pPr>
              <w:spacing w:line="360" w:lineRule="auto"/>
              <w:contextualSpacing/>
              <w:rPr>
                <w:rFonts w:hint="eastAsia" w:ascii="宋体" w:hAnsi="宋体" w:cs="宋体"/>
                <w:b/>
                <w:bCs/>
                <w:color w:val="auto"/>
                <w:sz w:val="24"/>
                <w:highlight w:val="none"/>
              </w:rPr>
            </w:pPr>
            <w:r>
              <w:rPr>
                <w:rFonts w:hint="eastAsia" w:ascii="宋体" w:hAnsi="宋体" w:cs="宋体"/>
                <w:color w:val="auto"/>
                <w:sz w:val="24"/>
                <w:highlight w:val="none"/>
              </w:rPr>
              <w:t>2.供应商依法缴纳税收的相关材料[</w:t>
            </w:r>
            <w:r>
              <w:rPr>
                <w:rFonts w:hint="eastAsia" w:ascii="宋体" w:hAnsi="宋体" w:cs="宋体"/>
                <w:color w:val="auto"/>
                <w:sz w:val="24"/>
                <w:highlight w:val="none"/>
                <w:u w:val="single"/>
              </w:rPr>
              <w:t>提交响应文件截止时间前半年内</w:t>
            </w:r>
            <w:r>
              <w:rPr>
                <w:rFonts w:hint="eastAsia" w:ascii="宋体" w:hAnsi="宋体" w:cs="宋体"/>
                <w:color w:val="auto"/>
                <w:sz w:val="24"/>
                <w:highlight w:val="none"/>
                <w:u w:val="single"/>
                <w:lang w:val="en-US" w:eastAsia="zh-CN"/>
              </w:rPr>
              <w:t>任意</w:t>
            </w:r>
            <w:r>
              <w:rPr>
                <w:rFonts w:hint="eastAsia" w:ascii="宋体" w:hAnsi="宋体" w:cs="宋体"/>
                <w:color w:val="auto"/>
                <w:sz w:val="24"/>
                <w:highlight w:val="none"/>
                <w:u w:val="single"/>
              </w:rPr>
              <w:t>连续</w:t>
            </w:r>
            <w:r>
              <w:rPr>
                <w:rFonts w:hint="eastAsia" w:ascii="宋体" w:hAnsi="宋体" w:cs="宋体"/>
                <w:color w:val="auto"/>
                <w:sz w:val="24"/>
                <w:highlight w:val="none"/>
                <w:u w:val="single"/>
                <w:lang w:val="en-US" w:eastAsia="zh-CN"/>
              </w:rPr>
              <w:t>三</w:t>
            </w:r>
            <w:r>
              <w:rPr>
                <w:rFonts w:hint="eastAsia" w:ascii="宋体" w:hAnsi="宋体" w:cs="宋体"/>
                <w:color w:val="auto"/>
                <w:sz w:val="24"/>
                <w:highlight w:val="none"/>
                <w:u w:val="single"/>
              </w:rPr>
              <w:t>个月的依法缴纳税收的</w:t>
            </w:r>
            <w:r>
              <w:rPr>
                <w:rFonts w:hint="eastAsia" w:ascii="宋体" w:hAnsi="宋体" w:cs="宋体"/>
                <w:color w:val="auto"/>
                <w:sz w:val="24"/>
                <w:highlight w:val="none"/>
                <w:u w:val="single"/>
                <w:lang w:val="en-US" w:eastAsia="zh-CN"/>
              </w:rPr>
              <w:t>证明材料</w:t>
            </w:r>
            <w:r>
              <w:rPr>
                <w:rFonts w:hint="eastAsia" w:ascii="宋体" w:hAnsi="宋体" w:cs="宋体"/>
                <w:color w:val="auto"/>
                <w:sz w:val="24"/>
                <w:highlight w:val="none"/>
                <w:u w:val="single"/>
              </w:rPr>
              <w:t>复印件</w:t>
            </w:r>
            <w:r>
              <w:rPr>
                <w:rFonts w:hint="eastAsia" w:ascii="宋体" w:hAnsi="宋体" w:cs="宋体"/>
                <w:color w:val="auto"/>
                <w:sz w:val="24"/>
                <w:highlight w:val="none"/>
              </w:rPr>
              <w:t>；依法免税或零申报的供应商，必须提供相应文件证明其依法免税</w:t>
            </w:r>
            <w:r>
              <w:rPr>
                <w:rFonts w:hint="eastAsia" w:ascii="宋体" w:hAnsi="宋体" w:cs="宋体"/>
                <w:color w:val="auto"/>
                <w:sz w:val="24"/>
                <w:highlight w:val="none"/>
                <w:lang w:val="en-US" w:eastAsia="zh-CN"/>
              </w:rPr>
              <w:t>或零申报</w:t>
            </w:r>
            <w:r>
              <w:rPr>
                <w:rFonts w:hint="eastAsia" w:ascii="宋体" w:hAnsi="宋体" w:cs="宋体"/>
                <w:color w:val="auto"/>
                <w:sz w:val="24"/>
                <w:highlight w:val="none"/>
              </w:rPr>
              <w:t>。从成立之日起到</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文件提交截止时间止不足要求月数的，只需提供从成立之日起的依法缴纳税收相应证明文件]；</w:t>
            </w:r>
            <w:r>
              <w:rPr>
                <w:rFonts w:hint="eastAsia" w:ascii="宋体" w:hAnsi="宋体" w:cs="宋体"/>
                <w:b/>
                <w:bCs/>
                <w:color w:val="auto"/>
                <w:sz w:val="24"/>
                <w:highlight w:val="none"/>
              </w:rPr>
              <w:t>（必须提供，否则响应文件按无效响应处理）</w:t>
            </w:r>
          </w:p>
          <w:p w14:paraId="7C607384">
            <w:pPr>
              <w:spacing w:line="360" w:lineRule="auto"/>
              <w:contextualSpacing/>
              <w:rPr>
                <w:rFonts w:hint="eastAsia" w:ascii="宋体" w:hAnsi="宋体" w:cs="宋体"/>
                <w:b/>
                <w:bCs/>
                <w:color w:val="auto"/>
                <w:sz w:val="24"/>
                <w:highlight w:val="none"/>
              </w:rPr>
            </w:pPr>
            <w:r>
              <w:rPr>
                <w:rFonts w:hint="eastAsia" w:ascii="宋体" w:hAnsi="宋体" w:cs="宋体"/>
                <w:color w:val="auto"/>
                <w:sz w:val="24"/>
                <w:highlight w:val="none"/>
              </w:rPr>
              <w:t>3.供应商依法缴纳社会保障资金的相关材料[</w:t>
            </w:r>
            <w:r>
              <w:rPr>
                <w:rFonts w:hint="eastAsia" w:ascii="宋体" w:hAnsi="宋体" w:cs="宋体"/>
                <w:color w:val="auto"/>
                <w:sz w:val="24"/>
                <w:highlight w:val="none"/>
                <w:u w:val="single"/>
              </w:rPr>
              <w:t>提交响应文件截止时间前半年内任意连续三个月</w:t>
            </w:r>
            <w:r>
              <w:rPr>
                <w:rFonts w:hint="eastAsia" w:ascii="宋体" w:hAnsi="宋体" w:cs="宋体"/>
                <w:color w:val="auto"/>
                <w:sz w:val="24"/>
                <w:highlight w:val="none"/>
                <w:u w:val="single"/>
                <w:lang w:val="en-US" w:eastAsia="zh-CN"/>
              </w:rPr>
              <w:t>的</w:t>
            </w:r>
            <w:r>
              <w:rPr>
                <w:rFonts w:hint="eastAsia" w:ascii="宋体" w:hAnsi="宋体" w:cs="宋体"/>
                <w:color w:val="auto"/>
                <w:sz w:val="24"/>
                <w:highlight w:val="none"/>
                <w:u w:val="single"/>
              </w:rPr>
              <w:t>依法缴纳社会保障资金的缴费</w:t>
            </w:r>
            <w:r>
              <w:rPr>
                <w:rFonts w:hint="eastAsia" w:ascii="宋体" w:hAnsi="宋体" w:cs="宋体"/>
                <w:color w:val="auto"/>
                <w:sz w:val="24"/>
                <w:highlight w:val="none"/>
                <w:u w:val="single"/>
                <w:lang w:val="en-US" w:eastAsia="zh-CN"/>
              </w:rPr>
              <w:t>证明材料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专用收据</w:t>
            </w:r>
            <w:r>
              <w:rPr>
                <w:rFonts w:hint="eastAsia" w:ascii="宋体" w:hAnsi="宋体" w:cs="宋体"/>
                <w:color w:val="auto"/>
                <w:sz w:val="24"/>
                <w:highlight w:val="none"/>
                <w:lang w:eastAsia="zh-CN"/>
              </w:rPr>
              <w:t>、</w:t>
            </w:r>
            <w:r>
              <w:rPr>
                <w:rFonts w:hint="eastAsia" w:ascii="宋体" w:hAnsi="宋体" w:cs="宋体"/>
                <w:color w:val="auto"/>
                <w:sz w:val="24"/>
                <w:highlight w:val="none"/>
              </w:rPr>
              <w:t>社会保险缴纳清单</w:t>
            </w:r>
            <w:r>
              <w:rPr>
                <w:rFonts w:hint="eastAsia" w:ascii="宋体" w:hAnsi="宋体" w:cs="宋体"/>
                <w:color w:val="auto"/>
                <w:sz w:val="24"/>
                <w:highlight w:val="none"/>
                <w:lang w:val="en-US" w:eastAsia="zh-CN"/>
              </w:rPr>
              <w:t>或者社保部门的证明</w:t>
            </w:r>
            <w:r>
              <w:rPr>
                <w:rFonts w:hint="eastAsia" w:ascii="宋体" w:hAnsi="宋体" w:cs="宋体"/>
                <w:color w:val="auto"/>
                <w:sz w:val="24"/>
                <w:highlight w:val="none"/>
              </w:rPr>
              <w:t>）复印件；依法不需要缴纳社会保障资金的供应商，必须提供相应文件证明不需要缴纳社会保障资金。从成立之日起到</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文件提交截止时间止不足要求月数的只需提供从成立之日起的依法缴纳社会保障资金的相应证明文件]；</w:t>
            </w:r>
            <w:r>
              <w:rPr>
                <w:rFonts w:hint="eastAsia" w:ascii="宋体" w:hAnsi="宋体" w:cs="宋体"/>
                <w:b/>
                <w:bCs/>
                <w:color w:val="auto"/>
                <w:sz w:val="24"/>
                <w:highlight w:val="none"/>
              </w:rPr>
              <w:t>（必须提供，否则响应文件按无效响应处理）</w:t>
            </w:r>
          </w:p>
          <w:p w14:paraId="742E9647">
            <w:pPr>
              <w:spacing w:line="360" w:lineRule="auto"/>
              <w:contextualSpacing/>
              <w:rPr>
                <w:rFonts w:hint="eastAsia" w:ascii="宋体" w:hAnsi="宋体" w:cs="宋体"/>
                <w:b/>
                <w:bCs/>
                <w:color w:val="auto"/>
                <w:sz w:val="24"/>
                <w:highlight w:val="none"/>
              </w:rPr>
            </w:pPr>
            <w:r>
              <w:rPr>
                <w:rFonts w:hint="eastAsia" w:ascii="宋体" w:hAnsi="宋体" w:cs="宋体"/>
                <w:color w:val="auto"/>
                <w:sz w:val="24"/>
                <w:highlight w:val="none"/>
              </w:rPr>
              <w:t>4.供应商财务状况报告[2025年度财务报表复印件（包括“四表一注”，即资产负债表、利润表、现金流量表、所有者权益变动表及附注，属于小微企业的无须提供所有者权益变动表）]，或者银行出具的资信证明，或者中国人民银行征信中心出具的信用报告（企业竞标的提供企业信用报告，自然人竞标的提供个人信用报告，供应商属于成立时间在规定年度之后的法人或其他组织，需提供成立之日起至首次响应文件提交截止时间前的月报表或银行出具的资信证明或者中国人民银行征信中心出具的企业信用报告；资信证明应在有效期内，未注明有效期的，银行出具时间至首次响应文件提交截止时间不超过一年）；</w:t>
            </w:r>
            <w:r>
              <w:rPr>
                <w:rFonts w:hint="eastAsia" w:ascii="宋体" w:hAnsi="宋体" w:cs="宋体"/>
                <w:b/>
                <w:bCs/>
                <w:color w:val="auto"/>
                <w:sz w:val="24"/>
                <w:highlight w:val="none"/>
              </w:rPr>
              <w:t>（必须提供，否则响应文件按无效响应处理）</w:t>
            </w:r>
          </w:p>
          <w:p w14:paraId="09BEB2B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供应商直接控股、管理关系信息表（格式后附）；</w:t>
            </w:r>
            <w:r>
              <w:rPr>
                <w:rFonts w:hint="eastAsia" w:ascii="宋体" w:hAnsi="宋体" w:cs="宋体"/>
                <w:b/>
                <w:bCs/>
                <w:color w:val="auto"/>
                <w:sz w:val="24"/>
                <w:highlight w:val="none"/>
              </w:rPr>
              <w:t>（</w:t>
            </w:r>
            <w:r>
              <w:rPr>
                <w:rFonts w:hint="eastAsia" w:ascii="宋体" w:hAnsi="宋体" w:cs="宋体"/>
                <w:b/>
                <w:color w:val="auto"/>
                <w:sz w:val="24"/>
                <w:highlight w:val="none"/>
              </w:rPr>
              <w:t>必须提供，否则响应文件按无效响应处理）</w:t>
            </w:r>
          </w:p>
          <w:p w14:paraId="69B94C8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竞标声明（格式后附）；</w:t>
            </w:r>
            <w:r>
              <w:rPr>
                <w:rFonts w:hint="eastAsia" w:ascii="宋体" w:hAnsi="宋体" w:cs="宋体"/>
                <w:b/>
                <w:bCs/>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b/>
                <w:bCs/>
                <w:color w:val="auto"/>
                <w:sz w:val="24"/>
                <w:highlight w:val="none"/>
              </w:rPr>
              <w:t>）</w:t>
            </w:r>
          </w:p>
          <w:p w14:paraId="2EEFF243">
            <w:pPr>
              <w:snapToGrid w:val="0"/>
              <w:spacing w:line="360" w:lineRule="auto"/>
              <w:rPr>
                <w:rFonts w:hint="eastAsia" w:ascii="宋体" w:hAnsi="宋体" w:eastAsia="宋体" w:cs="宋体"/>
                <w:b/>
                <w:bCs w:val="0"/>
                <w:color w:val="auto"/>
                <w:sz w:val="24"/>
                <w:highlight w:val="none"/>
                <w:lang w:eastAsia="zh-CN"/>
              </w:rPr>
            </w:pPr>
            <w:r>
              <w:rPr>
                <w:rFonts w:hint="eastAsia" w:ascii="宋体" w:hAnsi="宋体" w:cs="宋体"/>
                <w:color w:val="auto"/>
                <w:sz w:val="24"/>
                <w:highlight w:val="none"/>
              </w:rPr>
              <w:t>7</w:t>
            </w:r>
            <w:r>
              <w:rPr>
                <w:rFonts w:hint="eastAsia" w:ascii="宋体" w:hAnsi="宋体" w:cs="宋体"/>
                <w:bCs/>
                <w:color w:val="auto"/>
                <w:sz w:val="24"/>
                <w:highlight w:val="none"/>
              </w:rPr>
              <w:t>.中小企业声明函或残疾人福利性单位声明函或监狱企业证明材料复印件（格式后附）</w:t>
            </w:r>
            <w:r>
              <w:rPr>
                <w:rFonts w:hint="eastAsia" w:ascii="宋体" w:hAnsi="宋体" w:cs="宋体"/>
                <w:bCs/>
                <w:color w:val="auto"/>
                <w:sz w:val="24"/>
                <w:highlight w:val="none"/>
                <w:lang w:eastAsia="zh-CN"/>
              </w:rPr>
              <w:t>；</w:t>
            </w:r>
            <w:r>
              <w:rPr>
                <w:rFonts w:hint="eastAsia" w:ascii="宋体" w:hAnsi="宋体" w:cs="宋体"/>
                <w:b/>
                <w:bCs w:val="0"/>
                <w:color w:val="auto"/>
                <w:sz w:val="24"/>
                <w:highlight w:val="none"/>
                <w:lang w:eastAsia="zh-CN"/>
              </w:rPr>
              <w:t>（如专门面向中小或小微企业采购项目，则必须提供，否则响应文件按无效响应处理）</w:t>
            </w:r>
          </w:p>
          <w:p w14:paraId="655AE7F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除谈判文件规定必须提供以外，供应商认为需要提供的其他证明材料；</w:t>
            </w:r>
          </w:p>
          <w:p w14:paraId="6E3F142F">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1、以上标明“必须提供”的材料必须加盖供应商公章或电子签章，必须提供的材料在第五章“响应文件格式”中有要求法定代表人或委托代理人签字或盖章或电子签名的，必须由法定代表人或委托代理人签字或盖章或电子签名，否则响应文件按无效处理。</w:t>
            </w:r>
          </w:p>
          <w:p w14:paraId="2E7BA56F">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2、分公司参加竞标的，应当取得总公司授权，否则响应文件按无效响应处理。</w:t>
            </w:r>
          </w:p>
        </w:tc>
      </w:tr>
      <w:tr w14:paraId="07580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restart"/>
            <w:vAlign w:val="center"/>
          </w:tcPr>
          <w:p w14:paraId="43D5214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12.1.2</w:t>
            </w:r>
          </w:p>
        </w:tc>
        <w:tc>
          <w:tcPr>
            <w:tcW w:w="8181" w:type="dxa"/>
            <w:vAlign w:val="center"/>
          </w:tcPr>
          <w:p w14:paraId="11B5F6E8">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报价文件</w:t>
            </w:r>
          </w:p>
          <w:p w14:paraId="2F3BD6E7">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响应函（格式后附）；</w:t>
            </w:r>
            <w:r>
              <w:rPr>
                <w:rFonts w:hint="eastAsia" w:ascii="宋体" w:hAnsi="宋体" w:cs="宋体"/>
                <w:b/>
                <w:color w:val="auto"/>
                <w:sz w:val="24"/>
                <w:highlight w:val="none"/>
              </w:rPr>
              <w:t>（必须提供，否则响应文件按无效响应处理）</w:t>
            </w:r>
          </w:p>
          <w:p w14:paraId="08A4738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竞标报价表（格式后附）；</w:t>
            </w:r>
            <w:r>
              <w:rPr>
                <w:rFonts w:hint="eastAsia" w:ascii="宋体" w:hAnsi="宋体" w:cs="宋体"/>
                <w:b/>
                <w:color w:val="auto"/>
                <w:sz w:val="24"/>
                <w:highlight w:val="none"/>
              </w:rPr>
              <w:t>（必须提供，否则响应文件按无效响应处理）</w:t>
            </w:r>
          </w:p>
          <w:p w14:paraId="7AAF772F">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竞标人针对报价需要说明的其他文件和说明（格式自拟）。</w:t>
            </w:r>
          </w:p>
          <w:p w14:paraId="77BAC583">
            <w:pPr>
              <w:spacing w:line="360" w:lineRule="auto"/>
              <w:rPr>
                <w:rFonts w:hint="eastAsia" w:ascii="宋体" w:hAnsi="宋体" w:cs="宋体"/>
                <w:bCs/>
                <w:color w:val="auto"/>
                <w:sz w:val="24"/>
                <w:highlight w:val="none"/>
              </w:rPr>
            </w:pPr>
            <w:r>
              <w:rPr>
                <w:rFonts w:hint="eastAsia" w:ascii="宋体" w:hAnsi="宋体" w:cs="宋体"/>
                <w:b/>
                <w:bCs/>
                <w:color w:val="auto"/>
                <w:sz w:val="24"/>
                <w:highlight w:val="none"/>
              </w:rPr>
              <w:t>注：以上标明“必须提供”的材料必须加盖供应商公章或电子签章，必须提供的材料在第五章“响应文件格式”中有要求法定代表人或委托代理人签字或盖章或电子签名的，必须由法定代表人或委托代理人签字或盖章或电子签名，否则响应文件按无效处理。</w:t>
            </w:r>
          </w:p>
        </w:tc>
      </w:tr>
      <w:tr w14:paraId="4F200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91" w:type="dxa"/>
            <w:vMerge w:val="continue"/>
            <w:vAlign w:val="center"/>
          </w:tcPr>
          <w:p w14:paraId="4F0A22A0">
            <w:pPr>
              <w:spacing w:line="360" w:lineRule="auto"/>
              <w:jc w:val="center"/>
              <w:rPr>
                <w:rFonts w:hint="eastAsia" w:ascii="宋体" w:hAnsi="宋体" w:cs="宋体"/>
                <w:color w:val="auto"/>
                <w:sz w:val="24"/>
                <w:highlight w:val="none"/>
              </w:rPr>
            </w:pPr>
          </w:p>
        </w:tc>
        <w:tc>
          <w:tcPr>
            <w:tcW w:w="8181" w:type="dxa"/>
            <w:vAlign w:val="center"/>
          </w:tcPr>
          <w:p w14:paraId="2B713450">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商务技术文件</w:t>
            </w:r>
          </w:p>
          <w:p w14:paraId="27636A3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商务文件：</w:t>
            </w:r>
          </w:p>
          <w:p w14:paraId="05C43030">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.无串通竞标行为的承诺函（格式后附）；</w:t>
            </w:r>
            <w:r>
              <w:rPr>
                <w:rFonts w:hint="eastAsia" w:ascii="宋体" w:hAnsi="宋体" w:cs="宋体"/>
                <w:b/>
                <w:color w:val="auto"/>
                <w:sz w:val="24"/>
                <w:highlight w:val="none"/>
              </w:rPr>
              <w:t>（必须提供，否则响应文件按无效响应处理）</w:t>
            </w:r>
          </w:p>
          <w:p w14:paraId="1CEE52B6">
            <w:pPr>
              <w:snapToGrid w:val="0"/>
              <w:spacing w:line="360" w:lineRule="auto"/>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color w:val="auto"/>
                <w:sz w:val="24"/>
                <w:highlight w:val="none"/>
              </w:rPr>
              <w:t>（必须提供，否则响应文件按无效响应处理）</w:t>
            </w:r>
          </w:p>
          <w:p w14:paraId="52F5370B">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（委托时必须提供，否则响应文件按无效响应处理）</w:t>
            </w:r>
          </w:p>
          <w:p w14:paraId="427632E1">
            <w:pPr>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竞标保证金提交凭证；（</w:t>
            </w:r>
            <w:r>
              <w:rPr>
                <w:rFonts w:hint="eastAsia" w:ascii="宋体" w:hAnsi="宋体" w:cs="宋体"/>
                <w:b/>
                <w:bCs/>
                <w:color w:val="auto"/>
                <w:sz w:val="24"/>
                <w:highlight w:val="none"/>
              </w:rPr>
              <w:t>如要求提交竞标保证金的则必须提供</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27632095">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（必须提供，否则响应文件按无效响应处理）</w:t>
            </w:r>
          </w:p>
          <w:p w14:paraId="0EA1B2C2">
            <w:pPr>
              <w:spacing w:line="360" w:lineRule="auto"/>
              <w:rPr>
                <w:rFonts w:hint="eastAsia" w:ascii="宋体" w:hAnsi="宋体" w:cs="宋体"/>
                <w:color w:val="auto"/>
                <w:sz w:val="24"/>
                <w:highlight w:val="none"/>
              </w:rPr>
            </w:pPr>
            <w:r>
              <w:rPr>
                <w:rFonts w:hint="eastAsia" w:ascii="宋体" w:hAnsi="宋体" w:cs="宋体"/>
                <w:color w:val="auto"/>
                <w:sz w:val="24"/>
                <w:highlight w:val="none"/>
              </w:rPr>
              <w:t>6.供应商认为需要提供的其他有关技术资料；（如有，请提供）。</w:t>
            </w:r>
          </w:p>
          <w:p w14:paraId="2E7437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技术文件：</w:t>
            </w:r>
          </w:p>
          <w:p w14:paraId="5F908F3A">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.技术要求偏离表（格式后附）</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p>
          <w:p w14:paraId="35B24C8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货物配置清单（格式后附）；</w:t>
            </w:r>
            <w:r>
              <w:rPr>
                <w:rFonts w:hint="eastAsia" w:ascii="宋体" w:hAnsi="宋体" w:cs="宋体"/>
                <w:b/>
                <w:color w:val="auto"/>
                <w:sz w:val="24"/>
                <w:highlight w:val="none"/>
              </w:rPr>
              <w:t>（必须提供，否则响应文件按无效响应处理）</w:t>
            </w:r>
          </w:p>
          <w:p w14:paraId="5E09E58B">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（必须提供，否则响应文件按无效响应处理）</w:t>
            </w:r>
          </w:p>
          <w:p w14:paraId="5D34419D">
            <w:pPr>
              <w:spacing w:line="360" w:lineRule="auto"/>
              <w:rPr>
                <w:rFonts w:hint="eastAsia" w:ascii="宋体" w:hAnsi="宋体" w:cs="宋体"/>
                <w:color w:val="auto"/>
                <w:sz w:val="24"/>
                <w:highlight w:val="none"/>
              </w:rPr>
            </w:pPr>
            <w:r>
              <w:rPr>
                <w:rFonts w:hint="eastAsia" w:ascii="宋体" w:hAnsi="宋体" w:cs="宋体"/>
                <w:color w:val="auto"/>
                <w:sz w:val="24"/>
                <w:highlight w:val="none"/>
              </w:rPr>
              <w:t>4.项目实施人员一览表（格式自拟）；（如有，请提供）</w:t>
            </w:r>
          </w:p>
          <w:p w14:paraId="1AC0EC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对应采购需求的技术要求、商务要求提供的其他文件资料（格式自拟）；</w:t>
            </w:r>
          </w:p>
          <w:p w14:paraId="798A4057">
            <w:pPr>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供应商认为需要提供的其他有关资料；（如有，请提供）。</w:t>
            </w:r>
          </w:p>
          <w:p w14:paraId="4B2BCF55">
            <w:pPr>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t>注：以上标明“必须提供”的材料必须加盖供应商公章或电子签章，必须提供的材料在第五章“响应文件格式”中有要求法定代表人或委托代理人签字或盖章或电子签名的，必须由法定代表人或委托代理人签字或盖章或电子签名，否则响应文件按无效处理。</w:t>
            </w:r>
          </w:p>
        </w:tc>
      </w:tr>
      <w:tr w14:paraId="07DB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5DF67E1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15.2</w:t>
            </w:r>
          </w:p>
        </w:tc>
        <w:tc>
          <w:tcPr>
            <w:tcW w:w="8181" w:type="dxa"/>
            <w:vAlign w:val="center"/>
          </w:tcPr>
          <w:p w14:paraId="7009DF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所提供的总报价需包含货物价款，备件、专用工具、安装、调试、检验、技术培训及技术资料和包装、运输等全部费用。对于本文件中未列明，而供应商认为必需的费用，也需列入总报价。在合同实施时，采购人将不予支付成交供应商没有列入的项目费用，并认为此项目的费用已包括在响应总报价中。</w:t>
            </w:r>
          </w:p>
        </w:tc>
      </w:tr>
      <w:tr w14:paraId="7A453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4467B41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16.2</w:t>
            </w:r>
          </w:p>
        </w:tc>
        <w:tc>
          <w:tcPr>
            <w:tcW w:w="8181" w:type="dxa"/>
            <w:vAlign w:val="center"/>
          </w:tcPr>
          <w:p w14:paraId="73F36EB9">
            <w:pPr>
              <w:pStyle w:val="7"/>
              <w:widowControl w:val="0"/>
              <w:tabs>
                <w:tab w:val="clear" w:pos="454"/>
              </w:tabs>
              <w:snapToGrid w:val="0"/>
              <w:spacing w:after="0" w:afterLines="0" w:line="360" w:lineRule="auto"/>
              <w:ind w:left="324" w:hanging="324" w:hangingChars="135"/>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竞标有效期：首次响应文件提交截止之日起</w:t>
            </w:r>
            <w:r>
              <w:rPr>
                <w:rFonts w:hint="eastAsia" w:ascii="宋体" w:hAnsi="宋体" w:cs="宋体"/>
                <w:color w:val="auto"/>
                <w:kern w:val="2"/>
                <w:szCs w:val="24"/>
                <w:highlight w:val="none"/>
                <w:u w:val="single"/>
              </w:rPr>
              <w:t>60日历</w:t>
            </w:r>
            <w:r>
              <w:rPr>
                <w:rFonts w:hint="eastAsia" w:ascii="宋体" w:hAnsi="宋体" w:cs="宋体"/>
                <w:color w:val="auto"/>
                <w:kern w:val="2"/>
                <w:szCs w:val="24"/>
                <w:highlight w:val="none"/>
              </w:rPr>
              <w:t xml:space="preserve">天。 </w:t>
            </w:r>
          </w:p>
        </w:tc>
      </w:tr>
      <w:tr w14:paraId="3097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91" w:type="dxa"/>
            <w:vAlign w:val="center"/>
          </w:tcPr>
          <w:p w14:paraId="591BAD7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17.1</w:t>
            </w:r>
          </w:p>
        </w:tc>
        <w:tc>
          <w:tcPr>
            <w:tcW w:w="8181" w:type="dxa"/>
            <w:vAlign w:val="center"/>
          </w:tcPr>
          <w:p w14:paraId="00907B74">
            <w:pPr>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本项目不收取竞标保证金。</w:t>
            </w:r>
          </w:p>
          <w:p w14:paraId="05D2FBDD">
            <w:pPr>
              <w:spacing w:line="360" w:lineRule="auto"/>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本项目收取竞标保证金，具体规定如下：</w:t>
            </w:r>
          </w:p>
          <w:p w14:paraId="59D72C65">
            <w:pPr>
              <w:spacing w:line="440" w:lineRule="exact"/>
              <w:jc w:val="left"/>
              <w:outlineLvl w:val="4"/>
              <w:rPr>
                <w:rFonts w:hint="eastAsia" w:ascii="宋体" w:hAnsi="宋体" w:cs="宋体"/>
                <w:color w:val="auto"/>
                <w:sz w:val="24"/>
                <w:highlight w:val="none"/>
              </w:rPr>
            </w:pPr>
            <w:r>
              <w:rPr>
                <w:rFonts w:hint="eastAsia" w:ascii="宋体" w:hAnsi="宋体" w:cs="宋体"/>
                <w:color w:val="auto"/>
                <w:sz w:val="24"/>
                <w:highlight w:val="none"/>
              </w:rPr>
              <w:t>竞标保证金金额为：人民币（大写）壹万元整（￥1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000.00元）；须足额交纳。</w:t>
            </w:r>
          </w:p>
          <w:p w14:paraId="446B846C">
            <w:pPr>
              <w:spacing w:line="360" w:lineRule="auto"/>
              <w:rPr>
                <w:rFonts w:hint="eastAsia" w:ascii="宋体" w:hAnsi="宋体" w:cs="宋体"/>
                <w:color w:val="auto"/>
                <w:sz w:val="24"/>
                <w:highlight w:val="none"/>
                <w:lang w:val="zh-TW"/>
              </w:rPr>
            </w:pPr>
            <w:r>
              <w:rPr>
                <w:rFonts w:hint="eastAsia" w:ascii="宋体" w:hAnsi="宋体" w:cs="宋体"/>
                <w:color w:val="auto"/>
                <w:sz w:val="24"/>
                <w:highlight w:val="none"/>
              </w:rPr>
              <w:t>竞标保证金的交纳方式：</w:t>
            </w:r>
            <w:r>
              <w:rPr>
                <w:rFonts w:hint="eastAsia" w:ascii="宋体" w:hAnsi="宋体" w:cs="宋体"/>
                <w:color w:val="auto"/>
                <w:sz w:val="24"/>
                <w:highlight w:val="none"/>
                <w:lang w:val="zh-TW" w:eastAsia="zh-TW"/>
              </w:rPr>
              <w:t>银行转账、支票、汇票、本票或者银行、保险机构出具的保函，禁止采用现钞方式。采用银行转账方式的，在响应文件递交截止时间前交至采购代理机构指定账户并且到账【开户名称：</w:t>
            </w:r>
            <w:r>
              <w:rPr>
                <w:rFonts w:hint="eastAsia" w:ascii="宋体" w:hAnsi="宋体" w:cs="宋体"/>
                <w:color w:val="auto"/>
                <w:sz w:val="24"/>
                <w:highlight w:val="none"/>
                <w:lang w:val="zh-TW"/>
              </w:rPr>
              <w:t>广西城建咨询设计有限公司</w:t>
            </w:r>
            <w:r>
              <w:rPr>
                <w:rFonts w:hint="eastAsia" w:ascii="宋体" w:hAnsi="宋体" w:cs="宋体"/>
                <w:color w:val="auto"/>
                <w:sz w:val="24"/>
                <w:highlight w:val="none"/>
                <w:lang w:val="zh-TW" w:eastAsia="zh-TW"/>
              </w:rPr>
              <w:t>，开户银行：建行南宁市民族大道东分理处，银行账号：4500 1604 6530 5070 3663</w:t>
            </w:r>
            <w:r>
              <w:rPr>
                <w:rFonts w:hint="eastAsia" w:ascii="宋体" w:hAnsi="宋体" w:cs="宋体"/>
                <w:color w:val="auto"/>
                <w:sz w:val="24"/>
                <w:highlight w:val="none"/>
              </w:rPr>
              <w:t>，转账时请注明项目编号或者项目名称</w:t>
            </w:r>
            <w:r>
              <w:rPr>
                <w:rFonts w:hint="eastAsia" w:ascii="宋体" w:hAnsi="宋体" w:cs="宋体"/>
                <w:color w:val="auto"/>
                <w:sz w:val="24"/>
                <w:highlight w:val="none"/>
                <w:lang w:val="zh-TW" w:eastAsia="zh-TW"/>
              </w:rPr>
              <w:t>】，</w:t>
            </w:r>
            <w:r>
              <w:rPr>
                <w:rFonts w:hint="eastAsia" w:ascii="宋体" w:hAnsi="宋体" w:cs="宋体"/>
                <w:b/>
                <w:bCs/>
                <w:color w:val="auto"/>
                <w:sz w:val="24"/>
                <w:highlight w:val="none"/>
                <w:lang w:val="zh-TW" w:eastAsia="zh-TW"/>
              </w:rPr>
              <w:t>采用支票、汇票、本票或者保函等方式的，在响应文件递交截止时间前，供应商应当递交单独密封的支票、汇票、本票或者保函原件，否则视为无效</w:t>
            </w:r>
            <w:r>
              <w:rPr>
                <w:rFonts w:hint="eastAsia" w:ascii="宋体" w:hAnsi="宋体" w:cs="宋体"/>
                <w:b/>
                <w:bCs/>
                <w:color w:val="auto"/>
                <w:sz w:val="24"/>
                <w:highlight w:val="none"/>
                <w:lang w:val="zh-TW"/>
              </w:rPr>
              <w:t>竞标</w:t>
            </w:r>
            <w:r>
              <w:rPr>
                <w:rFonts w:hint="eastAsia" w:ascii="宋体" w:hAnsi="宋体" w:cs="宋体"/>
                <w:b/>
                <w:bCs/>
                <w:color w:val="auto"/>
                <w:sz w:val="24"/>
                <w:highlight w:val="none"/>
                <w:lang w:val="zh-TW" w:eastAsia="zh-TW"/>
              </w:rPr>
              <w:t>保证金</w:t>
            </w:r>
            <w:r>
              <w:rPr>
                <w:rFonts w:hint="eastAsia" w:ascii="宋体" w:hAnsi="宋体" w:cs="宋体"/>
                <w:b/>
                <w:bCs/>
                <w:color w:val="auto"/>
                <w:sz w:val="24"/>
                <w:highlight w:val="none"/>
                <w:lang w:val="zh-TW"/>
              </w:rPr>
              <w:t>。</w:t>
            </w:r>
          </w:p>
          <w:p w14:paraId="045329E8">
            <w:pPr>
              <w:spacing w:line="360" w:lineRule="auto"/>
              <w:rPr>
                <w:rFonts w:hint="eastAsia" w:ascii="宋体" w:hAnsi="宋体" w:cs="宋体"/>
                <w:color w:val="auto"/>
                <w:sz w:val="24"/>
                <w:highlight w:val="none"/>
              </w:rPr>
            </w:pPr>
            <w:r>
              <w:rPr>
                <w:rFonts w:hint="eastAsia" w:ascii="宋体" w:hAnsi="宋体" w:cs="宋体"/>
                <w:color w:val="auto"/>
                <w:sz w:val="24"/>
                <w:highlight w:val="none"/>
              </w:rPr>
              <w:t>相关要求：</w:t>
            </w:r>
          </w:p>
          <w:p w14:paraId="5FB4E9EE">
            <w:pPr>
              <w:snapToGrid w:val="0"/>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1.竞标保证金采用银行转账交纳方式的，在首次响应文件提交截止时间前交至采购代理机构指定账户并且到账，供应商应将银行转账底单的复印件作为竞标保证金提交凭证，放置于商务技术文件中，</w:t>
            </w:r>
            <w:r>
              <w:rPr>
                <w:rFonts w:hint="eastAsia" w:ascii="宋体" w:hAnsi="宋体" w:cs="宋体"/>
                <w:b/>
                <w:bCs/>
                <w:color w:val="auto"/>
                <w:sz w:val="24"/>
                <w:highlight w:val="none"/>
              </w:rPr>
              <w:t>否则响应文件按无效响应处理。</w:t>
            </w:r>
          </w:p>
          <w:p w14:paraId="4A2A39A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2.竞标保证金采用支票、汇票、本票或者金融、担保机构出具的保函交纳方式的，供应商应将支票、汇票、本票或者金融、担保机构出具的保函的复印件作为竞标保证金提交凭证，放置于商务技术文件中，</w:t>
            </w:r>
            <w:r>
              <w:rPr>
                <w:rFonts w:hint="eastAsia" w:ascii="宋体" w:hAnsi="宋体" w:cs="宋体"/>
                <w:b/>
                <w:bCs/>
                <w:color w:val="auto"/>
                <w:sz w:val="24"/>
                <w:highlight w:val="none"/>
              </w:rPr>
              <w:t>否则响应无效。</w:t>
            </w:r>
            <w:r>
              <w:rPr>
                <w:rFonts w:hint="eastAsia" w:ascii="宋体" w:hAnsi="宋体" w:cs="宋体"/>
                <w:color w:val="auto"/>
                <w:sz w:val="24"/>
                <w:highlight w:val="none"/>
              </w:rPr>
              <w:t>供应商必须于递交竞标文件时将支票、汇票、本票或者金融、担保机构出具的保函原件提交给采购人或者采购代理机构，由采购人或者采购代理机构向供应商出具回执，并妥善保管。</w:t>
            </w:r>
          </w:p>
          <w:p w14:paraId="18D9B17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3.竞标保证金指定帐户：详见竞争性竞标公告。</w:t>
            </w:r>
          </w:p>
          <w:p w14:paraId="0A0EA431">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备注：</w:t>
            </w:r>
          </w:p>
          <w:p w14:paraId="6E34CF47">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1.竞标保证金在响应文件提交截止时间后提交的，或者不按规定交纳方式交纳的，或者未足额交纳的（包含保函额度不足的），视为无效竞标保证金。</w:t>
            </w:r>
          </w:p>
          <w:p w14:paraId="36A9EA73">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2.供应商采用现钞方式或者从个人账户（自然人竞标除外）转出的竞标保证金，视为无效竞标保证金。</w:t>
            </w:r>
          </w:p>
          <w:p w14:paraId="50307751">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3.支票、汇票或者本票出现无效或者背书情形的，视为无效竞标保证金。</w:t>
            </w:r>
          </w:p>
          <w:p w14:paraId="3F17317D">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4.保函有效期低于竞标有效期的，视为无效竞标保证金。</w:t>
            </w:r>
          </w:p>
          <w:p w14:paraId="572F3748">
            <w:pP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5.采用银行、保险机构出具保函的，必须为无条件保函，否则视为无效竞标保证金。</w:t>
            </w:r>
          </w:p>
          <w:p w14:paraId="19D8C37E">
            <w:pPr>
              <w:snapToGrid w:val="0"/>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6.广西政府采购云平台暂未支持电子保函功能，故本项目暂不接受电子保函形式的保证金。</w:t>
            </w:r>
          </w:p>
        </w:tc>
      </w:tr>
      <w:tr w14:paraId="16532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14935FA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18.2</w:t>
            </w:r>
          </w:p>
        </w:tc>
        <w:tc>
          <w:tcPr>
            <w:tcW w:w="8181" w:type="dxa"/>
            <w:vAlign w:val="center"/>
          </w:tcPr>
          <w:p w14:paraId="1267CA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响应文件应按资格证明文件、报价文件、商务技术文件分别编制，</w:t>
            </w:r>
            <w:r>
              <w:rPr>
                <w:rFonts w:hint="eastAsia" w:ascii="宋体" w:hAnsi="宋体" w:cs="宋体"/>
                <w:color w:val="auto"/>
                <w:sz w:val="24"/>
                <w:highlight w:val="none"/>
                <w:lang w:bidi="ar"/>
              </w:rPr>
              <w:t>并按“广西政府采购云平台”的要求编制、加密、上传。</w:t>
            </w:r>
          </w:p>
        </w:tc>
      </w:tr>
      <w:tr w14:paraId="66E8A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6D96677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20.1</w:t>
            </w:r>
          </w:p>
        </w:tc>
        <w:tc>
          <w:tcPr>
            <w:tcW w:w="8181" w:type="dxa"/>
            <w:vAlign w:val="center"/>
          </w:tcPr>
          <w:p w14:paraId="37916BB2">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首次响应文件提交截止时间：详见竞争性谈判公告。</w:t>
            </w:r>
          </w:p>
          <w:p w14:paraId="55F2E853">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首次响应文件提交地点：详见竞争性谈判公告。</w:t>
            </w:r>
          </w:p>
        </w:tc>
      </w:tr>
      <w:tr w14:paraId="6DF9C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0950A9F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24.1</w:t>
            </w:r>
          </w:p>
        </w:tc>
        <w:tc>
          <w:tcPr>
            <w:tcW w:w="8181" w:type="dxa"/>
            <w:vAlign w:val="center"/>
          </w:tcPr>
          <w:p w14:paraId="19266D11">
            <w:pPr>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谈判小组的人数：3人。</w:t>
            </w:r>
          </w:p>
        </w:tc>
      </w:tr>
      <w:tr w14:paraId="05A0F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jc w:val="center"/>
        </w:trPr>
        <w:tc>
          <w:tcPr>
            <w:tcW w:w="991" w:type="dxa"/>
            <w:vAlign w:val="center"/>
          </w:tcPr>
          <w:p w14:paraId="17B6339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25.2</w:t>
            </w:r>
          </w:p>
        </w:tc>
        <w:tc>
          <w:tcPr>
            <w:tcW w:w="8181" w:type="dxa"/>
            <w:vAlign w:val="center"/>
          </w:tcPr>
          <w:p w14:paraId="2EEFA50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竞争性谈判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响应文件未按时解密的，视为响应文件无效。</w:t>
            </w:r>
          </w:p>
        </w:tc>
      </w:tr>
      <w:tr w14:paraId="2E394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restart"/>
            <w:vAlign w:val="center"/>
          </w:tcPr>
          <w:p w14:paraId="0725109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26</w:t>
            </w:r>
          </w:p>
        </w:tc>
        <w:tc>
          <w:tcPr>
            <w:tcW w:w="8181" w:type="dxa"/>
            <w:vAlign w:val="center"/>
          </w:tcPr>
          <w:p w14:paraId="2DD0F91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项。</w:t>
            </w:r>
          </w:p>
          <w:p w14:paraId="1573450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rPr>
              <w:t>项。</w:t>
            </w:r>
          </w:p>
        </w:tc>
      </w:tr>
      <w:tr w14:paraId="2ACE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991" w:type="dxa"/>
            <w:vMerge w:val="continue"/>
            <w:vAlign w:val="center"/>
          </w:tcPr>
          <w:p w14:paraId="5E8DCB9C">
            <w:pPr>
              <w:spacing w:line="360" w:lineRule="auto"/>
              <w:jc w:val="center"/>
              <w:rPr>
                <w:rFonts w:hint="eastAsia" w:ascii="宋体" w:hAnsi="宋体" w:cs="宋体"/>
                <w:color w:val="auto"/>
                <w:sz w:val="24"/>
                <w:highlight w:val="none"/>
              </w:rPr>
            </w:pPr>
          </w:p>
        </w:tc>
        <w:tc>
          <w:tcPr>
            <w:tcW w:w="8181" w:type="dxa"/>
            <w:vAlign w:val="center"/>
          </w:tcPr>
          <w:p w14:paraId="4C92349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谈判的顺序：按“广西政府采购云平台”系统的编号顺序。</w:t>
            </w:r>
          </w:p>
          <w:p w14:paraId="07F0359D">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符合谈判资格的供应商必须在接到谈判通知后规定时间内参加谈判，未在规定时间内参加谈判的视同放弃参加谈判权利，其响应文件按无效响应处理。</w:t>
            </w:r>
          </w:p>
          <w:p w14:paraId="5D4CAE90">
            <w:pPr>
              <w:snapToGrid w:val="0"/>
              <w:spacing w:line="360" w:lineRule="auto"/>
              <w:rPr>
                <w:rFonts w:hint="eastAsia" w:ascii="宋体" w:hAnsi="宋体" w:cs="宋体"/>
                <w:color w:val="auto"/>
                <w:sz w:val="24"/>
                <w:highlight w:val="none"/>
              </w:rPr>
            </w:pPr>
            <w:r>
              <w:rPr>
                <w:rFonts w:hint="eastAsia" w:ascii="宋体" w:hAnsi="宋体" w:cs="宋体"/>
                <w:b/>
                <w:color w:val="auto"/>
                <w:sz w:val="24"/>
                <w:highlight w:val="none"/>
              </w:rPr>
              <w:t>参与谈判前，供应商法定代表人或者委托代理人必须向谈判小组出示本人有效证件原件[有效证件可以是身份证（含临时身份证明）或者护照的其中一项。</w:t>
            </w:r>
          </w:p>
        </w:tc>
      </w:tr>
      <w:tr w14:paraId="61DF1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continue"/>
            <w:vAlign w:val="center"/>
          </w:tcPr>
          <w:p w14:paraId="7AFCD909">
            <w:pPr>
              <w:spacing w:line="360" w:lineRule="auto"/>
              <w:jc w:val="center"/>
              <w:rPr>
                <w:rFonts w:hint="eastAsia" w:ascii="宋体" w:hAnsi="宋体" w:cs="宋体"/>
                <w:color w:val="auto"/>
                <w:sz w:val="24"/>
                <w:highlight w:val="none"/>
              </w:rPr>
            </w:pPr>
          </w:p>
        </w:tc>
        <w:tc>
          <w:tcPr>
            <w:tcW w:w="8181" w:type="dxa"/>
            <w:vAlign w:val="center"/>
          </w:tcPr>
          <w:p w14:paraId="2B6EFD1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评审价相同时，按照最后报价由低到高顺序依次推荐；最后报价相同的，按以下原则确定成交候选人的顺序：</w:t>
            </w:r>
          </w:p>
          <w:p w14:paraId="1047A086">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☑依次按带“▲”的实质性要求正偏离项数多的优先、</w:t>
            </w:r>
            <w:r>
              <w:rPr>
                <w:rFonts w:hint="eastAsia" w:ascii="宋体" w:hAnsi="宋体" w:cs="宋体"/>
                <w:color w:val="auto"/>
                <w:sz w:val="24"/>
                <w:highlight w:val="none"/>
                <w:lang w:val="en-US" w:eastAsia="zh-CN"/>
              </w:rPr>
              <w:t>非</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的项</w:t>
            </w:r>
            <w:r>
              <w:rPr>
                <w:rFonts w:hint="eastAsia" w:ascii="宋体" w:hAnsi="宋体" w:cs="宋体"/>
                <w:color w:val="auto"/>
                <w:sz w:val="24"/>
                <w:highlight w:val="none"/>
              </w:rPr>
              <w:t>均无正偏离或者正偏离项数一致时负偏离项数少的优先</w:t>
            </w:r>
            <w:r>
              <w:rPr>
                <w:rFonts w:hint="eastAsia" w:ascii="宋体" w:hAnsi="宋体" w:cs="宋体"/>
                <w:color w:val="auto"/>
                <w:sz w:val="24"/>
                <w:highlight w:val="none"/>
                <w:lang w:eastAsia="zh-CN"/>
              </w:rPr>
              <w:t>、</w:t>
            </w:r>
            <w:r>
              <w:rPr>
                <w:rFonts w:hint="eastAsia" w:ascii="宋体" w:hAnsi="宋体" w:cs="宋体"/>
                <w:color w:val="auto"/>
                <w:sz w:val="24"/>
                <w:highlight w:val="none"/>
              </w:rPr>
              <w:t>质量保证期长优先、交货期短优先、故障响应时间短优先、节能环保产品累计金额多的优先的顺序排列。</w:t>
            </w:r>
          </w:p>
          <w:p w14:paraId="60052EB9">
            <w:pPr>
              <w:pStyle w:val="36"/>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如果上述都一样则以抽签形式确定成交供应商。</w:t>
            </w:r>
          </w:p>
          <w:p w14:paraId="4409071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□由谈判小组推荐代表随机抽取。</w:t>
            </w:r>
          </w:p>
        </w:tc>
      </w:tr>
      <w:tr w14:paraId="0A991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6C3C112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28.1</w:t>
            </w:r>
          </w:p>
        </w:tc>
        <w:tc>
          <w:tcPr>
            <w:tcW w:w="8181" w:type="dxa"/>
            <w:vAlign w:val="center"/>
          </w:tcPr>
          <w:p w14:paraId="2ED4FE91">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4143F653">
            <w:pPr>
              <w:spacing w:line="360" w:lineRule="auto"/>
              <w:jc w:val="left"/>
              <w:rPr>
                <w:rFonts w:hint="eastAsia" w:asciiTheme="minorEastAsia" w:hAnsiTheme="minorEastAsia" w:eastAsiaTheme="minorEastAsia" w:cstheme="minorEastAsia"/>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w:t>
            </w:r>
            <w:r>
              <w:rPr>
                <w:rFonts w:hint="eastAsia" w:asciiTheme="minorEastAsia" w:hAnsiTheme="minorEastAsia" w:eastAsiaTheme="minorEastAsia" w:cstheme="minorEastAsia"/>
                <w:color w:val="auto"/>
                <w:sz w:val="24"/>
                <w:highlight w:val="none"/>
              </w:rPr>
              <w:t>收取履约保证金：具体规定如下：</w:t>
            </w:r>
          </w:p>
          <w:p w14:paraId="10AB1B14">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履约保证金金额：按成交金额的2%交纳。</w:t>
            </w:r>
          </w:p>
          <w:p w14:paraId="30A4D4BB">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履约保证金递交方式：以电汇、转账、汇票、保函等非现金形式提交。由成交人在签订合同前按规定的金额直接缴入广西机电职业技术学院账户，账户名称：广西机电职业技术学院；开户行：建设银行南宁大学路支行；银行账号：4500 1604 8510 5050 3961。</w:t>
            </w:r>
          </w:p>
          <w:p w14:paraId="15083F22">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交人须在签订合同之前按照本条规定的履约保证金金额、递交方式直接转入采购人账户，否则不予签订合同。由成交人向履约保证金收取单位提供《采购项目合同验收书》、《采购项目履约保证金退付意见书》，保证金收取单位在收到合格材料后，根据成交人相关违约处罚扣款后的实际数额在5个工作日内办理退还手续（不计利息）。若采购内容质保期各不相同的，也可按金额比例分次退付。</w:t>
            </w:r>
          </w:p>
          <w:p w14:paraId="5AA669E2">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4.在履约保证金退还日期前，若成交人的开户名称、开户银行、账号有变动的，请以书面形式通知广西机电职业技术学院，否则由此产生的后果由成交人自负。</w:t>
            </w:r>
          </w:p>
          <w:p w14:paraId="26118DF6">
            <w:p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p w14:paraId="7DFBDA2A">
            <w:pPr>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7E08B4BC">
            <w:pPr>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24"/>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18016E3">
            <w:pPr>
              <w:spacing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3.采用金融、担保机构出具的保函的，必须为无条件保函，否则不予签订合同。</w:t>
            </w:r>
          </w:p>
          <w:p w14:paraId="7BF27ADE">
            <w:pPr>
              <w:autoSpaceDE w:val="0"/>
              <w:autoSpaceDN w:val="0"/>
              <w:snapToGrid w:val="0"/>
              <w:spacing w:line="360" w:lineRule="auto"/>
              <w:textAlignment w:val="bottom"/>
              <w:rPr>
                <w:rFonts w:hint="eastAsia" w:ascii="宋体" w:hAnsi="宋体" w:cs="宋体"/>
                <w:color w:val="auto"/>
                <w:sz w:val="24"/>
                <w:highlight w:val="none"/>
              </w:rPr>
            </w:pPr>
            <w:r>
              <w:rPr>
                <w:rFonts w:hint="eastAsia" w:asciiTheme="minorEastAsia" w:hAnsiTheme="minorEastAsia" w:eastAsiaTheme="minorEastAsia" w:cstheme="minorEastAsia"/>
                <w:b/>
                <w:color w:val="auto"/>
                <w:sz w:val="24"/>
                <w:highlight w:val="none"/>
              </w:rPr>
              <w:t>4.供应商为联合体的，由联合体其中一方按规定提交的履约保证金，视为有效履约保证金。</w:t>
            </w:r>
          </w:p>
        </w:tc>
      </w:tr>
      <w:tr w14:paraId="5AB93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91" w:type="dxa"/>
            <w:vAlign w:val="center"/>
          </w:tcPr>
          <w:p w14:paraId="0813E10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29.1</w:t>
            </w:r>
          </w:p>
        </w:tc>
        <w:tc>
          <w:tcPr>
            <w:tcW w:w="8181" w:type="dxa"/>
            <w:vAlign w:val="center"/>
          </w:tcPr>
          <w:p w14:paraId="49BC4CB6">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6ECEF6DD">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3FFC7894">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3A33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91" w:type="dxa"/>
            <w:vAlign w:val="center"/>
          </w:tcPr>
          <w:p w14:paraId="04A7BD33">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31.2</w:t>
            </w:r>
          </w:p>
        </w:tc>
        <w:tc>
          <w:tcPr>
            <w:tcW w:w="8181" w:type="dxa"/>
            <w:vAlign w:val="center"/>
          </w:tcPr>
          <w:p w14:paraId="1C69A272">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接收质疑函方式：以书面形式。</w:t>
            </w:r>
          </w:p>
          <w:p w14:paraId="3D5A8C3D">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质疑联系部门及联系方式：广西城建咨询设计有限公司，联系电话：0771-5587592，邮箱：2862904336@qq.com（电话无人接听时请通过邮件联系），通讯地址：南宁市青秀区金湖路58号广西建设大厦三楼</w:t>
            </w:r>
          </w:p>
          <w:p w14:paraId="7761C74D">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现场提交质疑办理业务时间：每天9时00分到12时00分，15时00分到17时30分，业务时间以外、双休日和法定节假日不办理业务。</w:t>
            </w:r>
          </w:p>
        </w:tc>
      </w:tr>
      <w:tr w14:paraId="0EE04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0" w:hRule="atLeast"/>
          <w:jc w:val="center"/>
        </w:trPr>
        <w:tc>
          <w:tcPr>
            <w:tcW w:w="991" w:type="dxa"/>
            <w:vAlign w:val="center"/>
          </w:tcPr>
          <w:p w14:paraId="219C992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32.1</w:t>
            </w:r>
          </w:p>
        </w:tc>
        <w:tc>
          <w:tcPr>
            <w:tcW w:w="8181" w:type="dxa"/>
            <w:vAlign w:val="center"/>
          </w:tcPr>
          <w:p w14:paraId="2B7DD516">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1.采购代理服务费支付方式：</w:t>
            </w:r>
          </w:p>
          <w:p w14:paraId="3043BD2E">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成交供应商</w:t>
            </w:r>
            <w:r>
              <w:rPr>
                <w:rFonts w:hint="eastAsia" w:hAnsi="宋体" w:cs="宋体"/>
                <w:color w:val="auto"/>
                <w:sz w:val="24"/>
                <w:szCs w:val="24"/>
                <w:highlight w:val="none"/>
              </w:rPr>
              <w:t>领取成交通知书前，一次性向采购代理机构支付。</w:t>
            </w:r>
          </w:p>
          <w:p w14:paraId="2BE847AA">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□采购人支付。</w:t>
            </w:r>
          </w:p>
          <w:p w14:paraId="545451E2">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2.采购代理服务费收取标准：本项目采购代理服务费由成交单位支付，参照原国家发展计划委员会《招标代理服务费管理暂行办法》（计价格〔2002〕1980号）收费标准下浮20%向成交供应商收取。</w:t>
            </w:r>
          </w:p>
          <w:p w14:paraId="3874BA9B">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3、采购代理服务费专用银行账号：</w:t>
            </w:r>
          </w:p>
          <w:p w14:paraId="1C77ECDA">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开户名称：广西城建咨询设计有限公司</w:t>
            </w:r>
          </w:p>
          <w:p w14:paraId="395A6F36">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开户银行：中国建设银行股份有限公司南宁锦春路支行</w:t>
            </w:r>
          </w:p>
          <w:p w14:paraId="64D739DF">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银行账号：45050160478300000080</w:t>
            </w:r>
          </w:p>
          <w:p w14:paraId="4A040434">
            <w:pPr>
              <w:spacing w:line="59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招标代理服务收费标准</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93"/>
              <w:gridCol w:w="1538"/>
              <w:gridCol w:w="1593"/>
              <w:gridCol w:w="1538"/>
            </w:tblGrid>
            <w:tr w14:paraId="68A13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093" w:type="dxa"/>
                  <w:tcBorders>
                    <w:top w:val="single" w:color="auto" w:sz="4" w:space="0"/>
                    <w:left w:val="single" w:color="auto" w:sz="4" w:space="0"/>
                    <w:bottom w:val="single" w:color="auto" w:sz="4" w:space="0"/>
                    <w:right w:val="single" w:color="auto" w:sz="4" w:space="0"/>
                  </w:tcBorders>
                </w:tcPr>
                <w:p w14:paraId="1391835A">
                  <w:pPr>
                    <w:spacing w:line="360" w:lineRule="exact"/>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6985</wp:posOffset>
                            </wp:positionV>
                            <wp:extent cx="673100" cy="922655"/>
                            <wp:effectExtent l="3810" t="2540" r="8890" b="8255"/>
                            <wp:wrapNone/>
                            <wp:docPr id="2" name="直接连接符 2"/>
                            <wp:cNvGraphicFramePr/>
                            <a:graphic xmlns:a="http://schemas.openxmlformats.org/drawingml/2006/main">
                              <a:graphicData uri="http://schemas.microsoft.com/office/word/2010/wordprocessingShape">
                                <wps:wsp>
                                  <wps:cNvCnPr/>
                                  <wps:spPr>
                                    <a:xfrm>
                                      <a:off x="0" y="0"/>
                                      <a:ext cx="673100" cy="92265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pt;margin-top:0.55pt;height:72.65pt;width:53pt;z-index:251661312;mso-width-relative:page;mso-height-relative:page;" filled="f" stroked="t" coordsize="21600,21600" o:gfxdata="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cyaP&#10;1AAAAAkBAAAPAAAAAAAAAAEAIAAAACIAAABkcnMvZG93bnJldi54bWxQSwECFAAUAAAACACHTuJA&#10;GLTLeewBAADcAwAADgAAAAAAAAABACAAAAAjAQAAZHJzL2Uyb0RvYy54bWxQSwUGAAAAAAYABgBZ&#10;AQAAgQUAAAAA&#10;">
                            <v:fill on="f" focussize="0,0"/>
                            <v:stroke weight="0.5pt" color="#000000" joinstyle="round"/>
                            <v:imagedata o:title=""/>
                            <o:lock v:ext="edit" aspectratio="f"/>
                          </v:lin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14605</wp:posOffset>
                            </wp:positionV>
                            <wp:extent cx="1313815" cy="902335"/>
                            <wp:effectExtent l="2540" t="3810" r="17145" b="8255"/>
                            <wp:wrapNone/>
                            <wp:docPr id="4" name="直接连接符 4"/>
                            <wp:cNvGraphicFramePr/>
                            <a:graphic xmlns:a="http://schemas.openxmlformats.org/drawingml/2006/main">
                              <a:graphicData uri="http://schemas.microsoft.com/office/word/2010/wordprocessingShape">
                                <wps:wsp>
                                  <wps:cNvCnPr/>
                                  <wps:spPr>
                                    <a:xfrm>
                                      <a:off x="0" y="0"/>
                                      <a:ext cx="1313815" cy="902335"/>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75pt;margin-top:1.15pt;height:71.05pt;width:103.45pt;z-index:251662336;mso-width-relative:page;mso-height-relative:page;" filled="f" stroked="t" coordsize="21600,21600" o:gfxdata="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LelP1gAAAAkBAAAPAAAAAAAAAAEAIAAAACIAAABkcnMvZG93bnJldi54bWxQSwECFAAUAAAA&#10;CACHTuJAT9dSYPABAADdAwAADgAAAAAAAAABACAAAAAlAQAAZHJzL2Uyb0RvYy54bWxQSwUGAAAA&#10;AAYABgBZAQAAhwUAAAAA&#10;">
                            <v:fill on="f" focussize="0,0"/>
                            <v:stroke weight="0.5pt" color="#000000" joinstyle="round"/>
                            <v:imagedata o:title=""/>
                            <o:lock v:ext="edit" aspectratio="f"/>
                          </v:line>
                        </w:pict>
                      </mc:Fallback>
                    </mc:AlternateContent>
                  </w:r>
                  <w:r>
                    <w:rPr>
                      <w:rFonts w:hint="eastAsia" w:asciiTheme="minorEastAsia" w:hAnsiTheme="minorEastAsia" w:eastAsiaTheme="minorEastAsia" w:cstheme="minorEastAsia"/>
                      <w:color w:val="auto"/>
                      <w:sz w:val="24"/>
                      <w:highlight w:val="none"/>
                    </w:rPr>
                    <w:t>服务</w:t>
                  </w:r>
                </w:p>
                <w:p w14:paraId="5261A5B7">
                  <w:pPr>
                    <w:spacing w:line="360" w:lineRule="exact"/>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费率      类型</w:t>
                  </w:r>
                </w:p>
                <w:p w14:paraId="75E60FB8">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w:t>
                  </w:r>
                </w:p>
                <w:p w14:paraId="7D63B57B">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金额（万元）</w:t>
                  </w:r>
                </w:p>
              </w:tc>
              <w:tc>
                <w:tcPr>
                  <w:tcW w:w="1538" w:type="dxa"/>
                  <w:tcBorders>
                    <w:top w:val="single" w:color="auto" w:sz="4" w:space="0"/>
                    <w:left w:val="single" w:color="auto" w:sz="4" w:space="0"/>
                    <w:bottom w:val="single" w:color="auto" w:sz="4" w:space="0"/>
                    <w:right w:val="single" w:color="auto" w:sz="4" w:space="0"/>
                  </w:tcBorders>
                  <w:vAlign w:val="center"/>
                </w:tcPr>
                <w:p w14:paraId="123A2406">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货物招标</w:t>
                  </w:r>
                </w:p>
              </w:tc>
              <w:tc>
                <w:tcPr>
                  <w:tcW w:w="1593" w:type="dxa"/>
                  <w:tcBorders>
                    <w:top w:val="single" w:color="auto" w:sz="4" w:space="0"/>
                    <w:left w:val="single" w:color="auto" w:sz="4" w:space="0"/>
                    <w:bottom w:val="single" w:color="auto" w:sz="4" w:space="0"/>
                    <w:right w:val="single" w:color="auto" w:sz="4" w:space="0"/>
                  </w:tcBorders>
                  <w:vAlign w:val="center"/>
                </w:tcPr>
                <w:p w14:paraId="3D85FAB1">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服务招标</w:t>
                  </w:r>
                </w:p>
              </w:tc>
              <w:tc>
                <w:tcPr>
                  <w:tcW w:w="1538" w:type="dxa"/>
                  <w:tcBorders>
                    <w:top w:val="single" w:color="auto" w:sz="4" w:space="0"/>
                    <w:left w:val="single" w:color="auto" w:sz="4" w:space="0"/>
                    <w:bottom w:val="single" w:color="auto" w:sz="4" w:space="0"/>
                    <w:right w:val="single" w:color="auto" w:sz="4" w:space="0"/>
                  </w:tcBorders>
                  <w:vAlign w:val="center"/>
                </w:tcPr>
                <w:p w14:paraId="1613535A">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工程招标</w:t>
                  </w:r>
                </w:p>
              </w:tc>
            </w:tr>
            <w:tr w14:paraId="04062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093" w:type="dxa"/>
                  <w:tcBorders>
                    <w:top w:val="single" w:color="auto" w:sz="4" w:space="0"/>
                    <w:left w:val="single" w:color="auto" w:sz="4" w:space="0"/>
                    <w:bottom w:val="single" w:color="auto" w:sz="4" w:space="0"/>
                    <w:right w:val="single" w:color="auto" w:sz="4" w:space="0"/>
                  </w:tcBorders>
                </w:tcPr>
                <w:p w14:paraId="6C72142F">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100以下</w:t>
                  </w:r>
                </w:p>
              </w:tc>
              <w:tc>
                <w:tcPr>
                  <w:tcW w:w="1538" w:type="dxa"/>
                  <w:tcBorders>
                    <w:top w:val="single" w:color="auto" w:sz="4" w:space="0"/>
                    <w:left w:val="single" w:color="auto" w:sz="4" w:space="0"/>
                    <w:bottom w:val="single" w:color="auto" w:sz="4" w:space="0"/>
                    <w:right w:val="single" w:color="auto" w:sz="4" w:space="0"/>
                  </w:tcBorders>
                </w:tcPr>
                <w:p w14:paraId="2903022D">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593" w:type="dxa"/>
                  <w:tcBorders>
                    <w:top w:val="single" w:color="auto" w:sz="4" w:space="0"/>
                    <w:left w:val="single" w:color="auto" w:sz="4" w:space="0"/>
                    <w:bottom w:val="single" w:color="auto" w:sz="4" w:space="0"/>
                    <w:right w:val="single" w:color="auto" w:sz="4" w:space="0"/>
                  </w:tcBorders>
                </w:tcPr>
                <w:p w14:paraId="3A4FC71C">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538" w:type="dxa"/>
                  <w:tcBorders>
                    <w:top w:val="single" w:color="auto" w:sz="4" w:space="0"/>
                    <w:left w:val="single" w:color="auto" w:sz="4" w:space="0"/>
                    <w:bottom w:val="single" w:color="auto" w:sz="4" w:space="0"/>
                    <w:right w:val="single" w:color="auto" w:sz="4" w:space="0"/>
                  </w:tcBorders>
                </w:tcPr>
                <w:p w14:paraId="6387C9B1">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r>
            <w:tr w14:paraId="1CD12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093" w:type="dxa"/>
                  <w:tcBorders>
                    <w:top w:val="single" w:color="auto" w:sz="4" w:space="0"/>
                    <w:left w:val="single" w:color="auto" w:sz="4" w:space="0"/>
                    <w:bottom w:val="single" w:color="auto" w:sz="4" w:space="0"/>
                    <w:right w:val="single" w:color="auto" w:sz="4" w:space="0"/>
                  </w:tcBorders>
                </w:tcPr>
                <w:p w14:paraId="2F610687">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100-500</w:t>
                  </w:r>
                </w:p>
              </w:tc>
              <w:tc>
                <w:tcPr>
                  <w:tcW w:w="1538" w:type="dxa"/>
                  <w:tcBorders>
                    <w:top w:val="single" w:color="auto" w:sz="4" w:space="0"/>
                    <w:left w:val="single" w:color="auto" w:sz="4" w:space="0"/>
                    <w:bottom w:val="single" w:color="auto" w:sz="4" w:space="0"/>
                    <w:right w:val="single" w:color="auto" w:sz="4" w:space="0"/>
                  </w:tcBorders>
                </w:tcPr>
                <w:p w14:paraId="122A33BD">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593" w:type="dxa"/>
                  <w:tcBorders>
                    <w:top w:val="single" w:color="auto" w:sz="4" w:space="0"/>
                    <w:left w:val="single" w:color="auto" w:sz="4" w:space="0"/>
                    <w:bottom w:val="single" w:color="auto" w:sz="4" w:space="0"/>
                    <w:right w:val="single" w:color="auto" w:sz="4" w:space="0"/>
                  </w:tcBorders>
                </w:tcPr>
                <w:p w14:paraId="3A0E6EAA">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0.8%</w:t>
                  </w:r>
                </w:p>
              </w:tc>
              <w:tc>
                <w:tcPr>
                  <w:tcW w:w="1538" w:type="dxa"/>
                  <w:tcBorders>
                    <w:top w:val="single" w:color="auto" w:sz="4" w:space="0"/>
                    <w:left w:val="single" w:color="auto" w:sz="4" w:space="0"/>
                    <w:bottom w:val="single" w:color="auto" w:sz="4" w:space="0"/>
                    <w:right w:val="single" w:color="auto" w:sz="4" w:space="0"/>
                  </w:tcBorders>
                </w:tcPr>
                <w:p w14:paraId="070F0B1E">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0.7%</w:t>
                  </w:r>
                </w:p>
              </w:tc>
            </w:tr>
            <w:tr w14:paraId="54580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093" w:type="dxa"/>
                  <w:tcBorders>
                    <w:top w:val="single" w:color="auto" w:sz="4" w:space="0"/>
                    <w:left w:val="single" w:color="auto" w:sz="4" w:space="0"/>
                    <w:bottom w:val="single" w:color="auto" w:sz="4" w:space="0"/>
                    <w:right w:val="single" w:color="auto" w:sz="4" w:space="0"/>
                  </w:tcBorders>
                </w:tcPr>
                <w:p w14:paraId="1039BB9F">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500-1000</w:t>
                  </w:r>
                </w:p>
              </w:tc>
              <w:tc>
                <w:tcPr>
                  <w:tcW w:w="1538" w:type="dxa"/>
                  <w:tcBorders>
                    <w:top w:val="single" w:color="auto" w:sz="4" w:space="0"/>
                    <w:left w:val="single" w:color="auto" w:sz="4" w:space="0"/>
                    <w:bottom w:val="single" w:color="auto" w:sz="4" w:space="0"/>
                    <w:right w:val="single" w:color="auto" w:sz="4" w:space="0"/>
                  </w:tcBorders>
                </w:tcPr>
                <w:p w14:paraId="395C3B6D">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0.8%</w:t>
                  </w:r>
                </w:p>
              </w:tc>
              <w:tc>
                <w:tcPr>
                  <w:tcW w:w="1593" w:type="dxa"/>
                  <w:tcBorders>
                    <w:top w:val="single" w:color="auto" w:sz="4" w:space="0"/>
                    <w:left w:val="single" w:color="auto" w:sz="4" w:space="0"/>
                    <w:bottom w:val="single" w:color="auto" w:sz="4" w:space="0"/>
                    <w:right w:val="single" w:color="auto" w:sz="4" w:space="0"/>
                  </w:tcBorders>
                </w:tcPr>
                <w:p w14:paraId="1E85BFC1">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0.45%</w:t>
                  </w:r>
                </w:p>
              </w:tc>
              <w:tc>
                <w:tcPr>
                  <w:tcW w:w="1538" w:type="dxa"/>
                  <w:tcBorders>
                    <w:top w:val="single" w:color="auto" w:sz="4" w:space="0"/>
                    <w:left w:val="single" w:color="auto" w:sz="4" w:space="0"/>
                    <w:bottom w:val="single" w:color="auto" w:sz="4" w:space="0"/>
                    <w:right w:val="single" w:color="auto" w:sz="4" w:space="0"/>
                  </w:tcBorders>
                </w:tcPr>
                <w:p w14:paraId="6CC5CA61">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0.55%</w:t>
                  </w:r>
                </w:p>
              </w:tc>
            </w:tr>
          </w:tbl>
          <w:p w14:paraId="2FCBA6D7">
            <w:pPr>
              <w:pStyle w:val="14"/>
              <w:snapToGrid w:val="0"/>
              <w:spacing w:line="360" w:lineRule="auto"/>
              <w:rPr>
                <w:rFonts w:hint="eastAsia" w:hAnsi="宋体" w:cs="宋体"/>
                <w:color w:val="auto"/>
                <w:sz w:val="24"/>
                <w:szCs w:val="24"/>
                <w:highlight w:val="none"/>
              </w:rPr>
            </w:pPr>
          </w:p>
        </w:tc>
      </w:tr>
      <w:tr w14:paraId="29B0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91" w:type="dxa"/>
            <w:vAlign w:val="center"/>
          </w:tcPr>
          <w:p w14:paraId="2B353E6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33.1</w:t>
            </w:r>
          </w:p>
        </w:tc>
        <w:tc>
          <w:tcPr>
            <w:tcW w:w="8181" w:type="dxa"/>
            <w:vAlign w:val="center"/>
          </w:tcPr>
          <w:p w14:paraId="6A213601">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解释权：构成本谈判文件的各个组成文件应互为解释，互为说明；除谈判文件中有特别规定外，仅适用于竞标阶段的规定，按更正公告（澄清公告）、竞争性谈判公告、供应商须知、采购需求、评审程序、评审方法和</w:t>
            </w:r>
            <w:r>
              <w:rPr>
                <w:rFonts w:hint="eastAsia" w:hAnsi="宋体" w:cs="宋体"/>
                <w:color w:val="auto"/>
                <w:sz w:val="24"/>
                <w:szCs w:val="24"/>
                <w:highlight w:val="none"/>
                <w:lang w:val="en-US" w:eastAsia="zh-CN"/>
              </w:rPr>
              <w:t>成交</w:t>
            </w:r>
            <w:r>
              <w:rPr>
                <w:rFonts w:hint="eastAsia" w:hAnsi="宋体" w:cs="宋体"/>
                <w:color w:val="auto"/>
                <w:sz w:val="24"/>
                <w:szCs w:val="24"/>
                <w:highlight w:val="none"/>
              </w:rPr>
              <w:t>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p w14:paraId="3F4FA19B">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法律责任：</w:t>
            </w:r>
          </w:p>
          <w:p w14:paraId="488E96DD">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1.本谈判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D854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991" w:type="dxa"/>
            <w:vAlign w:val="center"/>
          </w:tcPr>
          <w:p w14:paraId="72E7D45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33.2</w:t>
            </w:r>
          </w:p>
        </w:tc>
        <w:tc>
          <w:tcPr>
            <w:tcW w:w="8181" w:type="dxa"/>
            <w:vAlign w:val="center"/>
          </w:tcPr>
          <w:p w14:paraId="689A5827">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1.本谈判文件中描述供应商的“公章”是指根据我国对公章的管理规定，用供应商法定主体名称制作的印章或供应商通过指定电子化政府采购平台办理数字证书（CA认证）获得的以法定主体名称制作的电子印章。除本谈判文件有特殊规定外，供应商的财务章、部门章、分公司章、工会章、合同章、竞标专用章、业务专用章及银行的转账章、现金收讫章、现金付讫章等其他形式印章均不能代替公章。</w:t>
            </w:r>
          </w:p>
          <w:p w14:paraId="01FD0F95">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2.供应商为其他组织或者自然人时，本谈判文件规定的法定代表人指负责人或者自然人。本谈判文件所称负责人是指参加竞标的其他组织</w:t>
            </w:r>
            <w:r>
              <w:rPr>
                <w:rFonts w:hint="eastAsia" w:hAnsi="宋体" w:cs="宋体"/>
                <w:bCs/>
                <w:color w:val="auto"/>
                <w:sz w:val="24"/>
                <w:szCs w:val="24"/>
                <w:highlight w:val="none"/>
              </w:rPr>
              <w:t>营业执照或者执业许可证等证照上</w:t>
            </w:r>
            <w:r>
              <w:rPr>
                <w:rFonts w:hint="eastAsia" w:hAnsi="宋体" w:cs="宋体"/>
                <w:color w:val="auto"/>
                <w:sz w:val="24"/>
                <w:szCs w:val="24"/>
                <w:highlight w:val="none"/>
              </w:rPr>
              <w:t>的负责人，本谈判文件所称自然人指参与竞标的自然人本人，</w:t>
            </w:r>
            <w:r>
              <w:rPr>
                <w:rFonts w:hint="eastAsia" w:hAnsi="宋体" w:cs="宋体"/>
                <w:bCs/>
                <w:color w:val="auto"/>
                <w:sz w:val="24"/>
                <w:szCs w:val="24"/>
                <w:highlight w:val="none"/>
              </w:rPr>
              <w:t>且应具备独立承担民事责任能力，自然人应当为年满18岁以上成年人（十六周岁以上的未成年人，以自己的劳动收入为主要生活来源的，视为完全民事行为能力人）。</w:t>
            </w:r>
          </w:p>
          <w:p w14:paraId="77B2A2F3">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3.本谈判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14:paraId="2BB6F748">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4.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D7862DE">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5.自然人竞标的，谈判文件规定盖章的地方自然人可以加盖手指指印。</w:t>
            </w:r>
          </w:p>
          <w:p w14:paraId="099F41AF">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6.本谈判文件所称的“以上”“以下”“以内”“届满”，包括本数；所称的“不满”“超过”“以外”，不包括本数。</w:t>
            </w:r>
          </w:p>
        </w:tc>
      </w:tr>
      <w:tr w14:paraId="7AFD5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991" w:type="dxa"/>
            <w:vAlign w:val="center"/>
          </w:tcPr>
          <w:p w14:paraId="07621815">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34.4</w:t>
            </w:r>
          </w:p>
        </w:tc>
        <w:tc>
          <w:tcPr>
            <w:tcW w:w="8181" w:type="dxa"/>
            <w:vAlign w:val="center"/>
          </w:tcPr>
          <w:p w14:paraId="285B82FF">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支持本国产品说明</w:t>
            </w:r>
          </w:p>
          <w:p w14:paraId="4CE805A0">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582E6CD">
            <w:pPr>
              <w:pStyle w:val="14"/>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rPr>
              <w:t>不适用</w:t>
            </w:r>
          </w:p>
        </w:tc>
      </w:tr>
    </w:tbl>
    <w:p w14:paraId="4B6C8E43">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2"/>
          <w:szCs w:val="32"/>
          <w:highlight w:val="none"/>
        </w:rPr>
        <w:br w:type="page"/>
      </w:r>
      <w:r>
        <w:rPr>
          <w:rFonts w:hint="eastAsia" w:ascii="宋体" w:hAnsi="宋体" w:cs="宋体"/>
          <w:b/>
          <w:color w:val="auto"/>
          <w:sz w:val="36"/>
          <w:szCs w:val="36"/>
          <w:highlight w:val="none"/>
        </w:rPr>
        <w:t>供应商须知正文</w:t>
      </w:r>
    </w:p>
    <w:p w14:paraId="15943AD4">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一、总则</w:t>
      </w:r>
    </w:p>
    <w:p w14:paraId="728C4C96">
      <w:pPr>
        <w:spacing w:line="400" w:lineRule="exact"/>
        <w:rPr>
          <w:rFonts w:hint="eastAsia" w:ascii="宋体" w:hAnsi="宋体" w:cs="宋体"/>
          <w:color w:val="auto"/>
          <w:szCs w:val="21"/>
          <w:highlight w:val="none"/>
        </w:rPr>
      </w:pPr>
    </w:p>
    <w:p w14:paraId="112D731D">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 适用范围</w:t>
      </w:r>
    </w:p>
    <w:p w14:paraId="2D04FF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AF0E4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本竞争性谈判文件（以下简称谈判文件）适用于本项目的所有采购程序和环节（法律、法规另有规定的，从其规定）。</w:t>
      </w:r>
    </w:p>
    <w:p w14:paraId="52B9563A">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 定义</w:t>
      </w:r>
    </w:p>
    <w:p w14:paraId="66FBC3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2.1“采购人”是指依法进行采购的国家机关、事业单位、团体组织。</w:t>
      </w:r>
    </w:p>
    <w:p w14:paraId="4CAF777C">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2.2“采购代理机构”</w:t>
      </w:r>
      <w:r>
        <w:rPr>
          <w:rFonts w:hint="eastAsia" w:ascii="宋体" w:hAnsi="宋体" w:cs="宋体"/>
          <w:b w:val="0"/>
          <w:bCs/>
          <w:color w:val="auto"/>
          <w:sz w:val="24"/>
          <w:highlight w:val="none"/>
        </w:rPr>
        <w:t>是指政府采购集中采购机构和集中采购机构以外的采购代理机构。</w:t>
      </w:r>
    </w:p>
    <w:p w14:paraId="329CBC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7618479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2.4“货物”是指各种形态和种类的物品，包括原材料、燃料、设备、产品等。</w:t>
      </w:r>
    </w:p>
    <w:p w14:paraId="2493E4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2.5“竞标”是指按照本项目竞争性谈判公告或者邀请函规定的方式供应商获取谈判文件、提交响应文件并希望获得标的的行为。</w:t>
      </w:r>
    </w:p>
    <w:p w14:paraId="344C49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2.6“售后服务” 是指包含但不限于供应商须承担的备品备件、包装、运输、装卸、保险、货到就位以及安装、调试、培训、保修和其他类似的义务。</w:t>
      </w:r>
    </w:p>
    <w:p w14:paraId="4B9293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2.7“书面形式”是指合同书、信件和数据电文（包括电报、电传、传真、电子数据交换和电子邮件）等可以有形地表现所载内容的形式。</w:t>
      </w:r>
    </w:p>
    <w:p w14:paraId="632B65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2.8“响应文件”</w:t>
      </w:r>
      <w:r>
        <w:rPr>
          <w:rFonts w:hint="eastAsia" w:ascii="宋体" w:hAnsi="宋体" w:cs="宋体"/>
          <w:color w:val="auto"/>
          <w:spacing w:val="-6"/>
          <w:sz w:val="24"/>
          <w:highlight w:val="none"/>
        </w:rPr>
        <w:t>是指：供应商根据本谈判文件要求，编制包含报价、技术和服务等所有内容的文件。</w:t>
      </w:r>
    </w:p>
    <w:p w14:paraId="6AC704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 “实质性要求”是指采购需求中带“▲”的条款或者不能负偏离的条款或者已经指明不满足按响应文件按无效响应处理的条款。</w:t>
      </w:r>
    </w:p>
    <w:p w14:paraId="49A960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2.10“正偏离”，是指响应文件对谈判文件“采购需求”中有关条款作出优于条款要求并有利于采购人的响应情形；</w:t>
      </w:r>
    </w:p>
    <w:p w14:paraId="7B666E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2.11“负偏离”，是指响应文件对谈判文件“采购需求”中有关条款作出的响应不满足条款要求，导致采购人要求不能得到满足的情形。</w:t>
      </w:r>
    </w:p>
    <w:p w14:paraId="1AC6F1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2.12“允许负偏离的条款”是指采购需求中的不属于“实质性要求”的条款。</w:t>
      </w:r>
    </w:p>
    <w:p w14:paraId="66DD0F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2.13“首次报价”是指供应商提交的首次响应文件中的竞标报价。</w:t>
      </w:r>
    </w:p>
    <w:p w14:paraId="5AF0B76A">
      <w:pPr>
        <w:spacing w:line="360" w:lineRule="auto"/>
        <w:ind w:firstLine="643" w:firstLineChars="200"/>
        <w:contextualSpacing/>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 供应商的资格条件</w:t>
      </w:r>
    </w:p>
    <w:p w14:paraId="0A30B0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43FC6938">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4. 竞标费用</w:t>
      </w:r>
    </w:p>
    <w:p w14:paraId="15FCA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竞标费用：供应商应承担参与本次采购活动有关的所有费用，包括但不限于获取谈判文件、勘查现场、编制和提交响应文件、参加谈判与应答、签订合同等，不论竞标结果如何，均应自行承担。</w:t>
      </w:r>
    </w:p>
    <w:p w14:paraId="19B7B6D7">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5.联合体竞标</w:t>
      </w:r>
    </w:p>
    <w:p w14:paraId="61F990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5.1本项目是否接受联合体竞标，详见“供应商须知前附表”。</w:t>
      </w:r>
    </w:p>
    <w:p w14:paraId="37D526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bCs/>
          <w:color w:val="auto"/>
          <w:sz w:val="24"/>
          <w:highlight w:val="none"/>
        </w:rPr>
        <w:t>如接受联合体竞标，</w:t>
      </w:r>
      <w:r>
        <w:rPr>
          <w:rFonts w:hint="eastAsia" w:ascii="宋体" w:hAnsi="宋体" w:cs="宋体"/>
          <w:color w:val="auto"/>
          <w:sz w:val="24"/>
          <w:highlight w:val="none"/>
        </w:rPr>
        <w:t>联合体竞标要求详见“供应商须知前附表”。</w:t>
      </w:r>
    </w:p>
    <w:p w14:paraId="272ACB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w:t>
      </w:r>
      <w:bookmarkStart w:id="20" w:name="_Hlk65857072"/>
      <w:r>
        <w:rPr>
          <w:rFonts w:hint="eastAsia" w:ascii="宋体" w:hAnsi="宋体" w:cs="宋体"/>
          <w:color w:val="auto"/>
          <w:sz w:val="24"/>
          <w:highlight w:val="none"/>
        </w:rPr>
        <w:t>根据《政府采购促进中小企业发展管理办法》（财库〔2020〕46号）第九条第二款的规定以及广西壮族自治区财政厅关于持续优化政府采购营商环境推动高质量发展的通知（桂财采【2024】55），对于经主管预算单位统筹后未预留份额专门面向中小企业采购的货物、服务采购项目，以及预留份额的货物、服务项目中的非预留部分采购包，采购人、采购代理机构应当对符合规定的小微企业给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0%的价格扣除优惠，用扣除后的价格参加评审。大中型企业与小微企业组成联合体的，采购人、采购代理机构应当对联合体的报价予以4%—6%的扣除，用扣除后的价格参加评审。</w:t>
      </w:r>
      <w:bookmarkEnd w:id="20"/>
    </w:p>
    <w:p w14:paraId="5AF54735">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6.转包与分包             </w:t>
      </w:r>
    </w:p>
    <w:p w14:paraId="7FA735AD">
      <w:pPr>
        <w:pStyle w:val="5"/>
        <w:keepNext w:val="0"/>
        <w:keepLines w:val="0"/>
        <w:spacing w:before="0" w:after="0" w:line="360" w:lineRule="auto"/>
        <w:ind w:firstLine="480" w:firstLineChars="200"/>
        <w:rPr>
          <w:rFonts w:hint="eastAsia" w:ascii="宋体" w:hAnsi="宋体" w:cs="宋体"/>
          <w:b w:val="0"/>
          <w:color w:val="auto"/>
          <w:sz w:val="24"/>
          <w:szCs w:val="24"/>
          <w:highlight w:val="none"/>
        </w:rPr>
      </w:pPr>
      <w:bookmarkStart w:id="21" w:name="_Toc254970673"/>
      <w:bookmarkStart w:id="22" w:name="_Toc254970532"/>
      <w:r>
        <w:rPr>
          <w:rFonts w:hint="eastAsia" w:ascii="宋体" w:hAnsi="宋体" w:cs="宋体"/>
          <w:b w:val="0"/>
          <w:color w:val="auto"/>
          <w:sz w:val="24"/>
          <w:szCs w:val="24"/>
          <w:highlight w:val="none"/>
        </w:rPr>
        <w:t>6.1本项目不允许转包。</w:t>
      </w:r>
    </w:p>
    <w:p w14:paraId="1BB48A1C">
      <w:pPr>
        <w:pStyle w:val="5"/>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B0D8019">
      <w:pPr>
        <w:pStyle w:val="5"/>
        <w:keepNext w:val="0"/>
        <w:keepLines w:val="0"/>
        <w:spacing w:before="0" w:after="0" w:line="360" w:lineRule="auto"/>
        <w:ind w:firstLine="360" w:firstLineChars="15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272C5FD">
      <w:pPr>
        <w:spacing w:line="360" w:lineRule="auto"/>
        <w:ind w:firstLine="643" w:firstLineChars="200"/>
        <w:rPr>
          <w:rFonts w:hint="eastAsia" w:ascii="宋体" w:hAnsi="宋体" w:cs="宋体"/>
          <w:color w:val="auto"/>
          <w:sz w:val="24"/>
          <w:highlight w:val="none"/>
        </w:rPr>
      </w:pPr>
      <w:r>
        <w:rPr>
          <w:rFonts w:hint="eastAsia" w:ascii="宋体" w:hAnsi="宋体" w:cs="宋体"/>
          <w:b/>
          <w:bCs/>
          <w:color w:val="auto"/>
          <w:sz w:val="32"/>
          <w:szCs w:val="32"/>
          <w:highlight w:val="none"/>
        </w:rPr>
        <w:t>7.特别说明</w:t>
      </w:r>
      <w:bookmarkEnd w:id="21"/>
      <w:bookmarkEnd w:id="22"/>
      <w:bookmarkStart w:id="23" w:name="_8.1提供相同品牌产品且通过资格审查、符合性审查的不同投标人参加同一合"/>
      <w:bookmarkEnd w:id="23"/>
    </w:p>
    <w:p w14:paraId="57B19B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1</w:t>
      </w:r>
      <w:r>
        <w:rPr>
          <w:rFonts w:hint="eastAsia" w:ascii="宋体" w:hAnsi="宋体" w:cs="宋体"/>
          <w:color w:val="auto"/>
          <w:sz w:val="24"/>
          <w:highlight w:val="none"/>
        </w:rPr>
        <w:t>如果本谈判文件要求提供供应商或制造商的资格、信誉、荣誉、业绩与企业认证等材料的，资格、信誉、荣誉、业绩与企业认证等必须为供应商或者制造商所拥有或自身获得 。</w:t>
      </w:r>
    </w:p>
    <w:p w14:paraId="703A96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2</w:t>
      </w:r>
      <w:r>
        <w:rPr>
          <w:rFonts w:hint="eastAsia" w:ascii="宋体" w:hAnsi="宋体" w:cs="宋体"/>
          <w:color w:val="auto"/>
          <w:sz w:val="24"/>
          <w:highlight w:val="none"/>
        </w:rPr>
        <w:t>供应商应仔细阅读谈判文件的所有内容，按照谈判文件的要求提交响应文件，并对所提供的全部资料的真实性承担法律责任。</w:t>
      </w:r>
    </w:p>
    <w:p w14:paraId="7E1EDF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3</w:t>
      </w:r>
      <w:r>
        <w:rPr>
          <w:rFonts w:hint="eastAsia" w:ascii="宋体" w:hAnsi="宋体" w:cs="宋体"/>
          <w:color w:val="auto"/>
          <w:sz w:val="24"/>
          <w:highlight w:val="none"/>
        </w:rPr>
        <w:t>供应商在竞标活动中提供任何虚假材料,其响应文件按无效响应处理，并报监管部门查处；签订合同后发现的,成交供应商须依法赔偿采购人，且民事赔偿并不免除违法供应商的行政与刑事责任。</w:t>
      </w:r>
    </w:p>
    <w:p w14:paraId="208EF0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4</w:t>
      </w:r>
      <w:r>
        <w:rPr>
          <w:rFonts w:hint="eastAsia" w:ascii="宋体" w:hAnsi="宋体" w:cs="宋体"/>
          <w:color w:val="auto"/>
          <w:sz w:val="24"/>
          <w:highlight w:val="none"/>
        </w:rPr>
        <w:t>在政府采购活动中，采购人员及相关人员与供应商有下列利害关系之一的，应当回避：</w:t>
      </w:r>
    </w:p>
    <w:p w14:paraId="4F2700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6F5389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08A6A6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5AA710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450457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5A3005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FDEBC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5</w:t>
      </w:r>
      <w:r>
        <w:rPr>
          <w:rFonts w:hint="eastAsia" w:ascii="宋体" w:hAnsi="宋体" w:cs="宋体"/>
          <w:color w:val="auto"/>
          <w:sz w:val="24"/>
          <w:highlight w:val="none"/>
        </w:rPr>
        <w:t>有下列情形之一的视为供应商相互串通竞标，响应文件将被视为无效：</w:t>
      </w:r>
    </w:p>
    <w:p w14:paraId="4A023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21192A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2FCE9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2A8C9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46032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65C8F7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03E5CB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6</w:t>
      </w:r>
      <w:r>
        <w:rPr>
          <w:rFonts w:hint="eastAsia" w:ascii="宋体" w:hAnsi="宋体" w:cs="宋体"/>
          <w:color w:val="auto"/>
          <w:sz w:val="24"/>
          <w:highlight w:val="none"/>
        </w:rPr>
        <w:t>供应商有下列情形之一的，属于恶意串通行为</w:t>
      </w:r>
      <w:bookmarkStart w:id="24" w:name="_Hlk54682620"/>
      <w:r>
        <w:rPr>
          <w:rFonts w:hint="eastAsia" w:ascii="宋体" w:hAnsi="宋体" w:cs="宋体"/>
          <w:color w:val="auto"/>
          <w:sz w:val="24"/>
          <w:highlight w:val="none"/>
        </w:rPr>
        <w:t>，将报同级监督管理部门</w:t>
      </w:r>
      <w:bookmarkEnd w:id="24"/>
      <w:r>
        <w:rPr>
          <w:rFonts w:hint="eastAsia" w:ascii="宋体" w:hAnsi="宋体" w:cs="宋体"/>
          <w:color w:val="auto"/>
          <w:sz w:val="24"/>
          <w:highlight w:val="none"/>
        </w:rPr>
        <w:t>：</w:t>
      </w:r>
    </w:p>
    <w:p w14:paraId="380743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DEF22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82B1D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150C17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6B719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236179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02B54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3CE06E8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7.7</w:t>
      </w:r>
      <w:r>
        <w:rPr>
          <w:rFonts w:hint="eastAsia" w:ascii="宋体" w:hAnsi="宋体" w:cs="宋体"/>
          <w:color w:val="auto"/>
          <w:sz w:val="24"/>
          <w:highlight w:val="none"/>
        </w:rPr>
        <w:t>单一产品采购项目，提供相同品牌产品的不同供应商参加同一合同项下竞标的，以其中通过资格审查、符合性审查、谈判且最后报价最低的参加报价评审；最后报价相同的，按照前附表第2</w:t>
      </w:r>
      <w:r>
        <w:rPr>
          <w:rFonts w:ascii="宋体" w:hAnsi="宋体" w:cs="宋体"/>
          <w:color w:val="auto"/>
          <w:sz w:val="24"/>
          <w:highlight w:val="none"/>
        </w:rPr>
        <w:t>6</w:t>
      </w:r>
      <w:r>
        <w:rPr>
          <w:rFonts w:hint="eastAsia" w:ascii="宋体" w:hAnsi="宋体" w:cs="宋体"/>
          <w:color w:val="auto"/>
          <w:sz w:val="24"/>
          <w:highlight w:val="none"/>
        </w:rPr>
        <w:t>条规定确定一个参加评审的供应商，其他响应文件作无效处理。</w:t>
      </w:r>
    </w:p>
    <w:p w14:paraId="6C863B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非单一产品采购项目，多家供应商提供的核心产品品牌相同的，按前款规定处理；多家供应商提供的所有产品品牌相同，按前款处理。</w:t>
      </w:r>
    </w:p>
    <w:p w14:paraId="099569C9">
      <w:pPr>
        <w:spacing w:line="360" w:lineRule="auto"/>
        <w:ind w:firstLine="477" w:firstLineChars="199"/>
        <w:jc w:val="center"/>
        <w:rPr>
          <w:rFonts w:hint="eastAsia" w:ascii="宋体" w:hAnsi="宋体" w:cs="宋体"/>
          <w:color w:val="auto"/>
          <w:sz w:val="24"/>
          <w:szCs w:val="32"/>
          <w:highlight w:val="none"/>
        </w:rPr>
      </w:pPr>
      <w:bookmarkStart w:id="25" w:name="_Toc254970675"/>
      <w:bookmarkStart w:id="26" w:name="_Toc254970534"/>
    </w:p>
    <w:p w14:paraId="24BE62A8">
      <w:pPr>
        <w:spacing w:line="360" w:lineRule="auto"/>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二、谈判文件</w:t>
      </w:r>
      <w:bookmarkEnd w:id="25"/>
      <w:bookmarkEnd w:id="26"/>
    </w:p>
    <w:p w14:paraId="59B0AF60">
      <w:pPr>
        <w:spacing w:line="360" w:lineRule="auto"/>
        <w:jc w:val="center"/>
        <w:rPr>
          <w:rFonts w:hint="eastAsia" w:ascii="宋体" w:hAnsi="宋体" w:cs="宋体"/>
          <w:color w:val="auto"/>
          <w:sz w:val="24"/>
          <w:highlight w:val="none"/>
        </w:rPr>
      </w:pPr>
    </w:p>
    <w:p w14:paraId="7B4E12D5">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8.谈判文件的构成</w:t>
      </w:r>
    </w:p>
    <w:p w14:paraId="65B463B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（1）竞争性谈判公告；</w:t>
      </w:r>
    </w:p>
    <w:p w14:paraId="62B6E44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（2）供应商须知； </w:t>
      </w:r>
    </w:p>
    <w:p w14:paraId="29A876C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（3）采购需求；</w:t>
      </w:r>
    </w:p>
    <w:p w14:paraId="4109619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（4）响应文件格式</w:t>
      </w:r>
    </w:p>
    <w:p w14:paraId="79895BD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（5）合同文本；</w:t>
      </w:r>
    </w:p>
    <w:p w14:paraId="3D7182E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评审程序、评审方法和成交标准</w:t>
      </w:r>
      <w:r>
        <w:rPr>
          <w:rFonts w:hint="eastAsia" w:ascii="宋体" w:hAnsi="宋体" w:cs="宋体"/>
          <w:color w:val="auto"/>
          <w:sz w:val="24"/>
          <w:highlight w:val="none"/>
        </w:rPr>
        <w:t>；</w:t>
      </w:r>
    </w:p>
    <w:p w14:paraId="57223556">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9.供应商的询问</w:t>
      </w:r>
    </w:p>
    <w:p w14:paraId="4D4BFC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3587E37D">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10.谈判文件的澄清和修改</w:t>
      </w:r>
    </w:p>
    <w:p w14:paraId="1DE7D3E4">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10.1 已获取谈判文件的潜在供应商，若有问题需要澄清，应于应标截止时间前，以书面形式向采购代理机构提出，采购代理机构与采购人研究后，对认为有必要回答的问题，按照本章10.3 的内容处理。</w:t>
      </w:r>
    </w:p>
    <w:p w14:paraId="4759179E">
      <w:pPr>
        <w:spacing w:line="440" w:lineRule="exact"/>
        <w:ind w:firstLine="482" w:firstLineChars="200"/>
        <w:contextualSpacing/>
        <w:jc w:val="left"/>
        <w:rPr>
          <w:rFonts w:hint="eastAsia" w:ascii="宋体" w:hAnsi="宋体" w:cs="宋体"/>
          <w:b/>
          <w:color w:val="auto"/>
          <w:sz w:val="24"/>
          <w:highlight w:val="none"/>
        </w:rPr>
      </w:pPr>
      <w:r>
        <w:rPr>
          <w:rFonts w:hint="eastAsia" w:ascii="宋体" w:hAnsi="宋体" w:cs="宋体"/>
          <w:b/>
          <w:color w:val="auto"/>
          <w:sz w:val="24"/>
          <w:highlight w:val="none"/>
        </w:rPr>
        <w:t>10.2 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4A332B89">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10.3提交</w:t>
      </w:r>
      <w:r>
        <w:rPr>
          <w:rFonts w:ascii="宋体" w:hAnsi="宋体" w:cs="宋体"/>
          <w:color w:val="auto"/>
          <w:sz w:val="24"/>
          <w:highlight w:val="none"/>
        </w:rPr>
        <w:t>首次响应文件截止之日前，采购人、采购代理机构或者</w:t>
      </w:r>
      <w:r>
        <w:rPr>
          <w:rFonts w:hint="eastAsia" w:ascii="宋体" w:hAnsi="宋体" w:cs="宋体"/>
          <w:color w:val="auto"/>
          <w:sz w:val="24"/>
          <w:highlight w:val="none"/>
        </w:rPr>
        <w:t>谈判</w:t>
      </w:r>
      <w:r>
        <w:rPr>
          <w:rFonts w:ascii="宋体" w:hAnsi="宋体" w:cs="宋体"/>
          <w:color w:val="auto"/>
          <w:sz w:val="24"/>
          <w:highlight w:val="none"/>
        </w:rPr>
        <w:t>小组可以对已发出的</w:t>
      </w:r>
      <w:r>
        <w:rPr>
          <w:rFonts w:hint="eastAsia" w:ascii="宋体" w:hAnsi="宋体" w:cs="宋体"/>
          <w:color w:val="auto"/>
          <w:sz w:val="24"/>
          <w:highlight w:val="none"/>
        </w:rPr>
        <w:t>谈判</w:t>
      </w:r>
      <w:r>
        <w:rPr>
          <w:rFonts w:ascii="宋体" w:hAnsi="宋体" w:cs="宋体"/>
          <w:color w:val="auto"/>
          <w:sz w:val="24"/>
          <w:highlight w:val="none"/>
        </w:rPr>
        <w:t>文件进行必要的澄清或者修改，澄清或者修改的内容作为</w:t>
      </w:r>
      <w:r>
        <w:rPr>
          <w:rFonts w:hint="eastAsia" w:ascii="宋体" w:hAnsi="宋体" w:cs="宋体"/>
          <w:color w:val="auto"/>
          <w:sz w:val="24"/>
          <w:highlight w:val="none"/>
        </w:rPr>
        <w:t>谈判</w:t>
      </w:r>
      <w:r>
        <w:rPr>
          <w:rFonts w:ascii="宋体" w:hAnsi="宋体" w:cs="宋体"/>
          <w:color w:val="auto"/>
          <w:sz w:val="24"/>
          <w:highlight w:val="none"/>
        </w:rPr>
        <w:t>文件的组成部分。澄清或者修改的内容可能影响响应文件编制的，采购人、采购代理机构或者</w:t>
      </w:r>
      <w:r>
        <w:rPr>
          <w:rFonts w:hint="eastAsia" w:ascii="宋体" w:hAnsi="宋体" w:cs="宋体"/>
          <w:color w:val="auto"/>
          <w:sz w:val="24"/>
          <w:highlight w:val="none"/>
        </w:rPr>
        <w:t>谈判</w:t>
      </w:r>
      <w:r>
        <w:rPr>
          <w:rFonts w:ascii="宋体" w:hAnsi="宋体" w:cs="宋体"/>
          <w:color w:val="auto"/>
          <w:sz w:val="24"/>
          <w:highlight w:val="none"/>
        </w:rPr>
        <w:t>小组在提交首次响应文件截止之日3个工作日前，以书面形式通知所有</w:t>
      </w:r>
      <w:r>
        <w:rPr>
          <w:rFonts w:hint="eastAsia" w:ascii="宋体" w:hAnsi="宋体" w:cs="宋体"/>
          <w:color w:val="auto"/>
          <w:sz w:val="24"/>
          <w:highlight w:val="none"/>
        </w:rPr>
        <w:t>获取谈判</w:t>
      </w:r>
      <w:r>
        <w:rPr>
          <w:rFonts w:ascii="宋体" w:hAnsi="宋体" w:cs="宋体"/>
          <w:color w:val="auto"/>
          <w:sz w:val="24"/>
          <w:highlight w:val="none"/>
        </w:rPr>
        <w:t>文件的供应商，不足3个工作日的，应当顺延提交首次响应文件截止之日。</w:t>
      </w:r>
    </w:p>
    <w:p w14:paraId="414D00DA">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10.4 采购信息更正公告的内容应当包括采购人和采购代理机构名称、地址、联系方式，原公告的采购项目名称及首次公告日期，更正事项、内容及日期，采购项目联系人和电话。</w:t>
      </w:r>
    </w:p>
    <w:p w14:paraId="33F7DD3B">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10.5 采购人和采购代理机构可以视采购具体情况，变更提交首次响应文件截止时间和竞谈时间，将变更时间将在“</w:t>
      </w:r>
      <w:r>
        <w:rPr>
          <w:rFonts w:hint="eastAsia" w:ascii="宋体" w:hAnsi="宋体" w:cs="宋体"/>
          <w:color w:val="auto"/>
          <w:sz w:val="24"/>
          <w:highlight w:val="none"/>
          <w:lang w:val="en-US" w:eastAsia="zh-CN"/>
        </w:rPr>
        <w:t>竞争性谈判</w:t>
      </w:r>
      <w:r>
        <w:rPr>
          <w:rFonts w:hint="eastAsia" w:ascii="宋体" w:hAnsi="宋体" w:cs="宋体"/>
          <w:color w:val="auto"/>
          <w:sz w:val="24"/>
          <w:highlight w:val="none"/>
        </w:rPr>
        <w:t xml:space="preserve">公告”中“七、其他补充事宜 </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.网上査询地址”规定的政府采购信息发布媒体上发布更正公告。</w:t>
      </w:r>
    </w:p>
    <w:p w14:paraId="5E1DC4F9">
      <w:pPr>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▲响应文件未按谈判文件的澄清、修改的内容编制，又不符合实质性要求的，其响应文件作无效处理。</w:t>
      </w:r>
    </w:p>
    <w:p w14:paraId="3AB9DAC1">
      <w:pPr>
        <w:spacing w:line="360" w:lineRule="auto"/>
        <w:ind w:firstLine="480" w:firstLineChars="200"/>
        <w:rPr>
          <w:rFonts w:hint="eastAsia" w:ascii="宋体" w:hAnsi="宋体" w:cs="宋体"/>
          <w:color w:val="auto"/>
          <w:sz w:val="24"/>
          <w:highlight w:val="none"/>
        </w:rPr>
      </w:pPr>
    </w:p>
    <w:p w14:paraId="47F6E7C6">
      <w:pPr>
        <w:spacing w:line="360" w:lineRule="auto"/>
        <w:rPr>
          <w:rFonts w:hint="eastAsia" w:ascii="宋体" w:hAnsi="宋体" w:cs="宋体"/>
          <w:color w:val="auto"/>
          <w:sz w:val="24"/>
          <w:highlight w:val="none"/>
        </w:rPr>
      </w:pPr>
    </w:p>
    <w:p w14:paraId="4E9B2E51">
      <w:pPr>
        <w:spacing w:line="360" w:lineRule="auto"/>
        <w:jc w:val="center"/>
        <w:rPr>
          <w:rFonts w:hint="eastAsia" w:ascii="宋体" w:hAnsi="宋体" w:cs="宋体"/>
          <w:b/>
          <w:color w:val="auto"/>
          <w:sz w:val="24"/>
          <w:highlight w:val="none"/>
        </w:rPr>
      </w:pPr>
      <w:r>
        <w:rPr>
          <w:rFonts w:hint="eastAsia" w:ascii="宋体" w:hAnsi="宋体" w:cs="宋体"/>
          <w:b/>
          <w:color w:val="auto"/>
          <w:sz w:val="40"/>
          <w:szCs w:val="40"/>
          <w:highlight w:val="none"/>
        </w:rPr>
        <w:t>三、响应文件的编制</w:t>
      </w:r>
    </w:p>
    <w:p w14:paraId="3272D267">
      <w:pPr>
        <w:spacing w:line="360" w:lineRule="auto"/>
        <w:rPr>
          <w:rFonts w:hint="eastAsia" w:ascii="宋体" w:hAnsi="宋体" w:cs="宋体"/>
          <w:color w:val="auto"/>
          <w:sz w:val="24"/>
          <w:highlight w:val="none"/>
        </w:rPr>
      </w:pPr>
    </w:p>
    <w:p w14:paraId="42753A59">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11.响应文件的编制原则</w:t>
      </w:r>
    </w:p>
    <w:p w14:paraId="38EC38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供应商必须按照谈判文件的要求编制响应文件，并对其提交的响应文件的真实性、合法性承担法律责任。响应文件必须对谈判文件作出实质性响应。</w:t>
      </w:r>
    </w:p>
    <w:p w14:paraId="7CC7CAE3">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12.响应文件的组成</w:t>
      </w:r>
    </w:p>
    <w:p w14:paraId="0D512D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12.1响应文件由资格证明文件、报价文件、商务技术文件三部分组成。</w:t>
      </w:r>
    </w:p>
    <w:p w14:paraId="7E3A06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12.1.1资格证明文件：详见“供应商须知前附表”</w:t>
      </w:r>
    </w:p>
    <w:p w14:paraId="163A1B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12.1.2报价文件：详见“供应商须知前附表”</w:t>
      </w:r>
    </w:p>
    <w:p w14:paraId="472BE1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12.1.3商务技术文件：详见“供应商须知前附表”</w:t>
      </w:r>
    </w:p>
    <w:p w14:paraId="044D4C37">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13.计量单位</w:t>
      </w:r>
    </w:p>
    <w:p w14:paraId="51111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谈判文件已有明确规定的，使用谈判文件规定的计量单位；谈判文件没有规定的，应采用中华人民共和国法定计量单位，货币种类为人民币，否则视同未响应。</w:t>
      </w:r>
    </w:p>
    <w:p w14:paraId="6CA078E3">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14.竞标的风险</w:t>
      </w:r>
    </w:p>
    <w:p w14:paraId="1D01DD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供应商没有按照谈判文件要求提供全部资料，或者供应商没有对谈判文件在各方面作出实质性响应可能导致其响应文件按无效响应处理，是供应商应当考虑的风险。</w:t>
      </w:r>
    </w:p>
    <w:p w14:paraId="012E3B0D">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15.竞标报价</w:t>
      </w:r>
    </w:p>
    <w:p w14:paraId="7E05C5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15.1竞标报价应按谈判文件中“竞标报价表”格式填写。</w:t>
      </w:r>
    </w:p>
    <w:p w14:paraId="2F2D2C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15.2竞标报价的内容详见“供应商须知前附表”。</w:t>
      </w:r>
    </w:p>
    <w:p w14:paraId="0B9694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15.3竞标报价要求</w:t>
      </w:r>
    </w:p>
    <w:p w14:paraId="5CAE06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15.3.1供应商的竞标报价应符合以下要求，否则响应文件按无效响应处理：</w:t>
      </w:r>
    </w:p>
    <w:p w14:paraId="34876B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697B03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74C3A6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15.3.2竞标报价（包含首次报价、最后报价）超过所竞标分标规定的采购预算金额或者最高限价的，其响应文件将按无效响应处理。</w:t>
      </w:r>
    </w:p>
    <w:p w14:paraId="49B0F40F">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15.3.3</w:t>
      </w:r>
      <w:r>
        <w:rPr>
          <w:rFonts w:hint="eastAsia" w:ascii="宋体" w:hAnsi="宋体" w:cs="宋体"/>
          <w:color w:val="auto"/>
          <w:sz w:val="24"/>
          <w:highlight w:val="none"/>
        </w:rPr>
        <w:t>竞标报价（包含首次报价、最后报价）超过分项采购预算金额或者最高限价的，其响应文件将作无效处理。</w:t>
      </w:r>
    </w:p>
    <w:p w14:paraId="3CE88873">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16.竞标有效期</w:t>
      </w:r>
    </w:p>
    <w:p w14:paraId="003D70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13B2B4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竞标有效期应由供应商按“供应商须知前附表”规定的期限作出响应。</w:t>
      </w:r>
    </w:p>
    <w:p w14:paraId="66DA9C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16.3供应商的响应文件在竞标有效期内均保持有效。</w:t>
      </w:r>
    </w:p>
    <w:p w14:paraId="73B55C8C">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17.竞标保证金</w:t>
      </w:r>
    </w:p>
    <w:p w14:paraId="213431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17.1供应商须按“供应商须知前附表”的规定提交竞标保证金。</w:t>
      </w:r>
    </w:p>
    <w:p w14:paraId="30C95E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17.2竞标保证金的退还</w:t>
      </w:r>
    </w:p>
    <w:p w14:paraId="4E8AF6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未</w:t>
      </w:r>
      <w:r>
        <w:rPr>
          <w:rFonts w:hint="eastAsia" w:ascii="宋体" w:hAnsi="宋体" w:cs="宋体"/>
          <w:color w:val="auto"/>
          <w:spacing w:val="-6"/>
          <w:sz w:val="24"/>
          <w:highlight w:val="none"/>
        </w:rPr>
        <w:t>成交</w:t>
      </w:r>
      <w:r>
        <w:rPr>
          <w:rFonts w:hint="eastAsia" w:ascii="宋体" w:hAnsi="宋体" w:cs="宋体"/>
          <w:color w:val="auto"/>
          <w:sz w:val="24"/>
          <w:highlight w:val="none"/>
        </w:rPr>
        <w:t xml:space="preserve">供应商的竞标保证金自成交通知书发出之日起5个工作日内退还；成交供应商的竞标保证金自签订合同之日起5个工作日内退还。 </w:t>
      </w:r>
    </w:p>
    <w:p w14:paraId="028748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17.3竞标保证金不计息。</w:t>
      </w:r>
    </w:p>
    <w:p w14:paraId="29B767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17.4供应商有下列情形之一的，竞标保证金将不予退还： </w:t>
      </w:r>
    </w:p>
    <w:p w14:paraId="0970FC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w:t>
      </w:r>
    </w:p>
    <w:p w14:paraId="32A902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（2）未按规定提交履约保证金的；</w:t>
      </w:r>
    </w:p>
    <w:p w14:paraId="1A6754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57FFE5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（4）除因不可抗力或者谈判文件认可的情形以外，成交供应商不与采购人签订合同的；</w:t>
      </w:r>
    </w:p>
    <w:p w14:paraId="54BC47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07337C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（6）法律法规规定的其他情形。</w:t>
      </w:r>
    </w:p>
    <w:p w14:paraId="7F399CFE">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18. 响应文件编制的要求</w:t>
      </w:r>
    </w:p>
    <w:p w14:paraId="4FD5D7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18.1供应商应按本谈判文件规定的格式和顺序编制、装订响应文件并标注页码，响应文件内容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szCs w:val="32"/>
          <w:highlight w:val="none"/>
        </w:rPr>
        <w:t>由此引发的</w:t>
      </w:r>
      <w:r>
        <w:rPr>
          <w:rFonts w:hint="eastAsia" w:ascii="宋体" w:hAnsi="宋体" w:cs="宋体"/>
          <w:color w:val="auto"/>
          <w:spacing w:val="-6"/>
          <w:sz w:val="24"/>
          <w:highlight w:val="none"/>
        </w:rPr>
        <w:t>后果由供应商承担。</w:t>
      </w:r>
    </w:p>
    <w:p w14:paraId="1187C1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18.2响应文件应按资格证明文件、报价文件、商务技术文件分别编制电子文件，</w:t>
      </w:r>
      <w:r>
        <w:rPr>
          <w:rFonts w:hint="eastAsia" w:ascii="宋体" w:hAnsi="宋体" w:cs="宋体"/>
          <w:color w:val="auto"/>
          <w:sz w:val="24"/>
          <w:highlight w:val="none"/>
          <w:lang w:bidi="ar"/>
        </w:rPr>
        <w:t>并按“广西政府采购云平台”的要求编制、加密、上传。</w:t>
      </w:r>
    </w:p>
    <w:p w14:paraId="54585C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w:t>
      </w:r>
      <w:bookmarkStart w:id="27" w:name="_Hlk65832699"/>
      <w:r>
        <w:rPr>
          <w:rFonts w:hint="eastAsia" w:ascii="宋体" w:hAnsi="宋体" w:cs="宋体"/>
          <w:color w:val="auto"/>
          <w:sz w:val="24"/>
          <w:highlight w:val="none"/>
        </w:rPr>
        <w:t>3响应文件须由供应商在规定位置盖公章并签字</w:t>
      </w:r>
      <w:bookmarkStart w:id="28" w:name="_Hlk65832569"/>
      <w:r>
        <w:rPr>
          <w:rFonts w:hint="eastAsia" w:ascii="宋体" w:hAnsi="宋体" w:cs="宋体"/>
          <w:color w:val="auto"/>
          <w:sz w:val="24"/>
          <w:highlight w:val="none"/>
        </w:rPr>
        <w:t>（具体以供应商须知前附表或响应文件格式规定为准）</w:t>
      </w:r>
      <w:bookmarkEnd w:id="27"/>
      <w:bookmarkEnd w:id="28"/>
      <w:r>
        <w:rPr>
          <w:rFonts w:hint="eastAsia" w:ascii="宋体" w:hAnsi="宋体" w:cs="宋体"/>
          <w:color w:val="auto"/>
          <w:sz w:val="24"/>
          <w:highlight w:val="none"/>
        </w:rPr>
        <w:t>，否则其响应文件按无效响应处理。</w:t>
      </w:r>
    </w:p>
    <w:p w14:paraId="7EAD9A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4ABE12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4613061B">
      <w:pPr>
        <w:spacing w:line="360" w:lineRule="auto"/>
        <w:ind w:firstLine="321" w:firstLineChars="1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19.响应文件的密封和标记</w:t>
      </w:r>
    </w:p>
    <w:p w14:paraId="556DF596">
      <w:pPr>
        <w:spacing w:line="440" w:lineRule="exact"/>
        <w:ind w:firstLine="480" w:firstLineChars="200"/>
        <w:contextualSpacing/>
        <w:jc w:val="left"/>
        <w:rPr>
          <w:rFonts w:hint="eastAsia" w:ascii="宋体" w:hAnsi="宋体" w:cs="宋体"/>
          <w:bCs/>
          <w:color w:val="auto"/>
          <w:sz w:val="24"/>
          <w:highlight w:val="none"/>
        </w:rPr>
      </w:pPr>
      <w:r>
        <w:rPr>
          <w:rFonts w:hint="eastAsia" w:ascii="宋体" w:hAnsi="宋体" w:cs="宋体"/>
          <w:bCs/>
          <w:color w:val="auto"/>
          <w:sz w:val="24"/>
          <w:highlight w:val="none"/>
        </w:rPr>
        <w:t>19.1 供应商进行电子交易应安装客户端软件—“广西政府采购云平台电子交易客户端”，并按照谈判文件和电子交易平台的要求编制并加密响应文件。供应商未按规定加密的响应文件，电子交易平台将拒收并提示。</w:t>
      </w:r>
    </w:p>
    <w:p w14:paraId="04D94AE3">
      <w:pPr>
        <w:spacing w:line="440" w:lineRule="exact"/>
        <w:ind w:firstLine="480" w:firstLineChars="200"/>
        <w:contextualSpacing/>
        <w:jc w:val="left"/>
        <w:rPr>
          <w:rFonts w:hint="eastAsia" w:ascii="宋体" w:hAnsi="宋体" w:cs="宋体"/>
          <w:bCs/>
          <w:color w:val="auto"/>
          <w:sz w:val="24"/>
          <w:highlight w:val="none"/>
        </w:rPr>
      </w:pPr>
      <w:r>
        <w:rPr>
          <w:rFonts w:hint="eastAsia" w:ascii="宋体" w:hAnsi="宋体" w:cs="宋体"/>
          <w:bCs/>
          <w:color w:val="auto"/>
          <w:sz w:val="24"/>
          <w:highlight w:val="none"/>
        </w:rPr>
        <w:t>19.2 使用“广西政府采购云平台电子交易客户端”需要提前申领 CA 数字证书，申领流程见该项目采购公告附件。</w:t>
      </w:r>
    </w:p>
    <w:p w14:paraId="67F5F2E6">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19.3 为确保网上操作合法、有效和安全，供应商应当在响应文件提交截止时间前完成在“广西政府采购云平台”的身份认证，确保在电子交易过程中能够对相关数据电文进行加密和使用电子签名。</w:t>
      </w:r>
    </w:p>
    <w:p w14:paraId="4EC369C1">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20.响应文件的提交</w:t>
      </w:r>
    </w:p>
    <w:p w14:paraId="17C4442F">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20.1供应商必须按“供应商须知前附表”规定的时间及地点提交响应文件。电子响应文件应在制作完成后，</w:t>
      </w:r>
      <w:r>
        <w:rPr>
          <w:rFonts w:ascii="宋体" w:hAnsi="宋体" w:cs="宋体"/>
          <w:color w:val="auto"/>
          <w:sz w:val="24"/>
          <w:highlight w:val="none"/>
        </w:rPr>
        <w:t>在</w:t>
      </w:r>
      <w:r>
        <w:rPr>
          <w:rFonts w:hint="eastAsia" w:ascii="宋体" w:hAnsi="宋体" w:cs="宋体"/>
          <w:color w:val="auto"/>
          <w:sz w:val="24"/>
          <w:highlight w:val="none"/>
        </w:rPr>
        <w:t>提交响应文件截止</w:t>
      </w:r>
      <w:r>
        <w:rPr>
          <w:rFonts w:ascii="宋体" w:hAnsi="宋体" w:cs="宋体"/>
          <w:color w:val="auto"/>
          <w:sz w:val="24"/>
          <w:highlight w:val="none"/>
        </w:rPr>
        <w:t>时间前</w:t>
      </w:r>
      <w:r>
        <w:rPr>
          <w:rFonts w:hint="eastAsia" w:ascii="宋体" w:hAnsi="宋体" w:cs="宋体"/>
          <w:color w:val="auto"/>
          <w:sz w:val="24"/>
          <w:highlight w:val="none"/>
        </w:rPr>
        <w:t xml:space="preserve">通过有效数字证书（CA认证锁）进行电子签章、加密，然后通过网络将加密的电子响应文件提交至“广西政府采购云平台”。  </w:t>
      </w:r>
    </w:p>
    <w:p w14:paraId="625D365E">
      <w:pPr>
        <w:spacing w:line="440" w:lineRule="exact"/>
        <w:ind w:firstLine="482" w:firstLineChars="200"/>
        <w:contextualSpacing/>
        <w:jc w:val="left"/>
        <w:rPr>
          <w:rFonts w:hint="eastAsia" w:ascii="宋体" w:hAnsi="宋体" w:cs="宋体"/>
          <w:b/>
          <w:color w:val="auto"/>
          <w:sz w:val="24"/>
          <w:highlight w:val="none"/>
        </w:rPr>
      </w:pPr>
      <w:r>
        <w:rPr>
          <w:rFonts w:hint="eastAsia" w:ascii="宋体" w:hAnsi="宋体" w:cs="宋体"/>
          <w:b/>
          <w:color w:val="auto"/>
          <w:sz w:val="24"/>
          <w:highlight w:val="none"/>
        </w:rPr>
        <w:t>20.</w:t>
      </w:r>
      <w:r>
        <w:rPr>
          <w:rFonts w:ascii="宋体" w:hAnsi="宋体" w:cs="宋体"/>
          <w:b/>
          <w:color w:val="auto"/>
          <w:sz w:val="24"/>
          <w:highlight w:val="none"/>
        </w:rPr>
        <w:t>2</w:t>
      </w:r>
      <w:r>
        <w:rPr>
          <w:rFonts w:hint="eastAsia" w:ascii="宋体" w:hAnsi="宋体" w:cs="宋体"/>
          <w:b/>
          <w:color w:val="auto"/>
          <w:sz w:val="24"/>
          <w:highlight w:val="none"/>
        </w:rPr>
        <w:t>未在规定时间内提交或者未按照谈判文件要求加密的电子响应文件，“广西政府采购云平台”将拒收。</w:t>
      </w:r>
    </w:p>
    <w:p w14:paraId="0C1AFB80">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20.3 在响应文件提交截止时间以后，不能补充、修改响应文件。 </w:t>
      </w:r>
    </w:p>
    <w:p w14:paraId="736B6448">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20.4 在提交“最后报价”后，供应商不能退出谈判。 </w:t>
      </w:r>
    </w:p>
    <w:p w14:paraId="5801F3CE">
      <w:pPr>
        <w:spacing w:line="44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20.5 电子交易平台收到响应文件，将妥善保存并即时向供应商发出确认回执通知。在响应文件提交截止时间前，除供应商补充、修改或者撤回响应文件外，任何单位和个人不得解密或提取响应文件。 </w:t>
      </w:r>
    </w:p>
    <w:p w14:paraId="1B7AB50D">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20.6 采购机构不可视情况延长提交响应文件的截止时间。</w:t>
      </w:r>
    </w:p>
    <w:p w14:paraId="1B8C3FEC">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21.首次响应文件的补充、修改与撤回</w:t>
      </w:r>
    </w:p>
    <w:p w14:paraId="622ADD8F">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35421CB5">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22.首次响应文件的退回</w:t>
      </w:r>
    </w:p>
    <w:p w14:paraId="31DF45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6A17409D">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23. 截止时间后的撤回</w:t>
      </w:r>
    </w:p>
    <w:p w14:paraId="19D33E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23.1供应商在首次响应文件提交截止时间后书面通知采购人、采购代理机构书面撤回响应文件的，将根据本须知正文17.4的规定不予退还其竞标保证金。</w:t>
      </w:r>
    </w:p>
    <w:p w14:paraId="7FFFD435">
      <w:pPr>
        <w:spacing w:line="360" w:lineRule="auto"/>
        <w:ind w:firstLine="480" w:firstLineChars="200"/>
        <w:rPr>
          <w:rFonts w:hint="eastAsia" w:ascii="宋体" w:hAnsi="宋体" w:cs="宋体"/>
          <w:color w:val="auto"/>
          <w:sz w:val="24"/>
          <w:highlight w:val="none"/>
        </w:rPr>
      </w:pPr>
    </w:p>
    <w:p w14:paraId="6E87ED60">
      <w:pPr>
        <w:spacing w:line="360" w:lineRule="auto"/>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四、评审及谈判</w:t>
      </w:r>
    </w:p>
    <w:p w14:paraId="74FE663E">
      <w:pPr>
        <w:spacing w:line="360" w:lineRule="auto"/>
        <w:ind w:firstLine="420"/>
        <w:rPr>
          <w:rFonts w:hint="eastAsia" w:ascii="宋体" w:hAnsi="宋体" w:cs="宋体"/>
          <w:color w:val="auto"/>
          <w:sz w:val="24"/>
          <w:highlight w:val="none"/>
        </w:rPr>
      </w:pPr>
    </w:p>
    <w:p w14:paraId="20EBD91E">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24.谈判小组成立</w:t>
      </w:r>
    </w:p>
    <w:p w14:paraId="68D4E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8AC8A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871160E">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25. 首次响应文件的开启</w:t>
      </w:r>
    </w:p>
    <w:p w14:paraId="17C05A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25.1首次响应文件由谈判小组或者采购代理机构在“供应商须知前附表”规定的时间开启。</w:t>
      </w:r>
    </w:p>
    <w:p w14:paraId="6C3AE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供应商的法定代表人或其委托代理人须携带加密时所用的CA锁按平台提示和谈判文件的规定登录到“广西政府采购云平台”平台电子开标大厅签到并在发起解密指令之时起30分钟内完成对电子响应文件在线解密。</w:t>
      </w:r>
      <w:r>
        <w:rPr>
          <w:rFonts w:hint="eastAsia" w:ascii="宋体" w:hAnsi="宋体" w:cs="宋体"/>
          <w:b/>
          <w:bCs/>
          <w:color w:val="auto"/>
          <w:sz w:val="24"/>
          <w:highlight w:val="none"/>
        </w:rPr>
        <w:t>响应文件未按时解密的，视为响应文件无效。</w:t>
      </w:r>
      <w:r>
        <w:rPr>
          <w:rFonts w:hint="eastAsia" w:ascii="宋体" w:hAnsi="宋体" w:cs="宋体"/>
          <w:color w:val="auto"/>
          <w:sz w:val="24"/>
          <w:highlight w:val="none"/>
        </w:rPr>
        <w:t>（解密异常情况处理：详见本章26.2电子交易活动的中止。）</w:t>
      </w:r>
    </w:p>
    <w:p w14:paraId="472637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25.3成功解密响应文件的供应商不足3家的，不得谈判。</w:t>
      </w:r>
    </w:p>
    <w:p w14:paraId="45F5FAEE">
      <w:pPr>
        <w:spacing w:line="360" w:lineRule="auto"/>
        <w:ind w:firstLine="643" w:firstLineChars="2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26. </w:t>
      </w:r>
      <w:r>
        <w:rPr>
          <w:rFonts w:hint="eastAsia" w:ascii="宋体" w:hAnsi="宋体" w:cs="宋体"/>
          <w:b/>
          <w:bCs/>
          <w:color w:val="auto"/>
          <w:sz w:val="32"/>
          <w:szCs w:val="32"/>
          <w:highlight w:val="none"/>
          <w:lang w:eastAsia="zh-CN"/>
        </w:rPr>
        <w:t>评审程序、评审方法和成交标准</w:t>
      </w:r>
    </w:p>
    <w:p w14:paraId="7E52DE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26.1谈判小组按照“第四章  </w:t>
      </w:r>
      <w:r>
        <w:rPr>
          <w:rFonts w:hint="eastAsia" w:ascii="宋体" w:hAnsi="宋体" w:cs="宋体"/>
          <w:color w:val="auto"/>
          <w:sz w:val="24"/>
          <w:highlight w:val="none"/>
          <w:lang w:eastAsia="zh-CN"/>
        </w:rPr>
        <w:t>评审程序、评审方法和成交标准</w:t>
      </w:r>
      <w:r>
        <w:rPr>
          <w:rFonts w:hint="eastAsia" w:ascii="宋体" w:hAnsi="宋体" w:cs="宋体"/>
          <w:color w:val="auto"/>
          <w:sz w:val="24"/>
          <w:highlight w:val="none"/>
        </w:rPr>
        <w:t>”规定的评审程序对响应文件进行评审，并按照评定成交的标准推荐成交候选供应商。</w:t>
      </w:r>
    </w:p>
    <w:p w14:paraId="62E190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26.2 采购需求负偏离要求及谈判顺序详见 “供应商须知前附表”。</w:t>
      </w:r>
    </w:p>
    <w:p w14:paraId="5D2D09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电子交易活动的中止。采购过程中出现以下情形，导致电子交易平台无法正常运行，或者无法保证电子交易的公平、公正和安全时，采购机构可中止电子交易活动：</w:t>
      </w:r>
    </w:p>
    <w:p w14:paraId="4B18D74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18E144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413E67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585F7C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454DF1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）其他无法保证电子交易的公平、公正和安全的情况。</w:t>
      </w:r>
    </w:p>
    <w:p w14:paraId="627324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出现以上情形，不影响采购公平、公正性的，采购代理机构可以待上述情形消除后继续组织电子交易活动；影响或可能影响采购公平、公正性的，经采购代理机构确认后，应当重新采购。</w:t>
      </w:r>
    </w:p>
    <w:p w14:paraId="0A78E15D">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27.确定成交供应商及结果公告</w:t>
      </w:r>
    </w:p>
    <w:p w14:paraId="32EDB4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1FA78CB1">
      <w:pPr>
        <w:pStyle w:val="8"/>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27.2采购代理机构应当在成交供应商确定后2个工作日内，在省级以上财政部门指定的媒体上公告成交结果，同时向成交供应商发出成交通知书。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 w:val="24"/>
          <w:highlight w:val="none"/>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 w:val="24"/>
          <w:highlight w:val="none"/>
        </w:rPr>
        <w:t>成交供应商享受《政府采购促进中小企业发展管理办法》（财库〔2020〕46号）规定的中小企业扶持政策的，采购人、采购代理机构应当随成交结果公开成交供应商的《中小企业声明函》。</w:t>
      </w:r>
    </w:p>
    <w:p w14:paraId="26602165">
      <w:pPr>
        <w:pStyle w:val="8"/>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27.3出现下列情形之一的，采购人或者采购代理机构应当终止竞争性谈判采购活动，发布项目终止公告并说明原因，重新开展采购活动：</w:t>
      </w:r>
    </w:p>
    <w:p w14:paraId="30156237">
      <w:pPr>
        <w:pStyle w:val="8"/>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（一）因情况变化，不再符合规定的竞争性谈判采购方式适用情形的；</w:t>
      </w:r>
    </w:p>
    <w:p w14:paraId="08101A37">
      <w:pPr>
        <w:pStyle w:val="8"/>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（二）出现影响采购公正的违法、违规行为的；</w:t>
      </w:r>
    </w:p>
    <w:p w14:paraId="22374478">
      <w:pPr>
        <w:pStyle w:val="8"/>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（三）在采购过程中符合竞争要求的供应商或者报价未超过采购预算的供应商不足3家的，但《政府采购非招标采购方式管理办法》第二十七条第二款规定的情形除外。</w:t>
      </w:r>
    </w:p>
    <w:p w14:paraId="1A8AA995">
      <w:pPr>
        <w:pStyle w:val="8"/>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27.4在采购活动中因重大变故，采购任务取消的，采购人或者采购代理机构应当终止采购活动，通知所有参加采购活动的供应商。</w:t>
      </w:r>
    </w:p>
    <w:p w14:paraId="77E5F2FB">
      <w:pPr>
        <w:pStyle w:val="8"/>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27.5</w:t>
      </w:r>
      <w:r>
        <w:rPr>
          <w:rFonts w:hint="eastAsia" w:ascii="宋体" w:hAnsi="宋体" w:cs="宋体"/>
          <w:color w:val="auto"/>
          <w:sz w:val="24"/>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313CAE1D">
      <w:pPr>
        <w:pStyle w:val="8"/>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因不可抗力外，成交供应商不与采购人签订合同的，除不予退还其竞标保证金外，若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05F1A591">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28.履约保证金</w:t>
      </w:r>
    </w:p>
    <w:p w14:paraId="40713F8A">
      <w:pPr>
        <w:pStyle w:val="8"/>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28.1履约保证金的金额、提交方式、退付的时间和条件详见 “供应商须知前附表”。成交供应商未按规定提交履约保证金的，视为拒绝</w:t>
      </w:r>
      <w:r>
        <w:rPr>
          <w:rFonts w:hint="eastAsia" w:ascii="宋体" w:hAnsi="宋体" w:cs="宋体"/>
          <w:color w:val="auto"/>
          <w:sz w:val="24"/>
          <w:szCs w:val="32"/>
          <w:highlight w:val="none"/>
        </w:rPr>
        <w:t>与采购人</w:t>
      </w:r>
      <w:r>
        <w:rPr>
          <w:rFonts w:hint="eastAsia" w:ascii="宋体" w:hAnsi="宋体" w:cs="宋体"/>
          <w:color w:val="auto"/>
          <w:sz w:val="24"/>
          <w:highlight w:val="none"/>
        </w:rPr>
        <w:t>签订合同。</w:t>
      </w:r>
    </w:p>
    <w:p w14:paraId="42F91167">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28.2在履约保证金退还日期前，若成交供应商的开户名称、开户银行、帐号有变动的，请以书面形式通知履约保证金收取单位，否则由此产生的后果由成交供应商自负。</w:t>
      </w:r>
    </w:p>
    <w:p w14:paraId="2A4D65FC">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29.签订合同</w:t>
      </w:r>
    </w:p>
    <w:p w14:paraId="4F96E59B">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01A0984F">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29.2 签订合同时间：按成交通知书的规定与采购人签订政府采购合同（最长不能超过25日）。</w:t>
      </w:r>
    </w:p>
    <w:p w14:paraId="7DB1E209">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t>29.3成交供应商拒绝与采购人签订合同的，按照本须知正文第27.5条的规定执行。</w:t>
      </w:r>
    </w:p>
    <w:p w14:paraId="1EEDA05F">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30.政府采购合同公告</w:t>
      </w:r>
    </w:p>
    <w:p w14:paraId="1AB419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094C379">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31. 询问、质疑和投诉</w:t>
      </w:r>
    </w:p>
    <w:p w14:paraId="598E539E">
      <w:pPr>
        <w:pStyle w:val="6"/>
        <w:spacing w:line="360" w:lineRule="auto"/>
        <w:rPr>
          <w:rFonts w:hint="eastAsia" w:ascii="宋体" w:hAnsi="宋体" w:cs="宋体"/>
          <w:color w:val="auto"/>
          <w:sz w:val="24"/>
          <w:szCs w:val="24"/>
          <w:highlight w:val="none"/>
        </w:rPr>
      </w:pPr>
      <w:r>
        <w:rPr>
          <w:rFonts w:hint="eastAsia" w:ascii="宋体" w:hAnsi="宋体" w:cs="宋体"/>
          <w:color w:val="auto"/>
          <w:sz w:val="24"/>
          <w:szCs w:val="22"/>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 w:val="24"/>
          <w:szCs w:val="24"/>
          <w:highlight w:val="none"/>
        </w:rPr>
        <w:t>但答复的内容不得涉及商业秘密。</w:t>
      </w:r>
    </w:p>
    <w:p w14:paraId="5943814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sz w:val="24"/>
          <w:szCs w:val="32"/>
          <w:highlight w:val="none"/>
          <w:shd w:val="clear" w:color="auto" w:fill="FFFFFF"/>
        </w:rPr>
        <w:t>接收质疑函的方式、联系部门、联系电话和通讯地址等信息</w:t>
      </w:r>
      <w:r>
        <w:rPr>
          <w:rFonts w:hint="eastAsia" w:ascii="宋体" w:hAnsi="宋体" w:cs="宋体"/>
          <w:color w:val="auto"/>
          <w:sz w:val="24"/>
          <w:highlight w:val="none"/>
        </w:rPr>
        <w:t>详见“供应商须知前附表”</w:t>
      </w:r>
      <w:r>
        <w:rPr>
          <w:rFonts w:hint="eastAsia" w:ascii="宋体" w:hAnsi="宋体" w:cs="宋体"/>
          <w:color w:val="auto"/>
          <w:sz w:val="24"/>
          <w:szCs w:val="32"/>
          <w:highlight w:val="none"/>
        </w:rPr>
        <w:t>。供应商应当在法定质疑期内一次性提出针对同一采购程序环节的质疑。具体质疑起算时间如下：</w:t>
      </w:r>
    </w:p>
    <w:p w14:paraId="2ECAAC9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（1）对可以质疑的谈判文件提出质疑的，为获取谈判文件之日；</w:t>
      </w:r>
    </w:p>
    <w:p w14:paraId="5E183D0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（2）对采购过程提出质疑的，为各采购程序环节结束之日；</w:t>
      </w:r>
    </w:p>
    <w:p w14:paraId="4649DA1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（3）对成交结果提出质疑的，为成交结果公告期限届满之日。</w:t>
      </w:r>
    </w:p>
    <w:p w14:paraId="54DB91E9">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333512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szCs w:val="32"/>
          <w:highlight w:val="none"/>
        </w:rPr>
        <w:t>（质疑函格式后附）</w:t>
      </w:r>
      <w:r>
        <w:rPr>
          <w:rFonts w:hint="eastAsia" w:ascii="宋体" w:hAnsi="宋体" w:cs="宋体"/>
          <w:color w:val="auto"/>
          <w:sz w:val="24"/>
          <w:szCs w:val="32"/>
          <w:highlight w:val="none"/>
        </w:rPr>
        <w:t>：</w:t>
      </w:r>
    </w:p>
    <w:p w14:paraId="35F8E6D6">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（1）供应商的姓名或者名称、地址、邮编、联系人及联系电话；</w:t>
      </w:r>
    </w:p>
    <w:p w14:paraId="19F02E3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（2）质疑项目的名称、编号；</w:t>
      </w:r>
    </w:p>
    <w:p w14:paraId="2E25B8B3">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（3）具体、明确的质疑事项和与质疑事项相关的请求；</w:t>
      </w:r>
    </w:p>
    <w:p w14:paraId="5E340BB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（4）事实依据；</w:t>
      </w:r>
    </w:p>
    <w:p w14:paraId="038A3CDC">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（5）必要的法律依据；</w:t>
      </w:r>
    </w:p>
    <w:p w14:paraId="467757BF">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（6）提出质疑的日期。</w:t>
      </w:r>
    </w:p>
    <w:p w14:paraId="02633D62">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供应商为自然人的，应当由本人签字；供应商为法人或者其他组织的，应当由法定代表人、主要负责人，或者其委托代理人签字或者盖章，并加盖公章。</w:t>
      </w:r>
    </w:p>
    <w:p w14:paraId="3714FBD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31.5采购人、采购代理机构认为供应商质疑不成立，或者成立但未对成交结果构成影响的，继续开展采购活动；认为供应商质疑成立且影响或者可能影响成交结果的，按照下列情况处理：</w:t>
      </w:r>
    </w:p>
    <w:p w14:paraId="12818F74">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（1）对采购文件提出的质疑，依法通过澄清或者修改可以继续开展采购活动的，澄清或者修改采购文件后继续开展采购活动；否则应当修改采购文件后重新开展采购活动。</w:t>
      </w:r>
    </w:p>
    <w:p w14:paraId="5AC86657">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（2）对采购过程或者成交结果提出的质疑，合格供应商符合法定数量时，可以从合格的成交候选人中另行确定成交供应商的，应当依法另行确定成交供应商；否则应当重新开展采购活动。</w:t>
      </w:r>
    </w:p>
    <w:p w14:paraId="5CFCBDC8">
      <w:pPr>
        <w:spacing w:line="360"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质疑答复导致成交结果改变的，采购人或者采购代理机构应当将有关情况书面报告本级财政部门。</w:t>
      </w:r>
    </w:p>
    <w:p w14:paraId="44F54FFC">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szCs w:val="32"/>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0A95B6A">
      <w:pP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32.其他内容</w:t>
      </w:r>
    </w:p>
    <w:p w14:paraId="1CF50380">
      <w:pPr>
        <w:tabs>
          <w:tab w:val="left" w:pos="283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6B2126C1">
      <w:pPr>
        <w:tabs>
          <w:tab w:val="left" w:pos="283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32.2代理服务费收费计算标准：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FD4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0EA7DF6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费率</w:t>
            </w:r>
          </w:p>
          <w:p w14:paraId="348B01AC">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金额</w:t>
            </w:r>
          </w:p>
        </w:tc>
        <w:tc>
          <w:tcPr>
            <w:tcW w:w="1659" w:type="dxa"/>
            <w:vAlign w:val="center"/>
          </w:tcPr>
          <w:p w14:paraId="6B8EB68F">
            <w:pPr>
              <w:spacing w:line="360" w:lineRule="auto"/>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61082B5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6FA00E1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工程类</w:t>
            </w:r>
          </w:p>
        </w:tc>
      </w:tr>
      <w:tr w14:paraId="3A89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3466D6">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1F9EBEC6">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w:t>
            </w:r>
          </w:p>
        </w:tc>
        <w:tc>
          <w:tcPr>
            <w:tcW w:w="1532" w:type="dxa"/>
          </w:tcPr>
          <w:p w14:paraId="6205B99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w:t>
            </w:r>
          </w:p>
        </w:tc>
        <w:tc>
          <w:tcPr>
            <w:tcW w:w="1546" w:type="dxa"/>
          </w:tcPr>
          <w:p w14:paraId="1A9C508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r>
      <w:tr w14:paraId="10FC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F086806">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1EE0EED1">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1532" w:type="dxa"/>
          </w:tcPr>
          <w:p w14:paraId="269EB3B7">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0.8%</w:t>
            </w:r>
          </w:p>
        </w:tc>
        <w:tc>
          <w:tcPr>
            <w:tcW w:w="1546" w:type="dxa"/>
          </w:tcPr>
          <w:p w14:paraId="15088231">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0.7%</w:t>
            </w:r>
          </w:p>
        </w:tc>
      </w:tr>
      <w:tr w14:paraId="26B4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CCC2C7">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4DCBEB1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0.8%</w:t>
            </w:r>
          </w:p>
        </w:tc>
        <w:tc>
          <w:tcPr>
            <w:tcW w:w="1532" w:type="dxa"/>
          </w:tcPr>
          <w:p w14:paraId="6712BB1E">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0.45%</w:t>
            </w:r>
          </w:p>
        </w:tc>
        <w:tc>
          <w:tcPr>
            <w:tcW w:w="1546" w:type="dxa"/>
          </w:tcPr>
          <w:p w14:paraId="1B14DC66">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0.55%</w:t>
            </w:r>
          </w:p>
        </w:tc>
      </w:tr>
      <w:tr w14:paraId="69EE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3A4BB01">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09586D70">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0.5%</w:t>
            </w:r>
          </w:p>
        </w:tc>
        <w:tc>
          <w:tcPr>
            <w:tcW w:w="1532" w:type="dxa"/>
          </w:tcPr>
          <w:p w14:paraId="71AE0B45">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0.25%</w:t>
            </w:r>
          </w:p>
        </w:tc>
        <w:tc>
          <w:tcPr>
            <w:tcW w:w="1546" w:type="dxa"/>
          </w:tcPr>
          <w:p w14:paraId="6277E2DF">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0.35%</w:t>
            </w:r>
          </w:p>
        </w:tc>
      </w:tr>
      <w:tr w14:paraId="0A23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7CF18AA">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105F5575">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0.25%</w:t>
            </w:r>
          </w:p>
        </w:tc>
        <w:tc>
          <w:tcPr>
            <w:tcW w:w="1532" w:type="dxa"/>
          </w:tcPr>
          <w:p w14:paraId="0124D8B8">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0.1%</w:t>
            </w:r>
          </w:p>
        </w:tc>
        <w:tc>
          <w:tcPr>
            <w:tcW w:w="1546" w:type="dxa"/>
          </w:tcPr>
          <w:p w14:paraId="7F9524CC">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0.2%</w:t>
            </w:r>
          </w:p>
        </w:tc>
      </w:tr>
      <w:tr w14:paraId="02B0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983FA34">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1～5亿元</w:t>
            </w:r>
          </w:p>
        </w:tc>
        <w:tc>
          <w:tcPr>
            <w:tcW w:w="1659" w:type="dxa"/>
          </w:tcPr>
          <w:p w14:paraId="12E67D96">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0.05%</w:t>
            </w:r>
          </w:p>
        </w:tc>
        <w:tc>
          <w:tcPr>
            <w:tcW w:w="1532" w:type="dxa"/>
          </w:tcPr>
          <w:p w14:paraId="519DAAEC">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0.05%</w:t>
            </w:r>
          </w:p>
        </w:tc>
        <w:tc>
          <w:tcPr>
            <w:tcW w:w="1546" w:type="dxa"/>
          </w:tcPr>
          <w:p w14:paraId="13A8B057">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0.05%</w:t>
            </w:r>
          </w:p>
        </w:tc>
      </w:tr>
      <w:tr w14:paraId="3018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51F74D">
            <w:pPr>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5～10亿元</w:t>
            </w:r>
          </w:p>
        </w:tc>
        <w:tc>
          <w:tcPr>
            <w:tcW w:w="1659" w:type="dxa"/>
          </w:tcPr>
          <w:p w14:paraId="694CB21B">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0.035%</w:t>
            </w:r>
          </w:p>
        </w:tc>
        <w:tc>
          <w:tcPr>
            <w:tcW w:w="1532" w:type="dxa"/>
          </w:tcPr>
          <w:p w14:paraId="78A64C51">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0.035%</w:t>
            </w:r>
          </w:p>
        </w:tc>
        <w:tc>
          <w:tcPr>
            <w:tcW w:w="1546" w:type="dxa"/>
          </w:tcPr>
          <w:p w14:paraId="2737911B">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0.035%</w:t>
            </w:r>
          </w:p>
        </w:tc>
      </w:tr>
      <w:tr w14:paraId="129E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6BCADE3">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10～50亿元</w:t>
            </w:r>
          </w:p>
        </w:tc>
        <w:tc>
          <w:tcPr>
            <w:tcW w:w="1659" w:type="dxa"/>
          </w:tcPr>
          <w:p w14:paraId="37D38E05">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0.008%</w:t>
            </w:r>
          </w:p>
        </w:tc>
        <w:tc>
          <w:tcPr>
            <w:tcW w:w="1532" w:type="dxa"/>
          </w:tcPr>
          <w:p w14:paraId="1968D7A2">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0.008%</w:t>
            </w:r>
          </w:p>
        </w:tc>
        <w:tc>
          <w:tcPr>
            <w:tcW w:w="1546" w:type="dxa"/>
          </w:tcPr>
          <w:p w14:paraId="7E170A17">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0.008%</w:t>
            </w:r>
          </w:p>
        </w:tc>
      </w:tr>
      <w:tr w14:paraId="4393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45957F3">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50～100亿元</w:t>
            </w:r>
          </w:p>
        </w:tc>
        <w:tc>
          <w:tcPr>
            <w:tcW w:w="1659" w:type="dxa"/>
          </w:tcPr>
          <w:p w14:paraId="35697895">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0.006%</w:t>
            </w:r>
          </w:p>
        </w:tc>
        <w:tc>
          <w:tcPr>
            <w:tcW w:w="1532" w:type="dxa"/>
          </w:tcPr>
          <w:p w14:paraId="30AEEAF1">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0.006%</w:t>
            </w:r>
          </w:p>
        </w:tc>
        <w:tc>
          <w:tcPr>
            <w:tcW w:w="1546" w:type="dxa"/>
          </w:tcPr>
          <w:p w14:paraId="38D52559">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0.006%</w:t>
            </w:r>
          </w:p>
        </w:tc>
      </w:tr>
      <w:tr w14:paraId="1142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632E3A4">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100亿以上</w:t>
            </w:r>
          </w:p>
        </w:tc>
        <w:tc>
          <w:tcPr>
            <w:tcW w:w="1659" w:type="dxa"/>
          </w:tcPr>
          <w:p w14:paraId="6EC10821">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0.004%</w:t>
            </w:r>
          </w:p>
        </w:tc>
        <w:tc>
          <w:tcPr>
            <w:tcW w:w="1532" w:type="dxa"/>
          </w:tcPr>
          <w:p w14:paraId="657FA7D3">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0.004%</w:t>
            </w:r>
          </w:p>
        </w:tc>
        <w:tc>
          <w:tcPr>
            <w:tcW w:w="1546" w:type="dxa"/>
          </w:tcPr>
          <w:p w14:paraId="2E5AF3F8">
            <w:pPr>
              <w:spacing w:line="4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0.004%</w:t>
            </w:r>
          </w:p>
        </w:tc>
      </w:tr>
    </w:tbl>
    <w:p w14:paraId="03C82B3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72FA543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（1）按本表费率计算的收费为采购代理的收费基准价格；</w:t>
      </w:r>
    </w:p>
    <w:p w14:paraId="05438A1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（2）采购代理收费按差额定率累进法计算。</w:t>
      </w:r>
    </w:p>
    <w:p w14:paraId="17BCD4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例如：某货物采购代理业务成交金额或者暂定价为150万元，计算采购代理收费额如下：</w:t>
      </w:r>
    </w:p>
    <w:p w14:paraId="65DB83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100 万元 ×l.5 %＝ 1.5 万元</w:t>
      </w:r>
    </w:p>
    <w:p w14:paraId="160D2B3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150 － 100 ）万元 ×1.1%＝ 0.55 万元</w:t>
      </w:r>
    </w:p>
    <w:p w14:paraId="206A6E8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合计收费＝ 1.5 ＋ 0.55＝ 2.05 （万元）</w:t>
      </w:r>
    </w:p>
    <w:p w14:paraId="78D513F9">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33. 需要补充的其他内容</w:t>
      </w:r>
    </w:p>
    <w:p w14:paraId="7DBF8298">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33.1本谈判文件解释规则详见“供应商须知前附表”。</w:t>
      </w:r>
    </w:p>
    <w:p w14:paraId="3412A0C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kern w:val="0"/>
          <w:sz w:val="24"/>
          <w:highlight w:val="none"/>
        </w:rPr>
        <w:t>33.2 其他事</w:t>
      </w:r>
      <w:r>
        <w:rPr>
          <w:rFonts w:hint="eastAsia" w:ascii="宋体" w:hAnsi="宋体" w:cs="宋体"/>
          <w:color w:val="auto"/>
          <w:sz w:val="24"/>
          <w:highlight w:val="none"/>
        </w:rPr>
        <w:t>项详见“供应商须知前附表”。</w:t>
      </w:r>
    </w:p>
    <w:p w14:paraId="4ED6C9FC">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33.3</w:t>
      </w:r>
      <w:bookmarkStart w:id="29" w:name="_Hlk65857140"/>
      <w:r>
        <w:rPr>
          <w:rFonts w:hint="eastAsia" w:hAnsi="宋体" w:cs="宋体"/>
          <w:color w:val="auto"/>
          <w:sz w:val="24"/>
          <w:szCs w:val="24"/>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19A95C4">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24B98967">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074ABA48">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34606AA">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11FD4B5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依据本谈判文件规定享受扶持政策获得政府采购合同的，小微企业不得将合同分包给大中型企业，中型企业不得将合同分包给大型企业。</w:t>
      </w:r>
      <w:bookmarkEnd w:id="29"/>
    </w:p>
    <w:p w14:paraId="7C13085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34.4</w:t>
      </w:r>
      <w:r>
        <w:rPr>
          <w:rFonts w:hint="eastAsia" w:ascii="宋体" w:hAnsi="宋体" w:cs="宋体"/>
          <w:color w:val="auto"/>
          <w:kern w:val="0"/>
          <w:sz w:val="24"/>
          <w:szCs w:val="24"/>
          <w:highlight w:val="none"/>
        </w:rPr>
        <w:t xml:space="preserve">依据《国务院办公厅关于在政府采购中实施本国产品标准及相关政策的通知》（国办发〔2025〕34 号）及《财政部和工业和信息化部关于贯彻落实&lt;国务院办公厅关于在政府采购中实施本国产品标准及相关政策的通知&gt;的意见》（财库〔2025〕30 号）等相关规定，对本国产品的支持政策。 </w:t>
      </w:r>
    </w:p>
    <w:p w14:paraId="16382AA3">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（1）本国产品标准的适用范围 </w:t>
      </w:r>
    </w:p>
    <w:p w14:paraId="70D8A272">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914BFE">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（2）对本国产品的支持政策 </w:t>
      </w:r>
    </w:p>
    <w:p w14:paraId="0A0A13F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政府采购活动中既有本国产品又有非本国产品参与竞争的，依法对本国产品给予价格评审优惠，对本国产品的报价给予 20%的价格扣除，用扣除后的价格参与评审。</w:t>
      </w:r>
    </w:p>
    <w:p w14:paraId="54B5D09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 </w:t>
      </w:r>
    </w:p>
    <w:p w14:paraId="0533CFF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（3）本国产品应当符合以下条件：</w:t>
      </w:r>
    </w:p>
    <w:p w14:paraId="4907C2C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①在中国境内生产</w:t>
      </w:r>
    </w:p>
    <w:p w14:paraId="6F965A61">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产品应当在中国境内生产，即在中华人民共和国关境内实现从原材料、组件到产品的属性改变。</w:t>
      </w:r>
    </w:p>
    <w:p w14:paraId="0D9F5A6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属性改变是指经过制造、加工或者组装等工序，产生完全不同于原材料、组件的新产品，并具有新的名称和特征（用途）。属性改变不包括以下细微操作：</w:t>
      </w:r>
    </w:p>
    <w:p w14:paraId="6DAFBB4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a.为确保产品在运输或者储存期间保持某种状态而进行的操作；</w:t>
      </w:r>
    </w:p>
    <w:p w14:paraId="6EF940F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b.为产品运输或者销售进行的包装或者展示；</w:t>
      </w:r>
    </w:p>
    <w:p w14:paraId="4C98EEC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c.在产品或者其包装上粘贴或者印刷品牌、标志、标识以及其他用于区别的标记；</w:t>
      </w:r>
    </w:p>
    <w:p w14:paraId="1F0BC22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d.简单的上漆、磨光和分装；</w:t>
      </w:r>
    </w:p>
    <w:p w14:paraId="0A67CCF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e.其他不属于属性改变的情形。</w:t>
      </w:r>
    </w:p>
    <w:p w14:paraId="52B04EB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②在中国境内生产的组件成本占比达到规定比例</w:t>
      </w:r>
    </w:p>
    <w:p w14:paraId="4F2A5A9D">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产品在中国境内生产的组件成本占比应当达到规定比例，计算公式为：</w:t>
      </w:r>
    </w:p>
    <w:p w14:paraId="77021F7D">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drawing>
          <wp:inline distT="0" distB="0" distL="114300" distR="114300">
            <wp:extent cx="2733675" cy="39052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3"/>
                    <a:stretch>
                      <a:fillRect/>
                    </a:stretch>
                  </pic:blipFill>
                  <pic:spPr>
                    <a:xfrm>
                      <a:off x="0" y="0"/>
                      <a:ext cx="2733675" cy="390525"/>
                    </a:xfrm>
                    <a:prstGeom prst="rect">
                      <a:avLst/>
                    </a:prstGeom>
                    <a:noFill/>
                    <a:ln w="9525">
                      <a:noFill/>
                    </a:ln>
                  </pic:spPr>
                </pic:pic>
              </a:graphicData>
            </a:graphic>
          </wp:inline>
        </w:drawing>
      </w:r>
    </w:p>
    <w:p w14:paraId="04D79FC4">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财政部会同有关行业主管部门，分产品确定在中国境内生产的组件成本占比应当达到的规定比例。在分产品的中国境内生产的组件成本占比相关要求实施前，符合34.4第①项条件的产品在政府采购活动中视同本国产品。</w:t>
      </w:r>
    </w:p>
    <w:p w14:paraId="01F4556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③特定产品的关键组件、关键工序符合相关要求</w:t>
      </w:r>
    </w:p>
    <w:p w14:paraId="52EDE0E3">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对特定产品，在符合34.4第①项和第②项条件的基础上，应当符合财政部会同有关行业主管部门确定的其关键组件、关键工序在中国境内生产、完成等要求。</w:t>
      </w:r>
    </w:p>
    <w:p w14:paraId="2AA7A10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（4）认真审查有关证明文件。 </w:t>
      </w:r>
    </w:p>
    <w:p w14:paraId="2D82E916">
      <w:pPr>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3C19EFC">
      <w:pPr>
        <w:spacing w:line="360" w:lineRule="auto"/>
        <w:ind w:firstLine="480" w:firstLineChars="200"/>
        <w:contextualSpacing/>
        <w:rPr>
          <w:rFonts w:hint="eastAsia" w:ascii="宋体" w:hAnsi="宋体" w:cs="宋体"/>
          <w:color w:val="auto"/>
          <w:sz w:val="24"/>
          <w:highlight w:val="none"/>
        </w:rPr>
      </w:pPr>
    </w:p>
    <w:p w14:paraId="1CA76031">
      <w:pPr>
        <w:spacing w:line="360" w:lineRule="auto"/>
        <w:ind w:firstLine="480" w:firstLineChars="200"/>
        <w:contextualSpacing/>
        <w:rPr>
          <w:rFonts w:hint="eastAsia" w:ascii="宋体" w:hAnsi="宋体" w:cs="宋体"/>
          <w:color w:val="auto"/>
          <w:sz w:val="24"/>
          <w:highlight w:val="none"/>
        </w:rPr>
      </w:pPr>
    </w:p>
    <w:p w14:paraId="6C87F9F0">
      <w:pPr>
        <w:pStyle w:val="2"/>
        <w:spacing w:before="0" w:after="0" w:line="360" w:lineRule="auto"/>
        <w:jc w:val="center"/>
        <w:rPr>
          <w:rFonts w:hint="eastAsia" w:ascii="宋体" w:hAnsi="宋体" w:cs="宋体"/>
          <w:color w:val="auto"/>
          <w:sz w:val="32"/>
          <w:szCs w:val="32"/>
          <w:highlight w:val="none"/>
        </w:rPr>
      </w:pPr>
      <w:r>
        <w:rPr>
          <w:rFonts w:hint="eastAsia" w:ascii="宋体" w:hAnsi="宋体" w:cs="宋体"/>
          <w:bCs w:val="0"/>
          <w:color w:val="auto"/>
          <w:sz w:val="24"/>
          <w:szCs w:val="24"/>
          <w:highlight w:val="none"/>
        </w:rPr>
        <w:br w:type="page"/>
      </w:r>
      <w:bookmarkStart w:id="30" w:name="_Toc74322010"/>
      <w:bookmarkStart w:id="31" w:name="_Toc23210"/>
      <w:r>
        <w:rPr>
          <w:rFonts w:hint="eastAsia" w:ascii="宋体" w:hAnsi="宋体" w:cs="宋体"/>
          <w:color w:val="auto"/>
          <w:highlight w:val="none"/>
        </w:rPr>
        <w:t>第三章 采购需求</w:t>
      </w:r>
      <w:bookmarkEnd w:id="30"/>
      <w:bookmarkEnd w:id="31"/>
    </w:p>
    <w:p w14:paraId="4A2E5323">
      <w:pPr>
        <w:spacing w:line="360" w:lineRule="auto"/>
        <w:jc w:val="left"/>
        <w:rPr>
          <w:rFonts w:hint="eastAsia" w:ascii="宋体" w:hAnsi="宋体" w:cs="宋体"/>
          <w:bCs/>
          <w:color w:val="auto"/>
          <w:sz w:val="24"/>
          <w:highlight w:val="none"/>
        </w:rPr>
      </w:pPr>
      <w:bookmarkStart w:id="32" w:name="_Toc74322011"/>
      <w:r>
        <w:rPr>
          <w:rFonts w:hint="eastAsia" w:ascii="宋体" w:hAnsi="宋体" w:cs="宋体"/>
          <w:bCs/>
          <w:color w:val="auto"/>
          <w:sz w:val="24"/>
          <w:highlight w:val="none"/>
        </w:rPr>
        <w:t>说明：</w:t>
      </w:r>
    </w:p>
    <w:p w14:paraId="515E644B">
      <w:pPr>
        <w:spacing w:line="360" w:lineRule="auto"/>
        <w:ind w:left="-10" w:leftChars="-5" w:right="2" w:rightChars="1" w:firstLine="480" w:firstLineChars="200"/>
        <w:rPr>
          <w:bCs/>
          <w:color w:val="auto"/>
          <w:sz w:val="24"/>
          <w:highlight w:val="none"/>
        </w:rPr>
      </w:pPr>
      <w:r>
        <w:rPr>
          <w:bCs/>
          <w:color w:val="auto"/>
          <w:sz w:val="24"/>
          <w:highlight w:val="none"/>
        </w:rPr>
        <w:t>1、采购需求中如出现品牌、型号或者生产厂家等均仅起参考作用，不属于指定品牌、型号或者生产厂家的情形，</w:t>
      </w:r>
      <w:r>
        <w:rPr>
          <w:rFonts w:hint="eastAsia"/>
          <w:bCs/>
          <w:color w:val="auto"/>
          <w:sz w:val="24"/>
          <w:highlight w:val="none"/>
        </w:rPr>
        <w:t>竞标</w:t>
      </w:r>
      <w:r>
        <w:rPr>
          <w:bCs/>
          <w:color w:val="auto"/>
          <w:sz w:val="24"/>
          <w:highlight w:val="none"/>
        </w:rPr>
        <w:t>人可参照或者选用其他相当的品牌、型号或者生产供应商替代。但</w:t>
      </w:r>
      <w:r>
        <w:rPr>
          <w:rFonts w:hint="eastAsia"/>
          <w:bCs/>
          <w:color w:val="auto"/>
          <w:sz w:val="24"/>
          <w:highlight w:val="none"/>
        </w:rPr>
        <w:t>竞标</w:t>
      </w:r>
      <w:r>
        <w:rPr>
          <w:bCs/>
          <w:color w:val="auto"/>
          <w:sz w:val="24"/>
          <w:highlight w:val="none"/>
        </w:rPr>
        <w:t>人的产品实质上应相当于或优于本需求中的技术要求。</w:t>
      </w:r>
    </w:p>
    <w:p w14:paraId="5F5BE196">
      <w:pPr>
        <w:spacing w:line="360" w:lineRule="auto"/>
        <w:ind w:left="-10" w:leftChars="-5" w:right="2" w:rightChars="1" w:firstLine="480" w:firstLineChars="200"/>
        <w:rPr>
          <w:bCs/>
          <w:color w:val="auto"/>
          <w:sz w:val="24"/>
          <w:highlight w:val="none"/>
        </w:rPr>
      </w:pPr>
      <w:r>
        <w:rPr>
          <w:bCs/>
          <w:color w:val="auto"/>
          <w:sz w:val="24"/>
          <w:highlight w:val="none"/>
        </w:rPr>
        <w:t>2、凡在“技术要求”中表述为“标配”或“标准配置”的设备，</w:t>
      </w:r>
      <w:r>
        <w:rPr>
          <w:rFonts w:hint="eastAsia"/>
          <w:bCs/>
          <w:color w:val="auto"/>
          <w:sz w:val="24"/>
          <w:highlight w:val="none"/>
        </w:rPr>
        <w:t>竞标</w:t>
      </w:r>
      <w:r>
        <w:rPr>
          <w:bCs/>
          <w:color w:val="auto"/>
          <w:sz w:val="24"/>
          <w:highlight w:val="none"/>
        </w:rPr>
        <w:t>人应在</w:t>
      </w:r>
      <w:r>
        <w:rPr>
          <w:rFonts w:hint="eastAsia"/>
          <w:bCs/>
          <w:color w:val="auto"/>
          <w:sz w:val="24"/>
          <w:highlight w:val="none"/>
        </w:rPr>
        <w:t>竞标</w:t>
      </w:r>
      <w:r>
        <w:rPr>
          <w:bCs/>
          <w:color w:val="auto"/>
          <w:sz w:val="24"/>
          <w:highlight w:val="none"/>
        </w:rPr>
        <w:t>设备性能配置清单中将其标配参数详细列明。</w:t>
      </w:r>
    </w:p>
    <w:p w14:paraId="473B86A2">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根据《财政部 发展改革委 生态环境部 市场监管总局关于调整优化节能产品、环境标志产品政府采购执行机制的通知》（财库〔2019〕9号）和《关于印发节能产品政府采购品目清单的通知》（财库〔2019〕19号）的规定，</w:t>
      </w:r>
      <w:r>
        <w:rPr>
          <w:rFonts w:hint="eastAsia"/>
          <w:b/>
          <w:color w:val="auto"/>
          <w:sz w:val="24"/>
          <w:highlight w:val="none"/>
        </w:rPr>
        <w:t>采购需求中的产品属于节能产品政府采购品目清单内标注“★”的，供应商必须在响应文件中提供所竞标产品</w:t>
      </w:r>
      <w:r>
        <w:rPr>
          <w:rFonts w:hint="eastAsia"/>
          <w:b/>
          <w:color w:val="auto"/>
          <w:sz w:val="24"/>
          <w:highlight w:val="none"/>
          <w:lang w:val="en-US" w:eastAsia="zh-CN"/>
        </w:rPr>
        <w:t>有效</w:t>
      </w:r>
      <w:r>
        <w:rPr>
          <w:rFonts w:hint="eastAsia"/>
          <w:b/>
          <w:color w:val="auto"/>
          <w:sz w:val="24"/>
          <w:highlight w:val="none"/>
        </w:rPr>
        <w:t>的节能产品认证证书复印件</w:t>
      </w:r>
      <w:r>
        <w:rPr>
          <w:rFonts w:hint="eastAsia"/>
          <w:b/>
          <w:color w:val="auto"/>
          <w:sz w:val="24"/>
          <w:highlight w:val="none"/>
          <w:lang w:eastAsia="zh-CN"/>
        </w:rPr>
        <w:t>（节能产品认证需为有效期内、国家认监委批准机构出具的认证证书）</w:t>
      </w:r>
      <w:r>
        <w:rPr>
          <w:rFonts w:hint="eastAsia"/>
          <w:b/>
          <w:color w:val="auto"/>
          <w:sz w:val="24"/>
          <w:highlight w:val="none"/>
        </w:rPr>
        <w:t>（加盖供应商电子签章）</w:t>
      </w:r>
      <w:r>
        <w:rPr>
          <w:rFonts w:hint="eastAsia"/>
          <w:bCs/>
          <w:color w:val="auto"/>
          <w:sz w:val="24"/>
          <w:highlight w:val="none"/>
        </w:rPr>
        <w:t xml:space="preserve">，否则响应文件按无效处理。如本项目包含的货物属于品目清单内非标注“★”的产品时，应优先采购，具体详见“第四章 </w:t>
      </w:r>
      <w:r>
        <w:rPr>
          <w:rFonts w:hint="eastAsia"/>
          <w:bCs/>
          <w:color w:val="auto"/>
          <w:sz w:val="24"/>
          <w:highlight w:val="none"/>
          <w:lang w:eastAsia="zh-CN"/>
        </w:rPr>
        <w:t>评审程序、评审方法和成交标准</w:t>
      </w:r>
      <w:r>
        <w:rPr>
          <w:rFonts w:hint="eastAsia"/>
          <w:bCs/>
          <w:color w:val="auto"/>
          <w:sz w:val="24"/>
          <w:highlight w:val="none"/>
        </w:rPr>
        <w:t>”。</w:t>
      </w:r>
    </w:p>
    <w:p w14:paraId="254D2475">
      <w:pPr>
        <w:spacing w:line="360" w:lineRule="auto"/>
        <w:ind w:left="-10" w:leftChars="-5" w:right="2" w:rightChars="1" w:firstLine="480" w:firstLineChars="200"/>
        <w:rPr>
          <w:bCs/>
          <w:color w:val="auto"/>
          <w:sz w:val="24"/>
          <w:highlight w:val="none"/>
        </w:rPr>
      </w:pPr>
      <w:r>
        <w:rPr>
          <w:bCs/>
          <w:color w:val="auto"/>
          <w:sz w:val="24"/>
          <w:highlight w:val="none"/>
        </w:rPr>
        <w:t>4、如</w:t>
      </w:r>
      <w:r>
        <w:rPr>
          <w:rFonts w:hint="eastAsia"/>
          <w:bCs/>
          <w:color w:val="auto"/>
          <w:sz w:val="24"/>
          <w:highlight w:val="none"/>
        </w:rPr>
        <w:t>竞标</w:t>
      </w:r>
      <w:r>
        <w:rPr>
          <w:bCs/>
          <w:color w:val="auto"/>
          <w:sz w:val="24"/>
          <w:highlight w:val="none"/>
        </w:rPr>
        <w:t>人</w:t>
      </w:r>
      <w:r>
        <w:rPr>
          <w:rFonts w:hint="eastAsia"/>
          <w:bCs/>
          <w:color w:val="auto"/>
          <w:sz w:val="24"/>
          <w:highlight w:val="none"/>
        </w:rPr>
        <w:t>竞标</w:t>
      </w:r>
      <w:r>
        <w:rPr>
          <w:bCs/>
          <w:color w:val="auto"/>
          <w:sz w:val="24"/>
          <w:highlight w:val="none"/>
        </w:rPr>
        <w:t>产品存在侵犯他人的知识产权或者专利成果行为的，由</w:t>
      </w:r>
      <w:r>
        <w:rPr>
          <w:rFonts w:hint="eastAsia"/>
          <w:bCs/>
          <w:color w:val="auto"/>
          <w:sz w:val="24"/>
          <w:highlight w:val="none"/>
        </w:rPr>
        <w:t>竞标</w:t>
      </w:r>
      <w:r>
        <w:rPr>
          <w:bCs/>
          <w:color w:val="auto"/>
          <w:sz w:val="24"/>
          <w:highlight w:val="none"/>
        </w:rPr>
        <w:t>人自行承担相应法律责任。</w:t>
      </w:r>
    </w:p>
    <w:p w14:paraId="25C847B9">
      <w:pPr>
        <w:spacing w:line="360" w:lineRule="auto"/>
        <w:ind w:left="-10" w:leftChars="-5" w:right="2" w:rightChars="1" w:firstLine="480" w:firstLineChars="200"/>
        <w:rPr>
          <w:bCs/>
          <w:color w:val="auto"/>
          <w:sz w:val="24"/>
          <w:highlight w:val="none"/>
        </w:rPr>
      </w:pPr>
      <w:r>
        <w:rPr>
          <w:bCs/>
          <w:color w:val="auto"/>
          <w:sz w:val="24"/>
          <w:highlight w:val="none"/>
        </w:rPr>
        <w:t>5、</w:t>
      </w:r>
      <w:r>
        <w:rPr>
          <w:rFonts w:hint="eastAsia"/>
          <w:bCs/>
          <w:color w:val="auto"/>
          <w:sz w:val="24"/>
          <w:highlight w:val="none"/>
        </w:rPr>
        <w:t>“实质性要求”是指采购需求中带“▲”的条款或者不能负偏离的条款或者已经指明不满足按响应文件作无效处理的条款。</w:t>
      </w:r>
    </w:p>
    <w:p w14:paraId="3B93DFE1">
      <w:pPr>
        <w:spacing w:line="360" w:lineRule="auto"/>
        <w:ind w:left="-10" w:leftChars="-5" w:right="2" w:rightChars="1" w:firstLine="480" w:firstLineChars="200"/>
        <w:rPr>
          <w:bCs/>
          <w:color w:val="auto"/>
          <w:sz w:val="24"/>
          <w:highlight w:val="none"/>
        </w:rPr>
      </w:pPr>
      <w:r>
        <w:rPr>
          <w:rFonts w:hint="eastAsia"/>
          <w:bCs/>
          <w:color w:val="auto"/>
          <w:sz w:val="24"/>
          <w:highlight w:val="none"/>
        </w:rPr>
        <w:t>6、所属行业依照《中小企业划型标准规定》（工信部联企业〔2011〕300号）及《国民经济行业分类》（GB/T4754-2017）的有关规定执行。</w:t>
      </w:r>
    </w:p>
    <w:tbl>
      <w:tblPr>
        <w:tblStyle w:val="27"/>
        <w:tblW w:w="10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17"/>
        <w:gridCol w:w="600"/>
        <w:gridCol w:w="467"/>
        <w:gridCol w:w="6239"/>
        <w:gridCol w:w="1161"/>
      </w:tblGrid>
      <w:tr w14:paraId="3E17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10134" w:type="dxa"/>
            <w:gridSpan w:val="6"/>
            <w:vAlign w:val="center"/>
          </w:tcPr>
          <w:p w14:paraId="14AC5BD4">
            <w:pPr>
              <w:spacing w:line="24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技术要求</w:t>
            </w:r>
          </w:p>
        </w:tc>
      </w:tr>
      <w:tr w14:paraId="7800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trPr>
        <w:tc>
          <w:tcPr>
            <w:tcW w:w="550" w:type="dxa"/>
            <w:vAlign w:val="center"/>
          </w:tcPr>
          <w:p w14:paraId="4E4BF630">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117" w:type="dxa"/>
            <w:vAlign w:val="center"/>
          </w:tcPr>
          <w:p w14:paraId="51DA408B">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标的名称</w:t>
            </w:r>
          </w:p>
        </w:tc>
        <w:tc>
          <w:tcPr>
            <w:tcW w:w="600" w:type="dxa"/>
            <w:vAlign w:val="center"/>
          </w:tcPr>
          <w:p w14:paraId="4E358C98">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467" w:type="dxa"/>
            <w:vAlign w:val="center"/>
          </w:tcPr>
          <w:p w14:paraId="072994A2">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6239" w:type="dxa"/>
            <w:vAlign w:val="center"/>
          </w:tcPr>
          <w:p w14:paraId="24055310">
            <w:pPr>
              <w:tabs>
                <w:tab w:val="center" w:pos="3502"/>
                <w:tab w:val="left" w:pos="6023"/>
              </w:tabs>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技术参数及性能（配置）要求</w:t>
            </w:r>
          </w:p>
        </w:tc>
        <w:tc>
          <w:tcPr>
            <w:tcW w:w="1161" w:type="dxa"/>
            <w:vAlign w:val="center"/>
          </w:tcPr>
          <w:p w14:paraId="09ADE926">
            <w:pPr>
              <w:tabs>
                <w:tab w:val="center" w:pos="3502"/>
                <w:tab w:val="left" w:pos="6023"/>
              </w:tabs>
              <w:spacing w:line="24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本项目采购标的所属行业</w:t>
            </w:r>
          </w:p>
        </w:tc>
      </w:tr>
      <w:tr w14:paraId="12A4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50" w:type="dxa"/>
            <w:vAlign w:val="center"/>
          </w:tcPr>
          <w:p w14:paraId="3ACDB018">
            <w:pPr>
              <w:widowControl/>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117" w:type="dxa"/>
            <w:vAlign w:val="center"/>
          </w:tcPr>
          <w:p w14:paraId="3DB0B31E">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智能装备模块化创新设计套件</w:t>
            </w:r>
          </w:p>
        </w:tc>
        <w:tc>
          <w:tcPr>
            <w:tcW w:w="600" w:type="dxa"/>
            <w:vAlign w:val="center"/>
          </w:tcPr>
          <w:p w14:paraId="6F37D1C9">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25</w:t>
            </w:r>
          </w:p>
        </w:tc>
        <w:tc>
          <w:tcPr>
            <w:tcW w:w="467" w:type="dxa"/>
            <w:vAlign w:val="center"/>
          </w:tcPr>
          <w:p w14:paraId="413665E3">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套</w:t>
            </w:r>
          </w:p>
        </w:tc>
        <w:tc>
          <w:tcPr>
            <w:tcW w:w="6239" w:type="dxa"/>
          </w:tcPr>
          <w:p w14:paraId="051E14F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智能装备由多机械结构模块组成，可根据需要进行结构创新设计并编程调试，</w:t>
            </w:r>
            <w:r>
              <w:rPr>
                <w:rFonts w:hint="eastAsia" w:asciiTheme="minorEastAsia" w:hAnsiTheme="minorEastAsia" w:eastAsiaTheme="minorEastAsia" w:cstheme="minorEastAsia"/>
                <w:b w:val="0"/>
                <w:bCs w:val="0"/>
                <w:color w:val="auto"/>
                <w:sz w:val="21"/>
                <w:szCs w:val="21"/>
                <w:highlight w:val="none"/>
              </w:rPr>
              <w:t>支持AI及</w:t>
            </w:r>
            <w:r>
              <w:rPr>
                <w:rFonts w:hint="eastAsia" w:asciiTheme="minorEastAsia" w:hAnsiTheme="minorEastAsia" w:eastAsiaTheme="minorEastAsia" w:cstheme="minorEastAsia"/>
                <w:b w:val="0"/>
                <w:bCs w:val="0"/>
                <w:color w:val="auto"/>
                <w:sz w:val="21"/>
                <w:szCs w:val="21"/>
                <w:highlight w:val="none"/>
                <w:lang w:val="en-US" w:eastAsia="zh-CN"/>
              </w:rPr>
              <w:t>智能装备</w:t>
            </w:r>
            <w:r>
              <w:rPr>
                <w:rFonts w:hint="eastAsia" w:asciiTheme="minorEastAsia" w:hAnsiTheme="minorEastAsia" w:eastAsiaTheme="minorEastAsia" w:cstheme="minorEastAsia"/>
                <w:b w:val="0"/>
                <w:bCs w:val="0"/>
                <w:color w:val="auto"/>
                <w:sz w:val="21"/>
                <w:szCs w:val="21"/>
                <w:highlight w:val="none"/>
              </w:rPr>
              <w:t>多技术模块，兼容多种传感器包。支持Python、C/C++等多种编程语言及多种AI应用</w:t>
            </w:r>
            <w:r>
              <w:rPr>
                <w:rFonts w:hint="eastAsia" w:asciiTheme="minorEastAsia" w:hAnsiTheme="minorEastAsia" w:eastAsiaTheme="minorEastAsia" w:cstheme="minorEastAsia"/>
                <w:b w:val="0"/>
                <w:bCs w:val="0"/>
                <w:color w:val="auto"/>
                <w:sz w:val="21"/>
                <w:szCs w:val="21"/>
                <w:highlight w:val="none"/>
                <w:lang w:eastAsia="zh-CN"/>
              </w:rPr>
              <w:t>的</w:t>
            </w:r>
            <w:r>
              <w:rPr>
                <w:rFonts w:hint="eastAsia" w:asciiTheme="minorEastAsia" w:hAnsiTheme="minorEastAsia" w:eastAsiaTheme="minorEastAsia" w:cstheme="minorEastAsia"/>
                <w:b w:val="0"/>
                <w:bCs w:val="0"/>
                <w:color w:val="auto"/>
                <w:sz w:val="21"/>
                <w:szCs w:val="21"/>
                <w:highlight w:val="none"/>
              </w:rPr>
              <w:t>开发，可用于教学实验实训及竞赛。配套预置丰富的AI应用和AI接口。可进行人工智能的机器学习/深度学习算法、语音/视觉算法应用的教学实训</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赛事及课题</w:t>
            </w:r>
            <w:r>
              <w:rPr>
                <w:rFonts w:hint="eastAsia" w:asciiTheme="minorEastAsia" w:hAnsiTheme="minorEastAsia" w:eastAsiaTheme="minorEastAsia" w:cstheme="minorEastAsia"/>
                <w:b w:val="0"/>
                <w:bCs w:val="0"/>
                <w:color w:val="auto"/>
                <w:sz w:val="21"/>
                <w:szCs w:val="21"/>
                <w:highlight w:val="none"/>
                <w:lang w:eastAsia="zh-CN"/>
              </w:rPr>
              <w:t>研究</w:t>
            </w:r>
            <w:r>
              <w:rPr>
                <w:rFonts w:hint="eastAsia" w:asciiTheme="minorEastAsia" w:hAnsiTheme="minorEastAsia" w:eastAsiaTheme="minorEastAsia" w:cstheme="minorEastAsia"/>
                <w:b w:val="0"/>
                <w:bCs w:val="0"/>
                <w:color w:val="auto"/>
                <w:sz w:val="21"/>
                <w:szCs w:val="21"/>
                <w:highlight w:val="none"/>
              </w:rPr>
              <w:t>。</w:t>
            </w:r>
          </w:p>
          <w:p w14:paraId="06BA796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每套设备</w:t>
            </w:r>
            <w:r>
              <w:rPr>
                <w:rFonts w:hint="eastAsia" w:asciiTheme="minorEastAsia" w:hAnsiTheme="minorEastAsia" w:eastAsiaTheme="minorEastAsia" w:cstheme="minorEastAsia"/>
                <w:color w:val="auto"/>
                <w:sz w:val="21"/>
                <w:szCs w:val="21"/>
                <w:highlight w:val="none"/>
                <w:lang w:eastAsia="zh-CN"/>
              </w:rPr>
              <w:t>包含</w:t>
            </w:r>
            <w:r>
              <w:rPr>
                <w:rFonts w:hint="eastAsia" w:asciiTheme="minorEastAsia" w:hAnsiTheme="minorEastAsia" w:eastAsiaTheme="minorEastAsia" w:cstheme="minorEastAsia"/>
                <w:color w:val="auto"/>
                <w:sz w:val="21"/>
                <w:szCs w:val="21"/>
                <w:highlight w:val="none"/>
              </w:rPr>
              <w:t>50</w:t>
            </w:r>
            <w:r>
              <w:rPr>
                <w:rFonts w:hint="eastAsia" w:asciiTheme="minorEastAsia" w:hAnsiTheme="minorEastAsia" w:eastAsiaTheme="minorEastAsia" w:cstheme="minorEastAsia"/>
                <w:color w:val="auto"/>
                <w:sz w:val="21"/>
                <w:szCs w:val="21"/>
                <w:highlight w:val="none"/>
                <w:lang w:val="en-US" w:eastAsia="zh-CN"/>
              </w:rPr>
              <w:t>种以上</w:t>
            </w:r>
            <w:r>
              <w:rPr>
                <w:rFonts w:hint="eastAsia" w:asciiTheme="minorEastAsia" w:hAnsiTheme="minorEastAsia" w:eastAsiaTheme="minorEastAsia" w:cstheme="minorEastAsia"/>
                <w:color w:val="auto"/>
                <w:sz w:val="21"/>
                <w:szCs w:val="21"/>
                <w:highlight w:val="none"/>
              </w:rPr>
              <w:t>，600个</w:t>
            </w:r>
            <w:r>
              <w:rPr>
                <w:rFonts w:hint="eastAsia" w:asciiTheme="minorEastAsia" w:hAnsiTheme="minorEastAsia" w:eastAsiaTheme="minorEastAsia" w:cstheme="minorEastAsia"/>
                <w:color w:val="auto"/>
                <w:sz w:val="21"/>
                <w:szCs w:val="21"/>
                <w:highlight w:val="none"/>
                <w:lang w:val="en-US" w:eastAsia="zh-CN"/>
              </w:rPr>
              <w:t>以上</w:t>
            </w:r>
            <w:r>
              <w:rPr>
                <w:rFonts w:hint="eastAsia" w:asciiTheme="minorEastAsia" w:hAnsiTheme="minorEastAsia" w:eastAsiaTheme="minorEastAsia" w:cstheme="minorEastAsia"/>
                <w:color w:val="auto"/>
                <w:sz w:val="21"/>
                <w:szCs w:val="21"/>
                <w:highlight w:val="none"/>
              </w:rPr>
              <w:t>结构零件，主要结构零件采用ABS材质，</w:t>
            </w:r>
            <w:r>
              <w:rPr>
                <w:rFonts w:hint="eastAsia" w:asciiTheme="minorEastAsia" w:hAnsiTheme="minorEastAsia" w:eastAsiaTheme="minorEastAsia" w:cstheme="minorEastAsia"/>
                <w:color w:val="auto"/>
                <w:sz w:val="21"/>
                <w:szCs w:val="21"/>
                <w:highlight w:val="none"/>
                <w:lang w:val="en-US" w:eastAsia="zh-CN"/>
              </w:rPr>
              <w:t>零件由多种颜色组成</w:t>
            </w:r>
            <w:r>
              <w:rPr>
                <w:rFonts w:hint="eastAsia" w:asciiTheme="minorEastAsia" w:hAnsiTheme="minorEastAsia" w:eastAsiaTheme="minorEastAsia" w:cstheme="minorEastAsia"/>
                <w:color w:val="auto"/>
                <w:sz w:val="21"/>
                <w:szCs w:val="21"/>
                <w:highlight w:val="none"/>
              </w:rPr>
              <w:t>；结构零件的连接采用花键式结构，</w:t>
            </w:r>
            <w:r>
              <w:rPr>
                <w:rFonts w:hint="eastAsia" w:asciiTheme="minorEastAsia" w:hAnsiTheme="minorEastAsia" w:eastAsiaTheme="minorEastAsia" w:cstheme="minorEastAsia"/>
                <w:color w:val="auto"/>
                <w:sz w:val="21"/>
                <w:szCs w:val="21"/>
                <w:highlight w:val="none"/>
                <w:lang w:val="en-US" w:eastAsia="zh-CN"/>
              </w:rPr>
              <w:t>以实现</w:t>
            </w:r>
            <w:r>
              <w:rPr>
                <w:rFonts w:hint="eastAsia" w:asciiTheme="minorEastAsia" w:hAnsiTheme="minorEastAsia" w:eastAsiaTheme="minorEastAsia" w:cstheme="minorEastAsia"/>
                <w:color w:val="auto"/>
                <w:sz w:val="21"/>
                <w:szCs w:val="21"/>
                <w:highlight w:val="none"/>
              </w:rPr>
              <w:t>连接角度</w:t>
            </w:r>
            <w:r>
              <w:rPr>
                <w:rFonts w:hint="eastAsia" w:asciiTheme="minorEastAsia" w:hAnsiTheme="minorEastAsia" w:eastAsiaTheme="minorEastAsia" w:cstheme="minorEastAsia"/>
                <w:color w:val="auto"/>
                <w:sz w:val="21"/>
                <w:szCs w:val="21"/>
                <w:highlight w:val="none"/>
                <w:lang w:eastAsia="zh-CN"/>
              </w:rPr>
              <w:t>多挡位调整</w:t>
            </w:r>
            <w:r>
              <w:rPr>
                <w:rFonts w:hint="eastAsia" w:asciiTheme="minorEastAsia" w:hAnsiTheme="minorEastAsia" w:eastAsiaTheme="minorEastAsia" w:cstheme="minorEastAsia"/>
                <w:color w:val="auto"/>
                <w:sz w:val="21"/>
                <w:szCs w:val="21"/>
                <w:highlight w:val="none"/>
              </w:rPr>
              <w:t>，精密连接，无间隙，无晃动。单个连接可承受5Nm以上的弯矩。支持两个或三个零件可以各种角度连接；结构件组装简便，只需一个螺丝即可固定；结构件必须包含I型结构件3种、L型结构件6种、U型结构件7种、2套机械手爪组件、2个仿生机器人脚掌、5套传动轮组件、1套仿生机器人躯体、4个橡胶轮胎、2块机器人通用安装底盘、4个全向轮；提供所有结构零件和不少于8种典型构型的3D模型，可用于搭建虚拟样机教学和学生实训；</w:t>
            </w:r>
          </w:p>
          <w:p w14:paraId="38275EA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color w:val="auto"/>
                <w:sz w:val="21"/>
                <w:szCs w:val="21"/>
                <w:highlight w:val="none"/>
              </w:rPr>
              <w:t>提供≥7.4V4400mAh大容量锂聚合物电池，机器人正常运行时间≥2小时，配置12V5A专用充电器；</w:t>
            </w:r>
          </w:p>
          <w:p w14:paraId="1B6594C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color w:val="auto"/>
                <w:sz w:val="21"/>
                <w:szCs w:val="21"/>
                <w:highlight w:val="none"/>
              </w:rPr>
              <w:t>配置下载、调试、通讯一体化调试器。多功能调试器集成USB-232，半双工异步串行总线、AVRISP三种功能，通过功能选择按钮可以让调试器的工作模式在RS232、AVRISP、数字舵机调试器之间相互切换。可以对控制器进行串口通讯调试和程序下载，可以对数字舵机进行调试和控制；</w:t>
            </w:r>
          </w:p>
          <w:p w14:paraId="049392D4">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color w:val="auto"/>
                <w:sz w:val="21"/>
                <w:szCs w:val="21"/>
                <w:highlight w:val="none"/>
              </w:rPr>
              <w:t>提供一套基于STM32单片机的机器人控制器，控制器配置有AD接口可同时将红外接近、红外测距、温度、光强、声音、碰撞、倾覆、灰度等传感器同时插在控制器上。控制器配置有IO输出接口可用于驱动LED、蜂鸣器、模拟舵机等外设。控制器配置机器人数字舵机接口，可直接驱动数字舵机。控制器内置蓝牙模块和基于CC2530的ZigBee无线通信平台，能方</w:t>
            </w:r>
            <w:r>
              <w:rPr>
                <w:rFonts w:hint="eastAsia" w:asciiTheme="minorEastAsia" w:hAnsiTheme="minorEastAsia" w:eastAsiaTheme="minorEastAsia" w:cstheme="minorEastAsia"/>
                <w:color w:val="auto"/>
                <w:sz w:val="21"/>
                <w:szCs w:val="21"/>
                <w:highlight w:val="none"/>
                <w:lang w:eastAsia="zh-CN"/>
              </w:rPr>
              <w:t>便地</w:t>
            </w:r>
            <w:r>
              <w:rPr>
                <w:rFonts w:hint="eastAsia" w:asciiTheme="minorEastAsia" w:hAnsiTheme="minorEastAsia" w:eastAsiaTheme="minorEastAsia" w:cstheme="minorEastAsia"/>
                <w:color w:val="auto"/>
                <w:sz w:val="21"/>
                <w:szCs w:val="21"/>
                <w:highlight w:val="none"/>
              </w:rPr>
              <w:t>进行组网通信。控制器参数如下：</w:t>
            </w:r>
          </w:p>
          <w:p w14:paraId="227E1248">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主频≥72MHz，Cortex-M3架构处理器；</w:t>
            </w:r>
          </w:p>
          <w:p w14:paraId="12BF5EC0">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≥2个机器人舵机接口，实际可连接≥30个舵机，兼容AX12+机器人舵机，另配置有舵机接口扩展板，方便用户选择并联接入方式；</w:t>
            </w:r>
          </w:p>
          <w:p w14:paraId="6B02DE6C">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rPr>
              <w:t>≥6路通用TTL电平IO输出端口；</w:t>
            </w:r>
          </w:p>
          <w:p w14:paraId="02612CF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rPr>
              <w:t>≥16路12位精度ADC复用的TTL电平输入端口（0-5V），12路复用的用户可配置的外部中断输入，其中包括4路按键输入；</w:t>
            </w:r>
          </w:p>
          <w:p w14:paraId="713FDABD">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rPr>
              <w:t>≥2个外置RS232串口；</w:t>
            </w:r>
          </w:p>
          <w:p w14:paraId="32D95382">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rPr>
              <w:t>具备蓝牙收发功能；</w:t>
            </w:r>
          </w:p>
          <w:p w14:paraId="5616EC92">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7)</w:t>
            </w:r>
            <w:r>
              <w:rPr>
                <w:rFonts w:hint="eastAsia" w:asciiTheme="minorEastAsia" w:hAnsiTheme="minorEastAsia" w:eastAsiaTheme="minorEastAsia" w:cstheme="minorEastAsia"/>
                <w:color w:val="auto"/>
                <w:sz w:val="21"/>
                <w:szCs w:val="21"/>
                <w:highlight w:val="none"/>
              </w:rPr>
              <w:t>具有Zigbee通讯模块；</w:t>
            </w:r>
          </w:p>
          <w:p w14:paraId="7E0C5A12">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8)</w:t>
            </w:r>
            <w:r>
              <w:rPr>
                <w:rFonts w:hint="eastAsia" w:asciiTheme="minorEastAsia" w:hAnsiTheme="minorEastAsia" w:eastAsiaTheme="minorEastAsia" w:cstheme="minorEastAsia"/>
                <w:color w:val="auto"/>
                <w:sz w:val="21"/>
                <w:szCs w:val="21"/>
                <w:highlight w:val="none"/>
              </w:rPr>
              <w:t>控制器集成有液晶显示模块，可显示汉字、字母、数字；</w:t>
            </w:r>
          </w:p>
          <w:p w14:paraId="321A579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9)</w:t>
            </w:r>
            <w:r>
              <w:rPr>
                <w:rFonts w:hint="eastAsia" w:asciiTheme="minorEastAsia" w:hAnsiTheme="minorEastAsia" w:eastAsiaTheme="minorEastAsia" w:cstheme="minorEastAsia"/>
                <w:color w:val="auto"/>
                <w:sz w:val="21"/>
                <w:szCs w:val="21"/>
                <w:highlight w:val="none"/>
              </w:rPr>
              <w:t>支持用户程序U盘拷贝模式、RS232串口直接下载两种下载模式；（支持程序的U盘拷贝模式，方便用户进行程序的管理。在U盘拷贝模式中，控制器通过USB线缆连接到PC机后，会在PC机上显示一个1M大小的U盘，里面存放的即为用户下载的程序，用户通过普通的复制粘贴操作即可进行程序的下载。同时也可以方便</w:t>
            </w:r>
            <w:r>
              <w:rPr>
                <w:rFonts w:hint="eastAsia" w:asciiTheme="minorEastAsia" w:hAnsiTheme="minorEastAsia" w:eastAsiaTheme="minorEastAsia" w:cstheme="minorEastAsia"/>
                <w:color w:val="auto"/>
                <w:sz w:val="21"/>
                <w:szCs w:val="21"/>
                <w:highlight w:val="none"/>
                <w:lang w:eastAsia="zh-CN"/>
              </w:rPr>
              <w:t>地</w:t>
            </w:r>
            <w:r>
              <w:rPr>
                <w:rFonts w:hint="eastAsia" w:asciiTheme="minorEastAsia" w:hAnsiTheme="minorEastAsia" w:eastAsiaTheme="minorEastAsia" w:cstheme="minorEastAsia"/>
                <w:color w:val="auto"/>
                <w:sz w:val="21"/>
                <w:szCs w:val="21"/>
                <w:highlight w:val="none"/>
              </w:rPr>
              <w:t>删除程序；</w:t>
            </w:r>
          </w:p>
          <w:p w14:paraId="3F0503C8">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10)</w:t>
            </w:r>
            <w:r>
              <w:rPr>
                <w:rFonts w:hint="eastAsia" w:asciiTheme="minorEastAsia" w:hAnsiTheme="minorEastAsia" w:eastAsiaTheme="minorEastAsia" w:cstheme="minorEastAsia"/>
                <w:color w:val="auto"/>
                <w:sz w:val="21"/>
                <w:szCs w:val="21"/>
                <w:highlight w:val="none"/>
              </w:rPr>
              <w:t>控制器内置BootLoader程序，可以方便</w:t>
            </w:r>
            <w:r>
              <w:rPr>
                <w:rFonts w:hint="eastAsia" w:asciiTheme="minorEastAsia" w:hAnsiTheme="minorEastAsia" w:eastAsiaTheme="minorEastAsia" w:cstheme="minorEastAsia"/>
                <w:color w:val="auto"/>
                <w:sz w:val="21"/>
                <w:szCs w:val="21"/>
                <w:highlight w:val="none"/>
                <w:lang w:eastAsia="zh-CN"/>
              </w:rPr>
              <w:t>地</w:t>
            </w:r>
            <w:r>
              <w:rPr>
                <w:rFonts w:hint="eastAsia" w:asciiTheme="minorEastAsia" w:hAnsiTheme="minorEastAsia" w:eastAsiaTheme="minorEastAsia" w:cstheme="minorEastAsia"/>
                <w:color w:val="auto"/>
                <w:sz w:val="21"/>
                <w:szCs w:val="21"/>
                <w:highlight w:val="none"/>
              </w:rPr>
              <w:t>使用图形交互界面配置控制器；</w:t>
            </w:r>
          </w:p>
          <w:p w14:paraId="7DF590E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color w:val="auto"/>
                <w:sz w:val="21"/>
                <w:szCs w:val="21"/>
                <w:highlight w:val="none"/>
              </w:rPr>
              <w:t>提供14个总线式机器人数字舵机，该数字舵机属于一种集电机、伺服驱动、总线式通讯接口为一体的集成伺服单元。参数如下：</w:t>
            </w:r>
          </w:p>
          <w:p w14:paraId="1FF901B4">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全铜合金齿轮；</w:t>
            </w:r>
          </w:p>
          <w:p w14:paraId="39B066DC">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最大扭矩≥16Kgf.cm，转速0.14sec/60゜，舵机模式下转动角度0-300゜；</w:t>
            </w:r>
          </w:p>
          <w:p w14:paraId="1FE204C6">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rPr>
              <w:t>总线式通讯，多个舵机间串联数字式通讯，最多支持255个舵机串联；</w:t>
            </w:r>
          </w:p>
          <w:p w14:paraId="7F77E25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rPr>
              <w:t>具备整周旋转和调速功能，可作为直流减速电机使用，转动速度可达65rpm；</w:t>
            </w:r>
          </w:p>
          <w:p w14:paraId="78DEDC9B">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rPr>
              <w:t>具备温度、电压、位置、转速等反馈功能，可由上位机软件读取；</w:t>
            </w:r>
          </w:p>
          <w:p w14:paraId="3E7D369F">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rPr>
              <w:t>具备温度、电流、堵转等保护功能。</w:t>
            </w:r>
          </w:p>
          <w:p w14:paraId="70F8816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6、</w:t>
            </w:r>
            <w:r>
              <w:rPr>
                <w:rFonts w:hint="eastAsia" w:asciiTheme="minorEastAsia" w:hAnsiTheme="minorEastAsia" w:eastAsiaTheme="minorEastAsia" w:cstheme="minorEastAsia"/>
                <w:color w:val="auto"/>
                <w:sz w:val="21"/>
                <w:szCs w:val="21"/>
                <w:highlight w:val="none"/>
              </w:rPr>
              <w:t>提供≥9种19个传感器，包括红外接近传感器*4、红外测距传感器*2、灰度传感器*4、温度传感器*1、碰撞传感器*2、光强传感器*2、声音传感器*1、倾覆传感器*2、霍尔传感器*1；</w:t>
            </w:r>
          </w:p>
          <w:p w14:paraId="44707D7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w:t>
            </w:r>
            <w:r>
              <w:rPr>
                <w:rFonts w:hint="eastAsia" w:asciiTheme="minorEastAsia" w:hAnsiTheme="minorEastAsia" w:eastAsiaTheme="minorEastAsia" w:cstheme="minorEastAsia"/>
                <w:color w:val="auto"/>
                <w:sz w:val="21"/>
                <w:szCs w:val="21"/>
                <w:highlight w:val="none"/>
              </w:rPr>
              <w:t>配置图形化机器人编程软件，通过鼠标拖动类似逻辑框的控件和对控件做简单的属性设置，就可以快捷</w:t>
            </w:r>
            <w:r>
              <w:rPr>
                <w:rFonts w:hint="eastAsia" w:asciiTheme="minorEastAsia" w:hAnsiTheme="minorEastAsia" w:eastAsiaTheme="minorEastAsia" w:cstheme="minorEastAsia"/>
                <w:color w:val="auto"/>
                <w:sz w:val="21"/>
                <w:szCs w:val="21"/>
                <w:highlight w:val="none"/>
                <w:lang w:eastAsia="zh-CN"/>
              </w:rPr>
              <w:t>地</w:t>
            </w:r>
            <w:r>
              <w:rPr>
                <w:rFonts w:hint="eastAsia" w:asciiTheme="minorEastAsia" w:hAnsiTheme="minorEastAsia" w:eastAsiaTheme="minorEastAsia" w:cstheme="minorEastAsia"/>
                <w:color w:val="auto"/>
                <w:sz w:val="21"/>
                <w:szCs w:val="21"/>
                <w:highlight w:val="none"/>
              </w:rPr>
              <w:t>编写机器人控制程序。图形化程序编辑</w:t>
            </w:r>
            <w:r>
              <w:rPr>
                <w:rFonts w:hint="eastAsia" w:asciiTheme="minorEastAsia" w:hAnsiTheme="minorEastAsia" w:eastAsiaTheme="minorEastAsia" w:cstheme="minorEastAsia"/>
                <w:color w:val="auto"/>
                <w:sz w:val="21"/>
                <w:szCs w:val="21"/>
                <w:highlight w:val="none"/>
                <w:lang w:eastAsia="zh-CN"/>
              </w:rPr>
              <w:t>完成</w:t>
            </w:r>
            <w:r>
              <w:rPr>
                <w:rFonts w:hint="eastAsia" w:asciiTheme="minorEastAsia" w:hAnsiTheme="minorEastAsia" w:eastAsiaTheme="minorEastAsia" w:cstheme="minorEastAsia"/>
                <w:color w:val="auto"/>
                <w:sz w:val="21"/>
                <w:szCs w:val="21"/>
                <w:highlight w:val="none"/>
              </w:rPr>
              <w:t>后会自动生成对应的c代码，可以编译并下载到机器人控制器中运行。软件包含丰富的控件模块，支持用户完成基于C语言的机器人图形化编程。控件工具箱包含内部资源、外部设备、公共资源、自定义资源。主要功能如下：</w:t>
            </w:r>
          </w:p>
          <w:p w14:paraId="55F92F7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1)内部资源控件包含：延时、打印、数字输入、按键输入、模拟输入、数字输出等控件，所有控件模块支持属性设置和自由拖拽编辑；</w:t>
            </w:r>
          </w:p>
          <w:p w14:paraId="539D400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2)外部设备控件包含：舵机、蜂鸣器、语音识别、语音播放、图像捕捉、颜色识别等控件，所有控件模块支持属性设置和自由拖拽编辑；</w:t>
            </w:r>
          </w:p>
          <w:p w14:paraId="26181CA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3)公共资源控件包含：变量、运算、条件判断、条件结束、多支判断、多支结束、多次循环、条件循环、循环结束、跳出、返回等控件，所有控件模块支持属性设置和自由拖拽编辑；</w:t>
            </w:r>
          </w:p>
          <w:p w14:paraId="08DC58E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4)自定义资源包含编辑代码模块，用户可以在编辑代码模块里通过C语言自定义模块内容。</w:t>
            </w:r>
          </w:p>
          <w:p w14:paraId="40C296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5)软件具备实时数据监控功能，可以监测通过串口连接的控制器信号，包括AD/IO传感器数据信号，控制器上舵机的位置信息，控制器上高低电平输出的控制功能等；</w:t>
            </w:r>
          </w:p>
          <w:p w14:paraId="5705FBA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6)在软件控件窗口完成图形化程序的编写后，代码窗口会自动生成C语言代码，零基础的用户也可快速上手使用，并能帮助用户进行C语言的学习；</w:t>
            </w:r>
          </w:p>
          <w:p w14:paraId="6EB191C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7)在软件编译完成后的程序可以直接通过RS232串口下载到控制器内，也</w:t>
            </w:r>
            <w:r>
              <w:rPr>
                <w:rFonts w:hint="eastAsia" w:asciiTheme="minorEastAsia" w:hAnsiTheme="minorEastAsia" w:eastAsiaTheme="minorEastAsia" w:cstheme="minorEastAsia"/>
                <w:color w:val="auto"/>
                <w:sz w:val="21"/>
                <w:szCs w:val="21"/>
                <w:highlight w:val="none"/>
                <w:lang w:eastAsia="zh-CN"/>
              </w:rPr>
              <w:t>可</w:t>
            </w:r>
            <w:r>
              <w:rPr>
                <w:rFonts w:hint="eastAsia" w:asciiTheme="minorEastAsia" w:hAnsiTheme="minorEastAsia" w:eastAsiaTheme="minorEastAsia" w:cstheme="minorEastAsia"/>
                <w:color w:val="auto"/>
                <w:sz w:val="21"/>
                <w:szCs w:val="21"/>
                <w:highlight w:val="none"/>
              </w:rPr>
              <w:t>生成bin文件直接拷贝到控制器内运行。</w:t>
            </w:r>
          </w:p>
          <w:p w14:paraId="290B829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8、</w:t>
            </w:r>
            <w:r>
              <w:rPr>
                <w:rFonts w:hint="eastAsia" w:asciiTheme="minorEastAsia" w:hAnsiTheme="minorEastAsia" w:eastAsiaTheme="minorEastAsia" w:cstheme="minorEastAsia"/>
                <w:color w:val="auto"/>
                <w:sz w:val="21"/>
                <w:szCs w:val="21"/>
                <w:highlight w:val="none"/>
              </w:rPr>
              <w:t>配置机器人数字舵机调试软件，可进行总线上的舵机ID搜索；可设置参数，如ID、波特率、加速度以及位置限制等；可查看舵机状态，如舵机当前温度，位置，载荷、电压等；可进行速度、位置、负载等关键参数动态曲线观测；可进行舵机固件升级；可进行舵机性能展示。</w:t>
            </w:r>
          </w:p>
          <w:p w14:paraId="579D4AE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color w:val="auto"/>
                <w:sz w:val="21"/>
                <w:szCs w:val="21"/>
                <w:highlight w:val="none"/>
              </w:rPr>
              <w:t>配套资源</w:t>
            </w:r>
          </w:p>
          <w:p w14:paraId="3F6E326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)提供依托本产品开发的实验指导书一套，配套搭建指导、程序源码、竞赛规则等。</w:t>
            </w:r>
          </w:p>
          <w:p w14:paraId="1C26DFC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)提供10种以上典型机器人的搭建指导，并包含电缆连接示意图；</w:t>
            </w:r>
          </w:p>
          <w:p w14:paraId="7377541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)实验指导书需提供机器人的硬件和软件实验，包括图形化开发软件使用范例实验，C语言编程控制机器人范例实验；</w:t>
            </w:r>
          </w:p>
          <w:p w14:paraId="5C21D0E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)提供所有结构零件和不少于8种典型构型的3D模型，可用于搭建虚拟样机教学和学生实训；</w:t>
            </w:r>
          </w:p>
          <w:p w14:paraId="5F50AD3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)提供实验范例的全部源程序，便于教学使用。</w:t>
            </w:r>
          </w:p>
          <w:p w14:paraId="1BA7176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10、可</w:t>
            </w:r>
            <w:r>
              <w:rPr>
                <w:rFonts w:hint="eastAsia" w:asciiTheme="minorEastAsia" w:hAnsiTheme="minorEastAsia" w:eastAsiaTheme="minorEastAsia" w:cstheme="minorEastAsia"/>
                <w:color w:val="auto"/>
                <w:sz w:val="21"/>
                <w:szCs w:val="21"/>
                <w:highlight w:val="none"/>
              </w:rPr>
              <w:t>以支持搭建或自由扩展的构型案例</w:t>
            </w:r>
          </w:p>
          <w:p w14:paraId="3BD92000">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1)避障机器人，该构型可实现四轮移动机器人的前进、后退、左转、右转，当无障碍物时机器人前进运动，有障碍物时可避障前进；</w:t>
            </w:r>
          </w:p>
          <w:p w14:paraId="32E1E19B">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2)七自由度机械臂，该构型可实现机械臂对物品的抓取和放置，机械臂有七个自由度；</w:t>
            </w:r>
          </w:p>
          <w:p w14:paraId="27BEFDF0">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3)四足机器人，该构型可实现四足机器人的前进、后退、左转、右转，当无障碍物时机器人前进运动，有障碍物时可避障前进；</w:t>
            </w:r>
          </w:p>
          <w:p w14:paraId="13108702">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4)六足机器人，该构型可实现六足机器人的前进、后退、左转、右转，当无障碍物时机器人前进运动，有障碍物时可避障前进，同时给六足机器人编排舞蹈动作；</w:t>
            </w:r>
          </w:p>
          <w:p w14:paraId="23C94D59">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5)扎气球机器人，该构型可实现对目标物的寻找和攻击；</w:t>
            </w:r>
          </w:p>
          <w:p w14:paraId="66C72C0F">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6)自平衡机器人，该构型参考平衡车的原理，可实现两轮机构的自平衡；</w:t>
            </w:r>
          </w:p>
          <w:p w14:paraId="6CF32A68">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7)门禁机器人，该构型可以实现对人和物体的检测，控制升降杆的起降；</w:t>
            </w:r>
          </w:p>
          <w:p w14:paraId="67F5E469">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8)仿人散打机器人，该构型可以参加</w:t>
            </w:r>
            <w:r>
              <w:rPr>
                <w:rFonts w:hint="eastAsia" w:asciiTheme="minorEastAsia" w:hAnsiTheme="minorEastAsia" w:eastAsiaTheme="minorEastAsia" w:cstheme="minorEastAsia"/>
                <w:color w:val="auto"/>
                <w:sz w:val="21"/>
                <w:szCs w:val="21"/>
                <w:highlight w:val="none"/>
                <w:lang w:eastAsia="zh-CN"/>
              </w:rPr>
              <w:t>相关</w:t>
            </w:r>
            <w:r>
              <w:rPr>
                <w:rFonts w:hint="eastAsia" w:asciiTheme="minorEastAsia" w:hAnsiTheme="minorEastAsia" w:eastAsiaTheme="minorEastAsia" w:cstheme="minorEastAsia"/>
                <w:color w:val="auto"/>
                <w:sz w:val="21"/>
                <w:szCs w:val="21"/>
                <w:highlight w:val="none"/>
              </w:rPr>
              <w:t>仿人散打赛项，具备自主上台，赛台漫游，发现敌人用手臂攻击，倒地后自主起身等功能；</w:t>
            </w:r>
          </w:p>
          <w:p w14:paraId="2FD5929D">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9)轮式格斗机器人，该构型可以参加</w:t>
            </w:r>
            <w:r>
              <w:rPr>
                <w:rFonts w:hint="eastAsia" w:asciiTheme="minorEastAsia" w:hAnsiTheme="minorEastAsia" w:eastAsiaTheme="minorEastAsia" w:cstheme="minorEastAsia"/>
                <w:color w:val="auto"/>
                <w:sz w:val="21"/>
                <w:szCs w:val="21"/>
                <w:highlight w:val="none"/>
                <w:lang w:eastAsia="zh-CN"/>
              </w:rPr>
              <w:t>相关</w:t>
            </w:r>
            <w:r>
              <w:rPr>
                <w:rFonts w:hint="eastAsia" w:asciiTheme="minorEastAsia" w:hAnsiTheme="minorEastAsia" w:eastAsiaTheme="minorEastAsia" w:cstheme="minorEastAsia"/>
                <w:color w:val="auto"/>
                <w:sz w:val="21"/>
                <w:szCs w:val="21"/>
                <w:highlight w:val="none"/>
              </w:rPr>
              <w:t>轮式自主格斗赛项，具备自主登台、赛台自主漫游、发现敌人进攻，掉台后自主登台等功能。</w:t>
            </w:r>
          </w:p>
          <w:p w14:paraId="76477C97">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10)六轴并联写毛笔字机器人；</w:t>
            </w:r>
          </w:p>
          <w:p w14:paraId="70333E6D">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11)六足消防机器人（含随机巡逻、火焰检测、视频监控等功能）；</w:t>
            </w:r>
          </w:p>
          <w:p w14:paraId="7B3112EB">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12)茶艺机器人（含洗茶、泡茶、沏茶、送茶等功能）；</w:t>
            </w:r>
          </w:p>
          <w:p w14:paraId="3DA9305B">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13)全地形机器人；</w:t>
            </w:r>
          </w:p>
          <w:p w14:paraId="29350ABF">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14)智能搬运机器人；</w:t>
            </w:r>
          </w:p>
          <w:p w14:paraId="56D3AFFC">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15)叠衣服机器人；</w:t>
            </w:r>
          </w:p>
          <w:p w14:paraId="07889E57">
            <w:pPr>
              <w:pStyle w:val="74"/>
              <w:keepNext w:val="0"/>
              <w:keepLines w:val="0"/>
              <w:pageBreakBefore w:val="0"/>
              <w:widowControl w:val="0"/>
              <w:kinsoku/>
              <w:wordWrap/>
              <w:overflowPunct/>
              <w:topLinePunct w:val="0"/>
              <w:autoSpaceDE/>
              <w:autoSpaceDN/>
              <w:bidi w:val="0"/>
              <w:adjustRightInd w:val="0"/>
              <w:snapToGrid w:val="0"/>
              <w:spacing w:line="400" w:lineRule="exact"/>
              <w:ind w:left="168" w:leftChars="8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16)编队升国旗机器人（不低于5台机器人编队）；</w:t>
            </w:r>
          </w:p>
          <w:p w14:paraId="6F661DCB">
            <w:pPr>
              <w:widowControl/>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val="en-US" w:eastAsia="zh-CN"/>
              </w:rPr>
              <w:t>设备采用专业防潮抗震存储箱保存，并配备存放柜或存放架用于实训室内摆放。</w:t>
            </w:r>
          </w:p>
        </w:tc>
        <w:tc>
          <w:tcPr>
            <w:tcW w:w="1161" w:type="dxa"/>
            <w:vAlign w:val="center"/>
          </w:tcPr>
          <w:p w14:paraId="3B3956DE">
            <w:pPr>
              <w:widowControl/>
              <w:spacing w:line="240" w:lineRule="auto"/>
              <w:jc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工业</w:t>
            </w:r>
          </w:p>
        </w:tc>
      </w:tr>
      <w:tr w14:paraId="6629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50" w:type="dxa"/>
            <w:vAlign w:val="center"/>
          </w:tcPr>
          <w:p w14:paraId="7398AE92">
            <w:pPr>
              <w:widowControl/>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117" w:type="dxa"/>
            <w:vAlign w:val="center"/>
          </w:tcPr>
          <w:p w14:paraId="7DBDEE0D">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rPr>
              <w:t>便携式智能装备教学套件</w:t>
            </w:r>
          </w:p>
        </w:tc>
        <w:tc>
          <w:tcPr>
            <w:tcW w:w="600" w:type="dxa"/>
            <w:vAlign w:val="center"/>
          </w:tcPr>
          <w:p w14:paraId="4CBB7016">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25</w:t>
            </w:r>
          </w:p>
        </w:tc>
        <w:tc>
          <w:tcPr>
            <w:tcW w:w="467" w:type="dxa"/>
            <w:vAlign w:val="center"/>
          </w:tcPr>
          <w:p w14:paraId="13DCC80F">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套</w:t>
            </w:r>
          </w:p>
        </w:tc>
        <w:tc>
          <w:tcPr>
            <w:tcW w:w="6239" w:type="dxa"/>
          </w:tcPr>
          <w:p w14:paraId="2A5A2DA1">
            <w:pPr>
              <w:keepNext w:val="0"/>
              <w:keepLines w:val="0"/>
              <w:pageBreakBefore w:val="0"/>
              <w:widowControl w:val="0"/>
              <w:kinsoku/>
              <w:wordWrap/>
              <w:overflowPunct/>
              <w:topLinePunct w:val="0"/>
              <w:autoSpaceDE/>
              <w:autoSpaceDN/>
              <w:bidi w:val="0"/>
              <w:adjustRightInd w:val="0"/>
              <w:snapToGrid w:val="0"/>
              <w:spacing w:line="400" w:lineRule="exact"/>
              <w:ind w:left="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1、配置</w:t>
            </w:r>
            <w:r>
              <w:rPr>
                <w:rFonts w:hint="eastAsia" w:asciiTheme="minorEastAsia" w:hAnsiTheme="minorEastAsia" w:eastAsiaTheme="minorEastAsia" w:cstheme="minorEastAsia"/>
                <w:color w:val="auto"/>
                <w:sz w:val="21"/>
                <w:szCs w:val="21"/>
                <w:highlight w:val="none"/>
              </w:rPr>
              <w:t>一套人工智能控制器，该控制器可单独进行编程开发，也可安装在机器人上使用，控制器配置有10路AD接口，8路IO接口，可同时将多路模拟量，开关量输出的传感器插在控制器上使用，并控制IO电平输出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控制器配有总线式舵机控制接口，可驱动多路数字舵机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以上功能均支持通过Python的API直接调用。控制器内含AI处理芯片参数如下：CPU≥八核，4核A76,4核A55，主频≥2.4GHz；GPU：4核Mali-G610；NPU</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提供≥6TOPS等效算力，必须支持Rknn模型的模型推理。支持的深度学习框架：Pytorch、TensorFlow、Caffe、PaddlePaddle等；内存≥8G；硬盘≥64G。控制器其他通信接口：蓝牙模块和</w:t>
            </w:r>
            <w:r>
              <w:rPr>
                <w:rFonts w:hint="eastAsia" w:asciiTheme="minorEastAsia" w:hAnsiTheme="minorEastAsia" w:eastAsiaTheme="minorEastAsia" w:cstheme="minorEastAsia"/>
                <w:color w:val="auto"/>
                <w:sz w:val="21"/>
                <w:szCs w:val="21"/>
                <w:highlight w:val="none"/>
                <w:lang w:eastAsia="zh-CN"/>
              </w:rPr>
              <w:t>Wi-Fi</w:t>
            </w:r>
            <w:r>
              <w:rPr>
                <w:rFonts w:hint="eastAsia" w:asciiTheme="minorEastAsia" w:hAnsiTheme="minorEastAsia" w:eastAsiaTheme="minorEastAsia" w:cstheme="minorEastAsia"/>
                <w:color w:val="auto"/>
                <w:sz w:val="21"/>
                <w:szCs w:val="21"/>
                <w:highlight w:val="none"/>
              </w:rPr>
              <w:t>模块，方便组网通信。不少于USB2.0*3，USB3.0*1，有线网口，HDMI2.1接口，Type-C接口，3.5mm音频接口；</w:t>
            </w:r>
          </w:p>
          <w:p w14:paraId="57A8DF9E">
            <w:pPr>
              <w:keepNext w:val="0"/>
              <w:keepLines w:val="0"/>
              <w:pageBreakBefore w:val="0"/>
              <w:widowControl w:val="0"/>
              <w:kinsoku/>
              <w:wordWrap/>
              <w:overflowPunct/>
              <w:topLinePunct w:val="0"/>
              <w:autoSpaceDE/>
              <w:autoSpaceDN/>
              <w:bidi w:val="0"/>
              <w:adjustRightInd w:val="0"/>
              <w:snapToGrid w:val="0"/>
              <w:spacing w:line="400" w:lineRule="exact"/>
              <w:ind w:left="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color w:val="auto"/>
                <w:sz w:val="21"/>
                <w:szCs w:val="21"/>
                <w:highlight w:val="none"/>
              </w:rPr>
              <w:t>高帧率视觉传感器：接口类型</w:t>
            </w:r>
            <w:r>
              <w:rPr>
                <w:rFonts w:hint="eastAsia" w:asciiTheme="minorEastAsia" w:hAnsiTheme="minorEastAsia" w:eastAsiaTheme="minorEastAsia" w:cstheme="minorEastAsia"/>
                <w:color w:val="auto"/>
                <w:sz w:val="21"/>
                <w:szCs w:val="21"/>
                <w:highlight w:val="none"/>
                <w:lang w:eastAsia="zh-CN"/>
              </w:rPr>
              <w:t>为USB</w:t>
            </w:r>
            <w:r>
              <w:rPr>
                <w:rFonts w:hint="eastAsia" w:asciiTheme="minorEastAsia" w:hAnsiTheme="minorEastAsia" w:eastAsiaTheme="minorEastAsia" w:cstheme="minorEastAsia"/>
                <w:color w:val="auto"/>
                <w:sz w:val="21"/>
                <w:szCs w:val="21"/>
                <w:highlight w:val="none"/>
              </w:rPr>
              <w:t>高速，</w:t>
            </w:r>
            <w:r>
              <w:rPr>
                <w:rFonts w:hint="eastAsia" w:asciiTheme="minorEastAsia" w:hAnsiTheme="minorEastAsia" w:eastAsiaTheme="minorEastAsia" w:cstheme="minorEastAsia"/>
                <w:color w:val="auto"/>
                <w:sz w:val="21"/>
                <w:szCs w:val="21"/>
                <w:highlight w:val="none"/>
                <w:lang w:eastAsia="zh-CN"/>
              </w:rPr>
              <w:t>配备高清</w:t>
            </w:r>
            <w:r>
              <w:rPr>
                <w:rFonts w:hint="eastAsia" w:asciiTheme="minorEastAsia" w:hAnsiTheme="minorEastAsia" w:eastAsiaTheme="minorEastAsia" w:cstheme="minorEastAsia"/>
                <w:color w:val="auto"/>
                <w:sz w:val="21"/>
                <w:szCs w:val="21"/>
                <w:highlight w:val="none"/>
              </w:rPr>
              <w:t>全玻无畸变镜头；最高有效像素</w:t>
            </w:r>
            <w:r>
              <w:rPr>
                <w:rFonts w:hint="eastAsia" w:asciiTheme="minorEastAsia" w:hAnsiTheme="minorEastAsia" w:eastAsiaTheme="minorEastAsia" w:cstheme="minorEastAsia"/>
                <w:color w:val="auto"/>
                <w:sz w:val="21"/>
                <w:szCs w:val="21"/>
                <w:highlight w:val="none"/>
                <w:lang w:eastAsia="zh-CN"/>
              </w:rPr>
              <w:t>为200</w:t>
            </w:r>
            <w:r>
              <w:rPr>
                <w:rFonts w:hint="eastAsia" w:asciiTheme="minorEastAsia" w:hAnsiTheme="minorEastAsia" w:eastAsiaTheme="minorEastAsia" w:cstheme="minorEastAsia"/>
                <w:color w:val="auto"/>
                <w:sz w:val="21"/>
                <w:szCs w:val="21"/>
                <w:highlight w:val="none"/>
              </w:rPr>
              <w:t>万像素，信噪比</w:t>
            </w:r>
            <w:r>
              <w:rPr>
                <w:rFonts w:hint="eastAsia" w:asciiTheme="minorEastAsia" w:hAnsiTheme="minorEastAsia" w:eastAsiaTheme="minorEastAsia" w:cstheme="minorEastAsia"/>
                <w:color w:val="auto"/>
                <w:sz w:val="21"/>
                <w:szCs w:val="21"/>
                <w:highlight w:val="none"/>
                <w:lang w:eastAsia="zh-CN"/>
              </w:rPr>
              <w:t>42dB</w:t>
            </w:r>
            <w:r>
              <w:rPr>
                <w:rFonts w:hint="eastAsia" w:asciiTheme="minorEastAsia" w:hAnsiTheme="minorEastAsia" w:eastAsiaTheme="minorEastAsia" w:cstheme="minorEastAsia"/>
                <w:color w:val="auto"/>
                <w:sz w:val="21"/>
                <w:szCs w:val="21"/>
                <w:highlight w:val="none"/>
              </w:rPr>
              <w:t>，最低照度0.2LUX，</w:t>
            </w:r>
            <w:r>
              <w:rPr>
                <w:rFonts w:hint="eastAsia" w:asciiTheme="minorEastAsia" w:hAnsiTheme="minorEastAsia" w:eastAsiaTheme="minorEastAsia" w:cstheme="minorEastAsia"/>
                <w:color w:val="auto"/>
                <w:sz w:val="21"/>
                <w:szCs w:val="21"/>
                <w:highlight w:val="none"/>
                <w:lang w:eastAsia="zh-CN"/>
              </w:rPr>
              <w:t>具备自动</w:t>
            </w:r>
            <w:r>
              <w:rPr>
                <w:rFonts w:hint="eastAsia" w:asciiTheme="minorEastAsia" w:hAnsiTheme="minorEastAsia" w:eastAsiaTheme="minorEastAsia" w:cstheme="minorEastAsia"/>
                <w:color w:val="auto"/>
                <w:sz w:val="21"/>
                <w:szCs w:val="21"/>
                <w:highlight w:val="none"/>
              </w:rPr>
              <w:t>曝光控制AEC，自动白平衡AEB，自动增益控制AGC；</w:t>
            </w:r>
          </w:p>
          <w:p w14:paraId="4416DC65">
            <w:pPr>
              <w:keepNext w:val="0"/>
              <w:keepLines w:val="0"/>
              <w:pageBreakBefore w:val="0"/>
              <w:widowControl w:val="0"/>
              <w:kinsoku/>
              <w:wordWrap/>
              <w:overflowPunct/>
              <w:topLinePunct w:val="0"/>
              <w:autoSpaceDE/>
              <w:autoSpaceDN/>
              <w:bidi w:val="0"/>
              <w:adjustRightInd w:val="0"/>
              <w:snapToGrid w:val="0"/>
              <w:spacing w:line="400" w:lineRule="exact"/>
              <w:ind w:left="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3、提</w:t>
            </w:r>
            <w:r>
              <w:rPr>
                <w:rFonts w:hint="eastAsia" w:asciiTheme="minorEastAsia" w:hAnsiTheme="minorEastAsia" w:eastAsiaTheme="minorEastAsia" w:cstheme="minorEastAsia"/>
                <w:color w:val="auto"/>
                <w:sz w:val="21"/>
                <w:szCs w:val="21"/>
                <w:highlight w:val="none"/>
              </w:rPr>
              <w:t>供7.4V，4400mAh大容量锂聚合物电池一块，配置12V5A专用充电器；</w:t>
            </w:r>
          </w:p>
          <w:p w14:paraId="226F1844">
            <w:pPr>
              <w:keepNext w:val="0"/>
              <w:keepLines w:val="0"/>
              <w:pageBreakBefore w:val="0"/>
              <w:widowControl w:val="0"/>
              <w:kinsoku/>
              <w:wordWrap/>
              <w:overflowPunct/>
              <w:topLinePunct w:val="0"/>
              <w:autoSpaceDE/>
              <w:autoSpaceDN/>
              <w:bidi w:val="0"/>
              <w:adjustRightInd w:val="0"/>
              <w:snapToGrid w:val="0"/>
              <w:spacing w:line="400" w:lineRule="exact"/>
              <w:ind w:left="0"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Cs/>
                <w:color w:val="auto"/>
                <w:sz w:val="21"/>
                <w:szCs w:val="21"/>
                <w:highlight w:val="none"/>
              </w:rPr>
              <w:t>可通过指定IP端口远程网络连接访问，配置视频采集卡</w:t>
            </w:r>
            <w:r>
              <w:rPr>
                <w:rFonts w:hint="eastAsia" w:asciiTheme="minorEastAsia" w:hAnsiTheme="minorEastAsia" w:eastAsiaTheme="minorEastAsia" w:cstheme="minorEastAsia"/>
                <w:bCs/>
                <w:color w:val="auto"/>
                <w:sz w:val="21"/>
                <w:szCs w:val="21"/>
                <w:highlight w:val="none"/>
                <w:lang w:eastAsia="zh-CN"/>
              </w:rPr>
              <w:t>；</w:t>
            </w:r>
          </w:p>
          <w:p w14:paraId="04AFF093">
            <w:pPr>
              <w:keepNext w:val="0"/>
              <w:keepLines w:val="0"/>
              <w:pageBreakBefore w:val="0"/>
              <w:widowControl w:val="0"/>
              <w:kinsoku/>
              <w:wordWrap/>
              <w:overflowPunct/>
              <w:topLinePunct w:val="0"/>
              <w:autoSpaceDE/>
              <w:autoSpaceDN/>
              <w:bidi w:val="0"/>
              <w:adjustRightInd w:val="0"/>
              <w:snapToGrid w:val="0"/>
              <w:spacing w:line="400" w:lineRule="exact"/>
              <w:ind w:left="0"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丰富的扩展接口，支持多个传感器模块及相关外设接入；</w:t>
            </w:r>
          </w:p>
          <w:p w14:paraId="1F03E937">
            <w:pPr>
              <w:keepNext w:val="0"/>
              <w:keepLines w:val="0"/>
              <w:pageBreakBefore w:val="0"/>
              <w:widowControl w:val="0"/>
              <w:kinsoku/>
              <w:wordWrap/>
              <w:overflowPunct/>
              <w:topLinePunct w:val="0"/>
              <w:autoSpaceDE/>
              <w:autoSpaceDN/>
              <w:bidi w:val="0"/>
              <w:adjustRightInd w:val="0"/>
              <w:snapToGrid w:val="0"/>
              <w:spacing w:line="400" w:lineRule="exact"/>
              <w:ind w:left="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、提供</w:t>
            </w:r>
            <w:r>
              <w:rPr>
                <w:rFonts w:hint="eastAsia" w:asciiTheme="minorEastAsia" w:hAnsiTheme="minorEastAsia" w:eastAsiaTheme="minorEastAsia" w:cstheme="minorEastAsia"/>
                <w:color w:val="auto"/>
                <w:sz w:val="21"/>
                <w:szCs w:val="21"/>
                <w:highlight w:val="none"/>
              </w:rPr>
              <w:t>人工智能控制器下Python+视觉AI案例，必须支持以下功能。</w:t>
            </w:r>
          </w:p>
          <w:p w14:paraId="25D45033">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基于四轮小车进行目标跟踪，开启本程序后会出现视频窗口，任意选择当前窗口内的物体进行框选，移动物体后方框会跟随物体移动；</w:t>
            </w:r>
          </w:p>
          <w:p w14:paraId="4F8B9E10">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基于四轮小车进行颜色识别，可以通过图形化界面设置HSV值，识别不同颜色，开启本程序后，程序将当前图像内标定的颜色框选出来，并能跟随移动；</w:t>
            </w:r>
          </w:p>
          <w:p w14:paraId="06EB64F9">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rPr>
              <w:t>基于四轮小车进行Apriltag二维码识别跟踪，开启本程序后，会标定出当前窗口内的Apriltag二维码，并跟随移动；</w:t>
            </w:r>
          </w:p>
          <w:p w14:paraId="6B65C9D9">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rPr>
              <w:t>系统自检程序，开启自检程序后可以查看CPU、RAM使用率，并输出IO口，AD口传感器数据；</w:t>
            </w:r>
          </w:p>
          <w:p w14:paraId="34943D41">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rPr>
              <w:t>基于四轮小车进行人脸识别，开启本程序后会出现视频窗口，视频窗口出现人脸</w:t>
            </w:r>
            <w:r>
              <w:rPr>
                <w:rFonts w:hint="eastAsia" w:asciiTheme="minorEastAsia" w:hAnsiTheme="minorEastAsia" w:eastAsiaTheme="minorEastAsia" w:cstheme="minorEastAsia"/>
                <w:color w:val="auto"/>
                <w:sz w:val="21"/>
                <w:szCs w:val="21"/>
                <w:highlight w:val="none"/>
                <w:lang w:eastAsia="zh-CN"/>
              </w:rPr>
              <w:t>后</w:t>
            </w:r>
            <w:r>
              <w:rPr>
                <w:rFonts w:hint="eastAsia" w:asciiTheme="minorEastAsia" w:hAnsiTheme="minorEastAsia" w:eastAsiaTheme="minorEastAsia" w:cstheme="minorEastAsia"/>
                <w:color w:val="auto"/>
                <w:sz w:val="21"/>
                <w:szCs w:val="21"/>
                <w:highlight w:val="none"/>
              </w:rPr>
              <w:t>进行标定，移动人脸方框会跟随移动；</w:t>
            </w:r>
          </w:p>
          <w:p w14:paraId="4B66582B">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rPr>
              <w:t>基于本地边缘计算的深度学习目标检测，可识别</w:t>
            </w:r>
            <w:r>
              <w:rPr>
                <w:rFonts w:hint="eastAsia" w:asciiTheme="minorEastAsia" w:hAnsiTheme="minorEastAsia" w:eastAsiaTheme="minorEastAsia" w:cstheme="minorEastAsia"/>
                <w:color w:val="auto"/>
                <w:sz w:val="21"/>
                <w:szCs w:val="21"/>
                <w:highlight w:val="none"/>
                <w:lang w:eastAsia="zh-CN"/>
              </w:rPr>
              <w:t>不少于</w:t>
            </w:r>
            <w:r>
              <w:rPr>
                <w:rFonts w:hint="eastAsia" w:asciiTheme="minorEastAsia" w:hAnsiTheme="minorEastAsia" w:eastAsiaTheme="minorEastAsia" w:cstheme="minorEastAsia"/>
                <w:color w:val="auto"/>
                <w:sz w:val="21"/>
                <w:szCs w:val="21"/>
                <w:highlight w:val="none"/>
              </w:rPr>
              <w:t>85种物体，检测并输出目标位置；目标识别，基于Yolo优化后的模型，快速实现实时的目标识别；可以一行代码调用API获取识别结果，可以调用加载模型获取识别结果；</w:t>
            </w:r>
          </w:p>
          <w:p w14:paraId="7DB349C0">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7)</w:t>
            </w:r>
            <w:r>
              <w:rPr>
                <w:rFonts w:hint="eastAsia" w:asciiTheme="minorEastAsia" w:hAnsiTheme="minorEastAsia" w:eastAsiaTheme="minorEastAsia" w:cstheme="minorEastAsia"/>
                <w:color w:val="auto"/>
                <w:sz w:val="21"/>
                <w:szCs w:val="21"/>
                <w:highlight w:val="none"/>
              </w:rPr>
              <w:t>基于本地边缘计算的手势识别，人体姿态识别</w:t>
            </w:r>
            <w:r>
              <w:rPr>
                <w:rFonts w:hint="eastAsia" w:asciiTheme="minorEastAsia" w:hAnsiTheme="minorEastAsia" w:eastAsiaTheme="minorEastAsia" w:cstheme="minorEastAsia"/>
                <w:color w:val="auto"/>
                <w:sz w:val="21"/>
                <w:szCs w:val="21"/>
                <w:highlight w:val="none"/>
                <w:lang w:eastAsia="zh-CN"/>
              </w:rPr>
              <w:t>，开</w:t>
            </w:r>
            <w:r>
              <w:rPr>
                <w:rFonts w:hint="eastAsia" w:asciiTheme="minorEastAsia" w:hAnsiTheme="minorEastAsia" w:eastAsiaTheme="minorEastAsia" w:cstheme="minorEastAsia"/>
                <w:color w:val="auto"/>
                <w:sz w:val="21"/>
                <w:szCs w:val="21"/>
                <w:highlight w:val="none"/>
              </w:rPr>
              <w:t>启本程序后会出现视频窗口，基于视频窗口内的手势，可以在终端窗口内打印出当前手势，根据不同手势</w:t>
            </w:r>
            <w:r>
              <w:rPr>
                <w:rFonts w:hint="eastAsia" w:asciiTheme="minorEastAsia" w:hAnsiTheme="minorEastAsia" w:eastAsiaTheme="minorEastAsia" w:cstheme="minorEastAsia"/>
                <w:color w:val="auto"/>
                <w:sz w:val="21"/>
                <w:szCs w:val="21"/>
                <w:highlight w:val="none"/>
                <w:lang w:eastAsia="zh-CN"/>
              </w:rPr>
              <w:t>，机器人</w:t>
            </w:r>
            <w:r>
              <w:rPr>
                <w:rFonts w:hint="eastAsia" w:asciiTheme="minorEastAsia" w:hAnsiTheme="minorEastAsia" w:eastAsiaTheme="minorEastAsia" w:cstheme="minorEastAsia"/>
                <w:color w:val="auto"/>
                <w:sz w:val="21"/>
                <w:szCs w:val="21"/>
                <w:highlight w:val="none"/>
              </w:rPr>
              <w:t>做出不同的动作；</w:t>
            </w:r>
          </w:p>
          <w:p w14:paraId="32025D30">
            <w:pPr>
              <w:widowControl/>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8)</w:t>
            </w:r>
            <w:r>
              <w:rPr>
                <w:rFonts w:hint="eastAsia" w:asciiTheme="minorEastAsia" w:hAnsiTheme="minorEastAsia" w:eastAsiaTheme="minorEastAsia" w:cstheme="minorEastAsia"/>
                <w:color w:val="auto"/>
                <w:sz w:val="21"/>
                <w:szCs w:val="21"/>
                <w:highlight w:val="none"/>
              </w:rPr>
              <w:t>提供配合机器人构型的多个综合AI视觉项目，包括</w:t>
            </w:r>
            <w:r>
              <w:rPr>
                <w:rFonts w:hint="eastAsia" w:asciiTheme="minorEastAsia" w:hAnsiTheme="minorEastAsia" w:eastAsiaTheme="minorEastAsia" w:cstheme="minorEastAsia"/>
                <w:color w:val="auto"/>
                <w:sz w:val="21"/>
                <w:szCs w:val="21"/>
                <w:highlight w:val="none"/>
                <w:lang w:eastAsia="zh-CN"/>
              </w:rPr>
              <w:t>但不限于</w:t>
            </w:r>
            <w:r>
              <w:rPr>
                <w:rFonts w:hint="eastAsia" w:asciiTheme="minorEastAsia" w:hAnsiTheme="minorEastAsia" w:eastAsiaTheme="minorEastAsia" w:cstheme="minorEastAsia"/>
                <w:color w:val="auto"/>
                <w:sz w:val="21"/>
                <w:szCs w:val="21"/>
                <w:highlight w:val="none"/>
              </w:rPr>
              <w:t>垃圾分拣机器人，捡网球机器人，视觉跟踪云台机器人，四轮避障机器人，扎气球机器人，四足爬行机器人，六足爬行机器人，考勤机器人，轮式自主格斗机器人、仿人散打机器人</w:t>
            </w:r>
            <w:r>
              <w:rPr>
                <w:rFonts w:hint="eastAsia" w:asciiTheme="minorEastAsia" w:hAnsiTheme="minorEastAsia" w:eastAsiaTheme="minorEastAsia" w:cstheme="minorEastAsia"/>
                <w:color w:val="auto"/>
                <w:sz w:val="21"/>
                <w:szCs w:val="21"/>
                <w:highlight w:val="none"/>
                <w:lang w:eastAsia="zh-CN"/>
              </w:rPr>
              <w:t>。</w:t>
            </w:r>
          </w:p>
        </w:tc>
        <w:tc>
          <w:tcPr>
            <w:tcW w:w="1161" w:type="dxa"/>
            <w:vAlign w:val="center"/>
          </w:tcPr>
          <w:p w14:paraId="12EFAA48">
            <w:pPr>
              <w:widowControl/>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工业</w:t>
            </w:r>
          </w:p>
        </w:tc>
      </w:tr>
      <w:tr w14:paraId="4BA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50" w:type="dxa"/>
            <w:vAlign w:val="center"/>
          </w:tcPr>
          <w:p w14:paraId="1E6DA50C">
            <w:pPr>
              <w:widowControl/>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117" w:type="dxa"/>
            <w:vAlign w:val="center"/>
          </w:tcPr>
          <w:p w14:paraId="2341F938">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rPr>
              <w:t>智联Cyber自动驾驶智能车</w:t>
            </w:r>
          </w:p>
        </w:tc>
        <w:tc>
          <w:tcPr>
            <w:tcW w:w="600" w:type="dxa"/>
            <w:vAlign w:val="center"/>
          </w:tcPr>
          <w:p w14:paraId="6E4AB334">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467" w:type="dxa"/>
            <w:vAlign w:val="center"/>
          </w:tcPr>
          <w:p w14:paraId="05354E67">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6239" w:type="dxa"/>
          </w:tcPr>
          <w:p w14:paraId="7A67ADF4">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整车重量：≥5KG； </w:t>
            </w:r>
          </w:p>
          <w:p w14:paraId="16E727F6">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负载：≥</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KG；</w:t>
            </w:r>
          </w:p>
          <w:p w14:paraId="458C3515">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运动性能：最大速度≥1.5m/s ；</w:t>
            </w:r>
          </w:p>
          <w:p w14:paraId="24920368">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驱动方式：中置后驱，阿克曼转向；</w:t>
            </w:r>
          </w:p>
          <w:p w14:paraId="6A47D2D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尺寸：≥4</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mm*20</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mm*2</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mm ；</w:t>
            </w:r>
          </w:p>
          <w:p w14:paraId="6A44D272">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 xml:space="preserve">机械结构：模块化结构设计，可扩展性强，核心部件保护性强，输入输出设备拆装方便； </w:t>
            </w:r>
          </w:p>
          <w:p w14:paraId="258CA0E1">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 xml:space="preserve">材质：铝合金材质骨架+树脂外壳； </w:t>
            </w:r>
          </w:p>
          <w:p w14:paraId="7B02B845">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 xml:space="preserve">电控系统：ARM 架构，四路独立电机驱动，四路 PWM 舵机接口，四路编码器测速读取、支持串行总线舵机； </w:t>
            </w:r>
          </w:p>
          <w:p w14:paraId="39ABA223">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 xml:space="preserve">主控制器：X86 架构，6核12 线程 2.70GHz 处理器+GTX3050 6GB 高性能图形处理器，8G 闪存，256G 固态； </w:t>
            </w:r>
          </w:p>
          <w:p w14:paraId="67CCA520">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通讯方式：USB、蓝牙、Wifi、SBUS；</w:t>
            </w:r>
          </w:p>
          <w:p w14:paraId="298DACB6">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电机控制：PWM 控制；</w:t>
            </w:r>
          </w:p>
          <w:p w14:paraId="2D5A3D31">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 xml:space="preserve">电机驱动：实时反馈电机编码器； </w:t>
            </w:r>
          </w:p>
          <w:p w14:paraId="55104CA3">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电机：</w:t>
            </w:r>
            <w:r>
              <w:rPr>
                <w:rFonts w:hint="eastAsia" w:asciiTheme="minorEastAsia" w:hAnsiTheme="minorEastAsia" w:eastAsiaTheme="minorEastAsia" w:cstheme="minorEastAsia"/>
                <w:color w:val="auto"/>
                <w:sz w:val="21"/>
                <w:szCs w:val="21"/>
                <w:highlight w:val="none"/>
                <w:lang w:eastAsia="zh-CN"/>
              </w:rPr>
              <w:t>扭矩</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0.5N</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有刷编码电机；</w:t>
            </w:r>
          </w:p>
          <w:p w14:paraId="55E29646">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 xml:space="preserve">舵机：20KG 舵机； </w:t>
            </w:r>
          </w:p>
          <w:p w14:paraId="52D61274">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 xml:space="preserve">轮子：四个80mm 塑胶 RC 竞速轮； </w:t>
            </w:r>
          </w:p>
          <w:p w14:paraId="2F5474D5">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传感器：USB摄像头*3；激光雷达360°扫描，测距范围：0.12-8m；</w:t>
            </w:r>
          </w:p>
          <w:p w14:paraId="791E9B33">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编码器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3000Hz，扫描频率 7Hz；13线霍尔编码器；</w:t>
            </w:r>
          </w:p>
          <w:p w14:paraId="440CCF6D">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 xml:space="preserve">续航能力：24V6000mAh 动力续航电池； </w:t>
            </w:r>
          </w:p>
          <w:p w14:paraId="1D9007D1">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扩展能力：8 路 USB、2 路 HDMI、1 路 DP、2 路 2.5G 千兆网口（内置无线网卡）、CAN 总线接口、IMU九轴姿态传感器 ；</w:t>
            </w:r>
          </w:p>
          <w:p w14:paraId="07EBCB69">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其他搭载配件：2.4G 航模八通道遥控器 、定制轻量化</w:t>
            </w:r>
            <w:r>
              <w:rPr>
                <w:rFonts w:hint="eastAsia" w:asciiTheme="minorEastAsia" w:hAnsiTheme="minorEastAsia" w:eastAsiaTheme="minorEastAsia" w:cstheme="minorEastAsia"/>
                <w:color w:val="auto"/>
                <w:sz w:val="21"/>
                <w:szCs w:val="21"/>
                <w:highlight w:val="none"/>
                <w:lang w:val="en-US" w:eastAsia="zh-CN"/>
              </w:rPr>
              <w:t>AI</w:t>
            </w:r>
            <w:r>
              <w:rPr>
                <w:rFonts w:hint="eastAsia" w:asciiTheme="minorEastAsia" w:hAnsiTheme="minorEastAsia" w:eastAsiaTheme="minorEastAsia" w:cstheme="minorEastAsia"/>
                <w:color w:val="auto"/>
                <w:sz w:val="21"/>
                <w:szCs w:val="21"/>
                <w:highlight w:val="none"/>
              </w:rPr>
              <w:t>模型、定制化无线网卡、定制化GPS高精度定位模块、定制化行进转向精度校准器；</w:t>
            </w:r>
          </w:p>
          <w:p w14:paraId="7E648033">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配套资料：提供所有软件源码及配套实验课程</w:t>
            </w:r>
            <w:r>
              <w:rPr>
                <w:rFonts w:hint="eastAsia" w:asciiTheme="minorEastAsia" w:hAnsiTheme="minorEastAsia" w:eastAsiaTheme="minorEastAsia" w:cstheme="minorEastAsia"/>
                <w:color w:val="auto"/>
                <w:sz w:val="21"/>
                <w:szCs w:val="21"/>
                <w:highlight w:val="none"/>
                <w:lang w:eastAsia="zh-CN"/>
              </w:rPr>
              <w:t>资源</w:t>
            </w:r>
            <w:r>
              <w:rPr>
                <w:rFonts w:hint="eastAsia" w:asciiTheme="minorEastAsia" w:hAnsiTheme="minorEastAsia" w:eastAsiaTheme="minorEastAsia" w:cstheme="minorEastAsia"/>
                <w:color w:val="auto"/>
                <w:sz w:val="21"/>
                <w:szCs w:val="21"/>
                <w:highlight w:val="none"/>
              </w:rPr>
              <w:t>、配套C语言实验指导书与实验例程。</w:t>
            </w:r>
          </w:p>
          <w:p w14:paraId="53C12CF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配套教学手册，涵盖 CyberRT基础、算法开发与部署等知识点；</w:t>
            </w:r>
          </w:p>
          <w:p w14:paraId="1FC191D1">
            <w:pPr>
              <w:widowControl/>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所有软件全开源，质保期内免费升级维护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质保期满后5年内</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成交人</w:t>
            </w:r>
            <w:r>
              <w:rPr>
                <w:rFonts w:hint="eastAsia" w:asciiTheme="minorEastAsia" w:hAnsiTheme="minorEastAsia" w:eastAsiaTheme="minorEastAsia" w:cstheme="minorEastAsia"/>
                <w:color w:val="auto"/>
                <w:sz w:val="21"/>
                <w:szCs w:val="21"/>
                <w:highlight w:val="none"/>
              </w:rPr>
              <w:t>提供有偿维保服务，收费标准仅为零配件成本价，免收人工及上门服务费。同时对本项目系统提供终身免费技术咨询服务（直至产品报废），质保期外的服务费用由</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val="en-US" w:eastAsia="zh-CN"/>
              </w:rPr>
              <w:t>成交人</w:t>
            </w:r>
            <w:r>
              <w:rPr>
                <w:rFonts w:hint="eastAsia" w:asciiTheme="minorEastAsia" w:hAnsiTheme="minorEastAsia" w:eastAsiaTheme="minorEastAsia" w:cstheme="minorEastAsia"/>
                <w:color w:val="auto"/>
                <w:sz w:val="21"/>
                <w:szCs w:val="21"/>
                <w:highlight w:val="none"/>
              </w:rPr>
              <w:t>另行商议。</w:t>
            </w:r>
          </w:p>
        </w:tc>
        <w:tc>
          <w:tcPr>
            <w:tcW w:w="1161" w:type="dxa"/>
            <w:vAlign w:val="center"/>
          </w:tcPr>
          <w:p w14:paraId="6B6C5C25">
            <w:pPr>
              <w:widowControl/>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工业</w:t>
            </w:r>
          </w:p>
        </w:tc>
      </w:tr>
      <w:tr w14:paraId="226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50" w:type="dxa"/>
            <w:vAlign w:val="center"/>
          </w:tcPr>
          <w:p w14:paraId="4BD99060">
            <w:pPr>
              <w:widowControl/>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4</w:t>
            </w:r>
          </w:p>
        </w:tc>
        <w:tc>
          <w:tcPr>
            <w:tcW w:w="1117" w:type="dxa"/>
            <w:vAlign w:val="center"/>
          </w:tcPr>
          <w:p w14:paraId="71768CC2">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rPr>
              <w:t>智联模块化多功能智能船</w:t>
            </w:r>
          </w:p>
        </w:tc>
        <w:tc>
          <w:tcPr>
            <w:tcW w:w="600" w:type="dxa"/>
            <w:vAlign w:val="center"/>
          </w:tcPr>
          <w:p w14:paraId="0BA9AB44">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w:t>
            </w:r>
          </w:p>
        </w:tc>
        <w:tc>
          <w:tcPr>
            <w:tcW w:w="467" w:type="dxa"/>
            <w:vAlign w:val="center"/>
          </w:tcPr>
          <w:p w14:paraId="66349CE6">
            <w:pPr>
              <w:widowControl/>
              <w:spacing w:line="24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套</w:t>
            </w:r>
          </w:p>
        </w:tc>
        <w:tc>
          <w:tcPr>
            <w:tcW w:w="6239" w:type="dxa"/>
          </w:tcPr>
          <w:p w14:paraId="08774EDC">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整船重量：≥3KG； </w:t>
            </w:r>
          </w:p>
          <w:p w14:paraId="03E345D2">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负 载：≥</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KG； </w:t>
            </w:r>
          </w:p>
          <w:p w14:paraId="73358BF5">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xml:space="preserve">运动性能：最大速度 1.5m/s ；驱动方式：差速控制，IMU 自适应调节； </w:t>
            </w:r>
          </w:p>
          <w:p w14:paraId="1937D592">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尺 寸：≥5</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0mm*3</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mm*2</w:t>
            </w:r>
            <w:r>
              <w:rPr>
                <w:rFonts w:hint="eastAsia" w:asciiTheme="minorEastAsia" w:hAnsiTheme="minorEastAsia" w:eastAsia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mm；</w:t>
            </w:r>
          </w:p>
          <w:p w14:paraId="2461458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机械结构：模块化结构设计，可扩展性强，核心部件保护性强，输入输出设备拆装方便； </w:t>
            </w:r>
          </w:p>
          <w:p w14:paraId="42DC876B">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 xml:space="preserve">材 质：ABS 外壳、合金外壳； </w:t>
            </w:r>
          </w:p>
          <w:p w14:paraId="252E6186">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 xml:space="preserve">电控系统：ARM 架构，四路独立电机驱动，四路 PWM 舵机接口，四路编 码器测速读取、支持串行总线舵机； </w:t>
            </w:r>
          </w:p>
          <w:p w14:paraId="3429F3D6">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主控制器：ARM 架构，</w:t>
            </w:r>
            <w:r>
              <w:rPr>
                <w:rFonts w:hint="eastAsia" w:asciiTheme="minorEastAsia" w:hAnsiTheme="minorEastAsia" w:eastAsiaTheme="minorEastAsia" w:cstheme="minorEastAsia"/>
                <w:color w:val="auto"/>
                <w:sz w:val="21"/>
                <w:szCs w:val="21"/>
                <w:highlight w:val="none"/>
                <w:lang w:eastAsia="zh-CN"/>
              </w:rPr>
              <w:t>配置不低于</w:t>
            </w:r>
            <w:r>
              <w:rPr>
                <w:rFonts w:hint="eastAsia" w:asciiTheme="minorEastAsia" w:hAnsiTheme="minorEastAsia" w:eastAsiaTheme="minorEastAsia" w:cstheme="minorEastAsia"/>
                <w:color w:val="auto"/>
                <w:sz w:val="21"/>
                <w:szCs w:val="21"/>
                <w:highlight w:val="none"/>
              </w:rPr>
              <w:t>64位四核 ARM Cortex-A57 MPCore 处理器，NVIDIA Maxwell™ 架构图形处理器，16G 闪存，512G 固态；</w:t>
            </w:r>
          </w:p>
          <w:p w14:paraId="3127FA15">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 xml:space="preserve">通讯方式：USB、蓝牙、Wifi、SBUS； </w:t>
            </w:r>
          </w:p>
          <w:p w14:paraId="6CAF288F">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 xml:space="preserve">电机控制：PWM 控制； </w:t>
            </w:r>
          </w:p>
          <w:p w14:paraId="73EE7D11">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 xml:space="preserve">电机驱动：基于惯性测量的自适应差速控制； </w:t>
            </w:r>
          </w:p>
          <w:p w14:paraId="1F2DFD48">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电 机：</w:t>
            </w:r>
            <w:r>
              <w:rPr>
                <w:rFonts w:hint="eastAsia" w:asciiTheme="minorEastAsia" w:hAnsiTheme="minorEastAsia" w:eastAsiaTheme="minorEastAsia" w:cstheme="minorEastAsia"/>
                <w:color w:val="auto"/>
                <w:sz w:val="21"/>
                <w:szCs w:val="21"/>
                <w:highlight w:val="none"/>
                <w:lang w:eastAsia="zh-CN"/>
              </w:rPr>
              <w:t>扭矩</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0.55N</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有刷电机； </w:t>
            </w:r>
          </w:p>
          <w:p w14:paraId="2F3F6716">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 xml:space="preserve">螺旋桨：≥40mm 双翼螺旋桨*2； </w:t>
            </w:r>
          </w:p>
          <w:p w14:paraId="420BD3C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传感器：USB 摄像头*1；IMU 高精度惯性传感器*1；GPS 模块*1；</w:t>
            </w:r>
          </w:p>
          <w:p w14:paraId="62A47E12">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续航能力：12V30000mAh 大容量大电流总控安全电池；</w:t>
            </w:r>
          </w:p>
          <w:p w14:paraId="18054C8A">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 xml:space="preserve">扩展能力：8 路 USB、2 路 HDMI、1 路 DP、2 路 2.5G 千兆网口（内置无线网卡）、CAN 总线接口； </w:t>
            </w:r>
          </w:p>
          <w:p w14:paraId="2A20849B">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其他搭载配件：2.4G 航模八通道遥控器、定制轻量化</w:t>
            </w:r>
            <w:r>
              <w:rPr>
                <w:rFonts w:hint="eastAsia" w:asciiTheme="minorEastAsia" w:hAnsiTheme="minorEastAsia" w:eastAsiaTheme="minorEastAsia" w:cstheme="minorEastAsia"/>
                <w:color w:val="auto"/>
                <w:sz w:val="21"/>
                <w:szCs w:val="21"/>
                <w:highlight w:val="none"/>
                <w:lang w:val="en-US" w:eastAsia="zh-CN"/>
              </w:rPr>
              <w:t>AI</w:t>
            </w:r>
            <w:r>
              <w:rPr>
                <w:rFonts w:hint="eastAsia" w:asciiTheme="minorEastAsia" w:hAnsiTheme="minorEastAsia" w:eastAsiaTheme="minorEastAsia" w:cstheme="minorEastAsia"/>
                <w:color w:val="auto"/>
                <w:sz w:val="21"/>
                <w:szCs w:val="21"/>
                <w:highlight w:val="none"/>
              </w:rPr>
              <w:t>模型、定制化无线网卡、电控系统防水涂层、高强度缓冲板、定制化GPS高精度定位模块、定制化IMU惯性导航模块；</w:t>
            </w:r>
          </w:p>
          <w:p w14:paraId="1FEF04B7">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配套资料：提供所有软件源码及配套实验课程</w:t>
            </w:r>
            <w:r>
              <w:rPr>
                <w:rFonts w:hint="eastAsia" w:asciiTheme="minorEastAsia" w:hAnsiTheme="minorEastAsia" w:eastAsiaTheme="minorEastAsia" w:cstheme="minorEastAsia"/>
                <w:color w:val="auto"/>
                <w:sz w:val="21"/>
                <w:szCs w:val="21"/>
                <w:highlight w:val="none"/>
                <w:lang w:eastAsia="zh-CN"/>
              </w:rPr>
              <w:t>资源；</w:t>
            </w:r>
          </w:p>
          <w:p w14:paraId="0C62C980">
            <w:pPr>
              <w:pStyle w:val="7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19、设备</w:t>
            </w:r>
            <w:r>
              <w:rPr>
                <w:rFonts w:hint="eastAsia" w:asciiTheme="minorEastAsia" w:hAnsiTheme="minorEastAsia" w:eastAsiaTheme="minorEastAsia" w:cstheme="minorEastAsia"/>
                <w:color w:val="auto"/>
                <w:sz w:val="21"/>
                <w:szCs w:val="21"/>
                <w:highlight w:val="none"/>
              </w:rPr>
              <w:t>预设识别、追踪、计数、语音播报、自动驾驶模块，能够实现目标识别、目标计数、自动化语音播报、自主巡航、目标自主捕获等功能。</w:t>
            </w:r>
          </w:p>
          <w:p w14:paraId="73780891">
            <w:pPr>
              <w:widowControl/>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支持各种计算机视觉功能，包括：场景语义分割、目标检测、危险点检测、（多）目标跟踪、行人检测、人体检测、特征点跟踪等。</w:t>
            </w:r>
          </w:p>
        </w:tc>
        <w:tc>
          <w:tcPr>
            <w:tcW w:w="1161" w:type="dxa"/>
            <w:vAlign w:val="center"/>
          </w:tcPr>
          <w:p w14:paraId="2FC826F6">
            <w:pPr>
              <w:widowControl/>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工业</w:t>
            </w:r>
          </w:p>
        </w:tc>
      </w:tr>
      <w:tr w14:paraId="05DE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0134" w:type="dxa"/>
            <w:gridSpan w:val="6"/>
            <w:vAlign w:val="center"/>
          </w:tcPr>
          <w:p w14:paraId="11071697">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商务要求</w:t>
            </w:r>
          </w:p>
        </w:tc>
      </w:tr>
      <w:tr w14:paraId="6EAA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1022BF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1"/>
                <w:sz w:val="21"/>
                <w:szCs w:val="21"/>
                <w:highlight w:val="none"/>
              </w:rPr>
            </w:pPr>
            <w:r>
              <w:rPr>
                <w:rFonts w:hint="eastAsia" w:asciiTheme="minorEastAsia" w:hAnsiTheme="minorEastAsia" w:eastAsiaTheme="minorEastAsia" w:cstheme="minorEastAsia"/>
                <w:color w:val="auto"/>
                <w:sz w:val="21"/>
                <w:szCs w:val="21"/>
                <w:highlight w:val="none"/>
              </w:rPr>
              <w:t>合同签订时间</w:t>
            </w:r>
          </w:p>
        </w:tc>
        <w:tc>
          <w:tcPr>
            <w:tcW w:w="8467" w:type="dxa"/>
            <w:gridSpan w:val="4"/>
            <w:vAlign w:val="center"/>
          </w:tcPr>
          <w:p w14:paraId="5B1BCD8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自成交通知书发出之日起25日内。</w:t>
            </w:r>
          </w:p>
        </w:tc>
      </w:tr>
      <w:tr w14:paraId="4643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287479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交货时间</w:t>
            </w:r>
          </w:p>
          <w:p w14:paraId="50F6C7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1"/>
                <w:sz w:val="21"/>
                <w:szCs w:val="21"/>
                <w:highlight w:val="none"/>
              </w:rPr>
            </w:pPr>
            <w:r>
              <w:rPr>
                <w:rFonts w:hint="eastAsia" w:asciiTheme="minorEastAsia" w:hAnsiTheme="minorEastAsia" w:eastAsiaTheme="minorEastAsia" w:cstheme="minorEastAsia"/>
                <w:color w:val="auto"/>
                <w:sz w:val="21"/>
                <w:szCs w:val="21"/>
                <w:highlight w:val="none"/>
              </w:rPr>
              <w:t>及地点</w:t>
            </w:r>
          </w:p>
        </w:tc>
        <w:tc>
          <w:tcPr>
            <w:tcW w:w="8467" w:type="dxa"/>
            <w:gridSpan w:val="4"/>
            <w:vAlign w:val="center"/>
          </w:tcPr>
          <w:p w14:paraId="4C1CD880">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1.交货时间：自签订合同之日起30个工作日内全部交付并安装调试完毕。</w:t>
            </w:r>
          </w:p>
          <w:p w14:paraId="35AA5CCE">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2.交货地点：广西机电职业技术学院笃行楼，保管工作由成交人自行负责。</w:t>
            </w:r>
          </w:p>
          <w:p w14:paraId="2FC674CD">
            <w:pPr>
              <w:pStyle w:val="78"/>
              <w:keepNext w:val="0"/>
              <w:keepLines w:val="0"/>
              <w:pageBreakBefore w:val="0"/>
              <w:kinsoku/>
              <w:wordWrap/>
              <w:overflowPunct/>
              <w:topLinePunct w:val="0"/>
              <w:autoSpaceDE/>
              <w:autoSpaceDN/>
              <w:bidi w:val="0"/>
              <w:adjustRightInd/>
              <w:snapToGrid/>
              <w:spacing w:after="0" w:line="40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3.交货方式：现场交货。</w:t>
            </w:r>
          </w:p>
        </w:tc>
      </w:tr>
      <w:tr w14:paraId="3AF4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25A209B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报价要求</w:t>
            </w:r>
          </w:p>
        </w:tc>
        <w:tc>
          <w:tcPr>
            <w:tcW w:w="8467" w:type="dxa"/>
            <w:gridSpan w:val="4"/>
            <w:vAlign w:val="center"/>
          </w:tcPr>
          <w:p w14:paraId="088DADE9">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所提供的总报价需包含货物价款，备件、专用工具、安装、调试、检验、技术培训及技术资料和包装、运输等全部费用。对于本文件中未列明，而供应商认为必需的费用，也需列入总报价。在合同实施时，采购人将不予支付成交供应商没有列入的项目费用，并认为此项目的费用已包括在</w:t>
            </w:r>
            <w:r>
              <w:rPr>
                <w:rFonts w:hint="eastAsia" w:asciiTheme="minorEastAsia" w:hAnsiTheme="minorEastAsia" w:eastAsiaTheme="minorEastAsia" w:cstheme="minorEastAsia"/>
                <w:color w:val="auto"/>
                <w:sz w:val="21"/>
                <w:szCs w:val="21"/>
                <w:highlight w:val="none"/>
                <w:lang w:val="en-US" w:eastAsia="zh-CN"/>
              </w:rPr>
              <w:t>竞标</w:t>
            </w:r>
            <w:r>
              <w:rPr>
                <w:rFonts w:hint="eastAsia" w:asciiTheme="minorEastAsia" w:hAnsiTheme="minorEastAsia" w:eastAsiaTheme="minorEastAsia" w:cstheme="minorEastAsia"/>
                <w:color w:val="auto"/>
                <w:sz w:val="21"/>
                <w:szCs w:val="21"/>
                <w:highlight w:val="none"/>
                <w:lang w:eastAsia="zh-CN"/>
              </w:rPr>
              <w:t>总报价中。</w:t>
            </w:r>
          </w:p>
        </w:tc>
      </w:tr>
      <w:tr w14:paraId="772D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1DF6A4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质保期及售后服务要求</w:t>
            </w:r>
          </w:p>
        </w:tc>
        <w:tc>
          <w:tcPr>
            <w:tcW w:w="8467" w:type="dxa"/>
            <w:gridSpan w:val="4"/>
            <w:vAlign w:val="center"/>
          </w:tcPr>
          <w:p w14:paraId="07636F82">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1.免费送货上门、安装、调试。</w:t>
            </w:r>
          </w:p>
          <w:p w14:paraId="6194A6FF">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2.成交人根据本项目的采购需求情况进行有针对性的操作培训。对于所有培训，提供详细的培训计划和培训材料。所有培训涉及的费用均由成交人承担。</w:t>
            </w:r>
          </w:p>
          <w:p w14:paraId="181E09FC">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3.质保期：按国家有关规定实行产品“三包”，质保期为 1 年。质保期自交货并验收合格之日起计，质保期内全免费上门调试、配置、升级</w:t>
            </w:r>
            <w:r>
              <w:rPr>
                <w:rFonts w:hint="eastAsia" w:asciiTheme="minorEastAsia" w:hAnsiTheme="minorEastAsia" w:eastAsiaTheme="minorEastAsia" w:cstheme="minorEastAsia"/>
                <w:color w:val="auto"/>
                <w:sz w:val="21"/>
                <w:szCs w:val="21"/>
                <w:highlight w:val="none"/>
                <w:lang w:val="en-US" w:eastAsia="zh-CN"/>
              </w:rPr>
              <w:t>以及故障维修等全部服务。质保期满后5年内，成交人提供有偿维保服务，收费标准仅为零配件成本价，免收人工及上门服务费。同时承诺对本项目系统提供终身免费技术咨询服务（直至产品报废），</w:t>
            </w:r>
            <w:r>
              <w:rPr>
                <w:rFonts w:hint="eastAsia" w:asciiTheme="minorEastAsia" w:hAnsiTheme="minorEastAsia" w:eastAsiaTheme="minorEastAsia" w:cstheme="minorEastAsia"/>
                <w:color w:val="auto"/>
                <w:sz w:val="21"/>
                <w:szCs w:val="21"/>
                <w:highlight w:val="none"/>
              </w:rPr>
              <w:t>质保期</w:t>
            </w:r>
            <w:r>
              <w:rPr>
                <w:rFonts w:hint="eastAsia" w:asciiTheme="minorEastAsia" w:hAnsiTheme="minorEastAsia" w:eastAsiaTheme="minorEastAsia" w:cstheme="minorEastAsia"/>
                <w:color w:val="auto"/>
                <w:sz w:val="21"/>
                <w:szCs w:val="21"/>
                <w:highlight w:val="none"/>
                <w:lang w:val="en-US" w:eastAsia="zh-CN"/>
              </w:rPr>
              <w:t>外的服务费用由采购人和成交人另行商议</w:t>
            </w:r>
            <w:r>
              <w:rPr>
                <w:rFonts w:hint="eastAsia" w:asciiTheme="minorEastAsia" w:hAnsiTheme="minorEastAsia" w:eastAsiaTheme="minorEastAsia" w:cstheme="minorEastAsia"/>
                <w:color w:val="auto"/>
                <w:sz w:val="21"/>
                <w:szCs w:val="21"/>
                <w:highlight w:val="none"/>
              </w:rPr>
              <w:t>。</w:t>
            </w:r>
          </w:p>
          <w:p w14:paraId="61DA140C">
            <w:pPr>
              <w:keepNext w:val="0"/>
              <w:keepLines w:val="0"/>
              <w:pageBreakBefore w:val="0"/>
              <w:tabs>
                <w:tab w:val="left" w:pos="420"/>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4.故障响应时间：在使用过程中（质保期内）发生故障，1小时内响应，如需到达现场解决的，在8小时内应到达现场。一般故障处理时限不超过 12小时修复，重大故障处理时限不超过24小时修复。</w:t>
            </w:r>
          </w:p>
        </w:tc>
      </w:tr>
      <w:tr w14:paraId="7465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1E675B1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tc>
        <w:tc>
          <w:tcPr>
            <w:tcW w:w="8467" w:type="dxa"/>
            <w:gridSpan w:val="4"/>
            <w:vAlign w:val="center"/>
          </w:tcPr>
          <w:p w14:paraId="21D6E8D1">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1.付款方式：</w:t>
            </w:r>
          </w:p>
          <w:p w14:paraId="33A30A5B">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第一次付款：全部到货</w:t>
            </w:r>
            <w:r>
              <w:rPr>
                <w:rFonts w:hint="eastAsia" w:asciiTheme="minorEastAsia" w:hAnsiTheme="minorEastAsia" w:eastAsiaTheme="minorEastAsia" w:cstheme="minorEastAsia"/>
                <w:color w:val="auto"/>
                <w:sz w:val="21"/>
                <w:szCs w:val="21"/>
                <w:highlight w:val="none"/>
                <w:lang w:val="en-US" w:eastAsia="zh-CN"/>
              </w:rPr>
              <w:t>后</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Cs w:val="21"/>
                <w:highlight w:val="none"/>
              </w:rPr>
              <w:t>按付款金额提供增值税专用发票给采购人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 w:val="21"/>
                <w:szCs w:val="21"/>
                <w:highlight w:val="none"/>
              </w:rPr>
              <w:t>采购人凭到货签收单</w:t>
            </w:r>
            <w:r>
              <w:rPr>
                <w:rFonts w:hint="eastAsia" w:asciiTheme="minorEastAsia" w:hAnsiTheme="minorEastAsia" w:eastAsiaTheme="minorEastAsia" w:cstheme="minorEastAsia"/>
                <w:color w:val="auto"/>
                <w:sz w:val="21"/>
                <w:szCs w:val="21"/>
                <w:highlight w:val="none"/>
                <w:lang w:eastAsia="zh-CN"/>
              </w:rPr>
              <w:t>和发票在</w:t>
            </w:r>
            <w:r>
              <w:rPr>
                <w:rFonts w:hint="eastAsia" w:asciiTheme="minorEastAsia" w:hAnsiTheme="minorEastAsia" w:eastAsiaTheme="minorEastAsia" w:cstheme="minorEastAsia"/>
                <w:color w:val="auto"/>
                <w:sz w:val="21"/>
                <w:szCs w:val="21"/>
                <w:highlight w:val="none"/>
              </w:rPr>
              <w:t>10个工作日内向成交供应商支付合同金额50%的进度款；</w:t>
            </w:r>
          </w:p>
          <w:p w14:paraId="2A4BC596">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第二次付款：验收合格后10个工作日内，采购人向成交供应商支付合同全部余款。</w:t>
            </w:r>
          </w:p>
          <w:p w14:paraId="74AA4345">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2.票据要求：</w:t>
            </w:r>
          </w:p>
          <w:p w14:paraId="3D125839">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成交供应商须在采购人每次付款前，按付款金额提供增值税专用发票给采购人。采购人未收到合格有效发票的，有权不予支付相应款项，直至成交人提供合格发票，采购人并不承担延迟付款责任。</w:t>
            </w:r>
          </w:p>
        </w:tc>
      </w:tr>
      <w:tr w14:paraId="3CCE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7F37EC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8467" w:type="dxa"/>
            <w:gridSpan w:val="4"/>
          </w:tcPr>
          <w:p w14:paraId="7819CD1E">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1.履约保证金金额：按成交金额的2%交纳。</w:t>
            </w:r>
          </w:p>
          <w:p w14:paraId="35D61A9E">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履约保证金递交方式：以电汇、转账、汇票、保函等非现金形式提交。由成交人在签订合同前按规定的金额直接缴入广西机电职业技术学院账户，账户名称：广西机电职业技术学院；开户行：建设银行南宁大学路支行；银行账号：4500 1604 8510 5050 3961。</w:t>
            </w:r>
          </w:p>
          <w:p w14:paraId="7D9CD530">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成交人须在签订合同之前按照本条规定的履约保证金金额、递交方式直接转入采购人账户，否则不予签订合同。由成交人向履约保证金收取单位提供《采购项目合同验收书》、《采购项目履约保证金退付意见书》，保证金收取单位在收到合格材料后，根据成交人相关违约处罚扣款后的实际数额在5个工作日内办理退还手续（不计利息）。若采购内容质保期各不相同的，也可按金额比例分次退付。</w:t>
            </w:r>
          </w:p>
          <w:p w14:paraId="031BC526">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4.在履约保证金退还日期前，若成交人的开户名称、开户银行、账号有变动的，请以书面形式通知广西机电职业技术学院，否则由此产生的后果由成交人自负。</w:t>
            </w:r>
          </w:p>
        </w:tc>
      </w:tr>
      <w:tr w14:paraId="6C64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7FA260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验收方案</w:t>
            </w:r>
          </w:p>
        </w:tc>
        <w:tc>
          <w:tcPr>
            <w:tcW w:w="8467" w:type="dxa"/>
            <w:gridSpan w:val="4"/>
          </w:tcPr>
          <w:p w14:paraId="6907B90A">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（1）履约验收主体</w:t>
            </w:r>
          </w:p>
          <w:p w14:paraId="0D800625">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广西机电职业技术学院                                     </w:t>
            </w:r>
          </w:p>
          <w:p w14:paraId="12BDEF18">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（2）履约验收时间</w:t>
            </w:r>
          </w:p>
          <w:p w14:paraId="4C876950">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到货并安装、调试完成后七个工作日内进行最终验收。          </w:t>
            </w:r>
          </w:p>
          <w:p w14:paraId="7C27259C">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（3）履约验收方式</w:t>
            </w:r>
          </w:p>
          <w:p w14:paraId="31057542">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自行验收。                </w:t>
            </w:r>
          </w:p>
          <w:p w14:paraId="7938A4EB">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（4）履约验收程序</w:t>
            </w:r>
          </w:p>
          <w:p w14:paraId="572C1CCE">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①成立验收小组；②组织验收；③出具验收书；④验收结果公告（公开招标项目）；⑤验收资料归档。</w:t>
            </w:r>
          </w:p>
          <w:p w14:paraId="3E4680FF">
            <w:pPr>
              <w:pStyle w:val="36"/>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履约验收内容</w:t>
            </w:r>
            <w:r>
              <w:rPr>
                <w:rFonts w:hint="eastAsia" w:asciiTheme="minorEastAsia" w:hAnsiTheme="minorEastAsia" w:eastAsiaTheme="minorEastAsia" w:cstheme="minorEastAsia"/>
                <w:b w:val="0"/>
                <w:bCs w:val="0"/>
                <w:color w:val="auto"/>
                <w:sz w:val="21"/>
                <w:szCs w:val="21"/>
                <w:highlight w:val="none"/>
                <w:lang w:eastAsia="zh-CN"/>
              </w:rPr>
              <w:t>。</w:t>
            </w:r>
          </w:p>
          <w:p w14:paraId="4B823698">
            <w:pPr>
              <w:pStyle w:val="36"/>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严格依照合同约定进行验收。     </w:t>
            </w:r>
          </w:p>
          <w:p w14:paraId="01CA0861">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（6）履约验收标准</w:t>
            </w:r>
          </w:p>
          <w:p w14:paraId="02D0364C">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①为保证供货产品系通过正规合法渠道获取的全新正品，成交人应在验收时配合采购人进行核验，并提供以下文件（可为复印件并加盖成交人公章）：国家认可检测机构出具的产品有效检测报告；证明产品合法来源及全新状态的凭证，包括但不限于</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任选其一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：(a)体现产品型号、数量信息的增值税专用发票；(b)产品有效检测报告复印件；(</w:t>
            </w:r>
            <w:r>
              <w:rPr>
                <w:rFonts w:hint="eastAsia" w:asciiTheme="minorEastAsia" w:hAnsiTheme="minorEastAsia" w:eastAsiaTheme="minorEastAsia" w:cstheme="minorEastAsia"/>
                <w:b w:val="0"/>
                <w:bCs w:val="0"/>
                <w:color w:val="auto"/>
                <w:sz w:val="21"/>
                <w:szCs w:val="21"/>
                <w:highlight w:val="none"/>
                <w:lang w:val="en-US" w:eastAsia="zh-CN"/>
              </w:rPr>
              <w:t>c</w:t>
            </w:r>
            <w:r>
              <w:rPr>
                <w:rFonts w:hint="eastAsia" w:asciiTheme="minorEastAsia" w:hAnsiTheme="minorEastAsia" w:eastAsiaTheme="minorEastAsia" w:cstheme="minorEastAsia"/>
                <w:b w:val="0"/>
                <w:bCs w:val="0"/>
                <w:color w:val="auto"/>
                <w:sz w:val="21"/>
                <w:szCs w:val="21"/>
                <w:highlight w:val="none"/>
              </w:rPr>
              <w:t>)可通过产品序列号在官方渠道查询到的有效保修信息。</w:t>
            </w:r>
          </w:p>
          <w:p w14:paraId="4B035650">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②合同履行过程中，由采购人根据中标人所提供的货物、服务，对照</w:t>
            </w:r>
            <w:r>
              <w:rPr>
                <w:rFonts w:hint="eastAsia" w:asciiTheme="minorEastAsia" w:hAnsiTheme="minorEastAsia" w:eastAsiaTheme="minorEastAsia" w:cstheme="minorEastAsia"/>
                <w:b w:val="0"/>
                <w:bCs w:val="0"/>
                <w:color w:val="auto"/>
                <w:sz w:val="21"/>
                <w:szCs w:val="21"/>
                <w:highlight w:val="none"/>
                <w:lang w:val="en-US" w:eastAsia="zh-CN"/>
              </w:rPr>
              <w:t>竞争性谈判</w:t>
            </w:r>
            <w:r>
              <w:rPr>
                <w:rFonts w:hint="eastAsia" w:asciiTheme="minorEastAsia" w:hAnsiTheme="minorEastAsia" w:eastAsiaTheme="minorEastAsia" w:cstheme="minorEastAsia"/>
                <w:b w:val="0"/>
                <w:bCs w:val="0"/>
                <w:color w:val="auto"/>
                <w:sz w:val="21"/>
                <w:szCs w:val="21"/>
                <w:highlight w:val="none"/>
              </w:rPr>
              <w:t>文件要求及中标人</w:t>
            </w:r>
            <w:r>
              <w:rPr>
                <w:rFonts w:hint="eastAsia" w:asciiTheme="minorEastAsia" w:hAnsiTheme="minorEastAsia" w:eastAsiaTheme="minorEastAsia" w:cstheme="minorEastAsia"/>
                <w:b w:val="0"/>
                <w:bCs w:val="0"/>
                <w:color w:val="auto"/>
                <w:sz w:val="21"/>
                <w:szCs w:val="21"/>
                <w:highlight w:val="none"/>
                <w:lang w:val="en-US" w:eastAsia="zh-CN"/>
              </w:rPr>
              <w:t>响应</w:t>
            </w:r>
            <w:r>
              <w:rPr>
                <w:rFonts w:hint="eastAsia" w:asciiTheme="minorEastAsia" w:hAnsiTheme="minorEastAsia" w:eastAsiaTheme="minorEastAsia" w:cstheme="minorEastAsia"/>
                <w:b w:val="0"/>
                <w:bCs w:val="0"/>
                <w:color w:val="auto"/>
                <w:sz w:val="21"/>
                <w:szCs w:val="21"/>
                <w:highlight w:val="none"/>
              </w:rPr>
              <w:t>文件承诺进行检验并记录。</w:t>
            </w:r>
          </w:p>
          <w:p w14:paraId="14529A73">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其他未尽事宜应严格按照《广西机电职业技术学院采购项目验收管理办法》《关于印发广西壮族自治区政府采购项目履约验收管理办法的通知》（桂财采〔2015〕22号）以及《财政部关于进一步加强政府采购需求和履约验收管理的指导意见》（财库〔2016〕205号）规定执行。</w:t>
            </w:r>
          </w:p>
        </w:tc>
      </w:tr>
      <w:tr w14:paraId="2B71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275A4C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核心产品</w:t>
            </w:r>
          </w:p>
        </w:tc>
        <w:tc>
          <w:tcPr>
            <w:tcW w:w="8467" w:type="dxa"/>
            <w:gridSpan w:val="4"/>
          </w:tcPr>
          <w:p w14:paraId="649FE9AD">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本项目的核心产品为“</w:t>
            </w:r>
            <w:r>
              <w:rPr>
                <w:rFonts w:hint="eastAsia" w:asciiTheme="minorEastAsia" w:hAnsiTheme="minorEastAsia" w:eastAsiaTheme="minorEastAsia" w:cstheme="minorEastAsia"/>
                <w:b/>
                <w:bCs/>
                <w:color w:val="auto"/>
                <w:sz w:val="21"/>
                <w:szCs w:val="21"/>
                <w:highlight w:val="none"/>
                <w:lang w:val="en-US" w:eastAsia="zh-CN"/>
              </w:rPr>
              <w:t>技术要求</w:t>
            </w:r>
            <w:r>
              <w:rPr>
                <w:rFonts w:hint="eastAsia" w:asciiTheme="minorEastAsia" w:hAnsiTheme="minorEastAsia" w:eastAsiaTheme="minorEastAsia" w:cstheme="minorEastAsia"/>
                <w:b/>
                <w:bCs/>
                <w:color w:val="auto"/>
                <w:sz w:val="21"/>
                <w:szCs w:val="21"/>
                <w:highlight w:val="none"/>
              </w:rPr>
              <w:t>”中</w:t>
            </w:r>
            <w:r>
              <w:rPr>
                <w:rFonts w:hint="eastAsia" w:asciiTheme="minorEastAsia" w:hAnsiTheme="minorEastAsia" w:eastAsiaTheme="minorEastAsia" w:cstheme="minorEastAsia"/>
                <w:b/>
                <w:bCs/>
                <w:color w:val="auto"/>
                <w:sz w:val="21"/>
                <w:szCs w:val="21"/>
                <w:highlight w:val="none"/>
                <w:lang w:val="en-US" w:eastAsia="zh-CN"/>
              </w:rPr>
              <w:t>序号</w:t>
            </w:r>
            <w:r>
              <w:rPr>
                <w:rFonts w:hint="eastAsia" w:asciiTheme="minorEastAsia" w:hAnsiTheme="minorEastAsia" w:eastAsiaTheme="minorEastAsia" w:cstheme="minorEastAsia"/>
                <w:b/>
                <w:bCs/>
                <w:color w:val="auto"/>
                <w:sz w:val="21"/>
                <w:szCs w:val="21"/>
                <w:highlight w:val="none"/>
              </w:rPr>
              <w:t>第</w:t>
            </w:r>
            <w:r>
              <w:rPr>
                <w:rFonts w:hint="eastAsia" w:asciiTheme="minorEastAsia" w:hAnsiTheme="minorEastAsia" w:eastAsiaTheme="minorEastAsia" w:cstheme="minorEastAsia"/>
                <w:b/>
                <w:bCs/>
                <w:color w:val="auto"/>
                <w:sz w:val="21"/>
                <w:szCs w:val="21"/>
                <w:highlight w:val="none"/>
                <w:lang w:val="en-US" w:eastAsia="zh-CN"/>
              </w:rPr>
              <w:t xml:space="preserve"> 1 </w:t>
            </w:r>
            <w:r>
              <w:rPr>
                <w:rFonts w:hint="eastAsia" w:asciiTheme="minorEastAsia" w:hAnsiTheme="minorEastAsia" w:eastAsiaTheme="minorEastAsia" w:cstheme="minorEastAsia"/>
                <w:b/>
                <w:bCs/>
                <w:color w:val="auto"/>
                <w:sz w:val="21"/>
                <w:szCs w:val="21"/>
                <w:highlight w:val="none"/>
              </w:rPr>
              <w:t>项</w:t>
            </w:r>
            <w:r>
              <w:rPr>
                <w:rFonts w:hint="eastAsia" w:asciiTheme="minorEastAsia" w:hAnsiTheme="minorEastAsia" w:eastAsiaTheme="minorEastAsia" w:cstheme="minorEastAsia"/>
                <w:b/>
                <w:bCs/>
                <w:color w:val="auto"/>
                <w:sz w:val="21"/>
                <w:szCs w:val="21"/>
                <w:highlight w:val="none"/>
                <w:lang w:val="en-US" w:eastAsia="zh-CN"/>
              </w:rPr>
              <w:t>产品</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b/>
                <w:bCs/>
                <w:color w:val="auto"/>
                <w:szCs w:val="21"/>
                <w:highlight w:val="none"/>
                <w:u w:val="single"/>
              </w:rPr>
              <w:t>智能装备模块化创新设计套件</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b/>
                <w:bCs/>
                <w:color w:val="auto"/>
                <w:sz w:val="21"/>
                <w:szCs w:val="21"/>
                <w:highlight w:val="none"/>
              </w:rPr>
              <w:t>”，核心产品品牌相同的，视为提供同品牌产品。提供相同品牌产品且通过资格审查、符合性审查的不同供应商参加同一合同项下竞标的，按一家供应商计算，最终报价最低的同品牌供应商获得成交供应商推荐资格；最终报价相同的，由采购人或者采购人委托谈判小组按照竞争性谈判文件中的推荐原则确定一个供应商获得成交供应商推荐资格，其他同品牌供应商不作为成交候选人。</w:t>
            </w:r>
          </w:p>
        </w:tc>
      </w:tr>
      <w:tr w14:paraId="3375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67" w:type="dxa"/>
            <w:gridSpan w:val="2"/>
            <w:vAlign w:val="center"/>
          </w:tcPr>
          <w:p w14:paraId="3763C7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tc>
        <w:tc>
          <w:tcPr>
            <w:tcW w:w="8467" w:type="dxa"/>
            <w:gridSpan w:val="4"/>
          </w:tcPr>
          <w:p w14:paraId="3C7A4DAE">
            <w:pPr>
              <w:pStyle w:val="3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本项目不接受进口产品（即通过中国海关报关验放进入中国境内且产自关境外的产品）参与竞标，如有此类产品参与竞标的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其响应文件作</w:t>
            </w:r>
            <w:r>
              <w:rPr>
                <w:rFonts w:hint="eastAsia" w:asciiTheme="minorEastAsia" w:hAnsiTheme="minorEastAsia" w:eastAsiaTheme="minorEastAsia" w:cstheme="minorEastAsia"/>
                <w:color w:val="auto"/>
                <w:sz w:val="21"/>
                <w:szCs w:val="21"/>
                <w:highlight w:val="none"/>
              </w:rPr>
              <w:t>无效处理。</w:t>
            </w:r>
          </w:p>
        </w:tc>
      </w:tr>
    </w:tbl>
    <w:p w14:paraId="70CCCCAF">
      <w:pPr>
        <w:spacing w:line="428" w:lineRule="exact"/>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br w:type="page"/>
      </w:r>
    </w:p>
    <w:p w14:paraId="5ACCF069">
      <w:pPr>
        <w:rPr>
          <w:color w:val="auto"/>
          <w:highlight w:val="none"/>
        </w:rPr>
      </w:pPr>
    </w:p>
    <w:p w14:paraId="581C107B">
      <w:pPr>
        <w:spacing w:line="428" w:lineRule="exact"/>
        <w:ind w:left="119"/>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5AC8515F">
      <w:pPr>
        <w:spacing w:before="7"/>
        <w:rPr>
          <w:rFonts w:hint="eastAsia" w:ascii="Arial Unicode MS" w:hAnsi="Arial Unicode MS" w:eastAsia="Arial Unicode MS" w:cs="Arial Unicode MS"/>
          <w:color w:val="auto"/>
          <w:sz w:val="17"/>
          <w:szCs w:val="17"/>
          <w:highlight w:val="none"/>
        </w:rPr>
      </w:pPr>
    </w:p>
    <w:p w14:paraId="152FA47F">
      <w:pPr>
        <w:spacing w:line="528" w:lineRule="exact"/>
        <w:ind w:left="22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节能产品政府采购品目清单</w:t>
      </w:r>
    </w:p>
    <w:tbl>
      <w:tblPr>
        <w:tblStyle w:val="27"/>
        <w:tblW w:w="9220" w:type="dxa"/>
        <w:tblInd w:w="93" w:type="dxa"/>
        <w:tblLayout w:type="autofit"/>
        <w:tblCellMar>
          <w:top w:w="0" w:type="dxa"/>
          <w:left w:w="108" w:type="dxa"/>
          <w:bottom w:w="0" w:type="dxa"/>
          <w:right w:w="108" w:type="dxa"/>
        </w:tblCellMar>
      </w:tblPr>
      <w:tblGrid>
        <w:gridCol w:w="589"/>
        <w:gridCol w:w="1296"/>
        <w:gridCol w:w="1776"/>
        <w:gridCol w:w="1776"/>
        <w:gridCol w:w="3783"/>
      </w:tblGrid>
      <w:tr w14:paraId="0966A04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tcPr>
          <w:p w14:paraId="4ED4BCBA">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5B7C7A0F">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1A4964BD">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依据的标准</w:t>
            </w:r>
          </w:p>
        </w:tc>
      </w:tr>
      <w:tr w14:paraId="0B1FD702">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vAlign w:val="center"/>
          </w:tcPr>
          <w:p w14:paraId="5252971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392CC57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A020101计算机设备</w:t>
            </w:r>
          </w:p>
        </w:tc>
        <w:tc>
          <w:tcPr>
            <w:tcW w:w="1320" w:type="dxa"/>
            <w:tcBorders>
              <w:top w:val="nil"/>
              <w:left w:val="nil"/>
              <w:bottom w:val="single" w:color="000000" w:sz="8" w:space="0"/>
              <w:right w:val="single" w:color="000000" w:sz="8" w:space="0"/>
            </w:tcBorders>
            <w:vAlign w:val="center"/>
          </w:tcPr>
          <w:p w14:paraId="1D55AF8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★A02010104台式计算机</w:t>
            </w:r>
          </w:p>
        </w:tc>
        <w:tc>
          <w:tcPr>
            <w:tcW w:w="1620" w:type="dxa"/>
            <w:tcBorders>
              <w:top w:val="nil"/>
              <w:left w:val="nil"/>
              <w:bottom w:val="single" w:color="000000" w:sz="8" w:space="0"/>
              <w:right w:val="single" w:color="000000" w:sz="8" w:space="0"/>
            </w:tcBorders>
            <w:vAlign w:val="center"/>
          </w:tcPr>
          <w:p w14:paraId="0B65BF3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482A99D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《微型计算机能效限定值及能效等级》（GB28380）</w:t>
            </w:r>
          </w:p>
        </w:tc>
      </w:tr>
      <w:tr w14:paraId="24CD13E2">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F7AB6AB">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328BD0D">
            <w:pPr>
              <w:widowControl/>
              <w:jc w:val="left"/>
              <w:rPr>
                <w:rFonts w:hint="eastAsia"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0C145B2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★A02010105便携式计算机</w:t>
            </w:r>
          </w:p>
        </w:tc>
        <w:tc>
          <w:tcPr>
            <w:tcW w:w="1620" w:type="dxa"/>
            <w:tcBorders>
              <w:top w:val="nil"/>
              <w:left w:val="nil"/>
              <w:bottom w:val="single" w:color="000000" w:sz="8" w:space="0"/>
              <w:right w:val="single" w:color="000000" w:sz="8" w:space="0"/>
            </w:tcBorders>
            <w:vAlign w:val="center"/>
          </w:tcPr>
          <w:p w14:paraId="08ADA9F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0F2EB57C">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《微型计算机能效限定值及能效等级》（GB28380）</w:t>
            </w:r>
          </w:p>
        </w:tc>
      </w:tr>
      <w:tr w14:paraId="38D4FC87">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5A7C54D7">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C3235E1">
            <w:pPr>
              <w:widowControl/>
              <w:jc w:val="left"/>
              <w:rPr>
                <w:rFonts w:hint="eastAsia"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7B9D5F6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5E46E72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4DA6A1E3">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《微型计算机能效限定值及能效等级》（GB28380）</w:t>
            </w:r>
          </w:p>
        </w:tc>
      </w:tr>
      <w:tr w14:paraId="5913D5A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309DA2B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393E1A1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33639E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A02010601打印设备</w:t>
            </w:r>
          </w:p>
        </w:tc>
        <w:tc>
          <w:tcPr>
            <w:tcW w:w="1620" w:type="dxa"/>
            <w:tcBorders>
              <w:top w:val="nil"/>
              <w:left w:val="nil"/>
              <w:bottom w:val="single" w:color="000000" w:sz="8" w:space="0"/>
              <w:right w:val="single" w:color="000000" w:sz="8" w:space="0"/>
            </w:tcBorders>
            <w:vAlign w:val="center"/>
          </w:tcPr>
          <w:p w14:paraId="611D0E4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A0201060101喷墨打印机</w:t>
            </w:r>
          </w:p>
        </w:tc>
        <w:tc>
          <w:tcPr>
            <w:tcW w:w="4540" w:type="dxa"/>
            <w:tcBorders>
              <w:top w:val="nil"/>
              <w:left w:val="nil"/>
              <w:bottom w:val="single" w:color="000000" w:sz="8" w:space="0"/>
              <w:right w:val="single" w:color="000000" w:sz="8" w:space="0"/>
            </w:tcBorders>
            <w:vAlign w:val="center"/>
          </w:tcPr>
          <w:p w14:paraId="5C81772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04B8D3F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5014391">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E4B8B0A">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EDFE5DD">
            <w:pPr>
              <w:widowControl/>
              <w:jc w:val="left"/>
              <w:rPr>
                <w:rFonts w:hint="eastAsia" w:ascii="宋体" w:hAnsi="宋体" w:cs="宋体"/>
                <w:color w:val="auto"/>
                <w:kern w:val="0"/>
                <w:sz w:val="24"/>
                <w:highlight w:val="none"/>
              </w:rPr>
            </w:pPr>
          </w:p>
        </w:tc>
        <w:tc>
          <w:tcPr>
            <w:tcW w:w="1620" w:type="dxa"/>
            <w:tcBorders>
              <w:top w:val="nil"/>
              <w:left w:val="nil"/>
              <w:bottom w:val="single" w:color="000000" w:sz="8" w:space="0"/>
              <w:right w:val="single" w:color="000000" w:sz="8" w:space="0"/>
            </w:tcBorders>
            <w:vAlign w:val="center"/>
          </w:tcPr>
          <w:p w14:paraId="5ED41CD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★A0201060102激光打印机</w:t>
            </w:r>
          </w:p>
        </w:tc>
        <w:tc>
          <w:tcPr>
            <w:tcW w:w="4540" w:type="dxa"/>
            <w:tcBorders>
              <w:top w:val="nil"/>
              <w:left w:val="nil"/>
              <w:bottom w:val="single" w:color="000000" w:sz="8" w:space="0"/>
              <w:right w:val="single" w:color="000000" w:sz="8" w:space="0"/>
            </w:tcBorders>
            <w:vAlign w:val="center"/>
          </w:tcPr>
          <w:p w14:paraId="6ED5556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618B7A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DDB96EA">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DBB89E7">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D9281D8">
            <w:pPr>
              <w:widowControl/>
              <w:jc w:val="left"/>
              <w:rPr>
                <w:rFonts w:hint="eastAsia" w:ascii="宋体" w:hAnsi="宋体" w:cs="宋体"/>
                <w:color w:val="auto"/>
                <w:kern w:val="0"/>
                <w:sz w:val="24"/>
                <w:highlight w:val="none"/>
              </w:rPr>
            </w:pPr>
          </w:p>
        </w:tc>
        <w:tc>
          <w:tcPr>
            <w:tcW w:w="1620" w:type="dxa"/>
            <w:tcBorders>
              <w:top w:val="nil"/>
              <w:left w:val="nil"/>
              <w:bottom w:val="single" w:color="000000" w:sz="8" w:space="0"/>
              <w:right w:val="single" w:color="000000" w:sz="8" w:space="0"/>
            </w:tcBorders>
            <w:vAlign w:val="center"/>
          </w:tcPr>
          <w:p w14:paraId="7219CBC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★A0201060104针式打印机</w:t>
            </w:r>
          </w:p>
        </w:tc>
        <w:tc>
          <w:tcPr>
            <w:tcW w:w="4540" w:type="dxa"/>
            <w:tcBorders>
              <w:top w:val="nil"/>
              <w:left w:val="nil"/>
              <w:bottom w:val="single" w:color="000000" w:sz="8" w:space="0"/>
              <w:right w:val="single" w:color="000000" w:sz="8" w:space="0"/>
            </w:tcBorders>
            <w:vAlign w:val="center"/>
          </w:tcPr>
          <w:p w14:paraId="3D6B241A">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738290B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92206CA">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B59DED6">
            <w:pPr>
              <w:widowControl/>
              <w:jc w:val="left"/>
              <w:rPr>
                <w:rFonts w:hint="eastAsia"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6A1E542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A02010604显示设备</w:t>
            </w:r>
          </w:p>
        </w:tc>
        <w:tc>
          <w:tcPr>
            <w:tcW w:w="1620" w:type="dxa"/>
            <w:tcBorders>
              <w:top w:val="nil"/>
              <w:left w:val="nil"/>
              <w:bottom w:val="single" w:color="000000" w:sz="8" w:space="0"/>
              <w:right w:val="single" w:color="000000" w:sz="8" w:space="0"/>
            </w:tcBorders>
            <w:vAlign w:val="center"/>
          </w:tcPr>
          <w:p w14:paraId="1FCBFA2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★A0201060401液晶显示器</w:t>
            </w:r>
          </w:p>
        </w:tc>
        <w:tc>
          <w:tcPr>
            <w:tcW w:w="4540" w:type="dxa"/>
            <w:tcBorders>
              <w:top w:val="nil"/>
              <w:left w:val="nil"/>
              <w:bottom w:val="single" w:color="000000" w:sz="8" w:space="0"/>
              <w:right w:val="single" w:color="000000" w:sz="8" w:space="0"/>
            </w:tcBorders>
            <w:vAlign w:val="center"/>
          </w:tcPr>
          <w:p w14:paraId="28BA720C">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《计算机显示器能效限定值及能效等级》（GB21520）</w:t>
            </w:r>
          </w:p>
        </w:tc>
      </w:tr>
      <w:tr w14:paraId="09098F3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005C71F3">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2B26942">
            <w:pPr>
              <w:widowControl/>
              <w:jc w:val="left"/>
              <w:rPr>
                <w:rFonts w:hint="eastAsia"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251F7C0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1F77118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A0201060901扫描仪</w:t>
            </w:r>
          </w:p>
        </w:tc>
        <w:tc>
          <w:tcPr>
            <w:tcW w:w="4540" w:type="dxa"/>
            <w:tcBorders>
              <w:top w:val="nil"/>
              <w:left w:val="nil"/>
              <w:bottom w:val="single" w:color="000000" w:sz="8" w:space="0"/>
              <w:right w:val="single" w:color="000000" w:sz="8" w:space="0"/>
            </w:tcBorders>
            <w:vAlign w:val="center"/>
          </w:tcPr>
          <w:p w14:paraId="10E21EEF">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参照《复印机、打印机和传真机能效限定值及能效等级》（GB21521中打印速度为15页/分的针式打印机相关要求中打印速度为15页/分的针式打印机相关要求</w:t>
            </w:r>
          </w:p>
        </w:tc>
      </w:tr>
      <w:tr w14:paraId="13DE820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31C2EA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1080" w:type="dxa"/>
            <w:tcBorders>
              <w:top w:val="nil"/>
              <w:left w:val="nil"/>
              <w:bottom w:val="single" w:color="000000" w:sz="8" w:space="0"/>
              <w:right w:val="single" w:color="000000" w:sz="8" w:space="0"/>
            </w:tcBorders>
            <w:vAlign w:val="center"/>
          </w:tcPr>
          <w:p w14:paraId="4F334AA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A020202投影仪</w:t>
            </w:r>
          </w:p>
        </w:tc>
        <w:tc>
          <w:tcPr>
            <w:tcW w:w="1320" w:type="dxa"/>
            <w:tcBorders>
              <w:top w:val="nil"/>
              <w:left w:val="nil"/>
              <w:bottom w:val="single" w:color="000000" w:sz="8" w:space="0"/>
              <w:right w:val="single" w:color="000000" w:sz="8" w:space="0"/>
            </w:tcBorders>
            <w:vAlign w:val="center"/>
          </w:tcPr>
          <w:p w14:paraId="302CC60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46BA465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5E2EA8B3">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《投影机能效限定值及能效等级》（GB32028）</w:t>
            </w:r>
          </w:p>
        </w:tc>
      </w:tr>
      <w:tr w14:paraId="7B06573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6A51E2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1080" w:type="dxa"/>
            <w:tcBorders>
              <w:top w:val="nil"/>
              <w:left w:val="nil"/>
              <w:bottom w:val="single" w:color="000000" w:sz="8" w:space="0"/>
              <w:right w:val="single" w:color="000000" w:sz="8" w:space="0"/>
            </w:tcBorders>
            <w:vAlign w:val="center"/>
          </w:tcPr>
          <w:p w14:paraId="4E03AEC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A020204多功能一体机</w:t>
            </w:r>
          </w:p>
        </w:tc>
        <w:tc>
          <w:tcPr>
            <w:tcW w:w="1320" w:type="dxa"/>
            <w:tcBorders>
              <w:top w:val="nil"/>
              <w:left w:val="nil"/>
              <w:bottom w:val="single" w:color="000000" w:sz="8" w:space="0"/>
              <w:right w:val="single" w:color="000000" w:sz="8" w:space="0"/>
            </w:tcBorders>
            <w:vAlign w:val="center"/>
          </w:tcPr>
          <w:p w14:paraId="2CBFDEC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278B967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40B655B3">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1C32CB9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auto" w:sz="4" w:space="0"/>
              <w:right w:val="single" w:color="000000" w:sz="8" w:space="0"/>
            </w:tcBorders>
            <w:vAlign w:val="center"/>
          </w:tcPr>
          <w:p w14:paraId="45DF84C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1080" w:type="dxa"/>
            <w:tcBorders>
              <w:top w:val="nil"/>
              <w:left w:val="nil"/>
              <w:bottom w:val="single" w:color="auto" w:sz="4" w:space="0"/>
              <w:right w:val="single" w:color="000000" w:sz="8" w:space="0"/>
            </w:tcBorders>
            <w:vAlign w:val="center"/>
          </w:tcPr>
          <w:p w14:paraId="5070238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A020519泵</w:t>
            </w:r>
          </w:p>
        </w:tc>
        <w:tc>
          <w:tcPr>
            <w:tcW w:w="1320" w:type="dxa"/>
            <w:tcBorders>
              <w:top w:val="nil"/>
              <w:left w:val="nil"/>
              <w:bottom w:val="single" w:color="auto" w:sz="4" w:space="0"/>
              <w:right w:val="single" w:color="000000" w:sz="8" w:space="0"/>
            </w:tcBorders>
            <w:vAlign w:val="center"/>
          </w:tcPr>
          <w:p w14:paraId="2EECC9D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A02051901离心泵</w:t>
            </w:r>
          </w:p>
        </w:tc>
        <w:tc>
          <w:tcPr>
            <w:tcW w:w="1620" w:type="dxa"/>
            <w:tcBorders>
              <w:top w:val="nil"/>
              <w:left w:val="nil"/>
              <w:bottom w:val="single" w:color="auto" w:sz="4" w:space="0"/>
              <w:right w:val="single" w:color="000000" w:sz="8" w:space="0"/>
            </w:tcBorders>
            <w:vAlign w:val="center"/>
          </w:tcPr>
          <w:p w14:paraId="34E755A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4" w:space="0"/>
              <w:right w:val="single" w:color="000000" w:sz="8" w:space="0"/>
            </w:tcBorders>
            <w:vAlign w:val="center"/>
          </w:tcPr>
          <w:p w14:paraId="1B4501AB">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《清水离心泵能效限定值及节能评价值》（GB19762）</w:t>
            </w:r>
          </w:p>
        </w:tc>
      </w:tr>
      <w:tr w14:paraId="689A4738">
        <w:tblPrEx>
          <w:tblCellMar>
            <w:top w:w="0" w:type="dxa"/>
            <w:left w:w="108" w:type="dxa"/>
            <w:bottom w:w="0" w:type="dxa"/>
            <w:right w:w="108" w:type="dxa"/>
          </w:tblCellMar>
        </w:tblPrEx>
        <w:trPr>
          <w:trHeight w:val="735"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47F3FE7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E8DF9B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A020523制冷空调设备</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7B49958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★A02052301制冷压缩机</w:t>
            </w:r>
          </w:p>
        </w:tc>
        <w:tc>
          <w:tcPr>
            <w:tcW w:w="1620" w:type="dxa"/>
            <w:tcBorders>
              <w:top w:val="single" w:color="auto" w:sz="4" w:space="0"/>
              <w:left w:val="single" w:color="auto" w:sz="4" w:space="0"/>
              <w:bottom w:val="single" w:color="auto" w:sz="4" w:space="0"/>
              <w:right w:val="single" w:color="auto" w:sz="4" w:space="0"/>
            </w:tcBorders>
            <w:vAlign w:val="center"/>
          </w:tcPr>
          <w:p w14:paraId="0E98FA34">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冷水机组</w:t>
            </w:r>
          </w:p>
        </w:tc>
        <w:tc>
          <w:tcPr>
            <w:tcW w:w="4540" w:type="dxa"/>
            <w:tcBorders>
              <w:top w:val="single" w:color="auto" w:sz="4" w:space="0"/>
              <w:left w:val="single" w:color="auto" w:sz="4" w:space="0"/>
              <w:bottom w:val="single" w:color="auto" w:sz="4" w:space="0"/>
              <w:right w:val="single" w:color="auto" w:sz="4" w:space="0"/>
            </w:tcBorders>
            <w:vAlign w:val="center"/>
          </w:tcPr>
          <w:p w14:paraId="439124E8">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《冷水机组能效限定值及能效等级》（GB19577），《低环境温度空气源热泵（冷水）机组能效限定值及能效等级》（GB37480）</w:t>
            </w:r>
          </w:p>
        </w:tc>
      </w:tr>
      <w:tr w14:paraId="460F3A5E">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64CF2C">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16ED3D">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F3F470">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A1E1F2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水源热泵机组</w:t>
            </w:r>
          </w:p>
        </w:tc>
        <w:tc>
          <w:tcPr>
            <w:tcW w:w="4540" w:type="dxa"/>
            <w:tcBorders>
              <w:top w:val="single" w:color="auto" w:sz="4" w:space="0"/>
              <w:left w:val="single" w:color="auto" w:sz="4" w:space="0"/>
              <w:bottom w:val="single" w:color="auto" w:sz="4" w:space="0"/>
              <w:right w:val="single" w:color="auto" w:sz="4" w:space="0"/>
            </w:tcBorders>
            <w:vAlign w:val="center"/>
          </w:tcPr>
          <w:p w14:paraId="46B16C77">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《水（地）源热泵机组能效限定值及能效等级》（GB30721）</w:t>
            </w:r>
          </w:p>
        </w:tc>
      </w:tr>
      <w:tr w14:paraId="39C44EFA">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06583F">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E5446E">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211455">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93B2EE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溴化锂吸收式冷水机组</w:t>
            </w:r>
          </w:p>
        </w:tc>
        <w:tc>
          <w:tcPr>
            <w:tcW w:w="4540" w:type="dxa"/>
            <w:tcBorders>
              <w:top w:val="single" w:color="auto" w:sz="4" w:space="0"/>
              <w:left w:val="single" w:color="auto" w:sz="4" w:space="0"/>
              <w:bottom w:val="single" w:color="auto" w:sz="4" w:space="0"/>
              <w:right w:val="single" w:color="auto" w:sz="4" w:space="0"/>
            </w:tcBorders>
            <w:vAlign w:val="center"/>
          </w:tcPr>
          <w:p w14:paraId="3656C24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《溴化锂吸收式冷水机组能效限定值及能效等级》（GB29540）</w:t>
            </w:r>
          </w:p>
        </w:tc>
      </w:tr>
      <w:tr w14:paraId="41E15DCC">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AFC380">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CFAAA6">
            <w:pPr>
              <w:widowControl/>
              <w:jc w:val="left"/>
              <w:rPr>
                <w:rFonts w:hint="eastAsia" w:ascii="宋体" w:hAnsi="宋体" w:cs="宋体"/>
                <w:color w:val="auto"/>
                <w:kern w:val="0"/>
                <w:sz w:val="24"/>
                <w:highlight w:val="none"/>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1BBB078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★A02052305空调机组</w:t>
            </w:r>
          </w:p>
        </w:tc>
        <w:tc>
          <w:tcPr>
            <w:tcW w:w="1620" w:type="dxa"/>
            <w:tcBorders>
              <w:top w:val="single" w:color="auto" w:sz="4" w:space="0"/>
              <w:left w:val="single" w:color="auto" w:sz="4" w:space="0"/>
              <w:bottom w:val="single" w:color="auto" w:sz="4" w:space="0"/>
              <w:right w:val="single" w:color="auto" w:sz="4" w:space="0"/>
            </w:tcBorders>
            <w:vAlign w:val="center"/>
          </w:tcPr>
          <w:p w14:paraId="0D9EB0E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多联式空调（热泵）机组(制冷量&gt;14000W)</w:t>
            </w:r>
          </w:p>
        </w:tc>
        <w:tc>
          <w:tcPr>
            <w:tcW w:w="4540" w:type="dxa"/>
            <w:tcBorders>
              <w:top w:val="single" w:color="auto" w:sz="4" w:space="0"/>
              <w:left w:val="single" w:color="auto" w:sz="4" w:space="0"/>
              <w:bottom w:val="single" w:color="auto" w:sz="4" w:space="0"/>
              <w:right w:val="single" w:color="auto" w:sz="4" w:space="0"/>
            </w:tcBorders>
            <w:vAlign w:val="center"/>
          </w:tcPr>
          <w:p w14:paraId="7AFCA48A">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《多联式空调（热泵）机组能效限定值及能源效率等级》（GB21454）</w:t>
            </w:r>
          </w:p>
        </w:tc>
      </w:tr>
      <w:tr w14:paraId="198E9D46">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54DE09">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4FEB51">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9C5C74">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A259D8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单元式空气调节机(制冷量&gt;14000W</w:t>
            </w:r>
          </w:p>
        </w:tc>
        <w:tc>
          <w:tcPr>
            <w:tcW w:w="4540" w:type="dxa"/>
            <w:tcBorders>
              <w:top w:val="single" w:color="auto" w:sz="4" w:space="0"/>
              <w:left w:val="single" w:color="auto" w:sz="4" w:space="0"/>
              <w:bottom w:val="single" w:color="auto" w:sz="4" w:space="0"/>
              <w:right w:val="single" w:color="auto" w:sz="4" w:space="0"/>
            </w:tcBorders>
            <w:vAlign w:val="center"/>
          </w:tcPr>
          <w:p w14:paraId="4A51BB9C">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《单元式空气调节机能效限定值及能效等级》（GB19576）《风管送风式空调机组能效限定值及能效等级》（GB37479）</w:t>
            </w:r>
          </w:p>
        </w:tc>
      </w:tr>
      <w:tr w14:paraId="59471D88">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000000" w:sz="8" w:space="0"/>
              <w:right w:val="single" w:color="000000" w:sz="8" w:space="0"/>
            </w:tcBorders>
            <w:vAlign w:val="center"/>
          </w:tcPr>
          <w:p w14:paraId="45EF692D">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000000" w:sz="8" w:space="0"/>
              <w:bottom w:val="single" w:color="000000" w:sz="8" w:space="0"/>
              <w:right w:val="single" w:color="000000" w:sz="8" w:space="0"/>
            </w:tcBorders>
            <w:vAlign w:val="center"/>
          </w:tcPr>
          <w:p w14:paraId="32A185A1">
            <w:pPr>
              <w:widowControl/>
              <w:jc w:val="left"/>
              <w:rPr>
                <w:rFonts w:hint="eastAsia" w:ascii="宋体" w:hAnsi="宋体" w:cs="宋体"/>
                <w:color w:val="auto"/>
                <w:kern w:val="0"/>
                <w:sz w:val="24"/>
                <w:highlight w:val="none"/>
              </w:rPr>
            </w:pPr>
          </w:p>
        </w:tc>
        <w:tc>
          <w:tcPr>
            <w:tcW w:w="1320" w:type="dxa"/>
            <w:tcBorders>
              <w:top w:val="single" w:color="auto" w:sz="4" w:space="0"/>
              <w:left w:val="nil"/>
              <w:bottom w:val="single" w:color="000000" w:sz="8" w:space="0"/>
              <w:right w:val="single" w:color="000000" w:sz="8" w:space="0"/>
            </w:tcBorders>
            <w:vAlign w:val="center"/>
          </w:tcPr>
          <w:p w14:paraId="73F8520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★A02052309专用制冷、空调设备</w:t>
            </w:r>
          </w:p>
        </w:tc>
        <w:tc>
          <w:tcPr>
            <w:tcW w:w="1620" w:type="dxa"/>
            <w:tcBorders>
              <w:top w:val="single" w:color="auto" w:sz="4" w:space="0"/>
              <w:left w:val="nil"/>
              <w:bottom w:val="single" w:color="000000" w:sz="8" w:space="0"/>
              <w:right w:val="single" w:color="000000" w:sz="8" w:space="0"/>
            </w:tcBorders>
            <w:vAlign w:val="center"/>
          </w:tcPr>
          <w:p w14:paraId="2DD4139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机房空调</w:t>
            </w:r>
          </w:p>
        </w:tc>
        <w:tc>
          <w:tcPr>
            <w:tcW w:w="4540" w:type="dxa"/>
            <w:tcBorders>
              <w:top w:val="single" w:color="auto" w:sz="4" w:space="0"/>
              <w:left w:val="nil"/>
              <w:bottom w:val="single" w:color="000000" w:sz="8" w:space="0"/>
              <w:right w:val="single" w:color="000000" w:sz="8" w:space="0"/>
            </w:tcBorders>
            <w:vAlign w:val="center"/>
          </w:tcPr>
          <w:p w14:paraId="4758BEDF">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《单元式空气调节机能效限定值及能效等级》（GB19576）</w:t>
            </w:r>
          </w:p>
        </w:tc>
      </w:tr>
      <w:tr w14:paraId="6946E95F">
        <w:tblPrEx>
          <w:tblCellMar>
            <w:top w:w="0" w:type="dxa"/>
            <w:left w:w="108" w:type="dxa"/>
            <w:bottom w:w="0" w:type="dxa"/>
            <w:right w:w="108" w:type="dxa"/>
          </w:tblCellMar>
        </w:tblPrEx>
        <w:trPr>
          <w:trHeight w:val="735" w:hRule="atLeast"/>
        </w:trPr>
        <w:tc>
          <w:tcPr>
            <w:tcW w:w="0" w:type="auto"/>
            <w:vMerge w:val="continue"/>
            <w:tcBorders>
              <w:top w:val="nil"/>
              <w:left w:val="single" w:color="auto" w:sz="4" w:space="0"/>
              <w:bottom w:val="single" w:color="000000" w:sz="8" w:space="0"/>
              <w:right w:val="single" w:color="000000" w:sz="8" w:space="0"/>
            </w:tcBorders>
            <w:vAlign w:val="center"/>
          </w:tcPr>
          <w:p w14:paraId="078012B8">
            <w:pPr>
              <w:widowControl/>
              <w:jc w:val="left"/>
              <w:rPr>
                <w:rFonts w:hint="eastAsia"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4CDCEB8">
            <w:pPr>
              <w:widowControl/>
              <w:jc w:val="left"/>
              <w:rPr>
                <w:rFonts w:hint="eastAsia"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4053C6B4">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37715A8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冷却塔</w:t>
            </w:r>
          </w:p>
        </w:tc>
        <w:tc>
          <w:tcPr>
            <w:tcW w:w="4540" w:type="dxa"/>
            <w:tcBorders>
              <w:top w:val="nil"/>
              <w:left w:val="nil"/>
              <w:bottom w:val="single" w:color="000000" w:sz="8" w:space="0"/>
              <w:right w:val="single" w:color="000000" w:sz="8" w:space="0"/>
            </w:tcBorders>
            <w:vAlign w:val="center"/>
          </w:tcPr>
          <w:p w14:paraId="2C0C3C33">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《机械通风冷却塔第1部分：中小型开式冷却塔》（GB/T7190.1）；《机械通风冷却塔第2部分：大型开式冷却塔》（GB/T7190.2）</w:t>
            </w:r>
          </w:p>
        </w:tc>
      </w:tr>
      <w:tr w14:paraId="6219194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CC507D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080" w:type="dxa"/>
            <w:tcBorders>
              <w:top w:val="nil"/>
              <w:left w:val="nil"/>
              <w:bottom w:val="single" w:color="000000" w:sz="8" w:space="0"/>
              <w:right w:val="single" w:color="000000" w:sz="8" w:space="0"/>
            </w:tcBorders>
            <w:vAlign w:val="center"/>
          </w:tcPr>
          <w:p w14:paraId="4E8B0C7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A020601电机</w:t>
            </w:r>
          </w:p>
        </w:tc>
        <w:tc>
          <w:tcPr>
            <w:tcW w:w="1320" w:type="dxa"/>
            <w:tcBorders>
              <w:top w:val="nil"/>
              <w:left w:val="nil"/>
              <w:bottom w:val="single" w:color="000000" w:sz="8" w:space="0"/>
              <w:right w:val="single" w:color="000000" w:sz="8" w:space="0"/>
            </w:tcBorders>
            <w:vAlign w:val="center"/>
          </w:tcPr>
          <w:p w14:paraId="7D3DFB8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794C73E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6123ADCC">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《中小型三相异步电动机能效限定值及能效等级》（GB18613）</w:t>
            </w:r>
          </w:p>
        </w:tc>
      </w:tr>
      <w:tr w14:paraId="629AA9E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0FFC9C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1080" w:type="dxa"/>
            <w:tcBorders>
              <w:top w:val="nil"/>
              <w:left w:val="nil"/>
              <w:bottom w:val="single" w:color="000000" w:sz="8" w:space="0"/>
              <w:right w:val="single" w:color="000000" w:sz="8" w:space="0"/>
            </w:tcBorders>
            <w:vAlign w:val="center"/>
          </w:tcPr>
          <w:p w14:paraId="634A583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A020602变压器</w:t>
            </w:r>
          </w:p>
        </w:tc>
        <w:tc>
          <w:tcPr>
            <w:tcW w:w="1320" w:type="dxa"/>
            <w:tcBorders>
              <w:top w:val="nil"/>
              <w:left w:val="nil"/>
              <w:bottom w:val="single" w:color="000000" w:sz="8" w:space="0"/>
              <w:right w:val="single" w:color="000000" w:sz="8" w:space="0"/>
            </w:tcBorders>
            <w:vAlign w:val="center"/>
          </w:tcPr>
          <w:p w14:paraId="63A5FB1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配电变压器</w:t>
            </w:r>
          </w:p>
        </w:tc>
        <w:tc>
          <w:tcPr>
            <w:tcW w:w="1620" w:type="dxa"/>
            <w:tcBorders>
              <w:top w:val="nil"/>
              <w:left w:val="nil"/>
              <w:bottom w:val="single" w:color="000000" w:sz="8" w:space="0"/>
              <w:right w:val="single" w:color="000000" w:sz="8" w:space="0"/>
            </w:tcBorders>
            <w:vAlign w:val="center"/>
          </w:tcPr>
          <w:p w14:paraId="7C01D58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3DB6F9A5">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《三相配电变压器能效限定值及能效等级》（GB20052）</w:t>
            </w:r>
          </w:p>
        </w:tc>
      </w:tr>
      <w:tr w14:paraId="3D79F08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auto" w:sz="4" w:space="0"/>
              <w:right w:val="single" w:color="000000" w:sz="8" w:space="0"/>
            </w:tcBorders>
            <w:vAlign w:val="center"/>
          </w:tcPr>
          <w:p w14:paraId="2404259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9</w:t>
            </w:r>
          </w:p>
        </w:tc>
        <w:tc>
          <w:tcPr>
            <w:tcW w:w="1080" w:type="dxa"/>
            <w:tcBorders>
              <w:top w:val="nil"/>
              <w:left w:val="nil"/>
              <w:bottom w:val="single" w:color="auto" w:sz="4" w:space="0"/>
              <w:right w:val="single" w:color="000000" w:sz="8" w:space="0"/>
            </w:tcBorders>
            <w:vAlign w:val="center"/>
          </w:tcPr>
          <w:p w14:paraId="2745B6A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★A020609镇流器</w:t>
            </w:r>
          </w:p>
        </w:tc>
        <w:tc>
          <w:tcPr>
            <w:tcW w:w="1320" w:type="dxa"/>
            <w:tcBorders>
              <w:top w:val="nil"/>
              <w:left w:val="nil"/>
              <w:bottom w:val="single" w:color="auto" w:sz="4" w:space="0"/>
              <w:right w:val="single" w:color="000000" w:sz="8" w:space="0"/>
            </w:tcBorders>
            <w:vAlign w:val="center"/>
          </w:tcPr>
          <w:p w14:paraId="3C27577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管型荧光灯镇流器</w:t>
            </w:r>
          </w:p>
        </w:tc>
        <w:tc>
          <w:tcPr>
            <w:tcW w:w="1620" w:type="dxa"/>
            <w:tcBorders>
              <w:top w:val="nil"/>
              <w:left w:val="nil"/>
              <w:bottom w:val="single" w:color="auto" w:sz="4" w:space="0"/>
              <w:right w:val="single" w:color="000000" w:sz="8" w:space="0"/>
            </w:tcBorders>
            <w:vAlign w:val="center"/>
          </w:tcPr>
          <w:p w14:paraId="60FF3D9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4" w:space="0"/>
              <w:right w:val="single" w:color="000000" w:sz="8" w:space="0"/>
            </w:tcBorders>
            <w:vAlign w:val="center"/>
          </w:tcPr>
          <w:p w14:paraId="037A7FAE">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《管形荧光灯镇流器能效限定值及能效等级》（GB17896）</w:t>
            </w:r>
          </w:p>
        </w:tc>
      </w:tr>
      <w:tr w14:paraId="161EB2E2">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5426083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28EA63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A020618生活用电器</w:t>
            </w:r>
          </w:p>
        </w:tc>
        <w:tc>
          <w:tcPr>
            <w:tcW w:w="1320" w:type="dxa"/>
            <w:tcBorders>
              <w:top w:val="single" w:color="auto" w:sz="4" w:space="0"/>
              <w:left w:val="single" w:color="auto" w:sz="4" w:space="0"/>
              <w:bottom w:val="single" w:color="auto" w:sz="4" w:space="0"/>
              <w:right w:val="single" w:color="auto" w:sz="4" w:space="0"/>
            </w:tcBorders>
            <w:vAlign w:val="center"/>
          </w:tcPr>
          <w:p w14:paraId="603DDD4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A0206180101电冰箱</w:t>
            </w:r>
          </w:p>
        </w:tc>
        <w:tc>
          <w:tcPr>
            <w:tcW w:w="1620" w:type="dxa"/>
            <w:tcBorders>
              <w:top w:val="single" w:color="auto" w:sz="4" w:space="0"/>
              <w:left w:val="single" w:color="auto" w:sz="4" w:space="0"/>
              <w:bottom w:val="single" w:color="auto" w:sz="4" w:space="0"/>
              <w:right w:val="single" w:color="auto" w:sz="4" w:space="0"/>
            </w:tcBorders>
            <w:vAlign w:val="center"/>
          </w:tcPr>
          <w:p w14:paraId="58957E64">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5B47EA95">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《家用电冰箱耗电量限定值及能效等级》（GB 12021.2）</w:t>
            </w:r>
          </w:p>
        </w:tc>
      </w:tr>
      <w:tr w14:paraId="6B6051C6">
        <w:tblPrEx>
          <w:tblCellMar>
            <w:top w:w="0" w:type="dxa"/>
            <w:left w:w="108" w:type="dxa"/>
            <w:bottom w:w="0" w:type="dxa"/>
            <w:right w:w="108" w:type="dxa"/>
          </w:tblCellMar>
        </w:tblPrEx>
        <w:trPr>
          <w:trHeight w:val="97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34EB8B">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DCD9E29">
            <w:pPr>
              <w:widowControl/>
              <w:jc w:val="left"/>
              <w:rPr>
                <w:rFonts w:hint="eastAsia" w:ascii="宋体" w:hAnsi="宋体" w:cs="宋体"/>
                <w:color w:val="auto"/>
                <w:kern w:val="0"/>
                <w:sz w:val="24"/>
                <w:highlight w:val="none"/>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0D46952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★A0206180203空调机</w:t>
            </w:r>
          </w:p>
        </w:tc>
        <w:tc>
          <w:tcPr>
            <w:tcW w:w="1620" w:type="dxa"/>
            <w:tcBorders>
              <w:top w:val="single" w:color="auto" w:sz="4" w:space="0"/>
              <w:left w:val="single" w:color="auto" w:sz="4" w:space="0"/>
              <w:bottom w:val="single" w:color="auto" w:sz="4" w:space="0"/>
              <w:right w:val="single" w:color="auto" w:sz="4" w:space="0"/>
            </w:tcBorders>
            <w:vAlign w:val="center"/>
          </w:tcPr>
          <w:p w14:paraId="1268A55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房间空气调节器</w:t>
            </w:r>
          </w:p>
        </w:tc>
        <w:tc>
          <w:tcPr>
            <w:tcW w:w="4540" w:type="dxa"/>
            <w:tcBorders>
              <w:top w:val="single" w:color="auto" w:sz="4" w:space="0"/>
              <w:left w:val="single" w:color="auto" w:sz="4" w:space="0"/>
              <w:bottom w:val="single" w:color="auto" w:sz="4" w:space="0"/>
              <w:right w:val="single" w:color="auto" w:sz="4" w:space="0"/>
            </w:tcBorders>
            <w:vAlign w:val="center"/>
          </w:tcPr>
          <w:p w14:paraId="2592DDA9">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《转速可控型房间空气调节器能效限定值及能效等级》（GB21455-2013），待2019年修订发布后，按《房间空气调节器能效限定值及能效等级》（GB21455-2019实施。</w:t>
            </w:r>
          </w:p>
        </w:tc>
      </w:tr>
      <w:tr w14:paraId="68935F27">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4B7615">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78ABEF">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8D7F67">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221D28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多联式空调（热泵）机组（制冷量≤ 14000W）</w:t>
            </w:r>
          </w:p>
        </w:tc>
        <w:tc>
          <w:tcPr>
            <w:tcW w:w="4540" w:type="dxa"/>
            <w:tcBorders>
              <w:top w:val="single" w:color="auto" w:sz="4" w:space="0"/>
              <w:left w:val="single" w:color="auto" w:sz="4" w:space="0"/>
              <w:bottom w:val="single" w:color="auto" w:sz="4" w:space="0"/>
              <w:right w:val="single" w:color="auto" w:sz="4" w:space="0"/>
            </w:tcBorders>
            <w:vAlign w:val="center"/>
          </w:tcPr>
          <w:p w14:paraId="5082D57D">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《多联式空调（热泵）机组能效限定值及能源效率等级》（GB21454）</w:t>
            </w:r>
          </w:p>
        </w:tc>
      </w:tr>
      <w:tr w14:paraId="1B9B206B">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876475">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7B37C3">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EC5DD4">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6D6B0C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单元式空气调节机(制冷量≤14000W)</w:t>
            </w:r>
          </w:p>
        </w:tc>
        <w:tc>
          <w:tcPr>
            <w:tcW w:w="4540" w:type="dxa"/>
            <w:tcBorders>
              <w:top w:val="single" w:color="auto" w:sz="4" w:space="0"/>
              <w:left w:val="single" w:color="auto" w:sz="4" w:space="0"/>
              <w:bottom w:val="single" w:color="auto" w:sz="4" w:space="0"/>
              <w:right w:val="single" w:color="auto" w:sz="4" w:space="0"/>
            </w:tcBorders>
            <w:vAlign w:val="center"/>
          </w:tcPr>
          <w:p w14:paraId="7A860746">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《单元式空气调节机能效限定值及能源效率等级》（GB19576）《风管送风式空调机组能效限定值及能效等级》（GB37479）</w:t>
            </w:r>
          </w:p>
        </w:tc>
      </w:tr>
      <w:tr w14:paraId="36C95BF0">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DBFBA1">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3399BC">
            <w:pPr>
              <w:widowControl/>
              <w:jc w:val="left"/>
              <w:rPr>
                <w:rFonts w:hint="eastAsia"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F99D45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A0206180301洗衣机</w:t>
            </w:r>
          </w:p>
        </w:tc>
        <w:tc>
          <w:tcPr>
            <w:tcW w:w="1620" w:type="dxa"/>
            <w:tcBorders>
              <w:top w:val="single" w:color="auto" w:sz="4" w:space="0"/>
              <w:left w:val="single" w:color="auto" w:sz="4" w:space="0"/>
              <w:bottom w:val="single" w:color="auto" w:sz="4" w:space="0"/>
              <w:right w:val="single" w:color="auto" w:sz="4" w:space="0"/>
            </w:tcBorders>
            <w:vAlign w:val="center"/>
          </w:tcPr>
          <w:p w14:paraId="72F8F3B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2A60A3AA">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《电动洗衣机能效水效限定值及等级》（GB12021.4）</w:t>
            </w:r>
          </w:p>
        </w:tc>
      </w:tr>
      <w:tr w14:paraId="42C1C0BF">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12F985">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9FB267">
            <w:pPr>
              <w:widowControl/>
              <w:jc w:val="left"/>
              <w:rPr>
                <w:rFonts w:hint="eastAsia" w:ascii="宋体" w:hAnsi="宋体" w:cs="宋体"/>
                <w:color w:val="auto"/>
                <w:kern w:val="0"/>
                <w:sz w:val="24"/>
                <w:highlight w:val="none"/>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5DE1CD8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A02061808热水器</w:t>
            </w:r>
          </w:p>
        </w:tc>
        <w:tc>
          <w:tcPr>
            <w:tcW w:w="1620" w:type="dxa"/>
            <w:tcBorders>
              <w:top w:val="single" w:color="auto" w:sz="4" w:space="0"/>
              <w:left w:val="single" w:color="auto" w:sz="4" w:space="0"/>
              <w:bottom w:val="single" w:color="auto" w:sz="4" w:space="0"/>
              <w:right w:val="single" w:color="auto" w:sz="4" w:space="0"/>
            </w:tcBorders>
            <w:vAlign w:val="center"/>
          </w:tcPr>
          <w:p w14:paraId="11AFF2E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★电热水器</w:t>
            </w:r>
          </w:p>
        </w:tc>
        <w:tc>
          <w:tcPr>
            <w:tcW w:w="4540" w:type="dxa"/>
            <w:tcBorders>
              <w:top w:val="single" w:color="auto" w:sz="4" w:space="0"/>
              <w:left w:val="single" w:color="auto" w:sz="4" w:space="0"/>
              <w:bottom w:val="single" w:color="auto" w:sz="4" w:space="0"/>
              <w:right w:val="single" w:color="auto" w:sz="4" w:space="0"/>
            </w:tcBorders>
            <w:vAlign w:val="center"/>
          </w:tcPr>
          <w:p w14:paraId="05377157">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《储水式电热水器能效限定值及能效等级》（GB21519）</w:t>
            </w:r>
          </w:p>
        </w:tc>
      </w:tr>
      <w:tr w14:paraId="033D05E5">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E97FF7">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98A74C6">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8C9CF3">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AC8FC34">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燃气热水器</w:t>
            </w:r>
          </w:p>
        </w:tc>
        <w:tc>
          <w:tcPr>
            <w:tcW w:w="4540" w:type="dxa"/>
            <w:tcBorders>
              <w:top w:val="single" w:color="auto" w:sz="4" w:space="0"/>
              <w:left w:val="single" w:color="auto" w:sz="4" w:space="0"/>
              <w:bottom w:val="single" w:color="auto" w:sz="4" w:space="0"/>
              <w:right w:val="single" w:color="auto" w:sz="4" w:space="0"/>
            </w:tcBorders>
            <w:vAlign w:val="center"/>
          </w:tcPr>
          <w:p w14:paraId="21DF994D">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《家用燃气快速热水器和燃气采暖热水炉能效限定值及能效等级》（GB20665）</w:t>
            </w:r>
          </w:p>
        </w:tc>
      </w:tr>
      <w:tr w14:paraId="44AB10DB">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C8062">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DACC663">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FC72E4">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73FFB3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热泵热水器</w:t>
            </w:r>
          </w:p>
        </w:tc>
        <w:tc>
          <w:tcPr>
            <w:tcW w:w="4540" w:type="dxa"/>
            <w:tcBorders>
              <w:top w:val="single" w:color="auto" w:sz="4" w:space="0"/>
              <w:left w:val="single" w:color="auto" w:sz="4" w:space="0"/>
              <w:bottom w:val="single" w:color="auto" w:sz="4" w:space="0"/>
              <w:right w:val="single" w:color="auto" w:sz="4" w:space="0"/>
            </w:tcBorders>
            <w:vAlign w:val="center"/>
          </w:tcPr>
          <w:p w14:paraId="27DA0168">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《热泵热水机（器）能效限定值及能效等级》（GB29541）</w:t>
            </w:r>
          </w:p>
        </w:tc>
      </w:tr>
      <w:tr w14:paraId="7F102559">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45BD32">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5BE3C4">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3822B5">
            <w:pPr>
              <w:widowControl/>
              <w:jc w:val="left"/>
              <w:rPr>
                <w:rFonts w:hint="eastAsia"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F7D07F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太阳能热水系统</w:t>
            </w:r>
          </w:p>
        </w:tc>
        <w:tc>
          <w:tcPr>
            <w:tcW w:w="4540" w:type="dxa"/>
            <w:tcBorders>
              <w:top w:val="single" w:color="auto" w:sz="4" w:space="0"/>
              <w:left w:val="single" w:color="auto" w:sz="4" w:space="0"/>
              <w:bottom w:val="single" w:color="auto" w:sz="4" w:space="0"/>
              <w:right w:val="single" w:color="auto" w:sz="4" w:space="0"/>
            </w:tcBorders>
            <w:vAlign w:val="center"/>
          </w:tcPr>
          <w:p w14:paraId="78000F47">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《家用太阳能热水系统能效限定值及能效等级》（GB26969）</w:t>
            </w:r>
          </w:p>
        </w:tc>
      </w:tr>
      <w:tr w14:paraId="2DF7FCF9">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4B02954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11</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CF458E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A020619照明设备</w:t>
            </w:r>
          </w:p>
        </w:tc>
        <w:tc>
          <w:tcPr>
            <w:tcW w:w="1320" w:type="dxa"/>
            <w:tcBorders>
              <w:top w:val="single" w:color="auto" w:sz="4" w:space="0"/>
              <w:left w:val="single" w:color="auto" w:sz="4" w:space="0"/>
              <w:bottom w:val="single" w:color="auto" w:sz="4" w:space="0"/>
              <w:right w:val="single" w:color="auto" w:sz="4" w:space="0"/>
            </w:tcBorders>
            <w:vAlign w:val="center"/>
          </w:tcPr>
          <w:p w14:paraId="292E5BD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★普通照明用双端荧光灯</w:t>
            </w:r>
          </w:p>
        </w:tc>
        <w:tc>
          <w:tcPr>
            <w:tcW w:w="1620" w:type="dxa"/>
            <w:tcBorders>
              <w:top w:val="single" w:color="auto" w:sz="4" w:space="0"/>
              <w:left w:val="single" w:color="auto" w:sz="4" w:space="0"/>
              <w:bottom w:val="single" w:color="auto" w:sz="4" w:space="0"/>
              <w:right w:val="single" w:color="auto" w:sz="4" w:space="0"/>
            </w:tcBorders>
            <w:vAlign w:val="center"/>
          </w:tcPr>
          <w:p w14:paraId="64498E9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0066EBA4">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《普通照明用双端荧光灯能效限定值及能效等级》（GB19043）</w:t>
            </w:r>
          </w:p>
        </w:tc>
      </w:tr>
      <w:tr w14:paraId="68159E8A">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9F7532">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0B6AAF">
            <w:pPr>
              <w:widowControl/>
              <w:jc w:val="left"/>
              <w:rPr>
                <w:rFonts w:hint="eastAsia"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7F408C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LED道路/隧道照明产品</w:t>
            </w:r>
          </w:p>
        </w:tc>
        <w:tc>
          <w:tcPr>
            <w:tcW w:w="1620" w:type="dxa"/>
            <w:tcBorders>
              <w:top w:val="single" w:color="auto" w:sz="4" w:space="0"/>
              <w:left w:val="single" w:color="auto" w:sz="4" w:space="0"/>
              <w:bottom w:val="single" w:color="auto" w:sz="4" w:space="0"/>
              <w:right w:val="single" w:color="auto" w:sz="4" w:space="0"/>
            </w:tcBorders>
            <w:vAlign w:val="center"/>
          </w:tcPr>
          <w:p w14:paraId="4927273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24F20470">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《道路和隧道照明用LED灯具能效限定值及能效等级》（GB37478）</w:t>
            </w:r>
          </w:p>
        </w:tc>
      </w:tr>
      <w:tr w14:paraId="61102C08">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D4884C4">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896722">
            <w:pPr>
              <w:widowControl/>
              <w:jc w:val="left"/>
              <w:rPr>
                <w:rFonts w:hint="eastAsia"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05D43F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LED筒灯</w:t>
            </w:r>
          </w:p>
        </w:tc>
        <w:tc>
          <w:tcPr>
            <w:tcW w:w="1620" w:type="dxa"/>
            <w:tcBorders>
              <w:top w:val="single" w:color="auto" w:sz="4" w:space="0"/>
              <w:left w:val="single" w:color="auto" w:sz="4" w:space="0"/>
              <w:bottom w:val="single" w:color="auto" w:sz="4" w:space="0"/>
              <w:right w:val="single" w:color="auto" w:sz="4" w:space="0"/>
            </w:tcBorders>
            <w:vAlign w:val="center"/>
          </w:tcPr>
          <w:p w14:paraId="1DE9EB0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111A202F">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《室内照明用LED产品能效限定值及能效等级》（GB30255）</w:t>
            </w:r>
          </w:p>
        </w:tc>
      </w:tr>
      <w:tr w14:paraId="40E4B0F4">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979E83">
            <w:pPr>
              <w:widowControl/>
              <w:jc w:val="left"/>
              <w:rPr>
                <w:rFonts w:hint="eastAsia"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2A1D33">
            <w:pPr>
              <w:widowControl/>
              <w:jc w:val="left"/>
              <w:rPr>
                <w:rFonts w:hint="eastAsia"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E1981E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普通照明用非定向自镇流LED灯</w:t>
            </w:r>
          </w:p>
        </w:tc>
        <w:tc>
          <w:tcPr>
            <w:tcW w:w="1620" w:type="dxa"/>
            <w:tcBorders>
              <w:top w:val="single" w:color="auto" w:sz="4" w:space="0"/>
              <w:left w:val="single" w:color="auto" w:sz="4" w:space="0"/>
              <w:bottom w:val="single" w:color="auto" w:sz="4" w:space="0"/>
              <w:right w:val="single" w:color="auto" w:sz="4" w:space="0"/>
            </w:tcBorders>
            <w:vAlign w:val="center"/>
          </w:tcPr>
          <w:p w14:paraId="480A84F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184F19FB">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《室内照明用LED产品能效限定值及能效等级》（GB30255）</w:t>
            </w:r>
          </w:p>
        </w:tc>
      </w:tr>
      <w:tr w14:paraId="03DD4526">
        <w:tblPrEx>
          <w:tblCellMar>
            <w:top w:w="0" w:type="dxa"/>
            <w:left w:w="108" w:type="dxa"/>
            <w:bottom w:w="0" w:type="dxa"/>
            <w:right w:w="108" w:type="dxa"/>
          </w:tblCellMar>
        </w:tblPrEx>
        <w:trPr>
          <w:trHeight w:val="735" w:hRule="atLeast"/>
        </w:trPr>
        <w:tc>
          <w:tcPr>
            <w:tcW w:w="660" w:type="dxa"/>
            <w:tcBorders>
              <w:top w:val="single" w:color="auto" w:sz="4" w:space="0"/>
              <w:left w:val="single" w:color="auto" w:sz="4" w:space="0"/>
              <w:bottom w:val="single" w:color="auto" w:sz="4" w:space="0"/>
              <w:right w:val="single" w:color="auto" w:sz="4" w:space="0"/>
            </w:tcBorders>
            <w:vAlign w:val="center"/>
          </w:tcPr>
          <w:p w14:paraId="09336F7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12</w:t>
            </w:r>
          </w:p>
        </w:tc>
        <w:tc>
          <w:tcPr>
            <w:tcW w:w="1080" w:type="dxa"/>
            <w:tcBorders>
              <w:top w:val="single" w:color="auto" w:sz="4" w:space="0"/>
              <w:left w:val="single" w:color="auto" w:sz="4" w:space="0"/>
              <w:bottom w:val="single" w:color="auto" w:sz="4" w:space="0"/>
              <w:right w:val="single" w:color="auto" w:sz="4" w:space="0"/>
            </w:tcBorders>
            <w:vAlign w:val="center"/>
          </w:tcPr>
          <w:p w14:paraId="3693E6E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★A020910电视设备</w:t>
            </w:r>
          </w:p>
        </w:tc>
        <w:tc>
          <w:tcPr>
            <w:tcW w:w="1320" w:type="dxa"/>
            <w:tcBorders>
              <w:top w:val="single" w:color="auto" w:sz="4" w:space="0"/>
              <w:left w:val="single" w:color="auto" w:sz="4" w:space="0"/>
              <w:bottom w:val="single" w:color="auto" w:sz="4" w:space="0"/>
              <w:right w:val="single" w:color="auto" w:sz="4" w:space="0"/>
            </w:tcBorders>
            <w:vAlign w:val="center"/>
          </w:tcPr>
          <w:p w14:paraId="232EBFB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A02091001普通电视设备（电视机）</w:t>
            </w:r>
          </w:p>
        </w:tc>
        <w:tc>
          <w:tcPr>
            <w:tcW w:w="1620" w:type="dxa"/>
            <w:tcBorders>
              <w:top w:val="single" w:color="auto" w:sz="4" w:space="0"/>
              <w:left w:val="single" w:color="auto" w:sz="4" w:space="0"/>
              <w:bottom w:val="single" w:color="auto" w:sz="4" w:space="0"/>
              <w:right w:val="single" w:color="auto" w:sz="4" w:space="0"/>
            </w:tcBorders>
            <w:vAlign w:val="center"/>
          </w:tcPr>
          <w:p w14:paraId="1F83669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07C365A2">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《平板电视能效限定值及能效等级》（GB24850）</w:t>
            </w:r>
          </w:p>
        </w:tc>
      </w:tr>
      <w:tr w14:paraId="0D79B833">
        <w:tblPrEx>
          <w:tblCellMar>
            <w:top w:w="0" w:type="dxa"/>
            <w:left w:w="108" w:type="dxa"/>
            <w:bottom w:w="0" w:type="dxa"/>
            <w:right w:w="108" w:type="dxa"/>
          </w:tblCellMar>
        </w:tblPrEx>
        <w:trPr>
          <w:trHeight w:val="975" w:hRule="atLeast"/>
        </w:trPr>
        <w:tc>
          <w:tcPr>
            <w:tcW w:w="660" w:type="dxa"/>
            <w:tcBorders>
              <w:top w:val="single" w:color="auto" w:sz="4" w:space="0"/>
              <w:left w:val="single" w:color="auto" w:sz="4" w:space="0"/>
              <w:bottom w:val="single" w:color="auto" w:sz="4" w:space="0"/>
              <w:right w:val="single" w:color="auto" w:sz="4" w:space="0"/>
            </w:tcBorders>
            <w:vAlign w:val="center"/>
          </w:tcPr>
          <w:p w14:paraId="47FD836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13</w:t>
            </w:r>
          </w:p>
        </w:tc>
        <w:tc>
          <w:tcPr>
            <w:tcW w:w="1080" w:type="dxa"/>
            <w:tcBorders>
              <w:top w:val="single" w:color="auto" w:sz="4" w:space="0"/>
              <w:left w:val="single" w:color="auto" w:sz="4" w:space="0"/>
              <w:bottom w:val="single" w:color="auto" w:sz="4" w:space="0"/>
              <w:right w:val="single" w:color="auto" w:sz="4" w:space="0"/>
            </w:tcBorders>
            <w:vAlign w:val="center"/>
          </w:tcPr>
          <w:p w14:paraId="143748F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★A020911视频设备</w:t>
            </w:r>
          </w:p>
        </w:tc>
        <w:tc>
          <w:tcPr>
            <w:tcW w:w="1320" w:type="dxa"/>
            <w:tcBorders>
              <w:top w:val="single" w:color="auto" w:sz="4" w:space="0"/>
              <w:left w:val="single" w:color="auto" w:sz="4" w:space="0"/>
              <w:bottom w:val="single" w:color="auto" w:sz="4" w:space="0"/>
              <w:right w:val="single" w:color="auto" w:sz="4" w:space="0"/>
            </w:tcBorders>
            <w:vAlign w:val="center"/>
          </w:tcPr>
          <w:p w14:paraId="5306844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A02091107视频监控设备</w:t>
            </w:r>
          </w:p>
        </w:tc>
        <w:tc>
          <w:tcPr>
            <w:tcW w:w="1620" w:type="dxa"/>
            <w:tcBorders>
              <w:top w:val="single" w:color="auto" w:sz="4" w:space="0"/>
              <w:left w:val="single" w:color="auto" w:sz="4" w:space="0"/>
              <w:bottom w:val="single" w:color="auto" w:sz="4" w:space="0"/>
              <w:right w:val="single" w:color="auto" w:sz="4" w:space="0"/>
            </w:tcBorders>
            <w:vAlign w:val="center"/>
          </w:tcPr>
          <w:p w14:paraId="2B87D0B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监视器</w:t>
            </w:r>
          </w:p>
        </w:tc>
        <w:tc>
          <w:tcPr>
            <w:tcW w:w="4540" w:type="dxa"/>
            <w:tcBorders>
              <w:top w:val="single" w:color="auto" w:sz="4" w:space="0"/>
              <w:left w:val="single" w:color="auto" w:sz="4" w:space="0"/>
              <w:bottom w:val="single" w:color="auto" w:sz="4" w:space="0"/>
              <w:right w:val="single" w:color="auto" w:sz="4" w:space="0"/>
            </w:tcBorders>
            <w:vAlign w:val="center"/>
          </w:tcPr>
          <w:p w14:paraId="110DCD0B">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141D045F">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8" w:space="0"/>
              <w:bottom w:val="single" w:color="auto" w:sz="8" w:space="0"/>
              <w:right w:val="single" w:color="auto" w:sz="8" w:space="0"/>
            </w:tcBorders>
            <w:vAlign w:val="center"/>
          </w:tcPr>
          <w:p w14:paraId="4DC2702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14</w:t>
            </w:r>
          </w:p>
        </w:tc>
        <w:tc>
          <w:tcPr>
            <w:tcW w:w="1080" w:type="dxa"/>
            <w:tcBorders>
              <w:top w:val="single" w:color="auto" w:sz="4" w:space="0"/>
              <w:left w:val="nil"/>
              <w:bottom w:val="single" w:color="auto" w:sz="8" w:space="0"/>
              <w:right w:val="single" w:color="auto" w:sz="8" w:space="0"/>
            </w:tcBorders>
            <w:vAlign w:val="center"/>
          </w:tcPr>
          <w:p w14:paraId="4436FBD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A031210饮食炊事机械</w:t>
            </w:r>
          </w:p>
        </w:tc>
        <w:tc>
          <w:tcPr>
            <w:tcW w:w="1320" w:type="dxa"/>
            <w:tcBorders>
              <w:top w:val="single" w:color="auto" w:sz="4" w:space="0"/>
              <w:left w:val="nil"/>
              <w:bottom w:val="single" w:color="auto" w:sz="8" w:space="0"/>
              <w:right w:val="single" w:color="auto" w:sz="8" w:space="0"/>
            </w:tcBorders>
            <w:vAlign w:val="center"/>
          </w:tcPr>
          <w:p w14:paraId="0906B59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商用燃气灶具</w:t>
            </w:r>
          </w:p>
        </w:tc>
        <w:tc>
          <w:tcPr>
            <w:tcW w:w="1620" w:type="dxa"/>
            <w:tcBorders>
              <w:top w:val="single" w:color="auto" w:sz="4" w:space="0"/>
              <w:left w:val="nil"/>
              <w:bottom w:val="single" w:color="auto" w:sz="8" w:space="0"/>
              <w:right w:val="single" w:color="auto" w:sz="8" w:space="0"/>
            </w:tcBorders>
            <w:vAlign w:val="center"/>
          </w:tcPr>
          <w:p w14:paraId="43152AE4">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nil"/>
              <w:bottom w:val="single" w:color="auto" w:sz="8" w:space="0"/>
              <w:right w:val="single" w:color="auto" w:sz="8" w:space="0"/>
            </w:tcBorders>
            <w:vAlign w:val="center"/>
          </w:tcPr>
          <w:p w14:paraId="3CA5C5CA">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《商用燃气灶具能效限定值及能效等级》（GB30531）</w:t>
            </w:r>
          </w:p>
        </w:tc>
      </w:tr>
      <w:tr w14:paraId="74F48D72">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vAlign w:val="center"/>
          </w:tcPr>
          <w:p w14:paraId="711A31B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15</w:t>
            </w:r>
          </w:p>
        </w:tc>
        <w:tc>
          <w:tcPr>
            <w:tcW w:w="1080" w:type="dxa"/>
            <w:vMerge w:val="restart"/>
            <w:tcBorders>
              <w:top w:val="nil"/>
              <w:left w:val="single" w:color="auto" w:sz="8" w:space="0"/>
              <w:bottom w:val="single" w:color="000000" w:sz="8" w:space="0"/>
              <w:right w:val="single" w:color="auto" w:sz="8" w:space="0"/>
            </w:tcBorders>
            <w:vAlign w:val="center"/>
          </w:tcPr>
          <w:p w14:paraId="2AF2725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★A060805便器</w:t>
            </w:r>
          </w:p>
        </w:tc>
        <w:tc>
          <w:tcPr>
            <w:tcW w:w="1320" w:type="dxa"/>
            <w:tcBorders>
              <w:top w:val="nil"/>
              <w:left w:val="nil"/>
              <w:bottom w:val="single" w:color="auto" w:sz="8" w:space="0"/>
              <w:right w:val="single" w:color="auto" w:sz="8" w:space="0"/>
            </w:tcBorders>
            <w:vAlign w:val="center"/>
          </w:tcPr>
          <w:p w14:paraId="6BC32DE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坐便器</w:t>
            </w:r>
          </w:p>
        </w:tc>
        <w:tc>
          <w:tcPr>
            <w:tcW w:w="1620" w:type="dxa"/>
            <w:tcBorders>
              <w:top w:val="nil"/>
              <w:left w:val="nil"/>
              <w:bottom w:val="single" w:color="auto" w:sz="8" w:space="0"/>
              <w:right w:val="single" w:color="auto" w:sz="8" w:space="0"/>
            </w:tcBorders>
            <w:vAlign w:val="center"/>
          </w:tcPr>
          <w:p w14:paraId="43A73CE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8" w:space="0"/>
              <w:right w:val="single" w:color="auto" w:sz="8" w:space="0"/>
            </w:tcBorders>
            <w:vAlign w:val="center"/>
          </w:tcPr>
          <w:p w14:paraId="23F0403E">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《坐便器水效限定值及水效等级》（GB25502）</w:t>
            </w:r>
          </w:p>
        </w:tc>
      </w:tr>
      <w:tr w14:paraId="1ABFB0D6">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5132DE65">
            <w:pPr>
              <w:widowControl/>
              <w:jc w:val="left"/>
              <w:rPr>
                <w:rFonts w:hint="eastAsia" w:ascii="宋体" w:hAnsi="宋体" w:cs="宋体"/>
                <w:color w:val="auto"/>
                <w:kern w:val="0"/>
                <w:sz w:val="24"/>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562971B5">
            <w:pPr>
              <w:widowControl/>
              <w:jc w:val="left"/>
              <w:rPr>
                <w:rFonts w:hint="eastAsia" w:ascii="宋体" w:hAnsi="宋体" w:cs="宋体"/>
                <w:color w:val="auto"/>
                <w:kern w:val="0"/>
                <w:sz w:val="24"/>
                <w:highlight w:val="none"/>
              </w:rPr>
            </w:pPr>
          </w:p>
        </w:tc>
        <w:tc>
          <w:tcPr>
            <w:tcW w:w="1320" w:type="dxa"/>
            <w:tcBorders>
              <w:top w:val="nil"/>
              <w:left w:val="nil"/>
              <w:bottom w:val="single" w:color="auto" w:sz="8" w:space="0"/>
              <w:right w:val="single" w:color="auto" w:sz="8" w:space="0"/>
            </w:tcBorders>
            <w:vAlign w:val="center"/>
          </w:tcPr>
          <w:p w14:paraId="7148081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蹲便器</w:t>
            </w:r>
          </w:p>
        </w:tc>
        <w:tc>
          <w:tcPr>
            <w:tcW w:w="1620" w:type="dxa"/>
            <w:tcBorders>
              <w:top w:val="nil"/>
              <w:left w:val="nil"/>
              <w:bottom w:val="single" w:color="auto" w:sz="8" w:space="0"/>
              <w:right w:val="single" w:color="auto" w:sz="8" w:space="0"/>
            </w:tcBorders>
            <w:vAlign w:val="center"/>
          </w:tcPr>
          <w:p w14:paraId="6F1D1C5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8" w:space="0"/>
              <w:right w:val="single" w:color="auto" w:sz="8" w:space="0"/>
            </w:tcBorders>
            <w:vAlign w:val="center"/>
          </w:tcPr>
          <w:p w14:paraId="0E50D2FB">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《蹲便器用水效率限定值及用水效率等级》（GB30717）</w:t>
            </w:r>
          </w:p>
        </w:tc>
      </w:tr>
      <w:tr w14:paraId="48C8AC06">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74ABB1F7">
            <w:pPr>
              <w:widowControl/>
              <w:jc w:val="left"/>
              <w:rPr>
                <w:rFonts w:hint="eastAsia" w:ascii="宋体" w:hAnsi="宋体" w:cs="宋体"/>
                <w:color w:val="auto"/>
                <w:kern w:val="0"/>
                <w:sz w:val="24"/>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322343DA">
            <w:pPr>
              <w:widowControl/>
              <w:jc w:val="left"/>
              <w:rPr>
                <w:rFonts w:hint="eastAsia" w:ascii="宋体" w:hAnsi="宋体" w:cs="宋体"/>
                <w:color w:val="auto"/>
                <w:kern w:val="0"/>
                <w:sz w:val="24"/>
                <w:highlight w:val="none"/>
              </w:rPr>
            </w:pPr>
          </w:p>
        </w:tc>
        <w:tc>
          <w:tcPr>
            <w:tcW w:w="1320" w:type="dxa"/>
            <w:tcBorders>
              <w:top w:val="nil"/>
              <w:left w:val="nil"/>
              <w:bottom w:val="single" w:color="auto" w:sz="8" w:space="0"/>
              <w:right w:val="single" w:color="auto" w:sz="8" w:space="0"/>
            </w:tcBorders>
            <w:vAlign w:val="center"/>
          </w:tcPr>
          <w:p w14:paraId="63AA979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小便器</w:t>
            </w:r>
          </w:p>
        </w:tc>
        <w:tc>
          <w:tcPr>
            <w:tcW w:w="1620" w:type="dxa"/>
            <w:tcBorders>
              <w:top w:val="nil"/>
              <w:left w:val="nil"/>
              <w:bottom w:val="single" w:color="auto" w:sz="8" w:space="0"/>
              <w:right w:val="single" w:color="auto" w:sz="8" w:space="0"/>
            </w:tcBorders>
            <w:vAlign w:val="center"/>
          </w:tcPr>
          <w:p w14:paraId="53BDEA3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8" w:space="0"/>
              <w:right w:val="single" w:color="auto" w:sz="8" w:space="0"/>
            </w:tcBorders>
            <w:vAlign w:val="center"/>
          </w:tcPr>
          <w:p w14:paraId="12205DF5">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《小便器用水效率限定值及用水效率等级》（GB28377）</w:t>
            </w:r>
          </w:p>
        </w:tc>
      </w:tr>
      <w:tr w14:paraId="4D49443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2CD68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16</w:t>
            </w:r>
          </w:p>
        </w:tc>
        <w:tc>
          <w:tcPr>
            <w:tcW w:w="1080" w:type="dxa"/>
            <w:tcBorders>
              <w:top w:val="nil"/>
              <w:left w:val="nil"/>
              <w:bottom w:val="single" w:color="000000" w:sz="8" w:space="0"/>
              <w:right w:val="single" w:color="000000" w:sz="8" w:space="0"/>
            </w:tcBorders>
            <w:vAlign w:val="center"/>
          </w:tcPr>
          <w:p w14:paraId="792652E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★A060806水嘴</w:t>
            </w:r>
          </w:p>
        </w:tc>
        <w:tc>
          <w:tcPr>
            <w:tcW w:w="1320" w:type="dxa"/>
            <w:tcBorders>
              <w:top w:val="nil"/>
              <w:left w:val="nil"/>
              <w:bottom w:val="single" w:color="000000" w:sz="8" w:space="0"/>
              <w:right w:val="single" w:color="000000" w:sz="8" w:space="0"/>
            </w:tcBorders>
            <w:vAlign w:val="center"/>
          </w:tcPr>
          <w:p w14:paraId="4F46469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0E5C31C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63748DA1">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《水嘴用水效率限定值及用水效率等级》（GB 25501）</w:t>
            </w:r>
          </w:p>
        </w:tc>
      </w:tr>
      <w:tr w14:paraId="2A691CA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27545D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17</w:t>
            </w:r>
          </w:p>
        </w:tc>
        <w:tc>
          <w:tcPr>
            <w:tcW w:w="1080" w:type="dxa"/>
            <w:tcBorders>
              <w:top w:val="nil"/>
              <w:left w:val="nil"/>
              <w:bottom w:val="single" w:color="000000" w:sz="8" w:space="0"/>
              <w:right w:val="single" w:color="000000" w:sz="8" w:space="0"/>
            </w:tcBorders>
            <w:vAlign w:val="center"/>
          </w:tcPr>
          <w:p w14:paraId="4425E43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A060807便器冲洗阀</w:t>
            </w:r>
          </w:p>
        </w:tc>
        <w:tc>
          <w:tcPr>
            <w:tcW w:w="1320" w:type="dxa"/>
            <w:tcBorders>
              <w:top w:val="nil"/>
              <w:left w:val="nil"/>
              <w:bottom w:val="single" w:color="000000" w:sz="8" w:space="0"/>
              <w:right w:val="single" w:color="000000" w:sz="8" w:space="0"/>
            </w:tcBorders>
            <w:vAlign w:val="center"/>
          </w:tcPr>
          <w:p w14:paraId="5641CB8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793476D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64B5E795">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《便器冲洗阀用水效率限定值及用水效率等级》（GB28379）</w:t>
            </w:r>
          </w:p>
        </w:tc>
      </w:tr>
      <w:tr w14:paraId="646A1C6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1FFEE7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18</w:t>
            </w:r>
          </w:p>
        </w:tc>
        <w:tc>
          <w:tcPr>
            <w:tcW w:w="1080" w:type="dxa"/>
            <w:tcBorders>
              <w:top w:val="nil"/>
              <w:left w:val="nil"/>
              <w:bottom w:val="single" w:color="000000" w:sz="8" w:space="0"/>
              <w:right w:val="single" w:color="000000" w:sz="8" w:space="0"/>
            </w:tcBorders>
            <w:vAlign w:val="center"/>
          </w:tcPr>
          <w:p w14:paraId="4B93CE9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A060810淋浴器</w:t>
            </w:r>
          </w:p>
        </w:tc>
        <w:tc>
          <w:tcPr>
            <w:tcW w:w="1320" w:type="dxa"/>
            <w:tcBorders>
              <w:top w:val="nil"/>
              <w:left w:val="nil"/>
              <w:bottom w:val="single" w:color="000000" w:sz="8" w:space="0"/>
              <w:right w:val="single" w:color="000000" w:sz="8" w:space="0"/>
            </w:tcBorders>
            <w:vAlign w:val="center"/>
          </w:tcPr>
          <w:p w14:paraId="5CA6BA0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5C4F4C61">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52D3D3A8">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《淋浴器用水效率限定值及用水效率等级》（GB28378）</w:t>
            </w:r>
          </w:p>
        </w:tc>
      </w:tr>
    </w:tbl>
    <w:p w14:paraId="4748C5A5">
      <w:pPr>
        <w:pStyle w:val="10"/>
        <w:spacing w:line="360" w:lineRule="auto"/>
        <w:ind w:firstLine="408"/>
        <w:rPr>
          <w:rFonts w:hint="eastAsia" w:ascii="宋体" w:hAnsi="宋体" w:cs="宋体"/>
          <w:color w:val="auto"/>
          <w:highlight w:val="none"/>
        </w:rPr>
      </w:pPr>
      <w:r>
        <w:rPr>
          <w:rFonts w:hint="eastAsia" w:ascii="宋体" w:hAnsi="宋体" w:cs="宋体"/>
          <w:color w:val="auto"/>
          <w:spacing w:val="-3"/>
          <w:highlight w:val="none"/>
        </w:rPr>
        <w:t>注：1.节能产品认证应依据相关国家标准的最新版本，依据国家标准中二级能效（水效）</w:t>
      </w:r>
      <w:r>
        <w:rPr>
          <w:rFonts w:hint="eastAsia" w:ascii="宋体" w:hAnsi="宋体" w:cs="宋体"/>
          <w:color w:val="auto"/>
          <w:highlight w:val="none"/>
        </w:rPr>
        <w:t>指标。</w:t>
      </w:r>
    </w:p>
    <w:p w14:paraId="661924FA">
      <w:pPr>
        <w:pStyle w:val="10"/>
        <w:spacing w:line="360" w:lineRule="auto"/>
        <w:rPr>
          <w:rFonts w:hint="eastAsia" w:ascii="宋体" w:hAnsi="宋体" w:cs="宋体"/>
          <w:b/>
          <w:bCs/>
          <w:color w:val="auto"/>
          <w:highlight w:val="none"/>
        </w:rPr>
      </w:pPr>
      <w:r>
        <w:rPr>
          <w:rFonts w:hint="eastAsia" w:ascii="宋体" w:hAnsi="宋体" w:cs="宋体"/>
          <w:color w:val="auto"/>
          <w:highlight w:val="none"/>
        </w:rPr>
        <w:t xml:space="preserve">    2</w:t>
      </w:r>
      <w:r>
        <w:rPr>
          <w:rFonts w:hint="eastAsia" w:ascii="宋体" w:hAnsi="宋体" w:cs="宋体"/>
          <w:b/>
          <w:bCs/>
          <w:color w:val="auto"/>
          <w:highlight w:val="none"/>
        </w:rPr>
        <w:t>.以“★”标注的为政府强制采购产品。</w:t>
      </w:r>
    </w:p>
    <w:p w14:paraId="141AA305">
      <w:pPr>
        <w:pStyle w:val="14"/>
        <w:jc w:val="left"/>
        <w:rPr>
          <w:rFonts w:hint="eastAsia" w:hAnsi="宋体" w:cs="宋体"/>
          <w:color w:val="auto"/>
          <w:sz w:val="24"/>
          <w:szCs w:val="24"/>
          <w:highlight w:val="none"/>
        </w:rPr>
      </w:pPr>
      <w:r>
        <w:rPr>
          <w:rFonts w:hint="eastAsia" w:hAnsi="宋体" w:cs="宋体"/>
          <w:color w:val="auto"/>
          <w:sz w:val="24"/>
          <w:szCs w:val="24"/>
          <w:highlight w:val="none"/>
        </w:rPr>
        <w:t>附件2：</w:t>
      </w:r>
    </w:p>
    <w:p w14:paraId="1FC7A95E">
      <w:pPr>
        <w:spacing w:line="528" w:lineRule="exact"/>
        <w:ind w:left="22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27"/>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6D259D7E">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5B99D3B3">
            <w:pPr>
              <w:widowControl/>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6CD75712">
            <w:pPr>
              <w:widowControl/>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4BADED23">
            <w:pPr>
              <w:widowControl/>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76614534">
            <w:pPr>
              <w:widowControl/>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30AD1142">
            <w:pPr>
              <w:widowControl/>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6FE88B97">
            <w:pPr>
              <w:widowControl/>
              <w:jc w:val="left"/>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34BF2D8C">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0E62E2BF">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5BCB27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57E2B8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4198E0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0DE638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18BD4D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55332BD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B076F2E">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72A136F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D05491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F3F5E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63EF4E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6EA8A7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44C49D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98ACA5B">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935B2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64DCE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1A741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2D40452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26E1EB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4BB3BC5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239F9E8">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340160D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B19EB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28BB03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747A11E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440F2EE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6615091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58F4E8D">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AD649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1C1C8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4A4F4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71B729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025BAA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11153B1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E73954F">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5C63F36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76EC91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A384C5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2D514FD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44C0253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43F1EF1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722F288">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ABB365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E4484E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F43A3E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596749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47CCE1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443F801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9B2A339">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2E0C9E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C8A35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2EE5B7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79FA102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7F692B5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34FA93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6B12CEC">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567210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442DD8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80A8E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2794FF0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7ACC21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2FAB40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7B215DB">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43C703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15A13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DAA517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2E1B4E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693B93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00CE3233">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8C95268">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079B44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E3D8DD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7A82F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1B13227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0C706CD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467D8DB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AD6AAAB">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2D21BD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9E1025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0557A8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7098F69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1B8741B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D2ABD8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8E0004E">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A67A7D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54E8E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65B09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3EB740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3FFCAC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9B59C3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A71564D">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2220402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3EF9DB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ACFBFF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4281A09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0CFCC4D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380B3DF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5EC3E2C">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19A4C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2BB986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D14B9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5355178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1184351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6C8063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C4BD26E">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2E42CF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1282DA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478383D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337B9BA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5EACF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ECA600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7649BF5">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366FF0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BD8D9B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E166B7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31611F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342CD5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EA98C5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1217FB1">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546F8D9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28759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0DF8E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7832ED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A34793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9EAD8B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32C8A85">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BDF4D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FCBF7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8E281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5717DE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0A08C8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7255EC6">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1840BF1">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1C6329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5B72D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9DAC18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2235BF5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4EBF1B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66E50A0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9EF26C8">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799B66C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68A9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61E586F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2E412A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75E7002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0DAE1364">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C5A2228">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488D72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C1CF5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C035F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175B442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87C599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FE3047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DA8EF7A">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1E5AE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ACA60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51743A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3848863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09A3FC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6D55CAB0">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E734C95">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7614B78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42CD3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590C3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28F7514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122279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1440956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9A1B572">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BA31DD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1EBB2B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CAE8B9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42FDE6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672962D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3F0073C5">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C7F1559">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5436A4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C44A08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60EF9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655C9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267534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7FE2DB2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6E27C19">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66000B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F2BA6E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7EE9DD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4D5B29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5D5A6E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33F1CA2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C3E5464">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68C6C4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6D6F75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E067B2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74EF2C0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1EEB2A6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D3CA0CF">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66217EBB">
            <w:pPr>
              <w:widowControl/>
              <w:jc w:val="left"/>
              <w:rPr>
                <w:rFonts w:hint="eastAsia"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BAC87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31D2959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4B54E3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661F46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453EB0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EF36C12">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052B66BC">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527DC6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C41DCF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63601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60D207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4454AD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2A2BFBED">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463D965">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6EC748D">
      <w:pPr>
        <w:spacing w:line="360" w:lineRule="auto"/>
        <w:ind w:firstLine="600" w:firstLineChars="250"/>
        <w:rPr>
          <w:rFonts w:hint="eastAsia" w:ascii="宋体" w:hAnsi="宋体" w:cs="宋体"/>
          <w:color w:val="auto"/>
          <w:sz w:val="24"/>
          <w:highlight w:val="none"/>
        </w:rPr>
      </w:pPr>
      <w:bookmarkStart w:id="33" w:name="_Toc5080"/>
      <w:r>
        <w:rPr>
          <w:rFonts w:hint="eastAsia" w:ascii="宋体" w:hAnsi="宋体" w:cs="宋体"/>
          <w:color w:val="auto"/>
          <w:sz w:val="24"/>
          <w:highlight w:val="none"/>
        </w:rPr>
        <w:br w:type="page"/>
      </w:r>
    </w:p>
    <w:p w14:paraId="558E6C42">
      <w:pPr>
        <w:pStyle w:val="2"/>
        <w:spacing w:before="0" w:after="0" w:line="360" w:lineRule="auto"/>
        <w:ind w:firstLine="883"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 xml:space="preserve">第四章  </w:t>
      </w:r>
      <w:bookmarkEnd w:id="32"/>
      <w:bookmarkEnd w:id="33"/>
      <w:r>
        <w:rPr>
          <w:rFonts w:hint="eastAsia" w:ascii="宋体" w:hAnsi="宋体" w:cs="宋体"/>
          <w:color w:val="auto"/>
          <w:highlight w:val="none"/>
          <w:lang w:eastAsia="zh-CN"/>
        </w:rPr>
        <w:t>评审程序、评审方法和成交标准</w:t>
      </w:r>
    </w:p>
    <w:p w14:paraId="27C5F385">
      <w:pPr>
        <w:spacing w:line="360" w:lineRule="auto"/>
        <w:rPr>
          <w:rFonts w:hint="eastAsia" w:ascii="宋体" w:hAnsi="宋体" w:cs="宋体"/>
          <w:b/>
          <w:color w:val="auto"/>
          <w:sz w:val="32"/>
          <w:szCs w:val="32"/>
          <w:highlight w:val="none"/>
        </w:rPr>
      </w:pPr>
    </w:p>
    <w:p w14:paraId="1DCE3885">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36585F25">
      <w:pPr>
        <w:spacing w:line="360" w:lineRule="auto"/>
        <w:ind w:firstLine="482" w:firstLineChars="200"/>
        <w:rPr>
          <w:rFonts w:hint="eastAsia" w:ascii="宋体" w:hAnsi="宋体" w:cs="宋体"/>
          <w:b/>
          <w:bCs/>
          <w:color w:val="auto"/>
          <w:sz w:val="24"/>
          <w:highlight w:val="none"/>
        </w:rPr>
      </w:pPr>
    </w:p>
    <w:p w14:paraId="7353854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1.确认谈判文件</w:t>
      </w:r>
    </w:p>
    <w:p w14:paraId="3B69497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由谈判小组确认谈判文件。</w:t>
      </w:r>
    </w:p>
    <w:p w14:paraId="1A84257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2.资格审查</w:t>
      </w:r>
    </w:p>
    <w:p w14:paraId="24B5DCE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2.1响应文件开启后，谈判小组依法对供应商的资格证明文件进行审查。</w:t>
      </w:r>
    </w:p>
    <w:p w14:paraId="232DACD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（1）查询渠道：“信用中国”网站（www.creditchina.gov.cn）、中国执行信息公开网（https://zxgk.court.gov.cn/shixin/）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 xml:space="preserve">） </w:t>
      </w:r>
    </w:p>
    <w:p w14:paraId="65B144A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4976E10C">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4F0AD6BA">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信用信息使用规则：信用信息使用规则：根据财政部《关于在政府采购活动中查询及使用信用记录有关问题的通知》（财库〔2016〕125号）的规定，对在“信用中国”网站(https://www.creditchina.gov.cn/)被列入重大税收违法失信主体、严重失信主体名单以及“中国执行信息公开网”（https://zxgk.court.gov.cn/shixin/）列入失信被执行人及“中国政府釆购网”（www. ccgp. gov. cn） 被列入政府釆购严重违法失信行为记录名单及其他不符合《中华人民共和国政府采购法》第二十二条规定条件的供应商，不得参与政府采购活动。</w:t>
      </w:r>
    </w:p>
    <w:p w14:paraId="6A342B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2.2资格审查标准为本谈判文件中载明对供应商资格要求的条件。本项目资格审查采用合格制，凡符合谈判文件规定的供应商资格要求的供应商均通过资格审查。</w:t>
      </w:r>
    </w:p>
    <w:p w14:paraId="183541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供应商有下列情形之一的，资格审查不通过，其响应文件按无效响应处理：</w:t>
      </w:r>
    </w:p>
    <w:p w14:paraId="38D4297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（1）不具备谈判文件中规定的资格要求的；</w:t>
      </w:r>
    </w:p>
    <w:p w14:paraId="701DA0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（2）响应文件中的资格证明文件缺少任一项“供应商须知前附表”资格证明文件规定的“必须提供”的文件资料的；</w:t>
      </w:r>
    </w:p>
    <w:p w14:paraId="6DA32AA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144192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001418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2.4通过资格审查的合格供应商不足3家的，不得进入符合性审查环节，应当重新开展采购活动。</w:t>
      </w:r>
    </w:p>
    <w:p w14:paraId="4451D9A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3.符合性审查</w:t>
      </w:r>
    </w:p>
    <w:p w14:paraId="7A22AC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3.1由谈判小组对资格审查的合格的供应商的响应文件进行竞标报价、商务、技术等实质性要求符合性审查，以确定其是否满足谈判文件的实质性要求。</w:t>
      </w:r>
    </w:p>
    <w:p w14:paraId="6A8EB6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96C49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供应商公章。</w:t>
      </w:r>
    </w:p>
    <w:p w14:paraId="749399D1">
      <w:pPr>
        <w:spacing w:line="360" w:lineRule="auto"/>
        <w:ind w:firstLine="456" w:firstLineChars="200"/>
        <w:rPr>
          <w:rFonts w:hint="eastAsia"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 xml:space="preserve">首次响应文件报价出现前后不一致的，按照下列规定修正： </w:t>
      </w:r>
    </w:p>
    <w:p w14:paraId="6592E3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76E3CB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04393B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7E3A0B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53C63E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50A0A0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3.5商务技术、报价评审</w:t>
      </w:r>
    </w:p>
    <w:p w14:paraId="0F86D0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767A2E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（1）商务技术评审</w:t>
      </w:r>
    </w:p>
    <w:p w14:paraId="0129BC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1）响应文件未按谈判文件要求签署、盖章的；</w:t>
      </w:r>
    </w:p>
    <w:p w14:paraId="066BDF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6331495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3）提交的竞标保证金无效的或者未按照谈判文件的规定提交竞标保证金；</w:t>
      </w:r>
    </w:p>
    <w:p w14:paraId="6596A7B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4）响应文件中的商务技术文件出现任一项不符合“供应商须知前附表”中“必须提供”或者“委托时必须提供”文件资料要求的规定或者提供的商务技术文件无效。</w:t>
      </w:r>
    </w:p>
    <w:p w14:paraId="6656B9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4C8577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6）未对竞标有效期作出响应或者响应文件承诺的竞标有效期不满足谈判文件要求；</w:t>
      </w:r>
    </w:p>
    <w:p w14:paraId="166857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7）响应文件的实质性内容未使用中文表述、使用计量单位不符合谈判文件要求的；</w:t>
      </w:r>
    </w:p>
    <w:p w14:paraId="123251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8）响应文件中的文件资料因填写不齐全或者内容虚假或者出现其他情形而导致被谈判小组认定无效的；</w:t>
      </w:r>
    </w:p>
    <w:p w14:paraId="7F5E13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9）响应文件含有采购人不能接受的附加条件的；</w:t>
      </w:r>
    </w:p>
    <w:p w14:paraId="6A7D64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10）属于“供应商须知正文”第7.</w:t>
      </w:r>
      <w:r>
        <w:rPr>
          <w:rFonts w:ascii="宋体" w:hAnsi="宋体" w:cs="宋体"/>
          <w:color w:val="auto"/>
          <w:sz w:val="24"/>
          <w:highlight w:val="none"/>
        </w:rPr>
        <w:t>4</w:t>
      </w:r>
      <w:r>
        <w:rPr>
          <w:rFonts w:hint="eastAsia" w:ascii="宋体" w:hAnsi="宋体" w:cs="宋体"/>
          <w:color w:val="auto"/>
          <w:sz w:val="24"/>
          <w:highlight w:val="none"/>
        </w:rPr>
        <w:t>条的情形的；</w:t>
      </w:r>
    </w:p>
    <w:p w14:paraId="2B295F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11）技术要求中标“▲”的条款发生负偏离或者允许负偏离的条款数超过“供应商须知前附表”规定项数的；</w:t>
      </w:r>
    </w:p>
    <w:p w14:paraId="4560C9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12）虚假竞标，或者出现其他情形而导致被谈判小组认定无效的；</w:t>
      </w:r>
    </w:p>
    <w:p w14:paraId="0E5DBD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w:t>
      </w:r>
      <w:bookmarkStart w:id="34" w:name="_Hlk71704147"/>
      <w:r>
        <w:rPr>
          <w:rFonts w:hint="eastAsia" w:ascii="宋体" w:hAnsi="宋体" w:cs="宋体"/>
          <w:color w:val="auto"/>
          <w:sz w:val="24"/>
          <w:highlight w:val="none"/>
        </w:rPr>
        <w:t>谈判文件未载明允许提供备选（替代）竞标方案或明确不允许提供备选（替代）竞标方案时，供应商提供了备选（替代）竞标方案的；</w:t>
      </w:r>
      <w:bookmarkEnd w:id="34"/>
    </w:p>
    <w:p w14:paraId="56B74D9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14）响应文件标注的项目名称或者项目编号与谈判文件标注的项目名称或者项目编号不一致的；</w:t>
      </w:r>
    </w:p>
    <w:p w14:paraId="7FFC9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w:t>
      </w:r>
      <w:r>
        <w:rPr>
          <w:rFonts w:hint="eastAsia" w:ascii="宋体" w:hAnsi="宋体" w:cs="宋体"/>
          <w:b/>
          <w:color w:val="auto"/>
          <w:sz w:val="24"/>
          <w:highlight w:val="none"/>
        </w:rPr>
        <w:t>谈判文件明确不允许分包，响应文件拟分包的；</w:t>
      </w:r>
    </w:p>
    <w:p w14:paraId="20952F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16）未响应谈判文件实质性要求；</w:t>
      </w:r>
    </w:p>
    <w:p w14:paraId="1BEAAD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17）法律、法规和谈判文件规定的其他无效情形。</w:t>
      </w:r>
    </w:p>
    <w:p w14:paraId="0D711C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（2）报价评审</w:t>
      </w:r>
    </w:p>
    <w:p w14:paraId="77C127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1）响应文件未提供“供应商须知前附表” 报价文件中规定的“竞标报价表”的；</w:t>
      </w:r>
    </w:p>
    <w:p w14:paraId="1FF096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2）未采用人民币报价或者未按照谈判文件标明的币种报价的；</w:t>
      </w:r>
    </w:p>
    <w:p w14:paraId="615F92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的；供应商未就所竞标分标的单项内容作唯一报价的；供应商未就所竞标分标的全部内容作完整唯一总价报价的；供应商响应文件中存在有选择、有条件报价的（谈判文件允许有备选方案或者其他约定的除外）；</w:t>
      </w:r>
    </w:p>
    <w:p w14:paraId="4B86FD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4）竞标报价（包含首次报价、最后报价）超过所竞标分标规定的采购预算金额或者最高限价的；</w:t>
      </w:r>
    </w:p>
    <w:p w14:paraId="088435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5）竞标报价（包含首次报价、最后报价）超过分项采购预算金额或者最高限价的，其响应文件将作无效处理。</w:t>
      </w:r>
    </w:p>
    <w:p w14:paraId="751A9C5D">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）修正后的报价，供应商不确认的；或者经供应商确认修正后的最后报价超过所竞标分标规定的采购预算金额或者最高限价（如本项目公布了最高限价）；</w:t>
      </w:r>
    </w:p>
    <w:p w14:paraId="071F46B3">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）响应文件响应的标的数量及单位与竞争性谈判文件要求实质性不一致的。</w:t>
      </w:r>
    </w:p>
    <w:p w14:paraId="0E708B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）异常低价审查：</w:t>
      </w:r>
    </w:p>
    <w:p w14:paraId="1F299E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①评审中出现下列情形之一的，</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 xml:space="preserve">应当启动异常低价响应审查程序： </w:t>
      </w:r>
    </w:p>
    <w:p w14:paraId="4A3A68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a.</w:t>
      </w:r>
      <w:r>
        <w:rPr>
          <w:rFonts w:hint="eastAsia" w:ascii="宋体" w:hAnsi="宋体" w:cs="宋体"/>
          <w:color w:val="auto"/>
          <w:sz w:val="24"/>
          <w:highlight w:val="none"/>
        </w:rPr>
        <w:t xml:space="preserve">响应报价低于全部通过符合性审查供应商响应报价平均值50%的，即响应报价&lt;全部通过符合性审查供应商响应报价平均值×50%； </w:t>
      </w:r>
    </w:p>
    <w:p w14:paraId="5C6491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b.</w:t>
      </w:r>
      <w:r>
        <w:rPr>
          <w:rFonts w:hint="eastAsia" w:ascii="宋体" w:hAnsi="宋体" w:cs="宋体"/>
          <w:color w:val="auto"/>
          <w:sz w:val="24"/>
          <w:highlight w:val="none"/>
        </w:rPr>
        <w:t xml:space="preserve">响应报价低于通过符合性审查的次低报价供应商响应报价50%的，即响应报价&lt;通过符合性审查的次低报价供应商响应报价×50%； </w:t>
      </w:r>
    </w:p>
    <w:p w14:paraId="3B795F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c.</w:t>
      </w:r>
      <w:r>
        <w:rPr>
          <w:rFonts w:hint="eastAsia" w:ascii="宋体" w:hAnsi="宋体" w:cs="宋体"/>
          <w:color w:val="auto"/>
          <w:sz w:val="24"/>
          <w:highlight w:val="none"/>
        </w:rPr>
        <w:t xml:space="preserve">响应报价低于采购项目最高限价45%的，即响应报价&lt;采购项目最高限价×45%； </w:t>
      </w:r>
    </w:p>
    <w:p w14:paraId="61DA6D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 xml:space="preserve">基于专业判断，认为供应商报价过低，有可能影响产品质量或者不能诚信履约的其他情形。 </w:t>
      </w:r>
    </w:p>
    <w:p w14:paraId="02452A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相关法律法规对供应商报价有规定的，从其规定。</w:t>
      </w:r>
    </w:p>
    <w:p w14:paraId="139F444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启动异常低价响应审查后，属于前述第</w:t>
      </w:r>
      <w:r>
        <w:rPr>
          <w:rFonts w:hint="eastAsia" w:ascii="宋体" w:hAnsi="宋体" w:cs="宋体"/>
          <w:color w:val="auto"/>
          <w:sz w:val="24"/>
          <w:highlight w:val="none"/>
          <w:lang w:val="en-US" w:eastAsia="zh-CN"/>
        </w:rPr>
        <w:t>a</w:t>
      </w:r>
      <w:r>
        <w:rPr>
          <w:rFonts w:hint="eastAsia" w:ascii="宋体" w:hAnsi="宋体" w:cs="宋体"/>
          <w:color w:val="auto"/>
          <w:sz w:val="24"/>
          <w:highlight w:val="none"/>
        </w:rPr>
        <w:t>项至第</w:t>
      </w:r>
      <w:r>
        <w:rPr>
          <w:rFonts w:hint="eastAsia" w:ascii="宋体" w:hAnsi="宋体" w:cs="宋体"/>
          <w:color w:val="auto"/>
          <w:sz w:val="24"/>
          <w:highlight w:val="none"/>
          <w:lang w:val="en-US" w:eastAsia="zh-CN"/>
        </w:rPr>
        <w:t>d</w:t>
      </w:r>
      <w:r>
        <w:rPr>
          <w:rFonts w:hint="eastAsia" w:ascii="宋体" w:hAnsi="宋体" w:cs="宋体"/>
          <w:color w:val="auto"/>
          <w:sz w:val="24"/>
          <w:highlight w:val="none"/>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color w:val="auto"/>
          <w:sz w:val="24"/>
          <w:highlight w:val="none"/>
          <w:lang w:val="en-US" w:eastAsia="zh-CN"/>
        </w:rPr>
        <w:t>c</w:t>
      </w:r>
      <w:r>
        <w:rPr>
          <w:rFonts w:hint="eastAsia" w:ascii="宋体" w:hAnsi="宋体" w:cs="宋体"/>
          <w:color w:val="auto"/>
          <w:sz w:val="24"/>
          <w:highlight w:val="none"/>
        </w:rPr>
        <w:t xml:space="preserve">项情形，供应商已随响应文件一并提交相关书面说明及必要的证明材料的，在评审现场可不再重复提交。 </w:t>
      </w:r>
    </w:p>
    <w:p w14:paraId="444D747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 xml:space="preserve">应当将其作为无效响应处理。 </w:t>
      </w:r>
    </w:p>
    <w:p w14:paraId="5E88A0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采购人、采购代理机构应当为</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 xml:space="preserve">借助互联网等渠道查询相关信息的，应当严格遵守评审工作纪律，不得实施影响评审公正的行为。 </w:t>
      </w:r>
    </w:p>
    <w:p w14:paraId="32B3A1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有关互联网浏览、查询历史一并归档。</w:t>
      </w:r>
    </w:p>
    <w:p w14:paraId="1E3979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235DE6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3.7通过符合性审查的合格供应商不足3家的，不得进入谈判环节，应当重新开展采购活动。</w:t>
      </w:r>
    </w:p>
    <w:p w14:paraId="40DFF80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4.谈判程序</w:t>
      </w:r>
    </w:p>
    <w:p w14:paraId="0937CF5A">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kern w:val="0"/>
          <w:sz w:val="24"/>
          <w:highlight w:val="none"/>
        </w:rPr>
        <w:t>4.1谈判小组按照“供应商须知前附表”第26条确定的</w:t>
      </w:r>
      <w:r>
        <w:rPr>
          <w:rFonts w:hint="eastAsia" w:ascii="宋体" w:hAnsi="宋体" w:cs="宋体"/>
          <w:color w:val="auto"/>
          <w:sz w:val="24"/>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bCs/>
          <w:color w:val="auto"/>
          <w:sz w:val="24"/>
          <w:highlight w:val="none"/>
        </w:rPr>
        <w:t>其响应文件按无效响应处理。</w:t>
      </w:r>
    </w:p>
    <w:p w14:paraId="3053C1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1E461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4.3对谈判文件作出的实质性变动是谈判文件的有效组成部分，谈判小组应当及时以电子谈判记录形式同时通知所有参加谈判的供应商。</w:t>
      </w:r>
    </w:p>
    <w:p w14:paraId="0D5F1A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auto"/>
          <w:sz w:val="24"/>
          <w:highlight w:val="none"/>
        </w:rPr>
        <w:t>若委托代理人不是响应文件中授权的委托代理人时，必须同时出示有效的授权委托书原件</w:t>
      </w:r>
      <w:r>
        <w:rPr>
          <w:rFonts w:hint="eastAsia" w:ascii="宋体" w:hAnsi="宋体" w:cs="宋体"/>
          <w:color w:val="auto"/>
          <w:sz w:val="24"/>
          <w:highlight w:val="none"/>
        </w:rPr>
        <w:t>。供应商为自然人的，必须由本人签字并附身份证明。参加谈判的供应商未在规定时间内以电子回函的形式重新提交响应文件的，视同退出谈判，其响应文件按无效响应处理。</w:t>
      </w:r>
    </w:p>
    <w:p w14:paraId="484FF2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4.5谈判中，谈判的任何一方不得透露与谈判有关的其他供应商的技术资料、价格和其他信息。</w:t>
      </w:r>
    </w:p>
    <w:p w14:paraId="73D564C8">
      <w:pPr>
        <w:tabs>
          <w:tab w:val="left" w:pos="283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4.6对谈判过程提交的响应文件进行有效性、完整性和响应程度审查，通过审查的合格供应商不足3家的，采购人或者采购代理机构应当重新开展采购活动。</w:t>
      </w:r>
    </w:p>
    <w:p w14:paraId="2B4CA1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 最后报价</w:t>
      </w:r>
    </w:p>
    <w:p w14:paraId="40CC27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010B07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62C8F9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5.3最后报价是供应商响应文件的有效组成部分。</w:t>
      </w:r>
    </w:p>
    <w:p w14:paraId="0D0A5E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5.4已经提交响应文件的供应商，在提交最后报价之前，可以根据谈判情况退出谈判。采购人、采购代理机构将退还退出谈判的供应商的保证金。</w:t>
      </w:r>
    </w:p>
    <w:p w14:paraId="67E0A72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5.5供应商未在规定时间内提交最后报价的，视为退出谈判，其响应文件按无效处理。</w:t>
      </w:r>
    </w:p>
    <w:p w14:paraId="550B85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5.6谈判小组收齐某一分标最后报价后或达到规定时间后统一开启，谈判小组对最后报价进行有效性、完整性和响应程度的审查。</w:t>
      </w:r>
    </w:p>
    <w:p w14:paraId="682AEC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5.7响应文件首次及最后报价出现前后不一致的，按照本章第3.4条的规定修正。 </w:t>
      </w:r>
    </w:p>
    <w:p w14:paraId="2DDC15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5.8经供应商确认修正后的最后报价作为评审及签订合同的依据。</w:t>
      </w:r>
    </w:p>
    <w:p w14:paraId="1E863C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5.9供应商出现最后报价按无效响应处理或者响应文件按无效响应处理时，谈判小组应当告知有关供应商。</w:t>
      </w:r>
    </w:p>
    <w:p w14:paraId="15CA51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5.10最后报价结束后，谈判小组不得再与供应商进行任何形式的商谈。</w:t>
      </w:r>
    </w:p>
    <w:p w14:paraId="4C6DC20E">
      <w:pPr>
        <w:spacing w:line="360" w:lineRule="auto"/>
        <w:ind w:firstLine="472" w:firstLineChars="196"/>
        <w:rPr>
          <w:rFonts w:hint="eastAsia" w:ascii="宋体" w:hAnsi="宋体" w:cs="宋体"/>
          <w:b/>
          <w:bCs/>
          <w:color w:val="auto"/>
          <w:sz w:val="24"/>
          <w:highlight w:val="none"/>
        </w:rPr>
      </w:pPr>
      <w:r>
        <w:rPr>
          <w:rFonts w:hint="eastAsia" w:ascii="宋体" w:hAnsi="宋体" w:cs="宋体"/>
          <w:b/>
          <w:bCs/>
          <w:color w:val="auto"/>
          <w:sz w:val="24"/>
          <w:highlight w:val="none"/>
        </w:rPr>
        <w:t>6. 最后报价政府采购政策性扣除</w:t>
      </w:r>
    </w:p>
    <w:p w14:paraId="161DBE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6.1评审价为供应商的最后报价进行政策性扣除后的价格，评审价只是作为评审时使用。最终成交供应商的成交金额等于最后报价（如有修正，以确认修正后的最后报价为准）。</w:t>
      </w:r>
    </w:p>
    <w:p w14:paraId="5D71D6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color w:val="auto"/>
          <w:sz w:val="24"/>
          <w:highlight w:val="none"/>
          <w:lang w:val="en-US" w:eastAsia="zh-CN"/>
        </w:rPr>
        <w:t>中小企业</w:t>
      </w:r>
      <w:r>
        <w:rPr>
          <w:rFonts w:hint="eastAsia" w:ascii="宋体" w:hAnsi="宋体" w:cs="宋体"/>
          <w:color w:val="auto"/>
          <w:sz w:val="24"/>
          <w:highlight w:val="none"/>
        </w:rPr>
        <w:t>政策性扣除计算方法（本项目为专门面向小微企业采购的项目，不再执行中小企业价格评审优惠政策）</w:t>
      </w:r>
    </w:p>
    <w:p w14:paraId="782933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本国产品政策性扣除计算方法。 </w:t>
      </w:r>
    </w:p>
    <w:p w14:paraId="4D7860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 </w:t>
      </w:r>
    </w:p>
    <w:p w14:paraId="3B168B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当采购项目或者采购包中含有多种产品，竞标人为该采购项目或者采购包提供的符合本国产品标准的产品成本之和占该竞标人提供的全部产品成本之和的比例达到80%以上时，依法对该竞标人提供的全部产品给予价格评审优惠，即对该竞标人提供的全部产品的总报价给予20%的价格扣除，用扣除后的价格参与评审，即评审价=</w:t>
      </w:r>
      <w:r>
        <w:rPr>
          <w:rFonts w:hint="eastAsia" w:ascii="宋体" w:hAnsi="宋体" w:cs="宋体"/>
          <w:color w:val="auto"/>
          <w:sz w:val="24"/>
          <w:highlight w:val="none"/>
          <w:lang w:val="en-US" w:eastAsia="zh-CN"/>
        </w:rPr>
        <w:t>最后</w:t>
      </w:r>
      <w:r>
        <w:rPr>
          <w:rFonts w:hint="eastAsia" w:ascii="宋体" w:hAnsi="宋体" w:cs="宋体"/>
          <w:color w:val="auto"/>
          <w:sz w:val="24"/>
          <w:highlight w:val="none"/>
        </w:rPr>
        <w:t>报价×（1-</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 xml:space="preserve">%）。未达到80%，不享受价格评审优惠。竞标人在其响应文件中提供《关于符合本国产品标准的声明函》或财政部会同有关部门规定的有关证明文件，出具符合要求的《声明函》或有关证明文件的，该产品视为本国产品。 </w:t>
      </w:r>
    </w:p>
    <w:p w14:paraId="6DCA6B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6.4</w:t>
      </w:r>
      <w:r>
        <w:rPr>
          <w:rFonts w:hint="eastAsia" w:ascii="宋体" w:hAnsi="宋体" w:cs="宋体"/>
          <w:color w:val="auto"/>
          <w:sz w:val="24"/>
          <w:highlight w:val="none"/>
        </w:rPr>
        <w:t>除上述情况外，评审价＝最后报价。</w:t>
      </w:r>
    </w:p>
    <w:p w14:paraId="793FA577">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7.评审复核</w:t>
      </w:r>
    </w:p>
    <w:p w14:paraId="007899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7.1评审报告签署前，</w:t>
      </w:r>
      <w:r>
        <w:rPr>
          <w:rFonts w:hint="eastAsia" w:ascii="宋体" w:hAnsi="宋体" w:cs="宋体"/>
          <w:color w:val="auto"/>
          <w:sz w:val="24"/>
          <w:highlight w:val="none"/>
          <w:lang w:eastAsia="zh-CN"/>
        </w:rPr>
        <w:t>谈判小组</w:t>
      </w:r>
      <w:r>
        <w:rPr>
          <w:rFonts w:hint="eastAsia" w:ascii="宋体" w:hAnsi="宋体" w:cs="宋体"/>
          <w:color w:val="auto"/>
          <w:sz w:val="24"/>
          <w:highlight w:val="none"/>
        </w:rPr>
        <w:t>要对评审结果进行复核，复核意见要体现在评审报告中。</w:t>
      </w:r>
    </w:p>
    <w:p w14:paraId="0E00BE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7.2除资格性审查认定错误和价格计算错误外，采购人或者采购代理机构不得以任何理由组织重新评审。</w:t>
      </w:r>
    </w:p>
    <w:p w14:paraId="263C5635">
      <w:pPr>
        <w:spacing w:line="360" w:lineRule="auto"/>
        <w:ind w:firstLine="480" w:firstLineChars="200"/>
        <w:rPr>
          <w:rFonts w:hint="eastAsia" w:ascii="宋体" w:hAnsi="宋体" w:cs="宋体"/>
          <w:color w:val="auto"/>
          <w:sz w:val="24"/>
          <w:highlight w:val="none"/>
        </w:rPr>
      </w:pPr>
    </w:p>
    <w:p w14:paraId="38328B2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二、评审原则</w:t>
      </w:r>
    </w:p>
    <w:p w14:paraId="415BC254">
      <w:pPr>
        <w:spacing w:line="360" w:lineRule="auto"/>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.评审原则</w:t>
      </w:r>
    </w:p>
    <w:p w14:paraId="4EB49AFC">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32C79D0">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5988D8A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3谈判小组发现竞争性谈判采购文件存在歧义、重大缺陷导致评审工作无法进行，或者竞争性谈判采购文件内容违反国家有关规定的，要停止评审工作并向采购人或采购代理机构书面说明情况，采购人或采购代理机构应当修改竞争性谈判采购文件后重新组织采购活动；发现供应商提供虚假材料、串通等违法违规行为的，要及时向采购人或采购代理机构报告。</w:t>
      </w:r>
    </w:p>
    <w:p w14:paraId="560495A2">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.终止竞争性谈判采购活动</w:t>
      </w:r>
    </w:p>
    <w:p w14:paraId="3A47C632">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出现下列情形之一的，采购人或者采购代理机构应当终止竞争性谈判采购活动，发布项目终止公告并说明原因，重新开展采购活动：</w:t>
      </w:r>
    </w:p>
    <w:p w14:paraId="6AA899D4">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（1）因情况变化，不再符合规定的竞争性谈判采购方式适用情形的； </w:t>
      </w:r>
    </w:p>
    <w:p w14:paraId="61C6E00E">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（2）出现影响采购公正的违法、违规行为的；</w:t>
      </w:r>
    </w:p>
    <w:p w14:paraId="0901F3E3">
      <w:pPr>
        <w:spacing w:line="360" w:lineRule="auto"/>
        <w:ind w:firstLine="480" w:firstLineChars="20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（3）在采购过程中符合竞争要求的供应商或者报价未超过采购预算的供应商不足3家的，但《政府采购非招标采购方式管理办法》第二十七条第二款规定的情形除外。</w:t>
      </w:r>
    </w:p>
    <w:p w14:paraId="2BE43E8C">
      <w:pPr>
        <w:spacing w:line="360" w:lineRule="auto"/>
        <w:jc w:val="center"/>
        <w:rPr>
          <w:rFonts w:hint="eastAsia" w:ascii="宋体" w:hAnsi="宋体" w:cs="宋体"/>
          <w:b/>
          <w:color w:val="auto"/>
          <w:sz w:val="24"/>
          <w:highlight w:val="none"/>
        </w:rPr>
      </w:pPr>
    </w:p>
    <w:p w14:paraId="06E9BC6F">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评审报告</w:t>
      </w:r>
    </w:p>
    <w:p w14:paraId="579A66D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 成交候选人推荐原则</w:t>
      </w:r>
    </w:p>
    <w:p w14:paraId="3A74F4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谈判小组应当</w:t>
      </w:r>
      <w:r>
        <w:rPr>
          <w:rFonts w:hint="eastAsia" w:ascii="宋体" w:hAnsi="宋体" w:cs="宋体"/>
          <w:b w:val="0"/>
          <w:bCs w:val="0"/>
          <w:color w:val="auto"/>
          <w:sz w:val="24"/>
          <w:highlight w:val="none"/>
        </w:rPr>
        <w:t>从质量和服务均能满足谈判文件实质性响应要求的供应商中</w:t>
      </w:r>
      <w:r>
        <w:rPr>
          <w:rFonts w:hint="eastAsia" w:ascii="宋体" w:hAnsi="宋体" w:cs="宋体"/>
          <w:color w:val="auto"/>
          <w:sz w:val="24"/>
          <w:highlight w:val="none"/>
        </w:rPr>
        <w:t>，按照评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价由低到高的顺序提出3名以上成交候选人（评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价相同时，按照最后报价由低到高顺序依次推荐；最后报价相同时，由谈判小组按“供应商须知前附表”第26条规定的顺序推荐）,并在线编写电子评审报告。</w:t>
      </w:r>
    </w:p>
    <w:p w14:paraId="74001D8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rPr>
        <w:t>.评</w:t>
      </w:r>
      <w:r>
        <w:rPr>
          <w:rFonts w:hint="eastAsia" w:ascii="宋体" w:hAnsi="宋体" w:cs="宋体"/>
          <w:b/>
          <w:bCs/>
          <w:color w:val="auto"/>
          <w:sz w:val="24"/>
          <w:highlight w:val="none"/>
          <w:lang w:val="en-US" w:eastAsia="zh-CN"/>
        </w:rPr>
        <w:t>审</w:t>
      </w:r>
      <w:r>
        <w:rPr>
          <w:rFonts w:hint="eastAsia" w:ascii="宋体" w:hAnsi="宋体" w:cs="宋体"/>
          <w:b/>
          <w:bCs/>
          <w:color w:val="auto"/>
          <w:sz w:val="24"/>
          <w:highlight w:val="none"/>
        </w:rPr>
        <w:t>争议事项处理</w:t>
      </w:r>
    </w:p>
    <w:p w14:paraId="561D32F9">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谈判小组成员对需要共同认定的事项存在争议的，应当按照少数服从多数的原则作出结论。持不同意见的谈判小组成员应当在评标报告上签署不同意见及理由，否则视为同意评</w:t>
      </w:r>
      <w:r>
        <w:rPr>
          <w:rFonts w:hint="eastAsia" w:ascii="宋体" w:hAnsi="宋体" w:cs="宋体"/>
          <w:b w:val="0"/>
          <w:bCs w:val="0"/>
          <w:color w:val="auto"/>
          <w:kern w:val="2"/>
          <w:sz w:val="24"/>
          <w:szCs w:val="24"/>
          <w:highlight w:val="none"/>
          <w:lang w:val="en-US" w:eastAsia="zh-CN"/>
        </w:rPr>
        <w:t>审</w:t>
      </w:r>
      <w:r>
        <w:rPr>
          <w:rFonts w:hint="eastAsia" w:ascii="宋体" w:hAnsi="宋体" w:cs="宋体"/>
          <w:b w:val="0"/>
          <w:bCs w:val="0"/>
          <w:color w:val="auto"/>
          <w:kern w:val="2"/>
          <w:sz w:val="24"/>
          <w:szCs w:val="24"/>
          <w:highlight w:val="none"/>
        </w:rPr>
        <w:t>报告。</w:t>
      </w:r>
    </w:p>
    <w:p w14:paraId="19D7AE10">
      <w:pPr>
        <w:spacing w:line="360" w:lineRule="auto"/>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四、评审过程的保密与录像</w:t>
      </w:r>
    </w:p>
    <w:p w14:paraId="4C12BDB4">
      <w:pPr>
        <w:spacing w:line="360" w:lineRule="auto"/>
        <w:ind w:firstLine="482" w:firstLineChars="200"/>
        <w:rPr>
          <w:rFonts w:hint="eastAsia" w:ascii="宋体" w:hAnsi="宋体" w:eastAsia="宋体" w:cs="宋体"/>
          <w:b/>
          <w:bCs/>
          <w:color w:val="auto"/>
          <w:sz w:val="24"/>
          <w:highlight w:val="none"/>
        </w:rPr>
      </w:pPr>
    </w:p>
    <w:p w14:paraId="0017BBFF">
      <w:pPr>
        <w:spacing w:line="360" w:lineRule="auto"/>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rPr>
        <w:t>.保密。</w:t>
      </w:r>
    </w:p>
    <w:p w14:paraId="685D6F45">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val="0"/>
          <w:bCs w:val="0"/>
          <w:color w:val="auto"/>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A51405B">
      <w:pPr>
        <w:spacing w:line="360" w:lineRule="auto"/>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13</w:t>
      </w:r>
      <w:r>
        <w:rPr>
          <w:rFonts w:hint="eastAsia" w:ascii="宋体" w:hAnsi="宋体" w:eastAsia="宋体" w:cs="宋体"/>
          <w:b/>
          <w:bCs/>
          <w:color w:val="auto"/>
          <w:sz w:val="24"/>
          <w:highlight w:val="none"/>
        </w:rPr>
        <w:t>.录音录像。</w:t>
      </w:r>
    </w:p>
    <w:p w14:paraId="6E832AA7">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采购代理机构对评审工作现场及操作屏幕进行全过程录音录像，录音录像资料作为采购项目文件随其他文件一并存档。</w:t>
      </w:r>
    </w:p>
    <w:p w14:paraId="6C878534">
      <w:pPr>
        <w:rPr>
          <w:rFonts w:hint="eastAsia" w:ascii="宋体" w:hAnsi="宋体" w:cs="宋体"/>
          <w:color w:val="auto"/>
          <w:highlight w:val="none"/>
        </w:rPr>
      </w:pPr>
    </w:p>
    <w:p w14:paraId="75591496">
      <w:pPr>
        <w:rPr>
          <w:rFonts w:hint="eastAsia" w:ascii="宋体" w:hAnsi="宋体" w:cs="宋体"/>
          <w:color w:val="auto"/>
          <w:highlight w:val="none"/>
        </w:rPr>
      </w:pPr>
      <w:bookmarkStart w:id="35" w:name="_Toc74322012"/>
      <w:bookmarkStart w:id="36" w:name="_Toc3661"/>
      <w:r>
        <w:rPr>
          <w:rFonts w:hint="eastAsia" w:ascii="宋体" w:hAnsi="宋体" w:cs="宋体"/>
          <w:color w:val="auto"/>
          <w:highlight w:val="none"/>
        </w:rPr>
        <w:br w:type="page"/>
      </w:r>
    </w:p>
    <w:p w14:paraId="39B7AEEB">
      <w:pPr>
        <w:pStyle w:val="2"/>
        <w:spacing w:before="0" w:after="0"/>
        <w:jc w:val="center"/>
        <w:rPr>
          <w:rFonts w:hint="eastAsia" w:ascii="宋体" w:hAnsi="宋体" w:cs="宋体"/>
          <w:color w:val="auto"/>
          <w:highlight w:val="none"/>
        </w:rPr>
      </w:pPr>
      <w:r>
        <w:rPr>
          <w:rFonts w:hint="eastAsia" w:ascii="宋体" w:hAnsi="宋体" w:cs="宋体"/>
          <w:color w:val="auto"/>
          <w:highlight w:val="none"/>
        </w:rPr>
        <w:t>第五章 响应文件格式</w:t>
      </w:r>
      <w:bookmarkEnd w:id="35"/>
      <w:bookmarkEnd w:id="36"/>
    </w:p>
    <w:p w14:paraId="7A1A07E6">
      <w:pPr>
        <w:spacing w:line="240" w:lineRule="atLeast"/>
        <w:rPr>
          <w:rFonts w:hint="eastAsia" w:ascii="宋体" w:hAnsi="宋体" w:cs="宋体"/>
          <w:b/>
          <w:color w:val="auto"/>
          <w:sz w:val="32"/>
          <w:szCs w:val="32"/>
          <w:highlight w:val="none"/>
        </w:rPr>
      </w:pPr>
    </w:p>
    <w:p w14:paraId="0BC004E2">
      <w:pPr>
        <w:spacing w:line="240" w:lineRule="atLeast"/>
        <w:rPr>
          <w:rFonts w:hint="eastAsia" w:ascii="宋体" w:hAnsi="宋体" w:cs="宋体"/>
          <w:b/>
          <w:color w:val="auto"/>
          <w:sz w:val="32"/>
          <w:szCs w:val="32"/>
          <w:highlight w:val="none"/>
        </w:rPr>
      </w:pPr>
    </w:p>
    <w:p w14:paraId="4EFA8007">
      <w:pPr>
        <w:spacing w:line="360" w:lineRule="auto"/>
        <w:rPr>
          <w:rFonts w:hint="eastAsia" w:ascii="宋体" w:hAnsi="宋体" w:cs="宋体"/>
          <w:b/>
          <w:color w:val="auto"/>
          <w:sz w:val="32"/>
          <w:szCs w:val="32"/>
          <w:highlight w:val="none"/>
        </w:rPr>
      </w:pPr>
      <w:bookmarkStart w:id="37" w:name="_Toc71365382"/>
      <w:bookmarkStart w:id="38" w:name="_Toc71366060"/>
      <w:r>
        <w:rPr>
          <w:rFonts w:hint="eastAsia" w:ascii="宋体" w:hAnsi="宋体" w:cs="宋体"/>
          <w:b/>
          <w:color w:val="auto"/>
          <w:sz w:val="32"/>
          <w:szCs w:val="32"/>
          <w:highlight w:val="none"/>
        </w:rPr>
        <w:t>一、资格证明文件格式</w:t>
      </w:r>
      <w:bookmarkEnd w:id="37"/>
      <w:bookmarkEnd w:id="38"/>
    </w:p>
    <w:p w14:paraId="6ADCADC7">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3DD42E66">
      <w:pPr>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50E19AA">
      <w:pPr>
        <w:snapToGrid w:val="0"/>
        <w:spacing w:line="360" w:lineRule="auto"/>
        <w:jc w:val="center"/>
        <w:rPr>
          <w:rFonts w:hint="eastAsia" w:ascii="宋体" w:hAnsi="宋体" w:cs="宋体"/>
          <w:bCs/>
          <w:color w:val="auto"/>
          <w:sz w:val="44"/>
          <w:szCs w:val="44"/>
          <w:highlight w:val="none"/>
        </w:rPr>
      </w:pPr>
    </w:p>
    <w:p w14:paraId="573381D1">
      <w:pPr>
        <w:snapToGrid w:val="0"/>
        <w:spacing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05FF395C">
      <w:pPr>
        <w:snapToGrid w:val="0"/>
        <w:spacing w:line="360" w:lineRule="auto"/>
        <w:rPr>
          <w:rFonts w:hint="eastAsia" w:ascii="宋体" w:hAnsi="宋体" w:cs="宋体"/>
          <w:color w:val="auto"/>
          <w:sz w:val="24"/>
          <w:szCs w:val="20"/>
          <w:highlight w:val="none"/>
        </w:rPr>
      </w:pPr>
    </w:p>
    <w:p w14:paraId="131B9772">
      <w:pPr>
        <w:snapToGrid w:val="0"/>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资  格  证  明  文  件</w:t>
      </w:r>
    </w:p>
    <w:p w14:paraId="2D8D7B45">
      <w:pPr>
        <w:snapToGrid w:val="0"/>
        <w:spacing w:line="360" w:lineRule="auto"/>
        <w:rPr>
          <w:rFonts w:hint="eastAsia" w:ascii="宋体" w:hAnsi="宋体" w:cs="宋体"/>
          <w:bCs/>
          <w:color w:val="auto"/>
          <w:sz w:val="24"/>
          <w:szCs w:val="20"/>
          <w:highlight w:val="none"/>
        </w:rPr>
      </w:pPr>
    </w:p>
    <w:p w14:paraId="51D6E90F">
      <w:pPr>
        <w:snapToGrid w:val="0"/>
        <w:spacing w:line="360" w:lineRule="auto"/>
        <w:rPr>
          <w:rFonts w:hint="eastAsia" w:ascii="宋体" w:hAnsi="宋体" w:cs="宋体"/>
          <w:bCs/>
          <w:color w:val="auto"/>
          <w:sz w:val="24"/>
          <w:szCs w:val="20"/>
          <w:highlight w:val="none"/>
        </w:rPr>
      </w:pPr>
    </w:p>
    <w:p w14:paraId="7DC78042">
      <w:pPr>
        <w:snapToGrid w:val="0"/>
        <w:spacing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9E66275">
      <w:pPr>
        <w:snapToGrid w:val="0"/>
        <w:spacing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583C806A">
      <w:pPr>
        <w:snapToGrid w:val="0"/>
        <w:spacing w:line="360" w:lineRule="auto"/>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DEA2B9F">
      <w:pPr>
        <w:pStyle w:val="6"/>
        <w:snapToGrid w:val="0"/>
        <w:spacing w:line="360" w:lineRule="auto"/>
        <w:ind w:left="0" w:leftChars="0"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FB0B814">
      <w:pPr>
        <w:pStyle w:val="6"/>
        <w:snapToGrid w:val="0"/>
        <w:spacing w:line="360" w:lineRule="auto"/>
        <w:ind w:firstLine="0"/>
        <w:rPr>
          <w:rFonts w:hint="eastAsia" w:ascii="宋体" w:hAnsi="宋体" w:cs="宋体"/>
          <w:bCs/>
          <w:color w:val="auto"/>
          <w:sz w:val="32"/>
          <w:szCs w:val="32"/>
          <w:highlight w:val="none"/>
        </w:rPr>
      </w:pPr>
    </w:p>
    <w:p w14:paraId="382E6BD0">
      <w:pPr>
        <w:pStyle w:val="6"/>
        <w:snapToGrid w:val="0"/>
        <w:spacing w:line="360" w:lineRule="auto"/>
        <w:ind w:firstLine="1280" w:firstLineChars="400"/>
        <w:rPr>
          <w:rFonts w:hint="eastAsia" w:ascii="宋体" w:hAnsi="宋体" w:cs="宋体"/>
          <w:bCs/>
          <w:color w:val="auto"/>
          <w:sz w:val="32"/>
          <w:szCs w:val="32"/>
          <w:highlight w:val="none"/>
        </w:rPr>
      </w:pPr>
    </w:p>
    <w:p w14:paraId="4F70DDF9">
      <w:pPr>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1EC3E392">
      <w:pPr>
        <w:snapToGrid w:val="0"/>
        <w:spacing w:line="360" w:lineRule="auto"/>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145A3679">
      <w:pPr>
        <w:snapToGrid w:val="0"/>
        <w:spacing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5871156A">
      <w:pPr>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E08E1AA">
      <w:pPr>
        <w:spacing w:line="360" w:lineRule="auto"/>
        <w:rPr>
          <w:rFonts w:hint="eastAsia" w:ascii="宋体" w:hAnsi="宋体" w:cs="宋体"/>
          <w:color w:val="auto"/>
          <w:szCs w:val="21"/>
          <w:highlight w:val="none"/>
        </w:rPr>
      </w:pPr>
    </w:p>
    <w:p w14:paraId="5152C9C3">
      <w:pPr>
        <w:spacing w:line="360" w:lineRule="auto"/>
        <w:rPr>
          <w:rFonts w:hint="eastAsia" w:ascii="宋体" w:hAnsi="宋体" w:cs="宋体"/>
          <w:color w:val="auto"/>
          <w:szCs w:val="21"/>
          <w:highlight w:val="none"/>
        </w:rPr>
      </w:pPr>
    </w:p>
    <w:p w14:paraId="5BFA0FA0">
      <w:pPr>
        <w:spacing w:line="360" w:lineRule="auto"/>
        <w:rPr>
          <w:rFonts w:hint="eastAsia" w:ascii="宋体" w:hAnsi="宋体" w:cs="宋体"/>
          <w:color w:val="auto"/>
          <w:szCs w:val="21"/>
          <w:highlight w:val="none"/>
        </w:rPr>
      </w:pPr>
    </w:p>
    <w:p w14:paraId="1B5E9397">
      <w:pPr>
        <w:spacing w:line="360" w:lineRule="auto"/>
        <w:rPr>
          <w:rFonts w:hint="eastAsia" w:ascii="宋体" w:hAnsi="宋体" w:cs="宋体"/>
          <w:color w:val="auto"/>
          <w:szCs w:val="21"/>
          <w:highlight w:val="none"/>
        </w:rPr>
      </w:pPr>
    </w:p>
    <w:p w14:paraId="14AE4E77">
      <w:pPr>
        <w:spacing w:line="360" w:lineRule="auto"/>
        <w:rPr>
          <w:rFonts w:hint="eastAsia" w:ascii="宋体" w:hAnsi="宋体" w:cs="宋体"/>
          <w:color w:val="auto"/>
          <w:szCs w:val="21"/>
          <w:highlight w:val="none"/>
        </w:rPr>
      </w:pPr>
    </w:p>
    <w:p w14:paraId="2A95BA42">
      <w:pPr>
        <w:spacing w:line="360" w:lineRule="auto"/>
        <w:rPr>
          <w:rFonts w:hint="eastAsia" w:ascii="宋体" w:hAnsi="宋体" w:cs="宋体"/>
          <w:color w:val="auto"/>
          <w:szCs w:val="21"/>
          <w:highlight w:val="none"/>
        </w:rPr>
      </w:pPr>
    </w:p>
    <w:p w14:paraId="190B48DB">
      <w:pPr>
        <w:spacing w:line="360" w:lineRule="auto"/>
        <w:rPr>
          <w:rFonts w:hint="eastAsia" w:ascii="宋体" w:hAnsi="宋体" w:cs="宋体"/>
          <w:color w:val="auto"/>
          <w:szCs w:val="21"/>
          <w:highlight w:val="none"/>
        </w:rPr>
      </w:pPr>
    </w:p>
    <w:p w14:paraId="6F5C62DE">
      <w:pPr>
        <w:spacing w:line="360" w:lineRule="auto"/>
        <w:rPr>
          <w:rFonts w:hint="eastAsia" w:ascii="宋体" w:hAnsi="宋体" w:cs="宋体"/>
          <w:color w:val="auto"/>
          <w:szCs w:val="21"/>
          <w:highlight w:val="none"/>
        </w:rPr>
      </w:pPr>
    </w:p>
    <w:p w14:paraId="13601287">
      <w:pPr>
        <w:spacing w:line="360" w:lineRule="auto"/>
        <w:rPr>
          <w:rFonts w:hint="eastAsia" w:ascii="宋体" w:hAnsi="宋体" w:cs="宋体"/>
          <w:color w:val="auto"/>
          <w:szCs w:val="21"/>
          <w:highlight w:val="none"/>
        </w:rPr>
      </w:pPr>
    </w:p>
    <w:p w14:paraId="6869F71F">
      <w:pPr>
        <w:spacing w:line="360" w:lineRule="auto"/>
        <w:rPr>
          <w:rFonts w:hint="eastAsia" w:ascii="宋体" w:hAnsi="宋体" w:cs="宋体"/>
          <w:color w:val="auto"/>
          <w:szCs w:val="21"/>
          <w:highlight w:val="none"/>
        </w:rPr>
      </w:pPr>
    </w:p>
    <w:p w14:paraId="2EFA5E83">
      <w:pPr>
        <w:spacing w:line="360" w:lineRule="auto"/>
        <w:rPr>
          <w:rFonts w:hint="eastAsia" w:ascii="宋体" w:hAnsi="宋体" w:cs="宋体"/>
          <w:color w:val="auto"/>
          <w:szCs w:val="21"/>
          <w:highlight w:val="none"/>
        </w:rPr>
      </w:pPr>
    </w:p>
    <w:p w14:paraId="74B9F664">
      <w:pPr>
        <w:spacing w:line="360" w:lineRule="auto"/>
        <w:rPr>
          <w:rFonts w:hint="eastAsia" w:ascii="宋体" w:hAnsi="宋体" w:cs="宋体"/>
          <w:color w:val="auto"/>
          <w:szCs w:val="21"/>
          <w:highlight w:val="none"/>
        </w:rPr>
      </w:pPr>
    </w:p>
    <w:p w14:paraId="67EA8095">
      <w:pPr>
        <w:spacing w:line="360" w:lineRule="auto"/>
        <w:rPr>
          <w:rFonts w:hint="eastAsia" w:ascii="宋体" w:hAnsi="宋体" w:cs="宋体"/>
          <w:color w:val="auto"/>
          <w:szCs w:val="21"/>
          <w:highlight w:val="none"/>
        </w:rPr>
      </w:pPr>
    </w:p>
    <w:p w14:paraId="72747EEC">
      <w:pPr>
        <w:spacing w:line="360" w:lineRule="auto"/>
        <w:rPr>
          <w:rFonts w:hint="eastAsia" w:ascii="宋体" w:hAnsi="宋体" w:cs="宋体"/>
          <w:color w:val="auto"/>
          <w:szCs w:val="21"/>
          <w:highlight w:val="none"/>
        </w:rPr>
      </w:pPr>
    </w:p>
    <w:p w14:paraId="16A366D0">
      <w:pPr>
        <w:spacing w:line="360" w:lineRule="auto"/>
        <w:rPr>
          <w:rFonts w:hint="eastAsia" w:ascii="宋体" w:hAnsi="宋体" w:cs="宋体"/>
          <w:color w:val="auto"/>
          <w:szCs w:val="21"/>
          <w:highlight w:val="none"/>
        </w:rPr>
      </w:pPr>
    </w:p>
    <w:p w14:paraId="02045CA3">
      <w:pPr>
        <w:spacing w:line="360" w:lineRule="auto"/>
        <w:jc w:val="left"/>
        <w:rPr>
          <w:rFonts w:hint="eastAsia" w:ascii="宋体" w:hAnsi="宋体" w:cs="宋体"/>
          <w:color w:val="auto"/>
          <w:szCs w:val="21"/>
          <w:highlight w:val="none"/>
        </w:rPr>
      </w:pPr>
    </w:p>
    <w:p w14:paraId="5280095E">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3.供应商直接控股、管理关系信息表</w:t>
      </w:r>
    </w:p>
    <w:p w14:paraId="6C265D25">
      <w:pPr>
        <w:snapToGrid w:val="0"/>
        <w:spacing w:line="360" w:lineRule="auto"/>
        <w:jc w:val="center"/>
        <w:rPr>
          <w:rFonts w:hint="eastAsia" w:ascii="宋体" w:hAnsi="宋体" w:cs="宋体"/>
          <w:b/>
          <w:color w:val="auto"/>
          <w:sz w:val="32"/>
          <w:szCs w:val="32"/>
          <w:highlight w:val="none"/>
        </w:rPr>
      </w:pPr>
    </w:p>
    <w:p w14:paraId="39454A1B">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2BF04636">
      <w:pPr>
        <w:snapToGrid w:val="0"/>
        <w:spacing w:line="360" w:lineRule="auto"/>
        <w:jc w:val="center"/>
        <w:rPr>
          <w:rFonts w:hint="eastAsia" w:ascii="宋体" w:hAnsi="宋体" w:cs="宋体"/>
          <w:b/>
          <w:color w:val="auto"/>
          <w:sz w:val="32"/>
          <w:szCs w:val="32"/>
          <w:highlight w:val="none"/>
        </w:rPr>
      </w:pPr>
    </w:p>
    <w:tbl>
      <w:tblPr>
        <w:tblStyle w:val="27"/>
        <w:tblW w:w="9318" w:type="dxa"/>
        <w:jc w:val="center"/>
        <w:shd w:val="clear" w:color="auto" w:fill="FBFBFB"/>
        <w:tblLayout w:type="fixed"/>
        <w:tblCellMar>
          <w:top w:w="0" w:type="dxa"/>
          <w:left w:w="0" w:type="dxa"/>
          <w:bottom w:w="0" w:type="dxa"/>
          <w:right w:w="0" w:type="dxa"/>
        </w:tblCellMar>
      </w:tblPr>
      <w:tblGrid>
        <w:gridCol w:w="880"/>
        <w:gridCol w:w="2655"/>
        <w:gridCol w:w="1455"/>
        <w:gridCol w:w="3503"/>
        <w:gridCol w:w="825"/>
      </w:tblGrid>
      <w:tr w14:paraId="0DC8A41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2644AF">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90BFFB">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048D90">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0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7B3726">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6DA798">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71AEB0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542960">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88C865">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B65693">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32FA8">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013C7">
            <w:pPr>
              <w:widowControl/>
              <w:spacing w:line="360" w:lineRule="auto"/>
              <w:jc w:val="center"/>
              <w:rPr>
                <w:rFonts w:hint="eastAsia" w:ascii="宋体" w:hAnsi="宋体" w:cs="宋体"/>
                <w:color w:val="auto"/>
                <w:kern w:val="0"/>
                <w:sz w:val="28"/>
                <w:szCs w:val="28"/>
                <w:highlight w:val="none"/>
              </w:rPr>
            </w:pPr>
          </w:p>
        </w:tc>
      </w:tr>
      <w:tr w14:paraId="128FD66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FB97F8">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33EA5E">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1CB6DF">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2B515">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25AAAA">
            <w:pPr>
              <w:widowControl/>
              <w:spacing w:line="360" w:lineRule="auto"/>
              <w:jc w:val="center"/>
              <w:rPr>
                <w:rFonts w:hint="eastAsia" w:ascii="宋体" w:hAnsi="宋体" w:cs="宋体"/>
                <w:color w:val="auto"/>
                <w:kern w:val="0"/>
                <w:sz w:val="28"/>
                <w:szCs w:val="28"/>
                <w:highlight w:val="none"/>
              </w:rPr>
            </w:pPr>
          </w:p>
        </w:tc>
      </w:tr>
      <w:tr w14:paraId="226C9BA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A6EE3">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A19FD">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FFF187">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FBA0DE">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32385">
            <w:pPr>
              <w:widowControl/>
              <w:spacing w:line="360" w:lineRule="auto"/>
              <w:jc w:val="center"/>
              <w:rPr>
                <w:rFonts w:hint="eastAsia" w:ascii="宋体" w:hAnsi="宋体" w:cs="宋体"/>
                <w:color w:val="auto"/>
                <w:kern w:val="0"/>
                <w:sz w:val="28"/>
                <w:szCs w:val="28"/>
                <w:highlight w:val="none"/>
              </w:rPr>
            </w:pPr>
          </w:p>
        </w:tc>
      </w:tr>
      <w:tr w14:paraId="7F7F05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0755A9">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81F388">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A6207">
            <w:pPr>
              <w:widowControl/>
              <w:spacing w:line="360" w:lineRule="auto"/>
              <w:jc w:val="center"/>
              <w:rPr>
                <w:rFonts w:hint="eastAsia"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373CD9">
            <w:pPr>
              <w:widowControl/>
              <w:spacing w:line="360" w:lineRule="auto"/>
              <w:jc w:val="center"/>
              <w:rPr>
                <w:rFonts w:hint="eastAsia"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BCA03F">
            <w:pPr>
              <w:widowControl/>
              <w:spacing w:line="360" w:lineRule="auto"/>
              <w:jc w:val="center"/>
              <w:rPr>
                <w:rFonts w:hint="eastAsia" w:ascii="宋体" w:hAnsi="宋体" w:cs="宋体"/>
                <w:color w:val="auto"/>
                <w:kern w:val="0"/>
                <w:sz w:val="28"/>
                <w:szCs w:val="28"/>
                <w:highlight w:val="none"/>
              </w:rPr>
            </w:pPr>
          </w:p>
        </w:tc>
      </w:tr>
    </w:tbl>
    <w:p w14:paraId="5BAEE01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797BA6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5779106">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B09B91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54199ECD">
      <w:pPr>
        <w:spacing w:line="360" w:lineRule="auto"/>
        <w:ind w:firstLine="420" w:firstLineChars="200"/>
        <w:contextualSpacing/>
        <w:jc w:val="left"/>
        <w:rPr>
          <w:rFonts w:hint="eastAsia" w:ascii="宋体" w:hAnsi="宋体" w:cs="宋体"/>
          <w:color w:val="auto"/>
          <w:szCs w:val="21"/>
          <w:highlight w:val="none"/>
        </w:rPr>
      </w:pPr>
    </w:p>
    <w:p w14:paraId="2F2CFA3D">
      <w:pPr>
        <w:spacing w:line="360" w:lineRule="auto"/>
        <w:ind w:firstLine="560" w:firstLineChars="200"/>
        <w:contextualSpacing/>
        <w:jc w:val="left"/>
        <w:rPr>
          <w:rFonts w:hint="eastAsia" w:ascii="宋体" w:hAnsi="宋体" w:cs="宋体"/>
          <w:color w:val="auto"/>
          <w:sz w:val="28"/>
          <w:szCs w:val="28"/>
          <w:highlight w:val="none"/>
        </w:rPr>
      </w:pPr>
    </w:p>
    <w:p w14:paraId="398F39EC">
      <w:pPr>
        <w:spacing w:line="360" w:lineRule="auto"/>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w:t>
      </w:r>
      <w:r>
        <w:rPr>
          <w:rFonts w:hint="eastAsia"/>
          <w:color w:val="auto"/>
          <w:sz w:val="24"/>
          <w:highlight w:val="none"/>
        </w:rPr>
        <w:t>（</w:t>
      </w:r>
      <w:r>
        <w:rPr>
          <w:rFonts w:hint="eastAsia" w:ascii="宋体" w:hAnsi="宋体"/>
          <w:color w:val="auto"/>
          <w:sz w:val="24"/>
          <w:highlight w:val="none"/>
        </w:rPr>
        <w:t>签字或者电子签名</w:t>
      </w:r>
      <w:r>
        <w:rPr>
          <w:rFonts w:hint="eastAsia"/>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5607A42">
      <w:pPr>
        <w:spacing w:line="360" w:lineRule="auto"/>
        <w:ind w:firstLine="3360" w:firstLineChars="14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9E88CE2">
      <w:pPr>
        <w:spacing w:line="360" w:lineRule="auto"/>
        <w:ind w:firstLine="5280" w:firstLineChars="2200"/>
        <w:contextualSpacing/>
        <w:rPr>
          <w:rFonts w:hint="eastAsia" w:ascii="宋体" w:hAnsi="宋体" w:cs="宋体"/>
          <w:b/>
          <w:color w:val="auto"/>
          <w:sz w:val="28"/>
          <w:szCs w:val="28"/>
          <w:highlight w:val="none"/>
        </w:rPr>
      </w:pPr>
      <w:r>
        <w:rPr>
          <w:rFonts w:hint="eastAsia" w:ascii="宋体" w:hAnsi="宋体" w:cs="宋体"/>
          <w:color w:val="auto"/>
          <w:sz w:val="24"/>
          <w:highlight w:val="none"/>
        </w:rPr>
        <w:t>年    月    日</w:t>
      </w:r>
      <w:r>
        <w:rPr>
          <w:rFonts w:hint="eastAsia" w:ascii="宋体" w:hAnsi="宋体" w:cs="宋体"/>
          <w:b/>
          <w:color w:val="auto"/>
          <w:sz w:val="28"/>
          <w:szCs w:val="28"/>
          <w:highlight w:val="none"/>
        </w:rPr>
        <w:br w:type="page"/>
      </w:r>
    </w:p>
    <w:p w14:paraId="203DDB36">
      <w:pPr>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70538998">
      <w:pPr>
        <w:snapToGrid w:val="0"/>
        <w:spacing w:line="360" w:lineRule="auto"/>
        <w:jc w:val="center"/>
        <w:rPr>
          <w:rFonts w:hint="eastAsia" w:ascii="宋体" w:hAnsi="宋体" w:cs="宋体"/>
          <w:b/>
          <w:color w:val="auto"/>
          <w:sz w:val="32"/>
          <w:szCs w:val="32"/>
          <w:highlight w:val="none"/>
        </w:rPr>
      </w:pPr>
    </w:p>
    <w:tbl>
      <w:tblPr>
        <w:tblStyle w:val="27"/>
        <w:tblW w:w="8942" w:type="dxa"/>
        <w:jc w:val="center"/>
        <w:shd w:val="clear" w:color="auto" w:fill="FBFBFB"/>
        <w:tblLayout w:type="fixed"/>
        <w:tblCellMar>
          <w:top w:w="0" w:type="dxa"/>
          <w:left w:w="0" w:type="dxa"/>
          <w:bottom w:w="0" w:type="dxa"/>
          <w:right w:w="0" w:type="dxa"/>
        </w:tblCellMar>
      </w:tblPr>
      <w:tblGrid>
        <w:gridCol w:w="808"/>
        <w:gridCol w:w="3600"/>
        <w:gridCol w:w="3555"/>
        <w:gridCol w:w="979"/>
      </w:tblGrid>
      <w:tr w14:paraId="5DE0133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4F49B6">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C3FB49">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1B9E75">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9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C3FA55">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20995B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EBD5F1">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11A52A">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F0632">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F6ECA8">
            <w:pPr>
              <w:widowControl/>
              <w:wordWrap w:val="0"/>
              <w:spacing w:line="360" w:lineRule="auto"/>
              <w:jc w:val="center"/>
              <w:rPr>
                <w:rFonts w:hint="eastAsia" w:ascii="宋体" w:hAnsi="宋体" w:cs="宋体"/>
                <w:color w:val="auto"/>
                <w:kern w:val="0"/>
                <w:sz w:val="28"/>
                <w:szCs w:val="28"/>
                <w:highlight w:val="none"/>
              </w:rPr>
            </w:pPr>
          </w:p>
        </w:tc>
      </w:tr>
      <w:tr w14:paraId="7D9BCE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2C94E0">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E6870">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BC8619">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95312">
            <w:pPr>
              <w:widowControl/>
              <w:wordWrap w:val="0"/>
              <w:spacing w:line="360" w:lineRule="auto"/>
              <w:jc w:val="center"/>
              <w:rPr>
                <w:rFonts w:hint="eastAsia" w:ascii="宋体" w:hAnsi="宋体" w:cs="宋体"/>
                <w:color w:val="auto"/>
                <w:kern w:val="0"/>
                <w:sz w:val="28"/>
                <w:szCs w:val="28"/>
                <w:highlight w:val="none"/>
              </w:rPr>
            </w:pPr>
          </w:p>
        </w:tc>
      </w:tr>
      <w:tr w14:paraId="49A67CA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DE6C6">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BDD7DF">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6211A">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3C3C33">
            <w:pPr>
              <w:widowControl/>
              <w:wordWrap w:val="0"/>
              <w:spacing w:line="360" w:lineRule="auto"/>
              <w:jc w:val="center"/>
              <w:rPr>
                <w:rFonts w:hint="eastAsia" w:ascii="宋体" w:hAnsi="宋体" w:cs="宋体"/>
                <w:color w:val="auto"/>
                <w:kern w:val="0"/>
                <w:sz w:val="28"/>
                <w:szCs w:val="28"/>
                <w:highlight w:val="none"/>
              </w:rPr>
            </w:pPr>
          </w:p>
        </w:tc>
      </w:tr>
      <w:tr w14:paraId="242324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340B4B">
            <w:pPr>
              <w:widowControl/>
              <w:wordWrap w:val="0"/>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A37630">
            <w:pPr>
              <w:widowControl/>
              <w:wordWrap w:val="0"/>
              <w:spacing w:line="360" w:lineRule="auto"/>
              <w:jc w:val="center"/>
              <w:rPr>
                <w:rFonts w:hint="eastAsia"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E5D47">
            <w:pPr>
              <w:widowControl/>
              <w:wordWrap w:val="0"/>
              <w:spacing w:line="360" w:lineRule="auto"/>
              <w:jc w:val="center"/>
              <w:rPr>
                <w:rFonts w:hint="eastAsia"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6FDF4B">
            <w:pPr>
              <w:widowControl/>
              <w:wordWrap w:val="0"/>
              <w:spacing w:line="360" w:lineRule="auto"/>
              <w:jc w:val="center"/>
              <w:rPr>
                <w:rFonts w:hint="eastAsia" w:ascii="宋体" w:hAnsi="宋体" w:cs="宋体"/>
                <w:color w:val="auto"/>
                <w:kern w:val="0"/>
                <w:sz w:val="28"/>
                <w:szCs w:val="28"/>
                <w:highlight w:val="none"/>
              </w:rPr>
            </w:pPr>
          </w:p>
        </w:tc>
      </w:tr>
    </w:tbl>
    <w:p w14:paraId="4223696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61E5CA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77E9CE4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128B0BD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214135D1">
      <w:pPr>
        <w:spacing w:line="360" w:lineRule="auto"/>
        <w:contextualSpacing/>
        <w:jc w:val="left"/>
        <w:rPr>
          <w:rFonts w:hint="eastAsia" w:ascii="宋体" w:hAnsi="宋体" w:cs="宋体"/>
          <w:color w:val="auto"/>
          <w:sz w:val="28"/>
          <w:szCs w:val="28"/>
          <w:highlight w:val="none"/>
        </w:rPr>
      </w:pPr>
    </w:p>
    <w:p w14:paraId="3B1CF9E8">
      <w:pPr>
        <w:spacing w:line="360" w:lineRule="auto"/>
        <w:contextualSpacing/>
        <w:jc w:val="left"/>
        <w:rPr>
          <w:rFonts w:hint="eastAsia" w:ascii="宋体" w:hAnsi="宋体" w:cs="宋体"/>
          <w:color w:val="auto"/>
          <w:sz w:val="28"/>
          <w:szCs w:val="28"/>
          <w:highlight w:val="none"/>
        </w:rPr>
      </w:pPr>
    </w:p>
    <w:p w14:paraId="319A2DFD">
      <w:pPr>
        <w:spacing w:line="360" w:lineRule="auto"/>
        <w:contextualSpacing/>
        <w:jc w:val="left"/>
        <w:rPr>
          <w:rFonts w:hint="eastAsia" w:ascii="宋体" w:hAnsi="宋体" w:cs="宋体"/>
          <w:color w:val="auto"/>
          <w:sz w:val="28"/>
          <w:szCs w:val="28"/>
          <w:highlight w:val="none"/>
        </w:rPr>
      </w:pPr>
    </w:p>
    <w:p w14:paraId="4753BD94">
      <w:pPr>
        <w:spacing w:line="360" w:lineRule="auto"/>
        <w:contextualSpacing/>
        <w:jc w:val="left"/>
        <w:rPr>
          <w:rFonts w:hint="eastAsia" w:ascii="宋体" w:hAnsi="宋体" w:cs="宋体"/>
          <w:color w:val="auto"/>
          <w:sz w:val="28"/>
          <w:szCs w:val="28"/>
          <w:highlight w:val="none"/>
        </w:rPr>
      </w:pPr>
    </w:p>
    <w:p w14:paraId="3DF87A91">
      <w:pPr>
        <w:spacing w:line="360" w:lineRule="auto"/>
        <w:contextualSpacing/>
        <w:jc w:val="left"/>
        <w:rPr>
          <w:rFonts w:hint="eastAsia" w:ascii="宋体" w:hAnsi="宋体" w:cs="宋体"/>
          <w:color w:val="auto"/>
          <w:sz w:val="28"/>
          <w:szCs w:val="28"/>
          <w:highlight w:val="none"/>
        </w:rPr>
      </w:pPr>
    </w:p>
    <w:p w14:paraId="5E1FF493">
      <w:pPr>
        <w:spacing w:line="360" w:lineRule="auto"/>
        <w:contextualSpacing/>
        <w:jc w:val="left"/>
        <w:rPr>
          <w:rFonts w:hint="eastAsia" w:ascii="宋体" w:hAnsi="宋体" w:cs="宋体"/>
          <w:color w:val="auto"/>
          <w:sz w:val="28"/>
          <w:szCs w:val="28"/>
          <w:highlight w:val="none"/>
        </w:rPr>
      </w:pPr>
    </w:p>
    <w:p w14:paraId="6E1DFF52">
      <w:pPr>
        <w:spacing w:line="360" w:lineRule="auto"/>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w:t>
      </w:r>
      <w:r>
        <w:rPr>
          <w:rFonts w:hint="eastAsia"/>
          <w:color w:val="auto"/>
          <w:sz w:val="24"/>
          <w:highlight w:val="none"/>
        </w:rPr>
        <w:t>（</w:t>
      </w:r>
      <w:r>
        <w:rPr>
          <w:rFonts w:hint="eastAsia" w:ascii="宋体" w:hAnsi="宋体"/>
          <w:color w:val="auto"/>
          <w:sz w:val="24"/>
          <w:highlight w:val="none"/>
        </w:rPr>
        <w:t>签字或者电子签名</w:t>
      </w:r>
      <w:r>
        <w:rPr>
          <w:rFonts w:hint="eastAsia"/>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DB32A92">
      <w:pPr>
        <w:spacing w:line="360" w:lineRule="auto"/>
        <w:ind w:firstLine="3720" w:firstLineChars="155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1D8D0D4">
      <w:pPr>
        <w:spacing w:line="360" w:lineRule="auto"/>
        <w:ind w:firstLine="240" w:firstLineChars="100"/>
        <w:contextualSpacing/>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3C48C72C">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竞标声明</w:t>
      </w:r>
    </w:p>
    <w:p w14:paraId="69CE3673">
      <w:pPr>
        <w:spacing w:line="360" w:lineRule="auto"/>
        <w:jc w:val="center"/>
        <w:rPr>
          <w:rFonts w:hint="eastAsia" w:ascii="宋体" w:hAnsi="宋体" w:cs="宋体"/>
          <w:color w:val="auto"/>
          <w:sz w:val="24"/>
          <w:szCs w:val="20"/>
          <w:highlight w:val="none"/>
        </w:rPr>
      </w:pPr>
    </w:p>
    <w:p w14:paraId="13FA8388">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65A398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46BA3C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5A8920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03969C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028CCAD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11FE9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38191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507F3A8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3D6CA5F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77C8E1B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B50443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962BB1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5D3B5B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BF1878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1991BA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A8B7F6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118D3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E43241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D4A69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D18CD4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E624584">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kern w:val="2"/>
          <w:sz w:val="24"/>
          <w:szCs w:val="24"/>
          <w:highlight w:val="none"/>
        </w:rPr>
        <w:t>7.与本谈判有关的</w:t>
      </w:r>
      <w:r>
        <w:rPr>
          <w:rFonts w:hint="eastAsia" w:hAnsi="宋体" w:cs="宋体"/>
          <w:color w:val="auto"/>
          <w:sz w:val="24"/>
          <w:szCs w:val="24"/>
          <w:highlight w:val="none"/>
        </w:rPr>
        <w:t>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34DDD17">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766F50F">
      <w:pPr>
        <w:pStyle w:val="12"/>
        <w:tabs>
          <w:tab w:val="left" w:pos="939"/>
        </w:tabs>
        <w:spacing w:line="360" w:lineRule="auto"/>
        <w:ind w:left="0" w:leftChars="0"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帐号/行号：</w:t>
      </w:r>
      <w:r>
        <w:rPr>
          <w:rFonts w:hint="eastAsia" w:ascii="宋体" w:hAnsi="宋体" w:cs="宋体"/>
          <w:color w:val="auto"/>
          <w:sz w:val="24"/>
          <w:highlight w:val="none"/>
          <w:u w:val="single"/>
        </w:rPr>
        <w:t xml:space="preserve">           </w:t>
      </w:r>
    </w:p>
    <w:p w14:paraId="02644448">
      <w:pPr>
        <w:pStyle w:val="12"/>
        <w:tabs>
          <w:tab w:val="left" w:pos="939"/>
        </w:tabs>
        <w:spacing w:line="360" w:lineRule="auto"/>
        <w:ind w:left="0" w:leftChars="0" w:firstLine="600" w:firstLineChars="250"/>
        <w:rPr>
          <w:rFonts w:hint="eastAsia"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我方若</w:t>
      </w:r>
      <w:r>
        <w:rPr>
          <w:rFonts w:hint="eastAsia" w:ascii="宋体" w:hAnsi="宋体" w:cs="宋体"/>
          <w:color w:val="auto"/>
          <w:sz w:val="24"/>
          <w:highlight w:val="none"/>
        </w:rPr>
        <w:t>竞标成功</w:t>
      </w:r>
      <w:r>
        <w:rPr>
          <w:rFonts w:ascii="宋体" w:hAnsi="宋体" w:cs="宋体"/>
          <w:color w:val="auto"/>
          <w:sz w:val="24"/>
          <w:highlight w:val="none"/>
        </w:rPr>
        <w:t>，将采取</w:t>
      </w:r>
      <w:r>
        <w:rPr>
          <w:rFonts w:ascii="宋体" w:hAnsi="宋体" w:cs="宋体"/>
          <w:color w:val="auto"/>
          <w:sz w:val="24"/>
          <w:highlight w:val="none"/>
          <w:u w:val="single"/>
        </w:rPr>
        <w:t>      （</w:t>
      </w:r>
      <w:r>
        <w:rPr>
          <w:rFonts w:hint="eastAsia" w:ascii="宋体" w:hAnsi="宋体" w:cs="宋体"/>
          <w:color w:val="auto"/>
          <w:sz w:val="24"/>
          <w:highlight w:val="none"/>
          <w:u w:val="single"/>
        </w:rPr>
        <w:t>汽车、火车、飞机等</w:t>
      </w:r>
      <w:r>
        <w:rPr>
          <w:rFonts w:ascii="宋体" w:hAnsi="宋体" w:cs="宋体"/>
          <w:color w:val="auto"/>
          <w:sz w:val="24"/>
          <w:highlight w:val="none"/>
          <w:u w:val="single"/>
        </w:rPr>
        <w:t>）</w:t>
      </w:r>
      <w:r>
        <w:rPr>
          <w:rFonts w:ascii="宋体" w:hAnsi="宋体" w:cs="宋体"/>
          <w:color w:val="auto"/>
          <w:sz w:val="24"/>
          <w:highlight w:val="none"/>
        </w:rPr>
        <w:t>方式运输货物。</w:t>
      </w:r>
    </w:p>
    <w:p w14:paraId="435400BD">
      <w:pPr>
        <w:pStyle w:val="12"/>
        <w:tabs>
          <w:tab w:val="left" w:pos="939"/>
        </w:tabs>
        <w:spacing w:line="360" w:lineRule="auto"/>
        <w:ind w:left="0" w:leftChars="0" w:firstLine="600" w:firstLineChars="25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我方若竞标成功，除非发生不可抗力，承诺与采购人及时签订《合同书》。如果放弃，自愿按照《供应商须知正文》条款2</w:t>
      </w:r>
      <w:r>
        <w:rPr>
          <w:rFonts w:ascii="宋体" w:hAnsi="宋体" w:cs="宋体"/>
          <w:color w:val="auto"/>
          <w:sz w:val="24"/>
          <w:highlight w:val="none"/>
        </w:rPr>
        <w:t>7.5</w:t>
      </w:r>
      <w:r>
        <w:rPr>
          <w:rFonts w:hint="eastAsia" w:ascii="宋体" w:hAnsi="宋体" w:cs="宋体"/>
          <w:color w:val="auto"/>
          <w:sz w:val="24"/>
          <w:highlight w:val="none"/>
        </w:rPr>
        <w:t>的要求承担法律责任和失信惩戒。</w:t>
      </w:r>
    </w:p>
    <w:p w14:paraId="422F8473">
      <w:pPr>
        <w:pStyle w:val="12"/>
        <w:tabs>
          <w:tab w:val="left" w:pos="939"/>
        </w:tabs>
        <w:spacing w:line="360" w:lineRule="auto"/>
        <w:ind w:left="0" w:leftChars="0" w:firstLine="600" w:firstLineChars="250"/>
        <w:rPr>
          <w:rFonts w:hint="eastAsia"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.以上事项如有虚假或者隐瞒，我方愿意承担一切后果，并不再寻求任何旨在减轻或者免除法律责任的辩解。</w:t>
      </w:r>
    </w:p>
    <w:p w14:paraId="5589CD3A">
      <w:pPr>
        <w:pStyle w:val="12"/>
        <w:tabs>
          <w:tab w:val="left" w:pos="939"/>
        </w:tabs>
        <w:spacing w:line="360" w:lineRule="auto"/>
        <w:ind w:left="0" w:leftChars="0" w:firstLine="600" w:firstLineChars="250"/>
        <w:rPr>
          <w:rFonts w:hint="eastAsia" w:ascii="宋体" w:hAnsi="宋体" w:cs="宋体"/>
          <w:color w:val="auto"/>
          <w:szCs w:val="21"/>
          <w:highlight w:val="none"/>
        </w:rPr>
      </w:pPr>
      <w:r>
        <w:rPr>
          <w:rFonts w:hint="eastAsia" w:ascii="宋体" w:hAnsi="宋体" w:cs="宋体"/>
          <w:color w:val="auto"/>
          <w:sz w:val="24"/>
          <w:highlight w:val="none"/>
        </w:rPr>
        <w:t>特此承诺。</w:t>
      </w:r>
    </w:p>
    <w:p w14:paraId="7D7B433B">
      <w:pPr>
        <w:spacing w:line="360" w:lineRule="auto"/>
        <w:contextualSpacing/>
        <w:jc w:val="left"/>
        <w:rPr>
          <w:rFonts w:hint="eastAsia" w:ascii="宋体" w:hAnsi="宋体" w:cs="宋体"/>
          <w:b/>
          <w:color w:val="auto"/>
          <w:sz w:val="24"/>
          <w:highlight w:val="none"/>
        </w:rPr>
      </w:pPr>
      <w:r>
        <w:rPr>
          <w:rFonts w:hint="eastAsia" w:ascii="宋体" w:hAnsi="宋体" w:cs="宋体"/>
          <w:b/>
          <w:color w:val="auto"/>
          <w:sz w:val="24"/>
          <w:highlight w:val="none"/>
        </w:rPr>
        <w:t xml:space="preserve">     注：如为联合体竞标，盖章处须加盖联合体各方公章并由联合体各方法定代表人分别签署，否则响应文件按无效响应处理。</w:t>
      </w:r>
    </w:p>
    <w:p w14:paraId="0870B43C">
      <w:pPr>
        <w:spacing w:line="360" w:lineRule="auto"/>
        <w:contextualSpacing/>
        <w:jc w:val="left"/>
        <w:rPr>
          <w:rFonts w:hint="eastAsia" w:ascii="宋体" w:hAnsi="宋体" w:cs="宋体"/>
          <w:color w:val="auto"/>
          <w:szCs w:val="21"/>
          <w:highlight w:val="none"/>
        </w:rPr>
      </w:pPr>
    </w:p>
    <w:p w14:paraId="653FFC1D">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color w:val="auto"/>
          <w:sz w:val="24"/>
          <w:highlight w:val="none"/>
        </w:rPr>
        <w:t>（</w:t>
      </w:r>
      <w:r>
        <w:rPr>
          <w:rFonts w:hint="eastAsia" w:ascii="宋体" w:hAnsi="宋体"/>
          <w:color w:val="auto"/>
          <w:sz w:val="24"/>
          <w:highlight w:val="none"/>
        </w:rPr>
        <w:t>签字或者盖章或者电子签名</w:t>
      </w:r>
      <w:r>
        <w:rPr>
          <w:rFonts w:hint="eastAsia"/>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42388E2">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682601">
      <w:pPr>
        <w:spacing w:line="360" w:lineRule="auto"/>
        <w:ind w:firstLine="240" w:firstLineChars="1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 </w:t>
      </w:r>
    </w:p>
    <w:p w14:paraId="6CE9B9DC">
      <w:pPr>
        <w:spacing w:line="360" w:lineRule="auto"/>
        <w:jc w:val="center"/>
        <w:rPr>
          <w:rFonts w:hint="eastAsia" w:ascii="宋体" w:hAnsi="宋体" w:eastAsia="宋体" w:cs="宋体"/>
          <w:b/>
          <w:color w:val="auto"/>
          <w:sz w:val="32"/>
          <w:szCs w:val="32"/>
          <w:highlight w:val="none"/>
        </w:rPr>
      </w:pPr>
      <w:r>
        <w:rPr>
          <w:rFonts w:hint="eastAsia" w:ascii="宋体" w:hAnsi="宋体" w:cs="宋体"/>
          <w:color w:val="auto"/>
          <w:sz w:val="32"/>
          <w:szCs w:val="32"/>
          <w:highlight w:val="none"/>
        </w:rPr>
        <w:br w:type="page"/>
      </w:r>
      <w:bookmarkStart w:id="39" w:name="_Toc71366061"/>
      <w:bookmarkStart w:id="40" w:name="_Toc71365383"/>
      <w:r>
        <w:rPr>
          <w:rFonts w:hint="eastAsia" w:ascii="宋体" w:hAnsi="宋体" w:eastAsia="宋体" w:cs="宋体"/>
          <w:b/>
          <w:color w:val="auto"/>
          <w:sz w:val="32"/>
          <w:szCs w:val="32"/>
          <w:highlight w:val="none"/>
        </w:rPr>
        <w:t>中小企业声明函</w:t>
      </w:r>
      <w:bookmarkEnd w:id="39"/>
      <w:bookmarkEnd w:id="40"/>
    </w:p>
    <w:p w14:paraId="79A72E5D">
      <w:pPr>
        <w:spacing w:line="360" w:lineRule="auto"/>
        <w:rPr>
          <w:rFonts w:hint="eastAsia" w:ascii="宋体" w:hAnsi="宋体" w:cs="宋体"/>
          <w:color w:val="auto"/>
          <w:highlight w:val="none"/>
        </w:rPr>
      </w:pPr>
    </w:p>
    <w:p w14:paraId="4A8A1E23">
      <w:pPr>
        <w:pStyle w:val="10"/>
        <w:spacing w:after="0" w:line="360" w:lineRule="auto"/>
        <w:ind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w:t>
      </w:r>
      <w:r>
        <w:rPr>
          <w:rFonts w:hint="eastAsia" w:ascii="宋体" w:hAnsi="宋体" w:cs="宋体"/>
          <w:b w:val="0"/>
          <w:bCs w:val="0"/>
          <w:color w:val="auto"/>
          <w:sz w:val="24"/>
          <w:highlight w:val="none"/>
          <w:u w:val="none"/>
          <w:lang w:val="en-US" w:eastAsia="zh-CN"/>
        </w:rPr>
        <w:t>货物</w:t>
      </w:r>
      <w:r>
        <w:rPr>
          <w:rFonts w:hint="eastAsia" w:ascii="宋体" w:hAnsi="宋体" w:cs="宋体"/>
          <w:color w:val="auto"/>
          <w:sz w:val="24"/>
          <w:highlight w:val="none"/>
        </w:rPr>
        <w:t>全部由符合政策要求的中小企业制造</w:t>
      </w:r>
      <w:r>
        <w:rPr>
          <w:rFonts w:hint="eastAsia" w:ascii="宋体" w:hAnsi="宋体" w:cs="宋体"/>
          <w:b w:val="0"/>
          <w:bCs w:val="0"/>
          <w:color w:val="auto"/>
          <w:sz w:val="24"/>
          <w:highlight w:val="none"/>
          <w:u w:val="none"/>
        </w:rPr>
        <w:t>和提供</w:t>
      </w:r>
      <w:r>
        <w:rPr>
          <w:rFonts w:hint="eastAsia" w:ascii="宋体" w:hAnsi="宋体" w:cs="宋体"/>
          <w:color w:val="auto"/>
          <w:sz w:val="24"/>
          <w:highlight w:val="none"/>
        </w:rPr>
        <w:t>。相关企业（含联合体中的中小企业、签订分包意向协议的中小企业）的具体情况如下：</w:t>
      </w:r>
    </w:p>
    <w:p w14:paraId="48D2E073">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hint="eastAsia" w:ascii="宋体" w:hAnsi="宋体"/>
          <w:color w:val="auto"/>
          <w:sz w:val="24"/>
          <w:highlight w:val="none"/>
          <w:u w:val="single"/>
        </w:rPr>
        <w:t>）</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hint="eastAsia" w:ascii="宋体" w:hAnsi="宋体" w:cs="宋体"/>
          <w:b/>
          <w:bCs/>
          <w:color w:val="auto"/>
          <w:sz w:val="24"/>
          <w:highlight w:val="none"/>
          <w:u w:val="single"/>
        </w:rPr>
        <w:t xml:space="preserve"> </w:t>
      </w:r>
      <w:r>
        <w:rPr>
          <w:rFonts w:ascii="宋体" w:hAnsi="宋体"/>
          <w:color w:val="auto"/>
          <w:sz w:val="24"/>
          <w:highlight w:val="none"/>
        </w:rPr>
        <w:t>；</w:t>
      </w:r>
      <w:r>
        <w:rPr>
          <w:rFonts w:hint="eastAsia" w:ascii="宋体" w:hAnsi="宋体" w:cs="宋体"/>
          <w:b w:val="0"/>
          <w:bCs w:val="0"/>
          <w:color w:val="auto"/>
          <w:sz w:val="24"/>
          <w:highlight w:val="none"/>
        </w:rPr>
        <w:t>制造商</w:t>
      </w:r>
      <w:r>
        <w:rPr>
          <w:rFonts w:hint="eastAsia" w:ascii="宋体" w:hAnsi="宋体"/>
          <w:color w:val="auto"/>
          <w:sz w:val="24"/>
          <w:highlight w:val="none"/>
        </w:rPr>
        <w:t>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 xml:space="preserve">； </w:t>
      </w:r>
    </w:p>
    <w:p w14:paraId="5F078ED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s="宋体"/>
          <w:b w:val="0"/>
          <w:bCs w:val="0"/>
          <w:color w:val="auto"/>
          <w:sz w:val="24"/>
          <w:highlight w:val="none"/>
          <w:u w:val="none"/>
        </w:rPr>
        <w:t xml:space="preserve"> 制造商</w:t>
      </w:r>
      <w:r>
        <w:rPr>
          <w:rFonts w:hint="eastAsia" w:ascii="宋体" w:hAnsi="宋体"/>
          <w:color w:val="auto"/>
          <w:sz w:val="24"/>
          <w:highlight w:val="none"/>
        </w:rPr>
        <w:t>为</w:t>
      </w:r>
      <w:r>
        <w:rPr>
          <w:rFonts w:hint="eastAsia" w:ascii="宋体" w:hAnsi="宋体"/>
          <w:color w:val="auto"/>
          <w:sz w:val="24"/>
          <w:highlight w:val="none"/>
          <w:u w:val="single"/>
        </w:rPr>
        <w:t xml:space="preserve">（企业名称）  </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1551DF4">
      <w:pPr>
        <w:pStyle w:val="10"/>
        <w:spacing w:after="0" w:line="360" w:lineRule="auto"/>
        <w:ind w:firstLine="720" w:firstLineChars="300"/>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246263A">
      <w:pPr>
        <w:pStyle w:val="10"/>
        <w:spacing w:after="0" w:line="360" w:lineRule="auto"/>
        <w:ind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BF53DEA">
      <w:pPr>
        <w:pStyle w:val="10"/>
        <w:spacing w:after="0" w:line="360" w:lineRule="auto"/>
        <w:ind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8F84AA6">
      <w:pPr>
        <w:pStyle w:val="10"/>
        <w:spacing w:after="0" w:line="360" w:lineRule="auto"/>
        <w:contextualSpacing/>
        <w:rPr>
          <w:rFonts w:hint="eastAsia" w:ascii="宋体" w:hAnsi="宋体" w:cs="宋体"/>
          <w:color w:val="auto"/>
          <w:sz w:val="24"/>
          <w:highlight w:val="none"/>
        </w:rPr>
      </w:pPr>
    </w:p>
    <w:p w14:paraId="6AB88AC7">
      <w:pPr>
        <w:pStyle w:val="10"/>
        <w:spacing w:after="0"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企业名称（公章）：</w:t>
      </w:r>
    </w:p>
    <w:p w14:paraId="3083C33F">
      <w:pPr>
        <w:pStyle w:val="10"/>
        <w:spacing w:after="0"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日 期：</w:t>
      </w:r>
    </w:p>
    <w:p w14:paraId="101E8CFD">
      <w:pPr>
        <w:pStyle w:val="10"/>
        <w:spacing w:after="0" w:line="360" w:lineRule="auto"/>
        <w:contextualSpacing/>
        <w:rPr>
          <w:rFonts w:hint="eastAsia" w:ascii="宋体" w:hAnsi="宋体" w:cs="宋体"/>
          <w:color w:val="auto"/>
          <w:highlight w:val="none"/>
        </w:rPr>
      </w:pPr>
    </w:p>
    <w:p w14:paraId="51B1C74B">
      <w:pPr>
        <w:jc w:val="left"/>
        <w:rPr>
          <w:rFonts w:hint="eastAsia" w:ascii="宋体" w:hAnsi="宋体" w:cs="仿宋_GB2312"/>
          <w:color w:val="auto"/>
          <w:sz w:val="24"/>
          <w:highlight w:val="none"/>
        </w:rPr>
      </w:pPr>
      <w:r>
        <w:rPr>
          <w:rFonts w:hint="eastAsia" w:ascii="宋体" w:hAnsi="宋体" w:cs="仿宋_GB2312"/>
          <w:color w:val="auto"/>
          <w:sz w:val="24"/>
          <w:highlight w:val="none"/>
        </w:rPr>
        <w:t>注：1、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2B746B2">
      <w:pPr>
        <w:jc w:val="left"/>
        <w:rPr>
          <w:rFonts w:hint="eastAsia" w:ascii="宋体" w:hAnsi="宋体" w:cs="仿宋_GB2312"/>
          <w:color w:val="auto"/>
          <w:sz w:val="24"/>
          <w:highlight w:val="none"/>
        </w:rPr>
      </w:pPr>
      <w:r>
        <w:rPr>
          <w:rFonts w:hint="eastAsia" w:ascii="宋体" w:hAnsi="宋体" w:cs="仿宋_GB2312"/>
          <w:color w:val="auto"/>
          <w:sz w:val="24"/>
          <w:highlight w:val="none"/>
        </w:rPr>
        <w:t>2、供应商提供的《中小企业声明函》与事实不符的，依照《中华人民共和国政府采购法》第七十七条第一款的规定追究法律责任。</w:t>
      </w:r>
    </w:p>
    <w:p w14:paraId="014FAE3F">
      <w:pPr>
        <w:jc w:val="left"/>
        <w:rPr>
          <w:rFonts w:hint="eastAsia" w:ascii="宋体" w:hAnsi="宋体" w:cs="仿宋_GB2312"/>
          <w:color w:val="auto"/>
          <w:sz w:val="24"/>
          <w:highlight w:val="none"/>
        </w:rPr>
      </w:pPr>
      <w:r>
        <w:rPr>
          <w:rFonts w:hint="eastAsia" w:ascii="宋体" w:hAnsi="宋体" w:cs="仿宋_GB2312"/>
          <w:color w:val="auto"/>
          <w:sz w:val="24"/>
          <w:highlight w:val="none"/>
        </w:rPr>
        <w:t>3、未完整填写以上空白处信息，声明函将做无效处理。</w:t>
      </w:r>
    </w:p>
    <w:p w14:paraId="7EF4FE37">
      <w:pPr>
        <w:rPr>
          <w:rFonts w:hint="eastAsia" w:ascii="宋体" w:hAnsi="宋体" w:cs="宋体"/>
          <w:color w:val="auto"/>
          <w:sz w:val="24"/>
          <w:highlight w:val="none"/>
        </w:rPr>
      </w:pPr>
      <w:r>
        <w:rPr>
          <w:rFonts w:ascii="宋体" w:hAnsi="宋体" w:cs="宋体"/>
          <w:color w:val="auto"/>
          <w:sz w:val="24"/>
          <w:highlight w:val="none"/>
        </w:rPr>
        <w:br w:type="page"/>
      </w:r>
    </w:p>
    <w:p w14:paraId="35FE08A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28C643CC">
      <w:pPr>
        <w:spacing w:line="360" w:lineRule="auto"/>
        <w:rPr>
          <w:rFonts w:hint="eastAsia" w:ascii="宋体" w:hAnsi="宋体" w:cs="宋体"/>
          <w:color w:val="auto"/>
          <w:sz w:val="32"/>
          <w:szCs w:val="32"/>
          <w:highlight w:val="none"/>
        </w:rPr>
      </w:pPr>
    </w:p>
    <w:p w14:paraId="67FD35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4D165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1B80CED">
      <w:pPr>
        <w:spacing w:line="360" w:lineRule="auto"/>
        <w:contextualSpacing/>
        <w:rPr>
          <w:rFonts w:hint="eastAsia" w:ascii="宋体" w:hAnsi="宋体" w:cs="宋体"/>
          <w:color w:val="auto"/>
          <w:sz w:val="24"/>
          <w:highlight w:val="none"/>
        </w:rPr>
      </w:pPr>
    </w:p>
    <w:p w14:paraId="79EAF382">
      <w:pPr>
        <w:spacing w:line="360" w:lineRule="auto"/>
        <w:contextualSpacing/>
        <w:rPr>
          <w:rFonts w:hint="eastAsia" w:ascii="宋体" w:hAnsi="宋体" w:cs="宋体"/>
          <w:color w:val="auto"/>
          <w:sz w:val="24"/>
          <w:highlight w:val="none"/>
        </w:rPr>
      </w:pPr>
    </w:p>
    <w:p w14:paraId="66A8E8F7">
      <w:pPr>
        <w:spacing w:line="360" w:lineRule="auto"/>
        <w:contextualSpacing/>
        <w:rPr>
          <w:rFonts w:hint="eastAsia" w:ascii="宋体" w:hAnsi="宋体" w:cs="宋体"/>
          <w:color w:val="auto"/>
          <w:sz w:val="24"/>
          <w:highlight w:val="none"/>
        </w:rPr>
      </w:pPr>
    </w:p>
    <w:p w14:paraId="3CEB059D">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单位名称（公章）：</w:t>
      </w:r>
    </w:p>
    <w:p w14:paraId="7618AB25">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日  期：</w:t>
      </w:r>
    </w:p>
    <w:p w14:paraId="0E0416AA">
      <w:pPr>
        <w:spacing w:line="360" w:lineRule="auto"/>
        <w:contextualSpacing/>
        <w:rPr>
          <w:rFonts w:hint="eastAsia" w:ascii="宋体" w:hAnsi="宋体" w:cs="宋体"/>
          <w:color w:val="auto"/>
          <w:sz w:val="24"/>
          <w:highlight w:val="none"/>
        </w:rPr>
      </w:pPr>
    </w:p>
    <w:p w14:paraId="29712265">
      <w:pPr>
        <w:spacing w:line="360" w:lineRule="auto"/>
        <w:contextualSpacing/>
        <w:rPr>
          <w:rFonts w:hint="eastAsia" w:ascii="宋体" w:hAnsi="宋体" w:cs="宋体"/>
          <w:color w:val="auto"/>
          <w:sz w:val="24"/>
          <w:highlight w:val="none"/>
        </w:rPr>
      </w:pPr>
    </w:p>
    <w:p w14:paraId="4192A821">
      <w:pPr>
        <w:spacing w:line="360" w:lineRule="auto"/>
        <w:contextualSpacing/>
        <w:rPr>
          <w:rFonts w:hint="eastAsia" w:ascii="宋体" w:hAnsi="宋体" w:cs="宋体"/>
          <w:color w:val="auto"/>
          <w:sz w:val="24"/>
          <w:highlight w:val="none"/>
        </w:rPr>
      </w:pPr>
    </w:p>
    <w:p w14:paraId="3887FC4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350FFC">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32"/>
          <w:szCs w:val="32"/>
          <w:highlight w:val="none"/>
        </w:rPr>
        <w:t xml:space="preserve"> </w:t>
      </w:r>
    </w:p>
    <w:p w14:paraId="1154468E">
      <w:pPr>
        <w:spacing w:line="360" w:lineRule="auto"/>
        <w:contextualSpacing/>
        <w:jc w:val="left"/>
        <w:rPr>
          <w:rFonts w:hint="eastAsia"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49BB57BB">
      <w:pPr>
        <w:snapToGrid w:val="0"/>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430D417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81155AD">
      <w:pPr>
        <w:snapToGrid w:val="0"/>
        <w:spacing w:line="360" w:lineRule="auto"/>
        <w:rPr>
          <w:rFonts w:hint="eastAsia" w:ascii="宋体" w:hAnsi="宋体" w:cs="宋体"/>
          <w:color w:val="auto"/>
          <w:sz w:val="24"/>
          <w:highlight w:val="none"/>
        </w:rPr>
      </w:pPr>
    </w:p>
    <w:p w14:paraId="57801542">
      <w:pPr>
        <w:snapToGrid w:val="0"/>
        <w:spacing w:line="360" w:lineRule="auto"/>
        <w:rPr>
          <w:rFonts w:hint="eastAsia" w:ascii="宋体" w:hAnsi="宋体" w:cs="宋体"/>
          <w:color w:val="auto"/>
          <w:sz w:val="24"/>
          <w:szCs w:val="20"/>
          <w:highlight w:val="none"/>
        </w:rPr>
      </w:pPr>
    </w:p>
    <w:p w14:paraId="44F5406B">
      <w:pPr>
        <w:snapToGrid w:val="0"/>
        <w:spacing w:line="360" w:lineRule="auto"/>
        <w:jc w:val="center"/>
        <w:rPr>
          <w:rFonts w:hint="eastAsia" w:ascii="宋体" w:hAnsi="宋体"/>
          <w:color w:val="auto"/>
          <w:sz w:val="44"/>
          <w:szCs w:val="44"/>
          <w:highlight w:val="none"/>
        </w:rPr>
      </w:pPr>
      <w:r>
        <w:rPr>
          <w:rFonts w:hint="eastAsia" w:ascii="宋体" w:hAnsi="宋体"/>
          <w:color w:val="auto"/>
          <w:sz w:val="44"/>
          <w:szCs w:val="44"/>
          <w:highlight w:val="none"/>
        </w:rPr>
        <w:t>响  应  文  件</w:t>
      </w:r>
    </w:p>
    <w:p w14:paraId="2DD48CE8">
      <w:pPr>
        <w:snapToGrid w:val="0"/>
        <w:spacing w:line="360" w:lineRule="auto"/>
        <w:rPr>
          <w:rFonts w:hint="eastAsia" w:ascii="宋体" w:hAnsi="宋体" w:cs="宋体"/>
          <w:color w:val="auto"/>
          <w:sz w:val="24"/>
          <w:szCs w:val="20"/>
          <w:highlight w:val="none"/>
        </w:rPr>
      </w:pPr>
    </w:p>
    <w:p w14:paraId="3D7DFD36">
      <w:pPr>
        <w:snapToGrid w:val="0"/>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报 价 文 件</w:t>
      </w:r>
    </w:p>
    <w:p w14:paraId="217BAB64">
      <w:pPr>
        <w:snapToGrid w:val="0"/>
        <w:spacing w:line="360" w:lineRule="auto"/>
        <w:rPr>
          <w:rFonts w:hint="eastAsia" w:ascii="宋体" w:hAnsi="宋体" w:cs="宋体"/>
          <w:bCs/>
          <w:color w:val="auto"/>
          <w:sz w:val="28"/>
          <w:szCs w:val="28"/>
          <w:highlight w:val="none"/>
        </w:rPr>
      </w:pPr>
    </w:p>
    <w:p w14:paraId="3F34C7ED">
      <w:pPr>
        <w:snapToGrid w:val="0"/>
        <w:spacing w:line="360" w:lineRule="auto"/>
        <w:rPr>
          <w:rFonts w:hint="eastAsia" w:ascii="宋体" w:hAnsi="宋体" w:cs="宋体"/>
          <w:bCs/>
          <w:color w:val="auto"/>
          <w:sz w:val="28"/>
          <w:szCs w:val="28"/>
          <w:highlight w:val="none"/>
        </w:rPr>
      </w:pPr>
    </w:p>
    <w:p w14:paraId="158D1596">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F87FAB6">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044BF20E">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32498AC5">
      <w:pPr>
        <w:pStyle w:val="6"/>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52474930">
      <w:pPr>
        <w:pStyle w:val="6"/>
        <w:snapToGrid w:val="0"/>
        <w:spacing w:line="360" w:lineRule="auto"/>
        <w:ind w:firstLine="1680" w:firstLineChars="600"/>
        <w:rPr>
          <w:rFonts w:hint="eastAsia" w:ascii="宋体" w:hAnsi="宋体" w:cs="宋体"/>
          <w:bCs/>
          <w:color w:val="auto"/>
          <w:sz w:val="28"/>
          <w:szCs w:val="28"/>
          <w:highlight w:val="none"/>
        </w:rPr>
      </w:pPr>
    </w:p>
    <w:p w14:paraId="330F2973">
      <w:pPr>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1A684629">
      <w:pPr>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2.报价文件目录</w:t>
      </w:r>
    </w:p>
    <w:p w14:paraId="5F0AE4F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根据谈判文件规定及供应商提供的材料自行编写目录（部分格式后附）。</w:t>
      </w:r>
    </w:p>
    <w:p w14:paraId="1726011E">
      <w:pPr>
        <w:spacing w:line="360" w:lineRule="auto"/>
        <w:rPr>
          <w:rFonts w:hint="eastAsia" w:ascii="宋体" w:hAnsi="宋体" w:cs="宋体"/>
          <w:color w:val="auto"/>
          <w:sz w:val="32"/>
          <w:szCs w:val="32"/>
          <w:highlight w:val="none"/>
        </w:rPr>
      </w:pPr>
    </w:p>
    <w:p w14:paraId="1FB71CE4">
      <w:pPr>
        <w:spacing w:line="500" w:lineRule="exact"/>
        <w:jc w:val="center"/>
        <w:rPr>
          <w:rFonts w:hint="eastAsia"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Cs/>
          <w:color w:val="auto"/>
          <w:sz w:val="44"/>
          <w:szCs w:val="44"/>
          <w:highlight w:val="none"/>
        </w:rPr>
        <w:t>响应函</w:t>
      </w:r>
    </w:p>
    <w:p w14:paraId="33C932E0">
      <w:pPr>
        <w:spacing w:line="440" w:lineRule="exact"/>
        <w:rPr>
          <w:color w:val="auto"/>
          <w:sz w:val="24"/>
          <w:highlight w:val="none"/>
        </w:rPr>
      </w:pPr>
      <w:r>
        <w:rPr>
          <w:rFonts w:hint="eastAsia"/>
          <w:color w:val="auto"/>
          <w:sz w:val="24"/>
          <w:highlight w:val="none"/>
        </w:rPr>
        <w:t>致：</w:t>
      </w:r>
      <w:r>
        <w:rPr>
          <w:rFonts w:hint="eastAsia"/>
          <w:color w:val="auto"/>
          <w:sz w:val="24"/>
          <w:highlight w:val="none"/>
          <w:u w:val="single"/>
        </w:rPr>
        <w:t>（采购人名称）</w:t>
      </w:r>
    </w:p>
    <w:p w14:paraId="4D0AFBE9">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我方已仔细阅读了贵方组织的</w:t>
      </w:r>
      <w:bookmarkStart w:id="41" w:name="PO_3000001867_PM002_6"/>
      <w:r>
        <w:rPr>
          <w:rFonts w:hint="eastAsia"/>
          <w:color w:val="auto"/>
          <w:sz w:val="24"/>
          <w:highlight w:val="none"/>
          <w:u w:val="single"/>
        </w:rPr>
        <w:t>（项目名称）</w:t>
      </w:r>
      <w:bookmarkEnd w:id="41"/>
      <w:r>
        <w:rPr>
          <w:rFonts w:hint="eastAsia" w:ascii="宋体" w:hAnsi="Courier New"/>
          <w:color w:val="auto"/>
          <w:sz w:val="24"/>
          <w:highlight w:val="none"/>
        </w:rPr>
        <w:t>项目（项目编号：     ）的</w:t>
      </w:r>
      <w:r>
        <w:rPr>
          <w:rFonts w:hint="eastAsia" w:ascii="宋体"/>
          <w:color w:val="auto"/>
          <w:sz w:val="24"/>
          <w:highlight w:val="none"/>
        </w:rPr>
        <w:t>竞争性谈判文件</w:t>
      </w:r>
      <w:r>
        <w:rPr>
          <w:rFonts w:hint="eastAsia" w:ascii="宋体" w:hAnsi="Courier New"/>
          <w:color w:val="auto"/>
          <w:sz w:val="24"/>
          <w:highlight w:val="none"/>
        </w:rPr>
        <w:t>的全部内容，授权(全权代表姓名) (职务、职称)为全权代表，现正式递交下述文件参加贵方组织的本次政府采购活动：</w:t>
      </w:r>
    </w:p>
    <w:p w14:paraId="2785F8A0">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一、首次报价文件电子版一份（包含按“第二章 供应商须知”提交的全部文件）；</w:t>
      </w:r>
    </w:p>
    <w:p w14:paraId="30632891">
      <w:pPr>
        <w:spacing w:line="440" w:lineRule="exact"/>
        <w:ind w:firstLine="482"/>
        <w:rPr>
          <w:rFonts w:ascii="宋体" w:hAnsi="Courier New"/>
          <w:color w:val="auto"/>
          <w:sz w:val="24"/>
          <w:highlight w:val="none"/>
        </w:rPr>
      </w:pPr>
      <w:r>
        <w:rPr>
          <w:rFonts w:hint="eastAsia" w:ascii="宋体" w:hAnsi="Courier New"/>
          <w:color w:val="auto"/>
          <w:sz w:val="24"/>
          <w:highlight w:val="none"/>
        </w:rPr>
        <w:t>二、资格文件电子版一份（包含按“第二章 供应商须知”提交的全部文件）；</w:t>
      </w:r>
    </w:p>
    <w:p w14:paraId="6B524B76">
      <w:pPr>
        <w:spacing w:line="440" w:lineRule="exact"/>
        <w:ind w:firstLine="482"/>
        <w:rPr>
          <w:rFonts w:ascii="宋体" w:hAnsi="Courier New"/>
          <w:color w:val="auto"/>
          <w:sz w:val="24"/>
          <w:highlight w:val="none"/>
        </w:rPr>
      </w:pPr>
      <w:r>
        <w:rPr>
          <w:rFonts w:hint="eastAsia" w:ascii="宋体" w:hAnsi="Courier New"/>
          <w:color w:val="auto"/>
          <w:sz w:val="24"/>
          <w:highlight w:val="none"/>
        </w:rPr>
        <w:t>三、商务</w:t>
      </w:r>
      <w:r>
        <w:rPr>
          <w:rFonts w:hint="eastAsia" w:ascii="宋体" w:hAnsi="宋体"/>
          <w:color w:val="auto"/>
          <w:sz w:val="24"/>
          <w:highlight w:val="none"/>
        </w:rPr>
        <w:t>技术</w:t>
      </w:r>
      <w:r>
        <w:rPr>
          <w:rFonts w:hint="eastAsia" w:ascii="宋体" w:hAnsi="Courier New"/>
          <w:color w:val="auto"/>
          <w:sz w:val="24"/>
          <w:highlight w:val="none"/>
        </w:rPr>
        <w:t>文件电子版一份（包含按“第二章 供应商须知”提交的全部文件）；</w:t>
      </w:r>
    </w:p>
    <w:p w14:paraId="4B37EB98">
      <w:pPr>
        <w:spacing w:line="440" w:lineRule="exact"/>
        <w:ind w:firstLine="482"/>
        <w:rPr>
          <w:color w:val="auto"/>
          <w:sz w:val="24"/>
          <w:highlight w:val="none"/>
        </w:rPr>
      </w:pPr>
      <w:r>
        <w:rPr>
          <w:rFonts w:hint="eastAsia" w:ascii="宋体" w:hAnsi="Courier New"/>
          <w:color w:val="auto"/>
          <w:sz w:val="24"/>
          <w:highlight w:val="none"/>
        </w:rPr>
        <w:t>据此函，签字人兹宣布：</w:t>
      </w:r>
    </w:p>
    <w:p w14:paraId="62BF9635">
      <w:pPr>
        <w:spacing w:line="440" w:lineRule="exact"/>
        <w:ind w:firstLine="480" w:firstLineChars="200"/>
        <w:rPr>
          <w:color w:val="auto"/>
          <w:sz w:val="24"/>
          <w:highlight w:val="none"/>
        </w:rPr>
      </w:pPr>
      <w:r>
        <w:rPr>
          <w:rFonts w:hint="eastAsia" w:ascii="宋体" w:hAnsi="Courier New"/>
          <w:color w:val="auto"/>
          <w:sz w:val="24"/>
          <w:highlight w:val="none"/>
        </w:rPr>
        <w:t>1、我方愿意以（大写）</w:t>
      </w:r>
      <w:r>
        <w:rPr>
          <w:rFonts w:hint="eastAsia" w:ascii="宋体" w:hAnsi="Courier New"/>
          <w:b/>
          <w:bCs/>
          <w:color w:val="auto"/>
          <w:sz w:val="24"/>
          <w:highlight w:val="none"/>
        </w:rPr>
        <w:t>人民币</w:t>
      </w:r>
      <w:r>
        <w:rPr>
          <w:rFonts w:hint="eastAsia" w:ascii="宋体" w:hAnsi="Courier New"/>
          <w:b/>
          <w:bCs/>
          <w:color w:val="auto"/>
          <w:sz w:val="24"/>
          <w:highlight w:val="none"/>
          <w:u w:val="single"/>
        </w:rPr>
        <w:t xml:space="preserve">       </w:t>
      </w:r>
      <w:r>
        <w:rPr>
          <w:rFonts w:hint="eastAsia" w:ascii="宋体" w:hAnsi="Courier New"/>
          <w:b/>
          <w:bCs/>
          <w:color w:val="auto"/>
          <w:sz w:val="24"/>
          <w:highlight w:val="none"/>
        </w:rPr>
        <w:t>元 (￥</w:t>
      </w:r>
      <w:r>
        <w:rPr>
          <w:rFonts w:hint="eastAsia" w:ascii="宋体" w:hAnsi="Courier New"/>
          <w:b/>
          <w:bCs/>
          <w:color w:val="auto"/>
          <w:sz w:val="24"/>
          <w:highlight w:val="none"/>
          <w:u w:val="single"/>
        </w:rPr>
        <w:t xml:space="preserve">      </w:t>
      </w:r>
      <w:r>
        <w:rPr>
          <w:rFonts w:hint="eastAsia" w:ascii="宋体" w:hAnsi="Courier New"/>
          <w:b/>
          <w:bCs/>
          <w:color w:val="auto"/>
          <w:sz w:val="24"/>
          <w:highlight w:val="none"/>
        </w:rPr>
        <w:t>元)的竞标</w:t>
      </w:r>
      <w:r>
        <w:rPr>
          <w:rFonts w:hint="eastAsia" w:ascii="宋体" w:hAnsi="Courier New"/>
          <w:b/>
          <w:bCs/>
          <w:color w:val="auto"/>
          <w:sz w:val="24"/>
          <w:highlight w:val="none"/>
          <w:lang w:val="en-US" w:eastAsia="zh-CN"/>
        </w:rPr>
        <w:t>总</w:t>
      </w:r>
      <w:r>
        <w:rPr>
          <w:rFonts w:hint="eastAsia" w:ascii="宋体" w:hAnsi="Courier New"/>
          <w:b/>
          <w:bCs/>
          <w:color w:val="auto"/>
          <w:sz w:val="24"/>
          <w:highlight w:val="none"/>
        </w:rPr>
        <w:t>报价，交货时间（无分标时填写）</w:t>
      </w:r>
      <w:r>
        <w:rPr>
          <w:rFonts w:hint="eastAsia" w:ascii="宋体" w:hAnsi="Courier New"/>
          <w:b/>
          <w:bCs/>
          <w:color w:val="auto"/>
          <w:sz w:val="24"/>
          <w:highlight w:val="none"/>
          <w:u w:val="single"/>
        </w:rPr>
        <w:t xml:space="preserve">        </w:t>
      </w:r>
      <w:r>
        <w:rPr>
          <w:rFonts w:hint="eastAsia" w:ascii="宋体" w:hAnsi="Courier New"/>
          <w:color w:val="auto"/>
          <w:sz w:val="24"/>
          <w:highlight w:val="none"/>
        </w:rPr>
        <w:t>，提供本项目</w:t>
      </w:r>
      <w:r>
        <w:rPr>
          <w:rFonts w:hint="eastAsia" w:ascii="宋体"/>
          <w:color w:val="auto"/>
          <w:sz w:val="24"/>
          <w:highlight w:val="none"/>
        </w:rPr>
        <w:t>竞争性谈判文件第三章</w:t>
      </w:r>
      <w:r>
        <w:rPr>
          <w:rFonts w:hint="eastAsia" w:ascii="宋体" w:hAnsi="Courier New"/>
          <w:color w:val="auto"/>
          <w:sz w:val="24"/>
          <w:highlight w:val="none"/>
        </w:rPr>
        <w:t>“采购需求”中的相应的采购内容。</w:t>
      </w:r>
    </w:p>
    <w:p w14:paraId="3AE93DFC">
      <w:pPr>
        <w:spacing w:line="440" w:lineRule="exact"/>
        <w:ind w:firstLine="480" w:firstLineChars="200"/>
        <w:rPr>
          <w:color w:val="auto"/>
          <w:sz w:val="24"/>
          <w:highlight w:val="none"/>
        </w:rPr>
      </w:pPr>
      <w:r>
        <w:rPr>
          <w:rFonts w:hint="eastAsia" w:ascii="宋体" w:hAnsi="Courier New"/>
          <w:color w:val="auto"/>
          <w:sz w:val="24"/>
          <w:highlight w:val="none"/>
        </w:rPr>
        <w:t>其中（有分标时填写）：/</w:t>
      </w:r>
    </w:p>
    <w:p w14:paraId="291173A8">
      <w:pPr>
        <w:spacing w:line="360" w:lineRule="exact"/>
        <w:ind w:firstLine="480" w:firstLineChars="200"/>
        <w:rPr>
          <w:rFonts w:ascii="宋体" w:hAnsi="Courier New"/>
          <w:color w:val="auto"/>
          <w:sz w:val="24"/>
          <w:highlight w:val="none"/>
          <w:u w:val="single"/>
        </w:rPr>
      </w:pPr>
      <w:r>
        <w:rPr>
          <w:rFonts w:hint="eastAsia" w:ascii="宋体" w:hAnsi="Courier New"/>
          <w:color w:val="auto"/>
          <w:sz w:val="24"/>
          <w:highlight w:val="none"/>
        </w:rPr>
        <w:t>分标报价为（大写）人民币</w:t>
      </w:r>
      <w:r>
        <w:rPr>
          <w:rFonts w:hint="eastAsia" w:ascii="宋体" w:hAnsi="Courier New"/>
          <w:color w:val="auto"/>
          <w:sz w:val="24"/>
          <w:highlight w:val="none"/>
          <w:u w:val="single"/>
        </w:rPr>
        <w:t xml:space="preserve">   /    </w:t>
      </w:r>
      <w:r>
        <w:rPr>
          <w:rFonts w:hint="eastAsia" w:ascii="宋体" w:hAnsi="Courier New"/>
          <w:color w:val="auto"/>
          <w:sz w:val="24"/>
          <w:highlight w:val="none"/>
        </w:rPr>
        <w:t>元 (￥</w:t>
      </w:r>
      <w:r>
        <w:rPr>
          <w:rFonts w:hint="eastAsia" w:ascii="宋体" w:hAnsi="Courier New"/>
          <w:color w:val="auto"/>
          <w:sz w:val="24"/>
          <w:highlight w:val="none"/>
          <w:u w:val="single"/>
        </w:rPr>
        <w:t xml:space="preserve"> /  </w:t>
      </w:r>
      <w:r>
        <w:rPr>
          <w:rFonts w:hint="eastAsia" w:ascii="宋体" w:hAnsi="Courier New"/>
          <w:color w:val="auto"/>
          <w:sz w:val="24"/>
          <w:highlight w:val="none"/>
        </w:rPr>
        <w:t>元)，交货时间：</w:t>
      </w:r>
      <w:r>
        <w:rPr>
          <w:rFonts w:hint="eastAsia" w:ascii="宋体" w:hAnsi="Courier New"/>
          <w:color w:val="auto"/>
          <w:sz w:val="24"/>
          <w:highlight w:val="none"/>
          <w:u w:val="single"/>
        </w:rPr>
        <w:t xml:space="preserve">     /     </w:t>
      </w:r>
      <w:r>
        <w:rPr>
          <w:rFonts w:hint="eastAsia" w:ascii="宋体" w:hAnsi="Courier New"/>
          <w:color w:val="auto"/>
          <w:sz w:val="24"/>
          <w:highlight w:val="none"/>
        </w:rPr>
        <w:t>；</w:t>
      </w:r>
    </w:p>
    <w:p w14:paraId="40BA187A">
      <w:pPr>
        <w:spacing w:line="360" w:lineRule="exact"/>
        <w:ind w:firstLine="480" w:firstLineChars="200"/>
        <w:rPr>
          <w:rFonts w:ascii="宋体" w:hAnsi="Courier New"/>
          <w:color w:val="auto"/>
          <w:sz w:val="24"/>
          <w:highlight w:val="none"/>
          <w:u w:val="single"/>
        </w:rPr>
      </w:pPr>
      <w:r>
        <w:rPr>
          <w:rFonts w:hint="eastAsia" w:ascii="宋体" w:hAnsi="Courier New"/>
          <w:color w:val="auto"/>
          <w:sz w:val="24"/>
          <w:highlight w:val="none"/>
        </w:rPr>
        <w:t>分标报价为（大写）人民币</w:t>
      </w:r>
      <w:r>
        <w:rPr>
          <w:rFonts w:hint="eastAsia" w:ascii="宋体" w:hAnsi="Courier New"/>
          <w:color w:val="auto"/>
          <w:sz w:val="24"/>
          <w:highlight w:val="none"/>
          <w:u w:val="single"/>
        </w:rPr>
        <w:t xml:space="preserve">  /   </w:t>
      </w:r>
      <w:r>
        <w:rPr>
          <w:rFonts w:hint="eastAsia" w:ascii="宋体" w:hAnsi="Courier New"/>
          <w:color w:val="auto"/>
          <w:sz w:val="24"/>
          <w:highlight w:val="none"/>
        </w:rPr>
        <w:t>元 (￥</w:t>
      </w:r>
      <w:r>
        <w:rPr>
          <w:rFonts w:hint="eastAsia" w:ascii="宋体" w:hAnsi="Courier New"/>
          <w:color w:val="auto"/>
          <w:sz w:val="24"/>
          <w:highlight w:val="none"/>
          <w:u w:val="single"/>
        </w:rPr>
        <w:t xml:space="preserve">  /  </w:t>
      </w:r>
      <w:r>
        <w:rPr>
          <w:rFonts w:hint="eastAsia" w:ascii="宋体" w:hAnsi="Courier New"/>
          <w:color w:val="auto"/>
          <w:sz w:val="24"/>
          <w:highlight w:val="none"/>
        </w:rPr>
        <w:t>元)，交货时间：</w:t>
      </w:r>
      <w:r>
        <w:rPr>
          <w:rFonts w:hint="eastAsia" w:ascii="宋体" w:hAnsi="Courier New"/>
          <w:color w:val="auto"/>
          <w:sz w:val="24"/>
          <w:highlight w:val="none"/>
          <w:u w:val="single"/>
        </w:rPr>
        <w:t xml:space="preserve">     /      </w:t>
      </w:r>
      <w:r>
        <w:rPr>
          <w:rFonts w:hint="eastAsia" w:ascii="宋体" w:hAnsi="Courier New"/>
          <w:color w:val="auto"/>
          <w:sz w:val="24"/>
          <w:highlight w:val="none"/>
        </w:rPr>
        <w:t>；</w:t>
      </w:r>
    </w:p>
    <w:p w14:paraId="0796DE74">
      <w:pPr>
        <w:spacing w:line="360" w:lineRule="exact"/>
        <w:ind w:firstLine="480" w:firstLineChars="200"/>
        <w:rPr>
          <w:rFonts w:ascii="宋体" w:hAnsi="Courier New"/>
          <w:color w:val="auto"/>
          <w:sz w:val="24"/>
          <w:highlight w:val="none"/>
          <w:u w:val="single"/>
        </w:rPr>
      </w:pPr>
      <w:r>
        <w:rPr>
          <w:rFonts w:hint="eastAsia" w:ascii="宋体" w:hAnsi="Courier New"/>
          <w:color w:val="auto"/>
          <w:sz w:val="24"/>
          <w:highlight w:val="none"/>
        </w:rPr>
        <w:t>......</w:t>
      </w:r>
    </w:p>
    <w:p w14:paraId="6A395D89">
      <w:pPr>
        <w:spacing w:line="360" w:lineRule="exact"/>
        <w:ind w:firstLine="480" w:firstLineChars="200"/>
        <w:rPr>
          <w:rFonts w:ascii="宋体" w:hAnsi="Courier New"/>
          <w:color w:val="auto"/>
          <w:sz w:val="24"/>
          <w:highlight w:val="none"/>
          <w:u w:val="single"/>
        </w:rPr>
      </w:pPr>
      <w:r>
        <w:rPr>
          <w:rFonts w:hint="eastAsia" w:ascii="宋体" w:hAnsi="Courier New"/>
          <w:color w:val="auto"/>
          <w:sz w:val="24"/>
          <w:highlight w:val="none"/>
        </w:rPr>
        <w:t>2、我方同意自本项目</w:t>
      </w:r>
      <w:r>
        <w:rPr>
          <w:rFonts w:hint="eastAsia" w:ascii="宋体"/>
          <w:color w:val="auto"/>
          <w:sz w:val="24"/>
          <w:highlight w:val="none"/>
        </w:rPr>
        <w:t>竞争性谈判文件采购公告规定的</w:t>
      </w:r>
      <w:r>
        <w:rPr>
          <w:rFonts w:hint="eastAsia" w:ascii="宋体" w:hAnsi="Courier New"/>
          <w:color w:val="auto"/>
          <w:sz w:val="24"/>
          <w:highlight w:val="none"/>
        </w:rPr>
        <w:t>递交响应文件截止时间起遵循</w:t>
      </w:r>
      <w:r>
        <w:rPr>
          <w:rFonts w:hint="eastAsia" w:ascii="宋体" w:hAnsi="宋体"/>
          <w:color w:val="auto"/>
          <w:sz w:val="24"/>
          <w:highlight w:val="none"/>
        </w:rPr>
        <w:t>本响应函</w:t>
      </w:r>
      <w:r>
        <w:rPr>
          <w:rFonts w:hint="eastAsia" w:ascii="宋体" w:hAnsi="Courier New"/>
          <w:color w:val="auto"/>
          <w:sz w:val="24"/>
          <w:highlight w:val="none"/>
        </w:rPr>
        <w:t>，并承诺在“第二章 供应商须知”规定的响应有效期内不修改、撤销竞标文件。</w:t>
      </w:r>
    </w:p>
    <w:p w14:paraId="7E15BEA9">
      <w:pPr>
        <w:spacing w:line="360" w:lineRule="exact"/>
        <w:ind w:firstLine="480" w:firstLineChars="200"/>
        <w:rPr>
          <w:rFonts w:ascii="宋体" w:hAnsi="Courier New"/>
          <w:color w:val="auto"/>
          <w:sz w:val="24"/>
          <w:highlight w:val="none"/>
          <w:u w:val="single"/>
        </w:rPr>
      </w:pPr>
      <w:r>
        <w:rPr>
          <w:rFonts w:hint="eastAsia" w:ascii="宋体" w:hAnsi="Courier New"/>
          <w:color w:val="auto"/>
          <w:sz w:val="24"/>
          <w:highlight w:val="none"/>
        </w:rPr>
        <w:t>3、我方在此声明，所递交的响应文件及有关资料都是内容完整、真实和准确的。</w:t>
      </w:r>
    </w:p>
    <w:p w14:paraId="665C5B98">
      <w:pPr>
        <w:spacing w:line="440" w:lineRule="exact"/>
        <w:ind w:firstLine="482"/>
        <w:rPr>
          <w:rFonts w:ascii="宋体" w:hAnsi="Courier New"/>
          <w:color w:val="auto"/>
          <w:sz w:val="24"/>
          <w:highlight w:val="none"/>
        </w:rPr>
      </w:pPr>
      <w:r>
        <w:rPr>
          <w:rFonts w:hint="eastAsia" w:ascii="宋体" w:hAnsi="Courier New"/>
          <w:color w:val="auto"/>
          <w:sz w:val="24"/>
          <w:highlight w:val="none"/>
        </w:rPr>
        <w:t>4、如本项目采购内容涉及须符合国家强制规定的，我方承诺我方本次竞标均符合国家有关强制规定。</w:t>
      </w:r>
    </w:p>
    <w:p w14:paraId="0E1CF012">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5、如我方成交，我方承诺在收到成交通知书后，在成交通知书规定的期限内，</w:t>
      </w:r>
      <w:r>
        <w:rPr>
          <w:rFonts w:hint="eastAsia" w:ascii="宋体" w:hAnsi="宋体"/>
          <w:color w:val="auto"/>
          <w:sz w:val="24"/>
          <w:highlight w:val="none"/>
        </w:rPr>
        <w:t>根据竞争性谈判文件、我方的响应文件及有关澄清承诺书的要求按第六章“合同文本”与采购人订立书面合同，并按照合同约定</w:t>
      </w:r>
      <w:r>
        <w:rPr>
          <w:rFonts w:hint="eastAsia" w:ascii="宋体" w:hAnsi="Courier New"/>
          <w:color w:val="auto"/>
          <w:sz w:val="24"/>
          <w:highlight w:val="none"/>
        </w:rPr>
        <w:t>承担完成合同的责任和义务。</w:t>
      </w:r>
    </w:p>
    <w:p w14:paraId="46437723">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6、我方已详细审核竞争性谈判文件，我方知道必须放弃提出含糊不清或误解问题的权利。</w:t>
      </w:r>
    </w:p>
    <w:p w14:paraId="6A4C2551">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7、我方承诺满足竞争性谈判采购文件第六章“合同文本”的条款，承担完成合同的责任和义务</w:t>
      </w:r>
    </w:p>
    <w:p w14:paraId="11C066FE">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8、我方同意应贵方要求进行谈判，并按要求提供与本竞标有关的任何数据或资料，若贵方需要，我方愿意提供我方作出的一切承诺的证明材料。</w:t>
      </w:r>
    </w:p>
    <w:p w14:paraId="64A0A420">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9、我方完全理解贵方不一定接受</w:t>
      </w:r>
      <w:r>
        <w:rPr>
          <w:rFonts w:hint="eastAsia" w:ascii="宋体" w:hAnsi="Courier New"/>
          <w:color w:val="auto"/>
          <w:sz w:val="24"/>
          <w:highlight w:val="none"/>
          <w:lang w:val="en-US" w:eastAsia="zh-CN"/>
        </w:rPr>
        <w:t>竞标</w:t>
      </w:r>
      <w:r>
        <w:rPr>
          <w:rFonts w:hint="eastAsia" w:ascii="宋体" w:hAnsi="Courier New"/>
          <w:color w:val="auto"/>
          <w:sz w:val="24"/>
          <w:highlight w:val="none"/>
        </w:rPr>
        <w:t>报价最低的竞标人为成交供应商的行为。</w:t>
      </w:r>
    </w:p>
    <w:p w14:paraId="29853786">
      <w:pPr>
        <w:spacing w:line="440" w:lineRule="exact"/>
        <w:ind w:firstLine="480" w:firstLineChars="200"/>
        <w:rPr>
          <w:rFonts w:ascii="宋体" w:hAnsi="Courier New"/>
          <w:color w:val="auto"/>
          <w:sz w:val="24"/>
          <w:highlight w:val="none"/>
        </w:rPr>
      </w:pPr>
      <w:r>
        <w:rPr>
          <w:rFonts w:hint="eastAsia" w:ascii="宋体" w:hAnsi="Courier New"/>
          <w:color w:val="auto"/>
          <w:sz w:val="24"/>
          <w:highlight w:val="none"/>
        </w:rPr>
        <w:t>10、我方将严格遵守《中华人民共和国政府采购法》第七十七条的规定，即供应商有下列情形之一的，处以采购金额千分之五以上千分之十</w:t>
      </w:r>
      <w:r>
        <w:rPr>
          <w:rFonts w:hint="eastAsia" w:ascii="宋体" w:hAnsi="宋体"/>
          <w:color w:val="auto"/>
          <w:sz w:val="24"/>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C425221">
      <w:pPr>
        <w:numPr>
          <w:ilvl w:val="0"/>
          <w:numId w:val="2"/>
        </w:numPr>
        <w:spacing w:line="440" w:lineRule="exact"/>
        <w:rPr>
          <w:rFonts w:hint="eastAsia" w:ascii="宋体" w:hAnsi="宋体"/>
          <w:color w:val="auto"/>
          <w:sz w:val="24"/>
          <w:highlight w:val="none"/>
        </w:rPr>
      </w:pPr>
      <w:r>
        <w:rPr>
          <w:rFonts w:hint="eastAsia" w:ascii="宋体" w:hAnsi="宋体"/>
          <w:color w:val="auto"/>
          <w:sz w:val="24"/>
          <w:highlight w:val="none"/>
        </w:rPr>
        <w:t>提供虚假材料谋取中标、成交的；</w:t>
      </w:r>
    </w:p>
    <w:p w14:paraId="4AF24EE4">
      <w:pPr>
        <w:numPr>
          <w:ilvl w:val="0"/>
          <w:numId w:val="2"/>
        </w:numPr>
        <w:spacing w:line="440" w:lineRule="exact"/>
        <w:rPr>
          <w:rFonts w:hint="eastAsia" w:ascii="宋体" w:hAnsi="宋体"/>
          <w:color w:val="auto"/>
          <w:sz w:val="24"/>
          <w:highlight w:val="none"/>
        </w:rPr>
      </w:pPr>
      <w:r>
        <w:rPr>
          <w:rFonts w:hint="eastAsia" w:ascii="宋体" w:hAnsi="宋体"/>
          <w:color w:val="auto"/>
          <w:sz w:val="24"/>
          <w:highlight w:val="none"/>
        </w:rPr>
        <w:t>采取不正当手段诋毁、排挤其他供应商的；</w:t>
      </w:r>
    </w:p>
    <w:p w14:paraId="4A07BD1B">
      <w:pPr>
        <w:numPr>
          <w:ilvl w:val="0"/>
          <w:numId w:val="2"/>
        </w:numPr>
        <w:spacing w:line="440" w:lineRule="exact"/>
        <w:rPr>
          <w:rFonts w:ascii="宋体" w:hAnsi="Courier New"/>
          <w:color w:val="auto"/>
          <w:sz w:val="24"/>
          <w:highlight w:val="none"/>
        </w:rPr>
      </w:pPr>
      <w:r>
        <w:rPr>
          <w:rFonts w:hint="eastAsia" w:ascii="宋体" w:hAnsi="宋体"/>
          <w:color w:val="auto"/>
          <w:sz w:val="24"/>
          <w:highlight w:val="none"/>
        </w:rPr>
        <w:t>与采购人、其他供应商或者采购代理机构恶意串通的；</w:t>
      </w:r>
    </w:p>
    <w:p w14:paraId="31044893">
      <w:pPr>
        <w:numPr>
          <w:ilvl w:val="0"/>
          <w:numId w:val="2"/>
        </w:numPr>
        <w:spacing w:line="440" w:lineRule="exact"/>
        <w:rPr>
          <w:rFonts w:ascii="宋体" w:hAnsi="Courier New"/>
          <w:color w:val="auto"/>
          <w:sz w:val="24"/>
          <w:highlight w:val="none"/>
        </w:rPr>
      </w:pPr>
      <w:r>
        <w:rPr>
          <w:rFonts w:hint="eastAsia" w:ascii="宋体" w:hAnsi="宋体"/>
          <w:color w:val="auto"/>
          <w:sz w:val="24"/>
          <w:highlight w:val="none"/>
        </w:rPr>
        <w:t>向采购人、采购代理机构行贿或者提供其他不正当利益的；</w:t>
      </w:r>
    </w:p>
    <w:p w14:paraId="2A6C5D90">
      <w:pPr>
        <w:numPr>
          <w:ilvl w:val="0"/>
          <w:numId w:val="2"/>
        </w:numPr>
        <w:spacing w:line="440" w:lineRule="exact"/>
        <w:rPr>
          <w:rFonts w:ascii="宋体" w:hAnsi="Courier New"/>
          <w:color w:val="auto"/>
          <w:sz w:val="24"/>
          <w:highlight w:val="none"/>
        </w:rPr>
      </w:pPr>
      <w:r>
        <w:rPr>
          <w:rFonts w:hint="eastAsia" w:ascii="宋体" w:hAnsi="宋体"/>
          <w:color w:val="auto"/>
          <w:sz w:val="24"/>
          <w:highlight w:val="none"/>
        </w:rPr>
        <w:t>在招标采购过程中与采购人进行协商谈判的；</w:t>
      </w:r>
    </w:p>
    <w:p w14:paraId="6DAB530E">
      <w:pPr>
        <w:numPr>
          <w:ilvl w:val="0"/>
          <w:numId w:val="2"/>
        </w:numPr>
        <w:spacing w:line="440" w:lineRule="exact"/>
        <w:rPr>
          <w:rFonts w:ascii="宋体" w:hAnsi="Courier New"/>
          <w:color w:val="auto"/>
          <w:sz w:val="24"/>
          <w:highlight w:val="none"/>
        </w:rPr>
      </w:pPr>
      <w:r>
        <w:rPr>
          <w:rFonts w:hint="eastAsia" w:ascii="宋体" w:hAnsi="宋体"/>
          <w:color w:val="auto"/>
          <w:sz w:val="24"/>
          <w:highlight w:val="none"/>
        </w:rPr>
        <w:t>拒绝有关部门监督检查或提供虚假情况的。</w:t>
      </w:r>
    </w:p>
    <w:p w14:paraId="2D323140">
      <w:pPr>
        <w:spacing w:line="440" w:lineRule="exact"/>
        <w:ind w:left="420"/>
        <w:rPr>
          <w:rFonts w:ascii="宋体" w:hAnsi="Courier New"/>
          <w:color w:val="auto"/>
          <w:sz w:val="24"/>
          <w:highlight w:val="none"/>
        </w:rPr>
      </w:pPr>
      <w:r>
        <w:rPr>
          <w:rFonts w:hint="eastAsia" w:ascii="宋体" w:hAnsi="Courier New"/>
          <w:color w:val="auto"/>
          <w:sz w:val="24"/>
          <w:highlight w:val="none"/>
        </w:rPr>
        <w:t>11、我方及由本人担任法定代表人的其他机构最近三年内被处罚的违法行为有：</w:t>
      </w:r>
    </w:p>
    <w:p w14:paraId="5E08F9E3">
      <w:pPr>
        <w:spacing w:line="360" w:lineRule="auto"/>
        <w:ind w:firstLine="420"/>
        <w:rPr>
          <w:rFonts w:ascii="宋体" w:hAnsi="Courier New"/>
          <w:color w:val="auto"/>
          <w:sz w:val="24"/>
          <w:highlight w:val="none"/>
        </w:rPr>
      </w:pPr>
      <w:r>
        <w:rPr>
          <w:rFonts w:hint="eastAsia" w:ascii="宋体" w:hAnsi="Courier New"/>
          <w:color w:val="auto"/>
          <w:sz w:val="24"/>
          <w:highlight w:val="none"/>
        </w:rPr>
        <w:t>12、以上事项如有虚假或隐瞒，我方愿意承担一切后果，并不再寻求任何旨在减轻或免除法律责任的辩解。</w:t>
      </w:r>
    </w:p>
    <w:p w14:paraId="75BCA1D4">
      <w:pPr>
        <w:spacing w:line="360" w:lineRule="auto"/>
        <w:ind w:firstLine="420"/>
        <w:rPr>
          <w:rFonts w:ascii="宋体" w:hAnsi="Courier New"/>
          <w:color w:val="auto"/>
          <w:sz w:val="24"/>
          <w:highlight w:val="none"/>
        </w:rPr>
      </w:pPr>
      <w:r>
        <w:rPr>
          <w:rFonts w:hint="eastAsia" w:ascii="宋体" w:hAnsi="Courier New"/>
          <w:color w:val="auto"/>
          <w:sz w:val="24"/>
          <w:highlight w:val="none"/>
        </w:rPr>
        <w:t>13、与本竞标有关的一切正式往来信函请寄：</w:t>
      </w:r>
    </w:p>
    <w:p w14:paraId="7EB8AA03">
      <w:pPr>
        <w:spacing w:line="360" w:lineRule="auto"/>
        <w:ind w:firstLine="420"/>
        <w:rPr>
          <w:rFonts w:ascii="宋体" w:hAnsi="Courier New"/>
          <w:color w:val="auto"/>
          <w:sz w:val="24"/>
          <w:highlight w:val="none"/>
        </w:rPr>
      </w:pPr>
      <w:r>
        <w:rPr>
          <w:rFonts w:hint="eastAsia" w:ascii="宋体" w:hAnsi="Courier New"/>
          <w:color w:val="auto"/>
          <w:sz w:val="24"/>
          <w:highlight w:val="none"/>
        </w:rPr>
        <w:t>地址：</w:t>
      </w:r>
      <w:r>
        <w:rPr>
          <w:rFonts w:hint="eastAsia" w:ascii="宋体" w:hAnsi="Courier New"/>
          <w:color w:val="auto"/>
          <w:sz w:val="24"/>
          <w:highlight w:val="none"/>
          <w:u w:val="single"/>
        </w:rPr>
        <w:t>　　　　　　　　　　　　　　　　　　　　　　　　　　　　</w:t>
      </w:r>
    </w:p>
    <w:p w14:paraId="6261FC0E">
      <w:pPr>
        <w:spacing w:line="360" w:lineRule="auto"/>
        <w:ind w:firstLine="420"/>
        <w:rPr>
          <w:rFonts w:ascii="宋体" w:hAnsi="Courier New"/>
          <w:color w:val="auto"/>
          <w:sz w:val="24"/>
          <w:highlight w:val="none"/>
          <w:u w:val="single"/>
        </w:rPr>
      </w:pPr>
      <w:r>
        <w:rPr>
          <w:rFonts w:hint="eastAsia" w:ascii="宋体" w:hAnsi="Courier New"/>
          <w:color w:val="auto"/>
          <w:sz w:val="24"/>
          <w:highlight w:val="none"/>
        </w:rPr>
        <w:t>电话：</w:t>
      </w:r>
      <w:r>
        <w:rPr>
          <w:rFonts w:hint="eastAsia" w:ascii="宋体" w:hAnsi="Courier New"/>
          <w:color w:val="auto"/>
          <w:sz w:val="24"/>
          <w:highlight w:val="none"/>
          <w:u w:val="single"/>
        </w:rPr>
        <w:t>　　　　　　　　　　　　　　　　　　　　　　　　　　　　</w:t>
      </w:r>
    </w:p>
    <w:p w14:paraId="270073B6">
      <w:pPr>
        <w:spacing w:line="360" w:lineRule="auto"/>
        <w:ind w:firstLine="420"/>
        <w:rPr>
          <w:rFonts w:ascii="宋体" w:hAnsi="Courier New"/>
          <w:color w:val="auto"/>
          <w:sz w:val="24"/>
          <w:highlight w:val="none"/>
        </w:rPr>
      </w:pPr>
      <w:r>
        <w:rPr>
          <w:rFonts w:hint="eastAsia" w:ascii="宋体" w:hAnsi="Courier New"/>
          <w:color w:val="auto"/>
          <w:sz w:val="24"/>
          <w:highlight w:val="none"/>
        </w:rPr>
        <w:t>传真：</w:t>
      </w:r>
      <w:r>
        <w:rPr>
          <w:rFonts w:hint="eastAsia" w:ascii="宋体" w:hAnsi="Courier New"/>
          <w:color w:val="auto"/>
          <w:sz w:val="24"/>
          <w:highlight w:val="none"/>
          <w:u w:val="single"/>
        </w:rPr>
        <w:t>　　　　　　　　　　　　　　　　　　　　　　　　　　　　</w:t>
      </w:r>
    </w:p>
    <w:p w14:paraId="57C9589C">
      <w:pPr>
        <w:spacing w:line="360" w:lineRule="auto"/>
        <w:ind w:firstLine="420"/>
        <w:rPr>
          <w:rFonts w:ascii="宋体" w:hAnsi="Courier New"/>
          <w:color w:val="auto"/>
          <w:sz w:val="24"/>
          <w:highlight w:val="none"/>
          <w:u w:val="single"/>
        </w:rPr>
      </w:pPr>
      <w:r>
        <w:rPr>
          <w:rFonts w:hint="eastAsia" w:ascii="宋体" w:hAnsi="Courier New"/>
          <w:color w:val="auto"/>
          <w:sz w:val="24"/>
          <w:highlight w:val="none"/>
        </w:rPr>
        <w:t>邮政编码：</w:t>
      </w:r>
      <w:r>
        <w:rPr>
          <w:rFonts w:hint="eastAsia" w:ascii="宋体" w:hAnsi="Courier New"/>
          <w:color w:val="auto"/>
          <w:sz w:val="24"/>
          <w:highlight w:val="none"/>
          <w:u w:val="single"/>
        </w:rPr>
        <w:t>　　　　　　　　　　　　　　　　　　　　　　　　　　</w:t>
      </w:r>
    </w:p>
    <w:p w14:paraId="574D9620">
      <w:pPr>
        <w:spacing w:line="360" w:lineRule="auto"/>
        <w:ind w:firstLine="420"/>
        <w:rPr>
          <w:rFonts w:ascii="宋体" w:hAnsi="Courier New"/>
          <w:color w:val="auto"/>
          <w:sz w:val="24"/>
          <w:highlight w:val="none"/>
          <w:u w:val="single"/>
        </w:rPr>
      </w:pPr>
      <w:r>
        <w:rPr>
          <w:rFonts w:hint="eastAsia" w:ascii="宋体" w:hAnsi="Courier New"/>
          <w:color w:val="auto"/>
          <w:sz w:val="24"/>
          <w:highlight w:val="none"/>
        </w:rPr>
        <w:t>开户名称：</w:t>
      </w:r>
      <w:r>
        <w:rPr>
          <w:rFonts w:hint="eastAsia" w:ascii="宋体" w:hAnsi="Courier New"/>
          <w:color w:val="auto"/>
          <w:sz w:val="24"/>
          <w:highlight w:val="none"/>
          <w:u w:val="single"/>
        </w:rPr>
        <w:t>　　　　　　　　　　　　　　　　　　　　　　　　　　</w:t>
      </w:r>
    </w:p>
    <w:p w14:paraId="4F06BE13">
      <w:pPr>
        <w:spacing w:line="360" w:lineRule="auto"/>
        <w:ind w:firstLine="420"/>
        <w:rPr>
          <w:rFonts w:ascii="宋体" w:hAnsi="Courier New"/>
          <w:color w:val="auto"/>
          <w:sz w:val="24"/>
          <w:highlight w:val="none"/>
          <w:u w:val="single"/>
        </w:rPr>
      </w:pPr>
      <w:r>
        <w:rPr>
          <w:rFonts w:hint="eastAsia" w:ascii="宋体" w:hAnsi="Courier New"/>
          <w:color w:val="auto"/>
          <w:sz w:val="24"/>
          <w:highlight w:val="none"/>
        </w:rPr>
        <w:t>开户银行：</w:t>
      </w:r>
      <w:r>
        <w:rPr>
          <w:rFonts w:hint="eastAsia" w:ascii="宋体" w:hAnsi="Courier New"/>
          <w:color w:val="auto"/>
          <w:sz w:val="24"/>
          <w:highlight w:val="none"/>
          <w:u w:val="single"/>
        </w:rPr>
        <w:t>　　　　　　　　　　　　　　　　　　　　　　　　　　</w:t>
      </w:r>
    </w:p>
    <w:p w14:paraId="7F56ECBB">
      <w:pPr>
        <w:spacing w:line="360" w:lineRule="auto"/>
        <w:ind w:firstLine="420"/>
        <w:rPr>
          <w:rFonts w:ascii="宋体" w:hAnsi="Courier New"/>
          <w:color w:val="auto"/>
          <w:sz w:val="24"/>
          <w:highlight w:val="none"/>
          <w:u w:val="single"/>
        </w:rPr>
      </w:pPr>
      <w:r>
        <w:rPr>
          <w:rFonts w:hint="eastAsia" w:ascii="宋体" w:hAnsi="Courier New"/>
          <w:color w:val="auto"/>
          <w:sz w:val="24"/>
          <w:highlight w:val="none"/>
        </w:rPr>
        <w:t>银行账号：</w:t>
      </w:r>
      <w:r>
        <w:rPr>
          <w:rFonts w:hint="eastAsia" w:ascii="宋体" w:hAnsi="Courier New"/>
          <w:color w:val="auto"/>
          <w:sz w:val="24"/>
          <w:highlight w:val="none"/>
          <w:u w:val="single"/>
        </w:rPr>
        <w:t>　　　　　　　　　　　　　　　　　　　　　　　　　　</w:t>
      </w:r>
    </w:p>
    <w:p w14:paraId="710D10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特此承诺。</w:t>
      </w:r>
    </w:p>
    <w:p w14:paraId="1FC14F1D">
      <w:pPr>
        <w:spacing w:line="360" w:lineRule="auto"/>
        <w:ind w:firstLine="2640" w:firstLineChars="1100"/>
        <w:contextualSpacing/>
        <w:rPr>
          <w:rFonts w:hint="eastAsia" w:ascii="宋体" w:hAnsi="宋体" w:cs="宋体"/>
          <w:color w:val="auto"/>
          <w:sz w:val="24"/>
          <w:highlight w:val="none"/>
        </w:rPr>
      </w:pPr>
    </w:p>
    <w:p w14:paraId="406768FC">
      <w:pPr>
        <w:spacing w:line="360" w:lineRule="auto"/>
        <w:ind w:firstLine="5520" w:firstLineChars="230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 xml:space="preserve">：    </w:t>
      </w:r>
    </w:p>
    <w:p w14:paraId="5C28420E">
      <w:pPr>
        <w:snapToGrid w:val="0"/>
        <w:spacing w:line="360" w:lineRule="auto"/>
        <w:ind w:firstLine="6360" w:firstLineChars="2650"/>
        <w:rPr>
          <w:rFonts w:hint="eastAsia" w:ascii="仿宋_GB2312" w:hAnsi="仿宋" w:eastAsia="仿宋_GB2312" w:cs="仿宋_GB2312"/>
          <w:color w:val="auto"/>
          <w:kern w:val="0"/>
          <w:sz w:val="24"/>
          <w:highlight w:val="none"/>
          <w:lang w:val="zh-CN"/>
        </w:rPr>
        <w:sectPr>
          <w:footerReference r:id="rId9" w:type="default"/>
          <w:pgSz w:w="11906" w:h="16838"/>
          <w:pgMar w:top="1134" w:right="1134" w:bottom="1134" w:left="1134" w:header="720" w:footer="720" w:gutter="0"/>
          <w:cols w:space="720" w:num="1"/>
          <w:docGrid w:type="lines" w:linePitch="331" w:charSpace="0"/>
        </w:sectPr>
      </w:pPr>
      <w:r>
        <w:rPr>
          <w:rFonts w:hint="eastAsia" w:ascii="宋体" w:hAnsi="宋体" w:cs="宋体"/>
          <w:color w:val="auto"/>
          <w:sz w:val="24"/>
          <w:highlight w:val="none"/>
        </w:rPr>
        <w:t>日期：   年   月   日</w:t>
      </w:r>
    </w:p>
    <w:p w14:paraId="70916F6B">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s="方正小标宋简体"/>
          <w:b/>
          <w:color w:val="auto"/>
          <w:sz w:val="36"/>
          <w:szCs w:val="36"/>
          <w:highlight w:val="none"/>
        </w:rPr>
        <w:t>竞标报价表</w:t>
      </w:r>
    </w:p>
    <w:p w14:paraId="3A9D894B">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555DC8A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        项目编号：</w:t>
      </w:r>
    </w:p>
    <w:p w14:paraId="7623DE23">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分标（如有则填写，无分标时填写“无”或者留空）：</w:t>
      </w:r>
    </w:p>
    <w:p w14:paraId="599F54E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4DFCEF1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7"/>
        <w:tblpPr w:leftFromText="180" w:rightFromText="180" w:vertAnchor="text" w:horzAnchor="page" w:tblpX="1116" w:tblpY="528"/>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1D3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595" w:type="dxa"/>
            <w:tcBorders>
              <w:top w:val="single" w:color="auto" w:sz="4" w:space="0"/>
              <w:left w:val="single" w:color="auto" w:sz="4" w:space="0"/>
              <w:bottom w:val="single" w:color="auto" w:sz="4" w:space="0"/>
              <w:right w:val="single" w:color="auto" w:sz="4" w:space="0"/>
            </w:tcBorders>
            <w:vAlign w:val="center"/>
          </w:tcPr>
          <w:p w14:paraId="11EC661E">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序号</w:t>
            </w:r>
          </w:p>
        </w:tc>
        <w:tc>
          <w:tcPr>
            <w:tcW w:w="1383" w:type="dxa"/>
            <w:tcBorders>
              <w:top w:val="single" w:color="auto" w:sz="4" w:space="0"/>
              <w:left w:val="single" w:color="auto" w:sz="4" w:space="0"/>
              <w:bottom w:val="single" w:color="auto" w:sz="4" w:space="0"/>
              <w:right w:val="single" w:color="auto" w:sz="4" w:space="0"/>
            </w:tcBorders>
            <w:vAlign w:val="center"/>
          </w:tcPr>
          <w:p w14:paraId="1CEC9D00">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标的名称</w:t>
            </w:r>
          </w:p>
        </w:tc>
        <w:tc>
          <w:tcPr>
            <w:tcW w:w="1927" w:type="dxa"/>
            <w:tcBorders>
              <w:top w:val="single" w:color="auto" w:sz="4" w:space="0"/>
              <w:left w:val="single" w:color="auto" w:sz="4" w:space="0"/>
              <w:bottom w:val="single" w:color="auto" w:sz="4" w:space="0"/>
              <w:right w:val="single" w:color="auto" w:sz="4" w:space="0"/>
            </w:tcBorders>
            <w:vAlign w:val="center"/>
          </w:tcPr>
          <w:p w14:paraId="39F5AE24">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bidi="ar"/>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1C4A042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bidi="ar"/>
              </w:rPr>
              <w:t>品牌</w:t>
            </w:r>
          </w:p>
        </w:tc>
        <w:tc>
          <w:tcPr>
            <w:tcW w:w="1080" w:type="dxa"/>
            <w:tcBorders>
              <w:top w:val="single" w:color="auto" w:sz="4" w:space="0"/>
              <w:left w:val="single" w:color="auto" w:sz="4" w:space="0"/>
              <w:bottom w:val="single" w:color="auto" w:sz="4" w:space="0"/>
              <w:right w:val="single" w:color="auto" w:sz="4" w:space="0"/>
            </w:tcBorders>
            <w:vAlign w:val="center"/>
          </w:tcPr>
          <w:p w14:paraId="62E90FB9">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bidi="ar"/>
              </w:rPr>
              <w:t>数量①</w:t>
            </w:r>
          </w:p>
        </w:tc>
        <w:tc>
          <w:tcPr>
            <w:tcW w:w="954" w:type="dxa"/>
            <w:tcBorders>
              <w:top w:val="single" w:color="auto" w:sz="4" w:space="0"/>
              <w:left w:val="single" w:color="auto" w:sz="4" w:space="0"/>
              <w:bottom w:val="single" w:color="auto" w:sz="4" w:space="0"/>
              <w:right w:val="single" w:color="auto" w:sz="4" w:space="0"/>
            </w:tcBorders>
            <w:vAlign w:val="center"/>
          </w:tcPr>
          <w:p w14:paraId="5D5E230E">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单价(元)②</w:t>
            </w:r>
          </w:p>
        </w:tc>
        <w:tc>
          <w:tcPr>
            <w:tcW w:w="1570" w:type="dxa"/>
            <w:tcBorders>
              <w:top w:val="single" w:color="auto" w:sz="4" w:space="0"/>
              <w:left w:val="single" w:color="auto" w:sz="4" w:space="0"/>
              <w:bottom w:val="single" w:color="auto" w:sz="4" w:space="0"/>
              <w:right w:val="single" w:color="auto" w:sz="4" w:space="0"/>
            </w:tcBorders>
            <w:vAlign w:val="center"/>
          </w:tcPr>
          <w:p w14:paraId="7E7597F3">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单项合价（元）</w:t>
            </w:r>
          </w:p>
          <w:p w14:paraId="6E6F43A8">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③=①×②</w:t>
            </w:r>
          </w:p>
        </w:tc>
        <w:tc>
          <w:tcPr>
            <w:tcW w:w="1085" w:type="dxa"/>
            <w:tcBorders>
              <w:top w:val="single" w:color="auto" w:sz="4" w:space="0"/>
              <w:left w:val="single" w:color="auto" w:sz="4" w:space="0"/>
              <w:bottom w:val="single" w:color="auto" w:sz="4" w:space="0"/>
              <w:right w:val="single" w:color="auto" w:sz="4" w:space="0"/>
            </w:tcBorders>
            <w:vAlign w:val="center"/>
          </w:tcPr>
          <w:p w14:paraId="2F570B4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bidi="ar"/>
              </w:rPr>
              <w:t>备注</w:t>
            </w:r>
          </w:p>
        </w:tc>
      </w:tr>
      <w:tr w14:paraId="3B4B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vAlign w:val="center"/>
          </w:tcPr>
          <w:p w14:paraId="58955A95">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1</w:t>
            </w:r>
          </w:p>
        </w:tc>
        <w:tc>
          <w:tcPr>
            <w:tcW w:w="1383" w:type="dxa"/>
            <w:tcBorders>
              <w:top w:val="single" w:color="auto" w:sz="4" w:space="0"/>
              <w:left w:val="single" w:color="auto" w:sz="4" w:space="0"/>
              <w:bottom w:val="single" w:color="auto" w:sz="4" w:space="0"/>
              <w:right w:val="single" w:color="auto" w:sz="4" w:space="0"/>
            </w:tcBorders>
            <w:vAlign w:val="center"/>
          </w:tcPr>
          <w:p w14:paraId="51B2804C">
            <w:pPr>
              <w:spacing w:line="400" w:lineRule="exact"/>
              <w:rPr>
                <w:rFonts w:hint="eastAsia" w:ascii="宋体" w:hAnsi="宋体" w:cs="宋体"/>
                <w:color w:val="auto"/>
                <w:sz w:val="24"/>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635C2EF6">
            <w:pPr>
              <w:spacing w:line="400" w:lineRule="exact"/>
              <w:rPr>
                <w:rFonts w:hint="eastAsia" w:ascii="宋体" w:hAnsi="宋体" w:cs="宋体"/>
                <w:color w:val="auto"/>
                <w:sz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06BBCBD4">
            <w:pPr>
              <w:spacing w:line="400" w:lineRule="exact"/>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A2B28E">
            <w:pPr>
              <w:spacing w:line="400" w:lineRule="exact"/>
              <w:rPr>
                <w:rFonts w:hint="eastAsia" w:ascii="宋体" w:hAnsi="宋体" w:cs="宋体"/>
                <w:color w:val="auto"/>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04ABAA1E">
            <w:pPr>
              <w:spacing w:line="400" w:lineRule="exact"/>
              <w:rPr>
                <w:rFonts w:hint="eastAsia"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4426DE">
            <w:pPr>
              <w:spacing w:line="400" w:lineRule="exact"/>
              <w:rPr>
                <w:rFonts w:hint="eastAsia" w:ascii="宋体" w:hAnsi="宋体" w:cs="宋体"/>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tcPr>
          <w:p w14:paraId="658093C8">
            <w:pPr>
              <w:spacing w:line="400" w:lineRule="exact"/>
              <w:rPr>
                <w:rFonts w:hint="eastAsia" w:ascii="宋体" w:hAnsi="宋体" w:cs="宋体"/>
                <w:color w:val="auto"/>
                <w:sz w:val="24"/>
                <w:highlight w:val="none"/>
              </w:rPr>
            </w:pPr>
          </w:p>
        </w:tc>
      </w:tr>
      <w:tr w14:paraId="3ECA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vAlign w:val="center"/>
          </w:tcPr>
          <w:p w14:paraId="5A5421E6">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2</w:t>
            </w:r>
          </w:p>
        </w:tc>
        <w:tc>
          <w:tcPr>
            <w:tcW w:w="1383" w:type="dxa"/>
            <w:tcBorders>
              <w:top w:val="single" w:color="auto" w:sz="4" w:space="0"/>
              <w:left w:val="single" w:color="auto" w:sz="4" w:space="0"/>
              <w:bottom w:val="single" w:color="auto" w:sz="4" w:space="0"/>
              <w:right w:val="single" w:color="auto" w:sz="4" w:space="0"/>
            </w:tcBorders>
            <w:vAlign w:val="center"/>
          </w:tcPr>
          <w:p w14:paraId="741619B3">
            <w:pPr>
              <w:spacing w:line="400" w:lineRule="exact"/>
              <w:rPr>
                <w:rFonts w:hint="eastAsia" w:ascii="宋体" w:hAnsi="宋体" w:cs="宋体"/>
                <w:color w:val="auto"/>
                <w:sz w:val="24"/>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62A40D01">
            <w:pPr>
              <w:spacing w:line="400" w:lineRule="exact"/>
              <w:rPr>
                <w:rFonts w:hint="eastAsia" w:ascii="宋体" w:hAnsi="宋体" w:cs="宋体"/>
                <w:color w:val="auto"/>
                <w:sz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60E7315E">
            <w:pPr>
              <w:spacing w:line="400" w:lineRule="exact"/>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FF7EE0A">
            <w:pPr>
              <w:spacing w:line="400" w:lineRule="exact"/>
              <w:rPr>
                <w:rFonts w:hint="eastAsia" w:ascii="宋体" w:hAnsi="宋体" w:cs="宋体"/>
                <w:color w:val="auto"/>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5999C16E">
            <w:pPr>
              <w:spacing w:line="400" w:lineRule="exact"/>
              <w:rPr>
                <w:rFonts w:hint="eastAsia"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A89D25D">
            <w:pPr>
              <w:spacing w:line="400" w:lineRule="exact"/>
              <w:rPr>
                <w:rFonts w:hint="eastAsia" w:ascii="宋体" w:hAnsi="宋体" w:cs="宋体"/>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tcPr>
          <w:p w14:paraId="14E6FF00">
            <w:pPr>
              <w:spacing w:line="400" w:lineRule="exact"/>
              <w:rPr>
                <w:rFonts w:hint="eastAsia" w:ascii="宋体" w:hAnsi="宋体" w:cs="宋体"/>
                <w:color w:val="auto"/>
                <w:sz w:val="24"/>
                <w:highlight w:val="none"/>
              </w:rPr>
            </w:pPr>
          </w:p>
        </w:tc>
      </w:tr>
      <w:tr w14:paraId="239F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vAlign w:val="center"/>
          </w:tcPr>
          <w:p w14:paraId="0CFC7F8B">
            <w:pPr>
              <w:spacing w:line="400" w:lineRule="exact"/>
              <w:rPr>
                <w:rFonts w:hint="eastAsia" w:ascii="宋体" w:hAnsi="宋体" w:cs="宋体"/>
                <w:color w:val="auto"/>
                <w:sz w:val="24"/>
                <w:highlight w:val="none"/>
              </w:rPr>
            </w:pPr>
            <w:r>
              <w:rPr>
                <w:rFonts w:hint="eastAsia" w:ascii="宋体" w:hAnsi="宋体" w:cs="宋体"/>
                <w:color w:val="auto"/>
                <w:sz w:val="24"/>
                <w:highlight w:val="none"/>
                <w:lang w:bidi="ar"/>
              </w:rPr>
              <w:t>...</w:t>
            </w:r>
          </w:p>
        </w:tc>
        <w:tc>
          <w:tcPr>
            <w:tcW w:w="1383" w:type="dxa"/>
            <w:tcBorders>
              <w:top w:val="single" w:color="auto" w:sz="4" w:space="0"/>
              <w:left w:val="single" w:color="auto" w:sz="4" w:space="0"/>
              <w:bottom w:val="single" w:color="auto" w:sz="4" w:space="0"/>
              <w:right w:val="single" w:color="auto" w:sz="4" w:space="0"/>
            </w:tcBorders>
            <w:vAlign w:val="center"/>
          </w:tcPr>
          <w:p w14:paraId="4913A23F">
            <w:pPr>
              <w:spacing w:line="400" w:lineRule="exact"/>
              <w:rPr>
                <w:rFonts w:hint="eastAsia" w:ascii="宋体" w:hAnsi="宋体" w:cs="宋体"/>
                <w:color w:val="auto"/>
                <w:sz w:val="24"/>
                <w:highlight w:val="none"/>
              </w:rPr>
            </w:pPr>
          </w:p>
        </w:tc>
        <w:tc>
          <w:tcPr>
            <w:tcW w:w="1927" w:type="dxa"/>
            <w:tcBorders>
              <w:top w:val="single" w:color="auto" w:sz="4" w:space="0"/>
              <w:left w:val="single" w:color="auto" w:sz="4" w:space="0"/>
              <w:bottom w:val="single" w:color="auto" w:sz="4" w:space="0"/>
              <w:right w:val="single" w:color="auto" w:sz="4" w:space="0"/>
            </w:tcBorders>
            <w:vAlign w:val="center"/>
          </w:tcPr>
          <w:p w14:paraId="4B3A93C9">
            <w:pPr>
              <w:spacing w:line="400" w:lineRule="exact"/>
              <w:rPr>
                <w:rFonts w:hint="eastAsia" w:ascii="宋体" w:hAnsi="宋体" w:cs="宋体"/>
                <w:color w:val="auto"/>
                <w:sz w:val="24"/>
                <w:highlight w:val="none"/>
              </w:rPr>
            </w:pPr>
          </w:p>
        </w:tc>
        <w:tc>
          <w:tcPr>
            <w:tcW w:w="1216" w:type="dxa"/>
            <w:tcBorders>
              <w:top w:val="single" w:color="auto" w:sz="4" w:space="0"/>
              <w:left w:val="single" w:color="auto" w:sz="4" w:space="0"/>
              <w:bottom w:val="single" w:color="auto" w:sz="4" w:space="0"/>
              <w:right w:val="single" w:color="auto" w:sz="4" w:space="0"/>
            </w:tcBorders>
            <w:vAlign w:val="center"/>
          </w:tcPr>
          <w:p w14:paraId="21FB4EE0">
            <w:pPr>
              <w:spacing w:line="400" w:lineRule="exact"/>
              <w:rPr>
                <w:rFonts w:hint="eastAsia"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E7045E9">
            <w:pPr>
              <w:spacing w:line="400" w:lineRule="exact"/>
              <w:rPr>
                <w:rFonts w:hint="eastAsia" w:ascii="宋体" w:hAnsi="宋体" w:cs="宋体"/>
                <w:color w:val="auto"/>
                <w:sz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0758F7B5">
            <w:pPr>
              <w:spacing w:line="400" w:lineRule="exact"/>
              <w:rPr>
                <w:rFonts w:hint="eastAsia"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8C1BE7A">
            <w:pPr>
              <w:spacing w:line="400" w:lineRule="exact"/>
              <w:rPr>
                <w:rFonts w:hint="eastAsia" w:ascii="宋体" w:hAnsi="宋体" w:cs="宋体"/>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tcPr>
          <w:p w14:paraId="1C3A9C82">
            <w:pPr>
              <w:spacing w:line="400" w:lineRule="exact"/>
              <w:rPr>
                <w:rFonts w:hint="eastAsia" w:ascii="宋体" w:hAnsi="宋体" w:cs="宋体"/>
                <w:color w:val="auto"/>
                <w:sz w:val="24"/>
                <w:highlight w:val="none"/>
              </w:rPr>
            </w:pPr>
          </w:p>
        </w:tc>
      </w:tr>
      <w:tr w14:paraId="12C6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vAlign w:val="center"/>
          </w:tcPr>
          <w:p w14:paraId="79E3170D">
            <w:pPr>
              <w:spacing w:line="400" w:lineRule="exact"/>
              <w:jc w:val="both"/>
              <w:rPr>
                <w:rFonts w:hint="eastAsia" w:ascii="宋体" w:hAnsi="宋体" w:cs="宋体"/>
                <w:color w:val="auto"/>
                <w:sz w:val="24"/>
                <w:highlight w:val="none"/>
              </w:rPr>
            </w:pPr>
            <w:r>
              <w:rPr>
                <w:rFonts w:hint="eastAsia" w:ascii="宋体" w:hAnsi="宋体" w:cs="宋体"/>
                <w:color w:val="auto"/>
                <w:sz w:val="24"/>
                <w:highlight w:val="none"/>
                <w:lang w:bidi="ar"/>
              </w:rPr>
              <w:t>报价合计（包含税费等所有费用）：（大写）人民币                                       （￥                元）</w:t>
            </w:r>
          </w:p>
        </w:tc>
      </w:tr>
      <w:tr w14:paraId="76C5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vAlign w:val="center"/>
          </w:tcPr>
          <w:p w14:paraId="3A61EE42">
            <w:pPr>
              <w:spacing w:line="400" w:lineRule="exact"/>
              <w:jc w:val="both"/>
              <w:rPr>
                <w:rFonts w:hint="eastAsia" w:ascii="宋体" w:hAnsi="宋体" w:eastAsia="宋体" w:cs="宋体"/>
                <w:color w:val="auto"/>
                <w:sz w:val="24"/>
                <w:highlight w:val="none"/>
                <w:lang w:val="en-US" w:eastAsia="zh-CN" w:bidi="ar"/>
              </w:rPr>
            </w:pPr>
            <w:r>
              <w:rPr>
                <w:rFonts w:hint="eastAsia" w:ascii="宋体" w:hAnsi="宋体" w:cs="宋体"/>
                <w:color w:val="auto"/>
                <w:sz w:val="24"/>
                <w:highlight w:val="none"/>
                <w:lang w:val="en-US" w:eastAsia="zh-CN" w:bidi="ar"/>
              </w:rPr>
              <w:t>交货时间：</w:t>
            </w:r>
          </w:p>
        </w:tc>
      </w:tr>
      <w:tr w14:paraId="5BE8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tcPr>
          <w:p w14:paraId="3B806671">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注：根据《国务院办公厅关于在政府采购中实施本国产品标准及相关政策的通知》国办发〔2025〕34号的规定，我方为本政府采购项目提供的符合本国产品标准的产品成本之和占全部竞标产品成本之和的比例达到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tc>
      </w:tr>
    </w:tbl>
    <w:p w14:paraId="27DF34E2">
      <w:pPr>
        <w:pStyle w:val="18"/>
        <w:rPr>
          <w:color w:val="auto"/>
          <w:highlight w:val="none"/>
        </w:rPr>
      </w:pPr>
    </w:p>
    <w:p w14:paraId="3A3E68FA">
      <w:pPr>
        <w:spacing w:line="440" w:lineRule="exact"/>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w:t>
      </w:r>
    </w:p>
    <w:p w14:paraId="23E727CA">
      <w:pPr>
        <w:spacing w:line="440" w:lineRule="exact"/>
        <w:ind w:firstLine="480" w:firstLineChars="200"/>
        <w:contextualSpacing/>
        <w:rPr>
          <w:rFonts w:hint="eastAsia" w:ascii="宋体" w:hAnsi="宋体" w:cs="仿宋_GB2312"/>
          <w:bCs/>
          <w:color w:val="auto"/>
          <w:sz w:val="24"/>
          <w:highlight w:val="none"/>
        </w:rPr>
      </w:pPr>
      <w:r>
        <w:rPr>
          <w:rFonts w:hint="eastAsia" w:ascii="宋体" w:hAnsi="宋体" w:cs="仿宋_GB2312"/>
          <w:bCs/>
          <w:color w:val="auto"/>
          <w:sz w:val="24"/>
          <w:highlight w:val="none"/>
        </w:rPr>
        <w:t>1、 供应商需按本表格式填写，不得自行更改，也不得留空， 如有多分标，按分标分别提供</w:t>
      </w:r>
      <w:r>
        <w:rPr>
          <w:rFonts w:hint="eastAsia" w:ascii="宋体" w:hAnsi="宋体" w:cs="仿宋_GB2312"/>
          <w:bCs/>
          <w:color w:val="auto"/>
          <w:sz w:val="24"/>
          <w:highlight w:val="none"/>
          <w:lang w:val="en-US" w:eastAsia="zh-CN"/>
        </w:rPr>
        <w:t>竞标</w:t>
      </w:r>
      <w:r>
        <w:rPr>
          <w:rFonts w:hint="eastAsia" w:ascii="宋体" w:hAnsi="宋体" w:cs="仿宋_GB2312"/>
          <w:bCs/>
          <w:color w:val="auto"/>
          <w:sz w:val="24"/>
          <w:highlight w:val="none"/>
        </w:rPr>
        <w:t>报价表。</w:t>
      </w:r>
    </w:p>
    <w:p w14:paraId="47B4CDD5">
      <w:pPr>
        <w:spacing w:line="440" w:lineRule="exact"/>
        <w:ind w:firstLine="480" w:firstLineChars="200"/>
        <w:contextualSpacing/>
        <w:rPr>
          <w:rFonts w:hint="eastAsia" w:ascii="宋体" w:hAnsi="宋体" w:cs="仿宋_GB2312"/>
          <w:b/>
          <w:color w:val="auto"/>
          <w:sz w:val="24"/>
          <w:highlight w:val="none"/>
        </w:rPr>
      </w:pPr>
      <w:r>
        <w:rPr>
          <w:rFonts w:hint="eastAsia" w:ascii="宋体" w:hAnsi="宋体" w:cs="仿宋_GB2312"/>
          <w:bCs/>
          <w:color w:val="auto"/>
          <w:sz w:val="24"/>
          <w:highlight w:val="none"/>
        </w:rPr>
        <w:t>2、如为联合体响应的，“供应商名称”处必须列明联合体各方名称，并标注联合体牵头人名称，且盖章处须加盖联合体各方公章，</w:t>
      </w:r>
      <w:r>
        <w:rPr>
          <w:rFonts w:hint="eastAsia" w:ascii="宋体" w:hAnsi="宋体" w:cs="仿宋_GB2312"/>
          <w:b/>
          <w:color w:val="auto"/>
          <w:sz w:val="24"/>
          <w:highlight w:val="none"/>
        </w:rPr>
        <w:t>否则其响应作无效响应处理。</w:t>
      </w:r>
    </w:p>
    <w:p w14:paraId="13E7DF6E">
      <w:pPr>
        <w:spacing w:line="440" w:lineRule="exact"/>
        <w:ind w:firstLine="480" w:firstLineChars="200"/>
        <w:contextualSpacing/>
        <w:rPr>
          <w:rFonts w:hint="eastAsia" w:ascii="宋体" w:hAnsi="宋体" w:cs="仿宋_GB2312"/>
          <w:b/>
          <w:color w:val="auto"/>
          <w:sz w:val="24"/>
          <w:highlight w:val="none"/>
        </w:rPr>
      </w:pPr>
      <w:r>
        <w:rPr>
          <w:rFonts w:hint="eastAsia" w:ascii="宋体" w:hAnsi="宋体" w:cs="仿宋_GB2312"/>
          <w:bCs/>
          <w:color w:val="auto"/>
          <w:sz w:val="24"/>
          <w:highlight w:val="none"/>
        </w:rPr>
        <w:t>3、以上表格要求细分项目及报价，在“标的名称”一栏中，填写具体标的，</w:t>
      </w:r>
      <w:r>
        <w:rPr>
          <w:rFonts w:hint="eastAsia" w:ascii="宋体" w:hAnsi="宋体" w:cs="仿宋_GB2312"/>
          <w:b/>
          <w:color w:val="auto"/>
          <w:sz w:val="24"/>
          <w:highlight w:val="none"/>
        </w:rPr>
        <w:t>否则其响应作无效响应处理。</w:t>
      </w:r>
    </w:p>
    <w:p w14:paraId="11697059">
      <w:pPr>
        <w:spacing w:line="440" w:lineRule="exact"/>
        <w:ind w:firstLine="480" w:firstLineChars="200"/>
        <w:contextualSpacing/>
        <w:rPr>
          <w:rFonts w:hint="eastAsia" w:ascii="宋体" w:hAnsi="宋体" w:cs="仿宋_GB2312"/>
          <w:bCs/>
          <w:color w:val="auto"/>
          <w:sz w:val="24"/>
          <w:highlight w:val="none"/>
        </w:rPr>
      </w:pPr>
      <w:r>
        <w:rPr>
          <w:rFonts w:hint="eastAsia" w:ascii="宋体" w:hAnsi="宋体" w:cs="仿宋_GB2312"/>
          <w:bCs/>
          <w:color w:val="auto"/>
          <w:sz w:val="24"/>
          <w:highlight w:val="none"/>
        </w:rPr>
        <w:t>4、特别提示：采购机构将对项目名称和项目编号，成交供应商名称、地址和成交金额，主要成交标的的名称、规格型号、数量、单价、货物要求等予以公示。</w:t>
      </w:r>
    </w:p>
    <w:p w14:paraId="215BB4B0">
      <w:pPr>
        <w:spacing w:line="440" w:lineRule="exact"/>
        <w:ind w:firstLine="480" w:firstLineChars="200"/>
        <w:contextualSpacing/>
        <w:rPr>
          <w:rFonts w:hint="eastAsia" w:ascii="宋体" w:hAnsi="宋体" w:cs="仿宋_GB2312"/>
          <w:color w:val="auto"/>
          <w:sz w:val="24"/>
          <w:highlight w:val="none"/>
        </w:rPr>
      </w:pPr>
      <w:r>
        <w:rPr>
          <w:rFonts w:hint="eastAsia" w:ascii="宋体" w:hAnsi="宋体" w:cs="仿宋_GB2312"/>
          <w:bCs/>
          <w:color w:val="auto"/>
          <w:sz w:val="24"/>
          <w:highlight w:val="none"/>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AF171F6">
      <w:pPr>
        <w:ind w:right="-817" w:rightChars="-389"/>
        <w:contextualSpacing/>
        <w:rPr>
          <w:rFonts w:hint="eastAsia" w:ascii="宋体" w:hAnsi="宋体" w:cs="仿宋_GB2312"/>
          <w:color w:val="auto"/>
          <w:sz w:val="24"/>
          <w:highlight w:val="none"/>
        </w:rPr>
      </w:pPr>
    </w:p>
    <w:p w14:paraId="21EDCF5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83E809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A5B2477">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40168B63">
      <w:pPr>
        <w:widowControl/>
        <w:jc w:val="left"/>
        <w:rPr>
          <w:rFonts w:hint="eastAsia" w:ascii="宋体" w:hAnsi="宋体"/>
          <w:b/>
          <w:bCs/>
          <w:color w:val="auto"/>
          <w:sz w:val="32"/>
          <w:szCs w:val="32"/>
          <w:highlight w:val="none"/>
        </w:rPr>
      </w:pPr>
      <w:r>
        <w:rPr>
          <w:rFonts w:ascii="宋体" w:hAnsi="宋体"/>
          <w:b/>
          <w:bCs/>
          <w:color w:val="auto"/>
          <w:sz w:val="32"/>
          <w:szCs w:val="32"/>
          <w:highlight w:val="none"/>
        </w:rPr>
        <w:br w:type="page"/>
      </w:r>
    </w:p>
    <w:p w14:paraId="2F907C2C">
      <w:pPr>
        <w:jc w:val="center"/>
        <w:rPr>
          <w:color w:val="auto"/>
          <w:highlight w:val="none"/>
        </w:rPr>
      </w:pPr>
    </w:p>
    <w:p w14:paraId="4797E736">
      <w:pPr>
        <w:spacing w:line="360" w:lineRule="auto"/>
        <w:contextualSpacing/>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三</w:t>
      </w:r>
      <w:r>
        <w:rPr>
          <w:rFonts w:hint="eastAsia" w:ascii="宋体" w:hAnsi="宋体" w:cs="宋体"/>
          <w:b/>
          <w:bCs/>
          <w:color w:val="auto"/>
          <w:sz w:val="32"/>
          <w:szCs w:val="32"/>
          <w:highlight w:val="none"/>
        </w:rPr>
        <w:t>、</w:t>
      </w:r>
      <w:r>
        <w:rPr>
          <w:rFonts w:hint="eastAsia" w:ascii="宋体" w:hAnsi="宋体" w:cs="宋体"/>
          <w:b/>
          <w:color w:val="auto"/>
          <w:sz w:val="32"/>
          <w:szCs w:val="32"/>
          <w:highlight w:val="none"/>
        </w:rPr>
        <w:t xml:space="preserve">商务技术文件格式 </w:t>
      </w:r>
    </w:p>
    <w:p w14:paraId="4FCF60BE">
      <w:pPr>
        <w:snapToGrid w:val="0"/>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2596B95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6580C99">
      <w:pPr>
        <w:snapToGrid w:val="0"/>
        <w:spacing w:line="360" w:lineRule="auto"/>
        <w:rPr>
          <w:rFonts w:hint="eastAsia" w:ascii="宋体" w:hAnsi="宋体" w:cs="宋体"/>
          <w:color w:val="auto"/>
          <w:sz w:val="24"/>
          <w:highlight w:val="none"/>
        </w:rPr>
      </w:pPr>
    </w:p>
    <w:p w14:paraId="175971DA">
      <w:pPr>
        <w:snapToGrid w:val="0"/>
        <w:spacing w:line="360" w:lineRule="auto"/>
        <w:rPr>
          <w:rFonts w:hint="eastAsia" w:ascii="宋体" w:hAnsi="宋体" w:cs="宋体"/>
          <w:color w:val="auto"/>
          <w:sz w:val="24"/>
          <w:szCs w:val="20"/>
          <w:highlight w:val="none"/>
        </w:rPr>
      </w:pPr>
    </w:p>
    <w:p w14:paraId="4FAC05DD">
      <w:pPr>
        <w:snapToGrid w:val="0"/>
        <w:spacing w:line="360" w:lineRule="auto"/>
        <w:jc w:val="center"/>
        <w:rPr>
          <w:rFonts w:hint="eastAsia" w:ascii="宋体" w:hAnsi="宋体" w:cs="宋体"/>
          <w:bCs/>
          <w:color w:val="auto"/>
          <w:sz w:val="84"/>
          <w:szCs w:val="84"/>
          <w:highlight w:val="none"/>
        </w:rPr>
      </w:pPr>
      <w:r>
        <w:rPr>
          <w:rFonts w:hint="eastAsia" w:ascii="宋体" w:hAnsi="宋体"/>
          <w:color w:val="auto"/>
          <w:sz w:val="44"/>
          <w:szCs w:val="44"/>
          <w:highlight w:val="none"/>
        </w:rPr>
        <w:t>响  应  文  件</w:t>
      </w:r>
    </w:p>
    <w:p w14:paraId="57ECB33E">
      <w:pPr>
        <w:snapToGrid w:val="0"/>
        <w:spacing w:line="360" w:lineRule="auto"/>
        <w:rPr>
          <w:rFonts w:hint="eastAsia" w:ascii="宋体" w:hAnsi="宋体" w:cs="宋体"/>
          <w:color w:val="auto"/>
          <w:sz w:val="24"/>
          <w:szCs w:val="20"/>
          <w:highlight w:val="none"/>
        </w:rPr>
      </w:pPr>
    </w:p>
    <w:p w14:paraId="6C5EFD51">
      <w:pPr>
        <w:snapToGrid w:val="0"/>
        <w:spacing w:line="360" w:lineRule="auto"/>
        <w:jc w:val="center"/>
        <w:rPr>
          <w:rFonts w:hint="eastAsia" w:ascii="宋体" w:hAnsi="宋体" w:cs="宋体"/>
          <w:bCs/>
          <w:color w:val="auto"/>
          <w:sz w:val="32"/>
          <w:szCs w:val="32"/>
          <w:highlight w:val="none"/>
        </w:rPr>
      </w:pPr>
      <w:r>
        <w:rPr>
          <w:rFonts w:hint="eastAsia" w:ascii="宋体" w:hAnsi="宋体" w:cs="宋体"/>
          <w:b/>
          <w:color w:val="auto"/>
          <w:sz w:val="44"/>
          <w:szCs w:val="44"/>
          <w:highlight w:val="none"/>
        </w:rPr>
        <w:t>商 务 技 术 文 件</w:t>
      </w:r>
    </w:p>
    <w:p w14:paraId="4FD86237">
      <w:pPr>
        <w:snapToGrid w:val="0"/>
        <w:spacing w:line="360" w:lineRule="auto"/>
        <w:rPr>
          <w:rFonts w:hint="eastAsia" w:ascii="宋体" w:hAnsi="宋体" w:cs="宋体"/>
          <w:bCs/>
          <w:color w:val="auto"/>
          <w:sz w:val="28"/>
          <w:szCs w:val="28"/>
          <w:highlight w:val="none"/>
        </w:rPr>
      </w:pPr>
    </w:p>
    <w:p w14:paraId="3E573F9A">
      <w:pPr>
        <w:snapToGrid w:val="0"/>
        <w:spacing w:line="360" w:lineRule="auto"/>
        <w:rPr>
          <w:rFonts w:hint="eastAsia" w:ascii="宋体" w:hAnsi="宋体" w:cs="宋体"/>
          <w:bCs/>
          <w:color w:val="auto"/>
          <w:sz w:val="28"/>
          <w:szCs w:val="28"/>
          <w:highlight w:val="none"/>
        </w:rPr>
      </w:pPr>
    </w:p>
    <w:p w14:paraId="71AACD49">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10E26A99">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54975AD9">
      <w:pPr>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5F17D1B0">
      <w:pPr>
        <w:pStyle w:val="6"/>
        <w:snapToGrid w:val="0"/>
        <w:spacing w:line="360" w:lineRule="auto"/>
        <w:ind w:firstLine="1680" w:firstLineChars="6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58C616A5">
      <w:pPr>
        <w:pStyle w:val="6"/>
        <w:snapToGrid w:val="0"/>
        <w:spacing w:line="360" w:lineRule="auto"/>
        <w:ind w:firstLine="1680" w:firstLineChars="600"/>
        <w:rPr>
          <w:rFonts w:hint="eastAsia" w:ascii="宋体" w:hAnsi="宋体" w:cs="宋体"/>
          <w:bCs/>
          <w:color w:val="auto"/>
          <w:sz w:val="28"/>
          <w:szCs w:val="28"/>
          <w:highlight w:val="none"/>
        </w:rPr>
      </w:pPr>
    </w:p>
    <w:p w14:paraId="25CA5794">
      <w:pPr>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704C27FC">
      <w:pPr>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2.商务技术文件目录</w:t>
      </w:r>
    </w:p>
    <w:p w14:paraId="7E5CFC9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根据谈判文件规定及供应商提供的材料自行编写目录（部分格式后附）。</w:t>
      </w:r>
    </w:p>
    <w:p w14:paraId="6B7C2CCD">
      <w:pPr>
        <w:spacing w:line="360" w:lineRule="auto"/>
        <w:rPr>
          <w:rFonts w:hint="eastAsia" w:ascii="宋体" w:hAnsi="宋体" w:cs="宋体"/>
          <w:color w:val="auto"/>
          <w:sz w:val="32"/>
          <w:szCs w:val="32"/>
          <w:highlight w:val="none"/>
        </w:rPr>
      </w:pPr>
    </w:p>
    <w:p w14:paraId="649394C9">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267167E0">
      <w:pPr>
        <w:spacing w:line="360" w:lineRule="auto"/>
        <w:ind w:firstLine="640" w:firstLineChars="200"/>
        <w:contextualSpacing/>
        <w:rPr>
          <w:rFonts w:hint="eastAsia" w:ascii="宋体" w:hAnsi="宋体" w:cs="宋体"/>
          <w:color w:val="auto"/>
          <w:sz w:val="32"/>
          <w:szCs w:val="32"/>
          <w:highlight w:val="none"/>
        </w:rPr>
      </w:pPr>
    </w:p>
    <w:p w14:paraId="150A22CF">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C66E42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275B845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213773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3FDE1AA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BC295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0B9B4CF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275D228C">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11E467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628C7E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BD26B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4A51CD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3701D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D31CF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13EEED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632172C5">
      <w:pPr>
        <w:spacing w:line="360" w:lineRule="auto"/>
        <w:ind w:firstLine="480" w:firstLineChars="200"/>
        <w:contextualSpacing/>
        <w:rPr>
          <w:rFonts w:hint="eastAsia" w:ascii="宋体" w:hAnsi="宋体" w:cs="宋体"/>
          <w:color w:val="auto"/>
          <w:sz w:val="24"/>
          <w:highlight w:val="none"/>
        </w:rPr>
      </w:pPr>
    </w:p>
    <w:p w14:paraId="1EBA75FE">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AB8EAE3">
      <w:pPr>
        <w:spacing w:line="360" w:lineRule="auto"/>
        <w:ind w:firstLine="480" w:firstLineChars="200"/>
        <w:contextualSpacing/>
        <w:rPr>
          <w:rFonts w:hint="eastAsia" w:ascii="宋体" w:hAnsi="宋体" w:cs="宋体"/>
          <w:color w:val="auto"/>
          <w:sz w:val="24"/>
          <w:highlight w:val="none"/>
        </w:rPr>
      </w:pPr>
    </w:p>
    <w:p w14:paraId="18CFF447">
      <w:pPr>
        <w:spacing w:line="360" w:lineRule="auto"/>
        <w:ind w:firstLine="3600" w:firstLineChars="150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w:t>
      </w:r>
    </w:p>
    <w:p w14:paraId="26D43703">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96E34EB">
      <w:pPr>
        <w:rPr>
          <w:rFonts w:hint="eastAsia" w:ascii="宋体" w:hAnsi="宋体" w:cs="宋体"/>
          <w:b/>
          <w:color w:val="auto"/>
          <w:sz w:val="32"/>
          <w:szCs w:val="32"/>
          <w:highlight w:val="none"/>
        </w:rPr>
      </w:pPr>
    </w:p>
    <w:p w14:paraId="31AE916B">
      <w:pPr>
        <w:spacing w:line="360" w:lineRule="auto"/>
        <w:jc w:val="center"/>
        <w:rPr>
          <w:rFonts w:hint="eastAsia" w:ascii="宋体" w:hAnsi="宋体" w:cs="宋体"/>
          <w:color w:val="auto"/>
          <w:sz w:val="32"/>
          <w:szCs w:val="32"/>
          <w:highlight w:val="none"/>
        </w:rPr>
      </w:pPr>
      <w:r>
        <w:rPr>
          <w:rFonts w:hint="eastAsia" w:ascii="宋体" w:hAnsi="宋体" w:cs="宋体"/>
          <w:bCs/>
          <w:color w:val="auto"/>
          <w:sz w:val="44"/>
          <w:szCs w:val="44"/>
          <w:highlight w:val="none"/>
        </w:rPr>
        <w:t>法定代表人身份证明</w:t>
      </w:r>
    </w:p>
    <w:p w14:paraId="541E9776">
      <w:pPr>
        <w:spacing w:line="360" w:lineRule="auto"/>
        <w:contextualSpacing/>
        <w:rPr>
          <w:rFonts w:hint="eastAsia" w:ascii="宋体" w:hAnsi="宋体" w:cs="宋体"/>
          <w:color w:val="auto"/>
          <w:sz w:val="32"/>
          <w:szCs w:val="32"/>
          <w:highlight w:val="none"/>
        </w:rPr>
      </w:pPr>
    </w:p>
    <w:p w14:paraId="49F21677">
      <w:pPr>
        <w:spacing w:line="480" w:lineRule="auto"/>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1F43CC47">
      <w:pPr>
        <w:spacing w:line="480" w:lineRule="auto"/>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5D28D6">
      <w:pPr>
        <w:spacing w:line="480" w:lineRule="auto"/>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2947FA7">
      <w:pPr>
        <w:spacing w:line="48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6116E3E">
      <w:pPr>
        <w:spacing w:line="480" w:lineRule="auto"/>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67FE377">
      <w:pPr>
        <w:spacing w:line="480" w:lineRule="auto"/>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42C4AD46">
      <w:pPr>
        <w:spacing w:line="480" w:lineRule="auto"/>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7FF61D2E">
      <w:pPr>
        <w:spacing w:line="480" w:lineRule="auto"/>
        <w:contextualSpacing/>
        <w:rPr>
          <w:rFonts w:hint="eastAsia" w:ascii="宋体" w:hAnsi="宋体" w:cs="宋体"/>
          <w:color w:val="auto"/>
          <w:sz w:val="24"/>
          <w:highlight w:val="none"/>
        </w:rPr>
      </w:pPr>
    </w:p>
    <w:p w14:paraId="191F7A1C">
      <w:pPr>
        <w:spacing w:line="360" w:lineRule="auto"/>
        <w:contextualSpacing/>
        <w:rPr>
          <w:rFonts w:hint="eastAsia" w:ascii="宋体" w:hAnsi="宋体" w:cs="宋体"/>
          <w:color w:val="auto"/>
          <w:sz w:val="24"/>
          <w:highlight w:val="none"/>
        </w:rPr>
      </w:pPr>
    </w:p>
    <w:p w14:paraId="183608FC">
      <w:pPr>
        <w:spacing w:line="360" w:lineRule="auto"/>
        <w:contextualSpacing/>
        <w:rPr>
          <w:rFonts w:hint="eastAsia" w:ascii="宋体" w:hAnsi="宋体" w:cs="宋体"/>
          <w:color w:val="auto"/>
          <w:sz w:val="24"/>
          <w:highlight w:val="none"/>
        </w:rPr>
      </w:pPr>
    </w:p>
    <w:p w14:paraId="5D6BCF9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3B2BBB5">
      <w:pPr>
        <w:spacing w:line="360" w:lineRule="auto"/>
        <w:contextualSpacing/>
        <w:rPr>
          <w:rFonts w:hint="eastAsia" w:ascii="宋体" w:hAnsi="宋体" w:cs="宋体"/>
          <w:color w:val="auto"/>
          <w:sz w:val="24"/>
          <w:highlight w:val="none"/>
        </w:rPr>
      </w:pPr>
    </w:p>
    <w:p w14:paraId="76A05E61">
      <w:pPr>
        <w:spacing w:line="360" w:lineRule="auto"/>
        <w:contextualSpacing/>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E57B956">
      <w:pPr>
        <w:spacing w:line="360" w:lineRule="auto"/>
        <w:ind w:firstLine="4080" w:firstLineChars="170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CE3A827">
      <w:pPr>
        <w:spacing w:line="360" w:lineRule="auto"/>
        <w:contextualSpacing/>
        <w:jc w:val="center"/>
        <w:rPr>
          <w:rFonts w:hint="eastAsia" w:ascii="宋体" w:hAnsi="宋体" w:cs="宋体"/>
          <w:b/>
          <w:color w:val="auto"/>
          <w:sz w:val="24"/>
          <w:highlight w:val="none"/>
        </w:rPr>
      </w:pPr>
    </w:p>
    <w:p w14:paraId="41218F59">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4E8E9F5E">
      <w:pPr>
        <w:adjustRightInd w:val="0"/>
        <w:snapToGrid w:val="0"/>
        <w:spacing w:line="360" w:lineRule="auto"/>
        <w:jc w:val="left"/>
        <w:rPr>
          <w:rFonts w:hint="eastAsia" w:ascii="宋体" w:hAnsi="宋体" w:cs="宋体"/>
          <w:b/>
          <w:color w:val="auto"/>
          <w:szCs w:val="21"/>
          <w:highlight w:val="none"/>
        </w:rPr>
      </w:pPr>
    </w:p>
    <w:p w14:paraId="65D44C1B">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68A133DE">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（非联合体竞标格式）</w:t>
      </w:r>
    </w:p>
    <w:p w14:paraId="3823B4AA">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（如有委托时）</w:t>
      </w:r>
    </w:p>
    <w:p w14:paraId="559A467E">
      <w:pPr>
        <w:spacing w:line="360" w:lineRule="auto"/>
        <w:contextualSpacing/>
        <w:rPr>
          <w:rFonts w:hint="eastAsia" w:ascii="宋体" w:hAnsi="宋体" w:cs="宋体"/>
          <w:color w:val="auto"/>
          <w:sz w:val="32"/>
          <w:szCs w:val="32"/>
          <w:highlight w:val="none"/>
        </w:rPr>
      </w:pPr>
    </w:p>
    <w:p w14:paraId="25EFBA6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28B24C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C3FB96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0F94B1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368841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7995736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53E64120">
      <w:pPr>
        <w:spacing w:line="360" w:lineRule="auto"/>
        <w:contextualSpacing/>
        <w:rPr>
          <w:rFonts w:hint="eastAsia" w:ascii="宋体" w:hAnsi="宋体" w:cs="宋体"/>
          <w:color w:val="auto"/>
          <w:sz w:val="24"/>
          <w:highlight w:val="none"/>
        </w:rPr>
      </w:pPr>
    </w:p>
    <w:p w14:paraId="47C704D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w:t>
      </w:r>
    </w:p>
    <w:p w14:paraId="1EC620A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法定代表人（签字或者盖章或者电子签名）：</w:t>
      </w:r>
    </w:p>
    <w:p w14:paraId="0E0030C7">
      <w:pPr>
        <w:spacing w:line="360" w:lineRule="auto"/>
        <w:ind w:left="420" w:leftChars="200"/>
        <w:contextualSpacing/>
        <w:rPr>
          <w:rFonts w:hint="eastAsia" w:ascii="宋体" w:hAnsi="宋体" w:cs="宋体"/>
          <w:color w:val="auto"/>
          <w:sz w:val="24"/>
          <w:highlight w:val="none"/>
        </w:rPr>
      </w:pPr>
      <w:r>
        <w:rPr>
          <w:rFonts w:hint="eastAsia" w:ascii="宋体" w:hAnsi="宋体" w:cs="仿宋_GB2312"/>
          <w:color w:val="auto"/>
          <w:sz w:val="24"/>
          <w:highlight w:val="none"/>
        </w:rPr>
        <w:t>委托代理人身份证号码：</w:t>
      </w:r>
      <w:r>
        <w:rPr>
          <w:rFonts w:hint="eastAsia" w:ascii="宋体" w:hAnsi="宋体" w:cs="宋体"/>
          <w:color w:val="auto"/>
          <w:sz w:val="24"/>
          <w:highlight w:val="none"/>
        </w:rPr>
        <w:t xml:space="preserve">                              </w:t>
      </w:r>
    </w:p>
    <w:p w14:paraId="6211CDD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1C2399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 xml:space="preserve">：                      </w:t>
      </w:r>
    </w:p>
    <w:p w14:paraId="3C103BD6">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DBF77EA">
      <w:pPr>
        <w:spacing w:line="360" w:lineRule="auto"/>
        <w:contextualSpacing/>
        <w:rPr>
          <w:rFonts w:hint="eastAsia" w:ascii="宋体" w:hAnsi="宋体" w:cs="宋体"/>
          <w:color w:val="auto"/>
          <w:sz w:val="24"/>
          <w:highlight w:val="none"/>
        </w:rPr>
      </w:pPr>
    </w:p>
    <w:p w14:paraId="71CCE72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ED3189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088FCDB0">
      <w:pPr>
        <w:spacing w:line="360" w:lineRule="auto"/>
        <w:ind w:firstLine="420" w:firstLineChars="200"/>
        <w:contextualSpacing/>
        <w:jc w:val="left"/>
        <w:rPr>
          <w:rFonts w:hint="eastAsia" w:ascii="宋体" w:hAnsi="宋体" w:cs="宋体"/>
          <w:color w:val="auto"/>
          <w:szCs w:val="21"/>
          <w:highlight w:val="none"/>
        </w:rPr>
      </w:pPr>
    </w:p>
    <w:p w14:paraId="01FC030D">
      <w:pPr>
        <w:spacing w:line="360" w:lineRule="auto"/>
        <w:contextualSpacing/>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w:t>
      </w:r>
    </w:p>
    <w:p w14:paraId="00DA39F3">
      <w:pPr>
        <w:spacing w:line="360" w:lineRule="auto"/>
        <w:contextualSpacing/>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（联合体竞标格式）</w:t>
      </w:r>
    </w:p>
    <w:p w14:paraId="71B49E95">
      <w:pPr>
        <w:spacing w:line="360" w:lineRule="auto"/>
        <w:contextualSpacing/>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（如有委托时）</w:t>
      </w:r>
    </w:p>
    <w:p w14:paraId="2614DD27">
      <w:pPr>
        <w:spacing w:line="360" w:lineRule="auto"/>
        <w:contextualSpacing/>
        <w:rPr>
          <w:rFonts w:hint="eastAsia" w:ascii="宋体" w:hAnsi="宋体" w:cs="宋体"/>
          <w:color w:val="auto"/>
          <w:sz w:val="32"/>
          <w:szCs w:val="32"/>
          <w:highlight w:val="none"/>
        </w:rPr>
      </w:pPr>
    </w:p>
    <w:p w14:paraId="692E8FB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01CF7D2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102AAC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65AC7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7242B65">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0D73421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牵头人法定代表人</w:t>
      </w:r>
      <w:r>
        <w:rPr>
          <w:rFonts w:hint="eastAsia" w:ascii="宋体" w:hAnsi="宋体" w:cs="仿宋_GB2312"/>
          <w:color w:val="auto"/>
          <w:sz w:val="24"/>
          <w:highlight w:val="none"/>
        </w:rPr>
        <w:t>（签字或者盖章或者电子签名）</w:t>
      </w:r>
      <w:r>
        <w:rPr>
          <w:rFonts w:hint="eastAsia" w:ascii="宋体" w:hAnsi="宋体" w:cs="宋体"/>
          <w:color w:val="auto"/>
          <w:sz w:val="24"/>
          <w:highlight w:val="none"/>
        </w:rPr>
        <w:t>：</w:t>
      </w:r>
    </w:p>
    <w:p w14:paraId="7A8386C3">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684F0FA0">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AB51A7C">
      <w:pPr>
        <w:spacing w:line="360" w:lineRule="auto"/>
        <w:contextualSpacing/>
        <w:rPr>
          <w:rFonts w:hint="eastAsia" w:ascii="宋体" w:hAnsi="宋体" w:cs="仿宋_GB2312"/>
          <w:color w:val="auto"/>
          <w:sz w:val="24"/>
          <w:highlight w:val="none"/>
        </w:rPr>
      </w:pPr>
    </w:p>
    <w:p w14:paraId="64D423D4">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6DFBE761">
      <w:pPr>
        <w:spacing w:line="360" w:lineRule="auto"/>
        <w:ind w:firstLine="3840" w:firstLineChars="1600"/>
        <w:contextualSpacing/>
        <w:rPr>
          <w:rFonts w:hint="eastAsia" w:ascii="宋体" w:hAnsi="宋体" w:cs="宋体"/>
          <w:color w:val="auto"/>
          <w:sz w:val="24"/>
          <w:highlight w:val="none"/>
        </w:rPr>
      </w:pPr>
      <w:r>
        <w:rPr>
          <w:rFonts w:hint="eastAsia" w:ascii="宋体" w:hAnsi="宋体" w:cs="仿宋_GB2312"/>
          <w:color w:val="auto"/>
          <w:sz w:val="24"/>
          <w:highlight w:val="none"/>
        </w:rPr>
        <w:t>日期：    年   月   日</w:t>
      </w:r>
    </w:p>
    <w:p w14:paraId="1C4181BC">
      <w:pPr>
        <w:spacing w:line="360" w:lineRule="auto"/>
        <w:contextualSpacing/>
        <w:rPr>
          <w:rFonts w:hint="eastAsia" w:ascii="宋体" w:hAnsi="宋体" w:cs="宋体"/>
          <w:color w:val="auto"/>
          <w:sz w:val="24"/>
          <w:highlight w:val="none"/>
        </w:rPr>
      </w:pPr>
    </w:p>
    <w:p w14:paraId="2776FEEF">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bCs/>
          <w:color w:val="auto"/>
          <w:sz w:val="24"/>
          <w:highlight w:val="none"/>
        </w:rPr>
        <w:t>否</w:t>
      </w:r>
      <w:r>
        <w:rPr>
          <w:rFonts w:hint="eastAsia" w:ascii="宋体" w:hAnsi="宋体" w:cs="宋体"/>
          <w:b/>
          <w:color w:val="auto"/>
          <w:sz w:val="24"/>
          <w:highlight w:val="none"/>
        </w:rPr>
        <w:t>则其响应文件按无效响应处理。</w:t>
      </w:r>
    </w:p>
    <w:p w14:paraId="79B7C12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4159C10D">
      <w:pPr>
        <w:spacing w:line="360" w:lineRule="auto"/>
        <w:ind w:firstLine="480" w:firstLineChars="200"/>
        <w:contextualSpacing/>
        <w:jc w:val="left"/>
        <w:rPr>
          <w:rFonts w:hint="eastAsia" w:ascii="宋体" w:hAnsi="宋体" w:cs="宋体"/>
          <w:color w:val="auto"/>
          <w:szCs w:val="21"/>
          <w:highlight w:val="none"/>
        </w:rPr>
      </w:pPr>
      <w:r>
        <w:rPr>
          <w:rFonts w:hint="eastAsia" w:ascii="宋体" w:hAnsi="宋体" w:cs="宋体"/>
          <w:color w:val="auto"/>
          <w:sz w:val="24"/>
          <w:highlight w:val="none"/>
        </w:rPr>
        <w:t>3.法人、其他组织竞标时“我方”是指“我单位”，自然人竞标时“我方”是指“本人”。</w:t>
      </w:r>
    </w:p>
    <w:p w14:paraId="1CACC7CD">
      <w:pPr>
        <w:spacing w:line="360" w:lineRule="auto"/>
        <w:jc w:val="center"/>
        <w:rPr>
          <w:rFonts w:hint="eastAsia"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商务要求偏离表格式</w:t>
      </w:r>
    </w:p>
    <w:p w14:paraId="7D449576">
      <w:pPr>
        <w:spacing w:line="360" w:lineRule="auto"/>
        <w:jc w:val="center"/>
        <w:rPr>
          <w:rFonts w:hint="eastAsia" w:ascii="宋体" w:hAnsi="宋体" w:cs="宋体"/>
          <w:b/>
          <w:color w:val="auto"/>
          <w:sz w:val="28"/>
          <w:szCs w:val="28"/>
          <w:highlight w:val="none"/>
        </w:rPr>
      </w:pPr>
      <w:r>
        <w:rPr>
          <w:rFonts w:hint="eastAsia" w:ascii="宋体" w:hAnsi="宋体" w:cs="宋体"/>
          <w:bCs/>
          <w:color w:val="auto"/>
          <w:sz w:val="28"/>
          <w:szCs w:val="28"/>
          <w:highlight w:val="none"/>
        </w:rPr>
        <w:t>（注：按采购需求具体条款修改）</w:t>
      </w:r>
    </w:p>
    <w:p w14:paraId="68C97A7A">
      <w:pPr>
        <w:snapToGrid w:val="0"/>
        <w:spacing w:line="360" w:lineRule="auto"/>
        <w:jc w:val="left"/>
        <w:rPr>
          <w:rFonts w:hint="eastAsia" w:ascii="宋体" w:hAnsi="宋体" w:cs="宋体"/>
          <w:color w:val="auto"/>
          <w:sz w:val="24"/>
          <w:highlight w:val="none"/>
        </w:rPr>
      </w:pPr>
    </w:p>
    <w:p w14:paraId="034DBC2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2C91211F">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CC2711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分标号（如有则填写，无分标时填写“无”或者留空）：</w:t>
      </w:r>
      <w:r>
        <w:rPr>
          <w:rFonts w:hint="eastAsia" w:ascii="宋体" w:hAnsi="宋体" w:cs="宋体"/>
          <w:color w:val="auto"/>
          <w:sz w:val="24"/>
          <w:highlight w:val="none"/>
          <w:u w:val="single"/>
        </w:rPr>
        <w:t xml:space="preserve">    /            </w:t>
      </w:r>
    </w:p>
    <w:tbl>
      <w:tblPr>
        <w:tblStyle w:val="27"/>
        <w:tblpPr w:leftFromText="180" w:rightFromText="180" w:vertAnchor="text" w:horzAnchor="margin" w:tblpY="311"/>
        <w:tblOverlap w:val="never"/>
        <w:tblW w:w="91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8"/>
        <w:gridCol w:w="2619"/>
        <w:gridCol w:w="2585"/>
        <w:gridCol w:w="1795"/>
      </w:tblGrid>
      <w:tr w14:paraId="7ACC7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138" w:type="dxa"/>
            <w:tcBorders>
              <w:top w:val="single" w:color="auto" w:sz="4" w:space="0"/>
              <w:left w:val="single" w:color="auto" w:sz="4" w:space="0"/>
              <w:bottom w:val="single" w:color="auto" w:sz="4" w:space="0"/>
              <w:right w:val="single" w:color="auto" w:sz="4" w:space="0"/>
            </w:tcBorders>
            <w:vAlign w:val="center"/>
          </w:tcPr>
          <w:p w14:paraId="5B7D7347">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2619" w:type="dxa"/>
            <w:tcBorders>
              <w:top w:val="single" w:color="auto" w:sz="4" w:space="0"/>
              <w:left w:val="single" w:color="auto" w:sz="4" w:space="0"/>
              <w:bottom w:val="single" w:color="auto" w:sz="4" w:space="0"/>
              <w:right w:val="single" w:color="auto" w:sz="4" w:space="0"/>
            </w:tcBorders>
            <w:vAlign w:val="center"/>
          </w:tcPr>
          <w:p w14:paraId="4F4B577D">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采购文件商务要求</w:t>
            </w:r>
          </w:p>
        </w:tc>
        <w:tc>
          <w:tcPr>
            <w:tcW w:w="2585" w:type="dxa"/>
            <w:tcBorders>
              <w:top w:val="single" w:color="auto" w:sz="4" w:space="0"/>
              <w:left w:val="single" w:color="auto" w:sz="4" w:space="0"/>
              <w:bottom w:val="single" w:color="auto" w:sz="4" w:space="0"/>
              <w:right w:val="single" w:color="auto" w:sz="4" w:space="0"/>
            </w:tcBorders>
            <w:vAlign w:val="center"/>
          </w:tcPr>
          <w:p w14:paraId="0F9F14A8">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供应商的响应</w:t>
            </w:r>
          </w:p>
        </w:tc>
        <w:tc>
          <w:tcPr>
            <w:tcW w:w="1795" w:type="dxa"/>
            <w:tcBorders>
              <w:top w:val="single" w:color="auto" w:sz="4" w:space="0"/>
              <w:left w:val="single" w:color="auto" w:sz="4" w:space="0"/>
              <w:bottom w:val="single" w:color="auto" w:sz="4" w:space="0"/>
              <w:right w:val="single" w:color="auto" w:sz="4" w:space="0"/>
            </w:tcBorders>
            <w:vAlign w:val="center"/>
          </w:tcPr>
          <w:p w14:paraId="122C20FF">
            <w:pPr>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10A67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2138" w:type="dxa"/>
            <w:tcBorders>
              <w:top w:val="single" w:color="auto" w:sz="4" w:space="0"/>
              <w:left w:val="single" w:color="auto" w:sz="4" w:space="0"/>
              <w:bottom w:val="single" w:color="auto" w:sz="4" w:space="0"/>
              <w:right w:val="single" w:color="auto" w:sz="4" w:space="0"/>
            </w:tcBorders>
            <w:vAlign w:val="center"/>
          </w:tcPr>
          <w:p w14:paraId="2A90DA1D">
            <w:pPr>
              <w:spacing w:line="440" w:lineRule="exact"/>
              <w:jc w:val="center"/>
              <w:rPr>
                <w:rFonts w:hint="eastAsia" w:ascii="宋体" w:hAnsi="宋体" w:cs="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6C13F34C">
            <w:pPr>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3740293A">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15B8D3E5">
            <w:pPr>
              <w:snapToGrid w:val="0"/>
              <w:spacing w:line="500" w:lineRule="exact"/>
              <w:jc w:val="center"/>
              <w:rPr>
                <w:rFonts w:hint="eastAsia" w:ascii="宋体" w:hAnsi="宋体" w:cs="宋体"/>
                <w:color w:val="auto"/>
                <w:sz w:val="24"/>
                <w:highlight w:val="none"/>
              </w:rPr>
            </w:pPr>
          </w:p>
        </w:tc>
      </w:tr>
      <w:tr w14:paraId="536F8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2138" w:type="dxa"/>
            <w:tcBorders>
              <w:top w:val="single" w:color="auto" w:sz="4" w:space="0"/>
              <w:left w:val="single" w:color="auto" w:sz="4" w:space="0"/>
              <w:bottom w:val="single" w:color="auto" w:sz="4" w:space="0"/>
              <w:right w:val="single" w:color="auto" w:sz="4" w:space="0"/>
            </w:tcBorders>
            <w:vAlign w:val="center"/>
          </w:tcPr>
          <w:p w14:paraId="170F1889">
            <w:pPr>
              <w:spacing w:line="440" w:lineRule="exact"/>
              <w:jc w:val="center"/>
              <w:rPr>
                <w:rFonts w:hint="eastAsia" w:ascii="宋体" w:hAnsi="宋体" w:cs="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4E34785C">
            <w:pPr>
              <w:spacing w:line="500" w:lineRule="exact"/>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200A5FC5">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690DC3DA">
            <w:pPr>
              <w:snapToGrid w:val="0"/>
              <w:spacing w:line="500" w:lineRule="exact"/>
              <w:jc w:val="center"/>
              <w:rPr>
                <w:rFonts w:hint="eastAsia" w:ascii="宋体" w:hAnsi="宋体" w:cs="宋体"/>
                <w:color w:val="auto"/>
                <w:sz w:val="24"/>
                <w:highlight w:val="none"/>
              </w:rPr>
            </w:pPr>
          </w:p>
        </w:tc>
      </w:tr>
      <w:tr w14:paraId="39FA3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2138" w:type="dxa"/>
            <w:tcBorders>
              <w:top w:val="single" w:color="auto" w:sz="4" w:space="0"/>
              <w:left w:val="single" w:color="auto" w:sz="4" w:space="0"/>
              <w:bottom w:val="single" w:color="auto" w:sz="4" w:space="0"/>
              <w:right w:val="single" w:color="auto" w:sz="4" w:space="0"/>
            </w:tcBorders>
            <w:vAlign w:val="center"/>
          </w:tcPr>
          <w:p w14:paraId="49AB0769">
            <w:pPr>
              <w:spacing w:line="360" w:lineRule="auto"/>
              <w:jc w:val="center"/>
              <w:rPr>
                <w:rFonts w:hint="eastAsia" w:ascii="宋体" w:hAnsi="宋体" w:cs="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00282839">
            <w:pPr>
              <w:snapToGrid w:val="0"/>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335F55B5">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4B69F03B">
            <w:pPr>
              <w:snapToGrid w:val="0"/>
              <w:spacing w:line="500" w:lineRule="exact"/>
              <w:jc w:val="center"/>
              <w:rPr>
                <w:rFonts w:hint="eastAsia" w:ascii="宋体" w:hAnsi="宋体" w:cs="宋体"/>
                <w:color w:val="auto"/>
                <w:sz w:val="24"/>
                <w:highlight w:val="none"/>
              </w:rPr>
            </w:pPr>
          </w:p>
        </w:tc>
      </w:tr>
      <w:tr w14:paraId="0C347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2138" w:type="dxa"/>
            <w:tcBorders>
              <w:top w:val="single" w:color="auto" w:sz="4" w:space="0"/>
              <w:left w:val="single" w:color="auto" w:sz="4" w:space="0"/>
              <w:bottom w:val="single" w:color="auto" w:sz="4" w:space="0"/>
              <w:right w:val="single" w:color="auto" w:sz="4" w:space="0"/>
            </w:tcBorders>
            <w:vAlign w:val="center"/>
          </w:tcPr>
          <w:p w14:paraId="157A35AC">
            <w:pPr>
              <w:spacing w:line="360" w:lineRule="auto"/>
              <w:jc w:val="center"/>
              <w:rPr>
                <w:rFonts w:hint="eastAsia" w:ascii="宋体" w:hAnsi="宋体" w:cs="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18F2F6C7">
            <w:pPr>
              <w:snapToGrid w:val="0"/>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5AE88DC1">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267CF677">
            <w:pPr>
              <w:snapToGrid w:val="0"/>
              <w:spacing w:line="500" w:lineRule="exact"/>
              <w:jc w:val="center"/>
              <w:rPr>
                <w:rFonts w:hint="eastAsia" w:ascii="宋体" w:hAnsi="宋体" w:cs="宋体"/>
                <w:color w:val="auto"/>
                <w:sz w:val="24"/>
                <w:highlight w:val="none"/>
              </w:rPr>
            </w:pPr>
          </w:p>
        </w:tc>
      </w:tr>
      <w:tr w14:paraId="576C3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2138" w:type="dxa"/>
            <w:tcBorders>
              <w:top w:val="single" w:color="auto" w:sz="4" w:space="0"/>
              <w:left w:val="single" w:color="auto" w:sz="4" w:space="0"/>
              <w:bottom w:val="single" w:color="auto" w:sz="4" w:space="0"/>
              <w:right w:val="single" w:color="auto" w:sz="4" w:space="0"/>
            </w:tcBorders>
            <w:vAlign w:val="center"/>
          </w:tcPr>
          <w:p w14:paraId="5575EDEC">
            <w:pPr>
              <w:spacing w:line="360" w:lineRule="auto"/>
              <w:jc w:val="center"/>
              <w:rPr>
                <w:rFonts w:hint="eastAsia" w:ascii="宋体" w:hAnsi="宋体" w:cs="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757223A3">
            <w:pPr>
              <w:snapToGrid w:val="0"/>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485398A1">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73EEAAC7">
            <w:pPr>
              <w:snapToGrid w:val="0"/>
              <w:spacing w:line="500" w:lineRule="exact"/>
              <w:jc w:val="center"/>
              <w:rPr>
                <w:rFonts w:hint="eastAsia" w:ascii="宋体" w:hAnsi="宋体" w:cs="宋体"/>
                <w:color w:val="auto"/>
                <w:sz w:val="24"/>
                <w:highlight w:val="none"/>
              </w:rPr>
            </w:pPr>
          </w:p>
        </w:tc>
      </w:tr>
      <w:tr w14:paraId="3EF4F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2138" w:type="dxa"/>
            <w:tcBorders>
              <w:top w:val="single" w:color="auto" w:sz="4" w:space="0"/>
              <w:left w:val="single" w:color="auto" w:sz="4" w:space="0"/>
              <w:bottom w:val="single" w:color="auto" w:sz="4" w:space="0"/>
              <w:right w:val="single" w:color="auto" w:sz="4" w:space="0"/>
            </w:tcBorders>
            <w:vAlign w:val="center"/>
          </w:tcPr>
          <w:p w14:paraId="13447BDC">
            <w:pPr>
              <w:spacing w:line="360" w:lineRule="auto"/>
              <w:jc w:val="center"/>
              <w:rPr>
                <w:rFonts w:hint="eastAsia" w:ascii="宋体" w:hAnsi="宋体" w:cs="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662EA0A1">
            <w:pPr>
              <w:snapToGrid w:val="0"/>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4B5E7C9B">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3751AECF">
            <w:pPr>
              <w:snapToGrid w:val="0"/>
              <w:spacing w:line="500" w:lineRule="exact"/>
              <w:jc w:val="center"/>
              <w:rPr>
                <w:rFonts w:hint="eastAsia" w:ascii="宋体" w:hAnsi="宋体" w:cs="宋体"/>
                <w:color w:val="auto"/>
                <w:sz w:val="24"/>
                <w:highlight w:val="none"/>
              </w:rPr>
            </w:pPr>
          </w:p>
        </w:tc>
      </w:tr>
      <w:tr w14:paraId="0FE77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2138" w:type="dxa"/>
            <w:tcBorders>
              <w:top w:val="single" w:color="auto" w:sz="4" w:space="0"/>
              <w:left w:val="single" w:color="auto" w:sz="4" w:space="0"/>
              <w:bottom w:val="single" w:color="auto" w:sz="4" w:space="0"/>
              <w:right w:val="single" w:color="auto" w:sz="4" w:space="0"/>
            </w:tcBorders>
            <w:vAlign w:val="center"/>
          </w:tcPr>
          <w:p w14:paraId="6141B669">
            <w:pPr>
              <w:spacing w:line="360" w:lineRule="auto"/>
              <w:jc w:val="center"/>
              <w:rPr>
                <w:rFonts w:hint="eastAsia" w:ascii="宋体" w:hAnsi="宋体" w:cs="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4BEF1031">
            <w:pPr>
              <w:snapToGrid w:val="0"/>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5B9B556F">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5C1BA137">
            <w:pPr>
              <w:snapToGrid w:val="0"/>
              <w:spacing w:line="500" w:lineRule="exact"/>
              <w:jc w:val="center"/>
              <w:rPr>
                <w:rFonts w:hint="eastAsia" w:ascii="宋体" w:hAnsi="宋体" w:cs="宋体"/>
                <w:color w:val="auto"/>
                <w:sz w:val="24"/>
                <w:highlight w:val="none"/>
              </w:rPr>
            </w:pPr>
          </w:p>
        </w:tc>
      </w:tr>
      <w:tr w14:paraId="7832A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2138" w:type="dxa"/>
            <w:tcBorders>
              <w:top w:val="single" w:color="auto" w:sz="4" w:space="0"/>
              <w:left w:val="single" w:color="auto" w:sz="4" w:space="0"/>
              <w:bottom w:val="single" w:color="auto" w:sz="4" w:space="0"/>
              <w:right w:val="single" w:color="auto" w:sz="4" w:space="0"/>
            </w:tcBorders>
            <w:vAlign w:val="center"/>
          </w:tcPr>
          <w:p w14:paraId="208151B7">
            <w:pPr>
              <w:spacing w:line="360" w:lineRule="auto"/>
              <w:jc w:val="center"/>
              <w:rPr>
                <w:rFonts w:hint="eastAsia" w:ascii="宋体" w:hAnsi="宋体"/>
                <w:color w:val="auto"/>
                <w:sz w:val="24"/>
                <w:highlight w:val="none"/>
              </w:rPr>
            </w:pPr>
          </w:p>
        </w:tc>
        <w:tc>
          <w:tcPr>
            <w:tcW w:w="2619" w:type="dxa"/>
            <w:tcBorders>
              <w:top w:val="single" w:color="auto" w:sz="4" w:space="0"/>
              <w:left w:val="single" w:color="auto" w:sz="4" w:space="0"/>
              <w:bottom w:val="single" w:color="auto" w:sz="4" w:space="0"/>
              <w:right w:val="single" w:color="auto" w:sz="4" w:space="0"/>
            </w:tcBorders>
            <w:vAlign w:val="center"/>
          </w:tcPr>
          <w:p w14:paraId="10C4D048">
            <w:pPr>
              <w:snapToGrid w:val="0"/>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42247C71">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6C94809E">
            <w:pPr>
              <w:snapToGrid w:val="0"/>
              <w:spacing w:line="500" w:lineRule="exact"/>
              <w:jc w:val="center"/>
              <w:rPr>
                <w:rFonts w:hint="eastAsia" w:ascii="宋体" w:hAnsi="宋体" w:cs="宋体"/>
                <w:color w:val="auto"/>
                <w:sz w:val="24"/>
                <w:highlight w:val="none"/>
              </w:rPr>
            </w:pPr>
          </w:p>
        </w:tc>
      </w:tr>
      <w:tr w14:paraId="73F95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2138" w:type="dxa"/>
            <w:tcBorders>
              <w:top w:val="single" w:color="auto" w:sz="4" w:space="0"/>
              <w:left w:val="single" w:color="auto" w:sz="4" w:space="0"/>
              <w:bottom w:val="single" w:color="auto" w:sz="4" w:space="0"/>
              <w:right w:val="single" w:color="auto" w:sz="4" w:space="0"/>
            </w:tcBorders>
            <w:vAlign w:val="center"/>
          </w:tcPr>
          <w:p w14:paraId="68B2D14B">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p>
        </w:tc>
        <w:tc>
          <w:tcPr>
            <w:tcW w:w="2619" w:type="dxa"/>
            <w:tcBorders>
              <w:top w:val="single" w:color="auto" w:sz="4" w:space="0"/>
              <w:left w:val="single" w:color="auto" w:sz="4" w:space="0"/>
              <w:bottom w:val="single" w:color="auto" w:sz="4" w:space="0"/>
              <w:right w:val="single" w:color="auto" w:sz="4" w:space="0"/>
            </w:tcBorders>
            <w:vAlign w:val="center"/>
          </w:tcPr>
          <w:p w14:paraId="6084F189">
            <w:pPr>
              <w:snapToGrid w:val="0"/>
              <w:spacing w:line="500" w:lineRule="exact"/>
              <w:jc w:val="center"/>
              <w:rPr>
                <w:rFonts w:hint="eastAsia" w:ascii="宋体" w:hAnsi="宋体" w:cs="宋体"/>
                <w:color w:val="auto"/>
                <w:sz w:val="24"/>
                <w:highlight w:val="none"/>
              </w:rPr>
            </w:pPr>
          </w:p>
        </w:tc>
        <w:tc>
          <w:tcPr>
            <w:tcW w:w="2585" w:type="dxa"/>
            <w:tcBorders>
              <w:top w:val="single" w:color="auto" w:sz="4" w:space="0"/>
              <w:left w:val="single" w:color="auto" w:sz="4" w:space="0"/>
              <w:bottom w:val="single" w:color="auto" w:sz="4" w:space="0"/>
              <w:right w:val="single" w:color="auto" w:sz="4" w:space="0"/>
            </w:tcBorders>
            <w:vAlign w:val="center"/>
          </w:tcPr>
          <w:p w14:paraId="6192CE5A">
            <w:pPr>
              <w:snapToGrid w:val="0"/>
              <w:spacing w:line="500" w:lineRule="exact"/>
              <w:jc w:val="center"/>
              <w:rPr>
                <w:rFonts w:hint="eastAsia" w:ascii="宋体" w:hAnsi="宋体" w:cs="宋体"/>
                <w:color w:val="auto"/>
                <w:sz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51041233">
            <w:pPr>
              <w:snapToGrid w:val="0"/>
              <w:spacing w:line="500" w:lineRule="exact"/>
              <w:jc w:val="center"/>
              <w:rPr>
                <w:rFonts w:hint="eastAsia" w:ascii="宋体" w:hAnsi="宋体" w:cs="宋体"/>
                <w:color w:val="auto"/>
                <w:sz w:val="24"/>
                <w:highlight w:val="none"/>
              </w:rPr>
            </w:pPr>
          </w:p>
        </w:tc>
      </w:tr>
    </w:tbl>
    <w:p w14:paraId="730F1CFD">
      <w:pPr>
        <w:pStyle w:val="9"/>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37E6750">
      <w:pPr>
        <w:pStyle w:val="9"/>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1.说明：应对照采购文件“第三章 采购需求”中的商务要求逐条明确响应，并作出偏离说明。</w:t>
      </w:r>
    </w:p>
    <w:p w14:paraId="7B833FA5">
      <w:pPr>
        <w:pStyle w:val="9"/>
        <w:spacing w:after="0" w:line="360" w:lineRule="auto"/>
        <w:contextualSpacing/>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2.供应商应根据自身的承诺，对照采购文件要求在“偏离说明”中注明“正偏离”、“负偏离”或者“无偏离”。既不属于“正偏离”也不属于“负偏离”即为“无偏离”。</w:t>
      </w:r>
    </w:p>
    <w:p w14:paraId="1B6ACE0D">
      <w:pPr>
        <w:spacing w:line="360" w:lineRule="auto"/>
        <w:contextualSpacing/>
        <w:rPr>
          <w:rFonts w:hint="eastAsia" w:ascii="宋体" w:hAnsi="宋体" w:cs="宋体"/>
          <w:color w:val="auto"/>
          <w:sz w:val="24"/>
          <w:highlight w:val="none"/>
        </w:rPr>
      </w:pPr>
    </w:p>
    <w:p w14:paraId="05826D3D">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r>
        <w:rPr>
          <w:rFonts w:hint="eastAsia" w:ascii="宋体" w:hAnsi="宋体" w:cs="仿宋_GB2312"/>
          <w:color w:val="auto"/>
          <w:sz w:val="24"/>
          <w:highlight w:val="none"/>
        </w:rPr>
        <w:t>（签字或者电子签名）</w:t>
      </w:r>
      <w:r>
        <w:rPr>
          <w:rFonts w:hint="eastAsia" w:ascii="宋体" w:hAnsi="宋体" w:cs="宋体"/>
          <w:color w:val="auto"/>
          <w:sz w:val="24"/>
          <w:highlight w:val="none"/>
        </w:rPr>
        <w:t>：</w:t>
      </w:r>
    </w:p>
    <w:p w14:paraId="13064424">
      <w:pPr>
        <w:spacing w:line="360" w:lineRule="auto"/>
        <w:ind w:firstLine="3240" w:firstLineChars="135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 xml:space="preserve">：      </w:t>
      </w:r>
    </w:p>
    <w:p w14:paraId="7285D8A8">
      <w:pPr>
        <w:spacing w:line="360" w:lineRule="auto"/>
        <w:ind w:firstLine="3240" w:firstLineChars="1350"/>
        <w:contextualSpacing/>
        <w:rPr>
          <w:rFonts w:hint="eastAsia" w:ascii="宋体" w:hAnsi="宋体" w:cs="宋体"/>
          <w:bCs/>
          <w:color w:val="auto"/>
          <w:sz w:val="44"/>
          <w:szCs w:val="44"/>
          <w:highlight w:val="none"/>
        </w:rPr>
      </w:pPr>
      <w:r>
        <w:rPr>
          <w:rFonts w:hint="eastAsia" w:ascii="宋体" w:hAnsi="宋体" w:cs="宋体"/>
          <w:color w:val="auto"/>
          <w:sz w:val="24"/>
          <w:highlight w:val="none"/>
        </w:rPr>
        <w:t>日期：   年   月   日</w:t>
      </w:r>
    </w:p>
    <w:p w14:paraId="72F7A990">
      <w:pPr>
        <w:spacing w:line="360" w:lineRule="auto"/>
        <w:ind w:firstLine="5940" w:firstLineChars="1350"/>
        <w:contextualSpacing/>
        <w:rPr>
          <w:rFonts w:hint="eastAsia" w:ascii="宋体" w:hAnsi="宋体" w:cs="宋体"/>
          <w:color w:val="auto"/>
          <w:szCs w:val="21"/>
          <w:highlight w:val="none"/>
          <w:u w:val="single"/>
        </w:rPr>
      </w:pPr>
      <w:r>
        <w:rPr>
          <w:rFonts w:hint="eastAsia" w:ascii="宋体" w:hAnsi="宋体" w:cs="宋体"/>
          <w:bCs/>
          <w:color w:val="auto"/>
          <w:sz w:val="44"/>
          <w:szCs w:val="44"/>
          <w:highlight w:val="none"/>
        </w:rPr>
        <w:br w:type="page"/>
      </w:r>
    </w:p>
    <w:p w14:paraId="796E819D">
      <w:pPr>
        <w:adjustRightInd w:val="0"/>
        <w:snapToGrid w:val="0"/>
        <w:spacing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技术要求偏离表</w:t>
      </w:r>
    </w:p>
    <w:p w14:paraId="199A8516">
      <w:pPr>
        <w:spacing w:line="360" w:lineRule="auto"/>
        <w:rPr>
          <w:rFonts w:hint="eastAsia" w:ascii="宋体" w:hAnsi="宋体" w:cs="宋体"/>
          <w:color w:val="auto"/>
          <w:sz w:val="32"/>
          <w:szCs w:val="32"/>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242E9CCA">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697D169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分标号（如有则填写，无分标时填写“无”或者留空）：</w:t>
      </w:r>
      <w:r>
        <w:rPr>
          <w:rFonts w:hint="eastAsia" w:ascii="宋体" w:hAnsi="宋体" w:cs="宋体"/>
          <w:color w:val="auto"/>
          <w:sz w:val="24"/>
          <w:highlight w:val="none"/>
          <w:u w:val="single"/>
        </w:rPr>
        <w:t xml:space="preserve">    /          </w:t>
      </w:r>
    </w:p>
    <w:tbl>
      <w:tblPr>
        <w:tblStyle w:val="27"/>
        <w:tblW w:w="490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4"/>
        <w:gridCol w:w="916"/>
        <w:gridCol w:w="3049"/>
        <w:gridCol w:w="2742"/>
        <w:gridCol w:w="1497"/>
      </w:tblGrid>
      <w:tr w14:paraId="5CAD01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15" w:hRule="atLeast"/>
          <w:jc w:val="center"/>
        </w:trPr>
        <w:tc>
          <w:tcPr>
            <w:tcW w:w="501" w:type="pct"/>
            <w:vAlign w:val="center"/>
          </w:tcPr>
          <w:p w14:paraId="15617652">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502" w:type="pct"/>
            <w:tcBorders>
              <w:right w:val="single" w:color="auto" w:sz="4" w:space="0"/>
            </w:tcBorders>
            <w:vAlign w:val="center"/>
          </w:tcPr>
          <w:p w14:paraId="0A918E08">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1671" w:type="pct"/>
            <w:tcBorders>
              <w:left w:val="single" w:color="auto" w:sz="4" w:space="0"/>
            </w:tcBorders>
            <w:vAlign w:val="center"/>
          </w:tcPr>
          <w:p w14:paraId="788CC5D0">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采购文件技术要求</w:t>
            </w:r>
          </w:p>
        </w:tc>
        <w:tc>
          <w:tcPr>
            <w:tcW w:w="1503" w:type="pct"/>
            <w:vAlign w:val="center"/>
          </w:tcPr>
          <w:p w14:paraId="68964D13">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竞标响应</w:t>
            </w:r>
          </w:p>
        </w:tc>
        <w:tc>
          <w:tcPr>
            <w:tcW w:w="820" w:type="pct"/>
            <w:vAlign w:val="center"/>
          </w:tcPr>
          <w:p w14:paraId="2A366FD9">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7E716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501" w:type="pct"/>
            <w:vAlign w:val="center"/>
          </w:tcPr>
          <w:p w14:paraId="4C0103E4">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502" w:type="pct"/>
            <w:tcBorders>
              <w:right w:val="single" w:color="auto" w:sz="4" w:space="0"/>
            </w:tcBorders>
            <w:vAlign w:val="center"/>
          </w:tcPr>
          <w:p w14:paraId="0A7A4AAE">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671" w:type="pct"/>
            <w:tcBorders>
              <w:left w:val="single" w:color="auto" w:sz="4" w:space="0"/>
            </w:tcBorders>
            <w:vAlign w:val="center"/>
          </w:tcPr>
          <w:p w14:paraId="10FC704C">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2759017B">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vAlign w:val="center"/>
          </w:tcPr>
          <w:p w14:paraId="0283A743">
            <w:pPr>
              <w:pStyle w:val="11"/>
              <w:spacing w:line="500" w:lineRule="exact"/>
              <w:ind w:firstLine="0" w:firstLineChars="0"/>
              <w:jc w:val="center"/>
              <w:rPr>
                <w:rFonts w:hint="eastAsia" w:ascii="宋体" w:hAnsi="宋体" w:eastAsia="宋体" w:cs="宋体"/>
                <w:color w:val="auto"/>
                <w:kern w:val="2"/>
                <w:sz w:val="24"/>
                <w:szCs w:val="24"/>
                <w:highlight w:val="none"/>
              </w:rPr>
            </w:pPr>
          </w:p>
        </w:tc>
      </w:tr>
      <w:tr w14:paraId="2F8DDF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501" w:type="pct"/>
            <w:vAlign w:val="center"/>
          </w:tcPr>
          <w:p w14:paraId="31516FB4">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502" w:type="pct"/>
            <w:tcBorders>
              <w:right w:val="single" w:color="auto" w:sz="4" w:space="0"/>
            </w:tcBorders>
            <w:vAlign w:val="center"/>
          </w:tcPr>
          <w:p w14:paraId="6DDAEB58">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671" w:type="pct"/>
            <w:tcBorders>
              <w:left w:val="single" w:color="auto" w:sz="4" w:space="0"/>
            </w:tcBorders>
            <w:vAlign w:val="center"/>
          </w:tcPr>
          <w:p w14:paraId="07237272">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553F2161">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vAlign w:val="center"/>
          </w:tcPr>
          <w:p w14:paraId="73C5A1DB">
            <w:pPr>
              <w:pStyle w:val="11"/>
              <w:spacing w:line="500" w:lineRule="exact"/>
              <w:ind w:firstLine="0" w:firstLineChars="0"/>
              <w:jc w:val="center"/>
              <w:rPr>
                <w:rFonts w:hint="eastAsia" w:ascii="宋体" w:hAnsi="宋体" w:eastAsia="宋体" w:cs="宋体"/>
                <w:color w:val="auto"/>
                <w:kern w:val="2"/>
                <w:sz w:val="24"/>
                <w:szCs w:val="24"/>
                <w:highlight w:val="none"/>
              </w:rPr>
            </w:pPr>
          </w:p>
        </w:tc>
      </w:tr>
      <w:tr w14:paraId="3968CC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501" w:type="pct"/>
            <w:vAlign w:val="center"/>
          </w:tcPr>
          <w:p w14:paraId="2EF619D2">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502" w:type="pct"/>
            <w:tcBorders>
              <w:right w:val="single" w:color="auto" w:sz="4" w:space="0"/>
            </w:tcBorders>
            <w:vAlign w:val="center"/>
          </w:tcPr>
          <w:p w14:paraId="2EC3D6D1">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671" w:type="pct"/>
            <w:tcBorders>
              <w:left w:val="single" w:color="auto" w:sz="4" w:space="0"/>
            </w:tcBorders>
            <w:vAlign w:val="center"/>
          </w:tcPr>
          <w:p w14:paraId="1A2A074F">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216DFD02">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vAlign w:val="center"/>
          </w:tcPr>
          <w:p w14:paraId="1EF536AF">
            <w:pPr>
              <w:pStyle w:val="11"/>
              <w:spacing w:line="500" w:lineRule="exact"/>
              <w:ind w:firstLine="0" w:firstLineChars="0"/>
              <w:jc w:val="center"/>
              <w:rPr>
                <w:rFonts w:hint="eastAsia" w:ascii="宋体" w:hAnsi="宋体" w:eastAsia="宋体" w:cs="宋体"/>
                <w:color w:val="auto"/>
                <w:kern w:val="2"/>
                <w:sz w:val="24"/>
                <w:szCs w:val="24"/>
                <w:highlight w:val="none"/>
              </w:rPr>
            </w:pPr>
          </w:p>
        </w:tc>
      </w:tr>
      <w:tr w14:paraId="4035F3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501" w:type="pct"/>
            <w:vAlign w:val="center"/>
          </w:tcPr>
          <w:p w14:paraId="621E9AD3">
            <w:pPr>
              <w:pStyle w:val="11"/>
              <w:spacing w:line="500" w:lineRule="exact"/>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502" w:type="pct"/>
            <w:tcBorders>
              <w:right w:val="single" w:color="auto" w:sz="4" w:space="0"/>
            </w:tcBorders>
            <w:vAlign w:val="center"/>
          </w:tcPr>
          <w:p w14:paraId="41197641">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671" w:type="pct"/>
            <w:tcBorders>
              <w:left w:val="single" w:color="auto" w:sz="4" w:space="0"/>
            </w:tcBorders>
            <w:vAlign w:val="center"/>
          </w:tcPr>
          <w:p w14:paraId="7CDE8FD8">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1503" w:type="pct"/>
            <w:vAlign w:val="center"/>
          </w:tcPr>
          <w:p w14:paraId="27CC5D8B">
            <w:pPr>
              <w:pStyle w:val="11"/>
              <w:spacing w:line="500" w:lineRule="exact"/>
              <w:ind w:firstLine="0" w:firstLineChars="0"/>
              <w:jc w:val="center"/>
              <w:rPr>
                <w:rFonts w:hint="eastAsia" w:ascii="宋体" w:hAnsi="宋体" w:eastAsia="宋体" w:cs="宋体"/>
                <w:color w:val="auto"/>
                <w:kern w:val="2"/>
                <w:sz w:val="24"/>
                <w:szCs w:val="24"/>
                <w:highlight w:val="none"/>
              </w:rPr>
            </w:pPr>
          </w:p>
        </w:tc>
        <w:tc>
          <w:tcPr>
            <w:tcW w:w="820" w:type="pct"/>
            <w:tcBorders>
              <w:right w:val="single" w:color="auto" w:sz="4" w:space="0"/>
            </w:tcBorders>
            <w:vAlign w:val="center"/>
          </w:tcPr>
          <w:p w14:paraId="7370E361">
            <w:pPr>
              <w:pStyle w:val="11"/>
              <w:spacing w:line="500" w:lineRule="exact"/>
              <w:ind w:firstLine="0" w:firstLineChars="0"/>
              <w:jc w:val="center"/>
              <w:rPr>
                <w:rFonts w:hint="eastAsia" w:ascii="宋体" w:hAnsi="宋体" w:eastAsia="宋体" w:cs="宋体"/>
                <w:color w:val="auto"/>
                <w:kern w:val="2"/>
                <w:sz w:val="24"/>
                <w:szCs w:val="24"/>
                <w:highlight w:val="none"/>
              </w:rPr>
            </w:pPr>
          </w:p>
        </w:tc>
      </w:tr>
    </w:tbl>
    <w:p w14:paraId="3A85C81A">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BDFA4FF">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说明：应对照采购文件“第三章 采购需求”中的技术参数及性能（配置）要求逐条实质性响应，并作出偏离说明。</w:t>
      </w:r>
    </w:p>
    <w:p w14:paraId="590C126E">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2.供应商应根据竞标设备的性能指标，对照采购文件要求，在“偏离说明”中注明“正偏离”、“负偏离”或者“无偏离”。既不属于“正偏离”也不属于“负偏离”即为“无偏离”。</w:t>
      </w:r>
    </w:p>
    <w:p w14:paraId="330DA6DA">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3.表格内容均需按要求填写并盖章，不得留空，否则按竞标无效处理。</w:t>
      </w:r>
    </w:p>
    <w:p w14:paraId="05CD57B2">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如技术偏离表中的竞标响应与佐证材料不一致的，以佐证材料为准。</w:t>
      </w:r>
    </w:p>
    <w:p w14:paraId="5DA7F070">
      <w:pPr>
        <w:pStyle w:val="11"/>
        <w:spacing w:line="360" w:lineRule="auto"/>
        <w:ind w:firstLine="0" w:firstLineChars="0"/>
        <w:contextualSpacing/>
        <w:rPr>
          <w:rFonts w:hint="eastAsia" w:ascii="宋体" w:hAnsi="宋体" w:eastAsia="宋体" w:cs="宋体"/>
          <w:color w:val="auto"/>
          <w:sz w:val="24"/>
          <w:szCs w:val="24"/>
          <w:highlight w:val="none"/>
        </w:rPr>
      </w:pPr>
    </w:p>
    <w:p w14:paraId="2C191988">
      <w:pPr>
        <w:spacing w:line="360" w:lineRule="auto"/>
        <w:contextualSpacing/>
        <w:rPr>
          <w:rFonts w:hint="eastAsia" w:ascii="宋体" w:hAnsi="宋体" w:cs="宋体"/>
          <w:color w:val="auto"/>
          <w:sz w:val="24"/>
          <w:highlight w:val="none"/>
        </w:rPr>
      </w:pPr>
    </w:p>
    <w:p w14:paraId="787BB1B4">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r>
        <w:rPr>
          <w:rFonts w:hint="eastAsia" w:ascii="宋体" w:hAnsi="宋体" w:cs="仿宋_GB2312"/>
          <w:color w:val="auto"/>
          <w:sz w:val="24"/>
          <w:highlight w:val="none"/>
        </w:rPr>
        <w:t>（签字或者电子签名）</w:t>
      </w:r>
      <w:r>
        <w:rPr>
          <w:rFonts w:hint="eastAsia" w:ascii="宋体" w:hAnsi="宋体" w:cs="宋体"/>
          <w:color w:val="auto"/>
          <w:sz w:val="24"/>
          <w:highlight w:val="none"/>
        </w:rPr>
        <w:t>：</w:t>
      </w:r>
    </w:p>
    <w:p w14:paraId="5CD5070D">
      <w:pPr>
        <w:spacing w:line="360" w:lineRule="auto"/>
        <w:ind w:firstLine="2880" w:firstLineChars="120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仿宋_GB2312"/>
          <w:color w:val="auto"/>
          <w:sz w:val="24"/>
          <w:highlight w:val="none"/>
        </w:rPr>
        <w:t>（电子签章）</w:t>
      </w:r>
      <w:r>
        <w:rPr>
          <w:rFonts w:hint="eastAsia" w:ascii="宋体" w:hAnsi="宋体" w:cs="宋体"/>
          <w:color w:val="auto"/>
          <w:sz w:val="24"/>
          <w:highlight w:val="none"/>
        </w:rPr>
        <w:t xml:space="preserve">：      </w:t>
      </w:r>
    </w:p>
    <w:p w14:paraId="3D83DEC4">
      <w:pPr>
        <w:spacing w:line="360" w:lineRule="auto"/>
        <w:ind w:firstLine="2880" w:firstLineChars="1200"/>
        <w:contextualSpacing/>
        <w:rPr>
          <w:rFonts w:hint="eastAsia" w:ascii="宋体" w:hAnsi="宋体" w:cs="宋体"/>
          <w:color w:val="auto"/>
          <w:sz w:val="32"/>
          <w:szCs w:val="32"/>
          <w:highlight w:val="none"/>
        </w:rPr>
      </w:pPr>
      <w:r>
        <w:rPr>
          <w:rFonts w:hint="eastAsia" w:ascii="宋体" w:hAnsi="宋体" w:cs="宋体"/>
          <w:color w:val="auto"/>
          <w:sz w:val="24"/>
          <w:highlight w:val="none"/>
        </w:rPr>
        <w:t>日期：   年   月   日</w:t>
      </w:r>
    </w:p>
    <w:p w14:paraId="5AAFFAF5">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34C62E4F">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货物配置清单</w:t>
      </w:r>
    </w:p>
    <w:p w14:paraId="4CBE6371">
      <w:pPr>
        <w:tabs>
          <w:tab w:val="center" w:pos="4535"/>
        </w:tabs>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776CE3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45A6E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分标号（如有则填写，无分标时填写“无”或者留空）：</w:t>
      </w:r>
      <w:r>
        <w:rPr>
          <w:rFonts w:hint="eastAsia" w:ascii="宋体" w:hAnsi="宋体" w:cs="宋体"/>
          <w:color w:val="auto"/>
          <w:sz w:val="24"/>
          <w:highlight w:val="none"/>
          <w:u w:val="single"/>
        </w:rPr>
        <w:t xml:space="preserve">    /          </w:t>
      </w:r>
    </w:p>
    <w:tbl>
      <w:tblPr>
        <w:tblStyle w:val="27"/>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1145"/>
        <w:gridCol w:w="1078"/>
        <w:gridCol w:w="1050"/>
        <w:gridCol w:w="1481"/>
        <w:gridCol w:w="1035"/>
        <w:gridCol w:w="1100"/>
        <w:gridCol w:w="1763"/>
      </w:tblGrid>
      <w:tr w14:paraId="5F05A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1E762ADC">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序号</w:t>
            </w:r>
          </w:p>
        </w:tc>
        <w:tc>
          <w:tcPr>
            <w:tcW w:w="1145" w:type="dxa"/>
            <w:tcBorders>
              <w:top w:val="single" w:color="auto" w:sz="4" w:space="0"/>
              <w:left w:val="single" w:color="auto" w:sz="4" w:space="0"/>
              <w:bottom w:val="single" w:color="auto" w:sz="4" w:space="0"/>
              <w:right w:val="single" w:color="auto" w:sz="4" w:space="0"/>
            </w:tcBorders>
            <w:vAlign w:val="center"/>
          </w:tcPr>
          <w:p w14:paraId="3C7EE2E9">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货物名称</w:t>
            </w:r>
          </w:p>
        </w:tc>
        <w:tc>
          <w:tcPr>
            <w:tcW w:w="1078" w:type="dxa"/>
            <w:tcBorders>
              <w:top w:val="single" w:color="auto" w:sz="4" w:space="0"/>
              <w:left w:val="single" w:color="auto" w:sz="4" w:space="0"/>
              <w:bottom w:val="single" w:color="auto" w:sz="4" w:space="0"/>
              <w:right w:val="single" w:color="auto" w:sz="4" w:space="0"/>
            </w:tcBorders>
            <w:vAlign w:val="center"/>
          </w:tcPr>
          <w:p w14:paraId="34443C23">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数量及单位</w:t>
            </w:r>
          </w:p>
        </w:tc>
        <w:tc>
          <w:tcPr>
            <w:tcW w:w="1050" w:type="dxa"/>
            <w:tcBorders>
              <w:top w:val="single" w:color="auto" w:sz="4" w:space="0"/>
              <w:left w:val="single" w:color="auto" w:sz="4" w:space="0"/>
              <w:bottom w:val="single" w:color="auto" w:sz="4" w:space="0"/>
              <w:right w:val="single" w:color="auto" w:sz="4" w:space="0"/>
            </w:tcBorders>
            <w:vAlign w:val="center"/>
          </w:tcPr>
          <w:p w14:paraId="5330F46F">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品牌</w:t>
            </w:r>
          </w:p>
        </w:tc>
        <w:tc>
          <w:tcPr>
            <w:tcW w:w="1481" w:type="dxa"/>
            <w:tcBorders>
              <w:top w:val="single" w:color="auto" w:sz="4" w:space="0"/>
              <w:left w:val="single" w:color="auto" w:sz="4" w:space="0"/>
              <w:bottom w:val="single" w:color="auto" w:sz="4" w:space="0"/>
              <w:right w:val="single" w:color="auto" w:sz="4" w:space="0"/>
            </w:tcBorders>
          </w:tcPr>
          <w:p w14:paraId="7E660A1E">
            <w:pPr>
              <w:snapToGrid w:val="0"/>
              <w:spacing w:before="50" w:after="50"/>
              <w:jc w:val="center"/>
              <w:rPr>
                <w:rFonts w:hint="eastAsia" w:ascii="宋体" w:hAnsi="宋体"/>
                <w:color w:val="auto"/>
                <w:sz w:val="24"/>
                <w:highlight w:val="none"/>
              </w:rPr>
            </w:pPr>
          </w:p>
          <w:p w14:paraId="7268D8A4">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规格型号</w:t>
            </w:r>
          </w:p>
        </w:tc>
        <w:tc>
          <w:tcPr>
            <w:tcW w:w="1035" w:type="dxa"/>
            <w:tcBorders>
              <w:top w:val="single" w:color="auto" w:sz="4" w:space="0"/>
              <w:left w:val="single" w:color="auto" w:sz="4" w:space="0"/>
              <w:bottom w:val="single" w:color="auto" w:sz="4" w:space="0"/>
              <w:right w:val="single" w:color="auto" w:sz="4" w:space="0"/>
            </w:tcBorders>
            <w:vAlign w:val="center"/>
          </w:tcPr>
          <w:p w14:paraId="55CA686B">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制造商</w:t>
            </w:r>
          </w:p>
        </w:tc>
        <w:tc>
          <w:tcPr>
            <w:tcW w:w="1100" w:type="dxa"/>
            <w:tcBorders>
              <w:top w:val="single" w:color="auto" w:sz="4" w:space="0"/>
              <w:left w:val="single" w:color="auto" w:sz="4" w:space="0"/>
              <w:bottom w:val="single" w:color="auto" w:sz="4" w:space="0"/>
              <w:right w:val="single" w:color="auto" w:sz="4" w:space="0"/>
            </w:tcBorders>
            <w:vAlign w:val="center"/>
          </w:tcPr>
          <w:p w14:paraId="4EA74E36">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原产地</w:t>
            </w:r>
          </w:p>
        </w:tc>
        <w:tc>
          <w:tcPr>
            <w:tcW w:w="1763" w:type="dxa"/>
            <w:tcBorders>
              <w:top w:val="single" w:color="auto" w:sz="4" w:space="0"/>
              <w:left w:val="single" w:color="auto" w:sz="4" w:space="0"/>
              <w:bottom w:val="single" w:color="auto" w:sz="4" w:space="0"/>
              <w:right w:val="single" w:color="auto" w:sz="4" w:space="0"/>
            </w:tcBorders>
            <w:vAlign w:val="center"/>
          </w:tcPr>
          <w:p w14:paraId="6AC015AC">
            <w:pPr>
              <w:snapToGrid w:val="0"/>
              <w:spacing w:before="50" w:after="50"/>
              <w:jc w:val="center"/>
              <w:rPr>
                <w:rFonts w:hint="eastAsia" w:ascii="宋体" w:hAnsi="宋体" w:cs="宋体"/>
                <w:color w:val="auto"/>
                <w:sz w:val="24"/>
                <w:highlight w:val="none"/>
              </w:rPr>
            </w:pPr>
            <w:r>
              <w:rPr>
                <w:rFonts w:hint="eastAsia" w:ascii="宋体" w:hAnsi="宋体"/>
                <w:color w:val="auto"/>
                <w:sz w:val="24"/>
                <w:highlight w:val="none"/>
              </w:rPr>
              <w:t>参数性能、指标及配置</w:t>
            </w:r>
          </w:p>
        </w:tc>
      </w:tr>
      <w:tr w14:paraId="44DC4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BDE394B">
            <w:pPr>
              <w:snapToGrid w:val="0"/>
              <w:spacing w:before="50" w:after="50"/>
              <w:jc w:val="center"/>
              <w:rPr>
                <w:rFonts w:hint="eastAsia" w:ascii="宋体" w:hAnsi="宋体" w:cs="宋体"/>
                <w:color w:val="auto"/>
                <w:sz w:val="24"/>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0B5BFA9C">
            <w:pPr>
              <w:snapToGrid w:val="0"/>
              <w:spacing w:before="50" w:after="50"/>
              <w:jc w:val="center"/>
              <w:rPr>
                <w:rFonts w:hint="eastAsia" w:ascii="宋体" w:hAnsi="宋体" w:cs="宋体"/>
                <w:color w:val="auto"/>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0AAE29F">
            <w:pPr>
              <w:snapToGrid w:val="0"/>
              <w:spacing w:before="50" w:after="50"/>
              <w:jc w:val="center"/>
              <w:rPr>
                <w:rFonts w:hint="eastAsia" w:ascii="宋体" w:hAnsi="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tcPr>
          <w:p w14:paraId="217C8072">
            <w:pPr>
              <w:snapToGrid w:val="0"/>
              <w:spacing w:before="50" w:after="50"/>
              <w:jc w:val="center"/>
              <w:rPr>
                <w:rFonts w:hint="eastAsia" w:ascii="宋体" w:hAnsi="宋体" w:cs="宋体"/>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2E8BDE1F">
            <w:pPr>
              <w:snapToGrid w:val="0"/>
              <w:spacing w:before="50" w:after="50"/>
              <w:jc w:val="center"/>
              <w:rPr>
                <w:rFonts w:hint="eastAsia" w:ascii="宋体" w:hAnsi="宋体" w:cs="宋体"/>
                <w:color w:val="auto"/>
                <w:sz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170775BC">
            <w:pPr>
              <w:snapToGrid w:val="0"/>
              <w:spacing w:before="50" w:after="50"/>
              <w:jc w:val="center"/>
              <w:rPr>
                <w:rFonts w:hint="eastAsia" w:ascii="宋体" w:hAnsi="宋体" w:cs="宋体"/>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tcPr>
          <w:p w14:paraId="638A8141">
            <w:pPr>
              <w:snapToGrid w:val="0"/>
              <w:spacing w:before="50" w:after="50"/>
              <w:jc w:val="center"/>
              <w:rPr>
                <w:rFonts w:hint="eastAsia" w:ascii="宋体" w:hAnsi="宋体" w:cs="宋体"/>
                <w:color w:val="auto"/>
                <w:sz w:val="24"/>
                <w:highlight w:val="none"/>
              </w:rPr>
            </w:pPr>
          </w:p>
        </w:tc>
        <w:tc>
          <w:tcPr>
            <w:tcW w:w="1763" w:type="dxa"/>
            <w:tcBorders>
              <w:top w:val="single" w:color="auto" w:sz="4" w:space="0"/>
              <w:left w:val="single" w:color="auto" w:sz="4" w:space="0"/>
              <w:bottom w:val="single" w:color="auto" w:sz="4" w:space="0"/>
              <w:right w:val="single" w:color="auto" w:sz="4" w:space="0"/>
            </w:tcBorders>
          </w:tcPr>
          <w:p w14:paraId="1F269951">
            <w:pPr>
              <w:snapToGrid w:val="0"/>
              <w:spacing w:before="50" w:after="50"/>
              <w:jc w:val="center"/>
              <w:rPr>
                <w:rFonts w:hint="eastAsia" w:ascii="宋体" w:hAnsi="宋体" w:cs="宋体"/>
                <w:color w:val="auto"/>
                <w:sz w:val="24"/>
                <w:highlight w:val="none"/>
              </w:rPr>
            </w:pPr>
          </w:p>
        </w:tc>
      </w:tr>
      <w:tr w14:paraId="749AF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E403FBE">
            <w:pPr>
              <w:snapToGrid w:val="0"/>
              <w:spacing w:before="50" w:after="50"/>
              <w:jc w:val="center"/>
              <w:rPr>
                <w:rFonts w:hint="eastAsia" w:ascii="宋体" w:hAnsi="宋体" w:cs="宋体"/>
                <w:color w:val="auto"/>
                <w:sz w:val="24"/>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60B06155">
            <w:pPr>
              <w:snapToGrid w:val="0"/>
              <w:spacing w:before="50" w:after="50"/>
              <w:jc w:val="center"/>
              <w:rPr>
                <w:rFonts w:hint="eastAsia" w:ascii="宋体" w:hAnsi="宋体" w:cs="宋体"/>
                <w:color w:val="auto"/>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0099360B">
            <w:pPr>
              <w:snapToGrid w:val="0"/>
              <w:spacing w:before="50" w:after="50"/>
              <w:jc w:val="center"/>
              <w:rPr>
                <w:rFonts w:hint="eastAsia" w:ascii="宋体" w:hAnsi="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tcPr>
          <w:p w14:paraId="5BDABE86">
            <w:pPr>
              <w:snapToGrid w:val="0"/>
              <w:spacing w:before="50" w:after="50"/>
              <w:jc w:val="center"/>
              <w:rPr>
                <w:rFonts w:hint="eastAsia" w:ascii="宋体" w:hAnsi="宋体" w:cs="宋体"/>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739FCC8B">
            <w:pPr>
              <w:snapToGrid w:val="0"/>
              <w:spacing w:before="50" w:after="50"/>
              <w:jc w:val="center"/>
              <w:rPr>
                <w:rFonts w:hint="eastAsia" w:ascii="宋体" w:hAnsi="宋体" w:cs="宋体"/>
                <w:color w:val="auto"/>
                <w:sz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4AE5CCD0">
            <w:pPr>
              <w:snapToGrid w:val="0"/>
              <w:spacing w:before="50" w:after="50"/>
              <w:jc w:val="center"/>
              <w:rPr>
                <w:rFonts w:hint="eastAsia" w:ascii="宋体" w:hAnsi="宋体" w:cs="宋体"/>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tcPr>
          <w:p w14:paraId="0EBE0E52">
            <w:pPr>
              <w:snapToGrid w:val="0"/>
              <w:spacing w:before="50" w:after="50"/>
              <w:jc w:val="center"/>
              <w:rPr>
                <w:rFonts w:hint="eastAsia" w:ascii="宋体" w:hAnsi="宋体" w:cs="宋体"/>
                <w:color w:val="auto"/>
                <w:sz w:val="24"/>
                <w:highlight w:val="none"/>
              </w:rPr>
            </w:pPr>
          </w:p>
        </w:tc>
        <w:tc>
          <w:tcPr>
            <w:tcW w:w="1763" w:type="dxa"/>
            <w:tcBorders>
              <w:top w:val="single" w:color="auto" w:sz="4" w:space="0"/>
              <w:left w:val="single" w:color="auto" w:sz="4" w:space="0"/>
              <w:bottom w:val="single" w:color="auto" w:sz="4" w:space="0"/>
              <w:right w:val="single" w:color="auto" w:sz="4" w:space="0"/>
            </w:tcBorders>
          </w:tcPr>
          <w:p w14:paraId="752488AD">
            <w:pPr>
              <w:snapToGrid w:val="0"/>
              <w:spacing w:before="50" w:after="50"/>
              <w:jc w:val="center"/>
              <w:rPr>
                <w:rFonts w:hint="eastAsia" w:ascii="宋体" w:hAnsi="宋体" w:cs="宋体"/>
                <w:color w:val="auto"/>
                <w:sz w:val="24"/>
                <w:highlight w:val="none"/>
              </w:rPr>
            </w:pPr>
          </w:p>
        </w:tc>
      </w:tr>
      <w:tr w14:paraId="69E20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F9B311F">
            <w:pPr>
              <w:snapToGrid w:val="0"/>
              <w:spacing w:before="50" w:after="50"/>
              <w:jc w:val="center"/>
              <w:rPr>
                <w:rFonts w:hint="eastAsia" w:ascii="宋体" w:hAnsi="宋体" w:cs="宋体"/>
                <w:color w:val="auto"/>
                <w:sz w:val="24"/>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14:paraId="791BF39E">
            <w:pPr>
              <w:snapToGrid w:val="0"/>
              <w:spacing w:before="50" w:after="50"/>
              <w:jc w:val="center"/>
              <w:rPr>
                <w:rFonts w:hint="eastAsia" w:ascii="宋体" w:hAnsi="宋体" w:cs="宋体"/>
                <w:color w:val="auto"/>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FBD6519">
            <w:pPr>
              <w:snapToGrid w:val="0"/>
              <w:spacing w:before="50" w:after="50"/>
              <w:jc w:val="center"/>
              <w:rPr>
                <w:rFonts w:hint="eastAsia" w:ascii="宋体" w:hAnsi="宋体" w:cs="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tcPr>
          <w:p w14:paraId="6070E173">
            <w:pPr>
              <w:snapToGrid w:val="0"/>
              <w:spacing w:before="50" w:after="50"/>
              <w:jc w:val="center"/>
              <w:rPr>
                <w:rFonts w:hint="eastAsia" w:ascii="宋体" w:hAnsi="宋体" w:cs="宋体"/>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27D4AA26">
            <w:pPr>
              <w:snapToGrid w:val="0"/>
              <w:spacing w:before="50" w:after="50"/>
              <w:jc w:val="center"/>
              <w:rPr>
                <w:rFonts w:hint="eastAsia" w:ascii="宋体" w:hAnsi="宋体" w:cs="宋体"/>
                <w:color w:val="auto"/>
                <w:sz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64AEF045">
            <w:pPr>
              <w:snapToGrid w:val="0"/>
              <w:spacing w:before="50" w:after="50"/>
              <w:jc w:val="center"/>
              <w:rPr>
                <w:rFonts w:hint="eastAsia" w:ascii="宋体" w:hAnsi="宋体" w:cs="宋体"/>
                <w:color w:val="auto"/>
                <w:sz w:val="24"/>
                <w:highlight w:val="none"/>
              </w:rPr>
            </w:pPr>
          </w:p>
        </w:tc>
        <w:tc>
          <w:tcPr>
            <w:tcW w:w="1100" w:type="dxa"/>
            <w:tcBorders>
              <w:top w:val="single" w:color="auto" w:sz="4" w:space="0"/>
              <w:left w:val="single" w:color="auto" w:sz="4" w:space="0"/>
              <w:bottom w:val="single" w:color="auto" w:sz="4" w:space="0"/>
              <w:right w:val="single" w:color="auto" w:sz="4" w:space="0"/>
            </w:tcBorders>
          </w:tcPr>
          <w:p w14:paraId="3DC81338">
            <w:pPr>
              <w:snapToGrid w:val="0"/>
              <w:spacing w:before="50" w:after="50"/>
              <w:jc w:val="center"/>
              <w:rPr>
                <w:rFonts w:hint="eastAsia" w:ascii="宋体" w:hAnsi="宋体" w:cs="宋体"/>
                <w:color w:val="auto"/>
                <w:sz w:val="24"/>
                <w:highlight w:val="none"/>
              </w:rPr>
            </w:pPr>
          </w:p>
        </w:tc>
        <w:tc>
          <w:tcPr>
            <w:tcW w:w="1763" w:type="dxa"/>
            <w:tcBorders>
              <w:top w:val="single" w:color="auto" w:sz="4" w:space="0"/>
              <w:left w:val="single" w:color="auto" w:sz="4" w:space="0"/>
              <w:bottom w:val="single" w:color="auto" w:sz="4" w:space="0"/>
              <w:right w:val="single" w:color="auto" w:sz="4" w:space="0"/>
            </w:tcBorders>
          </w:tcPr>
          <w:p w14:paraId="703E4948">
            <w:pPr>
              <w:snapToGrid w:val="0"/>
              <w:spacing w:before="50" w:after="50"/>
              <w:jc w:val="center"/>
              <w:rPr>
                <w:rFonts w:hint="eastAsia" w:ascii="宋体" w:hAnsi="宋体" w:cs="宋体"/>
                <w:color w:val="auto"/>
                <w:sz w:val="24"/>
                <w:highlight w:val="none"/>
              </w:rPr>
            </w:pPr>
          </w:p>
        </w:tc>
      </w:tr>
    </w:tbl>
    <w:p w14:paraId="2605A729">
      <w:pPr>
        <w:spacing w:line="360" w:lineRule="auto"/>
        <w:contextualSpacing/>
        <w:rPr>
          <w:rFonts w:hint="eastAsia" w:ascii="宋体" w:hAnsi="宋体" w:cs="宋体"/>
          <w:color w:val="auto"/>
          <w:sz w:val="24"/>
          <w:highlight w:val="none"/>
        </w:rPr>
      </w:pPr>
    </w:p>
    <w:p w14:paraId="71612374">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备注：</w:t>
      </w:r>
    </w:p>
    <w:p w14:paraId="28F4612A">
      <w:pPr>
        <w:tabs>
          <w:tab w:val="left" w:pos="1065"/>
        </w:tabs>
        <w:adjustRightInd w:val="0"/>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rPr>
        <w:t>以上货物配置清单中“货物名称、数量、单位、品牌、规格型号、生产厂家、产地、参数性能、指标及配置”必须如实填写完整，品牌、规格型号没有则填无。填写有缺漏的，响应文件按无效响应处理</w:t>
      </w:r>
      <w:r>
        <w:rPr>
          <w:rFonts w:hint="eastAsia" w:ascii="宋体" w:hAnsi="宋体" w:cs="宋体"/>
          <w:b/>
          <w:color w:val="auto"/>
          <w:sz w:val="24"/>
          <w:highlight w:val="none"/>
        </w:rPr>
        <w:t>。</w:t>
      </w:r>
      <w:r>
        <w:rPr>
          <w:rFonts w:hint="eastAsia" w:ascii="宋体" w:hAnsi="宋体" w:cs="宋体"/>
          <w:color w:val="auto"/>
          <w:sz w:val="24"/>
          <w:highlight w:val="none"/>
        </w:rPr>
        <w:t>货物名称、数量、单位、品牌等必须与“竞标报价表”一致，</w:t>
      </w:r>
      <w:r>
        <w:rPr>
          <w:rFonts w:hint="eastAsia" w:ascii="宋体" w:hAnsi="宋体" w:cs="宋体"/>
          <w:bCs/>
          <w:color w:val="auto"/>
          <w:sz w:val="24"/>
          <w:highlight w:val="none"/>
        </w:rPr>
        <w:t>否则响应文件按无效响应处理</w:t>
      </w:r>
      <w:r>
        <w:rPr>
          <w:rFonts w:hint="eastAsia" w:ascii="宋体" w:hAnsi="宋体" w:cs="宋体"/>
          <w:b w:val="0"/>
          <w:bCs/>
          <w:color w:val="auto"/>
          <w:sz w:val="24"/>
          <w:highlight w:val="none"/>
        </w:rPr>
        <w:t>。</w:t>
      </w:r>
      <w:r>
        <w:rPr>
          <w:rFonts w:hint="eastAsia" w:ascii="宋体" w:hAnsi="宋体" w:cs="宋体"/>
          <w:color w:val="auto"/>
          <w:sz w:val="24"/>
          <w:highlight w:val="none"/>
        </w:rPr>
        <w:tab/>
      </w:r>
    </w:p>
    <w:p w14:paraId="54E40695">
      <w:pPr>
        <w:adjustRightInd w:val="0"/>
        <w:spacing w:line="360" w:lineRule="auto"/>
        <w:contextualSpacing/>
        <w:jc w:val="left"/>
        <w:rPr>
          <w:rFonts w:hint="eastAsia" w:ascii="宋体" w:hAnsi="宋体" w:cs="宋体"/>
          <w:color w:val="auto"/>
          <w:sz w:val="24"/>
          <w:highlight w:val="none"/>
        </w:rPr>
      </w:pPr>
    </w:p>
    <w:p w14:paraId="268C666F">
      <w:pPr>
        <w:adjustRightInd w:val="0"/>
        <w:spacing w:line="360" w:lineRule="auto"/>
        <w:contextualSpacing/>
        <w:jc w:val="left"/>
        <w:rPr>
          <w:rFonts w:hint="eastAsia" w:ascii="宋体" w:hAnsi="宋体" w:cs="宋体"/>
          <w:color w:val="auto"/>
          <w:sz w:val="24"/>
          <w:highlight w:val="none"/>
        </w:rPr>
      </w:pPr>
    </w:p>
    <w:p w14:paraId="56EC0D39">
      <w:pPr>
        <w:adjustRightInd w:val="0"/>
        <w:spacing w:line="360" w:lineRule="auto"/>
        <w:contextualSpacing/>
        <w:jc w:val="left"/>
        <w:rPr>
          <w:rFonts w:hint="eastAsia" w:ascii="宋体" w:hAnsi="宋体" w:cs="宋体"/>
          <w:color w:val="auto"/>
          <w:sz w:val="24"/>
          <w:highlight w:val="none"/>
        </w:rPr>
      </w:pPr>
    </w:p>
    <w:p w14:paraId="6E06B6F7">
      <w:pPr>
        <w:spacing w:line="360" w:lineRule="auto"/>
        <w:ind w:firstLine="3240" w:firstLineChars="135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名称</w:t>
      </w:r>
      <w:r>
        <w:rPr>
          <w:rFonts w:hint="eastAsia" w:ascii="宋体" w:hAnsi="宋体" w:cs="仿宋_GB2312"/>
          <w:color w:val="auto"/>
          <w:sz w:val="24"/>
          <w:highlight w:val="none"/>
        </w:rPr>
        <w:t>（电子签章）</w:t>
      </w:r>
      <w:r>
        <w:rPr>
          <w:rFonts w:hint="eastAsia" w:ascii="宋体" w:hAnsi="宋体" w:cs="宋体"/>
          <w:color w:val="auto"/>
          <w:sz w:val="24"/>
          <w:highlight w:val="none"/>
        </w:rPr>
        <w:t xml:space="preserve">：      </w:t>
      </w:r>
    </w:p>
    <w:p w14:paraId="71CF891D">
      <w:pPr>
        <w:spacing w:line="360" w:lineRule="auto"/>
        <w:ind w:firstLine="3240" w:firstLineChars="1350"/>
        <w:contextualSpacing/>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3B761F48">
      <w:pPr>
        <w:spacing w:line="360" w:lineRule="auto"/>
        <w:rPr>
          <w:rFonts w:hint="eastAsia"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0ED80D8D">
      <w:pPr>
        <w:keepNext/>
        <w:keepLines/>
        <w:spacing w:before="260" w:after="260" w:line="416" w:lineRule="auto"/>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rPr>
        <w:t>关于符合本国产品标准的声明函</w:t>
      </w: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lang w:val="en-US" w:eastAsia="zh-CN"/>
        </w:rPr>
        <w:t>格式</w:t>
      </w:r>
      <w:r>
        <w:rPr>
          <w:rFonts w:hint="eastAsia" w:ascii="宋体" w:hAnsi="宋体" w:eastAsia="宋体" w:cs="宋体"/>
          <w:color w:val="auto"/>
          <w:sz w:val="44"/>
          <w:szCs w:val="44"/>
          <w:highlight w:val="none"/>
          <w:lang w:eastAsia="zh-CN"/>
        </w:rPr>
        <w:t>）</w:t>
      </w:r>
    </w:p>
    <w:p w14:paraId="077659F9">
      <w:pPr>
        <w:spacing w:line="360" w:lineRule="auto"/>
        <w:ind w:left="-426" w:right="142" w:firstLine="56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E571B45">
      <w:pPr>
        <w:widowControl/>
        <w:shd w:val="clear" w:color="auto" w:fill="FFFFFF"/>
        <w:spacing w:before="30" w:after="30" w:line="360" w:lineRule="auto"/>
        <w:ind w:firstLine="21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w:t>
      </w:r>
      <w:r>
        <w:rPr>
          <w:rFonts w:hint="eastAsia" w:ascii="宋体" w:hAnsi="宋体" w:eastAsia="宋体" w:cs="宋体"/>
          <w:i/>
          <w:color w:val="auto"/>
          <w:kern w:val="2"/>
          <w:sz w:val="24"/>
          <w:szCs w:val="24"/>
          <w:highlight w:val="none"/>
          <w:shd w:val="clear" w:color="auto" w:fill="FFFFFF"/>
          <w:lang w:val="en-US" w:eastAsia="zh-CN" w:bidi="ar-SA"/>
        </w:rPr>
        <w:t>（产品名称1）</w:t>
      </w:r>
      <w:r>
        <w:rPr>
          <w:rFonts w:hint="eastAsia" w:ascii="宋体" w:hAnsi="宋体" w:eastAsia="宋体" w:cs="宋体"/>
          <w:i/>
          <w:color w:val="auto"/>
          <w:kern w:val="2"/>
          <w:sz w:val="24"/>
          <w:szCs w:val="24"/>
          <w:highlight w:val="none"/>
          <w:shd w:val="clear" w:color="auto" w:fill="FFFFFF"/>
          <w:vertAlign w:val="superscript"/>
          <w:lang w:val="en-US" w:eastAsia="zh-CN" w:bidi="ar-SA"/>
        </w:rPr>
        <w:t>1</w:t>
      </w:r>
      <w:r>
        <w:rPr>
          <w:rFonts w:hint="eastAsia" w:ascii="宋体" w:hAnsi="宋体" w:eastAsia="宋体" w:cs="宋体"/>
          <w:color w:val="auto"/>
          <w:kern w:val="0"/>
          <w:sz w:val="24"/>
          <w:szCs w:val="24"/>
          <w:highlight w:val="none"/>
          <w:shd w:val="clear" w:color="auto" w:fill="FFFFFF"/>
          <w:lang w:val="en-US" w:eastAsia="zh-CN" w:bidi="ar-SA"/>
        </w:rPr>
        <w:t>，生产厂为</w:t>
      </w:r>
      <w:r>
        <w:rPr>
          <w:rFonts w:hint="eastAsia" w:ascii="宋体" w:hAnsi="宋体" w:eastAsia="宋体" w:cs="宋体"/>
          <w:i/>
          <w:color w:val="auto"/>
          <w:kern w:val="2"/>
          <w:sz w:val="24"/>
          <w:szCs w:val="24"/>
          <w:highlight w:val="none"/>
          <w:shd w:val="clear" w:color="auto" w:fill="FFFFFF"/>
          <w:lang w:val="en-US" w:eastAsia="zh-CN" w:bidi="ar-SA"/>
        </w:rPr>
        <w:t>（厂名）</w:t>
      </w:r>
      <w:r>
        <w:rPr>
          <w:rFonts w:hint="eastAsia" w:ascii="宋体" w:hAnsi="宋体" w:eastAsia="宋体" w:cs="宋体"/>
          <w:i/>
          <w:color w:val="auto"/>
          <w:kern w:val="2"/>
          <w:sz w:val="24"/>
          <w:szCs w:val="24"/>
          <w:highlight w:val="none"/>
          <w:shd w:val="clear" w:color="auto" w:fill="FFFFFF"/>
          <w:vertAlign w:val="superscript"/>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，厂址为</w:t>
      </w:r>
      <w:r>
        <w:rPr>
          <w:rFonts w:hint="eastAsia" w:ascii="宋体" w:hAnsi="宋体" w:eastAsia="宋体" w:cs="宋体"/>
          <w:i/>
          <w:color w:val="auto"/>
          <w:kern w:val="2"/>
          <w:sz w:val="24"/>
          <w:szCs w:val="24"/>
          <w:highlight w:val="none"/>
          <w:shd w:val="clear" w:color="auto" w:fill="FFFFFF"/>
          <w:lang w:val="en-US" w:eastAsia="zh-CN" w:bidi="ar-SA"/>
        </w:rPr>
        <w:t>（生产厂址）</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i/>
          <w:color w:val="auto"/>
          <w:kern w:val="2"/>
          <w:sz w:val="24"/>
          <w:szCs w:val="24"/>
          <w:highlight w:val="none"/>
          <w:shd w:val="clear" w:color="auto" w:fill="FFFFFF"/>
          <w:lang w:val="en-US" w:eastAsia="zh-CN" w:bidi="ar-SA"/>
        </w:rPr>
        <w:t>（产品名称1）</w:t>
      </w:r>
      <w:r>
        <w:rPr>
          <w:rFonts w:hint="eastAsia" w:ascii="宋体" w:hAnsi="宋体" w:eastAsia="宋体" w:cs="宋体"/>
          <w:color w:val="auto"/>
          <w:kern w:val="0"/>
          <w:sz w:val="24"/>
          <w:szCs w:val="24"/>
          <w:highlight w:val="none"/>
          <w:shd w:val="clear" w:color="auto" w:fill="FFFFFF"/>
          <w:lang w:val="en-US" w:eastAsia="zh-CN" w:bidi="ar-SA"/>
        </w:rPr>
        <w:t>的中国境内生产的组件成本占比≥</w:t>
      </w:r>
      <w:r>
        <w:rPr>
          <w:rFonts w:hint="eastAsia" w:ascii="宋体" w:hAnsi="宋体" w:eastAsia="宋体" w:cs="宋体"/>
          <w:i/>
          <w:color w:val="auto"/>
          <w:kern w:val="2"/>
          <w:sz w:val="24"/>
          <w:szCs w:val="24"/>
          <w:highlight w:val="none"/>
          <w:shd w:val="clear" w:color="auto" w:fill="FFFFFF"/>
          <w:lang w:val="en-US" w:eastAsia="zh-CN" w:bidi="ar-SA"/>
        </w:rPr>
        <w:t>（规定比例）</w:t>
      </w:r>
      <w:r>
        <w:rPr>
          <w:rFonts w:hint="eastAsia" w:ascii="宋体" w:hAnsi="宋体" w:eastAsia="宋体" w:cs="宋体"/>
          <w:i/>
          <w:color w:val="auto"/>
          <w:kern w:val="2"/>
          <w:sz w:val="24"/>
          <w:szCs w:val="24"/>
          <w:highlight w:val="none"/>
          <w:shd w:val="clear" w:color="auto" w:fill="FFFFFF"/>
          <w:vertAlign w:val="superscript"/>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i/>
          <w:color w:val="auto"/>
          <w:kern w:val="2"/>
          <w:sz w:val="24"/>
          <w:szCs w:val="24"/>
          <w:highlight w:val="none"/>
          <w:shd w:val="clear" w:color="auto" w:fill="FFFFFF"/>
          <w:lang w:val="en-US" w:eastAsia="zh-CN" w:bidi="ar-SA"/>
        </w:rPr>
        <w:t>（产品名称1）</w:t>
      </w:r>
      <w:r>
        <w:rPr>
          <w:rFonts w:hint="eastAsia" w:ascii="宋体" w:hAnsi="宋体" w:eastAsia="宋体" w:cs="宋体"/>
          <w:color w:val="auto"/>
          <w:kern w:val="0"/>
          <w:sz w:val="24"/>
          <w:szCs w:val="24"/>
          <w:highlight w:val="none"/>
          <w:shd w:val="clear" w:color="auto" w:fill="FFFFFF"/>
          <w:lang w:val="en-US" w:eastAsia="zh-CN" w:bidi="ar-SA"/>
        </w:rPr>
        <w:t>的</w:t>
      </w:r>
      <w:r>
        <w:rPr>
          <w:rFonts w:hint="eastAsia" w:ascii="宋体" w:hAnsi="宋体" w:eastAsia="宋体" w:cs="宋体"/>
          <w:i/>
          <w:color w:val="auto"/>
          <w:kern w:val="2"/>
          <w:sz w:val="24"/>
          <w:szCs w:val="24"/>
          <w:highlight w:val="none"/>
          <w:shd w:val="clear" w:color="auto" w:fill="FFFFFF"/>
          <w:lang w:val="en-US" w:eastAsia="zh-CN" w:bidi="ar-SA"/>
        </w:rPr>
        <w:t>（关键组件）</w:t>
      </w:r>
      <w:r>
        <w:rPr>
          <w:rFonts w:hint="eastAsia" w:ascii="宋体" w:hAnsi="宋体" w:eastAsia="宋体" w:cs="宋体"/>
          <w:i/>
          <w:color w:val="auto"/>
          <w:kern w:val="2"/>
          <w:sz w:val="24"/>
          <w:szCs w:val="24"/>
          <w:highlight w:val="none"/>
          <w:shd w:val="clear" w:color="auto" w:fill="FFFFFF"/>
          <w:vertAlign w:val="superscript"/>
          <w:lang w:val="en-US" w:eastAsia="zh-CN" w:bidi="ar-SA"/>
        </w:rPr>
        <w:t>4</w:t>
      </w:r>
      <w:r>
        <w:rPr>
          <w:rFonts w:hint="eastAsia" w:ascii="宋体" w:hAnsi="宋体" w:eastAsia="宋体" w:cs="宋体"/>
          <w:color w:val="auto"/>
          <w:kern w:val="0"/>
          <w:sz w:val="24"/>
          <w:szCs w:val="24"/>
          <w:highlight w:val="none"/>
          <w:shd w:val="clear" w:color="auto" w:fill="FFFFFF"/>
          <w:lang w:val="en-US" w:eastAsia="zh-CN" w:bidi="ar-SA"/>
        </w:rPr>
        <w:t>在中国境内生产。</w:t>
      </w:r>
      <w:r>
        <w:rPr>
          <w:rFonts w:hint="eastAsia" w:ascii="宋体" w:hAnsi="宋体" w:eastAsia="宋体" w:cs="宋体"/>
          <w:i/>
          <w:color w:val="auto"/>
          <w:kern w:val="2"/>
          <w:sz w:val="24"/>
          <w:szCs w:val="24"/>
          <w:highlight w:val="none"/>
          <w:shd w:val="clear" w:color="auto" w:fill="FFFFFF"/>
          <w:lang w:val="en-US" w:eastAsia="zh-CN" w:bidi="ar-SA"/>
        </w:rPr>
        <w:t>（产品名称1）</w:t>
      </w:r>
      <w:r>
        <w:rPr>
          <w:rFonts w:hint="eastAsia" w:ascii="宋体" w:hAnsi="宋体" w:eastAsia="宋体" w:cs="宋体"/>
          <w:color w:val="auto"/>
          <w:kern w:val="0"/>
          <w:sz w:val="24"/>
          <w:szCs w:val="24"/>
          <w:highlight w:val="none"/>
          <w:shd w:val="clear" w:color="auto" w:fill="FFFFFF"/>
          <w:lang w:val="en-US" w:eastAsia="zh-CN" w:bidi="ar-SA"/>
        </w:rPr>
        <w:t>的</w:t>
      </w:r>
      <w:r>
        <w:rPr>
          <w:rFonts w:hint="eastAsia" w:ascii="宋体" w:hAnsi="宋体" w:eastAsia="宋体" w:cs="宋体"/>
          <w:i/>
          <w:color w:val="auto"/>
          <w:kern w:val="2"/>
          <w:sz w:val="24"/>
          <w:szCs w:val="24"/>
          <w:highlight w:val="none"/>
          <w:shd w:val="clear" w:color="auto" w:fill="FFFFFF"/>
          <w:lang w:val="en-US" w:eastAsia="zh-CN" w:bidi="ar-SA"/>
        </w:rPr>
        <w:t>（关键工序）</w:t>
      </w:r>
      <w:r>
        <w:rPr>
          <w:rFonts w:hint="eastAsia" w:ascii="宋体" w:hAnsi="宋体" w:eastAsia="宋体" w:cs="宋体"/>
          <w:i/>
          <w:color w:val="auto"/>
          <w:kern w:val="2"/>
          <w:sz w:val="24"/>
          <w:szCs w:val="24"/>
          <w:highlight w:val="none"/>
          <w:shd w:val="clear" w:color="auto" w:fill="FFFFFF"/>
          <w:vertAlign w:val="superscript"/>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在中国境内完成。</w:t>
      </w:r>
    </w:p>
    <w:p w14:paraId="51320CEC">
      <w:pPr>
        <w:widowControl/>
        <w:shd w:val="clear" w:color="auto" w:fill="FFFFFF"/>
        <w:spacing w:before="30" w:after="30" w:line="360" w:lineRule="auto"/>
        <w:ind w:firstLine="21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w:t>
      </w:r>
      <w:r>
        <w:rPr>
          <w:rFonts w:hint="eastAsia" w:ascii="宋体" w:hAnsi="宋体" w:eastAsia="宋体" w:cs="宋体"/>
          <w:i/>
          <w:color w:val="auto"/>
          <w:kern w:val="2"/>
          <w:sz w:val="24"/>
          <w:szCs w:val="24"/>
          <w:highlight w:val="none"/>
          <w:shd w:val="clear" w:color="auto" w:fill="FFFFFF"/>
          <w:lang w:val="en-US" w:eastAsia="zh-CN" w:bidi="ar-SA"/>
        </w:rPr>
        <w:t>（产品名称2）</w:t>
      </w:r>
      <w:r>
        <w:rPr>
          <w:rFonts w:hint="eastAsia" w:ascii="宋体" w:hAnsi="宋体" w:eastAsia="宋体" w:cs="宋体"/>
          <w:color w:val="auto"/>
          <w:kern w:val="0"/>
          <w:sz w:val="24"/>
          <w:szCs w:val="24"/>
          <w:highlight w:val="none"/>
          <w:shd w:val="clear" w:color="auto" w:fill="FFFFFF"/>
          <w:lang w:val="en-US" w:eastAsia="zh-CN" w:bidi="ar-SA"/>
        </w:rPr>
        <w:t>，生产厂为</w:t>
      </w:r>
      <w:r>
        <w:rPr>
          <w:rFonts w:hint="eastAsia" w:ascii="宋体" w:hAnsi="宋体" w:eastAsia="宋体" w:cs="宋体"/>
          <w:i/>
          <w:color w:val="auto"/>
          <w:kern w:val="2"/>
          <w:sz w:val="24"/>
          <w:szCs w:val="24"/>
          <w:highlight w:val="none"/>
          <w:shd w:val="clear" w:color="auto" w:fill="FFFFFF"/>
          <w:lang w:val="en-US" w:eastAsia="zh-CN" w:bidi="ar-SA"/>
        </w:rPr>
        <w:t>（厂名）</w:t>
      </w:r>
      <w:r>
        <w:rPr>
          <w:rFonts w:hint="eastAsia" w:ascii="宋体" w:hAnsi="宋体" w:eastAsia="宋体" w:cs="宋体"/>
          <w:color w:val="auto"/>
          <w:kern w:val="0"/>
          <w:sz w:val="24"/>
          <w:szCs w:val="24"/>
          <w:highlight w:val="none"/>
          <w:shd w:val="clear" w:color="auto" w:fill="FFFFFF"/>
          <w:lang w:val="en-US" w:eastAsia="zh-CN" w:bidi="ar-SA"/>
        </w:rPr>
        <w:t>，厂址为</w:t>
      </w:r>
      <w:r>
        <w:rPr>
          <w:rFonts w:hint="eastAsia" w:ascii="宋体" w:hAnsi="宋体" w:eastAsia="宋体" w:cs="宋体"/>
          <w:i/>
          <w:color w:val="auto"/>
          <w:kern w:val="2"/>
          <w:sz w:val="24"/>
          <w:szCs w:val="24"/>
          <w:highlight w:val="none"/>
          <w:shd w:val="clear" w:color="auto" w:fill="FFFFFF"/>
          <w:lang w:val="en-US" w:eastAsia="zh-CN" w:bidi="ar-SA"/>
        </w:rPr>
        <w:t>（生产厂址）</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i/>
          <w:color w:val="auto"/>
          <w:kern w:val="2"/>
          <w:sz w:val="24"/>
          <w:szCs w:val="24"/>
          <w:highlight w:val="none"/>
          <w:shd w:val="clear" w:color="auto" w:fill="FFFFFF"/>
          <w:lang w:val="en-US" w:eastAsia="zh-CN" w:bidi="ar-SA"/>
        </w:rPr>
        <w:t>（产品名称2）</w:t>
      </w:r>
      <w:r>
        <w:rPr>
          <w:rFonts w:hint="eastAsia" w:ascii="宋体" w:hAnsi="宋体" w:eastAsia="宋体" w:cs="宋体"/>
          <w:color w:val="auto"/>
          <w:kern w:val="0"/>
          <w:sz w:val="24"/>
          <w:szCs w:val="24"/>
          <w:highlight w:val="none"/>
          <w:shd w:val="clear" w:color="auto" w:fill="FFFFFF"/>
          <w:lang w:val="en-US" w:eastAsia="zh-CN" w:bidi="ar-SA"/>
        </w:rPr>
        <w:t>的中国境内生产的组件成本占比≥</w:t>
      </w:r>
      <w:r>
        <w:rPr>
          <w:rFonts w:hint="eastAsia" w:ascii="宋体" w:hAnsi="宋体" w:eastAsia="宋体" w:cs="宋体"/>
          <w:i/>
          <w:color w:val="auto"/>
          <w:kern w:val="2"/>
          <w:sz w:val="24"/>
          <w:szCs w:val="24"/>
          <w:highlight w:val="none"/>
          <w:shd w:val="clear" w:color="auto" w:fill="FFFFFF"/>
          <w:lang w:val="en-US" w:eastAsia="zh-CN" w:bidi="ar-SA"/>
        </w:rPr>
        <w:t>（规定比例）</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i/>
          <w:color w:val="auto"/>
          <w:kern w:val="2"/>
          <w:sz w:val="24"/>
          <w:szCs w:val="24"/>
          <w:highlight w:val="none"/>
          <w:shd w:val="clear" w:color="auto" w:fill="FFFFFF"/>
          <w:lang w:val="en-US" w:eastAsia="zh-CN" w:bidi="ar-SA"/>
        </w:rPr>
        <w:t>（产品名称2）</w:t>
      </w:r>
      <w:r>
        <w:rPr>
          <w:rFonts w:hint="eastAsia" w:ascii="宋体" w:hAnsi="宋体" w:eastAsia="宋体" w:cs="宋体"/>
          <w:color w:val="auto"/>
          <w:kern w:val="0"/>
          <w:sz w:val="24"/>
          <w:szCs w:val="24"/>
          <w:highlight w:val="none"/>
          <w:shd w:val="clear" w:color="auto" w:fill="FFFFFF"/>
          <w:lang w:val="en-US" w:eastAsia="zh-CN" w:bidi="ar-SA"/>
        </w:rPr>
        <w:t>的</w:t>
      </w:r>
      <w:r>
        <w:rPr>
          <w:rFonts w:hint="eastAsia" w:ascii="宋体" w:hAnsi="宋体" w:eastAsia="宋体" w:cs="宋体"/>
          <w:i/>
          <w:color w:val="auto"/>
          <w:kern w:val="2"/>
          <w:sz w:val="24"/>
          <w:szCs w:val="24"/>
          <w:highlight w:val="none"/>
          <w:shd w:val="clear" w:color="auto" w:fill="FFFFFF"/>
          <w:lang w:val="en-US" w:eastAsia="zh-CN" w:bidi="ar-SA"/>
        </w:rPr>
        <w:t>（关键组件）</w:t>
      </w:r>
      <w:r>
        <w:rPr>
          <w:rFonts w:hint="eastAsia" w:ascii="宋体" w:hAnsi="宋体" w:eastAsia="宋体" w:cs="宋体"/>
          <w:color w:val="auto"/>
          <w:kern w:val="0"/>
          <w:sz w:val="24"/>
          <w:szCs w:val="24"/>
          <w:highlight w:val="none"/>
          <w:shd w:val="clear" w:color="auto" w:fill="FFFFFF"/>
          <w:lang w:val="en-US" w:eastAsia="zh-CN" w:bidi="ar-SA"/>
        </w:rPr>
        <w:t>在中国境内生产。</w:t>
      </w:r>
      <w:r>
        <w:rPr>
          <w:rFonts w:hint="eastAsia" w:ascii="宋体" w:hAnsi="宋体" w:eastAsia="宋体" w:cs="宋体"/>
          <w:i/>
          <w:color w:val="auto"/>
          <w:kern w:val="2"/>
          <w:sz w:val="24"/>
          <w:szCs w:val="24"/>
          <w:highlight w:val="none"/>
          <w:shd w:val="clear" w:color="auto" w:fill="FFFFFF"/>
          <w:lang w:val="en-US" w:eastAsia="zh-CN" w:bidi="ar-SA"/>
        </w:rPr>
        <w:t>（产品名称2）</w:t>
      </w:r>
      <w:r>
        <w:rPr>
          <w:rFonts w:hint="eastAsia" w:ascii="宋体" w:hAnsi="宋体" w:eastAsia="宋体" w:cs="宋体"/>
          <w:color w:val="auto"/>
          <w:kern w:val="0"/>
          <w:sz w:val="24"/>
          <w:szCs w:val="24"/>
          <w:highlight w:val="none"/>
          <w:shd w:val="clear" w:color="auto" w:fill="FFFFFF"/>
          <w:lang w:val="en-US" w:eastAsia="zh-CN" w:bidi="ar-SA"/>
        </w:rPr>
        <w:t>的</w:t>
      </w:r>
      <w:r>
        <w:rPr>
          <w:rFonts w:hint="eastAsia" w:ascii="宋体" w:hAnsi="宋体" w:eastAsia="宋体" w:cs="宋体"/>
          <w:i/>
          <w:color w:val="auto"/>
          <w:kern w:val="2"/>
          <w:sz w:val="24"/>
          <w:szCs w:val="24"/>
          <w:highlight w:val="none"/>
          <w:shd w:val="clear" w:color="auto" w:fill="FFFFFF"/>
          <w:lang w:val="en-US" w:eastAsia="zh-CN" w:bidi="ar-SA"/>
        </w:rPr>
        <w:t>（关键工序）</w:t>
      </w:r>
      <w:r>
        <w:rPr>
          <w:rFonts w:hint="eastAsia" w:ascii="宋体" w:hAnsi="宋体" w:eastAsia="宋体" w:cs="宋体"/>
          <w:color w:val="auto"/>
          <w:kern w:val="0"/>
          <w:sz w:val="24"/>
          <w:szCs w:val="24"/>
          <w:highlight w:val="none"/>
          <w:shd w:val="clear" w:color="auto" w:fill="FFFFFF"/>
          <w:lang w:val="en-US" w:eastAsia="zh-CN" w:bidi="ar-SA"/>
        </w:rPr>
        <w:t>在中国境内完成。</w:t>
      </w:r>
    </w:p>
    <w:p w14:paraId="3604F542">
      <w:pPr>
        <w:spacing w:line="360" w:lineRule="auto"/>
        <w:ind w:left="-426" w:right="142" w:firstLine="888" w:firstLineChars="37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D0A592B">
      <w:pPr>
        <w:spacing w:line="360" w:lineRule="auto"/>
        <w:ind w:left="-426" w:right="142" w:firstLine="56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本公司（单位）对上述声明内容的真实性负责。如有虚假，愿承担相应法律责任。</w:t>
      </w:r>
    </w:p>
    <w:p w14:paraId="1EE1EB57">
      <w:pPr>
        <w:spacing w:line="360" w:lineRule="auto"/>
        <w:ind w:left="3960" w:right="1808"/>
        <w:contextualSpacing/>
        <w:rPr>
          <w:rFonts w:hint="eastAsia" w:ascii="宋体" w:hAnsi="宋体" w:eastAsia="宋体" w:cs="宋体"/>
          <w:color w:val="auto"/>
          <w:sz w:val="24"/>
          <w:szCs w:val="24"/>
          <w:highlight w:val="none"/>
        </w:rPr>
      </w:pPr>
    </w:p>
    <w:p w14:paraId="3392420E">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6EEBA593">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068D5DD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lang w:val="zh-CN"/>
        </w:rPr>
      </w:pPr>
    </w:p>
    <w:p w14:paraId="3B647F2E">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1.产品如有型号，请在“产品名称”栏一并填写。</w:t>
      </w:r>
    </w:p>
    <w:p w14:paraId="2E66DF63">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2.生产厂名与厂址应与生产厂营业执照载明的相关信息保持一致。</w:t>
      </w:r>
    </w:p>
    <w:p w14:paraId="02A8E714">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3.该产品的中国境内生产的组件成本占比相关要求实施前，“规定比例”栏可不填，下同。</w:t>
      </w:r>
    </w:p>
    <w:p w14:paraId="121313A1">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4.该产品的关键组件要求实施前，“关键组件”栏可不填，下同。</w:t>
      </w:r>
    </w:p>
    <w:p w14:paraId="2DDA4AC6">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5.该产品的关键工序要求实施前，“关键工序”栏可不填，下同。</w:t>
      </w:r>
    </w:p>
    <w:p w14:paraId="79A38F26">
      <w:pPr>
        <w:autoSpaceDE w:val="0"/>
        <w:autoSpaceDN w:val="0"/>
        <w:spacing w:line="360" w:lineRule="auto"/>
        <w:rPr>
          <w:rFonts w:hint="eastAsia" w:ascii="宋体" w:hAnsi="宋体" w:eastAsia="宋体" w:cs="宋体"/>
          <w:color w:val="auto"/>
          <w:sz w:val="24"/>
          <w:szCs w:val="24"/>
          <w:highlight w:val="none"/>
        </w:rPr>
      </w:pPr>
    </w:p>
    <w:p w14:paraId="68030656">
      <w:pPr>
        <w:spacing w:line="360" w:lineRule="auto"/>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注：请根据自己的真实情况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成交结果同时公告成交供应商提供的《声明函》或有关证明文件。</w:t>
      </w:r>
    </w:p>
    <w:p w14:paraId="1EC479BD">
      <w:pPr>
        <w:spacing w:line="360" w:lineRule="auto"/>
        <w:jc w:val="center"/>
        <w:rPr>
          <w:rFonts w:hint="eastAsia" w:ascii="宋体" w:hAnsi="宋体" w:cs="宋体"/>
          <w:color w:val="auto"/>
          <w:sz w:val="24"/>
          <w:szCs w:val="24"/>
          <w:highlight w:val="none"/>
        </w:rPr>
      </w:pPr>
    </w:p>
    <w:p w14:paraId="125E6AEC">
      <w:pPr>
        <w:keepNext/>
        <w:keepLines/>
        <w:spacing w:before="260" w:after="260" w:line="416" w:lineRule="auto"/>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eastAsia="宋体" w:cs="宋体"/>
          <w:color w:val="auto"/>
          <w:sz w:val="44"/>
          <w:szCs w:val="44"/>
          <w:highlight w:val="none"/>
        </w:rPr>
        <w:t>知识产权合规性声明</w:t>
      </w:r>
    </w:p>
    <w:p w14:paraId="46329F57">
      <w:pPr>
        <w:ind w:firstLine="600" w:firstLineChars="200"/>
        <w:rPr>
          <w:rFonts w:hint="eastAsia" w:ascii="宋体" w:hAnsi="宋体" w:cs="宋体"/>
          <w:color w:val="auto"/>
          <w:sz w:val="30"/>
          <w:szCs w:val="30"/>
          <w:highlight w:val="none"/>
        </w:rPr>
      </w:pPr>
    </w:p>
    <w:p w14:paraId="3B95F8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本企业（单位）自愿参与政府投资政府采购的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036C8DB">
      <w:pPr>
        <w:snapToGrid w:val="0"/>
        <w:spacing w:line="360" w:lineRule="auto"/>
        <w:ind w:left="5385" w:leftChars="1736" w:hanging="1739" w:hangingChars="825"/>
        <w:rPr>
          <w:rFonts w:hint="eastAsia" w:ascii="宋体" w:hAnsi="宋体" w:cs="宋体"/>
          <w:b/>
          <w:color w:val="auto"/>
          <w:szCs w:val="21"/>
          <w:highlight w:val="none"/>
        </w:rPr>
      </w:pPr>
    </w:p>
    <w:p w14:paraId="72A0A248">
      <w:pPr>
        <w:snapToGrid w:val="0"/>
        <w:spacing w:line="360" w:lineRule="auto"/>
        <w:ind w:left="5385" w:leftChars="1736" w:hanging="1739" w:hangingChars="825"/>
        <w:rPr>
          <w:rFonts w:hint="eastAsia" w:ascii="宋体" w:hAnsi="宋体" w:cs="宋体"/>
          <w:b/>
          <w:color w:val="auto"/>
          <w:szCs w:val="21"/>
          <w:highlight w:val="none"/>
        </w:rPr>
      </w:pPr>
    </w:p>
    <w:p w14:paraId="799936A1">
      <w:pPr>
        <w:snapToGrid w:val="0"/>
        <w:spacing w:line="360" w:lineRule="auto"/>
        <w:ind w:left="5385" w:leftChars="1736" w:hanging="1739" w:hangingChars="825"/>
        <w:rPr>
          <w:rFonts w:hint="eastAsia" w:ascii="宋体" w:hAnsi="宋体" w:cs="宋体"/>
          <w:b/>
          <w:color w:val="auto"/>
          <w:szCs w:val="21"/>
          <w:highlight w:val="none"/>
        </w:rPr>
      </w:pPr>
    </w:p>
    <w:p w14:paraId="136E1C04">
      <w:pPr>
        <w:snapToGrid w:val="0"/>
        <w:spacing w:line="360" w:lineRule="auto"/>
        <w:ind w:left="5385" w:leftChars="1736" w:hanging="1739" w:hangingChars="825"/>
        <w:rPr>
          <w:rFonts w:hint="eastAsia" w:ascii="宋体" w:hAnsi="宋体" w:cs="宋体"/>
          <w:b/>
          <w:color w:val="auto"/>
          <w:szCs w:val="21"/>
          <w:highlight w:val="none"/>
        </w:rPr>
      </w:pPr>
    </w:p>
    <w:p w14:paraId="7BB0A10E">
      <w:pPr>
        <w:snapToGrid w:val="0"/>
        <w:spacing w:line="360" w:lineRule="auto"/>
        <w:ind w:left="5378" w:leftChars="1736" w:hanging="1732" w:hangingChars="825"/>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供应商名称(电子签章)：</w:t>
      </w:r>
    </w:p>
    <w:p w14:paraId="1B70490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5E9F7172">
      <w:pPr>
        <w:rPr>
          <w:rFonts w:hint="eastAsia" w:ascii="宋体" w:hAnsi="宋体" w:cs="宋体"/>
          <w:color w:val="auto"/>
          <w:sz w:val="44"/>
          <w:szCs w:val="44"/>
          <w:highlight w:val="none"/>
        </w:rPr>
      </w:pPr>
    </w:p>
    <w:p w14:paraId="689E7825">
      <w:pP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67280087">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w:t>
      </w:r>
      <w:r>
        <w:rPr>
          <w:rFonts w:hint="eastAsia" w:ascii="宋体" w:hAnsi="宋体" w:cs="宋体"/>
          <w:color w:val="auto"/>
          <w:sz w:val="28"/>
          <w:szCs w:val="28"/>
          <w:highlight w:val="none"/>
        </w:rPr>
        <w:t>（格式）</w:t>
      </w:r>
    </w:p>
    <w:p w14:paraId="18D51151">
      <w:pPr>
        <w:spacing w:line="360" w:lineRule="auto"/>
        <w:jc w:val="center"/>
        <w:rPr>
          <w:rFonts w:hint="eastAsia" w:ascii="宋体" w:hAnsi="宋体" w:cs="宋体"/>
          <w:b/>
          <w:bCs/>
          <w:color w:val="auto"/>
          <w:sz w:val="32"/>
          <w:szCs w:val="32"/>
          <w:highlight w:val="none"/>
        </w:rPr>
      </w:pPr>
    </w:p>
    <w:p w14:paraId="740AE8A5">
      <w:pPr>
        <w:pStyle w:val="14"/>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8B7DEAD">
      <w:pPr>
        <w:pStyle w:val="14"/>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3C063C7">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3F8F587">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1AB3BE9">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E05F132">
      <w:pPr>
        <w:pStyle w:val="14"/>
        <w:spacing w:line="360" w:lineRule="auto"/>
        <w:ind w:firstLine="480" w:firstLineChars="20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ED81B27">
      <w:pPr>
        <w:pStyle w:val="14"/>
        <w:spacing w:line="360" w:lineRule="auto"/>
        <w:ind w:firstLine="480" w:firstLineChars="20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5E43B6">
      <w:pPr>
        <w:pStyle w:val="14"/>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702D15D0">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944EA21">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7E9F1E9">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8C00009">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42DE3D70">
      <w:pPr>
        <w:pStyle w:val="14"/>
        <w:spacing w:line="360" w:lineRule="auto"/>
        <w:ind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441A73EF">
      <w:pPr>
        <w:pStyle w:val="14"/>
        <w:spacing w:line="360" w:lineRule="auto"/>
        <w:ind w:firstLine="352" w:firstLineChars="147"/>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11154B47">
      <w:pPr>
        <w:pStyle w:val="14"/>
        <w:spacing w:line="360" w:lineRule="auto"/>
        <w:ind w:firstLine="352" w:firstLineChars="14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A527FE9">
      <w:pPr>
        <w:pStyle w:val="14"/>
        <w:spacing w:line="360" w:lineRule="auto"/>
        <w:ind w:firstLine="472" w:firstLineChars="196"/>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4BCA20C5">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333546B">
      <w:pPr>
        <w:pStyle w:val="14"/>
        <w:spacing w:line="360" w:lineRule="auto"/>
        <w:ind w:firstLine="472" w:firstLineChars="197"/>
        <w:contextualSpacing/>
        <w:rPr>
          <w:rFonts w:hint="eastAsia" w:hAnsi="宋体" w:cs="宋体"/>
          <w:bCs/>
          <w:color w:val="auto"/>
          <w:sz w:val="24"/>
          <w:szCs w:val="24"/>
          <w:highlight w:val="none"/>
          <w:u w:val="singl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061A1FE">
      <w:pPr>
        <w:pStyle w:val="14"/>
        <w:spacing w:line="360" w:lineRule="auto"/>
        <w:ind w:firstLine="472" w:firstLineChars="197"/>
        <w:contextualSpacing/>
        <w:rPr>
          <w:rFonts w:hint="eastAsia" w:hAnsi="宋体" w:cs="宋体"/>
          <w:color w:val="auto"/>
          <w:sz w:val="24"/>
          <w:szCs w:val="24"/>
          <w:highlight w:val="none"/>
          <w:u w:val="singl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p>
    <w:p w14:paraId="40BF5FD6">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6627C663">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3B964044">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76337072">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141E71A">
      <w:pPr>
        <w:pStyle w:val="14"/>
        <w:spacing w:line="360" w:lineRule="auto"/>
        <w:ind w:firstLine="352" w:firstLineChars="147"/>
        <w:contextualSpacing/>
        <w:rPr>
          <w:rFonts w:hint="eastAsia" w:hAnsi="宋体" w:cs="宋体"/>
          <w:color w:val="auto"/>
          <w:sz w:val="24"/>
          <w:szCs w:val="24"/>
          <w:highlight w:val="none"/>
        </w:rPr>
      </w:pPr>
    </w:p>
    <w:p w14:paraId="3D1B5661">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616F5F21">
      <w:pPr>
        <w:pStyle w:val="14"/>
        <w:spacing w:line="360" w:lineRule="auto"/>
        <w:ind w:firstLine="352" w:firstLineChars="147"/>
        <w:contextualSpacing/>
        <w:rPr>
          <w:rFonts w:hint="eastAsia" w:hAnsi="宋体" w:cs="宋体"/>
          <w:color w:val="auto"/>
          <w:sz w:val="24"/>
          <w:szCs w:val="24"/>
          <w:highlight w:val="none"/>
        </w:rPr>
      </w:pPr>
    </w:p>
    <w:p w14:paraId="1646B61C">
      <w:pPr>
        <w:pStyle w:val="14"/>
        <w:spacing w:line="360" w:lineRule="auto"/>
        <w:ind w:firstLine="472" w:firstLineChars="197"/>
        <w:contextualSpacing/>
        <w:rPr>
          <w:rFonts w:hint="eastAsia" w:hAnsi="宋体" w:cs="宋体"/>
          <w:color w:val="auto"/>
          <w:sz w:val="24"/>
          <w:szCs w:val="24"/>
          <w:highlight w:val="none"/>
        </w:rPr>
      </w:pPr>
      <w:r>
        <w:rPr>
          <w:rFonts w:hint="eastAsia" w:hAnsi="宋体" w:cs="宋体"/>
          <w:color w:val="auto"/>
          <w:sz w:val="24"/>
          <w:szCs w:val="24"/>
          <w:highlight w:val="none"/>
        </w:rPr>
        <w:t>日期：</w:t>
      </w:r>
    </w:p>
    <w:p w14:paraId="40948ED7">
      <w:pPr>
        <w:pStyle w:val="14"/>
        <w:spacing w:line="360" w:lineRule="auto"/>
        <w:contextualSpacing/>
        <w:rPr>
          <w:rFonts w:hint="eastAsia" w:hAnsi="宋体" w:cs="宋体"/>
          <w:b/>
          <w:color w:val="auto"/>
          <w:sz w:val="24"/>
          <w:szCs w:val="24"/>
          <w:highlight w:val="none"/>
        </w:rPr>
      </w:pPr>
    </w:p>
    <w:p w14:paraId="52E88D1B">
      <w:pPr>
        <w:pStyle w:val="14"/>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04D7A729">
      <w:pPr>
        <w:pStyle w:val="14"/>
        <w:spacing w:line="360" w:lineRule="auto"/>
        <w:ind w:firstLine="354" w:firstLineChars="147"/>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CBD57D5">
      <w:pPr>
        <w:pStyle w:val="14"/>
        <w:spacing w:line="360" w:lineRule="auto"/>
        <w:ind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34762BC">
      <w:pPr>
        <w:pStyle w:val="14"/>
        <w:spacing w:line="360" w:lineRule="auto"/>
        <w:ind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D07650C">
      <w:pPr>
        <w:pStyle w:val="14"/>
        <w:spacing w:line="360" w:lineRule="auto"/>
        <w:ind w:firstLine="354" w:firstLineChars="147"/>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5676AD7">
      <w:pPr>
        <w:pStyle w:val="14"/>
        <w:spacing w:line="360" w:lineRule="auto"/>
        <w:ind w:firstLine="354" w:firstLineChars="147"/>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0098F64">
      <w:pPr>
        <w:pStyle w:val="14"/>
        <w:snapToGrid w:val="0"/>
        <w:spacing w:line="360" w:lineRule="auto"/>
        <w:rPr>
          <w:rFonts w:hint="eastAsia" w:hAnsi="宋体" w:cs="宋体"/>
          <w:b/>
          <w:color w:val="auto"/>
          <w:sz w:val="24"/>
          <w:szCs w:val="24"/>
          <w:highlight w:val="none"/>
        </w:rPr>
      </w:pPr>
    </w:p>
    <w:p w14:paraId="4D71DC76">
      <w:pPr>
        <w:spacing w:line="360" w:lineRule="auto"/>
        <w:rPr>
          <w:rFonts w:hint="eastAsia" w:ascii="宋体" w:hAnsi="宋体" w:cs="宋体"/>
          <w:color w:val="auto"/>
          <w:highlight w:val="none"/>
        </w:rPr>
      </w:pPr>
      <w:r>
        <w:rPr>
          <w:rFonts w:hint="eastAsia" w:ascii="宋体" w:hAnsi="宋体" w:cs="宋体"/>
          <w:color w:val="auto"/>
          <w:highlight w:val="none"/>
        </w:rPr>
        <w:br w:type="page"/>
      </w:r>
    </w:p>
    <w:p w14:paraId="3C028B02">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0688C63A">
      <w:pPr>
        <w:pStyle w:val="14"/>
        <w:snapToGrid w:val="0"/>
        <w:spacing w:line="360" w:lineRule="auto"/>
        <w:ind w:firstLine="482" w:firstLineChars="200"/>
        <w:rPr>
          <w:rFonts w:hint="eastAsia" w:hAnsi="宋体" w:cs="宋体"/>
          <w:b/>
          <w:bCs/>
          <w:color w:val="auto"/>
          <w:sz w:val="24"/>
          <w:szCs w:val="24"/>
          <w:highlight w:val="none"/>
        </w:rPr>
      </w:pPr>
    </w:p>
    <w:p w14:paraId="5DC3923F">
      <w:pPr>
        <w:pStyle w:val="1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3F0CF10D">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D95E8F6">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9AF3FF9">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B14DD03">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13EED16">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F05517">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358907C">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C5D763C">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06E70605">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192F049">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8E771CD">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91F2703">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1E0EEB44">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w:t>
      </w:r>
    </w:p>
    <w:p w14:paraId="4BC83EBA">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0C198D9C">
      <w:pPr>
        <w:pStyle w:val="14"/>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DF70442">
      <w:pPr>
        <w:pStyle w:val="14"/>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0892B2D">
      <w:pPr>
        <w:pStyle w:val="14"/>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559B1801">
      <w:pPr>
        <w:pStyle w:val="14"/>
        <w:spacing w:line="360" w:lineRule="auto"/>
        <w:ind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65AD3A45">
      <w:pPr>
        <w:pStyle w:val="14"/>
        <w:spacing w:line="360" w:lineRule="auto"/>
        <w:ind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0DBE34D">
      <w:pPr>
        <w:pStyle w:val="14"/>
        <w:spacing w:line="360" w:lineRule="auto"/>
        <w:ind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3441FE5">
      <w:pPr>
        <w:pStyle w:val="14"/>
        <w:spacing w:line="360" w:lineRule="auto"/>
        <w:ind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34E8775F">
      <w:pPr>
        <w:pStyle w:val="14"/>
        <w:spacing w:line="360" w:lineRule="auto"/>
        <w:ind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DC3F1D4">
      <w:pPr>
        <w:pStyle w:val="14"/>
        <w:spacing w:line="360" w:lineRule="auto"/>
        <w:ind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EE9862C">
      <w:pPr>
        <w:pStyle w:val="14"/>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0BDDE036">
      <w:pPr>
        <w:pStyle w:val="14"/>
        <w:spacing w:line="360" w:lineRule="auto"/>
        <w:ind w:left="479" w:leftChars="228" w:firstLine="60" w:firstLineChars="25"/>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26989E66">
      <w:pPr>
        <w:pStyle w:val="14"/>
        <w:spacing w:line="360" w:lineRule="auto"/>
        <w:ind w:firstLine="540" w:firstLineChars="225"/>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C16C4A5">
      <w:pPr>
        <w:pStyle w:val="14"/>
        <w:spacing w:line="360" w:lineRule="auto"/>
        <w:ind w:firstLine="540" w:firstLineChars="225"/>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05D2C93">
      <w:pPr>
        <w:pStyle w:val="14"/>
        <w:spacing w:line="360" w:lineRule="auto"/>
        <w:ind w:firstLine="540" w:firstLineChars="225"/>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1A50260A">
      <w:pPr>
        <w:pStyle w:val="14"/>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29C586FD">
      <w:pPr>
        <w:pStyle w:val="14"/>
        <w:spacing w:line="360" w:lineRule="auto"/>
        <w:ind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9930F93">
      <w:pPr>
        <w:pStyle w:val="14"/>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F80D552">
      <w:pPr>
        <w:pStyle w:val="14"/>
        <w:spacing w:line="360" w:lineRule="auto"/>
        <w:ind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0A2B9BF1">
      <w:pPr>
        <w:pStyle w:val="14"/>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E4BE3BA">
      <w:pPr>
        <w:pStyle w:val="14"/>
        <w:spacing w:line="360" w:lineRule="auto"/>
        <w:ind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6E4BE74">
      <w:pPr>
        <w:pStyle w:val="14"/>
        <w:spacing w:line="360" w:lineRule="auto"/>
        <w:ind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5B136800">
      <w:pPr>
        <w:pStyle w:val="14"/>
        <w:spacing w:line="360" w:lineRule="auto"/>
        <w:ind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03D22E3D">
      <w:pPr>
        <w:pStyle w:val="14"/>
        <w:spacing w:line="360" w:lineRule="auto"/>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36B89A1">
      <w:pPr>
        <w:pStyle w:val="14"/>
        <w:spacing w:line="360" w:lineRule="auto"/>
        <w:ind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F5B4138">
      <w:pPr>
        <w:pStyle w:val="14"/>
        <w:spacing w:line="360" w:lineRule="auto"/>
        <w:ind w:firstLine="352" w:firstLineChars="147"/>
        <w:rPr>
          <w:rFonts w:hint="eastAsia" w:hAnsi="宋体" w:cs="宋体"/>
          <w:color w:val="auto"/>
          <w:sz w:val="24"/>
          <w:szCs w:val="24"/>
          <w:highlight w:val="none"/>
        </w:rPr>
      </w:pPr>
    </w:p>
    <w:p w14:paraId="3FEA01F6">
      <w:pPr>
        <w:pStyle w:val="14"/>
        <w:spacing w:line="360" w:lineRule="auto"/>
        <w:ind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183785E5">
      <w:pPr>
        <w:pStyle w:val="14"/>
        <w:spacing w:line="360" w:lineRule="auto"/>
        <w:ind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bCs/>
          <w:color w:val="auto"/>
          <w:sz w:val="24"/>
          <w:szCs w:val="24"/>
          <w:highlight w:val="none"/>
        </w:rPr>
        <w:t xml:space="preserve">                                                             </w:t>
      </w:r>
    </w:p>
    <w:p w14:paraId="617E6A00">
      <w:pPr>
        <w:pStyle w:val="14"/>
        <w:snapToGrid w:val="0"/>
        <w:spacing w:line="360" w:lineRule="auto"/>
        <w:rPr>
          <w:rFonts w:hint="eastAsia" w:hAnsi="宋体" w:cs="宋体"/>
          <w:b/>
          <w:color w:val="auto"/>
          <w:sz w:val="24"/>
          <w:szCs w:val="24"/>
          <w:highlight w:val="none"/>
        </w:rPr>
      </w:pPr>
    </w:p>
    <w:p w14:paraId="25586D5D">
      <w:pPr>
        <w:pStyle w:val="14"/>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069714A1">
      <w:pPr>
        <w:pStyle w:val="14"/>
        <w:spacing w:line="360" w:lineRule="auto"/>
        <w:ind w:firstLine="354" w:firstLineChars="147"/>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06D4777D">
      <w:pPr>
        <w:pStyle w:val="14"/>
        <w:spacing w:line="360" w:lineRule="auto"/>
        <w:ind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0D10B96">
      <w:pPr>
        <w:pStyle w:val="14"/>
        <w:spacing w:line="360" w:lineRule="auto"/>
        <w:ind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6E28E8D">
      <w:pPr>
        <w:pStyle w:val="14"/>
        <w:spacing w:line="360" w:lineRule="auto"/>
        <w:ind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0DB2111">
      <w:pPr>
        <w:pStyle w:val="14"/>
        <w:spacing w:line="360" w:lineRule="auto"/>
        <w:ind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7D7A4B73">
      <w:pPr>
        <w:pStyle w:val="14"/>
        <w:spacing w:line="360" w:lineRule="auto"/>
        <w:ind w:firstLine="354" w:firstLineChars="147"/>
        <w:rPr>
          <w:rFonts w:hint="eastAsia"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5BFB0426">
      <w:pPr>
        <w:rPr>
          <w:rFonts w:hint="eastAsia" w:ascii="宋体" w:hAnsi="宋体" w:cs="宋体"/>
          <w:color w:val="auto"/>
          <w:highlight w:val="none"/>
        </w:rPr>
      </w:pPr>
      <w:bookmarkStart w:id="42" w:name="_Toc74322013"/>
      <w:r>
        <w:rPr>
          <w:rFonts w:hint="eastAsia" w:ascii="宋体" w:hAnsi="宋体" w:cs="宋体"/>
          <w:color w:val="auto"/>
          <w:highlight w:val="none"/>
        </w:rPr>
        <w:br w:type="page"/>
      </w:r>
    </w:p>
    <w:p w14:paraId="3A94B3C0">
      <w:pPr>
        <w:pStyle w:val="2"/>
        <w:spacing w:before="0" w:after="0" w:line="360" w:lineRule="auto"/>
        <w:jc w:val="center"/>
        <w:rPr>
          <w:rFonts w:hint="eastAsia" w:ascii="宋体" w:hAnsi="宋体" w:cs="宋体"/>
          <w:color w:val="auto"/>
          <w:highlight w:val="none"/>
        </w:rPr>
      </w:pPr>
      <w:bookmarkStart w:id="43" w:name="_Toc32223"/>
      <w:r>
        <w:rPr>
          <w:rFonts w:hint="eastAsia" w:ascii="宋体" w:hAnsi="宋体" w:cs="宋体"/>
          <w:color w:val="auto"/>
          <w:highlight w:val="none"/>
        </w:rPr>
        <w:t>第六章 合同文本</w:t>
      </w:r>
      <w:bookmarkEnd w:id="42"/>
      <w:bookmarkEnd w:id="43"/>
    </w:p>
    <w:p w14:paraId="049B5DAD">
      <w:pPr>
        <w:adjustRightInd w:val="0"/>
        <w:snapToGrid w:val="0"/>
        <w:spacing w:line="360" w:lineRule="auto"/>
        <w:ind w:firstLine="420" w:firstLineChars="200"/>
        <w:rPr>
          <w:rFonts w:hint="eastAsia" w:ascii="宋体" w:hAnsi="宋体" w:cs="宋体"/>
          <w:color w:val="auto"/>
          <w:szCs w:val="21"/>
          <w:highlight w:val="none"/>
        </w:rPr>
      </w:pPr>
    </w:p>
    <w:p w14:paraId="5BD8077A">
      <w:pPr>
        <w:snapToGrid w:val="0"/>
        <w:spacing w:line="400" w:lineRule="exact"/>
        <w:rPr>
          <w:rFonts w:hint="eastAsia" w:ascii="宋体" w:hAnsi="宋体" w:cs="宋体"/>
          <w:color w:val="auto"/>
          <w:szCs w:val="21"/>
          <w:highlight w:val="none"/>
        </w:rPr>
      </w:pPr>
      <w:bookmarkStart w:id="44" w:name="_Hlk48036379"/>
    </w:p>
    <w:p w14:paraId="1C4689CF">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5921940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广西机电职业技术学院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837C0FA">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0DF33620">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467034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599A17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根据《中华人民共和国政府采购法》、《中华人民共和国招标投标法》、《中华人民共和国民法典》及相关法律、法规规定，按照</w:t>
      </w:r>
      <w:r>
        <w:rPr>
          <w:rFonts w:hint="eastAsia" w:ascii="宋体" w:hAnsi="宋体" w:cs="宋体"/>
          <w:color w:val="auto"/>
          <w:szCs w:val="21"/>
          <w:highlight w:val="none"/>
          <w:lang w:val="en-US" w:eastAsia="zh-CN"/>
        </w:rPr>
        <w:t>竞争性谈判</w:t>
      </w:r>
      <w:r>
        <w:rPr>
          <w:rFonts w:hint="eastAsia" w:ascii="宋体" w:hAnsi="宋体" w:cs="宋体"/>
          <w:color w:val="auto"/>
          <w:szCs w:val="21"/>
          <w:highlight w:val="none"/>
        </w:rPr>
        <w:t>文件规定条款和成交供应商承诺，甲乙双方签订本合同。</w:t>
      </w:r>
    </w:p>
    <w:p w14:paraId="078EA62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0689DC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供货</w:t>
      </w:r>
      <w:r>
        <w:rPr>
          <w:rFonts w:hint="eastAsia" w:ascii="宋体" w:hAnsi="宋体" w:cs="宋体"/>
          <w:color w:val="auto"/>
          <w:szCs w:val="21"/>
          <w:highlight w:val="none"/>
        </w:rPr>
        <w:t>一览表</w:t>
      </w:r>
    </w:p>
    <w:tbl>
      <w:tblPr>
        <w:tblStyle w:val="2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B78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1D802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6D388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7C37301F">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规格型号</w:t>
            </w:r>
          </w:p>
        </w:tc>
        <w:tc>
          <w:tcPr>
            <w:tcW w:w="1320" w:type="dxa"/>
            <w:tcBorders>
              <w:top w:val="single" w:color="auto" w:sz="4" w:space="0"/>
              <w:left w:val="single" w:color="auto" w:sz="4" w:space="0"/>
              <w:bottom w:val="single" w:color="auto" w:sz="4" w:space="0"/>
              <w:right w:val="single" w:color="auto" w:sz="4" w:space="0"/>
            </w:tcBorders>
            <w:vAlign w:val="center"/>
          </w:tcPr>
          <w:p w14:paraId="6C3E164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24E9E6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3C418E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3A14C4C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49CF01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256E17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3724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663DA8A">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5FC3A60A">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6FC5B987">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F6B5F77">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253A0F9B">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3F7569B3">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1664E14E">
            <w:pPr>
              <w:spacing w:line="360" w:lineRule="auto"/>
              <w:jc w:val="center"/>
              <w:rPr>
                <w:rFonts w:ascii="宋体" w:hAnsi="宋体" w:cs="宋体"/>
                <w:color w:val="auto"/>
                <w:szCs w:val="21"/>
                <w:highlight w:val="none"/>
              </w:rPr>
            </w:pPr>
          </w:p>
        </w:tc>
      </w:tr>
      <w:tr w14:paraId="137D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01396F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详见竞标报价表</w:t>
            </w:r>
          </w:p>
        </w:tc>
      </w:tr>
      <w:tr w14:paraId="67FF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494144F4">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42F1C2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2、合同合计金额包括货物价款，备件、专用工具、安装、调试、检验、技术培训及技术资料和包装、运输等全部费用。如</w:t>
      </w:r>
      <w:r>
        <w:rPr>
          <w:rFonts w:hint="eastAsia" w:ascii="宋体" w:hAnsi="宋体" w:cs="宋体"/>
          <w:color w:val="auto"/>
          <w:szCs w:val="21"/>
          <w:highlight w:val="none"/>
          <w:lang w:val="en-US" w:eastAsia="zh-CN"/>
        </w:rPr>
        <w:t>竞争性谈判</w:t>
      </w:r>
      <w:r>
        <w:rPr>
          <w:rFonts w:hint="eastAsia" w:ascii="宋体" w:hAnsi="宋体" w:cs="宋体"/>
          <w:color w:val="auto"/>
          <w:szCs w:val="21"/>
          <w:highlight w:val="none"/>
        </w:rPr>
        <w:t>文件对其另有规定的，从其规定。</w:t>
      </w:r>
    </w:p>
    <w:p w14:paraId="4FCD1B0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0A93DD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乙方所提供的货物型号、技术规格、技术参数等质量必须与</w:t>
      </w:r>
      <w:r>
        <w:rPr>
          <w:rFonts w:hint="eastAsia" w:ascii="宋体" w:hAnsi="宋体" w:cs="宋体"/>
          <w:color w:val="auto"/>
          <w:szCs w:val="21"/>
          <w:highlight w:val="none"/>
          <w:lang w:val="en-US" w:eastAsia="zh-CN"/>
        </w:rPr>
        <w:t>竞争性谈判</w:t>
      </w:r>
      <w:r>
        <w:rPr>
          <w:rFonts w:hint="eastAsia" w:ascii="宋体" w:hAnsi="宋体" w:cs="宋体"/>
          <w:color w:val="auto"/>
          <w:szCs w:val="21"/>
          <w:highlight w:val="none"/>
        </w:rPr>
        <w:t>文件和承诺相一致。</w:t>
      </w:r>
    </w:p>
    <w:p w14:paraId="426C0F2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乙方所提供的货物必须是全新、未使用的原装产品，且在正常安装、使用和保养条件下，其使用寿命期内各项指标均达到质量要求。</w:t>
      </w:r>
    </w:p>
    <w:p w14:paraId="65A8230C">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0F5EC24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乙方应保证所提供货物在使用时不会侵犯任何第三方的专利权、商标权、工业设计权或其他权利。</w:t>
      </w:r>
    </w:p>
    <w:p w14:paraId="66ED0AE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乙方应按</w:t>
      </w:r>
      <w:r>
        <w:rPr>
          <w:rFonts w:hint="eastAsia" w:ascii="宋体" w:hAnsi="宋体" w:cs="宋体"/>
          <w:color w:val="auto"/>
          <w:szCs w:val="21"/>
          <w:highlight w:val="none"/>
          <w:lang w:val="en-US" w:eastAsia="zh-CN"/>
        </w:rPr>
        <w:t>竞争性谈判</w:t>
      </w:r>
      <w:r>
        <w:rPr>
          <w:rFonts w:hint="eastAsia" w:ascii="宋体" w:hAnsi="宋体" w:cs="宋体"/>
          <w:color w:val="auto"/>
          <w:szCs w:val="21"/>
          <w:highlight w:val="none"/>
        </w:rPr>
        <w:t>文件规定的时间向甲方提供使用货物的有关技术资料。</w:t>
      </w:r>
    </w:p>
    <w:p w14:paraId="126B996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未经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DE7C80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乙方保证所交付的货物的所有权完全属于乙方且无任何抵押、质押、查封等产权瑕疵。</w:t>
      </w:r>
    </w:p>
    <w:p w14:paraId="190B33B0">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第四条　包装和运输</w:t>
      </w:r>
    </w:p>
    <w:p w14:paraId="20C8239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乙方提供的货物均应按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文件要求的包装材料、包装标准、包装方式进行包装，每一包装单元内应附详细的装箱单和质量合格证。</w:t>
      </w:r>
    </w:p>
    <w:p w14:paraId="24FBCFC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E4DB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乙方负责货物运输，货物运输合理损耗及计算方法：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F26B6C">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eastAsia="zh-CN"/>
        </w:rPr>
        <w:t>五</w:t>
      </w:r>
      <w:r>
        <w:rPr>
          <w:rFonts w:hint="eastAsia" w:ascii="宋体" w:hAnsi="宋体" w:cs="宋体"/>
          <w:b/>
          <w:color w:val="auto"/>
          <w:szCs w:val="21"/>
          <w:highlight w:val="none"/>
        </w:rPr>
        <w:t>条　交付和验收</w:t>
      </w:r>
    </w:p>
    <w:p w14:paraId="4681D0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1.交货时间：自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日内交付完毕；交货地点：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2C93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2.乙方提供不符合</w:t>
      </w:r>
      <w:r>
        <w:rPr>
          <w:rFonts w:hint="eastAsia" w:ascii="宋体" w:hAnsi="宋体" w:cs="宋体"/>
          <w:color w:val="auto"/>
          <w:szCs w:val="21"/>
          <w:highlight w:val="none"/>
          <w:lang w:val="en-US" w:eastAsia="zh-CN"/>
        </w:rPr>
        <w:t>竞争性谈判文件、响应</w:t>
      </w:r>
      <w:r>
        <w:rPr>
          <w:rFonts w:hint="eastAsia" w:ascii="宋体" w:hAnsi="宋体" w:cs="宋体"/>
          <w:color w:val="auto"/>
          <w:szCs w:val="21"/>
          <w:highlight w:val="none"/>
        </w:rPr>
        <w:t>文件和本合同规定的货物，甲方有权拒绝接受。</w:t>
      </w:r>
    </w:p>
    <w:p w14:paraId="38E2AF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3.乙方应将所提供货物的装箱清单、用户手册、原厂保修卡、随机资料、工具和备品、备件等交付给甲方，如有缺失应及时补齐，否则视为逾期交货。</w:t>
      </w:r>
    </w:p>
    <w:p w14:paraId="0ED6BC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4.甲方应当在到货（安装、调试完）后七个工作日内进行验收，逾期不验收的，乙方可视同验收合格。</w:t>
      </w:r>
    </w:p>
    <w:p w14:paraId="21D7F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5.甲方对验收有异议的，在验收后 5个工作日内以书面形式向乙方提出，乙方应自收到甲方书面异议后 7日内及时予以解决。</w:t>
      </w:r>
    </w:p>
    <w:p w14:paraId="25D3B7CE">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第六条　安装和培训</w:t>
      </w:r>
    </w:p>
    <w:p w14:paraId="60905C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7F5F6F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2.乙方负责甲方有关人员的培训。培训时间、地点：</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lang w:val="en-US" w:eastAsia="zh-CN"/>
        </w:rPr>
        <w:t>设备</w:t>
      </w:r>
      <w:r>
        <w:rPr>
          <w:rFonts w:hint="eastAsia" w:ascii="宋体" w:hAnsi="宋体"/>
          <w:color w:val="auto"/>
          <w:szCs w:val="21"/>
          <w:highlight w:val="none"/>
          <w:u w:val="single"/>
        </w:rPr>
        <w:t>安装、调试完毕后十五日内对甲方的使用与维护人员进行1-3天的现场（</w:t>
      </w:r>
      <w:bookmarkStart w:id="45" w:name="_Hlk107304989"/>
      <w:r>
        <w:rPr>
          <w:rFonts w:hint="eastAsia" w:ascii="宋体" w:hAnsi="宋体"/>
          <w:color w:val="auto"/>
          <w:szCs w:val="21"/>
          <w:highlight w:val="none"/>
          <w:u w:val="single"/>
        </w:rPr>
        <w:t>广西机电职业技术学院笃行楼</w:t>
      </w:r>
      <w:bookmarkEnd w:id="45"/>
      <w:r>
        <w:rPr>
          <w:rFonts w:hint="eastAsia" w:ascii="宋体" w:hAnsi="宋体"/>
          <w:color w:val="auto"/>
          <w:szCs w:val="21"/>
          <w:highlight w:val="none"/>
          <w:u w:val="single"/>
        </w:rPr>
        <w:t>）免费培训。</w:t>
      </w:r>
    </w:p>
    <w:p w14:paraId="028B950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售后服务、质保期</w:t>
      </w:r>
    </w:p>
    <w:p w14:paraId="2DA66BDD">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1.乙方应按照国家有关法律法规和“三包”规定以及</w:t>
      </w:r>
      <w:r>
        <w:rPr>
          <w:rFonts w:hint="eastAsia" w:ascii="宋体" w:hAnsi="宋体" w:cs="宋体"/>
          <w:b w:val="0"/>
          <w:bCs/>
          <w:color w:val="auto"/>
          <w:szCs w:val="21"/>
          <w:highlight w:val="none"/>
          <w:lang w:val="en-US" w:eastAsia="zh-CN"/>
        </w:rPr>
        <w:t>响应</w:t>
      </w:r>
      <w:r>
        <w:rPr>
          <w:rFonts w:hint="eastAsia" w:ascii="宋体" w:hAnsi="宋体" w:cs="宋体"/>
          <w:b w:val="0"/>
          <w:bCs/>
          <w:color w:val="auto"/>
          <w:szCs w:val="21"/>
          <w:highlight w:val="none"/>
        </w:rPr>
        <w:t>文件和本合同所附的《服务承诺》，为甲方提供售后服务。</w:t>
      </w:r>
    </w:p>
    <w:p w14:paraId="2FACB5D4">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2.货物免费质保期：</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因人为因素出现的故障不在免费质保范围内。质保期内免费升级维护。质保期满后5年内，乙方提供有偿维保服务，收费标准仅为零配件成本价，免收人工及上门服务费。同时对本项目系统提供终身免费技术咨询服务（直至产品报废），</w:t>
      </w:r>
      <w:r>
        <w:rPr>
          <w:rFonts w:hint="eastAsia" w:asciiTheme="minorEastAsia" w:hAnsiTheme="minorEastAsia" w:eastAsiaTheme="minorEastAsia" w:cstheme="minorEastAsia"/>
          <w:color w:val="auto"/>
          <w:sz w:val="21"/>
          <w:szCs w:val="21"/>
          <w:highlight w:val="none"/>
        </w:rPr>
        <w:t>质保期</w:t>
      </w:r>
      <w:r>
        <w:rPr>
          <w:rFonts w:hint="eastAsia" w:ascii="宋体" w:hAnsi="宋体" w:cs="宋体"/>
          <w:b w:val="0"/>
          <w:bCs/>
          <w:color w:val="auto"/>
          <w:szCs w:val="21"/>
          <w:highlight w:val="none"/>
        </w:rPr>
        <w:t>外的服务费用由甲方和乙方另行商议。</w:t>
      </w:r>
    </w:p>
    <w:p w14:paraId="733B5AB8">
      <w:pPr>
        <w:spacing w:line="360" w:lineRule="auto"/>
        <w:ind w:firstLine="420" w:firstLineChars="200"/>
        <w:rPr>
          <w:rFonts w:ascii="宋体" w:hAnsi="宋体" w:cs="宋体"/>
          <w:color w:val="auto"/>
          <w:szCs w:val="21"/>
          <w:highlight w:val="none"/>
        </w:rPr>
      </w:pPr>
      <w:r>
        <w:rPr>
          <w:rFonts w:hint="eastAsia" w:ascii="宋体" w:hAnsi="宋体" w:cs="宋体"/>
          <w:b w:val="0"/>
          <w:bCs/>
          <w:color w:val="auto"/>
          <w:szCs w:val="21"/>
          <w:highlight w:val="none"/>
        </w:rPr>
        <w:t>3.乙方提供的服务承诺和售后服务及质保期责任等其它具体约定事项（见合同附件）。</w:t>
      </w:r>
    </w:p>
    <w:p w14:paraId="47142953">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w:t>
      </w: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条　付款方式</w:t>
      </w:r>
    </w:p>
    <w:p w14:paraId="41F58D75">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甲乙双方同意本合同金额的支付按以下第</w:t>
      </w:r>
      <w:r>
        <w:rPr>
          <w:rFonts w:hint="eastAsia" w:ascii="宋体" w:hAnsi="宋体"/>
          <w:color w:val="auto"/>
          <w:szCs w:val="21"/>
          <w:highlight w:val="none"/>
          <w:u w:val="single"/>
        </w:rPr>
        <w:t xml:space="preserve">  2  </w:t>
      </w:r>
      <w:r>
        <w:rPr>
          <w:rFonts w:hint="eastAsia" w:ascii="宋体" w:hAnsi="宋体"/>
          <w:color w:val="auto"/>
          <w:szCs w:val="21"/>
          <w:highlight w:val="none"/>
        </w:rPr>
        <w:t>项约定执行：</w:t>
      </w:r>
    </w:p>
    <w:p w14:paraId="299B81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1、一次性支付</w:t>
      </w:r>
    </w:p>
    <w:p w14:paraId="6E70A6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2、分期支付</w:t>
      </w:r>
    </w:p>
    <w:p w14:paraId="454520CF">
      <w:pPr>
        <w:pStyle w:val="78"/>
        <w:spacing w:line="380" w:lineRule="exact"/>
        <w:ind w:firstLine="420"/>
        <w:rPr>
          <w:rFonts w:ascii="宋体" w:hAnsi="宋体"/>
          <w:color w:val="auto"/>
          <w:sz w:val="21"/>
          <w:szCs w:val="21"/>
          <w:highlight w:val="none"/>
          <w:lang w:eastAsia="zh-CN"/>
        </w:rPr>
      </w:pPr>
      <w:r>
        <w:rPr>
          <w:rFonts w:hint="eastAsia" w:ascii="宋体" w:hAnsi="宋体"/>
          <w:color w:val="auto"/>
          <w:sz w:val="21"/>
          <w:szCs w:val="21"/>
          <w:highlight w:val="none"/>
          <w:lang w:eastAsia="zh-CN"/>
        </w:rPr>
        <w:t>第一次付款：</w:t>
      </w:r>
      <w:r>
        <w:rPr>
          <w:rFonts w:hint="eastAsia" w:asciiTheme="minorEastAsia" w:hAnsiTheme="minorEastAsia" w:eastAsiaTheme="minorEastAsia" w:cstheme="minorEastAsia"/>
          <w:color w:val="auto"/>
          <w:sz w:val="21"/>
          <w:szCs w:val="21"/>
          <w:highlight w:val="none"/>
        </w:rPr>
        <w:t>全部到货后</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按付款金额提供增值税专用发票给</w:t>
      </w:r>
      <w:r>
        <w:rPr>
          <w:rFonts w:hint="eastAsia" w:ascii="宋体" w:hAnsi="宋体"/>
          <w:color w:val="auto"/>
          <w:sz w:val="21"/>
          <w:szCs w:val="21"/>
          <w:highlight w:val="none"/>
          <w:lang w:val="en-US" w:eastAsia="zh-CN"/>
        </w:rPr>
        <w:t>甲方，甲方</w:t>
      </w:r>
      <w:r>
        <w:rPr>
          <w:rFonts w:hint="eastAsia" w:ascii="宋体" w:hAnsi="宋体"/>
          <w:color w:val="auto"/>
          <w:sz w:val="21"/>
          <w:szCs w:val="21"/>
          <w:highlight w:val="none"/>
          <w:lang w:eastAsia="zh-CN"/>
        </w:rPr>
        <w:t>凭到货签收单向</w:t>
      </w:r>
      <w:r>
        <w:rPr>
          <w:rFonts w:hint="eastAsia" w:ascii="宋体" w:hAnsi="宋体"/>
          <w:color w:val="auto"/>
          <w:sz w:val="21"/>
          <w:szCs w:val="21"/>
          <w:highlight w:val="none"/>
          <w:lang w:val="en-US" w:eastAsia="zh-CN"/>
        </w:rPr>
        <w:t>和发票在10个工作日内向乙方</w:t>
      </w:r>
      <w:r>
        <w:rPr>
          <w:rFonts w:hint="eastAsia" w:ascii="宋体" w:hAnsi="宋体"/>
          <w:color w:val="auto"/>
          <w:sz w:val="21"/>
          <w:szCs w:val="21"/>
          <w:highlight w:val="none"/>
          <w:lang w:eastAsia="zh-CN"/>
        </w:rPr>
        <w:t>支付合同金额</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u w:val="single"/>
          <w:lang w:eastAsia="zh-CN"/>
        </w:rPr>
        <w:t>0%</w:t>
      </w:r>
      <w:r>
        <w:rPr>
          <w:rFonts w:hint="eastAsia" w:ascii="宋体" w:hAnsi="宋体"/>
          <w:color w:val="auto"/>
          <w:sz w:val="21"/>
          <w:szCs w:val="21"/>
          <w:highlight w:val="none"/>
          <w:lang w:eastAsia="zh-CN"/>
        </w:rPr>
        <w:t>的进度款；</w:t>
      </w:r>
    </w:p>
    <w:p w14:paraId="416AEC35">
      <w:pPr>
        <w:snapToGrid w:val="0"/>
        <w:spacing w:line="360" w:lineRule="auto"/>
        <w:ind w:firstLine="420" w:firstLineChars="200"/>
        <w:rPr>
          <w:rFonts w:ascii="宋体" w:hAnsi="宋体"/>
          <w:color w:val="auto"/>
          <w:szCs w:val="21"/>
          <w:highlight w:val="none"/>
        </w:rPr>
      </w:pPr>
      <w:r>
        <w:rPr>
          <w:rFonts w:hint="eastAsia" w:ascii="宋体" w:hAnsi="宋体"/>
          <w:color w:val="auto"/>
          <w:sz w:val="21"/>
          <w:szCs w:val="21"/>
          <w:highlight w:val="none"/>
          <w:lang w:eastAsia="zh-CN"/>
        </w:rPr>
        <w:t>第二次付款：验收合格后</w:t>
      </w:r>
      <w:r>
        <w:rPr>
          <w:rFonts w:hint="eastAsia" w:ascii="宋体" w:hAnsi="宋体"/>
          <w:color w:val="auto"/>
          <w:sz w:val="21"/>
          <w:szCs w:val="21"/>
          <w:highlight w:val="none"/>
          <w:u w:val="single"/>
          <w:lang w:eastAsia="zh-CN"/>
        </w:rPr>
        <w:t>10</w:t>
      </w:r>
      <w:r>
        <w:rPr>
          <w:rFonts w:hint="eastAsia" w:ascii="宋体" w:hAnsi="宋体"/>
          <w:color w:val="auto"/>
          <w:sz w:val="21"/>
          <w:szCs w:val="21"/>
          <w:highlight w:val="none"/>
          <w:lang w:eastAsia="zh-CN"/>
        </w:rPr>
        <w:t>个工作日内，</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lang w:eastAsia="zh-CN"/>
        </w:rPr>
        <w:t>向</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支付合同全部余款。</w:t>
      </w:r>
    </w:p>
    <w:p w14:paraId="56D27A10">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eastAsia="zh-CN"/>
        </w:rPr>
        <w:t>九</w:t>
      </w:r>
      <w:r>
        <w:rPr>
          <w:rFonts w:hint="eastAsia" w:ascii="宋体" w:hAnsi="宋体" w:cs="宋体"/>
          <w:b/>
          <w:color w:val="auto"/>
          <w:szCs w:val="21"/>
          <w:highlight w:val="none"/>
        </w:rPr>
        <w:t>条　履约保证金</w:t>
      </w:r>
    </w:p>
    <w:p w14:paraId="63A1AE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2</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交纳。</w:t>
      </w:r>
    </w:p>
    <w:p w14:paraId="4CA793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履约保证金递交方式：以电汇、转账、汇票、保函等非现金形式提交。由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在签订合同前按规定的金额直接缴入广西机电职业技术学院账户，账户名称：广西机电职业技术学院；开户行：建设银行南宁大学路支行；银行账号：4500 1604 8510 5050 3961。</w:t>
      </w:r>
    </w:p>
    <w:p w14:paraId="5A598B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3、乙方</w:t>
      </w:r>
      <w:r>
        <w:rPr>
          <w:rFonts w:hint="eastAsia" w:ascii="宋体" w:hAnsi="宋体" w:cs="宋体"/>
          <w:color w:val="auto"/>
          <w:szCs w:val="21"/>
          <w:highlight w:val="none"/>
        </w:rPr>
        <w:t>须在签订合同之前按照本条规定的履约保证金金额、递交方式直接转入</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账户，否则不予签订合同。由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向履约保证金收取单位提供《采购项目合同验收书》、《采购项目履约保证金退付意见书》，保证金收取单位在收到合格材料后，根据</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相关违约处罚扣款后的实际数额在5个工作日内办理退还手续（不计利息）。若采购内容质保期各不相同的，也可按金额比例分次退付。</w:t>
      </w:r>
    </w:p>
    <w:p w14:paraId="4EA439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4.在履约保证金退还日期前，若</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的开户名称、开户银行、账号有变动的，请以书面形式通知广西机电职业技术学院，否则由此产生的后果由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自负。</w:t>
      </w:r>
    </w:p>
    <w:p w14:paraId="0D37C7F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eastAsia="zh-CN"/>
        </w:rPr>
        <w:t>十</w:t>
      </w:r>
      <w:r>
        <w:rPr>
          <w:rFonts w:hint="eastAsia" w:ascii="宋体" w:hAnsi="宋体" w:cs="宋体"/>
          <w:b/>
          <w:color w:val="auto"/>
          <w:szCs w:val="21"/>
          <w:highlight w:val="none"/>
        </w:rPr>
        <w:t>条  税费</w:t>
      </w:r>
    </w:p>
    <w:p w14:paraId="300046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E249A4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条  质量保证及售后服务</w:t>
      </w:r>
    </w:p>
    <w:p w14:paraId="2673BD0C">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乙方应按</w:t>
      </w:r>
      <w:r>
        <w:rPr>
          <w:rFonts w:hint="eastAsia" w:ascii="宋体" w:hAnsi="宋体" w:cs="宋体"/>
          <w:color w:val="auto"/>
          <w:szCs w:val="21"/>
          <w:highlight w:val="none"/>
          <w:lang w:val="en-US" w:eastAsia="zh-CN"/>
        </w:rPr>
        <w:t>竞争性谈判</w:t>
      </w:r>
      <w:r>
        <w:rPr>
          <w:rFonts w:hint="eastAsia" w:ascii="宋体" w:hAnsi="宋体" w:cs="宋体"/>
          <w:b w:val="0"/>
          <w:bCs/>
          <w:color w:val="auto"/>
          <w:szCs w:val="21"/>
          <w:highlight w:val="none"/>
        </w:rPr>
        <w:t>文件规定的货物性能、技术要求、质量标准向甲方提供未经使用的全新产品。不符合要求的，根据实际情况，经双方协商，可按以下办法处理：</w:t>
      </w:r>
    </w:p>
    <w:p w14:paraId="0EFC932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⑴更换：由乙方承担所发生的全部费用。</w:t>
      </w:r>
    </w:p>
    <w:p w14:paraId="0C1FECCA">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⑵贬值处理：由甲乙双方合议定价。</w:t>
      </w:r>
    </w:p>
    <w:p w14:paraId="3132A39F">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⑶退货处理：乙方应退还甲方支付的合同款，同时应承担退还该货物的直接费用（运输、保险、检验、货款利息及银行手续费等）。</w:t>
      </w:r>
    </w:p>
    <w:p w14:paraId="3FECB0E2">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如在使用过程中发生质量问题，乙方在接到甲方通知后在</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小时内到达甲方现场处理。</w:t>
      </w:r>
    </w:p>
    <w:p w14:paraId="616D8F9A">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上述的质量保证期为</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年，从货物验收合格之日起计算。</w:t>
      </w:r>
    </w:p>
    <w:p w14:paraId="4B51C792">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在质保期内，乙方应对货物出现的质量及安全问题负责处理解决并承担一切费用。</w:t>
      </w:r>
    </w:p>
    <w:p w14:paraId="2E5EB6FF">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第十</w:t>
      </w:r>
      <w:r>
        <w:rPr>
          <w:rFonts w:hint="eastAsia" w:ascii="宋体" w:hAnsi="宋体" w:cs="宋体"/>
          <w:b/>
          <w:bCs w:val="0"/>
          <w:color w:val="auto"/>
          <w:szCs w:val="21"/>
          <w:highlight w:val="none"/>
          <w:lang w:eastAsia="zh-CN"/>
        </w:rPr>
        <w:t>二</w:t>
      </w:r>
      <w:r>
        <w:rPr>
          <w:rFonts w:hint="eastAsia" w:ascii="宋体" w:hAnsi="宋体" w:cs="宋体"/>
          <w:b/>
          <w:bCs w:val="0"/>
          <w:color w:val="auto"/>
          <w:szCs w:val="21"/>
          <w:highlight w:val="none"/>
        </w:rPr>
        <w:t>条  调试和验收</w:t>
      </w:r>
    </w:p>
    <w:p w14:paraId="26FF47AF">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甲方对乙方提交的货物依据</w:t>
      </w:r>
      <w:r>
        <w:rPr>
          <w:rFonts w:hint="eastAsia" w:ascii="宋体" w:hAnsi="宋体" w:cs="宋体"/>
          <w:b w:val="0"/>
          <w:bCs/>
          <w:color w:val="auto"/>
          <w:szCs w:val="21"/>
          <w:highlight w:val="none"/>
          <w:lang w:val="en-US" w:eastAsia="zh-CN"/>
        </w:rPr>
        <w:t>竞争性谈判</w:t>
      </w:r>
      <w:r>
        <w:rPr>
          <w:rFonts w:hint="eastAsia" w:ascii="宋体" w:hAnsi="宋体" w:cs="宋体"/>
          <w:b w:val="0"/>
          <w:bCs/>
          <w:color w:val="auto"/>
          <w:szCs w:val="21"/>
          <w:highlight w:val="none"/>
        </w:rPr>
        <w:t>文件上的技术规格要求和国家有关质量标准进行现场初步验收，外观、说明书符合</w:t>
      </w:r>
      <w:r>
        <w:rPr>
          <w:rFonts w:hint="eastAsia" w:ascii="宋体" w:hAnsi="宋体" w:cs="宋体"/>
          <w:b w:val="0"/>
          <w:bCs/>
          <w:color w:val="auto"/>
          <w:szCs w:val="21"/>
          <w:highlight w:val="none"/>
          <w:lang w:val="en-US" w:eastAsia="zh-CN"/>
        </w:rPr>
        <w:t>竞争性谈判</w:t>
      </w:r>
      <w:r>
        <w:rPr>
          <w:rFonts w:hint="eastAsia" w:ascii="宋体" w:hAnsi="宋体" w:cs="宋体"/>
          <w:b w:val="0"/>
          <w:bCs/>
          <w:color w:val="auto"/>
          <w:szCs w:val="21"/>
          <w:highlight w:val="none"/>
        </w:rPr>
        <w:t>文件技术要求的，给予签收，初步验收不合格的不予签收。货到后，甲方应当在到货（安装、调试完）后七个工作日内进行验收。</w:t>
      </w:r>
    </w:p>
    <w:p w14:paraId="1B3869B7">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乙方交货前应对产品做出全面检查和对验收文件进行整理，并列出清单，作为甲方收货验收和使用的技术条件依据，检验的结果应随货物交甲方。</w:t>
      </w:r>
    </w:p>
    <w:p w14:paraId="24B6B73A">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甲方对乙方提供的货物在使用前进行调试时，乙方需负责安装并培训甲方的使用操作人员，并协助甲方一起调试，直到符合技术要求，甲方才做最终验收。</w:t>
      </w:r>
    </w:p>
    <w:p w14:paraId="670C8012">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对技术复杂的货物，甲方应请国家认可的专业检测机构参与初步验收及最终验收，并由其出具质量检测报告。验收时乙方必须在现场，验收完毕后作出验收结果报告；验收费用由甲方负责。</w:t>
      </w:r>
    </w:p>
    <w:p w14:paraId="7ED63361">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第十</w:t>
      </w:r>
      <w:r>
        <w:rPr>
          <w:rFonts w:hint="eastAsia" w:ascii="宋体" w:hAnsi="宋体" w:cs="宋体"/>
          <w:b/>
          <w:bCs w:val="0"/>
          <w:color w:val="auto"/>
          <w:szCs w:val="21"/>
          <w:highlight w:val="none"/>
          <w:lang w:eastAsia="zh-CN"/>
        </w:rPr>
        <w:t>三</w:t>
      </w:r>
      <w:r>
        <w:rPr>
          <w:rFonts w:hint="eastAsia" w:ascii="宋体" w:hAnsi="宋体" w:cs="宋体"/>
          <w:b/>
          <w:bCs w:val="0"/>
          <w:color w:val="auto"/>
          <w:szCs w:val="21"/>
          <w:highlight w:val="none"/>
        </w:rPr>
        <w:t>条  货物包装、发运及运输</w:t>
      </w:r>
    </w:p>
    <w:p w14:paraId="3C7D4B6E">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乙方应在货物发运前对其进行满足运输距离、防潮、防震、防锈和防破损装卸等要求包装，以保证货物安全运达甲方指定地点。</w:t>
      </w:r>
    </w:p>
    <w:p w14:paraId="256069F7">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使用说明书、质量检验证明书、随配附件和工具以及清单一并附于货物内。</w:t>
      </w:r>
    </w:p>
    <w:p w14:paraId="13F1C0DE">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乙方在货物发运手续办理完毕后二十四小时内或货到甲方四十八小时前通知甲方，以准备接货。</w:t>
      </w:r>
    </w:p>
    <w:p w14:paraId="35A5DD9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货物在交付甲方前发生的风险均由乙方负责。</w:t>
      </w:r>
    </w:p>
    <w:p w14:paraId="68D0A92C">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货物在规定的交付期限内由乙方送达甲方指定的地点视为交付，乙方同时需通知甲方货物已送达。</w:t>
      </w:r>
    </w:p>
    <w:p w14:paraId="3449C0BA">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第十</w:t>
      </w:r>
      <w:r>
        <w:rPr>
          <w:rFonts w:hint="eastAsia" w:ascii="宋体" w:hAnsi="宋体" w:cs="宋体"/>
          <w:b/>
          <w:bCs w:val="0"/>
          <w:color w:val="auto"/>
          <w:szCs w:val="21"/>
          <w:highlight w:val="none"/>
          <w:lang w:eastAsia="zh-CN"/>
        </w:rPr>
        <w:t>四</w:t>
      </w:r>
      <w:r>
        <w:rPr>
          <w:rFonts w:hint="eastAsia" w:ascii="宋体" w:hAnsi="宋体" w:cs="宋体"/>
          <w:b/>
          <w:bCs w:val="0"/>
          <w:color w:val="auto"/>
          <w:szCs w:val="21"/>
          <w:highlight w:val="none"/>
        </w:rPr>
        <w:t>条　违约责任</w:t>
      </w:r>
    </w:p>
    <w:p w14:paraId="06DCC78A">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乙方所提供的货物规格、技术标准、材料等质量不合格的，应及时更换，更换不及时的按逾期交货处罚；因质量问题甲方不同意接收的或特殊情况甲方同意接收的，乙方应向甲方支付违约货款额</w:t>
      </w:r>
      <w:r>
        <w:rPr>
          <w:rFonts w:hint="eastAsia" w:ascii="宋体" w:hAnsi="宋体" w:cs="宋体"/>
          <w:b w:val="0"/>
          <w:bCs/>
          <w:color w:val="auto"/>
          <w:szCs w:val="21"/>
          <w:highlight w:val="none"/>
          <w:u w:val="single"/>
        </w:rPr>
        <w:t xml:space="preserve">  5  </w:t>
      </w:r>
      <w:r>
        <w:rPr>
          <w:rFonts w:hint="eastAsia" w:ascii="宋体" w:hAnsi="宋体" w:cs="宋体"/>
          <w:b w:val="0"/>
          <w:bCs/>
          <w:color w:val="auto"/>
          <w:szCs w:val="21"/>
          <w:highlight w:val="none"/>
        </w:rPr>
        <w:t>%违约金并赔偿甲方经济损失。</w:t>
      </w:r>
    </w:p>
    <w:p w14:paraId="2DE2B75F">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乙方提供的货物如侵犯了第三方合法权益而引发的任何纠纷或诉讼，均由乙方负责交涉并承担全部责任。</w:t>
      </w:r>
    </w:p>
    <w:p w14:paraId="2A3C04FE">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因包装、运输引起的货物损坏，按质量不合格处罚。</w:t>
      </w:r>
    </w:p>
    <w:p w14:paraId="0682199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甲方无故延期接收货物或乙方逾期交付货物的，每天向对方偿付违约货款额</w:t>
      </w:r>
      <w:r>
        <w:rPr>
          <w:rFonts w:hint="eastAsia" w:ascii="宋体" w:hAnsi="宋体" w:cs="宋体"/>
          <w:b w:val="0"/>
          <w:bCs/>
          <w:strike w:val="0"/>
          <w:dstrike w:val="0"/>
          <w:color w:val="auto"/>
          <w:szCs w:val="21"/>
          <w:highlight w:val="none"/>
          <w:u w:val="single"/>
        </w:rPr>
        <w:t xml:space="preserve">  3  </w:t>
      </w:r>
      <w:r>
        <w:rPr>
          <w:rFonts w:hint="eastAsia" w:ascii="宋体" w:hAnsi="宋体" w:cs="宋体"/>
          <w:b w:val="0"/>
          <w:bCs/>
          <w:color w:val="auto"/>
          <w:szCs w:val="21"/>
          <w:highlight w:val="none"/>
        </w:rPr>
        <w:t>‰违约金，但违约金累计不得超过违约货款额</w:t>
      </w:r>
      <w:r>
        <w:rPr>
          <w:rFonts w:hint="eastAsia" w:ascii="宋体" w:hAnsi="宋体" w:cs="宋体"/>
          <w:b w:val="0"/>
          <w:bCs/>
          <w:color w:val="auto"/>
          <w:szCs w:val="21"/>
          <w:highlight w:val="none"/>
          <w:u w:val="single"/>
        </w:rPr>
        <w:t xml:space="preserve">  5  </w:t>
      </w:r>
      <w:r>
        <w:rPr>
          <w:rFonts w:hint="eastAsia" w:ascii="宋体" w:hAnsi="宋体" w:cs="宋体"/>
          <w:b w:val="0"/>
          <w:bCs/>
          <w:color w:val="auto"/>
          <w:szCs w:val="21"/>
          <w:highlight w:val="none"/>
        </w:rPr>
        <w:t>%，超过</w:t>
      </w:r>
      <w:r>
        <w:rPr>
          <w:rFonts w:hint="eastAsia" w:ascii="宋体" w:hAnsi="宋体" w:cs="宋体"/>
          <w:b w:val="0"/>
          <w:bCs/>
          <w:color w:val="auto"/>
          <w:szCs w:val="21"/>
          <w:highlight w:val="none"/>
          <w:u w:val="single"/>
        </w:rPr>
        <w:t xml:space="preserve">  10  </w:t>
      </w:r>
      <w:r>
        <w:rPr>
          <w:rFonts w:hint="eastAsia" w:ascii="宋体" w:hAnsi="宋体" w:cs="宋体"/>
          <w:b w:val="0"/>
          <w:bCs/>
          <w:color w:val="auto"/>
          <w:szCs w:val="21"/>
          <w:highlight w:val="none"/>
        </w:rPr>
        <w:t>天对方有权解除合同，违约方承担因此给对方造成的经济损失；甲方延期支付货款的，每天向乙方偿付延期货款额</w:t>
      </w:r>
      <w:r>
        <w:rPr>
          <w:rFonts w:hint="eastAsia" w:ascii="宋体" w:hAnsi="宋体" w:cs="宋体"/>
          <w:b w:val="0"/>
          <w:bCs/>
          <w:color w:val="auto"/>
          <w:szCs w:val="21"/>
          <w:highlight w:val="none"/>
          <w:u w:val="single"/>
        </w:rPr>
        <w:t xml:space="preserve">  3  </w:t>
      </w:r>
      <w:r>
        <w:rPr>
          <w:rFonts w:hint="eastAsia" w:ascii="宋体" w:hAnsi="宋体" w:cs="宋体"/>
          <w:b w:val="0"/>
          <w:bCs/>
          <w:color w:val="auto"/>
          <w:szCs w:val="21"/>
          <w:highlight w:val="none"/>
        </w:rPr>
        <w:t>‰滞纳金，但滞纳金累计不得超过延期货款额</w:t>
      </w:r>
      <w:r>
        <w:rPr>
          <w:rFonts w:hint="eastAsia" w:ascii="宋体" w:hAnsi="宋体" w:cs="宋体"/>
          <w:b w:val="0"/>
          <w:bCs/>
          <w:color w:val="auto"/>
          <w:szCs w:val="21"/>
          <w:highlight w:val="none"/>
          <w:u w:val="single"/>
        </w:rPr>
        <w:t xml:space="preserve">  5  </w:t>
      </w:r>
      <w:r>
        <w:rPr>
          <w:rFonts w:hint="eastAsia" w:ascii="宋体" w:hAnsi="宋体" w:cs="宋体"/>
          <w:b w:val="0"/>
          <w:bCs/>
          <w:color w:val="auto"/>
          <w:szCs w:val="21"/>
          <w:highlight w:val="none"/>
        </w:rPr>
        <w:t>%。</w:t>
      </w:r>
    </w:p>
    <w:p w14:paraId="516E516F">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乙方未按本合同和</w:t>
      </w:r>
      <w:r>
        <w:rPr>
          <w:rFonts w:hint="eastAsia" w:ascii="宋体" w:hAnsi="宋体" w:cs="宋体"/>
          <w:b w:val="0"/>
          <w:bCs/>
          <w:color w:val="auto"/>
          <w:szCs w:val="21"/>
          <w:highlight w:val="none"/>
          <w:lang w:val="en-US" w:eastAsia="zh-CN"/>
        </w:rPr>
        <w:t>响应</w:t>
      </w:r>
      <w:r>
        <w:rPr>
          <w:rFonts w:hint="eastAsia" w:ascii="宋体" w:hAnsi="宋体" w:cs="宋体"/>
          <w:b w:val="0"/>
          <w:bCs/>
          <w:color w:val="auto"/>
          <w:szCs w:val="21"/>
          <w:highlight w:val="none"/>
        </w:rPr>
        <w:t>文件中规定的服务承诺提供售后服务的，乙方应按本合同合计金额</w:t>
      </w:r>
      <w:r>
        <w:rPr>
          <w:rFonts w:hint="eastAsia" w:ascii="宋体" w:hAnsi="宋体" w:cs="宋体"/>
          <w:b w:val="0"/>
          <w:bCs/>
          <w:color w:val="auto"/>
          <w:szCs w:val="21"/>
          <w:highlight w:val="none"/>
          <w:u w:val="single"/>
        </w:rPr>
        <w:t xml:space="preserve">  5  </w:t>
      </w:r>
      <w:r>
        <w:rPr>
          <w:rFonts w:hint="eastAsia" w:ascii="宋体" w:hAnsi="宋体" w:cs="宋体"/>
          <w:b w:val="0"/>
          <w:bCs/>
          <w:color w:val="auto"/>
          <w:szCs w:val="21"/>
          <w:highlight w:val="none"/>
        </w:rPr>
        <w:t>%向甲方支付违约金。</w:t>
      </w:r>
    </w:p>
    <w:p w14:paraId="560C8967">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其它违约行为按违约货款额</w:t>
      </w:r>
      <w:r>
        <w:rPr>
          <w:rFonts w:hint="eastAsia" w:ascii="宋体" w:hAnsi="宋体" w:cs="宋体"/>
          <w:b w:val="0"/>
          <w:bCs/>
          <w:color w:val="auto"/>
          <w:szCs w:val="21"/>
          <w:highlight w:val="none"/>
          <w:u w:val="single"/>
        </w:rPr>
        <w:t xml:space="preserve">  5  </w:t>
      </w:r>
      <w:r>
        <w:rPr>
          <w:rFonts w:hint="eastAsia" w:ascii="宋体" w:hAnsi="宋体" w:cs="宋体"/>
          <w:b w:val="0"/>
          <w:bCs/>
          <w:color w:val="auto"/>
          <w:szCs w:val="21"/>
          <w:highlight w:val="none"/>
        </w:rPr>
        <w:t>%收取违约金并赔偿经济损失。</w:t>
      </w:r>
    </w:p>
    <w:p w14:paraId="4E9145F1">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第十</w:t>
      </w:r>
      <w:r>
        <w:rPr>
          <w:rFonts w:hint="eastAsia" w:ascii="宋体" w:hAnsi="宋体" w:cs="宋体"/>
          <w:b/>
          <w:bCs w:val="0"/>
          <w:color w:val="auto"/>
          <w:szCs w:val="21"/>
          <w:highlight w:val="none"/>
          <w:lang w:eastAsia="zh-CN"/>
        </w:rPr>
        <w:t>五</w:t>
      </w:r>
      <w:r>
        <w:rPr>
          <w:rFonts w:hint="eastAsia" w:ascii="宋体" w:hAnsi="宋体" w:cs="宋体"/>
          <w:b/>
          <w:bCs w:val="0"/>
          <w:color w:val="auto"/>
          <w:szCs w:val="21"/>
          <w:highlight w:val="none"/>
        </w:rPr>
        <w:t>条  不可抗力事件处理</w:t>
      </w:r>
    </w:p>
    <w:p w14:paraId="0DA7FD3C">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在合同有效期内，任何一方因不可抗力事件导致不能履行合同，则合同履行期可延长，其延长期与不可抗力影响期相同。</w:t>
      </w:r>
    </w:p>
    <w:p w14:paraId="7B2BD4E5">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不可抗力事件发生后，应立即通知对方，并寄送有关权威机构出具的证明。</w:t>
      </w:r>
    </w:p>
    <w:p w14:paraId="405B7BEE">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不可抗力事件延续一百二十天以上，双方应通过友好协商，确定是否继续履行合同。</w:t>
      </w:r>
    </w:p>
    <w:p w14:paraId="58F362B0">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第十</w:t>
      </w:r>
      <w:r>
        <w:rPr>
          <w:rFonts w:hint="eastAsia" w:ascii="宋体" w:hAnsi="宋体" w:cs="宋体"/>
          <w:b/>
          <w:bCs w:val="0"/>
          <w:color w:val="auto"/>
          <w:szCs w:val="21"/>
          <w:highlight w:val="none"/>
          <w:lang w:eastAsia="zh-CN"/>
        </w:rPr>
        <w:t>六</w:t>
      </w:r>
      <w:r>
        <w:rPr>
          <w:rFonts w:hint="eastAsia" w:ascii="宋体" w:hAnsi="宋体" w:cs="宋体"/>
          <w:b/>
          <w:bCs w:val="0"/>
          <w:color w:val="auto"/>
          <w:szCs w:val="21"/>
          <w:highlight w:val="none"/>
        </w:rPr>
        <w:t>条  合同争议解决</w:t>
      </w:r>
    </w:p>
    <w:p w14:paraId="7403BA0F">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因货物质量问题发生争议的，应邀请国家认可的质量检测机构对货物质量进行鉴定。货物符合标准的，鉴定费由甲方承担；货物不符合标准的，鉴定费由乙方承担。</w:t>
      </w:r>
    </w:p>
    <w:p w14:paraId="786B2388">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因履行本合同引起的或与本合同有关的争议，甲乙双方应首先通过友好协商解决，如果协商不能解决，可向甲方所在地人民法院提起诉讼。</w:t>
      </w:r>
    </w:p>
    <w:p w14:paraId="65DC0BC2">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第十</w:t>
      </w:r>
      <w:r>
        <w:rPr>
          <w:rFonts w:hint="eastAsia" w:ascii="宋体" w:hAnsi="宋体" w:cs="宋体"/>
          <w:b/>
          <w:bCs w:val="0"/>
          <w:color w:val="auto"/>
          <w:szCs w:val="21"/>
          <w:highlight w:val="none"/>
          <w:lang w:eastAsia="zh-CN"/>
        </w:rPr>
        <w:t>七</w:t>
      </w:r>
      <w:r>
        <w:rPr>
          <w:rFonts w:hint="eastAsia" w:ascii="宋体" w:hAnsi="宋体" w:cs="宋体"/>
          <w:b/>
          <w:bCs w:val="0"/>
          <w:color w:val="auto"/>
          <w:szCs w:val="21"/>
          <w:highlight w:val="none"/>
        </w:rPr>
        <w:t>条  合同生效及其它</w:t>
      </w:r>
    </w:p>
    <w:p w14:paraId="61DB1AD1">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合同经双方法定代表人或授权代表签字并加盖单位公章或合同专用章后，以最终签订日期为生效日期。</w:t>
      </w:r>
    </w:p>
    <w:p w14:paraId="72D4814B">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合同执行中涉及采购资金和采购内容修改或补充的，须经合同双方协商一致签订补充协议后作为主合同不可分割的一部分。</w:t>
      </w:r>
    </w:p>
    <w:p w14:paraId="5998E6E4">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本合同未尽事宜，遵照《中华人民共和国民法典》有关条文执行。</w:t>
      </w:r>
    </w:p>
    <w:p w14:paraId="341079E6">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第十</w:t>
      </w:r>
      <w:r>
        <w:rPr>
          <w:rFonts w:hint="eastAsia" w:ascii="宋体" w:hAnsi="宋体" w:cs="宋体"/>
          <w:b/>
          <w:bCs w:val="0"/>
          <w:color w:val="auto"/>
          <w:szCs w:val="21"/>
          <w:highlight w:val="none"/>
          <w:lang w:eastAsia="zh-CN"/>
        </w:rPr>
        <w:t>八</w:t>
      </w:r>
      <w:r>
        <w:rPr>
          <w:rFonts w:hint="eastAsia" w:ascii="宋体" w:hAnsi="宋体" w:cs="宋体"/>
          <w:b/>
          <w:bCs w:val="0"/>
          <w:color w:val="auto"/>
          <w:szCs w:val="21"/>
          <w:highlight w:val="none"/>
        </w:rPr>
        <w:t>条　合同的变更、终止与转让</w:t>
      </w:r>
    </w:p>
    <w:p w14:paraId="6D722169">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本合同一经签订，甲乙双方不得擅自变更、中止或终止。</w:t>
      </w:r>
    </w:p>
    <w:p w14:paraId="78BCF165">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乙方不得擅自转让（无进口资格的供应商委托进口货物除外）其应履行的合同义务。</w:t>
      </w:r>
    </w:p>
    <w:p w14:paraId="2998617C">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合同执行中涉及采购资金和采购内容修改或补充的，须经双方协商一致，</w:t>
      </w:r>
      <w:r>
        <w:rPr>
          <w:rFonts w:hint="eastAsia" w:ascii="宋体" w:hAnsi="宋体" w:cs="宋体"/>
          <w:b w:val="0"/>
          <w:bCs/>
          <w:color w:val="auto"/>
          <w:szCs w:val="21"/>
          <w:highlight w:val="none"/>
          <w:lang w:eastAsia="zh-CN"/>
        </w:rPr>
        <w:t>并签订书面补充协议</w:t>
      </w:r>
      <w:r>
        <w:rPr>
          <w:rFonts w:hint="eastAsia" w:ascii="宋体" w:hAnsi="宋体" w:cs="宋体"/>
          <w:b w:val="0"/>
          <w:bCs/>
          <w:color w:val="auto"/>
          <w:szCs w:val="21"/>
          <w:highlight w:val="none"/>
        </w:rPr>
        <w:t>，方可作为主合同不可分割的一部分。</w:t>
      </w:r>
    </w:p>
    <w:p w14:paraId="4E181A61">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本合同未尽事宜，遵照《中华人民共和国民法典》有关条文执行。</w:t>
      </w:r>
    </w:p>
    <w:p w14:paraId="77130EED">
      <w:pPr>
        <w:spacing w:line="360" w:lineRule="auto"/>
        <w:ind w:firstLine="422" w:firstLineChars="200"/>
        <w:rPr>
          <w:rFonts w:hint="eastAsia" w:ascii="宋体" w:hAnsi="宋体" w:cs="宋体"/>
          <w:b w:val="0"/>
          <w:bCs/>
          <w:color w:val="auto"/>
          <w:szCs w:val="21"/>
          <w:highlight w:val="none"/>
        </w:rPr>
      </w:pPr>
      <w:r>
        <w:rPr>
          <w:rFonts w:hint="eastAsia" w:ascii="宋体" w:hAnsi="宋体" w:cs="宋体"/>
          <w:b/>
          <w:bCs w:val="0"/>
          <w:color w:val="auto"/>
          <w:szCs w:val="21"/>
          <w:highlight w:val="none"/>
        </w:rPr>
        <w:t>第</w:t>
      </w:r>
      <w:r>
        <w:rPr>
          <w:rFonts w:hint="eastAsia" w:ascii="宋体" w:hAnsi="宋体" w:cs="宋体"/>
          <w:b/>
          <w:bCs w:val="0"/>
          <w:color w:val="auto"/>
          <w:szCs w:val="21"/>
          <w:highlight w:val="none"/>
          <w:lang w:eastAsia="zh-CN"/>
        </w:rPr>
        <w:t>十九</w:t>
      </w:r>
      <w:r>
        <w:rPr>
          <w:rFonts w:hint="eastAsia" w:ascii="宋体" w:hAnsi="宋体" w:cs="宋体"/>
          <w:b/>
          <w:bCs w:val="0"/>
          <w:color w:val="auto"/>
          <w:szCs w:val="21"/>
          <w:highlight w:val="none"/>
        </w:rPr>
        <w:t>条　签订本合同依据</w:t>
      </w:r>
    </w:p>
    <w:p w14:paraId="04C227D9">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竞争性谈判</w:t>
      </w:r>
      <w:r>
        <w:rPr>
          <w:rFonts w:hint="eastAsia" w:ascii="宋体" w:hAnsi="宋体" w:cs="宋体"/>
          <w:b w:val="0"/>
          <w:bCs/>
          <w:color w:val="auto"/>
          <w:szCs w:val="21"/>
          <w:highlight w:val="none"/>
        </w:rPr>
        <w:t>文件；</w:t>
      </w:r>
    </w:p>
    <w:p w14:paraId="73DE9793">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乙方提供的</w:t>
      </w:r>
      <w:r>
        <w:rPr>
          <w:rFonts w:hint="eastAsia" w:ascii="宋体" w:hAnsi="宋体" w:cs="宋体"/>
          <w:b w:val="0"/>
          <w:bCs/>
          <w:color w:val="auto"/>
          <w:szCs w:val="21"/>
          <w:highlight w:val="none"/>
          <w:lang w:val="en-US" w:eastAsia="zh-CN"/>
        </w:rPr>
        <w:t>响应</w:t>
      </w:r>
      <w:r>
        <w:rPr>
          <w:rFonts w:hint="eastAsia" w:ascii="宋体" w:hAnsi="宋体" w:cs="宋体"/>
          <w:b w:val="0"/>
          <w:bCs/>
          <w:color w:val="auto"/>
          <w:szCs w:val="21"/>
          <w:highlight w:val="none"/>
        </w:rPr>
        <w:t>文件。</w:t>
      </w:r>
    </w:p>
    <w:p w14:paraId="551E06EE">
      <w:pPr>
        <w:spacing w:line="360" w:lineRule="auto"/>
        <w:ind w:firstLine="422" w:firstLineChars="200"/>
        <w:rPr>
          <w:rFonts w:ascii="宋体" w:hAnsi="宋体" w:cs="宋体"/>
          <w:color w:val="auto"/>
          <w:szCs w:val="21"/>
          <w:highlight w:val="none"/>
        </w:rPr>
      </w:pPr>
      <w:r>
        <w:rPr>
          <w:rFonts w:hint="eastAsia" w:ascii="宋体" w:hAnsi="宋体" w:cs="宋体"/>
          <w:b/>
          <w:bCs w:val="0"/>
          <w:color w:val="auto"/>
          <w:szCs w:val="21"/>
          <w:highlight w:val="none"/>
        </w:rPr>
        <w:t>第二十条</w:t>
      </w:r>
      <w:r>
        <w:rPr>
          <w:rFonts w:hint="eastAsia" w:ascii="宋体" w:hAnsi="宋体" w:cs="宋体"/>
          <w:b w:val="0"/>
          <w:bCs/>
          <w:color w:val="auto"/>
          <w:szCs w:val="21"/>
          <w:highlight w:val="none"/>
        </w:rPr>
        <w:t>　本合同一式</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u w:val="single"/>
          <w:lang w:val="en-US" w:eastAsia="zh-CN"/>
        </w:rPr>
        <w:t>六</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份，甲方执</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u w:val="single"/>
          <w:lang w:val="en-US" w:eastAsia="zh-CN"/>
        </w:rPr>
        <w:t>三</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份，</w:t>
      </w:r>
      <w:r>
        <w:rPr>
          <w:rFonts w:hint="eastAsia" w:ascii="宋体" w:hAnsi="宋体" w:cs="宋体"/>
          <w:b w:val="0"/>
          <w:bCs/>
          <w:color w:val="auto"/>
          <w:szCs w:val="21"/>
          <w:highlight w:val="none"/>
          <w:lang w:val="en-US" w:eastAsia="zh-CN"/>
        </w:rPr>
        <w:t>乙</w:t>
      </w:r>
      <w:r>
        <w:rPr>
          <w:rFonts w:hint="eastAsia" w:ascii="宋体" w:hAnsi="宋体" w:cs="宋体"/>
          <w:b w:val="0"/>
          <w:bCs/>
          <w:color w:val="auto"/>
          <w:szCs w:val="21"/>
          <w:highlight w:val="none"/>
        </w:rPr>
        <w:t>方执</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u w:val="single"/>
          <w:lang w:val="en-US" w:eastAsia="zh-CN"/>
        </w:rPr>
        <w:t>二</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份</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采购代理机构存档一份，具有同等法律效力。（可根据需要另增加）。</w:t>
      </w:r>
    </w:p>
    <w:tbl>
      <w:tblPr>
        <w:tblStyle w:val="27"/>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F05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7BFCC8A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甲方：（章）</w:t>
            </w:r>
          </w:p>
          <w:p w14:paraId="2BA99F1B">
            <w:pPr>
              <w:snapToGrid w:val="0"/>
              <w:spacing w:line="360" w:lineRule="auto"/>
              <w:rPr>
                <w:rFonts w:ascii="宋体" w:hAnsi="宋体" w:cs="宋体"/>
                <w:color w:val="auto"/>
                <w:szCs w:val="21"/>
                <w:highlight w:val="none"/>
              </w:rPr>
            </w:pPr>
          </w:p>
          <w:p w14:paraId="2549A7C0">
            <w:pPr>
              <w:snapToGrid w:val="0"/>
              <w:spacing w:line="360" w:lineRule="auto"/>
              <w:rPr>
                <w:rFonts w:ascii="宋体" w:hAnsi="宋体" w:cs="宋体"/>
                <w:color w:val="auto"/>
                <w:szCs w:val="21"/>
                <w:highlight w:val="none"/>
              </w:rPr>
            </w:pPr>
          </w:p>
          <w:p w14:paraId="15B53B88">
            <w:pPr>
              <w:snapToGrid w:val="0"/>
              <w:spacing w:line="360" w:lineRule="auto"/>
              <w:ind w:firstLine="945" w:firstLineChars="450"/>
              <w:jc w:val="right"/>
              <w:rPr>
                <w:rFonts w:ascii="宋体" w:hAnsi="宋体" w:cs="宋体"/>
                <w:color w:val="auto"/>
                <w:szCs w:val="21"/>
                <w:highlight w:val="none"/>
              </w:rPr>
            </w:pPr>
          </w:p>
          <w:p w14:paraId="64B98E85">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3D9D746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5C87AFCB">
            <w:pPr>
              <w:snapToGrid w:val="0"/>
              <w:spacing w:line="360" w:lineRule="auto"/>
              <w:rPr>
                <w:rFonts w:ascii="宋体" w:hAnsi="宋体" w:cs="宋体"/>
                <w:color w:val="auto"/>
                <w:szCs w:val="21"/>
                <w:highlight w:val="none"/>
              </w:rPr>
            </w:pPr>
          </w:p>
          <w:p w14:paraId="5C6FDBC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4A505E9A">
            <w:pPr>
              <w:snapToGrid w:val="0"/>
              <w:spacing w:line="360" w:lineRule="auto"/>
              <w:jc w:val="right"/>
              <w:rPr>
                <w:rFonts w:ascii="宋体" w:hAnsi="宋体" w:cs="宋体"/>
                <w:color w:val="auto"/>
                <w:szCs w:val="21"/>
                <w:highlight w:val="none"/>
              </w:rPr>
            </w:pPr>
          </w:p>
          <w:p w14:paraId="084A21F3">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D23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28CA8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0916DCD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6431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F95476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7CE1241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6154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9C975B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20B52B8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66F8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B0DA39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5548DAA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5B5A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94B394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55E2080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6E76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641D08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5EA742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3084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46BF9E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7D5E94F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6E88E37C">
      <w:pPr>
        <w:snapToGrid w:val="0"/>
        <w:spacing w:line="360" w:lineRule="auto"/>
        <w:ind w:firstLine="422"/>
        <w:rPr>
          <w:rFonts w:ascii="宋体" w:hAnsi="宋体" w:cs="Courier New"/>
          <w:b/>
          <w:color w:val="auto"/>
          <w:szCs w:val="21"/>
          <w:highlight w:val="none"/>
        </w:rPr>
      </w:pPr>
    </w:p>
    <w:p w14:paraId="148BFD7E">
      <w:pPr>
        <w:jc w:val="center"/>
        <w:rPr>
          <w:color w:val="auto"/>
          <w:sz w:val="24"/>
          <w:highlight w:val="none"/>
        </w:rPr>
      </w:pPr>
      <w:r>
        <w:rPr>
          <w:color w:val="auto"/>
          <w:highlight w:val="none"/>
        </w:rPr>
        <w:br w:type="page"/>
      </w:r>
      <w:bookmarkStart w:id="46" w:name="_Toc71365305"/>
      <w:r>
        <w:rPr>
          <w:rFonts w:hint="eastAsia"/>
          <w:color w:val="auto"/>
          <w:sz w:val="24"/>
          <w:highlight w:val="none"/>
        </w:rPr>
        <w:t>合 同 附 件</w:t>
      </w:r>
      <w:bookmarkEnd w:id="46"/>
    </w:p>
    <w:p w14:paraId="59887E8C">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一般货物类</w:t>
      </w:r>
    </w:p>
    <w:tbl>
      <w:tblPr>
        <w:tblStyle w:val="27"/>
        <w:tblW w:w="0" w:type="auto"/>
        <w:jc w:val="center"/>
        <w:tblLayout w:type="fixed"/>
        <w:tblCellMar>
          <w:top w:w="0" w:type="dxa"/>
          <w:left w:w="108" w:type="dxa"/>
          <w:bottom w:w="0" w:type="dxa"/>
          <w:right w:w="108" w:type="dxa"/>
        </w:tblCellMar>
      </w:tblPr>
      <w:tblGrid>
        <w:gridCol w:w="4263"/>
        <w:gridCol w:w="4259"/>
      </w:tblGrid>
      <w:tr w14:paraId="120E94B1">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14:paraId="646BAE67">
            <w:pPr>
              <w:snapToGrid w:val="0"/>
              <w:spacing w:line="360" w:lineRule="auto"/>
              <w:ind w:firstLine="482"/>
              <w:rPr>
                <w:rFonts w:ascii="宋体" w:hAnsi="宋体"/>
                <w:b/>
                <w:color w:val="auto"/>
                <w:sz w:val="24"/>
                <w:highlight w:val="none"/>
              </w:rPr>
            </w:pPr>
            <w:r>
              <w:rPr>
                <w:rFonts w:hint="eastAsia" w:ascii="宋体" w:hAnsi="宋体"/>
                <w:b/>
                <w:color w:val="auto"/>
                <w:sz w:val="24"/>
                <w:highlight w:val="none"/>
              </w:rPr>
              <w:t>1. 供应商承诺具体事项：</w:t>
            </w:r>
          </w:p>
        </w:tc>
      </w:tr>
      <w:tr w14:paraId="26127E6D">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14:paraId="546AF3A9">
            <w:pPr>
              <w:snapToGrid w:val="0"/>
              <w:spacing w:line="360" w:lineRule="auto"/>
              <w:ind w:firstLine="482"/>
              <w:rPr>
                <w:rFonts w:ascii="宋体" w:hAnsi="宋体"/>
                <w:b/>
                <w:color w:val="auto"/>
                <w:sz w:val="24"/>
                <w:highlight w:val="none"/>
              </w:rPr>
            </w:pPr>
            <w:r>
              <w:rPr>
                <w:rFonts w:hint="eastAsia" w:ascii="宋体" w:hAnsi="宋体"/>
                <w:b/>
                <w:color w:val="auto"/>
                <w:sz w:val="24"/>
                <w:highlight w:val="none"/>
              </w:rPr>
              <w:t>2. 售后服务具体事项：</w:t>
            </w:r>
          </w:p>
        </w:tc>
      </w:tr>
      <w:tr w14:paraId="544E5D1D">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14:paraId="2E88E1E2">
            <w:pPr>
              <w:snapToGrid w:val="0"/>
              <w:spacing w:line="360" w:lineRule="auto"/>
              <w:ind w:firstLine="482"/>
              <w:rPr>
                <w:rFonts w:ascii="宋体" w:hAnsi="宋体"/>
                <w:b/>
                <w:color w:val="auto"/>
                <w:sz w:val="24"/>
                <w:highlight w:val="none"/>
              </w:rPr>
            </w:pPr>
            <w:r>
              <w:rPr>
                <w:rFonts w:hint="eastAsia" w:ascii="宋体" w:hAnsi="宋体"/>
                <w:b/>
                <w:color w:val="auto"/>
                <w:sz w:val="24"/>
                <w:highlight w:val="none"/>
              </w:rPr>
              <w:t>3. 质保期责任：</w:t>
            </w:r>
          </w:p>
        </w:tc>
      </w:tr>
      <w:tr w14:paraId="6D1BC1DD">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14:paraId="5D56FC59">
            <w:pPr>
              <w:snapToGrid w:val="0"/>
              <w:spacing w:line="360" w:lineRule="auto"/>
              <w:ind w:firstLine="482"/>
              <w:rPr>
                <w:rFonts w:ascii="宋体" w:hAnsi="宋体"/>
                <w:b/>
                <w:color w:val="auto"/>
                <w:sz w:val="24"/>
                <w:highlight w:val="none"/>
              </w:rPr>
            </w:pPr>
            <w:r>
              <w:rPr>
                <w:rFonts w:hint="eastAsia" w:ascii="宋体" w:hAnsi="宋体"/>
                <w:b/>
                <w:color w:val="auto"/>
                <w:sz w:val="24"/>
                <w:highlight w:val="none"/>
              </w:rPr>
              <w:t>4. 其他具体事项：</w:t>
            </w:r>
          </w:p>
        </w:tc>
      </w:tr>
      <w:tr w14:paraId="420C8A5B">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5CE92BD3">
            <w:pPr>
              <w:snapToGrid w:val="0"/>
              <w:spacing w:line="360" w:lineRule="auto"/>
              <w:ind w:firstLine="482"/>
              <w:rPr>
                <w:rFonts w:ascii="宋体" w:hAnsi="宋体"/>
                <w:b/>
                <w:color w:val="auto"/>
                <w:sz w:val="24"/>
                <w:highlight w:val="none"/>
              </w:rPr>
            </w:pPr>
            <w:r>
              <w:rPr>
                <w:rFonts w:hint="eastAsia" w:ascii="宋体" w:hAnsi="宋体"/>
                <w:b/>
                <w:color w:val="auto"/>
                <w:sz w:val="24"/>
                <w:highlight w:val="none"/>
              </w:rPr>
              <w:t>甲方（章）</w:t>
            </w:r>
          </w:p>
          <w:p w14:paraId="78433742">
            <w:pPr>
              <w:snapToGrid w:val="0"/>
              <w:spacing w:line="360" w:lineRule="auto"/>
              <w:ind w:firstLine="482" w:firstLineChars="200"/>
              <w:rPr>
                <w:rFonts w:ascii="宋体" w:hAnsi="宋体"/>
                <w:b/>
                <w:color w:val="auto"/>
                <w:sz w:val="24"/>
                <w:highlight w:val="none"/>
              </w:rPr>
            </w:pPr>
          </w:p>
          <w:p w14:paraId="45ABD79C">
            <w:pPr>
              <w:snapToGrid w:val="0"/>
              <w:spacing w:line="360" w:lineRule="auto"/>
              <w:ind w:firstLine="482"/>
              <w:rPr>
                <w:rFonts w:ascii="宋体" w:hAnsi="宋体"/>
                <w:b/>
                <w:color w:val="auto"/>
                <w:sz w:val="24"/>
                <w:highlight w:val="none"/>
              </w:rPr>
            </w:pPr>
          </w:p>
          <w:p w14:paraId="6C7B6698">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14:paraId="551BB6C6">
            <w:pPr>
              <w:snapToGrid w:val="0"/>
              <w:spacing w:line="360" w:lineRule="auto"/>
              <w:ind w:firstLine="482"/>
              <w:rPr>
                <w:rFonts w:ascii="宋体" w:hAnsi="宋体"/>
                <w:b/>
                <w:color w:val="auto"/>
                <w:sz w:val="24"/>
                <w:highlight w:val="none"/>
              </w:rPr>
            </w:pPr>
            <w:r>
              <w:rPr>
                <w:rFonts w:hint="eastAsia" w:ascii="宋体" w:hAnsi="宋体"/>
                <w:b/>
                <w:color w:val="auto"/>
                <w:sz w:val="24"/>
                <w:highlight w:val="none"/>
              </w:rPr>
              <w:t>乙方（章）</w:t>
            </w:r>
          </w:p>
          <w:p w14:paraId="233FB6F4">
            <w:pPr>
              <w:snapToGrid w:val="0"/>
              <w:spacing w:line="360" w:lineRule="auto"/>
              <w:ind w:firstLine="482" w:firstLineChars="200"/>
              <w:rPr>
                <w:rFonts w:ascii="宋体" w:hAnsi="宋体"/>
                <w:b/>
                <w:color w:val="auto"/>
                <w:sz w:val="24"/>
                <w:highlight w:val="none"/>
              </w:rPr>
            </w:pPr>
          </w:p>
          <w:p w14:paraId="5E5A6D21">
            <w:pPr>
              <w:snapToGrid w:val="0"/>
              <w:spacing w:line="360" w:lineRule="auto"/>
              <w:ind w:firstLine="482"/>
              <w:rPr>
                <w:rFonts w:ascii="宋体" w:hAnsi="宋体"/>
                <w:b/>
                <w:color w:val="auto"/>
                <w:sz w:val="24"/>
                <w:highlight w:val="none"/>
              </w:rPr>
            </w:pPr>
          </w:p>
          <w:p w14:paraId="4E19778F">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                 年   月   日</w:t>
            </w:r>
          </w:p>
        </w:tc>
      </w:tr>
    </w:tbl>
    <w:p w14:paraId="5644713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注：售后服务事项填不下时可另加附页</w:t>
      </w:r>
    </w:p>
    <w:bookmarkEnd w:id="44"/>
    <w:p w14:paraId="74CD744B">
      <w:pPr>
        <w:snapToGrid w:val="0"/>
        <w:spacing w:line="360" w:lineRule="auto"/>
        <w:rPr>
          <w:rFonts w:hint="eastAsia" w:ascii="宋体" w:hAnsi="宋体" w:cs="宋体"/>
          <w:color w:val="auto"/>
          <w:sz w:val="24"/>
          <w:highlight w:val="none"/>
        </w:rPr>
      </w:pPr>
    </w:p>
    <w:sectPr>
      <w:footerReference r:id="rId11" w:type="first"/>
      <w:footerReference r:id="rId10" w:type="default"/>
      <w:pgSz w:w="11905" w:h="16838"/>
      <w:pgMar w:top="1417" w:right="1417" w:bottom="1417" w:left="1417" w:header="850"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F2653F0-26F1-4812-B515-C49D5EC17FE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72C2A361-2629-4800-B415-646DA143515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1F236E6-3A41-48C6-9FD4-9F72736C16B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7FFAEFF" w:usb1="F9DFFFFF" w:usb2="0000007F" w:usb3="00000000" w:csb0="203F01FF" w:csb1="DFFF0000"/>
    <w:embedRegular r:id="rId4" w:fontKey="{B0A52FBD-C506-4234-9560-FBD663F3060A}"/>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C4EED344-B943-45A9-8DF7-60BFC90A0564}"/>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6" w:fontKey="{D7C6C8A6-29F5-4B3C-ADF7-C0F54C7E11AA}"/>
  </w:font>
  <w:font w:name="方正小标宋简体">
    <w:panose1 w:val="03000509000000000000"/>
    <w:charset w:val="86"/>
    <w:family w:val="auto"/>
    <w:pitch w:val="default"/>
    <w:sig w:usb0="00000001" w:usb1="080E0000" w:usb2="00000000" w:usb3="00000000" w:csb0="00040000" w:csb1="00000000"/>
    <w:embedRegular r:id="rId7" w:fontKey="{59B3F45C-6730-43D2-B1A1-0997EA47C7B8}"/>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7FFAEFF" w:usb1="F9DFFFFF" w:usb2="0000007F" w:usb3="00000000" w:csb0="203F01FF" w:csb1="DFFF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74CC">
    <w:pPr>
      <w:pStyle w:val="18"/>
      <w:framePr w:wrap="around" w:vAnchor="text" w:hAnchor="margin" w:xAlign="center" w:y="1"/>
      <w:jc w:val="center"/>
      <w:rPr>
        <w:rStyle w:val="30"/>
      </w:rPr>
    </w:pPr>
    <w:r>
      <w:fldChar w:fldCharType="begin"/>
    </w:r>
    <w:r>
      <w:rPr>
        <w:rStyle w:val="30"/>
      </w:rPr>
      <w:instrText xml:space="preserve">PAGE  </w:instrText>
    </w:r>
    <w:r>
      <w:fldChar w:fldCharType="separate"/>
    </w:r>
    <w:r>
      <w:rPr>
        <w:rStyle w:val="30"/>
      </w:rPr>
      <w:t>27</w:t>
    </w:r>
    <w:r>
      <w:fldChar w:fldCharType="end"/>
    </w:r>
  </w:p>
  <w:p w14:paraId="1EB0982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3D2A">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14:paraId="3CDF99C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BA697">
    <w:pPr>
      <w:pStyle w:val="18"/>
      <w:jc w:val="center"/>
    </w:pPr>
    <w:r>
      <w:fldChar w:fldCharType="begin"/>
    </w:r>
    <w:r>
      <w:instrText xml:space="preserve"> PAGE   \* MERGEFORMAT </w:instrText>
    </w:r>
    <w:r>
      <w:fldChar w:fldCharType="separate"/>
    </w:r>
    <w:r>
      <w:rPr>
        <w:lang w:val="zh-CN"/>
      </w:rPr>
      <w:t>28</w:t>
    </w:r>
    <w:r>
      <w:fldChar w:fldCharType="end"/>
    </w:r>
  </w:p>
  <w:p w14:paraId="6F24FC3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410A">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3107">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73D3107">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36BDE">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1F004">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A1F004">
                    <w:pPr>
                      <w:pStyle w:val="1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2DF2">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75F95">
                          <w:pPr>
                            <w:pStyle w:val="18"/>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4xfsUBAACQ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7uMX7FAQAAkAMAAA4AAAAAAAAAAQAgAAAAHgEAAGRycy9lMm9Eb2MueG1s&#10;UEsFBgAAAAAGAAYAWQEAAFUFAAAAAA==&#10;">
              <v:fill on="f" focussize="0,0"/>
              <v:stroke on="f"/>
              <v:imagedata o:title=""/>
              <o:lock v:ext="edit" aspectratio="f"/>
              <v:textbox inset="0mm,0mm,0mm,0mm" style="mso-fit-shape-to-text:t;">
                <w:txbxContent>
                  <w:p w14:paraId="0B675F95">
                    <w:pPr>
                      <w:pStyle w:val="18"/>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414E">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7E98">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DBAB">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BFBBA24"/>
    <w:multiLevelType w:val="singleLevel"/>
    <w:tmpl w:val="4BFBBA24"/>
    <w:lvl w:ilvl="0" w:tentative="0">
      <w:start w:val="5"/>
      <w:numFmt w:val="decimal"/>
      <w:suff w:val="nothing"/>
      <w:lvlText w:val="（%1）"/>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ODg2ZGY0YzJhZGM4ZTBiOTg1ZTA2N2MwOWZmZDMifQ=="/>
  </w:docVars>
  <w:rsids>
    <w:rsidRoot w:val="00F34B14"/>
    <w:rsid w:val="00000672"/>
    <w:rsid w:val="00001799"/>
    <w:rsid w:val="000022D9"/>
    <w:rsid w:val="00002D29"/>
    <w:rsid w:val="000040C5"/>
    <w:rsid w:val="00004A8A"/>
    <w:rsid w:val="0000574C"/>
    <w:rsid w:val="00005B07"/>
    <w:rsid w:val="00005E55"/>
    <w:rsid w:val="00005FDF"/>
    <w:rsid w:val="00006586"/>
    <w:rsid w:val="000065BA"/>
    <w:rsid w:val="0001045D"/>
    <w:rsid w:val="00010D39"/>
    <w:rsid w:val="000112BB"/>
    <w:rsid w:val="0001149B"/>
    <w:rsid w:val="0001172C"/>
    <w:rsid w:val="00012854"/>
    <w:rsid w:val="00012EA6"/>
    <w:rsid w:val="000139DC"/>
    <w:rsid w:val="00013D8C"/>
    <w:rsid w:val="00013DFE"/>
    <w:rsid w:val="00013F03"/>
    <w:rsid w:val="000141EA"/>
    <w:rsid w:val="00014385"/>
    <w:rsid w:val="000159F6"/>
    <w:rsid w:val="00016960"/>
    <w:rsid w:val="00017396"/>
    <w:rsid w:val="000177DB"/>
    <w:rsid w:val="00020227"/>
    <w:rsid w:val="000203E4"/>
    <w:rsid w:val="00020455"/>
    <w:rsid w:val="00022731"/>
    <w:rsid w:val="00022792"/>
    <w:rsid w:val="000242CE"/>
    <w:rsid w:val="00025382"/>
    <w:rsid w:val="00025636"/>
    <w:rsid w:val="00025E36"/>
    <w:rsid w:val="00026627"/>
    <w:rsid w:val="00026886"/>
    <w:rsid w:val="00030496"/>
    <w:rsid w:val="000329E0"/>
    <w:rsid w:val="000333A0"/>
    <w:rsid w:val="000352E9"/>
    <w:rsid w:val="00036A07"/>
    <w:rsid w:val="00036E33"/>
    <w:rsid w:val="00037363"/>
    <w:rsid w:val="00037E2D"/>
    <w:rsid w:val="00040571"/>
    <w:rsid w:val="0004156E"/>
    <w:rsid w:val="00041597"/>
    <w:rsid w:val="0004440C"/>
    <w:rsid w:val="00044AD7"/>
    <w:rsid w:val="00045880"/>
    <w:rsid w:val="000462CB"/>
    <w:rsid w:val="00046B5E"/>
    <w:rsid w:val="0004783A"/>
    <w:rsid w:val="00050968"/>
    <w:rsid w:val="000509D9"/>
    <w:rsid w:val="0005398D"/>
    <w:rsid w:val="000552A6"/>
    <w:rsid w:val="00055D41"/>
    <w:rsid w:val="000569C7"/>
    <w:rsid w:val="00057CEC"/>
    <w:rsid w:val="00060DCE"/>
    <w:rsid w:val="00061A5A"/>
    <w:rsid w:val="000623B4"/>
    <w:rsid w:val="000634A7"/>
    <w:rsid w:val="00063E85"/>
    <w:rsid w:val="00063F81"/>
    <w:rsid w:val="00064847"/>
    <w:rsid w:val="0006484B"/>
    <w:rsid w:val="000673E2"/>
    <w:rsid w:val="000703B6"/>
    <w:rsid w:val="000711E4"/>
    <w:rsid w:val="000719F9"/>
    <w:rsid w:val="0007228C"/>
    <w:rsid w:val="000722D1"/>
    <w:rsid w:val="00072AED"/>
    <w:rsid w:val="00072C34"/>
    <w:rsid w:val="00073F47"/>
    <w:rsid w:val="00075B7E"/>
    <w:rsid w:val="00077C70"/>
    <w:rsid w:val="00080B57"/>
    <w:rsid w:val="00081BA3"/>
    <w:rsid w:val="00081D2E"/>
    <w:rsid w:val="0008267B"/>
    <w:rsid w:val="00082D02"/>
    <w:rsid w:val="000833E9"/>
    <w:rsid w:val="00083B91"/>
    <w:rsid w:val="0008520B"/>
    <w:rsid w:val="000871B8"/>
    <w:rsid w:val="00087DB6"/>
    <w:rsid w:val="000913BE"/>
    <w:rsid w:val="000918F8"/>
    <w:rsid w:val="00092442"/>
    <w:rsid w:val="00094183"/>
    <w:rsid w:val="00095233"/>
    <w:rsid w:val="0009588E"/>
    <w:rsid w:val="000959EE"/>
    <w:rsid w:val="00095B51"/>
    <w:rsid w:val="00097DA0"/>
    <w:rsid w:val="000A0D6B"/>
    <w:rsid w:val="000A1389"/>
    <w:rsid w:val="000A166E"/>
    <w:rsid w:val="000A2B0E"/>
    <w:rsid w:val="000A398F"/>
    <w:rsid w:val="000A509C"/>
    <w:rsid w:val="000A5516"/>
    <w:rsid w:val="000A6007"/>
    <w:rsid w:val="000A65A6"/>
    <w:rsid w:val="000A7275"/>
    <w:rsid w:val="000A7A12"/>
    <w:rsid w:val="000A7CA5"/>
    <w:rsid w:val="000B039A"/>
    <w:rsid w:val="000B1801"/>
    <w:rsid w:val="000B1D0C"/>
    <w:rsid w:val="000B2D03"/>
    <w:rsid w:val="000B3815"/>
    <w:rsid w:val="000B3C7B"/>
    <w:rsid w:val="000B6C95"/>
    <w:rsid w:val="000C0C58"/>
    <w:rsid w:val="000C1679"/>
    <w:rsid w:val="000C2F89"/>
    <w:rsid w:val="000C30BB"/>
    <w:rsid w:val="000C366E"/>
    <w:rsid w:val="000C3B94"/>
    <w:rsid w:val="000C4635"/>
    <w:rsid w:val="000C548E"/>
    <w:rsid w:val="000C5698"/>
    <w:rsid w:val="000C6DE4"/>
    <w:rsid w:val="000C716B"/>
    <w:rsid w:val="000C7C12"/>
    <w:rsid w:val="000D01EB"/>
    <w:rsid w:val="000D056E"/>
    <w:rsid w:val="000D0675"/>
    <w:rsid w:val="000D0A89"/>
    <w:rsid w:val="000D1389"/>
    <w:rsid w:val="000D1798"/>
    <w:rsid w:val="000D1A2A"/>
    <w:rsid w:val="000D2626"/>
    <w:rsid w:val="000D2B7D"/>
    <w:rsid w:val="000D3A1F"/>
    <w:rsid w:val="000D4A06"/>
    <w:rsid w:val="000D73DD"/>
    <w:rsid w:val="000D7D9B"/>
    <w:rsid w:val="000E18E2"/>
    <w:rsid w:val="000E28AB"/>
    <w:rsid w:val="000E28C1"/>
    <w:rsid w:val="000E2E3E"/>
    <w:rsid w:val="000E33C5"/>
    <w:rsid w:val="000E3583"/>
    <w:rsid w:val="000E3AF0"/>
    <w:rsid w:val="000E3D53"/>
    <w:rsid w:val="000E4E04"/>
    <w:rsid w:val="000E684C"/>
    <w:rsid w:val="000E6EC9"/>
    <w:rsid w:val="000E70B4"/>
    <w:rsid w:val="000F0742"/>
    <w:rsid w:val="000F3281"/>
    <w:rsid w:val="000F3733"/>
    <w:rsid w:val="000F4D88"/>
    <w:rsid w:val="000F64AA"/>
    <w:rsid w:val="000F7AF4"/>
    <w:rsid w:val="000F7C33"/>
    <w:rsid w:val="000F7F0C"/>
    <w:rsid w:val="00100246"/>
    <w:rsid w:val="001004D6"/>
    <w:rsid w:val="00100D90"/>
    <w:rsid w:val="00102ECA"/>
    <w:rsid w:val="00103918"/>
    <w:rsid w:val="00104889"/>
    <w:rsid w:val="00104897"/>
    <w:rsid w:val="00104D7E"/>
    <w:rsid w:val="00104EDE"/>
    <w:rsid w:val="00105AA1"/>
    <w:rsid w:val="00106BEE"/>
    <w:rsid w:val="00110339"/>
    <w:rsid w:val="00110C92"/>
    <w:rsid w:val="00113134"/>
    <w:rsid w:val="00113AC0"/>
    <w:rsid w:val="00114851"/>
    <w:rsid w:val="00115E11"/>
    <w:rsid w:val="00115F56"/>
    <w:rsid w:val="00117CBD"/>
    <w:rsid w:val="0012006A"/>
    <w:rsid w:val="00120990"/>
    <w:rsid w:val="001217B5"/>
    <w:rsid w:val="00121979"/>
    <w:rsid w:val="00122064"/>
    <w:rsid w:val="00123B26"/>
    <w:rsid w:val="00125004"/>
    <w:rsid w:val="001263B8"/>
    <w:rsid w:val="00126763"/>
    <w:rsid w:val="00130217"/>
    <w:rsid w:val="00130783"/>
    <w:rsid w:val="00130990"/>
    <w:rsid w:val="001312CB"/>
    <w:rsid w:val="00132B47"/>
    <w:rsid w:val="00132E64"/>
    <w:rsid w:val="001351CB"/>
    <w:rsid w:val="001359A2"/>
    <w:rsid w:val="00135E37"/>
    <w:rsid w:val="00136020"/>
    <w:rsid w:val="00136445"/>
    <w:rsid w:val="00140132"/>
    <w:rsid w:val="00141C9C"/>
    <w:rsid w:val="00142668"/>
    <w:rsid w:val="001434BE"/>
    <w:rsid w:val="00144275"/>
    <w:rsid w:val="0014479F"/>
    <w:rsid w:val="001452B4"/>
    <w:rsid w:val="00146EC6"/>
    <w:rsid w:val="001478D2"/>
    <w:rsid w:val="00151C48"/>
    <w:rsid w:val="00152A87"/>
    <w:rsid w:val="00154486"/>
    <w:rsid w:val="00154663"/>
    <w:rsid w:val="00156D0E"/>
    <w:rsid w:val="00156DD9"/>
    <w:rsid w:val="0016086E"/>
    <w:rsid w:val="00160D0C"/>
    <w:rsid w:val="00161172"/>
    <w:rsid w:val="0016139E"/>
    <w:rsid w:val="00161E65"/>
    <w:rsid w:val="00162597"/>
    <w:rsid w:val="001629AF"/>
    <w:rsid w:val="0016428A"/>
    <w:rsid w:val="001647C9"/>
    <w:rsid w:val="00164837"/>
    <w:rsid w:val="001661A3"/>
    <w:rsid w:val="0016782B"/>
    <w:rsid w:val="00170B05"/>
    <w:rsid w:val="00173256"/>
    <w:rsid w:val="001733E1"/>
    <w:rsid w:val="00173F74"/>
    <w:rsid w:val="00175086"/>
    <w:rsid w:val="00175BA6"/>
    <w:rsid w:val="0017617F"/>
    <w:rsid w:val="00176CA7"/>
    <w:rsid w:val="001778C5"/>
    <w:rsid w:val="00177E56"/>
    <w:rsid w:val="00177F0A"/>
    <w:rsid w:val="00185617"/>
    <w:rsid w:val="00186ADE"/>
    <w:rsid w:val="00187F35"/>
    <w:rsid w:val="00190131"/>
    <w:rsid w:val="0019171E"/>
    <w:rsid w:val="0019220F"/>
    <w:rsid w:val="001928B1"/>
    <w:rsid w:val="00194ED5"/>
    <w:rsid w:val="00195424"/>
    <w:rsid w:val="001955FF"/>
    <w:rsid w:val="00197EDD"/>
    <w:rsid w:val="00197F70"/>
    <w:rsid w:val="001A02B3"/>
    <w:rsid w:val="001A0322"/>
    <w:rsid w:val="001A04BB"/>
    <w:rsid w:val="001A08D0"/>
    <w:rsid w:val="001A14B1"/>
    <w:rsid w:val="001A1B39"/>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25A7"/>
    <w:rsid w:val="001C318C"/>
    <w:rsid w:val="001C38B0"/>
    <w:rsid w:val="001C4287"/>
    <w:rsid w:val="001C4479"/>
    <w:rsid w:val="001C76B7"/>
    <w:rsid w:val="001C76FB"/>
    <w:rsid w:val="001D1165"/>
    <w:rsid w:val="001D2764"/>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1F33"/>
    <w:rsid w:val="001E2B9F"/>
    <w:rsid w:val="001E30C0"/>
    <w:rsid w:val="001E3221"/>
    <w:rsid w:val="001E4A8D"/>
    <w:rsid w:val="001E5A94"/>
    <w:rsid w:val="001E7648"/>
    <w:rsid w:val="001F127B"/>
    <w:rsid w:val="001F15A8"/>
    <w:rsid w:val="001F2A2E"/>
    <w:rsid w:val="001F3B72"/>
    <w:rsid w:val="001F3C63"/>
    <w:rsid w:val="001F43D4"/>
    <w:rsid w:val="001F4460"/>
    <w:rsid w:val="001F5DAF"/>
    <w:rsid w:val="001F637C"/>
    <w:rsid w:val="001F6B6C"/>
    <w:rsid w:val="001F711A"/>
    <w:rsid w:val="001F75B0"/>
    <w:rsid w:val="001F7686"/>
    <w:rsid w:val="0020035F"/>
    <w:rsid w:val="00200CE5"/>
    <w:rsid w:val="002014DB"/>
    <w:rsid w:val="00201E12"/>
    <w:rsid w:val="00202AEC"/>
    <w:rsid w:val="002031E2"/>
    <w:rsid w:val="002033B5"/>
    <w:rsid w:val="0020382C"/>
    <w:rsid w:val="0020437A"/>
    <w:rsid w:val="00204B5F"/>
    <w:rsid w:val="0020532C"/>
    <w:rsid w:val="00205D23"/>
    <w:rsid w:val="0021064F"/>
    <w:rsid w:val="002114C7"/>
    <w:rsid w:val="00212756"/>
    <w:rsid w:val="0021302C"/>
    <w:rsid w:val="00213045"/>
    <w:rsid w:val="00213483"/>
    <w:rsid w:val="00213B1C"/>
    <w:rsid w:val="00214202"/>
    <w:rsid w:val="002146F3"/>
    <w:rsid w:val="002148E3"/>
    <w:rsid w:val="00215373"/>
    <w:rsid w:val="0021552D"/>
    <w:rsid w:val="002156AE"/>
    <w:rsid w:val="002177BD"/>
    <w:rsid w:val="00217861"/>
    <w:rsid w:val="0022054D"/>
    <w:rsid w:val="00220949"/>
    <w:rsid w:val="002225FA"/>
    <w:rsid w:val="0022413B"/>
    <w:rsid w:val="00224DE1"/>
    <w:rsid w:val="002255B2"/>
    <w:rsid w:val="00225664"/>
    <w:rsid w:val="002269DC"/>
    <w:rsid w:val="00227F2D"/>
    <w:rsid w:val="00231851"/>
    <w:rsid w:val="002319FB"/>
    <w:rsid w:val="00231B89"/>
    <w:rsid w:val="00231B8E"/>
    <w:rsid w:val="002355BE"/>
    <w:rsid w:val="00236D82"/>
    <w:rsid w:val="00236DE9"/>
    <w:rsid w:val="00237D5A"/>
    <w:rsid w:val="00241300"/>
    <w:rsid w:val="00241D3C"/>
    <w:rsid w:val="002439AB"/>
    <w:rsid w:val="002450D5"/>
    <w:rsid w:val="00245587"/>
    <w:rsid w:val="00245F2B"/>
    <w:rsid w:val="00246F95"/>
    <w:rsid w:val="00247676"/>
    <w:rsid w:val="00247F3A"/>
    <w:rsid w:val="00250122"/>
    <w:rsid w:val="00250755"/>
    <w:rsid w:val="00250AE3"/>
    <w:rsid w:val="00251C4A"/>
    <w:rsid w:val="0025271C"/>
    <w:rsid w:val="00252A91"/>
    <w:rsid w:val="00252C5C"/>
    <w:rsid w:val="002533CD"/>
    <w:rsid w:val="002544C1"/>
    <w:rsid w:val="00254EAB"/>
    <w:rsid w:val="002557AF"/>
    <w:rsid w:val="00256474"/>
    <w:rsid w:val="002566B1"/>
    <w:rsid w:val="002575E3"/>
    <w:rsid w:val="002603C1"/>
    <w:rsid w:val="002609A1"/>
    <w:rsid w:val="002612B1"/>
    <w:rsid w:val="0026327C"/>
    <w:rsid w:val="00265600"/>
    <w:rsid w:val="00266165"/>
    <w:rsid w:val="0026782A"/>
    <w:rsid w:val="0027125E"/>
    <w:rsid w:val="00271767"/>
    <w:rsid w:val="002718BF"/>
    <w:rsid w:val="002719C1"/>
    <w:rsid w:val="00272293"/>
    <w:rsid w:val="002723C8"/>
    <w:rsid w:val="00273CBE"/>
    <w:rsid w:val="00277594"/>
    <w:rsid w:val="00280240"/>
    <w:rsid w:val="002802D7"/>
    <w:rsid w:val="0028232C"/>
    <w:rsid w:val="002827F1"/>
    <w:rsid w:val="00282EC3"/>
    <w:rsid w:val="002835B0"/>
    <w:rsid w:val="0028407E"/>
    <w:rsid w:val="0028410F"/>
    <w:rsid w:val="002854BF"/>
    <w:rsid w:val="00286603"/>
    <w:rsid w:val="00286A98"/>
    <w:rsid w:val="00286FB5"/>
    <w:rsid w:val="00287763"/>
    <w:rsid w:val="00290606"/>
    <w:rsid w:val="00290F9D"/>
    <w:rsid w:val="002918A7"/>
    <w:rsid w:val="00291D6D"/>
    <w:rsid w:val="00291FF1"/>
    <w:rsid w:val="002923F6"/>
    <w:rsid w:val="00293361"/>
    <w:rsid w:val="00294AE8"/>
    <w:rsid w:val="00295287"/>
    <w:rsid w:val="002952B1"/>
    <w:rsid w:val="00295D11"/>
    <w:rsid w:val="00295FA0"/>
    <w:rsid w:val="00297626"/>
    <w:rsid w:val="00297A7A"/>
    <w:rsid w:val="002A0620"/>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7169"/>
    <w:rsid w:val="002C0C1C"/>
    <w:rsid w:val="002C0F5A"/>
    <w:rsid w:val="002C184E"/>
    <w:rsid w:val="002C28F5"/>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D7AB7"/>
    <w:rsid w:val="002E109C"/>
    <w:rsid w:val="002E115E"/>
    <w:rsid w:val="002E1439"/>
    <w:rsid w:val="002E193E"/>
    <w:rsid w:val="002E1D76"/>
    <w:rsid w:val="002E243C"/>
    <w:rsid w:val="002E26C4"/>
    <w:rsid w:val="002E33E9"/>
    <w:rsid w:val="002E4B37"/>
    <w:rsid w:val="002E4BF9"/>
    <w:rsid w:val="002E6F5B"/>
    <w:rsid w:val="002F16DD"/>
    <w:rsid w:val="002F199D"/>
    <w:rsid w:val="002F23B2"/>
    <w:rsid w:val="002F2558"/>
    <w:rsid w:val="002F4084"/>
    <w:rsid w:val="002F4672"/>
    <w:rsid w:val="002F4A08"/>
    <w:rsid w:val="002F4ADB"/>
    <w:rsid w:val="002F531E"/>
    <w:rsid w:val="002F5ACC"/>
    <w:rsid w:val="002F6C2C"/>
    <w:rsid w:val="002F704B"/>
    <w:rsid w:val="002F72C3"/>
    <w:rsid w:val="002F768C"/>
    <w:rsid w:val="002F7D1E"/>
    <w:rsid w:val="00301839"/>
    <w:rsid w:val="0030273B"/>
    <w:rsid w:val="00302929"/>
    <w:rsid w:val="00302F0F"/>
    <w:rsid w:val="00303243"/>
    <w:rsid w:val="00303BCC"/>
    <w:rsid w:val="00303F2B"/>
    <w:rsid w:val="00303F8D"/>
    <w:rsid w:val="00304541"/>
    <w:rsid w:val="00304580"/>
    <w:rsid w:val="0030586A"/>
    <w:rsid w:val="003074C5"/>
    <w:rsid w:val="00307A3C"/>
    <w:rsid w:val="00307FA4"/>
    <w:rsid w:val="00310CC1"/>
    <w:rsid w:val="00313026"/>
    <w:rsid w:val="00313213"/>
    <w:rsid w:val="0031421F"/>
    <w:rsid w:val="00314B31"/>
    <w:rsid w:val="00314B36"/>
    <w:rsid w:val="00315158"/>
    <w:rsid w:val="00315346"/>
    <w:rsid w:val="00315A65"/>
    <w:rsid w:val="00316E85"/>
    <w:rsid w:val="00317BA7"/>
    <w:rsid w:val="00320BE2"/>
    <w:rsid w:val="00321886"/>
    <w:rsid w:val="00321902"/>
    <w:rsid w:val="00323694"/>
    <w:rsid w:val="00324D63"/>
    <w:rsid w:val="003255AF"/>
    <w:rsid w:val="003256EB"/>
    <w:rsid w:val="003259DB"/>
    <w:rsid w:val="00325F20"/>
    <w:rsid w:val="00326039"/>
    <w:rsid w:val="003267F2"/>
    <w:rsid w:val="003300EA"/>
    <w:rsid w:val="00331A48"/>
    <w:rsid w:val="003330C9"/>
    <w:rsid w:val="0033364C"/>
    <w:rsid w:val="00334415"/>
    <w:rsid w:val="00335460"/>
    <w:rsid w:val="0033691E"/>
    <w:rsid w:val="00336CCB"/>
    <w:rsid w:val="0033745F"/>
    <w:rsid w:val="00337631"/>
    <w:rsid w:val="00337F44"/>
    <w:rsid w:val="003401AC"/>
    <w:rsid w:val="003411D1"/>
    <w:rsid w:val="003416BA"/>
    <w:rsid w:val="00341BD6"/>
    <w:rsid w:val="00342A8A"/>
    <w:rsid w:val="00342F99"/>
    <w:rsid w:val="0034339D"/>
    <w:rsid w:val="00344726"/>
    <w:rsid w:val="003454A4"/>
    <w:rsid w:val="00350E6C"/>
    <w:rsid w:val="003518A6"/>
    <w:rsid w:val="00351E7F"/>
    <w:rsid w:val="003526FD"/>
    <w:rsid w:val="00352953"/>
    <w:rsid w:val="00354062"/>
    <w:rsid w:val="003542B0"/>
    <w:rsid w:val="00355C0D"/>
    <w:rsid w:val="0035622C"/>
    <w:rsid w:val="003566A9"/>
    <w:rsid w:val="00356988"/>
    <w:rsid w:val="00356B20"/>
    <w:rsid w:val="00357128"/>
    <w:rsid w:val="0035755E"/>
    <w:rsid w:val="00357A80"/>
    <w:rsid w:val="00361B8B"/>
    <w:rsid w:val="00363F39"/>
    <w:rsid w:val="00364AB0"/>
    <w:rsid w:val="003664B8"/>
    <w:rsid w:val="003667B0"/>
    <w:rsid w:val="003667DD"/>
    <w:rsid w:val="00366842"/>
    <w:rsid w:val="00366B48"/>
    <w:rsid w:val="00367764"/>
    <w:rsid w:val="00367DFD"/>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5C"/>
    <w:rsid w:val="00380BBE"/>
    <w:rsid w:val="00381D70"/>
    <w:rsid w:val="00382128"/>
    <w:rsid w:val="0038235E"/>
    <w:rsid w:val="003829D0"/>
    <w:rsid w:val="00382FBA"/>
    <w:rsid w:val="0038444F"/>
    <w:rsid w:val="00384E83"/>
    <w:rsid w:val="00385C34"/>
    <w:rsid w:val="00387051"/>
    <w:rsid w:val="00387ECF"/>
    <w:rsid w:val="0039021B"/>
    <w:rsid w:val="00390429"/>
    <w:rsid w:val="0039327C"/>
    <w:rsid w:val="003933A2"/>
    <w:rsid w:val="0039366C"/>
    <w:rsid w:val="003938F3"/>
    <w:rsid w:val="00393C4B"/>
    <w:rsid w:val="00393EC8"/>
    <w:rsid w:val="00395E42"/>
    <w:rsid w:val="00396052"/>
    <w:rsid w:val="00396A2D"/>
    <w:rsid w:val="00396FC3"/>
    <w:rsid w:val="003A1A94"/>
    <w:rsid w:val="003A204E"/>
    <w:rsid w:val="003A2D25"/>
    <w:rsid w:val="003A4DDB"/>
    <w:rsid w:val="003A60E7"/>
    <w:rsid w:val="003B07DF"/>
    <w:rsid w:val="003B0B6A"/>
    <w:rsid w:val="003B0F79"/>
    <w:rsid w:val="003B29CF"/>
    <w:rsid w:val="003B54DF"/>
    <w:rsid w:val="003B6659"/>
    <w:rsid w:val="003B7733"/>
    <w:rsid w:val="003C0166"/>
    <w:rsid w:val="003C21AA"/>
    <w:rsid w:val="003C2B79"/>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7CE8"/>
    <w:rsid w:val="003E1032"/>
    <w:rsid w:val="003E1904"/>
    <w:rsid w:val="003E285E"/>
    <w:rsid w:val="003E3300"/>
    <w:rsid w:val="003E5B89"/>
    <w:rsid w:val="003E6340"/>
    <w:rsid w:val="003E65AC"/>
    <w:rsid w:val="003E6E24"/>
    <w:rsid w:val="003E72B9"/>
    <w:rsid w:val="003E755C"/>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1483"/>
    <w:rsid w:val="00402332"/>
    <w:rsid w:val="004025C2"/>
    <w:rsid w:val="00403E55"/>
    <w:rsid w:val="00404532"/>
    <w:rsid w:val="00404681"/>
    <w:rsid w:val="0040496D"/>
    <w:rsid w:val="00405010"/>
    <w:rsid w:val="0040595A"/>
    <w:rsid w:val="00406923"/>
    <w:rsid w:val="0040713A"/>
    <w:rsid w:val="0040763D"/>
    <w:rsid w:val="004105B0"/>
    <w:rsid w:val="00410EC5"/>
    <w:rsid w:val="00411B1F"/>
    <w:rsid w:val="004133A8"/>
    <w:rsid w:val="00413821"/>
    <w:rsid w:val="00413D43"/>
    <w:rsid w:val="004141A3"/>
    <w:rsid w:val="00414909"/>
    <w:rsid w:val="00415E66"/>
    <w:rsid w:val="00416112"/>
    <w:rsid w:val="00416DF0"/>
    <w:rsid w:val="00417AE0"/>
    <w:rsid w:val="00417BAA"/>
    <w:rsid w:val="00420BA9"/>
    <w:rsid w:val="00420D7A"/>
    <w:rsid w:val="00420D9E"/>
    <w:rsid w:val="004223DE"/>
    <w:rsid w:val="0042293E"/>
    <w:rsid w:val="00422A10"/>
    <w:rsid w:val="00424D17"/>
    <w:rsid w:val="00425DFD"/>
    <w:rsid w:val="004263A3"/>
    <w:rsid w:val="00427713"/>
    <w:rsid w:val="00427CCC"/>
    <w:rsid w:val="00427DB8"/>
    <w:rsid w:val="0043013A"/>
    <w:rsid w:val="00430421"/>
    <w:rsid w:val="00430B4F"/>
    <w:rsid w:val="004314B1"/>
    <w:rsid w:val="00431AD0"/>
    <w:rsid w:val="00431E65"/>
    <w:rsid w:val="00432589"/>
    <w:rsid w:val="00432A94"/>
    <w:rsid w:val="00433827"/>
    <w:rsid w:val="00435041"/>
    <w:rsid w:val="004360C8"/>
    <w:rsid w:val="0044006B"/>
    <w:rsid w:val="0044033F"/>
    <w:rsid w:val="00440630"/>
    <w:rsid w:val="00441123"/>
    <w:rsid w:val="0044127B"/>
    <w:rsid w:val="00442095"/>
    <w:rsid w:val="00442965"/>
    <w:rsid w:val="00444157"/>
    <w:rsid w:val="0044417C"/>
    <w:rsid w:val="00444DB3"/>
    <w:rsid w:val="004452B9"/>
    <w:rsid w:val="00445A2F"/>
    <w:rsid w:val="00446328"/>
    <w:rsid w:val="00446341"/>
    <w:rsid w:val="0044684E"/>
    <w:rsid w:val="004479CA"/>
    <w:rsid w:val="004503A4"/>
    <w:rsid w:val="00450555"/>
    <w:rsid w:val="00450DC6"/>
    <w:rsid w:val="004516A5"/>
    <w:rsid w:val="004535AE"/>
    <w:rsid w:val="00453C42"/>
    <w:rsid w:val="0045463A"/>
    <w:rsid w:val="00454AC9"/>
    <w:rsid w:val="004554A3"/>
    <w:rsid w:val="00455A6E"/>
    <w:rsid w:val="004569CD"/>
    <w:rsid w:val="00456F2B"/>
    <w:rsid w:val="004578EB"/>
    <w:rsid w:val="00460303"/>
    <w:rsid w:val="00460697"/>
    <w:rsid w:val="004609AB"/>
    <w:rsid w:val="0046247F"/>
    <w:rsid w:val="00462593"/>
    <w:rsid w:val="00465EEF"/>
    <w:rsid w:val="00466D03"/>
    <w:rsid w:val="0046711B"/>
    <w:rsid w:val="00467312"/>
    <w:rsid w:val="00471156"/>
    <w:rsid w:val="00472429"/>
    <w:rsid w:val="004725E5"/>
    <w:rsid w:val="004726FE"/>
    <w:rsid w:val="00472751"/>
    <w:rsid w:val="00473128"/>
    <w:rsid w:val="0047470A"/>
    <w:rsid w:val="00475078"/>
    <w:rsid w:val="00475226"/>
    <w:rsid w:val="004779A0"/>
    <w:rsid w:val="004808E3"/>
    <w:rsid w:val="0048097D"/>
    <w:rsid w:val="00481016"/>
    <w:rsid w:val="004814C8"/>
    <w:rsid w:val="004814D3"/>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51C8"/>
    <w:rsid w:val="00496350"/>
    <w:rsid w:val="00496F91"/>
    <w:rsid w:val="00497274"/>
    <w:rsid w:val="0049797C"/>
    <w:rsid w:val="00497C2C"/>
    <w:rsid w:val="00497E9D"/>
    <w:rsid w:val="004A036E"/>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3F3A"/>
    <w:rsid w:val="004B4779"/>
    <w:rsid w:val="004B4922"/>
    <w:rsid w:val="004B57DF"/>
    <w:rsid w:val="004C0238"/>
    <w:rsid w:val="004C03A0"/>
    <w:rsid w:val="004C2138"/>
    <w:rsid w:val="004C2ED0"/>
    <w:rsid w:val="004C32D4"/>
    <w:rsid w:val="004C3940"/>
    <w:rsid w:val="004C51FD"/>
    <w:rsid w:val="004C65A8"/>
    <w:rsid w:val="004C786C"/>
    <w:rsid w:val="004C7963"/>
    <w:rsid w:val="004D2314"/>
    <w:rsid w:val="004D2F63"/>
    <w:rsid w:val="004D35BA"/>
    <w:rsid w:val="004D45B8"/>
    <w:rsid w:val="004D4701"/>
    <w:rsid w:val="004D47C7"/>
    <w:rsid w:val="004D618D"/>
    <w:rsid w:val="004D6202"/>
    <w:rsid w:val="004D62A9"/>
    <w:rsid w:val="004D6FC3"/>
    <w:rsid w:val="004D7476"/>
    <w:rsid w:val="004E0306"/>
    <w:rsid w:val="004E0572"/>
    <w:rsid w:val="004E25A8"/>
    <w:rsid w:val="004E2AA0"/>
    <w:rsid w:val="004E3930"/>
    <w:rsid w:val="004E3ED9"/>
    <w:rsid w:val="004E5866"/>
    <w:rsid w:val="004E6097"/>
    <w:rsid w:val="004E61EF"/>
    <w:rsid w:val="004E6772"/>
    <w:rsid w:val="004E76A7"/>
    <w:rsid w:val="004E7736"/>
    <w:rsid w:val="004E7B03"/>
    <w:rsid w:val="004F0064"/>
    <w:rsid w:val="004F06AC"/>
    <w:rsid w:val="004F1AE6"/>
    <w:rsid w:val="004F243F"/>
    <w:rsid w:val="004F3E0C"/>
    <w:rsid w:val="004F6929"/>
    <w:rsid w:val="004F6A2D"/>
    <w:rsid w:val="004F7160"/>
    <w:rsid w:val="00500258"/>
    <w:rsid w:val="0050175E"/>
    <w:rsid w:val="00501A99"/>
    <w:rsid w:val="00502CF3"/>
    <w:rsid w:val="00503180"/>
    <w:rsid w:val="0050417C"/>
    <w:rsid w:val="00505450"/>
    <w:rsid w:val="005100B7"/>
    <w:rsid w:val="00510D10"/>
    <w:rsid w:val="005111C2"/>
    <w:rsid w:val="005113C9"/>
    <w:rsid w:val="0051280C"/>
    <w:rsid w:val="00512842"/>
    <w:rsid w:val="005128BE"/>
    <w:rsid w:val="00512B7B"/>
    <w:rsid w:val="00512E6C"/>
    <w:rsid w:val="0051356F"/>
    <w:rsid w:val="00513E7C"/>
    <w:rsid w:val="005140BB"/>
    <w:rsid w:val="005143C2"/>
    <w:rsid w:val="00514FD9"/>
    <w:rsid w:val="0051518F"/>
    <w:rsid w:val="0051608F"/>
    <w:rsid w:val="005165E9"/>
    <w:rsid w:val="005210F7"/>
    <w:rsid w:val="00521753"/>
    <w:rsid w:val="00521A44"/>
    <w:rsid w:val="00521D16"/>
    <w:rsid w:val="005222BE"/>
    <w:rsid w:val="005224EE"/>
    <w:rsid w:val="00523BB1"/>
    <w:rsid w:val="0052451A"/>
    <w:rsid w:val="00524737"/>
    <w:rsid w:val="005253E7"/>
    <w:rsid w:val="005258DF"/>
    <w:rsid w:val="00526265"/>
    <w:rsid w:val="0052652D"/>
    <w:rsid w:val="0052655D"/>
    <w:rsid w:val="005265E0"/>
    <w:rsid w:val="00526930"/>
    <w:rsid w:val="00526BC3"/>
    <w:rsid w:val="00530F9E"/>
    <w:rsid w:val="00531A72"/>
    <w:rsid w:val="0053274E"/>
    <w:rsid w:val="0053358A"/>
    <w:rsid w:val="00534668"/>
    <w:rsid w:val="00534D38"/>
    <w:rsid w:val="00534DDD"/>
    <w:rsid w:val="00535291"/>
    <w:rsid w:val="00535A94"/>
    <w:rsid w:val="00537874"/>
    <w:rsid w:val="00537909"/>
    <w:rsid w:val="00540204"/>
    <w:rsid w:val="00540578"/>
    <w:rsid w:val="005407D2"/>
    <w:rsid w:val="00540808"/>
    <w:rsid w:val="0054080E"/>
    <w:rsid w:val="005408B4"/>
    <w:rsid w:val="00540EA1"/>
    <w:rsid w:val="0054358E"/>
    <w:rsid w:val="00543AF4"/>
    <w:rsid w:val="00544191"/>
    <w:rsid w:val="00544F39"/>
    <w:rsid w:val="00547EFB"/>
    <w:rsid w:val="005531DF"/>
    <w:rsid w:val="00553874"/>
    <w:rsid w:val="00553ACC"/>
    <w:rsid w:val="00554AD8"/>
    <w:rsid w:val="00554F78"/>
    <w:rsid w:val="005556A5"/>
    <w:rsid w:val="005561F0"/>
    <w:rsid w:val="00556BF7"/>
    <w:rsid w:val="00560838"/>
    <w:rsid w:val="00560DB5"/>
    <w:rsid w:val="00562149"/>
    <w:rsid w:val="005630D8"/>
    <w:rsid w:val="00563FFD"/>
    <w:rsid w:val="00565855"/>
    <w:rsid w:val="005677CE"/>
    <w:rsid w:val="00567B5D"/>
    <w:rsid w:val="00570445"/>
    <w:rsid w:val="00572E9A"/>
    <w:rsid w:val="00573733"/>
    <w:rsid w:val="005739F5"/>
    <w:rsid w:val="00574554"/>
    <w:rsid w:val="00576089"/>
    <w:rsid w:val="005764B1"/>
    <w:rsid w:val="00576A0D"/>
    <w:rsid w:val="00576A56"/>
    <w:rsid w:val="00576D06"/>
    <w:rsid w:val="005777CA"/>
    <w:rsid w:val="005779E4"/>
    <w:rsid w:val="00580AC5"/>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2B6"/>
    <w:rsid w:val="005A3341"/>
    <w:rsid w:val="005A46EC"/>
    <w:rsid w:val="005A4847"/>
    <w:rsid w:val="005A494F"/>
    <w:rsid w:val="005B0160"/>
    <w:rsid w:val="005B0185"/>
    <w:rsid w:val="005B07EC"/>
    <w:rsid w:val="005B09D8"/>
    <w:rsid w:val="005B24F3"/>
    <w:rsid w:val="005B2B11"/>
    <w:rsid w:val="005B2E00"/>
    <w:rsid w:val="005B370E"/>
    <w:rsid w:val="005B4DA3"/>
    <w:rsid w:val="005B5B71"/>
    <w:rsid w:val="005B5BEE"/>
    <w:rsid w:val="005B7784"/>
    <w:rsid w:val="005B77D2"/>
    <w:rsid w:val="005C019B"/>
    <w:rsid w:val="005C144E"/>
    <w:rsid w:val="005C1625"/>
    <w:rsid w:val="005C2D0A"/>
    <w:rsid w:val="005C30F5"/>
    <w:rsid w:val="005C357E"/>
    <w:rsid w:val="005C3604"/>
    <w:rsid w:val="005C51A5"/>
    <w:rsid w:val="005C557A"/>
    <w:rsid w:val="005C5A03"/>
    <w:rsid w:val="005C61DD"/>
    <w:rsid w:val="005C6438"/>
    <w:rsid w:val="005C6B8B"/>
    <w:rsid w:val="005D02E3"/>
    <w:rsid w:val="005D1F34"/>
    <w:rsid w:val="005D2529"/>
    <w:rsid w:val="005D25BF"/>
    <w:rsid w:val="005D2C1F"/>
    <w:rsid w:val="005D34B2"/>
    <w:rsid w:val="005D3B54"/>
    <w:rsid w:val="005D40CD"/>
    <w:rsid w:val="005D6B59"/>
    <w:rsid w:val="005D7037"/>
    <w:rsid w:val="005E03E4"/>
    <w:rsid w:val="005E0454"/>
    <w:rsid w:val="005E171D"/>
    <w:rsid w:val="005E34C2"/>
    <w:rsid w:val="005E35C6"/>
    <w:rsid w:val="005E5099"/>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2EA4"/>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1C"/>
    <w:rsid w:val="00635FB9"/>
    <w:rsid w:val="00637774"/>
    <w:rsid w:val="0064024C"/>
    <w:rsid w:val="00640291"/>
    <w:rsid w:val="00641FAC"/>
    <w:rsid w:val="006432A5"/>
    <w:rsid w:val="00643664"/>
    <w:rsid w:val="00643CAA"/>
    <w:rsid w:val="0064448B"/>
    <w:rsid w:val="00652137"/>
    <w:rsid w:val="00652680"/>
    <w:rsid w:val="00652A09"/>
    <w:rsid w:val="006530A1"/>
    <w:rsid w:val="0065371D"/>
    <w:rsid w:val="00653CDE"/>
    <w:rsid w:val="006540B4"/>
    <w:rsid w:val="0065636A"/>
    <w:rsid w:val="00656C3C"/>
    <w:rsid w:val="00657003"/>
    <w:rsid w:val="00657126"/>
    <w:rsid w:val="006572C1"/>
    <w:rsid w:val="00660238"/>
    <w:rsid w:val="006602EF"/>
    <w:rsid w:val="00661277"/>
    <w:rsid w:val="006616FE"/>
    <w:rsid w:val="00661717"/>
    <w:rsid w:val="006619D1"/>
    <w:rsid w:val="006628AD"/>
    <w:rsid w:val="00663FEA"/>
    <w:rsid w:val="00664253"/>
    <w:rsid w:val="00664803"/>
    <w:rsid w:val="006661A4"/>
    <w:rsid w:val="006670E0"/>
    <w:rsid w:val="00667532"/>
    <w:rsid w:val="006704FD"/>
    <w:rsid w:val="00670F3A"/>
    <w:rsid w:val="006715E6"/>
    <w:rsid w:val="0067294B"/>
    <w:rsid w:val="00673AA4"/>
    <w:rsid w:val="00674187"/>
    <w:rsid w:val="0067508F"/>
    <w:rsid w:val="00675349"/>
    <w:rsid w:val="00675E7E"/>
    <w:rsid w:val="006768BE"/>
    <w:rsid w:val="0068051E"/>
    <w:rsid w:val="00680B9D"/>
    <w:rsid w:val="00681F13"/>
    <w:rsid w:val="0068231C"/>
    <w:rsid w:val="00682344"/>
    <w:rsid w:val="00682E78"/>
    <w:rsid w:val="00682F28"/>
    <w:rsid w:val="00684842"/>
    <w:rsid w:val="00685BD6"/>
    <w:rsid w:val="006878A6"/>
    <w:rsid w:val="00690437"/>
    <w:rsid w:val="00690E65"/>
    <w:rsid w:val="0069188E"/>
    <w:rsid w:val="00691974"/>
    <w:rsid w:val="00691A3F"/>
    <w:rsid w:val="00692CE6"/>
    <w:rsid w:val="00693B6C"/>
    <w:rsid w:val="006942AE"/>
    <w:rsid w:val="0069483C"/>
    <w:rsid w:val="00695421"/>
    <w:rsid w:val="00695AE4"/>
    <w:rsid w:val="00696D4B"/>
    <w:rsid w:val="00697BD3"/>
    <w:rsid w:val="00697DFA"/>
    <w:rsid w:val="006A10F3"/>
    <w:rsid w:val="006A16D5"/>
    <w:rsid w:val="006A1772"/>
    <w:rsid w:val="006A1780"/>
    <w:rsid w:val="006A25A5"/>
    <w:rsid w:val="006A2790"/>
    <w:rsid w:val="006A3CEC"/>
    <w:rsid w:val="006A3F75"/>
    <w:rsid w:val="006A4838"/>
    <w:rsid w:val="006A4FB3"/>
    <w:rsid w:val="006A5A3E"/>
    <w:rsid w:val="006A6CA7"/>
    <w:rsid w:val="006A703E"/>
    <w:rsid w:val="006A7BE3"/>
    <w:rsid w:val="006B01D1"/>
    <w:rsid w:val="006B16EA"/>
    <w:rsid w:val="006B1780"/>
    <w:rsid w:val="006B224E"/>
    <w:rsid w:val="006B362D"/>
    <w:rsid w:val="006B376E"/>
    <w:rsid w:val="006B3BDA"/>
    <w:rsid w:val="006B4589"/>
    <w:rsid w:val="006B6805"/>
    <w:rsid w:val="006B6BBE"/>
    <w:rsid w:val="006B6DE0"/>
    <w:rsid w:val="006B7D5F"/>
    <w:rsid w:val="006C0FCC"/>
    <w:rsid w:val="006C2D83"/>
    <w:rsid w:val="006C32F4"/>
    <w:rsid w:val="006C3382"/>
    <w:rsid w:val="006C3C54"/>
    <w:rsid w:val="006C40F4"/>
    <w:rsid w:val="006C427B"/>
    <w:rsid w:val="006C4F9F"/>
    <w:rsid w:val="006C5778"/>
    <w:rsid w:val="006C61AB"/>
    <w:rsid w:val="006C650D"/>
    <w:rsid w:val="006C686A"/>
    <w:rsid w:val="006C748D"/>
    <w:rsid w:val="006D0C1D"/>
    <w:rsid w:val="006D0CE1"/>
    <w:rsid w:val="006D2004"/>
    <w:rsid w:val="006D2A8C"/>
    <w:rsid w:val="006D2E9D"/>
    <w:rsid w:val="006D32EB"/>
    <w:rsid w:val="006D4C1E"/>
    <w:rsid w:val="006D4C42"/>
    <w:rsid w:val="006D5809"/>
    <w:rsid w:val="006D630A"/>
    <w:rsid w:val="006D668D"/>
    <w:rsid w:val="006D7363"/>
    <w:rsid w:val="006D74F2"/>
    <w:rsid w:val="006E04C8"/>
    <w:rsid w:val="006E061F"/>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582"/>
    <w:rsid w:val="006F3DE3"/>
    <w:rsid w:val="006F4C05"/>
    <w:rsid w:val="006F511F"/>
    <w:rsid w:val="006F61D8"/>
    <w:rsid w:val="006F62B7"/>
    <w:rsid w:val="006F70BC"/>
    <w:rsid w:val="006F713A"/>
    <w:rsid w:val="006F76BF"/>
    <w:rsid w:val="00705161"/>
    <w:rsid w:val="007066A4"/>
    <w:rsid w:val="00706F37"/>
    <w:rsid w:val="00707D09"/>
    <w:rsid w:val="00710760"/>
    <w:rsid w:val="0071209F"/>
    <w:rsid w:val="007125A2"/>
    <w:rsid w:val="00713F79"/>
    <w:rsid w:val="007148A8"/>
    <w:rsid w:val="00715A9B"/>
    <w:rsid w:val="00716C9F"/>
    <w:rsid w:val="007171E0"/>
    <w:rsid w:val="00717C40"/>
    <w:rsid w:val="0072033C"/>
    <w:rsid w:val="00720B1B"/>
    <w:rsid w:val="00721062"/>
    <w:rsid w:val="00721E5D"/>
    <w:rsid w:val="007229D4"/>
    <w:rsid w:val="007230F8"/>
    <w:rsid w:val="007233F4"/>
    <w:rsid w:val="00723646"/>
    <w:rsid w:val="00724044"/>
    <w:rsid w:val="007244E1"/>
    <w:rsid w:val="007248D3"/>
    <w:rsid w:val="00725137"/>
    <w:rsid w:val="007263ED"/>
    <w:rsid w:val="0072653B"/>
    <w:rsid w:val="00726C9E"/>
    <w:rsid w:val="00727A43"/>
    <w:rsid w:val="00727FF2"/>
    <w:rsid w:val="007323E0"/>
    <w:rsid w:val="007324ED"/>
    <w:rsid w:val="00733791"/>
    <w:rsid w:val="00733857"/>
    <w:rsid w:val="00733DE2"/>
    <w:rsid w:val="007346E7"/>
    <w:rsid w:val="007352EA"/>
    <w:rsid w:val="00736032"/>
    <w:rsid w:val="007364E5"/>
    <w:rsid w:val="0073792F"/>
    <w:rsid w:val="00737C48"/>
    <w:rsid w:val="007409CA"/>
    <w:rsid w:val="00740DA6"/>
    <w:rsid w:val="00741A0E"/>
    <w:rsid w:val="00741D1E"/>
    <w:rsid w:val="00741EE2"/>
    <w:rsid w:val="00742367"/>
    <w:rsid w:val="00742EAA"/>
    <w:rsid w:val="00743818"/>
    <w:rsid w:val="007439E2"/>
    <w:rsid w:val="00743E9C"/>
    <w:rsid w:val="007441FB"/>
    <w:rsid w:val="00744517"/>
    <w:rsid w:val="00744810"/>
    <w:rsid w:val="00747079"/>
    <w:rsid w:val="00747DD4"/>
    <w:rsid w:val="00747DE2"/>
    <w:rsid w:val="007504BF"/>
    <w:rsid w:val="007506CD"/>
    <w:rsid w:val="007525DB"/>
    <w:rsid w:val="0075267F"/>
    <w:rsid w:val="007526EC"/>
    <w:rsid w:val="0075310C"/>
    <w:rsid w:val="00753347"/>
    <w:rsid w:val="00753C48"/>
    <w:rsid w:val="007545C1"/>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D24"/>
    <w:rsid w:val="00765E6A"/>
    <w:rsid w:val="007664E0"/>
    <w:rsid w:val="00767EA0"/>
    <w:rsid w:val="0077068F"/>
    <w:rsid w:val="007711EA"/>
    <w:rsid w:val="00771870"/>
    <w:rsid w:val="0077408D"/>
    <w:rsid w:val="007741CF"/>
    <w:rsid w:val="00774270"/>
    <w:rsid w:val="00775679"/>
    <w:rsid w:val="00775803"/>
    <w:rsid w:val="00777B32"/>
    <w:rsid w:val="0078051E"/>
    <w:rsid w:val="00781FDD"/>
    <w:rsid w:val="00782A9F"/>
    <w:rsid w:val="0078508A"/>
    <w:rsid w:val="00786D5C"/>
    <w:rsid w:val="00786E96"/>
    <w:rsid w:val="00787F93"/>
    <w:rsid w:val="007907CA"/>
    <w:rsid w:val="00791170"/>
    <w:rsid w:val="00791E6D"/>
    <w:rsid w:val="007928DC"/>
    <w:rsid w:val="00792E53"/>
    <w:rsid w:val="007933DF"/>
    <w:rsid w:val="007939CC"/>
    <w:rsid w:val="00796FB8"/>
    <w:rsid w:val="007A11C2"/>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53FA"/>
    <w:rsid w:val="007B6423"/>
    <w:rsid w:val="007B7490"/>
    <w:rsid w:val="007B774A"/>
    <w:rsid w:val="007C0525"/>
    <w:rsid w:val="007C0B56"/>
    <w:rsid w:val="007C13F7"/>
    <w:rsid w:val="007C218D"/>
    <w:rsid w:val="007C2D28"/>
    <w:rsid w:val="007C3E22"/>
    <w:rsid w:val="007C67C6"/>
    <w:rsid w:val="007C707A"/>
    <w:rsid w:val="007C7E59"/>
    <w:rsid w:val="007D0A39"/>
    <w:rsid w:val="007D0B91"/>
    <w:rsid w:val="007D1452"/>
    <w:rsid w:val="007D1E29"/>
    <w:rsid w:val="007D460C"/>
    <w:rsid w:val="007D484A"/>
    <w:rsid w:val="007D4AD3"/>
    <w:rsid w:val="007D4C8D"/>
    <w:rsid w:val="007D5D19"/>
    <w:rsid w:val="007D5FDC"/>
    <w:rsid w:val="007D6D68"/>
    <w:rsid w:val="007E01DA"/>
    <w:rsid w:val="007E0ADB"/>
    <w:rsid w:val="007E1603"/>
    <w:rsid w:val="007E2E85"/>
    <w:rsid w:val="007E32DA"/>
    <w:rsid w:val="007E3FFB"/>
    <w:rsid w:val="007E4998"/>
    <w:rsid w:val="007E4A9C"/>
    <w:rsid w:val="007E4B2B"/>
    <w:rsid w:val="007E6914"/>
    <w:rsid w:val="007E7F78"/>
    <w:rsid w:val="007F0C8B"/>
    <w:rsid w:val="007F1517"/>
    <w:rsid w:val="007F1D44"/>
    <w:rsid w:val="007F23A5"/>
    <w:rsid w:val="007F2C13"/>
    <w:rsid w:val="007F2CEC"/>
    <w:rsid w:val="007F4949"/>
    <w:rsid w:val="007F55DE"/>
    <w:rsid w:val="007F5605"/>
    <w:rsid w:val="007F6147"/>
    <w:rsid w:val="007F78FF"/>
    <w:rsid w:val="00800F6C"/>
    <w:rsid w:val="008025BE"/>
    <w:rsid w:val="00804C86"/>
    <w:rsid w:val="008051FC"/>
    <w:rsid w:val="008055A9"/>
    <w:rsid w:val="008070EB"/>
    <w:rsid w:val="00807376"/>
    <w:rsid w:val="00810B0E"/>
    <w:rsid w:val="00810E8E"/>
    <w:rsid w:val="0081142D"/>
    <w:rsid w:val="00812462"/>
    <w:rsid w:val="008126E2"/>
    <w:rsid w:val="0081481D"/>
    <w:rsid w:val="00814BE8"/>
    <w:rsid w:val="00814F6E"/>
    <w:rsid w:val="00815B84"/>
    <w:rsid w:val="00821A3D"/>
    <w:rsid w:val="00821B06"/>
    <w:rsid w:val="00822037"/>
    <w:rsid w:val="00822634"/>
    <w:rsid w:val="00823FC6"/>
    <w:rsid w:val="00823FFC"/>
    <w:rsid w:val="00824811"/>
    <w:rsid w:val="00825C74"/>
    <w:rsid w:val="00826AB9"/>
    <w:rsid w:val="00826E0E"/>
    <w:rsid w:val="0082731F"/>
    <w:rsid w:val="00827D11"/>
    <w:rsid w:val="00827E0F"/>
    <w:rsid w:val="00827F6E"/>
    <w:rsid w:val="00831758"/>
    <w:rsid w:val="00831977"/>
    <w:rsid w:val="0083279F"/>
    <w:rsid w:val="00833B7F"/>
    <w:rsid w:val="00834906"/>
    <w:rsid w:val="00836075"/>
    <w:rsid w:val="00836417"/>
    <w:rsid w:val="008377F7"/>
    <w:rsid w:val="008411F9"/>
    <w:rsid w:val="008413AB"/>
    <w:rsid w:val="00842D10"/>
    <w:rsid w:val="0084322B"/>
    <w:rsid w:val="00843B93"/>
    <w:rsid w:val="00843F81"/>
    <w:rsid w:val="00844087"/>
    <w:rsid w:val="0084519E"/>
    <w:rsid w:val="00846370"/>
    <w:rsid w:val="00847C2B"/>
    <w:rsid w:val="00851A7C"/>
    <w:rsid w:val="00852438"/>
    <w:rsid w:val="0085270D"/>
    <w:rsid w:val="008532BF"/>
    <w:rsid w:val="00853BF4"/>
    <w:rsid w:val="00854294"/>
    <w:rsid w:val="008555FB"/>
    <w:rsid w:val="0085788B"/>
    <w:rsid w:val="00857941"/>
    <w:rsid w:val="00857A9E"/>
    <w:rsid w:val="00857DE2"/>
    <w:rsid w:val="0086150C"/>
    <w:rsid w:val="00863E7D"/>
    <w:rsid w:val="0086407F"/>
    <w:rsid w:val="00864548"/>
    <w:rsid w:val="00864E79"/>
    <w:rsid w:val="00866111"/>
    <w:rsid w:val="0086661F"/>
    <w:rsid w:val="00866A0D"/>
    <w:rsid w:val="00866DB5"/>
    <w:rsid w:val="0086784E"/>
    <w:rsid w:val="00867AF1"/>
    <w:rsid w:val="008720B3"/>
    <w:rsid w:val="00872118"/>
    <w:rsid w:val="008727CE"/>
    <w:rsid w:val="00872827"/>
    <w:rsid w:val="00872A32"/>
    <w:rsid w:val="00874ECA"/>
    <w:rsid w:val="00875D0E"/>
    <w:rsid w:val="00876EAE"/>
    <w:rsid w:val="00880F95"/>
    <w:rsid w:val="00882B44"/>
    <w:rsid w:val="00882FE5"/>
    <w:rsid w:val="00886138"/>
    <w:rsid w:val="00886E66"/>
    <w:rsid w:val="008871B0"/>
    <w:rsid w:val="008912F5"/>
    <w:rsid w:val="008915A7"/>
    <w:rsid w:val="0089217C"/>
    <w:rsid w:val="008928A1"/>
    <w:rsid w:val="00893671"/>
    <w:rsid w:val="00895838"/>
    <w:rsid w:val="00895A72"/>
    <w:rsid w:val="00895CDF"/>
    <w:rsid w:val="008968C7"/>
    <w:rsid w:val="00896AFD"/>
    <w:rsid w:val="00897A55"/>
    <w:rsid w:val="008A0FC9"/>
    <w:rsid w:val="008A1956"/>
    <w:rsid w:val="008A40D3"/>
    <w:rsid w:val="008A469C"/>
    <w:rsid w:val="008A484A"/>
    <w:rsid w:val="008A5877"/>
    <w:rsid w:val="008A6539"/>
    <w:rsid w:val="008A701C"/>
    <w:rsid w:val="008B05DD"/>
    <w:rsid w:val="008B17E8"/>
    <w:rsid w:val="008B266C"/>
    <w:rsid w:val="008B2D03"/>
    <w:rsid w:val="008B2E7C"/>
    <w:rsid w:val="008B42AB"/>
    <w:rsid w:val="008B45A7"/>
    <w:rsid w:val="008B4A70"/>
    <w:rsid w:val="008B502F"/>
    <w:rsid w:val="008B5142"/>
    <w:rsid w:val="008B67CB"/>
    <w:rsid w:val="008B6A63"/>
    <w:rsid w:val="008B6AFE"/>
    <w:rsid w:val="008B6B83"/>
    <w:rsid w:val="008B7034"/>
    <w:rsid w:val="008B7227"/>
    <w:rsid w:val="008C191C"/>
    <w:rsid w:val="008C1DA4"/>
    <w:rsid w:val="008C2CD5"/>
    <w:rsid w:val="008C2E29"/>
    <w:rsid w:val="008C32B7"/>
    <w:rsid w:val="008C360C"/>
    <w:rsid w:val="008C3618"/>
    <w:rsid w:val="008C3F20"/>
    <w:rsid w:val="008C43AD"/>
    <w:rsid w:val="008C59FB"/>
    <w:rsid w:val="008C6687"/>
    <w:rsid w:val="008C68F0"/>
    <w:rsid w:val="008C6F92"/>
    <w:rsid w:val="008C731F"/>
    <w:rsid w:val="008C74D9"/>
    <w:rsid w:val="008C79C3"/>
    <w:rsid w:val="008C7A47"/>
    <w:rsid w:val="008D0170"/>
    <w:rsid w:val="008D1052"/>
    <w:rsid w:val="008D124C"/>
    <w:rsid w:val="008D1983"/>
    <w:rsid w:val="008D1BB3"/>
    <w:rsid w:val="008D1C32"/>
    <w:rsid w:val="008D22AE"/>
    <w:rsid w:val="008D234A"/>
    <w:rsid w:val="008D238C"/>
    <w:rsid w:val="008D566C"/>
    <w:rsid w:val="008D58D9"/>
    <w:rsid w:val="008D64F5"/>
    <w:rsid w:val="008D66EA"/>
    <w:rsid w:val="008D6E59"/>
    <w:rsid w:val="008D7155"/>
    <w:rsid w:val="008D7DE4"/>
    <w:rsid w:val="008E09B3"/>
    <w:rsid w:val="008E141A"/>
    <w:rsid w:val="008E1A44"/>
    <w:rsid w:val="008E28E6"/>
    <w:rsid w:val="008E2B60"/>
    <w:rsid w:val="008E3232"/>
    <w:rsid w:val="008E3674"/>
    <w:rsid w:val="008E3B6C"/>
    <w:rsid w:val="008E41A8"/>
    <w:rsid w:val="008E688C"/>
    <w:rsid w:val="008E68BB"/>
    <w:rsid w:val="008E6C9B"/>
    <w:rsid w:val="008E77D4"/>
    <w:rsid w:val="008F0981"/>
    <w:rsid w:val="008F0AFD"/>
    <w:rsid w:val="008F17B2"/>
    <w:rsid w:val="008F28EE"/>
    <w:rsid w:val="008F357B"/>
    <w:rsid w:val="008F44CA"/>
    <w:rsid w:val="008F49B9"/>
    <w:rsid w:val="008F49D3"/>
    <w:rsid w:val="008F5081"/>
    <w:rsid w:val="008F6519"/>
    <w:rsid w:val="008F68DC"/>
    <w:rsid w:val="008F7012"/>
    <w:rsid w:val="008F7B17"/>
    <w:rsid w:val="00900042"/>
    <w:rsid w:val="0090034B"/>
    <w:rsid w:val="00902623"/>
    <w:rsid w:val="00902890"/>
    <w:rsid w:val="00904BE4"/>
    <w:rsid w:val="0090504A"/>
    <w:rsid w:val="00905D7E"/>
    <w:rsid w:val="009063B7"/>
    <w:rsid w:val="00907037"/>
    <w:rsid w:val="0091160A"/>
    <w:rsid w:val="00912838"/>
    <w:rsid w:val="00913258"/>
    <w:rsid w:val="00913883"/>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065F"/>
    <w:rsid w:val="00931215"/>
    <w:rsid w:val="009313DD"/>
    <w:rsid w:val="00931BDE"/>
    <w:rsid w:val="009321B1"/>
    <w:rsid w:val="00932ED7"/>
    <w:rsid w:val="0093357E"/>
    <w:rsid w:val="0093422D"/>
    <w:rsid w:val="00934DD7"/>
    <w:rsid w:val="009369A9"/>
    <w:rsid w:val="00936CF7"/>
    <w:rsid w:val="00937201"/>
    <w:rsid w:val="0093734A"/>
    <w:rsid w:val="00937783"/>
    <w:rsid w:val="009377C3"/>
    <w:rsid w:val="00937D89"/>
    <w:rsid w:val="00940515"/>
    <w:rsid w:val="0094059D"/>
    <w:rsid w:val="009409B4"/>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053B"/>
    <w:rsid w:val="0095074A"/>
    <w:rsid w:val="009512AB"/>
    <w:rsid w:val="00952DE9"/>
    <w:rsid w:val="00955643"/>
    <w:rsid w:val="00955FBB"/>
    <w:rsid w:val="0095694B"/>
    <w:rsid w:val="00956BD5"/>
    <w:rsid w:val="009574BB"/>
    <w:rsid w:val="009577B5"/>
    <w:rsid w:val="009608E6"/>
    <w:rsid w:val="009609E4"/>
    <w:rsid w:val="00961779"/>
    <w:rsid w:val="00962D00"/>
    <w:rsid w:val="00962EB1"/>
    <w:rsid w:val="0096612A"/>
    <w:rsid w:val="00966522"/>
    <w:rsid w:val="00967D3F"/>
    <w:rsid w:val="00967E78"/>
    <w:rsid w:val="00970D7E"/>
    <w:rsid w:val="00970F18"/>
    <w:rsid w:val="00971CF1"/>
    <w:rsid w:val="009721E9"/>
    <w:rsid w:val="00972A58"/>
    <w:rsid w:val="00973772"/>
    <w:rsid w:val="0097451E"/>
    <w:rsid w:val="00975E1E"/>
    <w:rsid w:val="00975E70"/>
    <w:rsid w:val="00977B8F"/>
    <w:rsid w:val="00977CD6"/>
    <w:rsid w:val="00981D18"/>
    <w:rsid w:val="00982481"/>
    <w:rsid w:val="00982D26"/>
    <w:rsid w:val="0098330E"/>
    <w:rsid w:val="009849E9"/>
    <w:rsid w:val="00987812"/>
    <w:rsid w:val="00990225"/>
    <w:rsid w:val="00990DF5"/>
    <w:rsid w:val="00991622"/>
    <w:rsid w:val="0099244B"/>
    <w:rsid w:val="009947B6"/>
    <w:rsid w:val="00995150"/>
    <w:rsid w:val="009957F3"/>
    <w:rsid w:val="00995D67"/>
    <w:rsid w:val="009970BF"/>
    <w:rsid w:val="009A013B"/>
    <w:rsid w:val="009A02F4"/>
    <w:rsid w:val="009A1F12"/>
    <w:rsid w:val="009A23FC"/>
    <w:rsid w:val="009A2494"/>
    <w:rsid w:val="009A26CA"/>
    <w:rsid w:val="009A36F2"/>
    <w:rsid w:val="009A47CC"/>
    <w:rsid w:val="009A5749"/>
    <w:rsid w:val="009A57D0"/>
    <w:rsid w:val="009A6559"/>
    <w:rsid w:val="009A68FC"/>
    <w:rsid w:val="009A7514"/>
    <w:rsid w:val="009A7E7A"/>
    <w:rsid w:val="009B1584"/>
    <w:rsid w:val="009B2469"/>
    <w:rsid w:val="009B2D70"/>
    <w:rsid w:val="009B314F"/>
    <w:rsid w:val="009B439C"/>
    <w:rsid w:val="009B4A6C"/>
    <w:rsid w:val="009B5777"/>
    <w:rsid w:val="009B5779"/>
    <w:rsid w:val="009B6753"/>
    <w:rsid w:val="009B6A26"/>
    <w:rsid w:val="009C079D"/>
    <w:rsid w:val="009C0D70"/>
    <w:rsid w:val="009C13D1"/>
    <w:rsid w:val="009C2913"/>
    <w:rsid w:val="009C3008"/>
    <w:rsid w:val="009C365F"/>
    <w:rsid w:val="009C5AFE"/>
    <w:rsid w:val="009C6606"/>
    <w:rsid w:val="009C6CE5"/>
    <w:rsid w:val="009C6D50"/>
    <w:rsid w:val="009C7547"/>
    <w:rsid w:val="009D1678"/>
    <w:rsid w:val="009D1693"/>
    <w:rsid w:val="009D1C49"/>
    <w:rsid w:val="009D2721"/>
    <w:rsid w:val="009D2F60"/>
    <w:rsid w:val="009D338C"/>
    <w:rsid w:val="009D3D0D"/>
    <w:rsid w:val="009D4944"/>
    <w:rsid w:val="009D5BAC"/>
    <w:rsid w:val="009D64BD"/>
    <w:rsid w:val="009D7B2F"/>
    <w:rsid w:val="009D7B6C"/>
    <w:rsid w:val="009D7F83"/>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427"/>
    <w:rsid w:val="00A075A9"/>
    <w:rsid w:val="00A077E2"/>
    <w:rsid w:val="00A1080F"/>
    <w:rsid w:val="00A11042"/>
    <w:rsid w:val="00A133D8"/>
    <w:rsid w:val="00A14E97"/>
    <w:rsid w:val="00A20069"/>
    <w:rsid w:val="00A20280"/>
    <w:rsid w:val="00A2244D"/>
    <w:rsid w:val="00A2253D"/>
    <w:rsid w:val="00A22AEC"/>
    <w:rsid w:val="00A2418A"/>
    <w:rsid w:val="00A247B8"/>
    <w:rsid w:val="00A24D39"/>
    <w:rsid w:val="00A24D8F"/>
    <w:rsid w:val="00A25B8B"/>
    <w:rsid w:val="00A269C3"/>
    <w:rsid w:val="00A26ECA"/>
    <w:rsid w:val="00A27374"/>
    <w:rsid w:val="00A309F1"/>
    <w:rsid w:val="00A317A5"/>
    <w:rsid w:val="00A324C1"/>
    <w:rsid w:val="00A337DB"/>
    <w:rsid w:val="00A3467F"/>
    <w:rsid w:val="00A3551A"/>
    <w:rsid w:val="00A373F4"/>
    <w:rsid w:val="00A376E8"/>
    <w:rsid w:val="00A37E69"/>
    <w:rsid w:val="00A37F8E"/>
    <w:rsid w:val="00A41737"/>
    <w:rsid w:val="00A42B8F"/>
    <w:rsid w:val="00A43254"/>
    <w:rsid w:val="00A43896"/>
    <w:rsid w:val="00A43A26"/>
    <w:rsid w:val="00A447A0"/>
    <w:rsid w:val="00A459F5"/>
    <w:rsid w:val="00A45FC0"/>
    <w:rsid w:val="00A46B32"/>
    <w:rsid w:val="00A478D2"/>
    <w:rsid w:val="00A47ECC"/>
    <w:rsid w:val="00A5008C"/>
    <w:rsid w:val="00A50171"/>
    <w:rsid w:val="00A5102E"/>
    <w:rsid w:val="00A51083"/>
    <w:rsid w:val="00A5132E"/>
    <w:rsid w:val="00A51533"/>
    <w:rsid w:val="00A51A4D"/>
    <w:rsid w:val="00A51E68"/>
    <w:rsid w:val="00A52F3B"/>
    <w:rsid w:val="00A531D4"/>
    <w:rsid w:val="00A55ACD"/>
    <w:rsid w:val="00A55CFA"/>
    <w:rsid w:val="00A575B8"/>
    <w:rsid w:val="00A647B1"/>
    <w:rsid w:val="00A64DEF"/>
    <w:rsid w:val="00A64F9E"/>
    <w:rsid w:val="00A65E4E"/>
    <w:rsid w:val="00A665DF"/>
    <w:rsid w:val="00A67F1B"/>
    <w:rsid w:val="00A67FCC"/>
    <w:rsid w:val="00A709F3"/>
    <w:rsid w:val="00A716DC"/>
    <w:rsid w:val="00A720AF"/>
    <w:rsid w:val="00A7217B"/>
    <w:rsid w:val="00A7293E"/>
    <w:rsid w:val="00A72EE4"/>
    <w:rsid w:val="00A73067"/>
    <w:rsid w:val="00A737C4"/>
    <w:rsid w:val="00A739A6"/>
    <w:rsid w:val="00A73C3B"/>
    <w:rsid w:val="00A75EF9"/>
    <w:rsid w:val="00A7627C"/>
    <w:rsid w:val="00A76BC9"/>
    <w:rsid w:val="00A77566"/>
    <w:rsid w:val="00A77956"/>
    <w:rsid w:val="00A80563"/>
    <w:rsid w:val="00A8311C"/>
    <w:rsid w:val="00A84BC8"/>
    <w:rsid w:val="00A84C5F"/>
    <w:rsid w:val="00A85D91"/>
    <w:rsid w:val="00A86973"/>
    <w:rsid w:val="00A8721F"/>
    <w:rsid w:val="00A8740B"/>
    <w:rsid w:val="00A87519"/>
    <w:rsid w:val="00A905A2"/>
    <w:rsid w:val="00A9246D"/>
    <w:rsid w:val="00A93644"/>
    <w:rsid w:val="00A93BD0"/>
    <w:rsid w:val="00A944A1"/>
    <w:rsid w:val="00A95D69"/>
    <w:rsid w:val="00A975A4"/>
    <w:rsid w:val="00A977B3"/>
    <w:rsid w:val="00A97DC8"/>
    <w:rsid w:val="00AA1418"/>
    <w:rsid w:val="00AA2001"/>
    <w:rsid w:val="00AA2B5C"/>
    <w:rsid w:val="00AA4E59"/>
    <w:rsid w:val="00AA5328"/>
    <w:rsid w:val="00AA5393"/>
    <w:rsid w:val="00AA63D4"/>
    <w:rsid w:val="00AA6767"/>
    <w:rsid w:val="00AA790B"/>
    <w:rsid w:val="00AB03FD"/>
    <w:rsid w:val="00AB1412"/>
    <w:rsid w:val="00AB38CB"/>
    <w:rsid w:val="00AB3BEC"/>
    <w:rsid w:val="00AB44E4"/>
    <w:rsid w:val="00AB4AEB"/>
    <w:rsid w:val="00AB5352"/>
    <w:rsid w:val="00AB56AE"/>
    <w:rsid w:val="00AB62D5"/>
    <w:rsid w:val="00AB65B5"/>
    <w:rsid w:val="00AB6DCD"/>
    <w:rsid w:val="00AB6EE0"/>
    <w:rsid w:val="00AB7579"/>
    <w:rsid w:val="00AC2DFD"/>
    <w:rsid w:val="00AC352D"/>
    <w:rsid w:val="00AC40B7"/>
    <w:rsid w:val="00AC5122"/>
    <w:rsid w:val="00AC531F"/>
    <w:rsid w:val="00AC6121"/>
    <w:rsid w:val="00AC626D"/>
    <w:rsid w:val="00AC6CB1"/>
    <w:rsid w:val="00AC79DA"/>
    <w:rsid w:val="00AD0091"/>
    <w:rsid w:val="00AD0843"/>
    <w:rsid w:val="00AD23D8"/>
    <w:rsid w:val="00AD23EF"/>
    <w:rsid w:val="00AD307B"/>
    <w:rsid w:val="00AD31F9"/>
    <w:rsid w:val="00AD41B3"/>
    <w:rsid w:val="00AD4B31"/>
    <w:rsid w:val="00AD4C48"/>
    <w:rsid w:val="00AD57AF"/>
    <w:rsid w:val="00AD6267"/>
    <w:rsid w:val="00AD7317"/>
    <w:rsid w:val="00AD754C"/>
    <w:rsid w:val="00AE01A8"/>
    <w:rsid w:val="00AE069F"/>
    <w:rsid w:val="00AE0789"/>
    <w:rsid w:val="00AE0CBD"/>
    <w:rsid w:val="00AE123A"/>
    <w:rsid w:val="00AE1A1E"/>
    <w:rsid w:val="00AE2591"/>
    <w:rsid w:val="00AE28A7"/>
    <w:rsid w:val="00AE33A6"/>
    <w:rsid w:val="00AE3715"/>
    <w:rsid w:val="00AE3729"/>
    <w:rsid w:val="00AE55B2"/>
    <w:rsid w:val="00AE5C6A"/>
    <w:rsid w:val="00AE65F7"/>
    <w:rsid w:val="00AE7280"/>
    <w:rsid w:val="00AF033A"/>
    <w:rsid w:val="00AF1699"/>
    <w:rsid w:val="00AF3896"/>
    <w:rsid w:val="00AF3CEE"/>
    <w:rsid w:val="00AF5706"/>
    <w:rsid w:val="00AF6C33"/>
    <w:rsid w:val="00B0098A"/>
    <w:rsid w:val="00B00A5F"/>
    <w:rsid w:val="00B0225F"/>
    <w:rsid w:val="00B029B8"/>
    <w:rsid w:val="00B02F60"/>
    <w:rsid w:val="00B032B8"/>
    <w:rsid w:val="00B04B46"/>
    <w:rsid w:val="00B05050"/>
    <w:rsid w:val="00B0534D"/>
    <w:rsid w:val="00B06368"/>
    <w:rsid w:val="00B06FC6"/>
    <w:rsid w:val="00B07163"/>
    <w:rsid w:val="00B07429"/>
    <w:rsid w:val="00B11847"/>
    <w:rsid w:val="00B12FE6"/>
    <w:rsid w:val="00B1303F"/>
    <w:rsid w:val="00B1364A"/>
    <w:rsid w:val="00B13D3C"/>
    <w:rsid w:val="00B1525C"/>
    <w:rsid w:val="00B16715"/>
    <w:rsid w:val="00B17910"/>
    <w:rsid w:val="00B2041B"/>
    <w:rsid w:val="00B20F18"/>
    <w:rsid w:val="00B21516"/>
    <w:rsid w:val="00B22CE0"/>
    <w:rsid w:val="00B23738"/>
    <w:rsid w:val="00B23BEF"/>
    <w:rsid w:val="00B247BB"/>
    <w:rsid w:val="00B25C11"/>
    <w:rsid w:val="00B25EDF"/>
    <w:rsid w:val="00B25EE6"/>
    <w:rsid w:val="00B27BC0"/>
    <w:rsid w:val="00B3115A"/>
    <w:rsid w:val="00B31A5C"/>
    <w:rsid w:val="00B33C19"/>
    <w:rsid w:val="00B33F84"/>
    <w:rsid w:val="00B34861"/>
    <w:rsid w:val="00B363BD"/>
    <w:rsid w:val="00B36844"/>
    <w:rsid w:val="00B369F7"/>
    <w:rsid w:val="00B36A99"/>
    <w:rsid w:val="00B37537"/>
    <w:rsid w:val="00B41B81"/>
    <w:rsid w:val="00B42980"/>
    <w:rsid w:val="00B434B2"/>
    <w:rsid w:val="00B434C7"/>
    <w:rsid w:val="00B43580"/>
    <w:rsid w:val="00B43D45"/>
    <w:rsid w:val="00B44771"/>
    <w:rsid w:val="00B4650E"/>
    <w:rsid w:val="00B468F2"/>
    <w:rsid w:val="00B46B45"/>
    <w:rsid w:val="00B46D3D"/>
    <w:rsid w:val="00B46F6B"/>
    <w:rsid w:val="00B47286"/>
    <w:rsid w:val="00B47894"/>
    <w:rsid w:val="00B47DDE"/>
    <w:rsid w:val="00B50234"/>
    <w:rsid w:val="00B51BF4"/>
    <w:rsid w:val="00B51F4B"/>
    <w:rsid w:val="00B52C68"/>
    <w:rsid w:val="00B542FE"/>
    <w:rsid w:val="00B55A1B"/>
    <w:rsid w:val="00B561DB"/>
    <w:rsid w:val="00B57494"/>
    <w:rsid w:val="00B61DCE"/>
    <w:rsid w:val="00B62188"/>
    <w:rsid w:val="00B62467"/>
    <w:rsid w:val="00B62F79"/>
    <w:rsid w:val="00B62F82"/>
    <w:rsid w:val="00B648FA"/>
    <w:rsid w:val="00B662FF"/>
    <w:rsid w:val="00B72C80"/>
    <w:rsid w:val="00B72D39"/>
    <w:rsid w:val="00B730B4"/>
    <w:rsid w:val="00B74340"/>
    <w:rsid w:val="00B744E0"/>
    <w:rsid w:val="00B7481A"/>
    <w:rsid w:val="00B74F2F"/>
    <w:rsid w:val="00B756FB"/>
    <w:rsid w:val="00B762CA"/>
    <w:rsid w:val="00B76409"/>
    <w:rsid w:val="00B769BC"/>
    <w:rsid w:val="00B77349"/>
    <w:rsid w:val="00B7761E"/>
    <w:rsid w:val="00B80A37"/>
    <w:rsid w:val="00B80A3D"/>
    <w:rsid w:val="00B823E0"/>
    <w:rsid w:val="00B82B78"/>
    <w:rsid w:val="00B84662"/>
    <w:rsid w:val="00B85402"/>
    <w:rsid w:val="00B864A3"/>
    <w:rsid w:val="00B86C2A"/>
    <w:rsid w:val="00B877F1"/>
    <w:rsid w:val="00B902A5"/>
    <w:rsid w:val="00B90420"/>
    <w:rsid w:val="00B913E4"/>
    <w:rsid w:val="00B91DB9"/>
    <w:rsid w:val="00B93EFE"/>
    <w:rsid w:val="00B94956"/>
    <w:rsid w:val="00B94C7F"/>
    <w:rsid w:val="00B956B5"/>
    <w:rsid w:val="00B95C3A"/>
    <w:rsid w:val="00B95FCE"/>
    <w:rsid w:val="00BA0D44"/>
    <w:rsid w:val="00BA0E26"/>
    <w:rsid w:val="00BA31BF"/>
    <w:rsid w:val="00BA3EBF"/>
    <w:rsid w:val="00BA43FC"/>
    <w:rsid w:val="00BA478B"/>
    <w:rsid w:val="00BA5224"/>
    <w:rsid w:val="00BA7B27"/>
    <w:rsid w:val="00BA7E3B"/>
    <w:rsid w:val="00BB079C"/>
    <w:rsid w:val="00BB2B56"/>
    <w:rsid w:val="00BB39C1"/>
    <w:rsid w:val="00BB4901"/>
    <w:rsid w:val="00BB5D16"/>
    <w:rsid w:val="00BB6180"/>
    <w:rsid w:val="00BB69E6"/>
    <w:rsid w:val="00BB7D2A"/>
    <w:rsid w:val="00BC1B7A"/>
    <w:rsid w:val="00BC2BC7"/>
    <w:rsid w:val="00BC2C17"/>
    <w:rsid w:val="00BC3ACD"/>
    <w:rsid w:val="00BC3C33"/>
    <w:rsid w:val="00BC66D7"/>
    <w:rsid w:val="00BC6E73"/>
    <w:rsid w:val="00BD0014"/>
    <w:rsid w:val="00BD01D8"/>
    <w:rsid w:val="00BD0CBE"/>
    <w:rsid w:val="00BD2512"/>
    <w:rsid w:val="00BD255F"/>
    <w:rsid w:val="00BD383D"/>
    <w:rsid w:val="00BD4236"/>
    <w:rsid w:val="00BD575B"/>
    <w:rsid w:val="00BD5CCA"/>
    <w:rsid w:val="00BD5CD4"/>
    <w:rsid w:val="00BD6652"/>
    <w:rsid w:val="00BD6EF9"/>
    <w:rsid w:val="00BD77DD"/>
    <w:rsid w:val="00BE0ACB"/>
    <w:rsid w:val="00BE1A90"/>
    <w:rsid w:val="00BE1C7C"/>
    <w:rsid w:val="00BE24DC"/>
    <w:rsid w:val="00BE3537"/>
    <w:rsid w:val="00BE360F"/>
    <w:rsid w:val="00BE50FD"/>
    <w:rsid w:val="00BE51CA"/>
    <w:rsid w:val="00BE5E5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C49"/>
    <w:rsid w:val="00C0508D"/>
    <w:rsid w:val="00C0577B"/>
    <w:rsid w:val="00C058AF"/>
    <w:rsid w:val="00C11AAA"/>
    <w:rsid w:val="00C124C1"/>
    <w:rsid w:val="00C128AE"/>
    <w:rsid w:val="00C1300C"/>
    <w:rsid w:val="00C136D6"/>
    <w:rsid w:val="00C13D5B"/>
    <w:rsid w:val="00C16047"/>
    <w:rsid w:val="00C17412"/>
    <w:rsid w:val="00C17AE2"/>
    <w:rsid w:val="00C20F27"/>
    <w:rsid w:val="00C214D1"/>
    <w:rsid w:val="00C215CF"/>
    <w:rsid w:val="00C223F8"/>
    <w:rsid w:val="00C2244B"/>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3C3C"/>
    <w:rsid w:val="00C34DAD"/>
    <w:rsid w:val="00C35857"/>
    <w:rsid w:val="00C360B3"/>
    <w:rsid w:val="00C3679B"/>
    <w:rsid w:val="00C37027"/>
    <w:rsid w:val="00C3778D"/>
    <w:rsid w:val="00C405A3"/>
    <w:rsid w:val="00C42752"/>
    <w:rsid w:val="00C42973"/>
    <w:rsid w:val="00C44F9C"/>
    <w:rsid w:val="00C4730E"/>
    <w:rsid w:val="00C47ED3"/>
    <w:rsid w:val="00C5019C"/>
    <w:rsid w:val="00C5034F"/>
    <w:rsid w:val="00C52479"/>
    <w:rsid w:val="00C5291F"/>
    <w:rsid w:val="00C52C59"/>
    <w:rsid w:val="00C5349E"/>
    <w:rsid w:val="00C5354B"/>
    <w:rsid w:val="00C54467"/>
    <w:rsid w:val="00C54D3D"/>
    <w:rsid w:val="00C55116"/>
    <w:rsid w:val="00C55A30"/>
    <w:rsid w:val="00C57C58"/>
    <w:rsid w:val="00C6028F"/>
    <w:rsid w:val="00C608F1"/>
    <w:rsid w:val="00C631E1"/>
    <w:rsid w:val="00C638D8"/>
    <w:rsid w:val="00C63C84"/>
    <w:rsid w:val="00C63D26"/>
    <w:rsid w:val="00C641EB"/>
    <w:rsid w:val="00C65053"/>
    <w:rsid w:val="00C65BD9"/>
    <w:rsid w:val="00C66061"/>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5209"/>
    <w:rsid w:val="00C8618F"/>
    <w:rsid w:val="00C90372"/>
    <w:rsid w:val="00C9041F"/>
    <w:rsid w:val="00C9138F"/>
    <w:rsid w:val="00C91A45"/>
    <w:rsid w:val="00C91ED2"/>
    <w:rsid w:val="00C91FB4"/>
    <w:rsid w:val="00C95745"/>
    <w:rsid w:val="00C962E3"/>
    <w:rsid w:val="00C965BD"/>
    <w:rsid w:val="00C97997"/>
    <w:rsid w:val="00CA08FE"/>
    <w:rsid w:val="00CA0FAC"/>
    <w:rsid w:val="00CA25C0"/>
    <w:rsid w:val="00CA2697"/>
    <w:rsid w:val="00CA3451"/>
    <w:rsid w:val="00CA4948"/>
    <w:rsid w:val="00CA52F9"/>
    <w:rsid w:val="00CA568B"/>
    <w:rsid w:val="00CA74D4"/>
    <w:rsid w:val="00CA7500"/>
    <w:rsid w:val="00CB1239"/>
    <w:rsid w:val="00CB178B"/>
    <w:rsid w:val="00CB19FE"/>
    <w:rsid w:val="00CB23C2"/>
    <w:rsid w:val="00CB304C"/>
    <w:rsid w:val="00CB53E8"/>
    <w:rsid w:val="00CB593E"/>
    <w:rsid w:val="00CB594A"/>
    <w:rsid w:val="00CB5CB2"/>
    <w:rsid w:val="00CB6979"/>
    <w:rsid w:val="00CB74EC"/>
    <w:rsid w:val="00CC0A3D"/>
    <w:rsid w:val="00CC2373"/>
    <w:rsid w:val="00CC3C6A"/>
    <w:rsid w:val="00CC3D24"/>
    <w:rsid w:val="00CC3F91"/>
    <w:rsid w:val="00CC4B0A"/>
    <w:rsid w:val="00CC544A"/>
    <w:rsid w:val="00CC57EA"/>
    <w:rsid w:val="00CC5954"/>
    <w:rsid w:val="00CC6C4E"/>
    <w:rsid w:val="00CD05A2"/>
    <w:rsid w:val="00CD19DA"/>
    <w:rsid w:val="00CD29D4"/>
    <w:rsid w:val="00CD38F5"/>
    <w:rsid w:val="00CD3ABE"/>
    <w:rsid w:val="00CD400F"/>
    <w:rsid w:val="00CD437E"/>
    <w:rsid w:val="00CD5A89"/>
    <w:rsid w:val="00CD5DAD"/>
    <w:rsid w:val="00CD72C5"/>
    <w:rsid w:val="00CD77A2"/>
    <w:rsid w:val="00CD79A7"/>
    <w:rsid w:val="00CE0789"/>
    <w:rsid w:val="00CE1A03"/>
    <w:rsid w:val="00CE2346"/>
    <w:rsid w:val="00CE3529"/>
    <w:rsid w:val="00CE35C8"/>
    <w:rsid w:val="00CE3962"/>
    <w:rsid w:val="00CE5105"/>
    <w:rsid w:val="00CE56BD"/>
    <w:rsid w:val="00CE5EC0"/>
    <w:rsid w:val="00CE6F9F"/>
    <w:rsid w:val="00CE773B"/>
    <w:rsid w:val="00CE781A"/>
    <w:rsid w:val="00CE7B3A"/>
    <w:rsid w:val="00CF10D4"/>
    <w:rsid w:val="00CF1D74"/>
    <w:rsid w:val="00CF2BE2"/>
    <w:rsid w:val="00CF55F9"/>
    <w:rsid w:val="00CF56F1"/>
    <w:rsid w:val="00CF71A6"/>
    <w:rsid w:val="00CF7495"/>
    <w:rsid w:val="00CF7671"/>
    <w:rsid w:val="00D01CF9"/>
    <w:rsid w:val="00D0334D"/>
    <w:rsid w:val="00D0374D"/>
    <w:rsid w:val="00D05A76"/>
    <w:rsid w:val="00D07F1D"/>
    <w:rsid w:val="00D10558"/>
    <w:rsid w:val="00D1203E"/>
    <w:rsid w:val="00D13E70"/>
    <w:rsid w:val="00D140B5"/>
    <w:rsid w:val="00D16C58"/>
    <w:rsid w:val="00D17019"/>
    <w:rsid w:val="00D170C1"/>
    <w:rsid w:val="00D21168"/>
    <w:rsid w:val="00D235C8"/>
    <w:rsid w:val="00D2438C"/>
    <w:rsid w:val="00D25DFA"/>
    <w:rsid w:val="00D26C3F"/>
    <w:rsid w:val="00D27185"/>
    <w:rsid w:val="00D27C40"/>
    <w:rsid w:val="00D31E78"/>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5B1E"/>
    <w:rsid w:val="00D45BA4"/>
    <w:rsid w:val="00D46CA8"/>
    <w:rsid w:val="00D46E77"/>
    <w:rsid w:val="00D471AF"/>
    <w:rsid w:val="00D4724F"/>
    <w:rsid w:val="00D50519"/>
    <w:rsid w:val="00D516A5"/>
    <w:rsid w:val="00D5264C"/>
    <w:rsid w:val="00D5289A"/>
    <w:rsid w:val="00D537FE"/>
    <w:rsid w:val="00D538F0"/>
    <w:rsid w:val="00D54A6A"/>
    <w:rsid w:val="00D54BF8"/>
    <w:rsid w:val="00D54D7C"/>
    <w:rsid w:val="00D55951"/>
    <w:rsid w:val="00D56316"/>
    <w:rsid w:val="00D572BE"/>
    <w:rsid w:val="00D57EB6"/>
    <w:rsid w:val="00D60ED7"/>
    <w:rsid w:val="00D63586"/>
    <w:rsid w:val="00D664BF"/>
    <w:rsid w:val="00D66D8B"/>
    <w:rsid w:val="00D72A1C"/>
    <w:rsid w:val="00D73580"/>
    <w:rsid w:val="00D73802"/>
    <w:rsid w:val="00D73868"/>
    <w:rsid w:val="00D73C2C"/>
    <w:rsid w:val="00D73D52"/>
    <w:rsid w:val="00D742A0"/>
    <w:rsid w:val="00D745E7"/>
    <w:rsid w:val="00D77495"/>
    <w:rsid w:val="00D774ED"/>
    <w:rsid w:val="00D7778F"/>
    <w:rsid w:val="00D777F6"/>
    <w:rsid w:val="00D77F88"/>
    <w:rsid w:val="00D8044C"/>
    <w:rsid w:val="00D81EAA"/>
    <w:rsid w:val="00D8259F"/>
    <w:rsid w:val="00D825F2"/>
    <w:rsid w:val="00D828B1"/>
    <w:rsid w:val="00D84461"/>
    <w:rsid w:val="00D84F27"/>
    <w:rsid w:val="00D850D4"/>
    <w:rsid w:val="00D862D1"/>
    <w:rsid w:val="00D873C6"/>
    <w:rsid w:val="00D91027"/>
    <w:rsid w:val="00D937E0"/>
    <w:rsid w:val="00D94C7D"/>
    <w:rsid w:val="00D94CA4"/>
    <w:rsid w:val="00D94FB4"/>
    <w:rsid w:val="00D95E99"/>
    <w:rsid w:val="00DA098C"/>
    <w:rsid w:val="00DA1A3A"/>
    <w:rsid w:val="00DA2A3B"/>
    <w:rsid w:val="00DA2C65"/>
    <w:rsid w:val="00DA395D"/>
    <w:rsid w:val="00DA44EB"/>
    <w:rsid w:val="00DB16B8"/>
    <w:rsid w:val="00DB1D52"/>
    <w:rsid w:val="00DB1F62"/>
    <w:rsid w:val="00DB2E03"/>
    <w:rsid w:val="00DB3742"/>
    <w:rsid w:val="00DB3F4B"/>
    <w:rsid w:val="00DB61A4"/>
    <w:rsid w:val="00DB67C1"/>
    <w:rsid w:val="00DB70CD"/>
    <w:rsid w:val="00DB70F4"/>
    <w:rsid w:val="00DC1056"/>
    <w:rsid w:val="00DC16DA"/>
    <w:rsid w:val="00DC211E"/>
    <w:rsid w:val="00DC21D8"/>
    <w:rsid w:val="00DC2369"/>
    <w:rsid w:val="00DC282A"/>
    <w:rsid w:val="00DC34DC"/>
    <w:rsid w:val="00DC3CC6"/>
    <w:rsid w:val="00DC514A"/>
    <w:rsid w:val="00DC64EC"/>
    <w:rsid w:val="00DC67B1"/>
    <w:rsid w:val="00DC7833"/>
    <w:rsid w:val="00DD132B"/>
    <w:rsid w:val="00DD1725"/>
    <w:rsid w:val="00DD20D2"/>
    <w:rsid w:val="00DD21B9"/>
    <w:rsid w:val="00DD2427"/>
    <w:rsid w:val="00DD2A18"/>
    <w:rsid w:val="00DD377A"/>
    <w:rsid w:val="00DD5AB3"/>
    <w:rsid w:val="00DD5B1A"/>
    <w:rsid w:val="00DD61E8"/>
    <w:rsid w:val="00DD62C0"/>
    <w:rsid w:val="00DD7859"/>
    <w:rsid w:val="00DE03AC"/>
    <w:rsid w:val="00DE0A1D"/>
    <w:rsid w:val="00DE15B2"/>
    <w:rsid w:val="00DE1826"/>
    <w:rsid w:val="00DE1A9A"/>
    <w:rsid w:val="00DE2494"/>
    <w:rsid w:val="00DE3D2C"/>
    <w:rsid w:val="00DE43D0"/>
    <w:rsid w:val="00DE5E82"/>
    <w:rsid w:val="00DE5FA6"/>
    <w:rsid w:val="00DE6494"/>
    <w:rsid w:val="00DE6AA1"/>
    <w:rsid w:val="00DE6C57"/>
    <w:rsid w:val="00DE74D7"/>
    <w:rsid w:val="00DE7DCC"/>
    <w:rsid w:val="00DE7EF7"/>
    <w:rsid w:val="00DF1185"/>
    <w:rsid w:val="00DF1299"/>
    <w:rsid w:val="00DF164F"/>
    <w:rsid w:val="00DF1A70"/>
    <w:rsid w:val="00DF23A8"/>
    <w:rsid w:val="00DF2F27"/>
    <w:rsid w:val="00DF6CCC"/>
    <w:rsid w:val="00DF6D0C"/>
    <w:rsid w:val="00DF6F64"/>
    <w:rsid w:val="00DF721E"/>
    <w:rsid w:val="00DF7C87"/>
    <w:rsid w:val="00E009B0"/>
    <w:rsid w:val="00E0345F"/>
    <w:rsid w:val="00E03D5C"/>
    <w:rsid w:val="00E043AC"/>
    <w:rsid w:val="00E043E9"/>
    <w:rsid w:val="00E046A9"/>
    <w:rsid w:val="00E04C0F"/>
    <w:rsid w:val="00E0570B"/>
    <w:rsid w:val="00E057B2"/>
    <w:rsid w:val="00E05996"/>
    <w:rsid w:val="00E10B87"/>
    <w:rsid w:val="00E1478B"/>
    <w:rsid w:val="00E14FAC"/>
    <w:rsid w:val="00E15007"/>
    <w:rsid w:val="00E16EC7"/>
    <w:rsid w:val="00E1714F"/>
    <w:rsid w:val="00E2026B"/>
    <w:rsid w:val="00E21576"/>
    <w:rsid w:val="00E219CE"/>
    <w:rsid w:val="00E21CAB"/>
    <w:rsid w:val="00E23961"/>
    <w:rsid w:val="00E24071"/>
    <w:rsid w:val="00E24EBC"/>
    <w:rsid w:val="00E2522C"/>
    <w:rsid w:val="00E2599B"/>
    <w:rsid w:val="00E27383"/>
    <w:rsid w:val="00E2793D"/>
    <w:rsid w:val="00E31AFA"/>
    <w:rsid w:val="00E3203D"/>
    <w:rsid w:val="00E324EE"/>
    <w:rsid w:val="00E34296"/>
    <w:rsid w:val="00E359FF"/>
    <w:rsid w:val="00E36AA7"/>
    <w:rsid w:val="00E36E39"/>
    <w:rsid w:val="00E36F0C"/>
    <w:rsid w:val="00E405F1"/>
    <w:rsid w:val="00E43054"/>
    <w:rsid w:val="00E434C4"/>
    <w:rsid w:val="00E44FE4"/>
    <w:rsid w:val="00E45D30"/>
    <w:rsid w:val="00E46013"/>
    <w:rsid w:val="00E4654B"/>
    <w:rsid w:val="00E477C3"/>
    <w:rsid w:val="00E5048D"/>
    <w:rsid w:val="00E50AC4"/>
    <w:rsid w:val="00E50E2C"/>
    <w:rsid w:val="00E51077"/>
    <w:rsid w:val="00E5132D"/>
    <w:rsid w:val="00E51741"/>
    <w:rsid w:val="00E51E16"/>
    <w:rsid w:val="00E52151"/>
    <w:rsid w:val="00E53730"/>
    <w:rsid w:val="00E53C46"/>
    <w:rsid w:val="00E54511"/>
    <w:rsid w:val="00E55DC3"/>
    <w:rsid w:val="00E57577"/>
    <w:rsid w:val="00E601DE"/>
    <w:rsid w:val="00E62043"/>
    <w:rsid w:val="00E626B9"/>
    <w:rsid w:val="00E627C9"/>
    <w:rsid w:val="00E630F3"/>
    <w:rsid w:val="00E650E0"/>
    <w:rsid w:val="00E65198"/>
    <w:rsid w:val="00E664FB"/>
    <w:rsid w:val="00E66F0D"/>
    <w:rsid w:val="00E672F9"/>
    <w:rsid w:val="00E67345"/>
    <w:rsid w:val="00E70615"/>
    <w:rsid w:val="00E71A5E"/>
    <w:rsid w:val="00E7207B"/>
    <w:rsid w:val="00E7347A"/>
    <w:rsid w:val="00E75325"/>
    <w:rsid w:val="00E759FB"/>
    <w:rsid w:val="00E75A47"/>
    <w:rsid w:val="00E75D8C"/>
    <w:rsid w:val="00E77771"/>
    <w:rsid w:val="00E777F2"/>
    <w:rsid w:val="00E779ED"/>
    <w:rsid w:val="00E802C9"/>
    <w:rsid w:val="00E80EDD"/>
    <w:rsid w:val="00E80F0A"/>
    <w:rsid w:val="00E81A6A"/>
    <w:rsid w:val="00E8291B"/>
    <w:rsid w:val="00E8395F"/>
    <w:rsid w:val="00E83C24"/>
    <w:rsid w:val="00E8473F"/>
    <w:rsid w:val="00E84DD1"/>
    <w:rsid w:val="00E85E41"/>
    <w:rsid w:val="00E85EA1"/>
    <w:rsid w:val="00E91044"/>
    <w:rsid w:val="00E910D3"/>
    <w:rsid w:val="00E923CF"/>
    <w:rsid w:val="00E9335F"/>
    <w:rsid w:val="00E95111"/>
    <w:rsid w:val="00E9760C"/>
    <w:rsid w:val="00EA061E"/>
    <w:rsid w:val="00EA14C8"/>
    <w:rsid w:val="00EA19D3"/>
    <w:rsid w:val="00EA6649"/>
    <w:rsid w:val="00EB05D0"/>
    <w:rsid w:val="00EB07C5"/>
    <w:rsid w:val="00EB1D49"/>
    <w:rsid w:val="00EB42DD"/>
    <w:rsid w:val="00EB559F"/>
    <w:rsid w:val="00EB5F3D"/>
    <w:rsid w:val="00EB6EC2"/>
    <w:rsid w:val="00EC1CEB"/>
    <w:rsid w:val="00EC21A7"/>
    <w:rsid w:val="00EC268C"/>
    <w:rsid w:val="00EC3747"/>
    <w:rsid w:val="00EC3753"/>
    <w:rsid w:val="00EC3CB8"/>
    <w:rsid w:val="00EC3D46"/>
    <w:rsid w:val="00EC4E71"/>
    <w:rsid w:val="00EC6667"/>
    <w:rsid w:val="00EC783E"/>
    <w:rsid w:val="00ED0365"/>
    <w:rsid w:val="00ED0865"/>
    <w:rsid w:val="00ED094F"/>
    <w:rsid w:val="00ED16B6"/>
    <w:rsid w:val="00ED1C60"/>
    <w:rsid w:val="00ED2EB9"/>
    <w:rsid w:val="00ED4469"/>
    <w:rsid w:val="00ED5F23"/>
    <w:rsid w:val="00ED675F"/>
    <w:rsid w:val="00ED6DC0"/>
    <w:rsid w:val="00ED79CE"/>
    <w:rsid w:val="00ED7A7A"/>
    <w:rsid w:val="00EE038C"/>
    <w:rsid w:val="00EE040B"/>
    <w:rsid w:val="00EE47C5"/>
    <w:rsid w:val="00EE490C"/>
    <w:rsid w:val="00EE613B"/>
    <w:rsid w:val="00EE7E17"/>
    <w:rsid w:val="00EF2C8E"/>
    <w:rsid w:val="00EF37AB"/>
    <w:rsid w:val="00EF3A0D"/>
    <w:rsid w:val="00EF3CEB"/>
    <w:rsid w:val="00EF41A8"/>
    <w:rsid w:val="00EF44FB"/>
    <w:rsid w:val="00EF4D3C"/>
    <w:rsid w:val="00EF51CA"/>
    <w:rsid w:val="00EF5554"/>
    <w:rsid w:val="00EF5AD8"/>
    <w:rsid w:val="00EF5D2F"/>
    <w:rsid w:val="00EF63F5"/>
    <w:rsid w:val="00EF6758"/>
    <w:rsid w:val="00EF6B90"/>
    <w:rsid w:val="00EF70AE"/>
    <w:rsid w:val="00EF79F7"/>
    <w:rsid w:val="00F00418"/>
    <w:rsid w:val="00F006C0"/>
    <w:rsid w:val="00F009BB"/>
    <w:rsid w:val="00F019AA"/>
    <w:rsid w:val="00F0267E"/>
    <w:rsid w:val="00F02686"/>
    <w:rsid w:val="00F03D99"/>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AD9"/>
    <w:rsid w:val="00F17F74"/>
    <w:rsid w:val="00F202C2"/>
    <w:rsid w:val="00F209D5"/>
    <w:rsid w:val="00F22756"/>
    <w:rsid w:val="00F23890"/>
    <w:rsid w:val="00F23B05"/>
    <w:rsid w:val="00F2447A"/>
    <w:rsid w:val="00F24638"/>
    <w:rsid w:val="00F2504D"/>
    <w:rsid w:val="00F2637F"/>
    <w:rsid w:val="00F263A8"/>
    <w:rsid w:val="00F268F7"/>
    <w:rsid w:val="00F3053D"/>
    <w:rsid w:val="00F30BDB"/>
    <w:rsid w:val="00F30CF8"/>
    <w:rsid w:val="00F31633"/>
    <w:rsid w:val="00F31EDF"/>
    <w:rsid w:val="00F32CDE"/>
    <w:rsid w:val="00F32D4C"/>
    <w:rsid w:val="00F34811"/>
    <w:rsid w:val="00F34B14"/>
    <w:rsid w:val="00F36A6A"/>
    <w:rsid w:val="00F40101"/>
    <w:rsid w:val="00F404F7"/>
    <w:rsid w:val="00F40CCA"/>
    <w:rsid w:val="00F41521"/>
    <w:rsid w:val="00F42D97"/>
    <w:rsid w:val="00F43F09"/>
    <w:rsid w:val="00F45A72"/>
    <w:rsid w:val="00F46723"/>
    <w:rsid w:val="00F46EB9"/>
    <w:rsid w:val="00F50016"/>
    <w:rsid w:val="00F50647"/>
    <w:rsid w:val="00F5118A"/>
    <w:rsid w:val="00F5165C"/>
    <w:rsid w:val="00F51A21"/>
    <w:rsid w:val="00F5276E"/>
    <w:rsid w:val="00F529F9"/>
    <w:rsid w:val="00F52E9F"/>
    <w:rsid w:val="00F53304"/>
    <w:rsid w:val="00F53D37"/>
    <w:rsid w:val="00F53D40"/>
    <w:rsid w:val="00F545ED"/>
    <w:rsid w:val="00F5687F"/>
    <w:rsid w:val="00F5727D"/>
    <w:rsid w:val="00F575C7"/>
    <w:rsid w:val="00F60305"/>
    <w:rsid w:val="00F61B12"/>
    <w:rsid w:val="00F620C5"/>
    <w:rsid w:val="00F62398"/>
    <w:rsid w:val="00F626C5"/>
    <w:rsid w:val="00F631E8"/>
    <w:rsid w:val="00F63223"/>
    <w:rsid w:val="00F63264"/>
    <w:rsid w:val="00F6379E"/>
    <w:rsid w:val="00F676EC"/>
    <w:rsid w:val="00F70320"/>
    <w:rsid w:val="00F70799"/>
    <w:rsid w:val="00F70906"/>
    <w:rsid w:val="00F70A8B"/>
    <w:rsid w:val="00F724FB"/>
    <w:rsid w:val="00F72578"/>
    <w:rsid w:val="00F72A26"/>
    <w:rsid w:val="00F733C3"/>
    <w:rsid w:val="00F756DD"/>
    <w:rsid w:val="00F75DB3"/>
    <w:rsid w:val="00F77C37"/>
    <w:rsid w:val="00F80047"/>
    <w:rsid w:val="00F8104D"/>
    <w:rsid w:val="00F81587"/>
    <w:rsid w:val="00F82571"/>
    <w:rsid w:val="00F85258"/>
    <w:rsid w:val="00F85B72"/>
    <w:rsid w:val="00F8766F"/>
    <w:rsid w:val="00F9104C"/>
    <w:rsid w:val="00F91082"/>
    <w:rsid w:val="00F91A9A"/>
    <w:rsid w:val="00F93ABB"/>
    <w:rsid w:val="00F94D79"/>
    <w:rsid w:val="00F975D3"/>
    <w:rsid w:val="00FA118A"/>
    <w:rsid w:val="00FA11CD"/>
    <w:rsid w:val="00FA31C7"/>
    <w:rsid w:val="00FA472D"/>
    <w:rsid w:val="00FA7254"/>
    <w:rsid w:val="00FB0214"/>
    <w:rsid w:val="00FB080C"/>
    <w:rsid w:val="00FB18F6"/>
    <w:rsid w:val="00FB2A52"/>
    <w:rsid w:val="00FB2F13"/>
    <w:rsid w:val="00FB6232"/>
    <w:rsid w:val="00FB6E19"/>
    <w:rsid w:val="00FB71F6"/>
    <w:rsid w:val="00FC0016"/>
    <w:rsid w:val="00FC1483"/>
    <w:rsid w:val="00FC1C47"/>
    <w:rsid w:val="00FC2EF2"/>
    <w:rsid w:val="00FC39ED"/>
    <w:rsid w:val="00FC4419"/>
    <w:rsid w:val="00FC47E2"/>
    <w:rsid w:val="00FC4AA5"/>
    <w:rsid w:val="00FC5148"/>
    <w:rsid w:val="00FC6590"/>
    <w:rsid w:val="00FC7523"/>
    <w:rsid w:val="00FC75AC"/>
    <w:rsid w:val="00FC75CB"/>
    <w:rsid w:val="00FD01BF"/>
    <w:rsid w:val="00FD0525"/>
    <w:rsid w:val="00FD0D4F"/>
    <w:rsid w:val="00FD297D"/>
    <w:rsid w:val="00FD2D13"/>
    <w:rsid w:val="00FD3D26"/>
    <w:rsid w:val="00FD4789"/>
    <w:rsid w:val="00FD6071"/>
    <w:rsid w:val="00FE0794"/>
    <w:rsid w:val="00FE1041"/>
    <w:rsid w:val="00FE24CB"/>
    <w:rsid w:val="00FE3166"/>
    <w:rsid w:val="00FE33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8E5"/>
    <w:rsid w:val="010205CE"/>
    <w:rsid w:val="012810B4"/>
    <w:rsid w:val="013D4038"/>
    <w:rsid w:val="01BA035A"/>
    <w:rsid w:val="01D24B39"/>
    <w:rsid w:val="01DF6ED8"/>
    <w:rsid w:val="01F152B2"/>
    <w:rsid w:val="01F21D93"/>
    <w:rsid w:val="020B07BA"/>
    <w:rsid w:val="021A5B1F"/>
    <w:rsid w:val="02441A54"/>
    <w:rsid w:val="02511F9D"/>
    <w:rsid w:val="025A5C68"/>
    <w:rsid w:val="02661E94"/>
    <w:rsid w:val="02963F39"/>
    <w:rsid w:val="02AB4E64"/>
    <w:rsid w:val="02B04EBD"/>
    <w:rsid w:val="02BA6BA7"/>
    <w:rsid w:val="03056ED3"/>
    <w:rsid w:val="03081343"/>
    <w:rsid w:val="032633D2"/>
    <w:rsid w:val="0334104D"/>
    <w:rsid w:val="034E5B8A"/>
    <w:rsid w:val="03707DFB"/>
    <w:rsid w:val="03846A61"/>
    <w:rsid w:val="038B1487"/>
    <w:rsid w:val="03A314B8"/>
    <w:rsid w:val="03D82B98"/>
    <w:rsid w:val="03F83E8B"/>
    <w:rsid w:val="04430370"/>
    <w:rsid w:val="04475252"/>
    <w:rsid w:val="04825AB3"/>
    <w:rsid w:val="05237BC9"/>
    <w:rsid w:val="05340028"/>
    <w:rsid w:val="05B257EC"/>
    <w:rsid w:val="05C45A46"/>
    <w:rsid w:val="05DD246D"/>
    <w:rsid w:val="05E91F4B"/>
    <w:rsid w:val="060A6FDB"/>
    <w:rsid w:val="063A4E1E"/>
    <w:rsid w:val="06615D22"/>
    <w:rsid w:val="06893F6A"/>
    <w:rsid w:val="06986394"/>
    <w:rsid w:val="069D7125"/>
    <w:rsid w:val="06AE10AC"/>
    <w:rsid w:val="06B60965"/>
    <w:rsid w:val="06D23BAB"/>
    <w:rsid w:val="06FA0DFD"/>
    <w:rsid w:val="0721282E"/>
    <w:rsid w:val="0766770C"/>
    <w:rsid w:val="077741FC"/>
    <w:rsid w:val="07AB1DBE"/>
    <w:rsid w:val="07B54D24"/>
    <w:rsid w:val="07B72767"/>
    <w:rsid w:val="07CD206E"/>
    <w:rsid w:val="0806421B"/>
    <w:rsid w:val="08077E72"/>
    <w:rsid w:val="084A5DB4"/>
    <w:rsid w:val="087C2A57"/>
    <w:rsid w:val="08BD33F4"/>
    <w:rsid w:val="08C571E9"/>
    <w:rsid w:val="09297778"/>
    <w:rsid w:val="092D2DAF"/>
    <w:rsid w:val="09577FFA"/>
    <w:rsid w:val="095D4850"/>
    <w:rsid w:val="095E716A"/>
    <w:rsid w:val="09880942"/>
    <w:rsid w:val="099C619C"/>
    <w:rsid w:val="09AB1EA0"/>
    <w:rsid w:val="09B82C1A"/>
    <w:rsid w:val="09BE2640"/>
    <w:rsid w:val="09C63218"/>
    <w:rsid w:val="09CC2AAC"/>
    <w:rsid w:val="09D75426"/>
    <w:rsid w:val="09D820EE"/>
    <w:rsid w:val="09DB3168"/>
    <w:rsid w:val="09F12FD9"/>
    <w:rsid w:val="0A1E12A6"/>
    <w:rsid w:val="0A375EC4"/>
    <w:rsid w:val="0A502BA4"/>
    <w:rsid w:val="0A652D3E"/>
    <w:rsid w:val="0A84735B"/>
    <w:rsid w:val="0A9B6453"/>
    <w:rsid w:val="0AA230F4"/>
    <w:rsid w:val="0AAC68B2"/>
    <w:rsid w:val="0ABD0ABF"/>
    <w:rsid w:val="0AC27FD5"/>
    <w:rsid w:val="0ADD4CBE"/>
    <w:rsid w:val="0B0A4571"/>
    <w:rsid w:val="0B260562"/>
    <w:rsid w:val="0B325009"/>
    <w:rsid w:val="0B3A48F0"/>
    <w:rsid w:val="0B512406"/>
    <w:rsid w:val="0B513434"/>
    <w:rsid w:val="0B624309"/>
    <w:rsid w:val="0B700387"/>
    <w:rsid w:val="0B79593B"/>
    <w:rsid w:val="0B971310"/>
    <w:rsid w:val="0B9C6927"/>
    <w:rsid w:val="0BB91287"/>
    <w:rsid w:val="0BD240F7"/>
    <w:rsid w:val="0BDE6F3F"/>
    <w:rsid w:val="0BE300B2"/>
    <w:rsid w:val="0BF64F69"/>
    <w:rsid w:val="0C0118B6"/>
    <w:rsid w:val="0C324B95"/>
    <w:rsid w:val="0C3C5A14"/>
    <w:rsid w:val="0C5C56D6"/>
    <w:rsid w:val="0C92213C"/>
    <w:rsid w:val="0C9D7720"/>
    <w:rsid w:val="0CBA2804"/>
    <w:rsid w:val="0CBA59CB"/>
    <w:rsid w:val="0CFE2CC9"/>
    <w:rsid w:val="0D0553E2"/>
    <w:rsid w:val="0D114E52"/>
    <w:rsid w:val="0D156991"/>
    <w:rsid w:val="0D29243C"/>
    <w:rsid w:val="0D3B1B72"/>
    <w:rsid w:val="0D3F3AC0"/>
    <w:rsid w:val="0D4F221D"/>
    <w:rsid w:val="0D5C3E53"/>
    <w:rsid w:val="0D84032B"/>
    <w:rsid w:val="0D964BD9"/>
    <w:rsid w:val="0DCE6B40"/>
    <w:rsid w:val="0E0A5DCA"/>
    <w:rsid w:val="0E0B38F0"/>
    <w:rsid w:val="0E0C0298"/>
    <w:rsid w:val="0E121122"/>
    <w:rsid w:val="0E2545D0"/>
    <w:rsid w:val="0E417312"/>
    <w:rsid w:val="0E6A6868"/>
    <w:rsid w:val="0E811E04"/>
    <w:rsid w:val="0E94215D"/>
    <w:rsid w:val="0EA32166"/>
    <w:rsid w:val="0EBB698C"/>
    <w:rsid w:val="0F011985"/>
    <w:rsid w:val="0F424345"/>
    <w:rsid w:val="0F442972"/>
    <w:rsid w:val="0F4F4353"/>
    <w:rsid w:val="0F6F50C4"/>
    <w:rsid w:val="0F8120BC"/>
    <w:rsid w:val="0F8A14C0"/>
    <w:rsid w:val="0FDC6CEF"/>
    <w:rsid w:val="0FE95EB3"/>
    <w:rsid w:val="0FF7237E"/>
    <w:rsid w:val="10066A65"/>
    <w:rsid w:val="101456E8"/>
    <w:rsid w:val="10394744"/>
    <w:rsid w:val="107240FA"/>
    <w:rsid w:val="10A27F31"/>
    <w:rsid w:val="10A62DB5"/>
    <w:rsid w:val="10CA487C"/>
    <w:rsid w:val="10D26947"/>
    <w:rsid w:val="10D97CD5"/>
    <w:rsid w:val="10E9492B"/>
    <w:rsid w:val="110A25AF"/>
    <w:rsid w:val="11140D0D"/>
    <w:rsid w:val="112847B9"/>
    <w:rsid w:val="11583F4F"/>
    <w:rsid w:val="11763776"/>
    <w:rsid w:val="118615AE"/>
    <w:rsid w:val="11927058"/>
    <w:rsid w:val="11B81FE1"/>
    <w:rsid w:val="11BE0614"/>
    <w:rsid w:val="12096398"/>
    <w:rsid w:val="12113C68"/>
    <w:rsid w:val="12133FB0"/>
    <w:rsid w:val="12176643"/>
    <w:rsid w:val="1226635E"/>
    <w:rsid w:val="124675EC"/>
    <w:rsid w:val="1247096F"/>
    <w:rsid w:val="124C0EFF"/>
    <w:rsid w:val="124E0CD4"/>
    <w:rsid w:val="12510966"/>
    <w:rsid w:val="129C545E"/>
    <w:rsid w:val="12A055F5"/>
    <w:rsid w:val="12A5223C"/>
    <w:rsid w:val="12A604D9"/>
    <w:rsid w:val="12B502CE"/>
    <w:rsid w:val="12B5207C"/>
    <w:rsid w:val="12B75DF4"/>
    <w:rsid w:val="12DE0F5A"/>
    <w:rsid w:val="12F80997"/>
    <w:rsid w:val="13063CBF"/>
    <w:rsid w:val="130C25E4"/>
    <w:rsid w:val="130D4243"/>
    <w:rsid w:val="13123F1B"/>
    <w:rsid w:val="13160A9B"/>
    <w:rsid w:val="132A2A6A"/>
    <w:rsid w:val="1387148A"/>
    <w:rsid w:val="13AF4F03"/>
    <w:rsid w:val="13D21C0B"/>
    <w:rsid w:val="13E02B99"/>
    <w:rsid w:val="14134EBE"/>
    <w:rsid w:val="14276C86"/>
    <w:rsid w:val="145E6EE8"/>
    <w:rsid w:val="14736E66"/>
    <w:rsid w:val="148937C0"/>
    <w:rsid w:val="149B6AC2"/>
    <w:rsid w:val="15194B44"/>
    <w:rsid w:val="15264037"/>
    <w:rsid w:val="15293653"/>
    <w:rsid w:val="1534169A"/>
    <w:rsid w:val="1544624E"/>
    <w:rsid w:val="15576C06"/>
    <w:rsid w:val="15746899"/>
    <w:rsid w:val="15804BC3"/>
    <w:rsid w:val="15C03E03"/>
    <w:rsid w:val="15F25BD1"/>
    <w:rsid w:val="16255EE4"/>
    <w:rsid w:val="162A25EB"/>
    <w:rsid w:val="16537E62"/>
    <w:rsid w:val="16550C87"/>
    <w:rsid w:val="1662251B"/>
    <w:rsid w:val="167209B0"/>
    <w:rsid w:val="168129A1"/>
    <w:rsid w:val="16964761"/>
    <w:rsid w:val="16C6727A"/>
    <w:rsid w:val="16FD2A55"/>
    <w:rsid w:val="17021A9A"/>
    <w:rsid w:val="17366761"/>
    <w:rsid w:val="17494CC2"/>
    <w:rsid w:val="176F3141"/>
    <w:rsid w:val="177601B4"/>
    <w:rsid w:val="177C01F0"/>
    <w:rsid w:val="177D33DA"/>
    <w:rsid w:val="179A543D"/>
    <w:rsid w:val="179A7DA5"/>
    <w:rsid w:val="17B34838"/>
    <w:rsid w:val="17BD20FF"/>
    <w:rsid w:val="17BE151B"/>
    <w:rsid w:val="17CE6630"/>
    <w:rsid w:val="17DC2678"/>
    <w:rsid w:val="17ED732A"/>
    <w:rsid w:val="17EF7DDE"/>
    <w:rsid w:val="180C273E"/>
    <w:rsid w:val="187F1162"/>
    <w:rsid w:val="18972950"/>
    <w:rsid w:val="18A137CE"/>
    <w:rsid w:val="18E42933"/>
    <w:rsid w:val="18F57676"/>
    <w:rsid w:val="19304EC9"/>
    <w:rsid w:val="193974CA"/>
    <w:rsid w:val="193F7EBE"/>
    <w:rsid w:val="195E6FCA"/>
    <w:rsid w:val="19820BA0"/>
    <w:rsid w:val="19B337B9"/>
    <w:rsid w:val="19C3155D"/>
    <w:rsid w:val="19F11E15"/>
    <w:rsid w:val="1A2A311F"/>
    <w:rsid w:val="1A3E23ED"/>
    <w:rsid w:val="1A50725A"/>
    <w:rsid w:val="1A516B2E"/>
    <w:rsid w:val="1A576908"/>
    <w:rsid w:val="1AAB50C6"/>
    <w:rsid w:val="1AFA16D5"/>
    <w:rsid w:val="1B001672"/>
    <w:rsid w:val="1B1867CC"/>
    <w:rsid w:val="1B300BF6"/>
    <w:rsid w:val="1B302BE8"/>
    <w:rsid w:val="1B374044"/>
    <w:rsid w:val="1B375D24"/>
    <w:rsid w:val="1B4F19F8"/>
    <w:rsid w:val="1B545074"/>
    <w:rsid w:val="1B636B19"/>
    <w:rsid w:val="1B701328"/>
    <w:rsid w:val="1B74720F"/>
    <w:rsid w:val="1B7E3953"/>
    <w:rsid w:val="1BA64C58"/>
    <w:rsid w:val="1BC72B5D"/>
    <w:rsid w:val="1BD92184"/>
    <w:rsid w:val="1C5170A2"/>
    <w:rsid w:val="1C5D7A0C"/>
    <w:rsid w:val="1C700326"/>
    <w:rsid w:val="1C790F60"/>
    <w:rsid w:val="1CC17F9B"/>
    <w:rsid w:val="1CD22153"/>
    <w:rsid w:val="1CDF1601"/>
    <w:rsid w:val="1CF06AD2"/>
    <w:rsid w:val="1D1F34C2"/>
    <w:rsid w:val="1D23361F"/>
    <w:rsid w:val="1D275FCD"/>
    <w:rsid w:val="1D28001A"/>
    <w:rsid w:val="1D4061A8"/>
    <w:rsid w:val="1DAC3DFD"/>
    <w:rsid w:val="1DC45B4A"/>
    <w:rsid w:val="1DC8750C"/>
    <w:rsid w:val="1DDF4451"/>
    <w:rsid w:val="1DF24184"/>
    <w:rsid w:val="1E087E4C"/>
    <w:rsid w:val="1E4A2E9F"/>
    <w:rsid w:val="1E805C34"/>
    <w:rsid w:val="1E8D7D16"/>
    <w:rsid w:val="1E9B4F4B"/>
    <w:rsid w:val="1EAE3DE3"/>
    <w:rsid w:val="1EEE0DF0"/>
    <w:rsid w:val="1EEE23EF"/>
    <w:rsid w:val="1EF44203"/>
    <w:rsid w:val="1F063325"/>
    <w:rsid w:val="1F0B7BF4"/>
    <w:rsid w:val="1F925C1F"/>
    <w:rsid w:val="1FA2402F"/>
    <w:rsid w:val="1FAE057F"/>
    <w:rsid w:val="1FBC5DF5"/>
    <w:rsid w:val="1FC55574"/>
    <w:rsid w:val="1FF266BE"/>
    <w:rsid w:val="203D099C"/>
    <w:rsid w:val="20621A95"/>
    <w:rsid w:val="20631369"/>
    <w:rsid w:val="20781442"/>
    <w:rsid w:val="20D83B05"/>
    <w:rsid w:val="213113CB"/>
    <w:rsid w:val="215238B8"/>
    <w:rsid w:val="216B3F37"/>
    <w:rsid w:val="21700193"/>
    <w:rsid w:val="217355DC"/>
    <w:rsid w:val="2181419D"/>
    <w:rsid w:val="219914E7"/>
    <w:rsid w:val="21B75183"/>
    <w:rsid w:val="21B83F86"/>
    <w:rsid w:val="21E55E66"/>
    <w:rsid w:val="21F41C74"/>
    <w:rsid w:val="21F953A4"/>
    <w:rsid w:val="220B3A67"/>
    <w:rsid w:val="221178A8"/>
    <w:rsid w:val="221213CF"/>
    <w:rsid w:val="22327A92"/>
    <w:rsid w:val="224551CB"/>
    <w:rsid w:val="22501E48"/>
    <w:rsid w:val="22965435"/>
    <w:rsid w:val="22BD6F35"/>
    <w:rsid w:val="22E36792"/>
    <w:rsid w:val="23052BAC"/>
    <w:rsid w:val="230E6909"/>
    <w:rsid w:val="231D53A2"/>
    <w:rsid w:val="23216D47"/>
    <w:rsid w:val="23231232"/>
    <w:rsid w:val="23344045"/>
    <w:rsid w:val="2360370C"/>
    <w:rsid w:val="239C5EE6"/>
    <w:rsid w:val="239D4B92"/>
    <w:rsid w:val="23A200FC"/>
    <w:rsid w:val="23A91FE1"/>
    <w:rsid w:val="23B7504C"/>
    <w:rsid w:val="23B87C1E"/>
    <w:rsid w:val="23D36806"/>
    <w:rsid w:val="23EE3640"/>
    <w:rsid w:val="24003A9F"/>
    <w:rsid w:val="24165275"/>
    <w:rsid w:val="245513DF"/>
    <w:rsid w:val="24571307"/>
    <w:rsid w:val="24A00DDE"/>
    <w:rsid w:val="24B30B11"/>
    <w:rsid w:val="24BA2984"/>
    <w:rsid w:val="24BE74B6"/>
    <w:rsid w:val="25084ECB"/>
    <w:rsid w:val="25126E09"/>
    <w:rsid w:val="25246333"/>
    <w:rsid w:val="25A44EB7"/>
    <w:rsid w:val="25A93CC2"/>
    <w:rsid w:val="25AF726C"/>
    <w:rsid w:val="25C14636"/>
    <w:rsid w:val="261A34AD"/>
    <w:rsid w:val="26431A21"/>
    <w:rsid w:val="26446DE3"/>
    <w:rsid w:val="264D165B"/>
    <w:rsid w:val="265F3538"/>
    <w:rsid w:val="2661634B"/>
    <w:rsid w:val="267529CF"/>
    <w:rsid w:val="26835926"/>
    <w:rsid w:val="26C32B62"/>
    <w:rsid w:val="26CD1617"/>
    <w:rsid w:val="26D7699F"/>
    <w:rsid w:val="26E2795F"/>
    <w:rsid w:val="26F763D8"/>
    <w:rsid w:val="27143ED1"/>
    <w:rsid w:val="27174C5C"/>
    <w:rsid w:val="27234AD7"/>
    <w:rsid w:val="272C03B2"/>
    <w:rsid w:val="274A5E17"/>
    <w:rsid w:val="276C144B"/>
    <w:rsid w:val="279A2132"/>
    <w:rsid w:val="27BF77CD"/>
    <w:rsid w:val="27FC5B08"/>
    <w:rsid w:val="284303FE"/>
    <w:rsid w:val="28447CD2"/>
    <w:rsid w:val="284D08E4"/>
    <w:rsid w:val="28645998"/>
    <w:rsid w:val="28B2405D"/>
    <w:rsid w:val="28BA2ED0"/>
    <w:rsid w:val="28BE12C2"/>
    <w:rsid w:val="28C92E4A"/>
    <w:rsid w:val="28D56A50"/>
    <w:rsid w:val="28EF40E2"/>
    <w:rsid w:val="2912495F"/>
    <w:rsid w:val="2920316B"/>
    <w:rsid w:val="29286A82"/>
    <w:rsid w:val="29345F99"/>
    <w:rsid w:val="29380BC5"/>
    <w:rsid w:val="29531C35"/>
    <w:rsid w:val="295E4DC4"/>
    <w:rsid w:val="29695805"/>
    <w:rsid w:val="29A0362E"/>
    <w:rsid w:val="29BA46F0"/>
    <w:rsid w:val="29D76564"/>
    <w:rsid w:val="29E17ECF"/>
    <w:rsid w:val="29EA6AD9"/>
    <w:rsid w:val="2A2D3BAD"/>
    <w:rsid w:val="2A336250"/>
    <w:rsid w:val="2A3A11DE"/>
    <w:rsid w:val="2A4915D0"/>
    <w:rsid w:val="2A5A691B"/>
    <w:rsid w:val="2A6C24DF"/>
    <w:rsid w:val="2A703001"/>
    <w:rsid w:val="2AAE5148"/>
    <w:rsid w:val="2AC777F8"/>
    <w:rsid w:val="2ADC66A8"/>
    <w:rsid w:val="2B09065E"/>
    <w:rsid w:val="2B193B25"/>
    <w:rsid w:val="2B237433"/>
    <w:rsid w:val="2B774624"/>
    <w:rsid w:val="2BA256DD"/>
    <w:rsid w:val="2BE0538D"/>
    <w:rsid w:val="2BE20C96"/>
    <w:rsid w:val="2C6941AB"/>
    <w:rsid w:val="2C7A72BE"/>
    <w:rsid w:val="2C8D1C48"/>
    <w:rsid w:val="2CA62D0A"/>
    <w:rsid w:val="2CBF3DCB"/>
    <w:rsid w:val="2CD561B7"/>
    <w:rsid w:val="2CE1294E"/>
    <w:rsid w:val="2D326235"/>
    <w:rsid w:val="2D493819"/>
    <w:rsid w:val="2D5409B8"/>
    <w:rsid w:val="2D6A3D37"/>
    <w:rsid w:val="2D6D7CCB"/>
    <w:rsid w:val="2D6E3D0B"/>
    <w:rsid w:val="2D710239"/>
    <w:rsid w:val="2D916B25"/>
    <w:rsid w:val="2D9B1CDC"/>
    <w:rsid w:val="2DB63420"/>
    <w:rsid w:val="2DC15E91"/>
    <w:rsid w:val="2DC21DC5"/>
    <w:rsid w:val="2E2B44BD"/>
    <w:rsid w:val="2E3777C8"/>
    <w:rsid w:val="2E3A195C"/>
    <w:rsid w:val="2E4805E5"/>
    <w:rsid w:val="2E5B7A26"/>
    <w:rsid w:val="2E7B3E63"/>
    <w:rsid w:val="2EEB5D26"/>
    <w:rsid w:val="2EF97512"/>
    <w:rsid w:val="2F013AAD"/>
    <w:rsid w:val="2F082C66"/>
    <w:rsid w:val="2F0D7070"/>
    <w:rsid w:val="2F401D3C"/>
    <w:rsid w:val="2F436F36"/>
    <w:rsid w:val="2F5051AF"/>
    <w:rsid w:val="2F6173BC"/>
    <w:rsid w:val="2F70241B"/>
    <w:rsid w:val="2F9F469B"/>
    <w:rsid w:val="2FA95C88"/>
    <w:rsid w:val="2FAD2601"/>
    <w:rsid w:val="2FE02959"/>
    <w:rsid w:val="2FE057DD"/>
    <w:rsid w:val="30006BD5"/>
    <w:rsid w:val="3041370F"/>
    <w:rsid w:val="304C1E1A"/>
    <w:rsid w:val="306B6744"/>
    <w:rsid w:val="30877D3C"/>
    <w:rsid w:val="308D3B08"/>
    <w:rsid w:val="30B31E99"/>
    <w:rsid w:val="30CA2A6F"/>
    <w:rsid w:val="30E16A06"/>
    <w:rsid w:val="30F06C49"/>
    <w:rsid w:val="31010E56"/>
    <w:rsid w:val="310821E5"/>
    <w:rsid w:val="31083A05"/>
    <w:rsid w:val="311A4DFB"/>
    <w:rsid w:val="315F16D9"/>
    <w:rsid w:val="31693D78"/>
    <w:rsid w:val="3180356E"/>
    <w:rsid w:val="318849C2"/>
    <w:rsid w:val="31B14D9A"/>
    <w:rsid w:val="31FC7390"/>
    <w:rsid w:val="32453A27"/>
    <w:rsid w:val="3263064A"/>
    <w:rsid w:val="32653151"/>
    <w:rsid w:val="32943604"/>
    <w:rsid w:val="32AC0C06"/>
    <w:rsid w:val="32B83797"/>
    <w:rsid w:val="32BD0DAD"/>
    <w:rsid w:val="32F9396B"/>
    <w:rsid w:val="32FA495D"/>
    <w:rsid w:val="330318EB"/>
    <w:rsid w:val="336E3E55"/>
    <w:rsid w:val="33707BCD"/>
    <w:rsid w:val="33957634"/>
    <w:rsid w:val="33D90F0B"/>
    <w:rsid w:val="33FA1CBC"/>
    <w:rsid w:val="342866FA"/>
    <w:rsid w:val="342F7A89"/>
    <w:rsid w:val="34675474"/>
    <w:rsid w:val="347231D3"/>
    <w:rsid w:val="34847621"/>
    <w:rsid w:val="349D6F1D"/>
    <w:rsid w:val="34A2025B"/>
    <w:rsid w:val="34B55802"/>
    <w:rsid w:val="34BB30CA"/>
    <w:rsid w:val="34CA3F9D"/>
    <w:rsid w:val="34D643A8"/>
    <w:rsid w:val="34D81ECE"/>
    <w:rsid w:val="34E07900"/>
    <w:rsid w:val="35304278"/>
    <w:rsid w:val="3537750C"/>
    <w:rsid w:val="3537798C"/>
    <w:rsid w:val="354C16F7"/>
    <w:rsid w:val="357F7ED5"/>
    <w:rsid w:val="358636D8"/>
    <w:rsid w:val="358E0337"/>
    <w:rsid w:val="35902FF5"/>
    <w:rsid w:val="3597364C"/>
    <w:rsid w:val="359C2EFC"/>
    <w:rsid w:val="35A136FA"/>
    <w:rsid w:val="35C13FC9"/>
    <w:rsid w:val="36232E50"/>
    <w:rsid w:val="362E6D87"/>
    <w:rsid w:val="36363350"/>
    <w:rsid w:val="364257B6"/>
    <w:rsid w:val="36637DA1"/>
    <w:rsid w:val="367B3D86"/>
    <w:rsid w:val="36985DB9"/>
    <w:rsid w:val="36BB3856"/>
    <w:rsid w:val="36E27034"/>
    <w:rsid w:val="36F648A8"/>
    <w:rsid w:val="36F834D1"/>
    <w:rsid w:val="36FE366C"/>
    <w:rsid w:val="373A6E70"/>
    <w:rsid w:val="373D32F2"/>
    <w:rsid w:val="374264D3"/>
    <w:rsid w:val="377111BB"/>
    <w:rsid w:val="37A0799D"/>
    <w:rsid w:val="37B05A15"/>
    <w:rsid w:val="37C1661D"/>
    <w:rsid w:val="37DB7874"/>
    <w:rsid w:val="37E961A0"/>
    <w:rsid w:val="37EA5922"/>
    <w:rsid w:val="37F05781"/>
    <w:rsid w:val="37F24111"/>
    <w:rsid w:val="3809405A"/>
    <w:rsid w:val="38276B93"/>
    <w:rsid w:val="38325D99"/>
    <w:rsid w:val="38564832"/>
    <w:rsid w:val="385D55D5"/>
    <w:rsid w:val="3885411B"/>
    <w:rsid w:val="388E7E0D"/>
    <w:rsid w:val="388F7B77"/>
    <w:rsid w:val="38A071A7"/>
    <w:rsid w:val="38A33F3F"/>
    <w:rsid w:val="38B22A36"/>
    <w:rsid w:val="38F60180"/>
    <w:rsid w:val="38FA68B7"/>
    <w:rsid w:val="390414E4"/>
    <w:rsid w:val="39225E0E"/>
    <w:rsid w:val="39447B32"/>
    <w:rsid w:val="39C742BF"/>
    <w:rsid w:val="3A033549"/>
    <w:rsid w:val="3A064841"/>
    <w:rsid w:val="3A0B64A7"/>
    <w:rsid w:val="3A4A48F1"/>
    <w:rsid w:val="3A7038BB"/>
    <w:rsid w:val="3A8F74D3"/>
    <w:rsid w:val="3AA36ADA"/>
    <w:rsid w:val="3AEF571B"/>
    <w:rsid w:val="3AF74C02"/>
    <w:rsid w:val="3B0A6B5A"/>
    <w:rsid w:val="3B181A85"/>
    <w:rsid w:val="3B5225F7"/>
    <w:rsid w:val="3B8A7538"/>
    <w:rsid w:val="3BC6658C"/>
    <w:rsid w:val="3BCB0097"/>
    <w:rsid w:val="3BCD4AC2"/>
    <w:rsid w:val="3BD27A91"/>
    <w:rsid w:val="3BE9676F"/>
    <w:rsid w:val="3BFA097C"/>
    <w:rsid w:val="3C0059A5"/>
    <w:rsid w:val="3C0C3B45"/>
    <w:rsid w:val="3C134E78"/>
    <w:rsid w:val="3C2E5C5A"/>
    <w:rsid w:val="3C301B5F"/>
    <w:rsid w:val="3C4D4F50"/>
    <w:rsid w:val="3C5067EE"/>
    <w:rsid w:val="3C552351"/>
    <w:rsid w:val="3C7B7D0F"/>
    <w:rsid w:val="3C801BC8"/>
    <w:rsid w:val="3CA56B3A"/>
    <w:rsid w:val="3CAB1AFC"/>
    <w:rsid w:val="3CCD7DE2"/>
    <w:rsid w:val="3D05582A"/>
    <w:rsid w:val="3D110527"/>
    <w:rsid w:val="3D1E4B3E"/>
    <w:rsid w:val="3D2955AA"/>
    <w:rsid w:val="3D2E55CE"/>
    <w:rsid w:val="3D3103CE"/>
    <w:rsid w:val="3D390582"/>
    <w:rsid w:val="3D4A2287"/>
    <w:rsid w:val="3D9848F1"/>
    <w:rsid w:val="3DA80CEA"/>
    <w:rsid w:val="3DBD39D2"/>
    <w:rsid w:val="3DC512D0"/>
    <w:rsid w:val="3DD1570D"/>
    <w:rsid w:val="3DEC628A"/>
    <w:rsid w:val="3DF31B27"/>
    <w:rsid w:val="3DF6345D"/>
    <w:rsid w:val="3EBD711C"/>
    <w:rsid w:val="3EDF240F"/>
    <w:rsid w:val="3EE13701"/>
    <w:rsid w:val="3EEB27A2"/>
    <w:rsid w:val="3EFA9C1A"/>
    <w:rsid w:val="3F0A35CC"/>
    <w:rsid w:val="3F1A4BB3"/>
    <w:rsid w:val="3F4F7231"/>
    <w:rsid w:val="3F6D3035"/>
    <w:rsid w:val="3F6F2358"/>
    <w:rsid w:val="3F8006C4"/>
    <w:rsid w:val="3F890995"/>
    <w:rsid w:val="3FC03C8B"/>
    <w:rsid w:val="40192BA6"/>
    <w:rsid w:val="40271248"/>
    <w:rsid w:val="402B1A4C"/>
    <w:rsid w:val="404D0826"/>
    <w:rsid w:val="40520309"/>
    <w:rsid w:val="40980764"/>
    <w:rsid w:val="409C1193"/>
    <w:rsid w:val="40E045E4"/>
    <w:rsid w:val="40E907ED"/>
    <w:rsid w:val="40F93B6F"/>
    <w:rsid w:val="41151DB4"/>
    <w:rsid w:val="41287D39"/>
    <w:rsid w:val="412F10C8"/>
    <w:rsid w:val="414D127D"/>
    <w:rsid w:val="41941738"/>
    <w:rsid w:val="41A30F3F"/>
    <w:rsid w:val="41D34149"/>
    <w:rsid w:val="42114C71"/>
    <w:rsid w:val="42550A18"/>
    <w:rsid w:val="425600A9"/>
    <w:rsid w:val="42AA2C85"/>
    <w:rsid w:val="42B02E2F"/>
    <w:rsid w:val="42B42116"/>
    <w:rsid w:val="42B616E6"/>
    <w:rsid w:val="42CD2946"/>
    <w:rsid w:val="42D114D2"/>
    <w:rsid w:val="42EE5221"/>
    <w:rsid w:val="42F473A1"/>
    <w:rsid w:val="43176403"/>
    <w:rsid w:val="431C305F"/>
    <w:rsid w:val="432D04A7"/>
    <w:rsid w:val="43350518"/>
    <w:rsid w:val="43633DC5"/>
    <w:rsid w:val="436A288B"/>
    <w:rsid w:val="438D11C0"/>
    <w:rsid w:val="43A15B81"/>
    <w:rsid w:val="43D61CCF"/>
    <w:rsid w:val="4413477E"/>
    <w:rsid w:val="441E62C0"/>
    <w:rsid w:val="44267767"/>
    <w:rsid w:val="44274ACD"/>
    <w:rsid w:val="442B2D6C"/>
    <w:rsid w:val="4437604C"/>
    <w:rsid w:val="443D58AA"/>
    <w:rsid w:val="445B0426"/>
    <w:rsid w:val="447F5EC2"/>
    <w:rsid w:val="44832A4B"/>
    <w:rsid w:val="44901E7E"/>
    <w:rsid w:val="44BB27AC"/>
    <w:rsid w:val="44F410E1"/>
    <w:rsid w:val="451965D3"/>
    <w:rsid w:val="455235D7"/>
    <w:rsid w:val="45811C7C"/>
    <w:rsid w:val="45AA78B4"/>
    <w:rsid w:val="45C10B75"/>
    <w:rsid w:val="45C1250B"/>
    <w:rsid w:val="45D756FD"/>
    <w:rsid w:val="461A0599"/>
    <w:rsid w:val="46276812"/>
    <w:rsid w:val="462D194E"/>
    <w:rsid w:val="46582E6F"/>
    <w:rsid w:val="466F61DE"/>
    <w:rsid w:val="46704FD2"/>
    <w:rsid w:val="46713F31"/>
    <w:rsid w:val="468B3EFB"/>
    <w:rsid w:val="46A14816"/>
    <w:rsid w:val="46F851C7"/>
    <w:rsid w:val="46F9547C"/>
    <w:rsid w:val="470A6193"/>
    <w:rsid w:val="471A0124"/>
    <w:rsid w:val="471C3E9C"/>
    <w:rsid w:val="471D34DB"/>
    <w:rsid w:val="473867FC"/>
    <w:rsid w:val="473A4323"/>
    <w:rsid w:val="477261B2"/>
    <w:rsid w:val="478038B4"/>
    <w:rsid w:val="478B45C3"/>
    <w:rsid w:val="47997CE8"/>
    <w:rsid w:val="47AA339A"/>
    <w:rsid w:val="47B7493F"/>
    <w:rsid w:val="47C021EF"/>
    <w:rsid w:val="47D76CDD"/>
    <w:rsid w:val="47DC4F5C"/>
    <w:rsid w:val="47E36A6B"/>
    <w:rsid w:val="47FE35A2"/>
    <w:rsid w:val="4800556C"/>
    <w:rsid w:val="486E697A"/>
    <w:rsid w:val="487D05E9"/>
    <w:rsid w:val="488E5A52"/>
    <w:rsid w:val="489F59CF"/>
    <w:rsid w:val="48A04659"/>
    <w:rsid w:val="48B40671"/>
    <w:rsid w:val="48D2126E"/>
    <w:rsid w:val="48F427AC"/>
    <w:rsid w:val="49651A5B"/>
    <w:rsid w:val="4977185E"/>
    <w:rsid w:val="499B5738"/>
    <w:rsid w:val="499F244D"/>
    <w:rsid w:val="49E634D1"/>
    <w:rsid w:val="49EF5981"/>
    <w:rsid w:val="4A271A87"/>
    <w:rsid w:val="4A4245A7"/>
    <w:rsid w:val="4A62606A"/>
    <w:rsid w:val="4A763E59"/>
    <w:rsid w:val="4A8F58C2"/>
    <w:rsid w:val="4A9014FC"/>
    <w:rsid w:val="4A9D3546"/>
    <w:rsid w:val="4AAF6DD6"/>
    <w:rsid w:val="4ABE43DB"/>
    <w:rsid w:val="4ADE0E90"/>
    <w:rsid w:val="4AF07E3D"/>
    <w:rsid w:val="4AF96BC7"/>
    <w:rsid w:val="4B225D19"/>
    <w:rsid w:val="4B3A6458"/>
    <w:rsid w:val="4B5F0424"/>
    <w:rsid w:val="4B702839"/>
    <w:rsid w:val="4B7C7AC6"/>
    <w:rsid w:val="4B842132"/>
    <w:rsid w:val="4BA97CC9"/>
    <w:rsid w:val="4BBC7E1A"/>
    <w:rsid w:val="4BFB4050"/>
    <w:rsid w:val="4C00513D"/>
    <w:rsid w:val="4C0523A8"/>
    <w:rsid w:val="4CEF36E2"/>
    <w:rsid w:val="4CF3569F"/>
    <w:rsid w:val="4CFA088B"/>
    <w:rsid w:val="4CFB3355"/>
    <w:rsid w:val="4D1B0752"/>
    <w:rsid w:val="4D3B1120"/>
    <w:rsid w:val="4D5356ED"/>
    <w:rsid w:val="4D7A1D09"/>
    <w:rsid w:val="4D7B4C51"/>
    <w:rsid w:val="4DA60964"/>
    <w:rsid w:val="4DA939EE"/>
    <w:rsid w:val="4DAF4CC1"/>
    <w:rsid w:val="4DB9405C"/>
    <w:rsid w:val="4DC112FA"/>
    <w:rsid w:val="4DD43DBB"/>
    <w:rsid w:val="4DE658F0"/>
    <w:rsid w:val="4DE7232B"/>
    <w:rsid w:val="4E0062C6"/>
    <w:rsid w:val="4E317D3C"/>
    <w:rsid w:val="4E393C65"/>
    <w:rsid w:val="4E676345"/>
    <w:rsid w:val="4E8422D7"/>
    <w:rsid w:val="4E880069"/>
    <w:rsid w:val="4E8F31A6"/>
    <w:rsid w:val="4E93713A"/>
    <w:rsid w:val="4EAD5D22"/>
    <w:rsid w:val="4EE911C5"/>
    <w:rsid w:val="4EF474AD"/>
    <w:rsid w:val="4EFA0F67"/>
    <w:rsid w:val="4EFD45B3"/>
    <w:rsid w:val="4EFF657E"/>
    <w:rsid w:val="4F0A0A7E"/>
    <w:rsid w:val="4F265C5D"/>
    <w:rsid w:val="4F372FFB"/>
    <w:rsid w:val="4F4641AC"/>
    <w:rsid w:val="4F686F20"/>
    <w:rsid w:val="4F825E05"/>
    <w:rsid w:val="4FA76FA4"/>
    <w:rsid w:val="4FB7743D"/>
    <w:rsid w:val="4FE63299"/>
    <w:rsid w:val="4FF82FCD"/>
    <w:rsid w:val="50000824"/>
    <w:rsid w:val="5044725D"/>
    <w:rsid w:val="50546455"/>
    <w:rsid w:val="50780018"/>
    <w:rsid w:val="50A45085"/>
    <w:rsid w:val="50E517A3"/>
    <w:rsid w:val="513F391C"/>
    <w:rsid w:val="51445375"/>
    <w:rsid w:val="51564E44"/>
    <w:rsid w:val="51745057"/>
    <w:rsid w:val="51782617"/>
    <w:rsid w:val="51880C4A"/>
    <w:rsid w:val="519805C3"/>
    <w:rsid w:val="51F16B62"/>
    <w:rsid w:val="52282C57"/>
    <w:rsid w:val="522C42BE"/>
    <w:rsid w:val="52377DDC"/>
    <w:rsid w:val="524C4A61"/>
    <w:rsid w:val="52535FC8"/>
    <w:rsid w:val="52C10D75"/>
    <w:rsid w:val="531843CB"/>
    <w:rsid w:val="53361B76"/>
    <w:rsid w:val="534F1156"/>
    <w:rsid w:val="53616A05"/>
    <w:rsid w:val="536229FA"/>
    <w:rsid w:val="53666EF5"/>
    <w:rsid w:val="537F4F5B"/>
    <w:rsid w:val="53C125EB"/>
    <w:rsid w:val="53D9755D"/>
    <w:rsid w:val="540A45C4"/>
    <w:rsid w:val="541418AD"/>
    <w:rsid w:val="54237BE0"/>
    <w:rsid w:val="543C16DA"/>
    <w:rsid w:val="544607AB"/>
    <w:rsid w:val="545A6004"/>
    <w:rsid w:val="547E1BC3"/>
    <w:rsid w:val="549F63FA"/>
    <w:rsid w:val="54C0055D"/>
    <w:rsid w:val="54C53DC5"/>
    <w:rsid w:val="550C4BD7"/>
    <w:rsid w:val="550F5041"/>
    <w:rsid w:val="55341652"/>
    <w:rsid w:val="55543CB7"/>
    <w:rsid w:val="55572986"/>
    <w:rsid w:val="558A46C7"/>
    <w:rsid w:val="558C6691"/>
    <w:rsid w:val="55A14ACC"/>
    <w:rsid w:val="55A55461"/>
    <w:rsid w:val="55DB4F23"/>
    <w:rsid w:val="55E41853"/>
    <w:rsid w:val="560223C7"/>
    <w:rsid w:val="56261658"/>
    <w:rsid w:val="562B20BF"/>
    <w:rsid w:val="5682112F"/>
    <w:rsid w:val="56836E03"/>
    <w:rsid w:val="56A33C92"/>
    <w:rsid w:val="56D04C17"/>
    <w:rsid w:val="56DE6564"/>
    <w:rsid w:val="56F15089"/>
    <w:rsid w:val="5722129D"/>
    <w:rsid w:val="574D3BFE"/>
    <w:rsid w:val="578C0BCA"/>
    <w:rsid w:val="57995095"/>
    <w:rsid w:val="57BB34E2"/>
    <w:rsid w:val="57C50B65"/>
    <w:rsid w:val="58065D6B"/>
    <w:rsid w:val="586B2293"/>
    <w:rsid w:val="587F6039"/>
    <w:rsid w:val="5884764A"/>
    <w:rsid w:val="58DA6581"/>
    <w:rsid w:val="58E33AE8"/>
    <w:rsid w:val="58ED7447"/>
    <w:rsid w:val="59374B66"/>
    <w:rsid w:val="59465EAB"/>
    <w:rsid w:val="598A70BE"/>
    <w:rsid w:val="59995821"/>
    <w:rsid w:val="59AA0193"/>
    <w:rsid w:val="59DC376F"/>
    <w:rsid w:val="59EF3692"/>
    <w:rsid w:val="5A3D4CF5"/>
    <w:rsid w:val="5A504131"/>
    <w:rsid w:val="5A542191"/>
    <w:rsid w:val="5A5C0D28"/>
    <w:rsid w:val="5A957D93"/>
    <w:rsid w:val="5A9B6BFF"/>
    <w:rsid w:val="5AC5005A"/>
    <w:rsid w:val="5AFD311B"/>
    <w:rsid w:val="5B2A3961"/>
    <w:rsid w:val="5B341533"/>
    <w:rsid w:val="5B3760D9"/>
    <w:rsid w:val="5B613DE5"/>
    <w:rsid w:val="5B791466"/>
    <w:rsid w:val="5B86261A"/>
    <w:rsid w:val="5B924F7D"/>
    <w:rsid w:val="5B9F6428"/>
    <w:rsid w:val="5BDF6DAF"/>
    <w:rsid w:val="5BE014E5"/>
    <w:rsid w:val="5BEC1326"/>
    <w:rsid w:val="5BEC760C"/>
    <w:rsid w:val="5C317F92"/>
    <w:rsid w:val="5C341831"/>
    <w:rsid w:val="5C403052"/>
    <w:rsid w:val="5C4A614D"/>
    <w:rsid w:val="5C55644D"/>
    <w:rsid w:val="5C563555"/>
    <w:rsid w:val="5C763BF7"/>
    <w:rsid w:val="5C8C2513"/>
    <w:rsid w:val="5C8D7BE5"/>
    <w:rsid w:val="5CF71875"/>
    <w:rsid w:val="5D270429"/>
    <w:rsid w:val="5D2F6B56"/>
    <w:rsid w:val="5D525F29"/>
    <w:rsid w:val="5D5757D7"/>
    <w:rsid w:val="5D83481E"/>
    <w:rsid w:val="5D9A3817"/>
    <w:rsid w:val="5DF50B4C"/>
    <w:rsid w:val="5E0F1953"/>
    <w:rsid w:val="5E1436C8"/>
    <w:rsid w:val="5E1B2389"/>
    <w:rsid w:val="5E20206C"/>
    <w:rsid w:val="5E5B408C"/>
    <w:rsid w:val="5E6B7484"/>
    <w:rsid w:val="5EAD3EDC"/>
    <w:rsid w:val="5EC1512D"/>
    <w:rsid w:val="5F12674D"/>
    <w:rsid w:val="5F775CBC"/>
    <w:rsid w:val="5F7C32D2"/>
    <w:rsid w:val="5F80710D"/>
    <w:rsid w:val="5F9C0CF0"/>
    <w:rsid w:val="5FDF74DA"/>
    <w:rsid w:val="5FE1582B"/>
    <w:rsid w:val="5FE737A5"/>
    <w:rsid w:val="5FF4730D"/>
    <w:rsid w:val="60244399"/>
    <w:rsid w:val="60545FFD"/>
    <w:rsid w:val="606007BB"/>
    <w:rsid w:val="606F1F8C"/>
    <w:rsid w:val="60746DB9"/>
    <w:rsid w:val="60771CEC"/>
    <w:rsid w:val="609B59DA"/>
    <w:rsid w:val="60A7347D"/>
    <w:rsid w:val="60AC7BE7"/>
    <w:rsid w:val="60AC7F66"/>
    <w:rsid w:val="60BB0A7A"/>
    <w:rsid w:val="60D604FA"/>
    <w:rsid w:val="61325BA8"/>
    <w:rsid w:val="614B5652"/>
    <w:rsid w:val="615223E9"/>
    <w:rsid w:val="615D5386"/>
    <w:rsid w:val="618835DC"/>
    <w:rsid w:val="61AA6976"/>
    <w:rsid w:val="61BF10D9"/>
    <w:rsid w:val="61CD6FCB"/>
    <w:rsid w:val="61F96E5C"/>
    <w:rsid w:val="6200468F"/>
    <w:rsid w:val="621C232F"/>
    <w:rsid w:val="624532D2"/>
    <w:rsid w:val="624F048C"/>
    <w:rsid w:val="625E13B5"/>
    <w:rsid w:val="62620EA5"/>
    <w:rsid w:val="626F35C2"/>
    <w:rsid w:val="62734942"/>
    <w:rsid w:val="628470D7"/>
    <w:rsid w:val="628F5A13"/>
    <w:rsid w:val="629F7BDB"/>
    <w:rsid w:val="62A3501A"/>
    <w:rsid w:val="62CA0A19"/>
    <w:rsid w:val="62CA2245"/>
    <w:rsid w:val="62D41C4B"/>
    <w:rsid w:val="62D97E19"/>
    <w:rsid w:val="62E73159"/>
    <w:rsid w:val="631928DF"/>
    <w:rsid w:val="632C5287"/>
    <w:rsid w:val="635F53E5"/>
    <w:rsid w:val="63CD1564"/>
    <w:rsid w:val="63D07307"/>
    <w:rsid w:val="63F21DB5"/>
    <w:rsid w:val="640C7C21"/>
    <w:rsid w:val="6449418A"/>
    <w:rsid w:val="64673622"/>
    <w:rsid w:val="646C3BCE"/>
    <w:rsid w:val="648235A3"/>
    <w:rsid w:val="6483791E"/>
    <w:rsid w:val="64C85B2C"/>
    <w:rsid w:val="64E45EF7"/>
    <w:rsid w:val="65365CB0"/>
    <w:rsid w:val="653B3C30"/>
    <w:rsid w:val="655A9E13"/>
    <w:rsid w:val="657A7624"/>
    <w:rsid w:val="65893B33"/>
    <w:rsid w:val="65954D77"/>
    <w:rsid w:val="65C80B4E"/>
    <w:rsid w:val="65CB050C"/>
    <w:rsid w:val="65CB0B10"/>
    <w:rsid w:val="660811AF"/>
    <w:rsid w:val="6609788A"/>
    <w:rsid w:val="6659436D"/>
    <w:rsid w:val="669334F7"/>
    <w:rsid w:val="669D148A"/>
    <w:rsid w:val="66A575B3"/>
    <w:rsid w:val="66A57729"/>
    <w:rsid w:val="66B171A8"/>
    <w:rsid w:val="66CA526B"/>
    <w:rsid w:val="66ED4AB6"/>
    <w:rsid w:val="6707201B"/>
    <w:rsid w:val="670F748C"/>
    <w:rsid w:val="671B068E"/>
    <w:rsid w:val="6736338C"/>
    <w:rsid w:val="673B3A73"/>
    <w:rsid w:val="677435B2"/>
    <w:rsid w:val="677B0314"/>
    <w:rsid w:val="677D41D7"/>
    <w:rsid w:val="67BF6452"/>
    <w:rsid w:val="67D13936"/>
    <w:rsid w:val="67EF75F1"/>
    <w:rsid w:val="67FC0756"/>
    <w:rsid w:val="681C76FB"/>
    <w:rsid w:val="68774BE5"/>
    <w:rsid w:val="687F5BE1"/>
    <w:rsid w:val="68A11FFC"/>
    <w:rsid w:val="68B87030"/>
    <w:rsid w:val="68DA7C5F"/>
    <w:rsid w:val="68E51EE8"/>
    <w:rsid w:val="690A5154"/>
    <w:rsid w:val="690B56C7"/>
    <w:rsid w:val="69124F16"/>
    <w:rsid w:val="695D23C7"/>
    <w:rsid w:val="695E2FC1"/>
    <w:rsid w:val="6988604A"/>
    <w:rsid w:val="69985153"/>
    <w:rsid w:val="69A430D5"/>
    <w:rsid w:val="69AA3132"/>
    <w:rsid w:val="69AB24E3"/>
    <w:rsid w:val="69AC7038"/>
    <w:rsid w:val="69C64B0E"/>
    <w:rsid w:val="69C8652E"/>
    <w:rsid w:val="69CD5C14"/>
    <w:rsid w:val="69CF0D33"/>
    <w:rsid w:val="6A1567FD"/>
    <w:rsid w:val="6A1A49CC"/>
    <w:rsid w:val="6A246A40"/>
    <w:rsid w:val="6A3824EC"/>
    <w:rsid w:val="6A40107D"/>
    <w:rsid w:val="6A4C35FF"/>
    <w:rsid w:val="6A6A52B1"/>
    <w:rsid w:val="6AAD2EDA"/>
    <w:rsid w:val="6AB24495"/>
    <w:rsid w:val="6AE242BC"/>
    <w:rsid w:val="6AE777BB"/>
    <w:rsid w:val="6B333B14"/>
    <w:rsid w:val="6B4605FE"/>
    <w:rsid w:val="6B483A41"/>
    <w:rsid w:val="6B5C6C3D"/>
    <w:rsid w:val="6B9946B3"/>
    <w:rsid w:val="6BAD0265"/>
    <w:rsid w:val="6BB169FA"/>
    <w:rsid w:val="6BBD539F"/>
    <w:rsid w:val="6BD61A33"/>
    <w:rsid w:val="6BF303C7"/>
    <w:rsid w:val="6C236739"/>
    <w:rsid w:val="6C272818"/>
    <w:rsid w:val="6C310D11"/>
    <w:rsid w:val="6C562B79"/>
    <w:rsid w:val="6C7C7008"/>
    <w:rsid w:val="6C8859AD"/>
    <w:rsid w:val="6C8D4D71"/>
    <w:rsid w:val="6C921AAA"/>
    <w:rsid w:val="6C9360FF"/>
    <w:rsid w:val="6C9A7B97"/>
    <w:rsid w:val="6CA83959"/>
    <w:rsid w:val="6CB26586"/>
    <w:rsid w:val="6CE626D3"/>
    <w:rsid w:val="6CFE17CB"/>
    <w:rsid w:val="6D0E5CC9"/>
    <w:rsid w:val="6D1837C6"/>
    <w:rsid w:val="6D392803"/>
    <w:rsid w:val="6D5E04BB"/>
    <w:rsid w:val="6D62619B"/>
    <w:rsid w:val="6D9D7236"/>
    <w:rsid w:val="6DA02882"/>
    <w:rsid w:val="6DA06D26"/>
    <w:rsid w:val="6DB3115C"/>
    <w:rsid w:val="6DB747DD"/>
    <w:rsid w:val="6DE76850"/>
    <w:rsid w:val="6DF1132F"/>
    <w:rsid w:val="6E282AC7"/>
    <w:rsid w:val="6E336FB7"/>
    <w:rsid w:val="6E3919C5"/>
    <w:rsid w:val="6E3B7F3B"/>
    <w:rsid w:val="6E8B52E0"/>
    <w:rsid w:val="6E8C1058"/>
    <w:rsid w:val="6E92488A"/>
    <w:rsid w:val="6E9A1018"/>
    <w:rsid w:val="6EB62B22"/>
    <w:rsid w:val="6EBA7973"/>
    <w:rsid w:val="6F0D15DF"/>
    <w:rsid w:val="6F120ED8"/>
    <w:rsid w:val="6F3E2352"/>
    <w:rsid w:val="6F5B73A8"/>
    <w:rsid w:val="6F796663"/>
    <w:rsid w:val="6FB20BD4"/>
    <w:rsid w:val="6FBA59BE"/>
    <w:rsid w:val="6FC84A52"/>
    <w:rsid w:val="70296B3E"/>
    <w:rsid w:val="70611204"/>
    <w:rsid w:val="70673B2B"/>
    <w:rsid w:val="706F7C02"/>
    <w:rsid w:val="70730722"/>
    <w:rsid w:val="709E467F"/>
    <w:rsid w:val="709F5073"/>
    <w:rsid w:val="70A72347"/>
    <w:rsid w:val="70B67D12"/>
    <w:rsid w:val="70C7235B"/>
    <w:rsid w:val="70F17BCE"/>
    <w:rsid w:val="70F460C9"/>
    <w:rsid w:val="70FA674D"/>
    <w:rsid w:val="71097E4D"/>
    <w:rsid w:val="710C022E"/>
    <w:rsid w:val="713779A1"/>
    <w:rsid w:val="71496BE6"/>
    <w:rsid w:val="715B1366"/>
    <w:rsid w:val="71645191"/>
    <w:rsid w:val="7173590B"/>
    <w:rsid w:val="71922C19"/>
    <w:rsid w:val="71BF1DD8"/>
    <w:rsid w:val="71E73175"/>
    <w:rsid w:val="72255A4C"/>
    <w:rsid w:val="7234593E"/>
    <w:rsid w:val="726447C6"/>
    <w:rsid w:val="726B5B54"/>
    <w:rsid w:val="72982A06"/>
    <w:rsid w:val="72983CD3"/>
    <w:rsid w:val="72B82D9A"/>
    <w:rsid w:val="72EF4CB6"/>
    <w:rsid w:val="73036065"/>
    <w:rsid w:val="730E4732"/>
    <w:rsid w:val="73140E6B"/>
    <w:rsid w:val="731463F3"/>
    <w:rsid w:val="733F329F"/>
    <w:rsid w:val="739365B8"/>
    <w:rsid w:val="73A429A0"/>
    <w:rsid w:val="73C87AD4"/>
    <w:rsid w:val="74095063"/>
    <w:rsid w:val="743B2F14"/>
    <w:rsid w:val="744228E5"/>
    <w:rsid w:val="746A24BE"/>
    <w:rsid w:val="746F2FAE"/>
    <w:rsid w:val="749F1040"/>
    <w:rsid w:val="74AE06FF"/>
    <w:rsid w:val="74B63523"/>
    <w:rsid w:val="74C74B98"/>
    <w:rsid w:val="74FA2C30"/>
    <w:rsid w:val="752B15CB"/>
    <w:rsid w:val="752E3028"/>
    <w:rsid w:val="75376F90"/>
    <w:rsid w:val="757A4300"/>
    <w:rsid w:val="758B2F82"/>
    <w:rsid w:val="758E60B7"/>
    <w:rsid w:val="758F1B5A"/>
    <w:rsid w:val="75AF5D58"/>
    <w:rsid w:val="75F5118C"/>
    <w:rsid w:val="75FB63B4"/>
    <w:rsid w:val="760A5684"/>
    <w:rsid w:val="76250197"/>
    <w:rsid w:val="762D7581"/>
    <w:rsid w:val="767D5622"/>
    <w:rsid w:val="76AA0DF7"/>
    <w:rsid w:val="76BC49EB"/>
    <w:rsid w:val="76C17AC3"/>
    <w:rsid w:val="76C43A85"/>
    <w:rsid w:val="76D67314"/>
    <w:rsid w:val="76E4467C"/>
    <w:rsid w:val="76EE465E"/>
    <w:rsid w:val="77000DA2"/>
    <w:rsid w:val="770164D0"/>
    <w:rsid w:val="771F2A69"/>
    <w:rsid w:val="77216056"/>
    <w:rsid w:val="778B0C65"/>
    <w:rsid w:val="779E42D6"/>
    <w:rsid w:val="77D53A70"/>
    <w:rsid w:val="77E15E2D"/>
    <w:rsid w:val="78054355"/>
    <w:rsid w:val="781E69D1"/>
    <w:rsid w:val="78340059"/>
    <w:rsid w:val="783B5F93"/>
    <w:rsid w:val="78632E2A"/>
    <w:rsid w:val="786F730B"/>
    <w:rsid w:val="78872FBC"/>
    <w:rsid w:val="78EF46BD"/>
    <w:rsid w:val="78F41CD4"/>
    <w:rsid w:val="7904460D"/>
    <w:rsid w:val="791B3838"/>
    <w:rsid w:val="791D28CA"/>
    <w:rsid w:val="792C2B1A"/>
    <w:rsid w:val="79BE1CAB"/>
    <w:rsid w:val="79F9737C"/>
    <w:rsid w:val="7A24483B"/>
    <w:rsid w:val="7A480529"/>
    <w:rsid w:val="7A9D399F"/>
    <w:rsid w:val="7AB45BBF"/>
    <w:rsid w:val="7AC215D4"/>
    <w:rsid w:val="7AC74A3B"/>
    <w:rsid w:val="7ADD0453"/>
    <w:rsid w:val="7AF46346"/>
    <w:rsid w:val="7AFE0DFE"/>
    <w:rsid w:val="7B0F5EBF"/>
    <w:rsid w:val="7B130FB9"/>
    <w:rsid w:val="7B387FAA"/>
    <w:rsid w:val="7B3A4316"/>
    <w:rsid w:val="7B615D46"/>
    <w:rsid w:val="7B694BFB"/>
    <w:rsid w:val="7B6969A9"/>
    <w:rsid w:val="7B760DE1"/>
    <w:rsid w:val="7B796A32"/>
    <w:rsid w:val="7B875081"/>
    <w:rsid w:val="7BB43953"/>
    <w:rsid w:val="7BB7369F"/>
    <w:rsid w:val="7BC71922"/>
    <w:rsid w:val="7BDC1648"/>
    <w:rsid w:val="7BDE0625"/>
    <w:rsid w:val="7BF64EDE"/>
    <w:rsid w:val="7C3E5009"/>
    <w:rsid w:val="7C400C1E"/>
    <w:rsid w:val="7C56328E"/>
    <w:rsid w:val="7C5855FB"/>
    <w:rsid w:val="7C6C6CCE"/>
    <w:rsid w:val="7C773348"/>
    <w:rsid w:val="7C8C564B"/>
    <w:rsid w:val="7C975798"/>
    <w:rsid w:val="7CB0484C"/>
    <w:rsid w:val="7CE4728C"/>
    <w:rsid w:val="7D102F1A"/>
    <w:rsid w:val="7D422E99"/>
    <w:rsid w:val="7D4662EA"/>
    <w:rsid w:val="7D5D078F"/>
    <w:rsid w:val="7D7B6E68"/>
    <w:rsid w:val="7D8E0949"/>
    <w:rsid w:val="7D944F65"/>
    <w:rsid w:val="7DC0487A"/>
    <w:rsid w:val="7DD11708"/>
    <w:rsid w:val="7DD83ECB"/>
    <w:rsid w:val="7DDC59EE"/>
    <w:rsid w:val="7DE06CCB"/>
    <w:rsid w:val="7DF46F4A"/>
    <w:rsid w:val="7E24505B"/>
    <w:rsid w:val="7E3D4C74"/>
    <w:rsid w:val="7E4801D5"/>
    <w:rsid w:val="7E694FAA"/>
    <w:rsid w:val="7E6D1CA3"/>
    <w:rsid w:val="7E7540FA"/>
    <w:rsid w:val="7EA07FAB"/>
    <w:rsid w:val="7EBC46EA"/>
    <w:rsid w:val="7EBE04EE"/>
    <w:rsid w:val="7EC167BD"/>
    <w:rsid w:val="7EEF5417"/>
    <w:rsid w:val="7EF50554"/>
    <w:rsid w:val="7F1D6E36"/>
    <w:rsid w:val="7F587460"/>
    <w:rsid w:val="7F7345D6"/>
    <w:rsid w:val="7F8B2C9C"/>
    <w:rsid w:val="7FAE5C4F"/>
    <w:rsid w:val="7FC70A79"/>
    <w:rsid w:val="7FCA72CB"/>
    <w:rsid w:val="7FCB062D"/>
    <w:rsid w:val="7FF07699"/>
    <w:rsid w:val="7FF82C26"/>
    <w:rsid w:val="EF6DC4F0"/>
    <w:rsid w:val="FFF6D5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5">
    <w:name w:val="heading 5"/>
    <w:basedOn w:val="1"/>
    <w:next w:val="6"/>
    <w:link w:val="38"/>
    <w:autoRedefine/>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8">
    <w:name w:val="annotation text"/>
    <w:basedOn w:val="1"/>
    <w:link w:val="39"/>
    <w:autoRedefine/>
    <w:qFormat/>
    <w:uiPriority w:val="0"/>
    <w:pPr>
      <w:jc w:val="left"/>
    </w:pPr>
  </w:style>
  <w:style w:type="paragraph" w:styleId="9">
    <w:name w:val="Body Text 3"/>
    <w:basedOn w:val="1"/>
    <w:link w:val="40"/>
    <w:autoRedefine/>
    <w:unhideWhenUsed/>
    <w:qFormat/>
    <w:uiPriority w:val="99"/>
    <w:pPr>
      <w:spacing w:after="120"/>
    </w:pPr>
    <w:rPr>
      <w:sz w:val="16"/>
      <w:szCs w:val="16"/>
    </w:rPr>
  </w:style>
  <w:style w:type="paragraph" w:styleId="10">
    <w:name w:val="Body Text"/>
    <w:basedOn w:val="1"/>
    <w:link w:val="41"/>
    <w:autoRedefine/>
    <w:unhideWhenUsed/>
    <w:qFormat/>
    <w:uiPriority w:val="0"/>
    <w:pPr>
      <w:spacing w:after="120"/>
    </w:pPr>
  </w:style>
  <w:style w:type="paragraph" w:styleId="11">
    <w:name w:val="Body Text Indent"/>
    <w:basedOn w:val="1"/>
    <w:link w:val="42"/>
    <w:autoRedefine/>
    <w:qFormat/>
    <w:uiPriority w:val="0"/>
    <w:pPr>
      <w:ind w:firstLine="830" w:firstLineChars="352"/>
    </w:pPr>
    <w:rPr>
      <w:rFonts w:ascii="仿宋_GB2312" w:eastAsia="仿宋_GB2312"/>
      <w:kern w:val="0"/>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Block Text"/>
    <w:basedOn w:val="1"/>
    <w:autoRedefine/>
    <w:qFormat/>
    <w:uiPriority w:val="0"/>
    <w:pPr>
      <w:tabs>
        <w:tab w:val="left" w:pos="1440"/>
      </w:tabs>
      <w:spacing w:after="100"/>
      <w:ind w:left="3600" w:right="-288" w:hanging="2880"/>
    </w:pPr>
    <w:rPr>
      <w:snapToGrid w:val="0"/>
      <w:kern w:val="0"/>
      <w:sz w:val="22"/>
      <w:szCs w:val="20"/>
      <w:lang w:eastAsia="en-US"/>
    </w:rPr>
  </w:style>
  <w:style w:type="paragraph" w:styleId="14">
    <w:name w:val="Plain Text"/>
    <w:basedOn w:val="1"/>
    <w:next w:val="15"/>
    <w:link w:val="43"/>
    <w:autoRedefine/>
    <w:qFormat/>
    <w:uiPriority w:val="0"/>
    <w:rPr>
      <w:rFonts w:ascii="宋体" w:hAnsi="Courier New"/>
      <w:kern w:val="0"/>
      <w:sz w:val="20"/>
      <w:szCs w:val="21"/>
    </w:rPr>
  </w:style>
  <w:style w:type="paragraph" w:styleId="15">
    <w:name w:val="toc 1"/>
    <w:basedOn w:val="1"/>
    <w:next w:val="1"/>
    <w:autoRedefine/>
    <w:unhideWhenUsed/>
    <w:qFormat/>
    <w:uiPriority w:val="39"/>
  </w:style>
  <w:style w:type="paragraph" w:styleId="16">
    <w:name w:val="Date"/>
    <w:basedOn w:val="1"/>
    <w:next w:val="1"/>
    <w:link w:val="44"/>
    <w:autoRedefine/>
    <w:unhideWhenUsed/>
    <w:qFormat/>
    <w:uiPriority w:val="99"/>
    <w:pPr>
      <w:ind w:left="100" w:leftChars="2500"/>
    </w:pPr>
  </w:style>
  <w:style w:type="paragraph" w:styleId="17">
    <w:name w:val="Balloon Text"/>
    <w:basedOn w:val="1"/>
    <w:autoRedefine/>
    <w:semiHidden/>
    <w:qFormat/>
    <w:uiPriority w:val="0"/>
    <w:rPr>
      <w:sz w:val="18"/>
      <w:szCs w:val="18"/>
    </w:rPr>
  </w:style>
  <w:style w:type="paragraph" w:styleId="18">
    <w:name w:val="footer"/>
    <w:basedOn w:val="1"/>
    <w:link w:val="45"/>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link w:val="4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2"/>
    <w:basedOn w:val="1"/>
    <w:next w:val="1"/>
    <w:autoRedefine/>
    <w:unhideWhenUsed/>
    <w:qFormat/>
    <w:uiPriority w:val="39"/>
    <w:pPr>
      <w:tabs>
        <w:tab w:val="right" w:leader="dot" w:pos="8296"/>
      </w:tabs>
      <w:ind w:left="420" w:leftChars="200"/>
    </w:pPr>
  </w:style>
  <w:style w:type="paragraph" w:styleId="21">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22">
    <w:name w:val="Normal (Web)"/>
    <w:basedOn w:val="1"/>
    <w:autoRedefine/>
    <w:unhideWhenUsed/>
    <w:qFormat/>
    <w:uiPriority w:val="99"/>
    <w:rPr>
      <w:rFonts w:ascii="Calibri" w:hAnsi="Calibri"/>
      <w:kern w:val="0"/>
      <w:sz w:val="24"/>
    </w:rPr>
  </w:style>
  <w:style w:type="paragraph" w:styleId="23">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24">
    <w:name w:val="annotation subject"/>
    <w:basedOn w:val="8"/>
    <w:next w:val="8"/>
    <w:link w:val="47"/>
    <w:autoRedefine/>
    <w:qFormat/>
    <w:uiPriority w:val="99"/>
    <w:rPr>
      <w:b/>
      <w:bCs/>
    </w:rPr>
  </w:style>
  <w:style w:type="paragraph" w:styleId="25">
    <w:name w:val="Body Text First Indent"/>
    <w:basedOn w:val="10"/>
    <w:next w:val="1"/>
    <w:autoRedefine/>
    <w:qFormat/>
    <w:uiPriority w:val="0"/>
    <w:pPr>
      <w:ind w:firstLine="420" w:firstLineChars="100"/>
    </w:pPr>
  </w:style>
  <w:style w:type="paragraph" w:styleId="26">
    <w:name w:val="Body Text First Indent 2"/>
    <w:basedOn w:val="11"/>
    <w:next w:val="1"/>
    <w:autoRedefine/>
    <w:qFormat/>
    <w:uiPriority w:val="0"/>
    <w:pPr>
      <w:spacing w:after="120"/>
      <w:ind w:left="420" w:leftChars="200" w:firstLine="420" w:firstLineChars="200"/>
    </w:pPr>
    <w:rPr>
      <w:szCs w:val="24"/>
    </w:rPr>
  </w:style>
  <w:style w:type="table" w:styleId="28">
    <w:name w:val="Table Grid"/>
    <w:basedOn w:val="2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page number"/>
    <w:autoRedefine/>
    <w:qFormat/>
    <w:uiPriority w:val="0"/>
  </w:style>
  <w:style w:type="character" w:styleId="31">
    <w:name w:val="Hyperlink"/>
    <w:autoRedefine/>
    <w:unhideWhenUsed/>
    <w:qFormat/>
    <w:uiPriority w:val="99"/>
    <w:rPr>
      <w:color w:val="0000FF"/>
      <w:u w:val="single"/>
    </w:rPr>
  </w:style>
  <w:style w:type="character" w:styleId="32">
    <w:name w:val="annotation reference"/>
    <w:basedOn w:val="29"/>
    <w:autoRedefine/>
    <w:qFormat/>
    <w:uiPriority w:val="0"/>
    <w:rPr>
      <w:sz w:val="21"/>
      <w:szCs w:val="21"/>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正文1"/>
    <w:basedOn w:val="14"/>
    <w:next w:val="1"/>
    <w:autoRedefine/>
    <w:qFormat/>
    <w:uiPriority w:val="0"/>
    <w:pPr>
      <w:tabs>
        <w:tab w:val="left" w:pos="426"/>
      </w:tabs>
      <w:jc w:val="center"/>
      <w:textAlignment w:val="baseline"/>
    </w:pPr>
    <w:rPr>
      <w:rFonts w:ascii="Arial Unicode MS" w:hAnsi="Arial Unicode MS" w:eastAsia="Arial Unicode MS"/>
      <w:b/>
      <w:bCs/>
      <w:kern w:val="2"/>
      <w:sz w:val="32"/>
      <w:szCs w:val="32"/>
    </w:rPr>
  </w:style>
  <w:style w:type="character" w:customStyle="1" w:styleId="35">
    <w:name w:val="标题 2 字符"/>
    <w:link w:val="3"/>
    <w:autoRedefine/>
    <w:qFormat/>
    <w:uiPriority w:val="9"/>
    <w:rPr>
      <w:rFonts w:ascii="Cambria" w:hAnsi="Cambria" w:eastAsia="宋体" w:cs="Times New Roman"/>
      <w:b/>
      <w:bCs/>
      <w:kern w:val="2"/>
      <w:sz w:val="32"/>
      <w:szCs w:val="32"/>
    </w:rPr>
  </w:style>
  <w:style w:type="paragraph" w:customStyle="1" w:styleId="36">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标题 1 字符1"/>
    <w:link w:val="2"/>
    <w:autoRedefine/>
    <w:qFormat/>
    <w:uiPriority w:val="0"/>
    <w:rPr>
      <w:b/>
      <w:bCs/>
      <w:kern w:val="44"/>
      <w:sz w:val="44"/>
      <w:szCs w:val="44"/>
    </w:rPr>
  </w:style>
  <w:style w:type="character" w:customStyle="1" w:styleId="38">
    <w:name w:val="标题 5 字符"/>
    <w:link w:val="5"/>
    <w:autoRedefine/>
    <w:semiHidden/>
    <w:qFormat/>
    <w:uiPriority w:val="9"/>
    <w:rPr>
      <w:rFonts w:ascii="Times New Roman" w:hAnsi="Times New Roman"/>
      <w:b/>
      <w:bCs/>
      <w:kern w:val="2"/>
      <w:sz w:val="28"/>
      <w:szCs w:val="28"/>
    </w:rPr>
  </w:style>
  <w:style w:type="character" w:customStyle="1" w:styleId="39">
    <w:name w:val="批注文字 字符"/>
    <w:link w:val="8"/>
    <w:autoRedefine/>
    <w:qFormat/>
    <w:uiPriority w:val="0"/>
    <w:rPr>
      <w:rFonts w:ascii="Times New Roman" w:hAnsi="Times New Roman"/>
      <w:kern w:val="2"/>
      <w:sz w:val="21"/>
      <w:szCs w:val="24"/>
    </w:rPr>
  </w:style>
  <w:style w:type="character" w:customStyle="1" w:styleId="40">
    <w:name w:val="正文文本 3 字符"/>
    <w:link w:val="9"/>
    <w:autoRedefine/>
    <w:semiHidden/>
    <w:qFormat/>
    <w:uiPriority w:val="99"/>
    <w:rPr>
      <w:rFonts w:ascii="Times New Roman" w:hAnsi="Times New Roman"/>
      <w:kern w:val="2"/>
      <w:sz w:val="16"/>
      <w:szCs w:val="16"/>
    </w:rPr>
  </w:style>
  <w:style w:type="character" w:customStyle="1" w:styleId="41">
    <w:name w:val="正文文本 字符"/>
    <w:link w:val="10"/>
    <w:autoRedefine/>
    <w:qFormat/>
    <w:uiPriority w:val="0"/>
    <w:rPr>
      <w:rFonts w:ascii="Times New Roman" w:hAnsi="Times New Roman"/>
      <w:kern w:val="2"/>
      <w:sz w:val="21"/>
      <w:szCs w:val="24"/>
    </w:rPr>
  </w:style>
  <w:style w:type="character" w:customStyle="1" w:styleId="42">
    <w:name w:val="正文文本缩进 字符"/>
    <w:link w:val="11"/>
    <w:autoRedefine/>
    <w:qFormat/>
    <w:uiPriority w:val="0"/>
    <w:rPr>
      <w:rFonts w:ascii="仿宋_GB2312" w:hAnsi="Times New Roman" w:eastAsia="仿宋_GB2312" w:cs="Times New Roman"/>
      <w:sz w:val="32"/>
      <w:szCs w:val="20"/>
    </w:rPr>
  </w:style>
  <w:style w:type="character" w:customStyle="1" w:styleId="43">
    <w:name w:val="纯文本 字符"/>
    <w:link w:val="14"/>
    <w:autoRedefine/>
    <w:qFormat/>
    <w:uiPriority w:val="0"/>
    <w:rPr>
      <w:rFonts w:ascii="宋体" w:hAnsi="Courier New" w:eastAsia="宋体" w:cs="Courier New"/>
      <w:szCs w:val="21"/>
    </w:rPr>
  </w:style>
  <w:style w:type="character" w:customStyle="1" w:styleId="44">
    <w:name w:val="日期 字符"/>
    <w:link w:val="16"/>
    <w:autoRedefine/>
    <w:semiHidden/>
    <w:qFormat/>
    <w:uiPriority w:val="99"/>
    <w:rPr>
      <w:rFonts w:ascii="Times New Roman" w:hAnsi="Times New Roman"/>
      <w:kern w:val="2"/>
      <w:sz w:val="21"/>
      <w:szCs w:val="24"/>
    </w:rPr>
  </w:style>
  <w:style w:type="character" w:customStyle="1" w:styleId="45">
    <w:name w:val="页脚 字符"/>
    <w:link w:val="18"/>
    <w:autoRedefine/>
    <w:qFormat/>
    <w:uiPriority w:val="99"/>
    <w:rPr>
      <w:sz w:val="18"/>
      <w:szCs w:val="18"/>
    </w:rPr>
  </w:style>
  <w:style w:type="character" w:customStyle="1" w:styleId="46">
    <w:name w:val="页眉 字符"/>
    <w:link w:val="19"/>
    <w:autoRedefine/>
    <w:qFormat/>
    <w:uiPriority w:val="99"/>
    <w:rPr>
      <w:sz w:val="18"/>
      <w:szCs w:val="18"/>
    </w:rPr>
  </w:style>
  <w:style w:type="character" w:customStyle="1" w:styleId="47">
    <w:name w:val="批注主题 字符"/>
    <w:link w:val="24"/>
    <w:autoRedefine/>
    <w:qFormat/>
    <w:uiPriority w:val="99"/>
    <w:rPr>
      <w:rFonts w:ascii="Times New Roman" w:hAnsi="Times New Roman"/>
      <w:b/>
      <w:bCs/>
      <w:kern w:val="2"/>
      <w:sz w:val="21"/>
      <w:szCs w:val="24"/>
    </w:rPr>
  </w:style>
  <w:style w:type="character" w:customStyle="1" w:styleId="48">
    <w:name w:val="正文文本缩进 字符1"/>
    <w:autoRedefine/>
    <w:qFormat/>
    <w:uiPriority w:val="0"/>
    <w:rPr>
      <w:rFonts w:ascii="仿宋_GB2312" w:hAnsi="Times New Roman" w:eastAsia="仿宋_GB2312" w:cs="Times New Roman"/>
      <w:sz w:val="32"/>
      <w:szCs w:val="20"/>
    </w:rPr>
  </w:style>
  <w:style w:type="character" w:customStyle="1" w:styleId="49">
    <w:name w:val="apple-style-span"/>
    <w:autoRedefine/>
    <w:qFormat/>
    <w:uiPriority w:val="0"/>
  </w:style>
  <w:style w:type="character" w:customStyle="1" w:styleId="50">
    <w:name w:val="标题 1 字符"/>
    <w:autoRedefine/>
    <w:qFormat/>
    <w:uiPriority w:val="9"/>
    <w:rPr>
      <w:b/>
      <w:bCs/>
      <w:kern w:val="44"/>
      <w:sz w:val="44"/>
      <w:szCs w:val="44"/>
    </w:rPr>
  </w:style>
  <w:style w:type="character" w:customStyle="1" w:styleId="51">
    <w:name w:val="textcontents"/>
    <w:autoRedefine/>
    <w:qFormat/>
    <w:uiPriority w:val="0"/>
  </w:style>
  <w:style w:type="character" w:customStyle="1" w:styleId="52">
    <w:name w:val="纯文本 字符1"/>
    <w:autoRedefine/>
    <w:qFormat/>
    <w:uiPriority w:val="0"/>
    <w:rPr>
      <w:rFonts w:ascii="宋体" w:hAnsi="Courier New"/>
    </w:rPr>
  </w:style>
  <w:style w:type="character" w:customStyle="1" w:styleId="53">
    <w:name w:val="批注文字 字符1"/>
    <w:autoRedefine/>
    <w:qFormat/>
    <w:uiPriority w:val="0"/>
    <w:rPr>
      <w:kern w:val="2"/>
      <w:sz w:val="21"/>
      <w:szCs w:val="24"/>
    </w:rPr>
  </w:style>
  <w:style w:type="character" w:customStyle="1" w:styleId="54">
    <w:name w:val="纯文本 字符2"/>
    <w:autoRedefine/>
    <w:qFormat/>
    <w:uiPriority w:val="0"/>
    <w:rPr>
      <w:rFonts w:ascii="宋体" w:hAnsi="Courier New" w:eastAsia="宋体" w:cs="Courier New"/>
      <w:szCs w:val="21"/>
    </w:rPr>
  </w:style>
  <w:style w:type="character" w:customStyle="1" w:styleId="55">
    <w:name w:val="页脚 Char"/>
    <w:autoRedefine/>
    <w:qFormat/>
    <w:uiPriority w:val="99"/>
    <w:rPr>
      <w:lang w:eastAsia="zh-CN"/>
    </w:rPr>
  </w:style>
  <w:style w:type="paragraph" w:customStyle="1" w:styleId="56">
    <w:name w:val="默认段落字体 Para Char Char Char Char Char Char Char Char Char1 Char Char Char Char"/>
    <w:basedOn w:val="1"/>
    <w:autoRedefine/>
    <w:qFormat/>
    <w:uiPriority w:val="0"/>
    <w:rPr>
      <w:rFonts w:ascii="Tahoma" w:hAnsi="Tahoma"/>
      <w:sz w:val="24"/>
      <w:szCs w:val="20"/>
    </w:rPr>
  </w:style>
  <w:style w:type="paragraph" w:customStyle="1" w:styleId="5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58">
    <w:name w:val="列出段落1"/>
    <w:basedOn w:val="1"/>
    <w:autoRedefine/>
    <w:qFormat/>
    <w:uiPriority w:val="34"/>
    <w:pPr>
      <w:ind w:firstLine="420" w:firstLineChars="200"/>
    </w:pPr>
  </w:style>
  <w:style w:type="paragraph" w:customStyle="1" w:styleId="59">
    <w:name w:val="Table Paragraph"/>
    <w:basedOn w:val="1"/>
    <w:autoRedefine/>
    <w:qFormat/>
    <w:uiPriority w:val="1"/>
    <w:pPr>
      <w:jc w:val="left"/>
    </w:pPr>
    <w:rPr>
      <w:rFonts w:ascii="Calibri" w:hAnsi="Calibri"/>
      <w:kern w:val="0"/>
      <w:sz w:val="22"/>
      <w:szCs w:val="22"/>
      <w:lang w:eastAsia="en-US"/>
    </w:rPr>
  </w:style>
  <w:style w:type="character" w:customStyle="1" w:styleId="60">
    <w:name w:val="批注文字 Char1"/>
    <w:autoRedefine/>
    <w:qFormat/>
    <w:uiPriority w:val="0"/>
    <w:rPr>
      <w:rFonts w:ascii="Times New Roman" w:hAnsi="Times New Roman"/>
      <w:kern w:val="2"/>
      <w:sz w:val="21"/>
      <w:szCs w:val="24"/>
    </w:rPr>
  </w:style>
  <w:style w:type="character" w:customStyle="1" w:styleId="61">
    <w:name w:val="批注文字 字符2"/>
    <w:autoRedefine/>
    <w:qFormat/>
    <w:uiPriority w:val="0"/>
    <w:rPr>
      <w:rFonts w:ascii="Times New Roman" w:hAnsi="Times New Roman"/>
      <w:kern w:val="2"/>
      <w:sz w:val="21"/>
      <w:szCs w:val="24"/>
    </w:rPr>
  </w:style>
  <w:style w:type="character" w:customStyle="1" w:styleId="62">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3">
    <w:name w:val="纯文本 Char1"/>
    <w:autoRedefine/>
    <w:qFormat/>
    <w:uiPriority w:val="0"/>
    <w:rPr>
      <w:rFonts w:ascii="宋体" w:hAnsi="Courier New" w:eastAsia="宋体" w:cs="Courier New"/>
      <w:szCs w:val="21"/>
    </w:rPr>
  </w:style>
  <w:style w:type="character" w:customStyle="1" w:styleId="64">
    <w:name w:val="批注文字 Char2"/>
    <w:autoRedefine/>
    <w:qFormat/>
    <w:uiPriority w:val="0"/>
    <w:rPr>
      <w:rFonts w:ascii="Times New Roman" w:hAnsi="Times New Roman"/>
      <w:kern w:val="2"/>
      <w:sz w:val="21"/>
      <w:szCs w:val="24"/>
    </w:rPr>
  </w:style>
  <w:style w:type="character" w:customStyle="1" w:styleId="65">
    <w:name w:val="font11"/>
    <w:basedOn w:val="29"/>
    <w:autoRedefine/>
    <w:qFormat/>
    <w:uiPriority w:val="0"/>
    <w:rPr>
      <w:rFonts w:hint="eastAsia" w:ascii="宋体" w:hAnsi="宋体" w:eastAsia="宋体" w:cs="宋体"/>
      <w:color w:val="000000"/>
      <w:sz w:val="20"/>
      <w:szCs w:val="20"/>
      <w:u w:val="none"/>
    </w:rPr>
  </w:style>
  <w:style w:type="character" w:customStyle="1" w:styleId="66">
    <w:name w:val="font41"/>
    <w:autoRedefine/>
    <w:qFormat/>
    <w:uiPriority w:val="0"/>
    <w:rPr>
      <w:rFonts w:ascii="宋体" w:hAnsi="宋体" w:eastAsia="宋体" w:cs="宋体"/>
      <w:color w:val="000000"/>
      <w:sz w:val="20"/>
      <w:szCs w:val="20"/>
      <w:u w:val="none"/>
    </w:rPr>
  </w:style>
  <w:style w:type="character" w:customStyle="1" w:styleId="67">
    <w:name w:val="font31"/>
    <w:autoRedefine/>
    <w:qFormat/>
    <w:uiPriority w:val="0"/>
    <w:rPr>
      <w:rFonts w:ascii="方正书宋_GBK" w:hAnsi="方正书宋_GBK" w:eastAsia="方正书宋_GBK" w:cs="方正书宋_GBK"/>
      <w:color w:val="000000"/>
      <w:sz w:val="21"/>
      <w:szCs w:val="21"/>
      <w:u w:val="none"/>
    </w:rPr>
  </w:style>
  <w:style w:type="character" w:customStyle="1" w:styleId="68">
    <w:name w:val="font61"/>
    <w:basedOn w:val="29"/>
    <w:autoRedefine/>
    <w:qFormat/>
    <w:uiPriority w:val="0"/>
    <w:rPr>
      <w:rFonts w:hint="default" w:ascii="Times New Roman" w:hAnsi="Times New Roman" w:cs="Times New Roman"/>
      <w:color w:val="000000"/>
      <w:sz w:val="21"/>
      <w:szCs w:val="21"/>
      <w:u w:val="none"/>
    </w:rPr>
  </w:style>
  <w:style w:type="character" w:customStyle="1" w:styleId="69">
    <w:name w:val="font71"/>
    <w:basedOn w:val="29"/>
    <w:autoRedefine/>
    <w:qFormat/>
    <w:uiPriority w:val="0"/>
    <w:rPr>
      <w:rFonts w:hint="eastAsia" w:ascii="宋体" w:hAnsi="宋体" w:eastAsia="宋体" w:cs="宋体"/>
      <w:b/>
      <w:bCs/>
      <w:color w:val="000000"/>
      <w:sz w:val="18"/>
      <w:szCs w:val="18"/>
      <w:u w:val="none"/>
    </w:rPr>
  </w:style>
  <w:style w:type="character" w:customStyle="1" w:styleId="70">
    <w:name w:val="font81"/>
    <w:basedOn w:val="29"/>
    <w:autoRedefine/>
    <w:qFormat/>
    <w:uiPriority w:val="0"/>
    <w:rPr>
      <w:rFonts w:hint="eastAsia" w:ascii="宋体" w:hAnsi="宋体" w:eastAsia="宋体" w:cs="宋体"/>
      <w:color w:val="000000"/>
      <w:sz w:val="18"/>
      <w:szCs w:val="18"/>
      <w:u w:val="none"/>
    </w:rPr>
  </w:style>
  <w:style w:type="character" w:customStyle="1" w:styleId="71">
    <w:name w:val="font01"/>
    <w:basedOn w:val="29"/>
    <w:autoRedefine/>
    <w:qFormat/>
    <w:uiPriority w:val="0"/>
    <w:rPr>
      <w:rFonts w:hint="default" w:ascii="Arial" w:hAnsi="Arial" w:cs="Arial"/>
      <w:color w:val="000000"/>
      <w:sz w:val="18"/>
      <w:szCs w:val="18"/>
      <w:u w:val="none"/>
    </w:rPr>
  </w:style>
  <w:style w:type="character" w:customStyle="1" w:styleId="72">
    <w:name w:val="font91"/>
    <w:basedOn w:val="29"/>
    <w:autoRedefine/>
    <w:qFormat/>
    <w:uiPriority w:val="0"/>
    <w:rPr>
      <w:rFonts w:hint="eastAsia" w:ascii="宋体" w:hAnsi="宋体" w:eastAsia="宋体" w:cs="宋体"/>
      <w:color w:val="000000"/>
      <w:sz w:val="18"/>
      <w:szCs w:val="18"/>
      <w:u w:val="none"/>
    </w:rPr>
  </w:style>
  <w:style w:type="character" w:customStyle="1" w:styleId="73">
    <w:name w:val="font51"/>
    <w:autoRedefine/>
    <w:qFormat/>
    <w:uiPriority w:val="0"/>
    <w:rPr>
      <w:rFonts w:hint="default" w:ascii="Times New Roman" w:hAnsi="Times New Roman" w:cs="Times New Roman"/>
      <w:b/>
      <w:color w:val="000000"/>
      <w:sz w:val="18"/>
      <w:szCs w:val="18"/>
      <w:u w:val="none"/>
    </w:rPr>
  </w:style>
  <w:style w:type="paragraph" w:styleId="74">
    <w:name w:val="List Paragraph"/>
    <w:basedOn w:val="1"/>
    <w:autoRedefine/>
    <w:qFormat/>
    <w:uiPriority w:val="34"/>
    <w:pPr>
      <w:ind w:firstLine="420" w:firstLineChars="200"/>
    </w:pPr>
  </w:style>
  <w:style w:type="paragraph" w:customStyle="1" w:styleId="75">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6">
    <w:name w:val="Title1"/>
    <w:basedOn w:val="1"/>
    <w:next w:val="1"/>
    <w:autoRedefine/>
    <w:qFormat/>
    <w:uiPriority w:val="0"/>
    <w:pPr>
      <w:jc w:val="center"/>
      <w:outlineLvl w:val="0"/>
    </w:pPr>
    <w:rPr>
      <w:rFonts w:ascii="Calibri Light" w:hAnsi="Calibri Light" w:eastAsia="Arial Unicode MS"/>
      <w:b/>
    </w:rPr>
  </w:style>
  <w:style w:type="character" w:customStyle="1" w:styleId="77">
    <w:name w:val="15"/>
    <w:autoRedefine/>
    <w:qFormat/>
    <w:uiPriority w:val="0"/>
    <w:rPr>
      <w:rFonts w:hint="default" w:ascii="Times New Roman" w:hAnsi="Times New Roman" w:eastAsia="宋体" w:cs="Times New Roman"/>
      <w:color w:val="0000FF"/>
      <w:u w:val="single"/>
    </w:rPr>
  </w:style>
  <w:style w:type="paragraph" w:customStyle="1" w:styleId="78">
    <w:name w:val="Char Char Char3"/>
    <w:basedOn w:val="1"/>
    <w:autoRedefine/>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91</Pages>
  <Words>24725</Words>
  <Characters>26540</Characters>
  <Lines>2076</Lines>
  <Paragraphs>2063</Paragraphs>
  <TotalTime>3</TotalTime>
  <ScaleCrop>false</ScaleCrop>
  <LinksUpToDate>false</LinksUpToDate>
  <CharactersWithSpaces>26828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2025-11-17T08:28:00Z</dcterms:created>
  <dc:creator>KWZB</dc:creator>
  <cp:lastModifiedBy>LLLLL</cp:lastModifiedBy>
  <cp:lastPrinted>2025-11-28T02:00:00Z</cp:lastPrinted>
  <dcterms:modified xsi:type="dcterms:W3CDTF">2026-05-09T02:22:47Z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6A51AE88E61247DBB0016DBCC19A6E9E_13</vt:lpwstr>
  </property>
  <property fmtid="{D5CDD505-2E9C-101B-9397-08002B2CF9AE}" pid="4" name="KSOTemplateDocerSaveRecord">
    <vt:lpwstr>eyJoZGlkIjoiNDEwODg2ZGY0YzJhZGM4ZTBiOTg1ZTA2N2MwOWZmZDMiLCJ1c2VySWQiOiI0OTg4NzYzNjgifQ==</vt:lpwstr>
  </property>
</Properties>
</file>