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3AC72">
      <w:pPr>
        <w:pStyle w:val="14"/>
        <w:ind w:firstLine="5"/>
        <w:jc w:val="center"/>
        <w:rPr>
          <w:rFonts w:hint="eastAsia" w:hAnsi="宋体" w:cs="宋体"/>
          <w:b/>
          <w:color w:val="auto"/>
          <w:highlight w:val="none"/>
        </w:rPr>
      </w:pPr>
    </w:p>
    <w:p w14:paraId="2BD458D2">
      <w:pPr>
        <w:pStyle w:val="14"/>
        <w:ind w:firstLine="5"/>
        <w:jc w:val="center"/>
        <w:rPr>
          <w:rFonts w:hint="eastAsia" w:hAnsi="宋体" w:cs="宋体"/>
          <w:b/>
          <w:color w:val="auto"/>
          <w:highlight w:val="none"/>
        </w:rPr>
      </w:pPr>
    </w:p>
    <w:p w14:paraId="48EFDDF4">
      <w:pPr>
        <w:pStyle w:val="14"/>
        <w:ind w:firstLine="5"/>
        <w:jc w:val="center"/>
        <w:rPr>
          <w:rFonts w:hint="eastAsia" w:hAnsi="宋体" w:cs="宋体"/>
          <w:color w:val="auto"/>
          <w:sz w:val="30"/>
          <w:szCs w:val="72"/>
          <w:highlight w:val="none"/>
        </w:rPr>
      </w:pPr>
    </w:p>
    <w:p w14:paraId="1CD8E790">
      <w:pPr>
        <w:pStyle w:val="14"/>
        <w:jc w:val="center"/>
        <w:rPr>
          <w:rFonts w:hint="eastAsia" w:hAnsi="宋体" w:cs="宋体"/>
          <w:b/>
          <w:color w:val="auto"/>
          <w:spacing w:val="-18"/>
          <w:sz w:val="96"/>
          <w:highlight w:val="none"/>
        </w:rPr>
      </w:pPr>
    </w:p>
    <w:p w14:paraId="3F70365B">
      <w:pPr>
        <w:pStyle w:val="14"/>
        <w:jc w:val="center"/>
        <w:rPr>
          <w:rFonts w:hint="eastAsia" w:hAnsi="宋体" w:cs="宋体"/>
          <w:b/>
          <w:bCs/>
          <w:color w:val="auto"/>
          <w:sz w:val="72"/>
          <w:szCs w:val="72"/>
          <w:highlight w:val="none"/>
        </w:rPr>
      </w:pPr>
      <w:r>
        <w:rPr>
          <w:rFonts w:hint="eastAsia" w:hAnsi="宋体" w:cs="宋体"/>
          <w:b/>
          <w:bCs/>
          <w:color w:val="auto"/>
          <w:sz w:val="72"/>
          <w:szCs w:val="72"/>
          <w:highlight w:val="none"/>
        </w:rPr>
        <w:t>竞争性谈判文件</w:t>
      </w:r>
    </w:p>
    <w:p w14:paraId="07342918">
      <w:pPr>
        <w:spacing w:before="318" w:beforeLines="100" w:after="159"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（全流程电子化评审）</w:t>
      </w:r>
    </w:p>
    <w:p w14:paraId="572CD6C9">
      <w:pPr>
        <w:snapToGrid w:val="0"/>
        <w:spacing w:line="360" w:lineRule="auto"/>
        <w:rPr>
          <w:rFonts w:hint="eastAsia" w:ascii="宋体" w:hAnsi="宋体" w:cs="宋体"/>
          <w:color w:val="auto"/>
          <w:sz w:val="30"/>
          <w:szCs w:val="72"/>
          <w:highlight w:val="none"/>
        </w:rPr>
      </w:pPr>
    </w:p>
    <w:p w14:paraId="101A7C56">
      <w:pPr>
        <w:pStyle w:val="10"/>
        <w:rPr>
          <w:rFonts w:hint="eastAsia" w:ascii="宋体" w:hAnsi="宋体" w:cs="宋体"/>
          <w:color w:val="auto"/>
          <w:sz w:val="30"/>
          <w:szCs w:val="72"/>
          <w:highlight w:val="none"/>
        </w:rPr>
      </w:pPr>
    </w:p>
    <w:p w14:paraId="6361939B">
      <w:pPr>
        <w:pStyle w:val="10"/>
        <w:rPr>
          <w:rFonts w:hint="eastAsia" w:ascii="宋体" w:hAnsi="宋体" w:cs="宋体"/>
          <w:color w:val="auto"/>
          <w:sz w:val="30"/>
          <w:szCs w:val="72"/>
          <w:highlight w:val="none"/>
        </w:rPr>
      </w:pPr>
    </w:p>
    <w:p w14:paraId="2E1A0691">
      <w:pPr>
        <w:pStyle w:val="10"/>
        <w:rPr>
          <w:rFonts w:hint="eastAsia" w:ascii="宋体" w:hAnsi="宋体" w:cs="宋体"/>
          <w:color w:val="auto"/>
          <w:sz w:val="30"/>
          <w:szCs w:val="72"/>
          <w:highlight w:val="none"/>
        </w:rPr>
      </w:pPr>
    </w:p>
    <w:p w14:paraId="514452F8">
      <w:pPr>
        <w:pStyle w:val="10"/>
        <w:rPr>
          <w:rFonts w:hint="eastAsia" w:ascii="宋体" w:hAnsi="宋体" w:cs="宋体"/>
          <w:color w:val="auto"/>
          <w:sz w:val="30"/>
          <w:szCs w:val="72"/>
          <w:highlight w:val="none"/>
        </w:rPr>
      </w:pPr>
    </w:p>
    <w:p w14:paraId="0FFC8A0F">
      <w:pPr>
        <w:pStyle w:val="14"/>
        <w:ind w:firstLine="1500" w:firstLineChars="500"/>
        <w:jc w:val="left"/>
        <w:rPr>
          <w:rFonts w:hint="eastAsia" w:hAnsi="宋体" w:eastAsia="宋体" w:cs="宋体"/>
          <w:bCs/>
          <w:color w:val="auto"/>
          <w:sz w:val="30"/>
          <w:szCs w:val="72"/>
          <w:highlight w:val="none"/>
          <w:lang w:eastAsia="zh-CN"/>
        </w:rPr>
      </w:pPr>
      <w:r>
        <w:rPr>
          <w:rFonts w:hint="eastAsia" w:hAnsi="宋体" w:cs="宋体"/>
          <w:bCs/>
          <w:color w:val="auto"/>
          <w:sz w:val="30"/>
          <w:szCs w:val="72"/>
          <w:highlight w:val="none"/>
        </w:rPr>
        <w:t>项目名称：</w:t>
      </w:r>
      <w:r>
        <w:rPr>
          <w:rFonts w:hint="eastAsia" w:hAnsi="宋体" w:cs="宋体"/>
          <w:bCs/>
          <w:color w:val="auto"/>
          <w:sz w:val="30"/>
          <w:szCs w:val="72"/>
          <w:highlight w:val="none"/>
          <w:lang w:eastAsia="zh-CN"/>
        </w:rPr>
        <w:t>高端装备制造紧缺人才培养实训基地——智能焊接技术学院实训教学设备更新项目（工业智能检测与控制实训设备)（重）</w:t>
      </w:r>
    </w:p>
    <w:p w14:paraId="71EF0324">
      <w:pPr>
        <w:pStyle w:val="14"/>
        <w:ind w:firstLine="1500" w:firstLineChars="500"/>
        <w:jc w:val="left"/>
        <w:rPr>
          <w:rFonts w:hint="default" w:hAnsi="宋体" w:eastAsia="宋体" w:cs="宋体"/>
          <w:bCs/>
          <w:color w:val="auto"/>
          <w:sz w:val="30"/>
          <w:szCs w:val="72"/>
          <w:highlight w:val="none"/>
          <w:lang w:val="en-US" w:eastAsia="zh-CN"/>
        </w:rPr>
      </w:pPr>
      <w:r>
        <w:rPr>
          <w:rFonts w:hint="eastAsia" w:hAnsi="宋体" w:cs="宋体"/>
          <w:bCs/>
          <w:color w:val="auto"/>
          <w:sz w:val="30"/>
          <w:szCs w:val="72"/>
          <w:highlight w:val="none"/>
        </w:rPr>
        <w:t>项目编号：</w:t>
      </w:r>
      <w:r>
        <w:rPr>
          <w:rFonts w:hint="eastAsia" w:hAnsi="宋体" w:cs="宋体"/>
          <w:bCs/>
          <w:color w:val="auto"/>
          <w:sz w:val="30"/>
          <w:szCs w:val="72"/>
          <w:highlight w:val="none"/>
          <w:lang w:val="en-US" w:eastAsia="zh-CN"/>
        </w:rPr>
        <w:t>GXZC2026-J1-002335-GXCJ</w:t>
      </w:r>
    </w:p>
    <w:p w14:paraId="3AAFF29F">
      <w:pPr>
        <w:pStyle w:val="14"/>
        <w:ind w:firstLine="1500" w:firstLineChars="500"/>
        <w:jc w:val="left"/>
        <w:rPr>
          <w:rFonts w:hint="eastAsia" w:hAnsi="宋体" w:eastAsia="宋体" w:cs="宋体"/>
          <w:bCs/>
          <w:color w:val="auto"/>
          <w:sz w:val="30"/>
          <w:szCs w:val="72"/>
          <w:highlight w:val="none"/>
          <w:lang w:eastAsia="zh-CN"/>
        </w:rPr>
      </w:pPr>
      <w:r>
        <w:rPr>
          <w:rFonts w:hint="eastAsia" w:hAnsi="宋体" w:cs="宋体"/>
          <w:bCs/>
          <w:color w:val="auto"/>
          <w:sz w:val="30"/>
          <w:szCs w:val="72"/>
          <w:highlight w:val="none"/>
        </w:rPr>
        <w:t>采购单位：</w:t>
      </w:r>
      <w:r>
        <w:rPr>
          <w:rFonts w:hint="eastAsia" w:hAnsi="宋体" w:cs="宋体"/>
          <w:bCs/>
          <w:color w:val="auto"/>
          <w:sz w:val="30"/>
          <w:szCs w:val="72"/>
          <w:highlight w:val="none"/>
          <w:lang w:eastAsia="zh-CN"/>
        </w:rPr>
        <w:t>广西机电职业技术学院</w:t>
      </w:r>
    </w:p>
    <w:p w14:paraId="6A824298">
      <w:pPr>
        <w:pStyle w:val="14"/>
        <w:ind w:firstLine="1500" w:firstLineChars="500"/>
        <w:jc w:val="left"/>
        <w:rPr>
          <w:rFonts w:hint="eastAsia" w:hAnsi="宋体" w:cs="宋体"/>
          <w:bCs/>
          <w:color w:val="auto"/>
          <w:sz w:val="30"/>
          <w:szCs w:val="72"/>
          <w:highlight w:val="none"/>
        </w:rPr>
      </w:pPr>
      <w:r>
        <w:rPr>
          <w:rFonts w:hint="eastAsia" w:hAnsi="宋体" w:cs="宋体"/>
          <w:bCs/>
          <w:color w:val="auto"/>
          <w:sz w:val="30"/>
          <w:szCs w:val="72"/>
          <w:highlight w:val="none"/>
        </w:rPr>
        <w:t>采购代理机构：广西城建咨询设计有限公司</w:t>
      </w:r>
    </w:p>
    <w:p w14:paraId="3F4F7D2F">
      <w:pPr>
        <w:pStyle w:val="14"/>
        <w:jc w:val="center"/>
        <w:rPr>
          <w:rFonts w:hint="eastAsia" w:hAnsi="宋体" w:cs="宋体"/>
          <w:bCs/>
          <w:color w:val="auto"/>
          <w:sz w:val="30"/>
          <w:szCs w:val="72"/>
          <w:highlight w:val="none"/>
        </w:rPr>
      </w:pPr>
    </w:p>
    <w:p w14:paraId="4FE32CDA">
      <w:pPr>
        <w:pStyle w:val="14"/>
        <w:jc w:val="center"/>
        <w:rPr>
          <w:rFonts w:hint="eastAsia" w:hAnsi="宋体" w:cs="宋体"/>
          <w:color w:val="auto"/>
          <w:sz w:val="22"/>
          <w:szCs w:val="24"/>
          <w:highlight w:val="none"/>
        </w:rPr>
        <w:sectPr>
          <w:headerReference r:id="rId4" w:type="first"/>
          <w:headerReference r:id="rId3" w:type="default"/>
          <w:footerReference r:id="rId5" w:type="default"/>
          <w:footerReference r:id="rId6" w:type="even"/>
          <w:pgSz w:w="11905" w:h="16838"/>
          <w:pgMar w:top="1417" w:right="1417" w:bottom="1417" w:left="1417" w:header="850" w:footer="992" w:gutter="0"/>
          <w:pgNumType w:start="0"/>
          <w:cols w:space="720" w:num="1"/>
          <w:titlePg/>
          <w:docGrid w:type="lines" w:linePitch="318" w:charSpace="0"/>
        </w:sectPr>
      </w:pPr>
      <w:r>
        <w:rPr>
          <w:rFonts w:hint="eastAsia" w:hAnsi="宋体" w:cs="宋体"/>
          <w:color w:val="auto"/>
          <w:sz w:val="32"/>
          <w:szCs w:val="24"/>
          <w:highlight w:val="none"/>
        </w:rPr>
        <w:t>202</w:t>
      </w:r>
      <w:r>
        <w:rPr>
          <w:rFonts w:hint="eastAsia" w:hAnsi="宋体" w:cs="宋体"/>
          <w:color w:val="auto"/>
          <w:sz w:val="32"/>
          <w:szCs w:val="24"/>
          <w:highlight w:val="none"/>
          <w:lang w:val="en-US" w:eastAsia="zh-CN"/>
        </w:rPr>
        <w:t>6</w:t>
      </w:r>
      <w:r>
        <w:rPr>
          <w:rFonts w:hint="eastAsia" w:hAnsi="宋体" w:cs="宋体"/>
          <w:color w:val="auto"/>
          <w:sz w:val="32"/>
          <w:szCs w:val="24"/>
          <w:highlight w:val="none"/>
        </w:rPr>
        <w:t>年</w:t>
      </w:r>
      <w:r>
        <w:rPr>
          <w:rFonts w:hint="eastAsia" w:hAnsi="宋体" w:cs="宋体"/>
          <w:color w:val="auto"/>
          <w:sz w:val="32"/>
          <w:szCs w:val="24"/>
          <w:highlight w:val="none"/>
          <w:lang w:val="en-US" w:eastAsia="zh-CN"/>
        </w:rPr>
        <w:t>7</w:t>
      </w:r>
      <w:r>
        <w:rPr>
          <w:rFonts w:hint="eastAsia" w:hAnsi="宋体" w:cs="宋体"/>
          <w:color w:val="auto"/>
          <w:sz w:val="32"/>
          <w:szCs w:val="24"/>
          <w:highlight w:val="none"/>
        </w:rPr>
        <w:t>月</w:t>
      </w:r>
      <w:r>
        <w:rPr>
          <w:rFonts w:hint="eastAsia" w:hAnsi="宋体" w:cs="宋体"/>
          <w:color w:val="auto"/>
          <w:sz w:val="32"/>
          <w:szCs w:val="24"/>
          <w:highlight w:val="none"/>
          <w:lang w:val="en-US" w:eastAsia="zh-CN"/>
        </w:rPr>
        <w:t>21</w:t>
      </w:r>
      <w:r>
        <w:rPr>
          <w:rFonts w:hint="eastAsia" w:hAnsi="宋体" w:cs="宋体"/>
          <w:color w:val="auto"/>
          <w:sz w:val="32"/>
          <w:szCs w:val="24"/>
          <w:highlight w:val="none"/>
        </w:rPr>
        <w:t>日</w:t>
      </w:r>
      <w:r>
        <w:rPr>
          <w:rFonts w:hAnsi="宋体" w:cs="宋体"/>
          <w:b/>
          <w:color w:val="auto"/>
          <w:sz w:val="36"/>
          <w:szCs w:val="144"/>
          <w:highlight w:val="none"/>
        </w:rPr>
        <w:t xml:space="preserve">  </w:t>
      </w:r>
    </w:p>
    <w:p w14:paraId="350E75BC">
      <w:pPr>
        <w:spacing w:line="360" w:lineRule="auto"/>
        <w:rPr>
          <w:rFonts w:hint="eastAsia" w:ascii="宋体" w:hAnsi="宋体" w:cs="宋体"/>
          <w:b/>
          <w:color w:val="auto"/>
          <w:sz w:val="44"/>
          <w:szCs w:val="44"/>
          <w:highlight w:val="none"/>
        </w:rPr>
      </w:pPr>
    </w:p>
    <w:p w14:paraId="63811D34">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598B8DA3">
      <w:pPr>
        <w:spacing w:line="400" w:lineRule="exact"/>
        <w:jc w:val="center"/>
        <w:rPr>
          <w:rFonts w:hint="eastAsia" w:ascii="宋体" w:hAnsi="宋体" w:cs="宋体"/>
          <w:b/>
          <w:color w:val="auto"/>
          <w:sz w:val="44"/>
          <w:szCs w:val="44"/>
          <w:highlight w:val="none"/>
        </w:rPr>
      </w:pPr>
    </w:p>
    <w:p w14:paraId="673AA189">
      <w:pPr>
        <w:pStyle w:val="15"/>
        <w:tabs>
          <w:tab w:val="right" w:leader="dot" w:pos="9071"/>
        </w:tabs>
        <w:rPr>
          <w:b/>
          <w:bCs/>
          <w:color w:val="auto"/>
          <w:sz w:val="28"/>
          <w:szCs w:val="28"/>
          <w:highlight w:val="none"/>
        </w:rPr>
      </w:pPr>
      <w:r>
        <w:rPr>
          <w:rFonts w:ascii="宋体" w:hAnsi="宋体" w:cs="宋体"/>
          <w:b/>
          <w:color w:val="auto"/>
          <w:sz w:val="24"/>
          <w:highlight w:val="none"/>
        </w:rPr>
        <w:fldChar w:fldCharType="begin"/>
      </w:r>
      <w:r>
        <w:rPr>
          <w:rFonts w:ascii="宋体" w:hAnsi="宋体" w:cs="宋体"/>
          <w:b/>
          <w:color w:val="auto"/>
          <w:sz w:val="24"/>
          <w:highlight w:val="none"/>
        </w:rPr>
        <w:instrText xml:space="preserve">TOC \o "1-1" \h \u </w:instrText>
      </w:r>
      <w:r>
        <w:rPr>
          <w:rFonts w:ascii="宋体" w:hAnsi="宋体" w:cs="宋体"/>
          <w:b/>
          <w:color w:val="auto"/>
          <w:sz w:val="24"/>
          <w:highlight w:val="none"/>
        </w:rPr>
        <w:fldChar w:fldCharType="separate"/>
      </w:r>
      <w:r>
        <w:rPr>
          <w:color w:val="auto"/>
          <w:highlight w:val="none"/>
        </w:rPr>
        <w:fldChar w:fldCharType="begin"/>
      </w:r>
      <w:r>
        <w:rPr>
          <w:color w:val="auto"/>
          <w:highlight w:val="none"/>
        </w:rPr>
        <w:instrText xml:space="preserve"> HYPERLINK \l "_Toc16507" </w:instrText>
      </w:r>
      <w:r>
        <w:rPr>
          <w:color w:val="auto"/>
          <w:highlight w:val="none"/>
        </w:rPr>
        <w:fldChar w:fldCharType="separate"/>
      </w:r>
      <w:r>
        <w:rPr>
          <w:rFonts w:hint="eastAsia" w:ascii="宋体" w:hAnsi="宋体" w:cs="宋体"/>
          <w:b/>
          <w:bCs/>
          <w:color w:val="auto"/>
          <w:sz w:val="28"/>
          <w:szCs w:val="28"/>
          <w:highlight w:val="none"/>
        </w:rPr>
        <w:t>第一章 竞争性谈判公告</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_Toc16507 \h </w:instrText>
      </w:r>
      <w:r>
        <w:rPr>
          <w:b/>
          <w:bCs/>
          <w:color w:val="auto"/>
          <w:sz w:val="28"/>
          <w:szCs w:val="28"/>
          <w:highlight w:val="none"/>
        </w:rPr>
        <w:fldChar w:fldCharType="separate"/>
      </w:r>
      <w:r>
        <w:rPr>
          <w:b/>
          <w:bCs/>
          <w:color w:val="auto"/>
          <w:sz w:val="28"/>
          <w:szCs w:val="28"/>
          <w:highlight w:val="none"/>
        </w:rPr>
        <w:t>1</w:t>
      </w:r>
      <w:r>
        <w:rPr>
          <w:b/>
          <w:bCs/>
          <w:color w:val="auto"/>
          <w:sz w:val="28"/>
          <w:szCs w:val="28"/>
          <w:highlight w:val="none"/>
        </w:rPr>
        <w:fldChar w:fldCharType="end"/>
      </w:r>
      <w:r>
        <w:rPr>
          <w:b/>
          <w:bCs/>
          <w:color w:val="auto"/>
          <w:sz w:val="28"/>
          <w:szCs w:val="28"/>
          <w:highlight w:val="none"/>
        </w:rPr>
        <w:fldChar w:fldCharType="end"/>
      </w:r>
    </w:p>
    <w:p w14:paraId="33349C63">
      <w:pPr>
        <w:pStyle w:val="15"/>
        <w:tabs>
          <w:tab w:val="right" w:leader="dot" w:pos="9071"/>
        </w:tabs>
        <w:rPr>
          <w:b/>
          <w:bCs/>
          <w:color w:val="auto"/>
          <w:sz w:val="28"/>
          <w:szCs w:val="28"/>
          <w:highlight w:val="none"/>
        </w:rPr>
      </w:pPr>
      <w:r>
        <w:rPr>
          <w:color w:val="auto"/>
          <w:highlight w:val="none"/>
        </w:rPr>
        <w:fldChar w:fldCharType="begin"/>
      </w:r>
      <w:r>
        <w:rPr>
          <w:color w:val="auto"/>
          <w:highlight w:val="none"/>
        </w:rPr>
        <w:instrText xml:space="preserve"> HYPERLINK \l "_Toc1417" </w:instrText>
      </w:r>
      <w:r>
        <w:rPr>
          <w:color w:val="auto"/>
          <w:highlight w:val="none"/>
        </w:rPr>
        <w:fldChar w:fldCharType="separate"/>
      </w:r>
      <w:r>
        <w:rPr>
          <w:rFonts w:hint="eastAsia" w:ascii="宋体" w:hAnsi="宋体" w:cs="宋体"/>
          <w:b/>
          <w:bCs/>
          <w:color w:val="auto"/>
          <w:sz w:val="28"/>
          <w:szCs w:val="28"/>
          <w:highlight w:val="none"/>
        </w:rPr>
        <w:t>第二章 供应商须知</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_Toc1417 \h </w:instrText>
      </w:r>
      <w:r>
        <w:rPr>
          <w:b/>
          <w:bCs/>
          <w:color w:val="auto"/>
          <w:sz w:val="28"/>
          <w:szCs w:val="28"/>
          <w:highlight w:val="none"/>
        </w:rPr>
        <w:fldChar w:fldCharType="separate"/>
      </w:r>
      <w:r>
        <w:rPr>
          <w:b/>
          <w:bCs/>
          <w:color w:val="auto"/>
          <w:sz w:val="28"/>
          <w:szCs w:val="28"/>
          <w:highlight w:val="none"/>
        </w:rPr>
        <w:t>5</w:t>
      </w:r>
      <w:r>
        <w:rPr>
          <w:b/>
          <w:bCs/>
          <w:color w:val="auto"/>
          <w:sz w:val="28"/>
          <w:szCs w:val="28"/>
          <w:highlight w:val="none"/>
        </w:rPr>
        <w:fldChar w:fldCharType="end"/>
      </w:r>
      <w:r>
        <w:rPr>
          <w:b/>
          <w:bCs/>
          <w:color w:val="auto"/>
          <w:sz w:val="28"/>
          <w:szCs w:val="28"/>
          <w:highlight w:val="none"/>
        </w:rPr>
        <w:fldChar w:fldCharType="end"/>
      </w:r>
    </w:p>
    <w:p w14:paraId="6E730156">
      <w:pPr>
        <w:pStyle w:val="15"/>
        <w:tabs>
          <w:tab w:val="right" w:leader="dot" w:pos="9071"/>
        </w:tabs>
        <w:rPr>
          <w:b/>
          <w:bCs/>
          <w:color w:val="auto"/>
          <w:sz w:val="28"/>
          <w:szCs w:val="28"/>
          <w:highlight w:val="none"/>
        </w:rPr>
      </w:pPr>
      <w:r>
        <w:rPr>
          <w:color w:val="auto"/>
          <w:highlight w:val="none"/>
        </w:rPr>
        <w:fldChar w:fldCharType="begin"/>
      </w:r>
      <w:r>
        <w:rPr>
          <w:color w:val="auto"/>
          <w:highlight w:val="none"/>
        </w:rPr>
        <w:instrText xml:space="preserve"> HYPERLINK \l "_Toc23210" </w:instrText>
      </w:r>
      <w:r>
        <w:rPr>
          <w:color w:val="auto"/>
          <w:highlight w:val="none"/>
        </w:rPr>
        <w:fldChar w:fldCharType="separate"/>
      </w:r>
      <w:r>
        <w:rPr>
          <w:rFonts w:hint="eastAsia" w:ascii="宋体" w:hAnsi="宋体" w:cs="宋体"/>
          <w:b/>
          <w:bCs/>
          <w:color w:val="auto"/>
          <w:sz w:val="28"/>
          <w:szCs w:val="28"/>
          <w:highlight w:val="none"/>
        </w:rPr>
        <w:t>第三章 采购需求</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_Toc23210 \h </w:instrText>
      </w:r>
      <w:r>
        <w:rPr>
          <w:b/>
          <w:bCs/>
          <w:color w:val="auto"/>
          <w:sz w:val="28"/>
          <w:szCs w:val="28"/>
          <w:highlight w:val="none"/>
        </w:rPr>
        <w:fldChar w:fldCharType="separate"/>
      </w:r>
      <w:r>
        <w:rPr>
          <w:b/>
          <w:bCs/>
          <w:color w:val="auto"/>
          <w:sz w:val="28"/>
          <w:szCs w:val="28"/>
          <w:highlight w:val="none"/>
        </w:rPr>
        <w:t>30</w:t>
      </w:r>
      <w:r>
        <w:rPr>
          <w:b/>
          <w:bCs/>
          <w:color w:val="auto"/>
          <w:sz w:val="28"/>
          <w:szCs w:val="28"/>
          <w:highlight w:val="none"/>
        </w:rPr>
        <w:fldChar w:fldCharType="end"/>
      </w:r>
      <w:r>
        <w:rPr>
          <w:b/>
          <w:bCs/>
          <w:color w:val="auto"/>
          <w:sz w:val="28"/>
          <w:szCs w:val="28"/>
          <w:highlight w:val="none"/>
        </w:rPr>
        <w:fldChar w:fldCharType="end"/>
      </w:r>
    </w:p>
    <w:p w14:paraId="106AF770">
      <w:pPr>
        <w:pStyle w:val="15"/>
        <w:tabs>
          <w:tab w:val="right" w:leader="dot" w:pos="9071"/>
        </w:tabs>
        <w:rPr>
          <w:b/>
          <w:bCs/>
          <w:color w:val="auto"/>
          <w:sz w:val="28"/>
          <w:szCs w:val="28"/>
          <w:highlight w:val="none"/>
        </w:rPr>
      </w:pPr>
      <w:r>
        <w:rPr>
          <w:color w:val="auto"/>
          <w:highlight w:val="none"/>
        </w:rPr>
        <w:fldChar w:fldCharType="begin"/>
      </w:r>
      <w:r>
        <w:rPr>
          <w:color w:val="auto"/>
          <w:highlight w:val="none"/>
        </w:rPr>
        <w:instrText xml:space="preserve"> HYPERLINK \l "_Toc5080" </w:instrText>
      </w:r>
      <w:r>
        <w:rPr>
          <w:color w:val="auto"/>
          <w:highlight w:val="none"/>
        </w:rPr>
        <w:fldChar w:fldCharType="separate"/>
      </w:r>
      <w:r>
        <w:rPr>
          <w:rFonts w:hint="eastAsia" w:ascii="宋体" w:hAnsi="宋体" w:cs="宋体"/>
          <w:b/>
          <w:bCs/>
          <w:color w:val="auto"/>
          <w:sz w:val="28"/>
          <w:szCs w:val="28"/>
          <w:highlight w:val="none"/>
        </w:rPr>
        <w:t xml:space="preserve">第四章 </w:t>
      </w:r>
      <w:r>
        <w:rPr>
          <w:rFonts w:hint="eastAsia" w:ascii="宋体" w:hAnsi="宋体" w:cs="宋体"/>
          <w:b/>
          <w:bCs/>
          <w:color w:val="auto"/>
          <w:sz w:val="28"/>
          <w:szCs w:val="28"/>
          <w:highlight w:val="none"/>
          <w:lang w:eastAsia="zh-CN"/>
        </w:rPr>
        <w:t>评审程序、评审方法和成交标准</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_Toc5080 \h </w:instrText>
      </w:r>
      <w:r>
        <w:rPr>
          <w:b/>
          <w:bCs/>
          <w:color w:val="auto"/>
          <w:sz w:val="28"/>
          <w:szCs w:val="28"/>
          <w:highlight w:val="none"/>
        </w:rPr>
        <w:fldChar w:fldCharType="separate"/>
      </w:r>
      <w:r>
        <w:rPr>
          <w:b/>
          <w:bCs/>
          <w:color w:val="auto"/>
          <w:sz w:val="28"/>
          <w:szCs w:val="28"/>
          <w:highlight w:val="none"/>
        </w:rPr>
        <w:t>42</w:t>
      </w:r>
      <w:r>
        <w:rPr>
          <w:b/>
          <w:bCs/>
          <w:color w:val="auto"/>
          <w:sz w:val="28"/>
          <w:szCs w:val="28"/>
          <w:highlight w:val="none"/>
        </w:rPr>
        <w:fldChar w:fldCharType="end"/>
      </w:r>
      <w:r>
        <w:rPr>
          <w:b/>
          <w:bCs/>
          <w:color w:val="auto"/>
          <w:sz w:val="28"/>
          <w:szCs w:val="28"/>
          <w:highlight w:val="none"/>
        </w:rPr>
        <w:fldChar w:fldCharType="end"/>
      </w:r>
    </w:p>
    <w:p w14:paraId="065886D0">
      <w:pPr>
        <w:pStyle w:val="15"/>
        <w:tabs>
          <w:tab w:val="right" w:leader="dot" w:pos="9071"/>
        </w:tabs>
        <w:rPr>
          <w:b/>
          <w:bCs/>
          <w:color w:val="auto"/>
          <w:sz w:val="28"/>
          <w:szCs w:val="28"/>
          <w:highlight w:val="none"/>
        </w:rPr>
      </w:pPr>
      <w:r>
        <w:rPr>
          <w:color w:val="auto"/>
          <w:highlight w:val="none"/>
        </w:rPr>
        <w:fldChar w:fldCharType="begin"/>
      </w:r>
      <w:r>
        <w:rPr>
          <w:color w:val="auto"/>
          <w:highlight w:val="none"/>
        </w:rPr>
        <w:instrText xml:space="preserve"> HYPERLINK \l "_Toc3661" </w:instrText>
      </w:r>
      <w:r>
        <w:rPr>
          <w:color w:val="auto"/>
          <w:highlight w:val="none"/>
        </w:rPr>
        <w:fldChar w:fldCharType="separate"/>
      </w:r>
      <w:r>
        <w:rPr>
          <w:rFonts w:hint="eastAsia" w:ascii="宋体" w:hAnsi="宋体" w:cs="宋体"/>
          <w:b/>
          <w:bCs/>
          <w:color w:val="auto"/>
          <w:sz w:val="28"/>
          <w:szCs w:val="28"/>
          <w:highlight w:val="none"/>
        </w:rPr>
        <w:t>第五章 响应文件格式</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_Toc3661 \h </w:instrText>
      </w:r>
      <w:r>
        <w:rPr>
          <w:b/>
          <w:bCs/>
          <w:color w:val="auto"/>
          <w:sz w:val="28"/>
          <w:szCs w:val="28"/>
          <w:highlight w:val="none"/>
        </w:rPr>
        <w:fldChar w:fldCharType="separate"/>
      </w:r>
      <w:r>
        <w:rPr>
          <w:b/>
          <w:bCs/>
          <w:color w:val="auto"/>
          <w:sz w:val="28"/>
          <w:szCs w:val="28"/>
          <w:highlight w:val="none"/>
        </w:rPr>
        <w:t>50</w:t>
      </w:r>
      <w:r>
        <w:rPr>
          <w:b/>
          <w:bCs/>
          <w:color w:val="auto"/>
          <w:sz w:val="28"/>
          <w:szCs w:val="28"/>
          <w:highlight w:val="none"/>
        </w:rPr>
        <w:fldChar w:fldCharType="end"/>
      </w:r>
      <w:r>
        <w:rPr>
          <w:b/>
          <w:bCs/>
          <w:color w:val="auto"/>
          <w:sz w:val="28"/>
          <w:szCs w:val="28"/>
          <w:highlight w:val="none"/>
        </w:rPr>
        <w:fldChar w:fldCharType="end"/>
      </w:r>
    </w:p>
    <w:p w14:paraId="3F807191">
      <w:pPr>
        <w:pStyle w:val="15"/>
        <w:tabs>
          <w:tab w:val="right" w:leader="dot" w:pos="9071"/>
        </w:tabs>
        <w:rPr>
          <w:color w:val="auto"/>
          <w:highlight w:val="none"/>
        </w:rPr>
      </w:pPr>
      <w:r>
        <w:rPr>
          <w:color w:val="auto"/>
          <w:highlight w:val="none"/>
        </w:rPr>
        <w:fldChar w:fldCharType="begin"/>
      </w:r>
      <w:r>
        <w:rPr>
          <w:color w:val="auto"/>
          <w:highlight w:val="none"/>
        </w:rPr>
        <w:instrText xml:space="preserve"> HYPERLINK \l "_Toc32223" </w:instrText>
      </w:r>
      <w:r>
        <w:rPr>
          <w:color w:val="auto"/>
          <w:highlight w:val="none"/>
        </w:rPr>
        <w:fldChar w:fldCharType="separate"/>
      </w:r>
      <w:r>
        <w:rPr>
          <w:rFonts w:hint="eastAsia" w:ascii="宋体" w:hAnsi="宋体" w:cs="宋体"/>
          <w:b/>
          <w:bCs/>
          <w:color w:val="auto"/>
          <w:sz w:val="28"/>
          <w:szCs w:val="28"/>
          <w:highlight w:val="none"/>
        </w:rPr>
        <w:t xml:space="preserve">第六章 </w:t>
      </w:r>
      <w:r>
        <w:rPr>
          <w:rFonts w:hint="eastAsia" w:ascii="宋体" w:hAnsi="宋体" w:cs="宋体"/>
          <w:b/>
          <w:bCs/>
          <w:color w:val="auto"/>
          <w:sz w:val="28"/>
          <w:szCs w:val="28"/>
          <w:highlight w:val="none"/>
          <w:lang w:eastAsia="zh-CN"/>
        </w:rPr>
        <w:t>合同主要条款格式</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_Toc32223 \h </w:instrText>
      </w:r>
      <w:r>
        <w:rPr>
          <w:b/>
          <w:bCs/>
          <w:color w:val="auto"/>
          <w:sz w:val="28"/>
          <w:szCs w:val="28"/>
          <w:highlight w:val="none"/>
        </w:rPr>
        <w:fldChar w:fldCharType="separate"/>
      </w:r>
      <w:r>
        <w:rPr>
          <w:b/>
          <w:bCs/>
          <w:color w:val="auto"/>
          <w:sz w:val="28"/>
          <w:szCs w:val="28"/>
          <w:highlight w:val="none"/>
        </w:rPr>
        <w:t>81</w:t>
      </w:r>
      <w:r>
        <w:rPr>
          <w:b/>
          <w:bCs/>
          <w:color w:val="auto"/>
          <w:sz w:val="28"/>
          <w:szCs w:val="28"/>
          <w:highlight w:val="none"/>
        </w:rPr>
        <w:fldChar w:fldCharType="end"/>
      </w:r>
      <w:r>
        <w:rPr>
          <w:b/>
          <w:bCs/>
          <w:color w:val="auto"/>
          <w:sz w:val="28"/>
          <w:szCs w:val="28"/>
          <w:highlight w:val="none"/>
        </w:rPr>
        <w:fldChar w:fldCharType="end"/>
      </w:r>
    </w:p>
    <w:p w14:paraId="751BE5EF">
      <w:pPr>
        <w:pStyle w:val="20"/>
        <w:tabs>
          <w:tab w:val="right" w:leader="dot" w:pos="8931"/>
          <w:tab w:val="clear" w:pos="8296"/>
        </w:tabs>
        <w:snapToGrid w:val="0"/>
        <w:spacing w:line="500" w:lineRule="atLeast"/>
        <w:ind w:left="0" w:leftChars="0"/>
        <w:rPr>
          <w:rFonts w:hint="eastAsia" w:ascii="宋体" w:hAnsi="宋体" w:cs="宋体"/>
          <w:b/>
          <w:color w:val="auto"/>
          <w:sz w:val="24"/>
          <w:highlight w:val="none"/>
        </w:rPr>
      </w:pPr>
      <w:r>
        <w:rPr>
          <w:rFonts w:ascii="宋体" w:hAnsi="宋体" w:cs="宋体"/>
          <w:color w:val="auto"/>
          <w:highlight w:val="none"/>
        </w:rPr>
        <w:fldChar w:fldCharType="end"/>
      </w:r>
    </w:p>
    <w:p w14:paraId="247357D0">
      <w:pPr>
        <w:spacing w:line="400" w:lineRule="exact"/>
        <w:jc w:val="left"/>
        <w:rPr>
          <w:rFonts w:hint="eastAsia" w:ascii="宋体" w:hAnsi="宋体" w:cs="宋体"/>
          <w:b/>
          <w:color w:val="auto"/>
          <w:sz w:val="32"/>
          <w:szCs w:val="32"/>
          <w:highlight w:val="none"/>
        </w:rPr>
      </w:pPr>
    </w:p>
    <w:p w14:paraId="3A4B1FBF">
      <w:pPr>
        <w:spacing w:line="400" w:lineRule="exact"/>
        <w:jc w:val="center"/>
        <w:rPr>
          <w:rFonts w:hint="eastAsia" w:ascii="宋体" w:hAnsi="宋体" w:cs="宋体"/>
          <w:b/>
          <w:color w:val="auto"/>
          <w:sz w:val="32"/>
          <w:szCs w:val="32"/>
          <w:highlight w:val="none"/>
        </w:rPr>
      </w:pPr>
    </w:p>
    <w:p w14:paraId="1E84BF57">
      <w:pPr>
        <w:spacing w:line="400" w:lineRule="exact"/>
        <w:jc w:val="center"/>
        <w:rPr>
          <w:rFonts w:hint="eastAsia" w:ascii="宋体" w:hAnsi="宋体" w:cs="宋体"/>
          <w:b/>
          <w:color w:val="auto"/>
          <w:sz w:val="32"/>
          <w:szCs w:val="32"/>
          <w:highlight w:val="none"/>
        </w:rPr>
      </w:pPr>
    </w:p>
    <w:p w14:paraId="3A949F3C">
      <w:pPr>
        <w:spacing w:line="400" w:lineRule="exact"/>
        <w:jc w:val="center"/>
        <w:rPr>
          <w:rFonts w:hint="eastAsia" w:ascii="宋体" w:hAnsi="宋体" w:cs="宋体"/>
          <w:b/>
          <w:color w:val="auto"/>
          <w:sz w:val="32"/>
          <w:szCs w:val="32"/>
          <w:highlight w:val="none"/>
        </w:rPr>
      </w:pPr>
    </w:p>
    <w:p w14:paraId="21A61F62">
      <w:pPr>
        <w:spacing w:line="400" w:lineRule="exact"/>
        <w:jc w:val="center"/>
        <w:rPr>
          <w:rFonts w:hint="eastAsia" w:ascii="宋体" w:hAnsi="宋体" w:cs="宋体"/>
          <w:b/>
          <w:color w:val="auto"/>
          <w:sz w:val="32"/>
          <w:szCs w:val="32"/>
          <w:highlight w:val="none"/>
        </w:rPr>
      </w:pPr>
    </w:p>
    <w:p w14:paraId="339724C8">
      <w:pPr>
        <w:spacing w:line="400" w:lineRule="exact"/>
        <w:rPr>
          <w:rFonts w:hint="eastAsia" w:ascii="宋体" w:hAnsi="宋体" w:cs="宋体"/>
          <w:b/>
          <w:color w:val="auto"/>
          <w:sz w:val="32"/>
          <w:szCs w:val="32"/>
          <w:highlight w:val="none"/>
        </w:rPr>
        <w:sectPr>
          <w:headerReference r:id="rId7" w:type="default"/>
          <w:footerReference r:id="rId8" w:type="default"/>
          <w:pgSz w:w="11905" w:h="16838"/>
          <w:pgMar w:top="1417" w:right="1417" w:bottom="1417" w:left="1417" w:header="850" w:footer="992" w:gutter="0"/>
          <w:pgNumType w:start="0"/>
          <w:cols w:space="720" w:num="1"/>
          <w:titlePg/>
          <w:docGrid w:type="lines" w:linePitch="318" w:charSpace="0"/>
        </w:sectPr>
      </w:pPr>
    </w:p>
    <w:p w14:paraId="1D1FD96C">
      <w:pPr>
        <w:pStyle w:val="2"/>
        <w:spacing w:before="0" w:after="0" w:line="240" w:lineRule="auto"/>
        <w:jc w:val="center"/>
        <w:rPr>
          <w:rFonts w:hint="eastAsia" w:ascii="宋体" w:hAnsi="宋体" w:cs="宋体"/>
          <w:color w:val="auto"/>
          <w:highlight w:val="none"/>
        </w:rPr>
      </w:pPr>
      <w:bookmarkStart w:id="0" w:name="_Toc74322008"/>
      <w:bookmarkStart w:id="1" w:name="_Toc16507"/>
      <w:r>
        <w:rPr>
          <w:rFonts w:hint="eastAsia" w:ascii="宋体" w:hAnsi="宋体" w:cs="宋体"/>
          <w:color w:val="auto"/>
          <w:highlight w:val="none"/>
        </w:rPr>
        <w:t>第一章 竞争性谈判公告</w:t>
      </w:r>
      <w:bookmarkEnd w:id="0"/>
      <w:bookmarkEnd w:id="1"/>
    </w:p>
    <w:p w14:paraId="12C3D833">
      <w:pPr>
        <w:jc w:val="center"/>
        <w:rPr>
          <w:rFonts w:hint="eastAsia" w:ascii="宋体" w:hAnsi="宋体" w:cs="宋体"/>
          <w:b/>
          <w:bCs/>
          <w:color w:val="auto"/>
          <w:sz w:val="32"/>
          <w:szCs w:val="32"/>
          <w:highlight w:val="none"/>
        </w:rPr>
      </w:pPr>
    </w:p>
    <w:p w14:paraId="61CAE29E">
      <w:pPr>
        <w:pBdr>
          <w:top w:val="single" w:color="auto" w:sz="4" w:space="1"/>
          <w:left w:val="single" w:color="auto" w:sz="4" w:space="4"/>
          <w:bottom w:val="single" w:color="auto" w:sz="4" w:space="1"/>
          <w:right w:val="single" w:color="auto" w:sz="4" w:space="0"/>
        </w:pBdr>
        <w:spacing w:line="360" w:lineRule="auto"/>
        <w:jc w:val="left"/>
        <w:rPr>
          <w:rFonts w:hint="eastAsia" w:ascii="宋体" w:hAnsi="宋体" w:cs="宋体"/>
          <w:b/>
          <w:color w:val="auto"/>
          <w:kern w:val="0"/>
          <w:sz w:val="24"/>
          <w:highlight w:val="none"/>
        </w:rPr>
      </w:pPr>
      <w:bookmarkStart w:id="2" w:name="_Toc28359095"/>
      <w:bookmarkStart w:id="3" w:name="_Toc35393805"/>
      <w:bookmarkStart w:id="4" w:name="_Toc71365369"/>
      <w:bookmarkStart w:id="5" w:name="_Toc35393636"/>
      <w:bookmarkStart w:id="6" w:name="_Toc28359018"/>
      <w:bookmarkStart w:id="7" w:name="_Toc71366047"/>
      <w:bookmarkStart w:id="8" w:name="_Hlk37430271"/>
      <w:r>
        <w:rPr>
          <w:rFonts w:hint="eastAsia" w:ascii="宋体" w:hAnsi="宋体" w:cs="宋体"/>
          <w:b/>
          <w:color w:val="auto"/>
          <w:kern w:val="0"/>
          <w:sz w:val="24"/>
          <w:highlight w:val="none"/>
          <w:lang w:bidi="ar"/>
        </w:rPr>
        <w:t>项目概况：</w:t>
      </w:r>
    </w:p>
    <w:p w14:paraId="742E08E7">
      <w:pPr>
        <w:keepNext w:val="0"/>
        <w:keepLines w:val="0"/>
        <w:pageBreakBefore w:val="0"/>
        <w:widowControl w:val="0"/>
        <w:pBdr>
          <w:top w:val="single" w:color="auto" w:sz="4" w:space="1"/>
          <w:left w:val="single" w:color="auto" w:sz="4" w:space="4"/>
          <w:bottom w:val="single" w:color="auto" w:sz="4" w:space="1"/>
          <w:right w:val="single" w:color="auto" w:sz="4" w:space="0"/>
        </w:pBdr>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u w:val="single"/>
          <w:lang w:eastAsia="zh-CN" w:bidi="ar"/>
        </w:rPr>
        <w:t>高端装备制造紧缺人才培养实训基地——智能焊接技术学院实训教学设备更新项目（工业智能检测与控制实训设备)（重）</w:t>
      </w:r>
      <w:r>
        <w:rPr>
          <w:rFonts w:hint="eastAsia" w:ascii="宋体" w:hAnsi="宋体" w:cs="宋体"/>
          <w:color w:val="auto"/>
          <w:kern w:val="0"/>
          <w:sz w:val="24"/>
          <w:highlight w:val="none"/>
          <w:lang w:bidi="ar"/>
        </w:rPr>
        <w:t>项目的潜在供应商应在</w:t>
      </w:r>
      <w:r>
        <w:rPr>
          <w:rFonts w:hint="eastAsia" w:ascii="宋体" w:hAnsi="宋体" w:cs="宋体"/>
          <w:color w:val="auto"/>
          <w:kern w:val="0"/>
          <w:sz w:val="24"/>
          <w:highlight w:val="none"/>
          <w:u w:val="single"/>
          <w:lang w:bidi="ar"/>
        </w:rPr>
        <w:t>广西政府采购云平台</w:t>
      </w:r>
      <w:r>
        <w:rPr>
          <w:rFonts w:hint="eastAsia" w:ascii="宋体" w:hAnsi="宋体" w:cs="宋体"/>
          <w:color w:val="auto"/>
          <w:kern w:val="0"/>
          <w:sz w:val="24"/>
          <w:highlight w:val="none"/>
          <w:u w:val="single"/>
          <w:lang w:val="en-US" w:eastAsia="zh-CN" w:bidi="ar"/>
        </w:rPr>
        <w:t>线上获取</w:t>
      </w:r>
      <w:r>
        <w:rPr>
          <w:rFonts w:hint="eastAsia" w:ascii="宋体" w:hAnsi="宋体" w:cs="宋体"/>
          <w:color w:val="auto"/>
          <w:kern w:val="0"/>
          <w:sz w:val="24"/>
          <w:highlight w:val="none"/>
          <w:lang w:bidi="ar"/>
        </w:rPr>
        <w:t>竞争性谈判文件，并于</w:t>
      </w:r>
      <w:r>
        <w:rPr>
          <w:rFonts w:hint="eastAsia" w:ascii="宋体" w:hAnsi="宋体" w:cs="宋体"/>
          <w:color w:val="auto"/>
          <w:kern w:val="0"/>
          <w:sz w:val="24"/>
          <w:highlight w:val="none"/>
          <w:u w:val="single"/>
          <w:lang w:bidi="ar"/>
        </w:rPr>
        <w:t>202</w:t>
      </w:r>
      <w:r>
        <w:rPr>
          <w:rFonts w:hint="eastAsia" w:ascii="宋体" w:hAnsi="宋体" w:cs="宋体"/>
          <w:color w:val="auto"/>
          <w:kern w:val="0"/>
          <w:sz w:val="24"/>
          <w:highlight w:val="none"/>
          <w:u w:val="single"/>
          <w:lang w:val="en-US" w:eastAsia="zh-CN" w:bidi="ar"/>
        </w:rPr>
        <w:t>6</w:t>
      </w:r>
      <w:r>
        <w:rPr>
          <w:rFonts w:hint="eastAsia" w:ascii="宋体" w:hAnsi="宋体" w:cs="宋体"/>
          <w:color w:val="auto"/>
          <w:kern w:val="0"/>
          <w:sz w:val="24"/>
          <w:highlight w:val="none"/>
          <w:u w:val="single"/>
          <w:lang w:bidi="ar"/>
        </w:rPr>
        <w:t>年</w:t>
      </w:r>
      <w:r>
        <w:rPr>
          <w:rFonts w:hint="eastAsia" w:ascii="宋体" w:hAnsi="宋体" w:cs="宋体"/>
          <w:color w:val="auto"/>
          <w:kern w:val="0"/>
          <w:sz w:val="24"/>
          <w:highlight w:val="none"/>
          <w:u w:val="single"/>
          <w:lang w:val="en-US" w:eastAsia="zh-CN" w:bidi="ar"/>
        </w:rPr>
        <w:t>7</w:t>
      </w:r>
      <w:r>
        <w:rPr>
          <w:rFonts w:hint="eastAsia" w:ascii="宋体" w:hAnsi="宋体" w:cs="宋体"/>
          <w:color w:val="auto"/>
          <w:kern w:val="0"/>
          <w:sz w:val="24"/>
          <w:highlight w:val="none"/>
          <w:u w:val="single"/>
          <w:lang w:bidi="ar"/>
        </w:rPr>
        <w:t>月</w:t>
      </w:r>
      <w:r>
        <w:rPr>
          <w:rFonts w:hint="eastAsia" w:ascii="宋体" w:hAnsi="宋体" w:cs="宋体"/>
          <w:color w:val="auto"/>
          <w:kern w:val="0"/>
          <w:sz w:val="24"/>
          <w:highlight w:val="none"/>
          <w:u w:val="single"/>
          <w:lang w:val="en-US" w:eastAsia="zh-CN" w:bidi="ar"/>
        </w:rPr>
        <w:t>29</w:t>
      </w:r>
      <w:r>
        <w:rPr>
          <w:rFonts w:hint="eastAsia" w:ascii="宋体" w:hAnsi="宋体" w:cs="宋体"/>
          <w:color w:val="auto"/>
          <w:kern w:val="0"/>
          <w:sz w:val="24"/>
          <w:highlight w:val="none"/>
          <w:u w:val="single"/>
          <w:lang w:bidi="ar"/>
        </w:rPr>
        <w:t>日</w:t>
      </w:r>
      <w:r>
        <w:rPr>
          <w:rFonts w:hint="eastAsia" w:ascii="宋体" w:hAnsi="宋体" w:cs="宋体"/>
          <w:color w:val="auto"/>
          <w:kern w:val="0"/>
          <w:sz w:val="24"/>
          <w:highlight w:val="none"/>
          <w:u w:val="single"/>
          <w:lang w:val="en-US" w:eastAsia="zh-CN" w:bidi="ar"/>
        </w:rPr>
        <w:t>09</w:t>
      </w:r>
      <w:r>
        <w:rPr>
          <w:rFonts w:hint="eastAsia" w:ascii="宋体" w:hAnsi="宋体" w:cs="宋体"/>
          <w:color w:val="auto"/>
          <w:kern w:val="0"/>
          <w:sz w:val="24"/>
          <w:highlight w:val="none"/>
          <w:u w:val="single"/>
          <w:lang w:bidi="ar"/>
        </w:rPr>
        <w:t>时</w:t>
      </w:r>
      <w:r>
        <w:rPr>
          <w:rFonts w:hint="eastAsia" w:ascii="宋体" w:hAnsi="宋体" w:cs="宋体"/>
          <w:color w:val="auto"/>
          <w:kern w:val="0"/>
          <w:sz w:val="24"/>
          <w:highlight w:val="none"/>
          <w:u w:val="single"/>
          <w:lang w:val="en-US" w:eastAsia="zh-CN" w:bidi="ar"/>
        </w:rPr>
        <w:t>3</w:t>
      </w:r>
      <w:r>
        <w:rPr>
          <w:rFonts w:hint="eastAsia" w:ascii="宋体" w:hAnsi="宋体" w:cs="宋体"/>
          <w:color w:val="auto"/>
          <w:kern w:val="0"/>
          <w:sz w:val="24"/>
          <w:highlight w:val="none"/>
          <w:u w:val="single"/>
          <w:lang w:bidi="ar"/>
        </w:rPr>
        <w:t>0分</w:t>
      </w:r>
      <w:r>
        <w:rPr>
          <w:rFonts w:hint="eastAsia" w:ascii="宋体" w:hAnsi="宋体" w:cs="宋体"/>
          <w:color w:val="auto"/>
          <w:kern w:val="0"/>
          <w:sz w:val="24"/>
          <w:highlight w:val="none"/>
          <w:lang w:bidi="ar"/>
        </w:rPr>
        <w:t>（北京时间）前提交响应文件。</w:t>
      </w:r>
    </w:p>
    <w:p w14:paraId="21F8636D">
      <w:pPr>
        <w:spacing w:line="470" w:lineRule="exact"/>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一、项目基本情况</w:t>
      </w:r>
    </w:p>
    <w:p w14:paraId="160A5B31">
      <w:pPr>
        <w:spacing w:line="470" w:lineRule="exact"/>
        <w:ind w:firstLine="840" w:firstLineChars="35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val="en-US" w:eastAsia="zh-CN"/>
        </w:rPr>
        <w:t>GXZC2026-J1-002335-GXCJ</w:t>
      </w:r>
    </w:p>
    <w:p w14:paraId="678A5BC8">
      <w:pPr>
        <w:spacing w:line="470" w:lineRule="exact"/>
        <w:ind w:firstLine="840" w:firstLineChars="35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高端装备制造紧缺人才培养实训基地——智能焊接技术学院实训教学设备更新项目（工业智能检测与控制实训设备)（重）</w:t>
      </w:r>
    </w:p>
    <w:p w14:paraId="5E722CF8">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采购方式：竞争性谈判</w:t>
      </w:r>
    </w:p>
    <w:p w14:paraId="30E33B2D">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预算总金额（元）：</w:t>
      </w:r>
      <w:r>
        <w:rPr>
          <w:rFonts w:hint="eastAsia" w:ascii="宋体" w:hAnsi="宋体" w:cs="宋体"/>
          <w:color w:val="auto"/>
          <w:sz w:val="24"/>
          <w:highlight w:val="none"/>
          <w:lang w:val="en-US" w:eastAsia="zh-CN"/>
        </w:rPr>
        <w:t>1950</w:t>
      </w:r>
      <w:r>
        <w:rPr>
          <w:rFonts w:hint="eastAsia" w:ascii="宋体" w:hAnsi="宋体" w:cs="宋体"/>
          <w:color w:val="auto"/>
          <w:sz w:val="24"/>
          <w:highlight w:val="none"/>
        </w:rPr>
        <w:t>000.00</w:t>
      </w:r>
      <w:bookmarkStart w:id="44" w:name="_GoBack"/>
      <w:bookmarkEnd w:id="44"/>
    </w:p>
    <w:p w14:paraId="3FF7CDC2">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采购需求：工业智能控制实训设备</w:t>
      </w:r>
      <w:r>
        <w:rPr>
          <w:rFonts w:hint="eastAsia" w:ascii="宋体" w:hAnsi="宋体" w:cs="宋体"/>
          <w:color w:val="auto"/>
          <w:sz w:val="24"/>
          <w:highlight w:val="none"/>
          <w:lang w:val="en-US" w:eastAsia="zh-CN"/>
        </w:rPr>
        <w:t>1套、</w:t>
      </w:r>
      <w:r>
        <w:rPr>
          <w:rFonts w:hint="eastAsia" w:ascii="宋体" w:hAnsi="宋体" w:cs="宋体"/>
          <w:color w:val="auto"/>
          <w:sz w:val="24"/>
          <w:highlight w:val="none"/>
        </w:rPr>
        <w:t>传感器与智能检测实训设备</w:t>
      </w:r>
      <w:r>
        <w:rPr>
          <w:rFonts w:hint="eastAsia" w:ascii="宋体" w:hAnsi="宋体" w:cs="宋体"/>
          <w:color w:val="auto"/>
          <w:sz w:val="24"/>
          <w:highlight w:val="none"/>
          <w:lang w:val="en-US" w:eastAsia="zh-CN"/>
        </w:rPr>
        <w:t>1套</w:t>
      </w:r>
      <w:r>
        <w:rPr>
          <w:rFonts w:hint="eastAsia" w:ascii="宋体" w:hAnsi="宋体" w:eastAsia="宋体" w:cs="宋体"/>
          <w:color w:val="auto"/>
          <w:sz w:val="24"/>
          <w:highlight w:val="none"/>
          <w:lang w:val="en-US" w:eastAsia="zh-CN"/>
        </w:rPr>
        <w:t>，</w:t>
      </w:r>
      <w:r>
        <w:rPr>
          <w:rFonts w:hint="eastAsia" w:ascii="宋体" w:hAnsi="宋体" w:cs="宋体"/>
          <w:color w:val="auto"/>
          <w:sz w:val="24"/>
          <w:highlight w:val="none"/>
        </w:rPr>
        <w:t>具体详见竞争性谈判文件采购需求</w:t>
      </w:r>
      <w:r>
        <w:rPr>
          <w:rFonts w:hint="eastAsia" w:asciiTheme="minorEastAsia" w:hAnsiTheme="minorEastAsia" w:eastAsiaTheme="minorEastAsia" w:cstheme="minorEastAsia"/>
          <w:bCs/>
          <w:color w:val="auto"/>
          <w:sz w:val="24"/>
          <w:highlight w:val="none"/>
        </w:rPr>
        <w:t>。</w:t>
      </w:r>
    </w:p>
    <w:p w14:paraId="4C322D27">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最高限价（</w:t>
      </w:r>
      <w:r>
        <w:rPr>
          <w:rFonts w:hint="eastAsia" w:ascii="宋体" w:hAnsi="宋体" w:cs="宋体"/>
          <w:color w:val="auto"/>
          <w:sz w:val="24"/>
          <w:highlight w:val="none"/>
          <w:lang w:val="en-US" w:eastAsia="zh-CN"/>
        </w:rPr>
        <w:t>元</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1950</w:t>
      </w:r>
      <w:r>
        <w:rPr>
          <w:rFonts w:hint="eastAsia" w:ascii="宋体" w:hAnsi="宋体" w:cs="宋体"/>
          <w:color w:val="auto"/>
          <w:sz w:val="24"/>
          <w:highlight w:val="none"/>
        </w:rPr>
        <w:t>000.00</w:t>
      </w:r>
    </w:p>
    <w:p w14:paraId="439C77C1">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合同履行期限：</w:t>
      </w:r>
      <w:r>
        <w:rPr>
          <w:rFonts w:hint="eastAsia" w:ascii="宋体" w:hAnsi="宋体"/>
          <w:color w:val="auto"/>
          <w:sz w:val="24"/>
          <w:highlight w:val="none"/>
        </w:rPr>
        <w:t>采购合同签订生效之日起90个日历日完成项目供货、安装调试并交付验收和使用。</w:t>
      </w:r>
    </w:p>
    <w:p w14:paraId="6ED993E9">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本项目是否接受联合体：否。</w:t>
      </w:r>
    </w:p>
    <w:p w14:paraId="5A7EC379">
      <w:pPr>
        <w:spacing w:line="470" w:lineRule="exact"/>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二、供应商的资格条件：</w:t>
      </w:r>
    </w:p>
    <w:p w14:paraId="2D75FE89">
      <w:pPr>
        <w:spacing w:line="470" w:lineRule="exact"/>
        <w:ind w:firstLine="480" w:firstLineChars="200"/>
        <w:rPr>
          <w:rFonts w:hint="eastAsia" w:ascii="宋体" w:hAnsi="宋体" w:cs="宋体"/>
          <w:color w:val="auto"/>
          <w:sz w:val="24"/>
          <w:highlight w:val="none"/>
        </w:rPr>
      </w:pPr>
      <w:bookmarkStart w:id="9" w:name="_Hlk51746371"/>
      <w:r>
        <w:rPr>
          <w:rFonts w:hint="eastAsia" w:ascii="宋体" w:hAnsi="宋体" w:cs="宋体"/>
          <w:color w:val="auto"/>
          <w:sz w:val="24"/>
          <w:highlight w:val="none"/>
        </w:rPr>
        <w:t>1、满足《中华人民共和国政府采购法》第二十二条规定；</w:t>
      </w:r>
    </w:p>
    <w:p w14:paraId="64A5B181">
      <w:pPr>
        <w:spacing w:line="47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2、落实政府采购政策需满足的资格要求：专门面向</w:t>
      </w:r>
      <w:r>
        <w:rPr>
          <w:rFonts w:hint="eastAsia" w:ascii="宋体" w:hAnsi="宋体" w:cs="宋体"/>
          <w:color w:val="auto"/>
          <w:sz w:val="24"/>
          <w:highlight w:val="none"/>
          <w:lang w:val="en-US" w:eastAsia="zh-CN"/>
        </w:rPr>
        <w:t>中小</w:t>
      </w:r>
      <w:r>
        <w:rPr>
          <w:rFonts w:hint="eastAsia" w:ascii="宋体" w:hAnsi="宋体" w:cs="宋体"/>
          <w:color w:val="auto"/>
          <w:sz w:val="24"/>
          <w:highlight w:val="none"/>
        </w:rPr>
        <w:t>企业采购的项目；</w:t>
      </w:r>
    </w:p>
    <w:p w14:paraId="7C18B39F">
      <w:pPr>
        <w:spacing w:line="47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3、本项目的特定资格要求：</w:t>
      </w:r>
      <w:bookmarkEnd w:id="9"/>
      <w:r>
        <w:rPr>
          <w:rFonts w:hint="eastAsia" w:ascii="宋体" w:hAnsi="宋体" w:cs="宋体"/>
          <w:color w:val="auto"/>
          <w:sz w:val="24"/>
          <w:highlight w:val="none"/>
        </w:rPr>
        <w:t>无。</w:t>
      </w:r>
    </w:p>
    <w:p w14:paraId="44D93EFE">
      <w:pPr>
        <w:spacing w:line="470" w:lineRule="exact"/>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三、获取采购文件</w:t>
      </w:r>
    </w:p>
    <w:p w14:paraId="7B8E8E5B">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1.时间：202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21</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27</w:t>
      </w:r>
      <w:r>
        <w:rPr>
          <w:rFonts w:hint="eastAsia" w:ascii="宋体" w:hAnsi="宋体" w:cs="宋体"/>
          <w:color w:val="auto"/>
          <w:sz w:val="24"/>
          <w:highlight w:val="none"/>
        </w:rPr>
        <w:t>日，每天上午00:00:00至12:00:00，下午12:00:00至23:59:59（北京时间，法定节假日除外）</w:t>
      </w:r>
    </w:p>
    <w:p w14:paraId="7B640F7B">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2.地点：广西政府采购云平台线上获取</w:t>
      </w:r>
    </w:p>
    <w:p w14:paraId="43B59632">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3.获取方式：网上下载。本项目不提供纸质文件，潜在供应商需在广西政府采购云平台（https://www.gcy.zfcg.gxzf.gov.cn/）-进入“项目采购”应用，在获取采购文件菜单中选择项目，获取竞争性谈判文件。电子响应文件制作需要基于广西政府采购云平台获取的谈判文件编制，通过其他方式获取谈判文件的，将有可能导致供应商无法在广西政府采购云平台编制及上传响应文件。</w:t>
      </w:r>
    </w:p>
    <w:p w14:paraId="2BE62DC8">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售价：0元。</w:t>
      </w:r>
    </w:p>
    <w:p w14:paraId="4670E876">
      <w:pPr>
        <w:spacing w:line="470" w:lineRule="exact"/>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四、响应文件提交</w:t>
      </w:r>
    </w:p>
    <w:p w14:paraId="4D3A9B32">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1.截止时间：202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0（北京时间）</w:t>
      </w:r>
    </w:p>
    <w:p w14:paraId="631C9044">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2.地点（网址）：通过“广西政府采购云平台”在线提交</w:t>
      </w:r>
    </w:p>
    <w:p w14:paraId="1E66432F">
      <w:pPr>
        <w:spacing w:line="470" w:lineRule="exact"/>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五、开启（首次响应文件开启时间）</w:t>
      </w:r>
    </w:p>
    <w:p w14:paraId="4F768FD6">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1.开启时间：202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0（北京时间）</w:t>
      </w:r>
    </w:p>
    <w:p w14:paraId="6B9B8595">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2.地点：广西政府采购云平台开标大厅 </w:t>
      </w:r>
    </w:p>
    <w:p w14:paraId="73B5E45F">
      <w:pPr>
        <w:spacing w:line="470" w:lineRule="exact"/>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六、公告期限</w:t>
      </w:r>
    </w:p>
    <w:p w14:paraId="6180D064">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自本公告发布之日起3个工作日。</w:t>
      </w:r>
    </w:p>
    <w:p w14:paraId="6C9FD79D">
      <w:pPr>
        <w:spacing w:line="470" w:lineRule="exact"/>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七、其他补充事宜</w:t>
      </w:r>
    </w:p>
    <w:p w14:paraId="48CD9105">
      <w:pPr>
        <w:spacing w:line="480" w:lineRule="exact"/>
        <w:ind w:firstLine="480" w:firstLineChars="200"/>
        <w:jc w:val="left"/>
        <w:outlineLvl w:val="4"/>
        <w:rPr>
          <w:rFonts w:hint="eastAsia" w:ascii="宋体" w:hAnsi="宋体" w:cs="宋体"/>
          <w:color w:val="auto"/>
          <w:kern w:val="0"/>
          <w:sz w:val="24"/>
          <w:highlight w:val="none"/>
          <w:lang w:val="zh-TW" w:bidi="zh-TW"/>
        </w:rPr>
      </w:pPr>
      <w:r>
        <w:rPr>
          <w:rFonts w:hint="eastAsia" w:ascii="宋体" w:hAnsi="宋体" w:cs="宋体"/>
          <w:bCs/>
          <w:color w:val="auto"/>
          <w:kern w:val="0"/>
          <w:sz w:val="24"/>
          <w:highlight w:val="none"/>
          <w:lang w:val="zh-TW" w:bidi="zh-TW"/>
        </w:rPr>
        <w:t>1.</w:t>
      </w:r>
      <w:r>
        <w:rPr>
          <w:rFonts w:hint="eastAsia" w:ascii="宋体" w:hAnsi="宋体" w:cs="宋体"/>
          <w:color w:val="auto"/>
          <w:kern w:val="0"/>
          <w:sz w:val="24"/>
          <w:highlight w:val="none"/>
          <w:lang w:bidi="zh-TW"/>
        </w:rPr>
        <w:t>竞标</w:t>
      </w:r>
      <w:r>
        <w:rPr>
          <w:rFonts w:hint="eastAsia" w:ascii="宋体" w:hAnsi="宋体" w:cs="宋体"/>
          <w:color w:val="auto"/>
          <w:kern w:val="0"/>
          <w:sz w:val="24"/>
          <w:highlight w:val="none"/>
          <w:lang w:val="zh-TW" w:eastAsia="zh-TW" w:bidi="zh-TW"/>
        </w:rPr>
        <w:t>保证金：</w:t>
      </w:r>
      <w:r>
        <w:rPr>
          <w:rFonts w:hint="eastAsia" w:ascii="宋体" w:hAnsi="宋体" w:cs="宋体"/>
          <w:color w:val="auto"/>
          <w:kern w:val="0"/>
          <w:sz w:val="24"/>
          <w:highlight w:val="none"/>
          <w:lang w:bidi="zh-TW"/>
        </w:rPr>
        <w:t>人民币（大写）壹万</w:t>
      </w:r>
      <w:r>
        <w:rPr>
          <w:rFonts w:hint="eastAsia" w:ascii="宋体" w:hAnsi="宋体" w:cs="宋体"/>
          <w:color w:val="auto"/>
          <w:kern w:val="0"/>
          <w:sz w:val="24"/>
          <w:highlight w:val="none"/>
          <w:lang w:val="en-US" w:eastAsia="zh-CN" w:bidi="zh-TW"/>
        </w:rPr>
        <w:t>伍仟</w:t>
      </w:r>
      <w:r>
        <w:rPr>
          <w:rFonts w:hint="eastAsia" w:ascii="宋体" w:hAnsi="宋体" w:cs="宋体"/>
          <w:color w:val="auto"/>
          <w:kern w:val="0"/>
          <w:sz w:val="24"/>
          <w:highlight w:val="none"/>
          <w:lang w:bidi="zh-TW"/>
        </w:rPr>
        <w:t>元整（￥</w:t>
      </w:r>
      <w:r>
        <w:rPr>
          <w:rFonts w:hint="eastAsia" w:ascii="宋体" w:hAnsi="宋体" w:cs="宋体"/>
          <w:color w:val="auto"/>
          <w:kern w:val="0"/>
          <w:sz w:val="24"/>
          <w:highlight w:val="none"/>
          <w:lang w:val="en-US" w:eastAsia="zh-CN" w:bidi="zh-TW"/>
        </w:rPr>
        <w:t>15</w:t>
      </w:r>
      <w:r>
        <w:rPr>
          <w:rFonts w:hint="eastAsia" w:ascii="宋体" w:hAnsi="宋体" w:cs="宋体"/>
          <w:color w:val="auto"/>
          <w:kern w:val="0"/>
          <w:sz w:val="24"/>
          <w:highlight w:val="none"/>
          <w:lang w:bidi="zh-TW"/>
        </w:rPr>
        <w:t>000.00元）</w:t>
      </w:r>
      <w:r>
        <w:rPr>
          <w:rFonts w:hint="eastAsia" w:ascii="宋体" w:hAnsi="宋体" w:cs="宋体"/>
          <w:color w:val="auto"/>
          <w:kern w:val="0"/>
          <w:sz w:val="24"/>
          <w:highlight w:val="none"/>
          <w:lang w:val="zh-TW" w:bidi="zh-TW"/>
        </w:rPr>
        <w:t>；</w:t>
      </w:r>
      <w:r>
        <w:rPr>
          <w:rFonts w:hint="eastAsia" w:ascii="宋体" w:hAnsi="宋体" w:cs="宋体"/>
          <w:color w:val="auto"/>
          <w:kern w:val="0"/>
          <w:sz w:val="24"/>
          <w:highlight w:val="none"/>
          <w:lang w:val="zh-TW" w:eastAsia="zh-TW" w:bidi="zh-TW"/>
        </w:rPr>
        <w:t>须足额</w:t>
      </w:r>
      <w:r>
        <w:rPr>
          <w:rFonts w:hint="eastAsia" w:ascii="宋体" w:hAnsi="宋体" w:cs="宋体"/>
          <w:color w:val="auto"/>
          <w:kern w:val="0"/>
          <w:sz w:val="24"/>
          <w:highlight w:val="none"/>
          <w:lang w:val="zh-TW" w:eastAsia="zh-CN" w:bidi="zh-TW"/>
        </w:rPr>
        <w:t>缴纳</w:t>
      </w:r>
      <w:r>
        <w:rPr>
          <w:rFonts w:hint="eastAsia" w:ascii="宋体" w:hAnsi="宋体" w:cs="宋体"/>
          <w:color w:val="auto"/>
          <w:kern w:val="0"/>
          <w:sz w:val="24"/>
          <w:highlight w:val="none"/>
          <w:lang w:val="zh-TW" w:bidi="zh-TW"/>
        </w:rPr>
        <w:t>。</w:t>
      </w:r>
    </w:p>
    <w:p w14:paraId="17B01A9C">
      <w:pPr>
        <w:spacing w:line="480" w:lineRule="exact"/>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zh-TW"/>
        </w:rPr>
        <w:t>竞标</w:t>
      </w:r>
      <w:r>
        <w:rPr>
          <w:rFonts w:hint="eastAsia" w:ascii="宋体" w:hAnsi="宋体" w:cs="宋体"/>
          <w:color w:val="auto"/>
          <w:kern w:val="0"/>
          <w:sz w:val="24"/>
          <w:highlight w:val="none"/>
          <w:lang w:val="zh-TW" w:eastAsia="zh-TW" w:bidi="zh-TW"/>
        </w:rPr>
        <w:t>保证金的</w:t>
      </w:r>
      <w:r>
        <w:rPr>
          <w:rFonts w:hint="eastAsia" w:ascii="宋体" w:hAnsi="宋体" w:cs="宋体"/>
          <w:color w:val="auto"/>
          <w:kern w:val="0"/>
          <w:sz w:val="24"/>
          <w:highlight w:val="none"/>
          <w:lang w:val="zh-TW" w:eastAsia="zh-CN" w:bidi="zh-TW"/>
        </w:rPr>
        <w:t>缴纳</w:t>
      </w:r>
      <w:r>
        <w:rPr>
          <w:rFonts w:hint="eastAsia" w:ascii="宋体" w:hAnsi="宋体" w:cs="宋体"/>
          <w:color w:val="auto"/>
          <w:kern w:val="0"/>
          <w:sz w:val="24"/>
          <w:highlight w:val="none"/>
          <w:lang w:val="zh-TW" w:eastAsia="zh-TW" w:bidi="zh-TW"/>
        </w:rPr>
        <w:t>方式：银行转账、支票、汇票、本票或者银行、保险机构出具的保函，禁止采用现钞方式。采用银行转账方式的，在响应文件递交截止时间前交至采购代理机构指定账户并且到账【</w:t>
      </w:r>
      <w:r>
        <w:rPr>
          <w:rFonts w:hint="eastAsia" w:ascii="宋体" w:hAnsi="宋体" w:cs="宋体"/>
          <w:color w:val="auto"/>
          <w:kern w:val="0"/>
          <w:sz w:val="24"/>
          <w:highlight w:val="none"/>
          <w:u w:val="single"/>
          <w:lang w:val="zh-TW" w:eastAsia="zh-TW" w:bidi="zh-TW"/>
        </w:rPr>
        <w:t>开户名称：</w:t>
      </w:r>
      <w:r>
        <w:rPr>
          <w:rFonts w:hint="eastAsia" w:ascii="宋体" w:hAnsi="宋体" w:cs="宋体"/>
          <w:color w:val="auto"/>
          <w:kern w:val="0"/>
          <w:sz w:val="24"/>
          <w:highlight w:val="none"/>
          <w:u w:val="single"/>
          <w:lang w:val="zh-TW" w:bidi="zh-TW"/>
        </w:rPr>
        <w:t>广西城建咨询设计有限公司</w:t>
      </w:r>
      <w:r>
        <w:rPr>
          <w:rFonts w:hint="eastAsia" w:ascii="宋体" w:hAnsi="宋体" w:cs="宋体"/>
          <w:color w:val="auto"/>
          <w:kern w:val="0"/>
          <w:sz w:val="24"/>
          <w:highlight w:val="none"/>
          <w:u w:val="single"/>
          <w:lang w:val="zh-TW" w:eastAsia="zh-TW" w:bidi="zh-TW"/>
        </w:rPr>
        <w:t>，开户银行：建行南宁市民族大道东分理处，银行账号：4500 1604 6530 5070 3663</w:t>
      </w:r>
      <w:r>
        <w:rPr>
          <w:rFonts w:hint="eastAsia" w:ascii="宋体" w:hAnsi="宋体" w:cs="宋体"/>
          <w:color w:val="auto"/>
          <w:sz w:val="24"/>
          <w:highlight w:val="none"/>
          <w:u w:val="single"/>
        </w:rPr>
        <w:t>，转账时请注明项目编号或者项目名称</w:t>
      </w:r>
      <w:r>
        <w:rPr>
          <w:rFonts w:hint="eastAsia" w:ascii="宋体" w:hAnsi="宋体" w:cs="宋体"/>
          <w:color w:val="auto"/>
          <w:kern w:val="0"/>
          <w:sz w:val="24"/>
          <w:highlight w:val="none"/>
          <w:lang w:val="zh-TW" w:eastAsia="zh-TW" w:bidi="zh-TW"/>
        </w:rPr>
        <w:t>】，</w:t>
      </w:r>
      <w:r>
        <w:rPr>
          <w:rFonts w:hint="eastAsia" w:ascii="宋体" w:hAnsi="宋体" w:cs="宋体"/>
          <w:b/>
          <w:bCs/>
          <w:color w:val="auto"/>
          <w:kern w:val="0"/>
          <w:sz w:val="24"/>
          <w:highlight w:val="none"/>
          <w:lang w:val="zh-TW" w:eastAsia="zh-TW" w:bidi="zh-TW"/>
        </w:rPr>
        <w:t>采用支票、汇票、本票或者保函等方式的，在响应文件递交截止时间前，供应商应当递交单独密封的支票、汇票、本票或者保函原件，否则视为无效</w:t>
      </w:r>
      <w:r>
        <w:rPr>
          <w:rFonts w:hint="eastAsia" w:ascii="宋体" w:hAnsi="宋体" w:cs="宋体"/>
          <w:b/>
          <w:bCs/>
          <w:color w:val="auto"/>
          <w:kern w:val="0"/>
          <w:sz w:val="24"/>
          <w:highlight w:val="none"/>
          <w:lang w:bidi="zh-TW"/>
        </w:rPr>
        <w:t>竞标</w:t>
      </w:r>
      <w:r>
        <w:rPr>
          <w:rFonts w:hint="eastAsia" w:ascii="宋体" w:hAnsi="宋体" w:cs="宋体"/>
          <w:b/>
          <w:bCs/>
          <w:color w:val="auto"/>
          <w:kern w:val="0"/>
          <w:sz w:val="24"/>
          <w:highlight w:val="none"/>
          <w:lang w:val="zh-TW" w:eastAsia="zh-TW" w:bidi="zh-TW"/>
        </w:rPr>
        <w:t>保证金。</w:t>
      </w:r>
    </w:p>
    <w:p w14:paraId="7F09F58F">
      <w:pPr>
        <w:keepNext w:val="0"/>
        <w:keepLines w:val="0"/>
        <w:pageBreakBefore w:val="0"/>
        <w:widowControl w:val="0"/>
        <w:tabs>
          <w:tab w:val="left" w:pos="754"/>
        </w:tabs>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0"/>
          <w:sz w:val="24"/>
          <w:highlight w:val="none"/>
          <w:lang w:val="zh-TW" w:bidi="zh-TW"/>
        </w:rPr>
      </w:pPr>
      <w:bookmarkStart w:id="10" w:name="bookmark126"/>
      <w:bookmarkEnd w:id="10"/>
      <w:r>
        <w:rPr>
          <w:rFonts w:hint="eastAsia" w:ascii="宋体" w:hAnsi="宋体" w:cs="宋体"/>
          <w:color w:val="auto"/>
          <w:kern w:val="0"/>
          <w:sz w:val="24"/>
          <w:highlight w:val="none"/>
          <w:lang w:val="zh-TW" w:bidi="zh-TW"/>
        </w:rPr>
        <w:t>2.采购意向公开链接：</w:t>
      </w:r>
      <w:r>
        <w:rPr>
          <w:rFonts w:hint="eastAsia" w:ascii="宋体" w:hAnsi="宋体" w:eastAsia="宋体" w:cs="宋体"/>
          <w:color w:val="auto"/>
          <w:kern w:val="0"/>
          <w:sz w:val="24"/>
          <w:highlight w:val="none"/>
          <w:lang w:val="zh-TW" w:bidi="zh-TW"/>
        </w:rPr>
        <w:t>http://www.ccgp-guangxi.gov.cn/site/detail?parentId=66485&amp;articleId=Jo6uG0SPvMcUTeDMDiMSDg==</w:t>
      </w:r>
    </w:p>
    <w:p w14:paraId="6F1B963C">
      <w:pPr>
        <w:tabs>
          <w:tab w:val="left" w:pos="754"/>
        </w:tabs>
        <w:spacing w:line="480" w:lineRule="exact"/>
        <w:ind w:firstLine="480" w:firstLineChars="200"/>
        <w:jc w:val="left"/>
        <w:rPr>
          <w:rFonts w:hint="eastAsia" w:ascii="宋体" w:hAnsi="宋体" w:cs="宋体"/>
          <w:color w:val="auto"/>
          <w:kern w:val="0"/>
          <w:sz w:val="24"/>
          <w:highlight w:val="none"/>
          <w:lang w:val="zh-TW" w:eastAsia="zh-TW" w:bidi="zh-TW"/>
        </w:rPr>
      </w:pPr>
      <w:r>
        <w:rPr>
          <w:rFonts w:hint="eastAsia" w:ascii="宋体" w:hAnsi="宋体" w:cs="宋体"/>
          <w:color w:val="auto"/>
          <w:kern w:val="0"/>
          <w:sz w:val="24"/>
          <w:highlight w:val="none"/>
          <w:lang w:bidi="zh-TW"/>
        </w:rPr>
        <w:t>3</w:t>
      </w:r>
      <w:r>
        <w:rPr>
          <w:rFonts w:hint="eastAsia" w:ascii="宋体" w:hAnsi="宋体" w:cs="宋体"/>
          <w:color w:val="auto"/>
          <w:kern w:val="0"/>
          <w:sz w:val="24"/>
          <w:highlight w:val="none"/>
          <w:lang w:eastAsia="zh-TW" w:bidi="zh-TW"/>
        </w:rPr>
        <w:t>.</w:t>
      </w:r>
      <w:r>
        <w:rPr>
          <w:rFonts w:hint="eastAsia" w:ascii="宋体" w:hAnsi="宋体" w:cs="宋体"/>
          <w:color w:val="auto"/>
          <w:kern w:val="0"/>
          <w:sz w:val="24"/>
          <w:highlight w:val="none"/>
          <w:lang w:val="zh-TW" w:eastAsia="zh-TW" w:bidi="zh-TW"/>
        </w:rPr>
        <w:t>本项目需要落实的政府</w:t>
      </w:r>
      <w:r>
        <w:rPr>
          <w:rFonts w:hint="eastAsia" w:ascii="宋体" w:hAnsi="宋体" w:cs="宋体"/>
          <w:color w:val="auto"/>
          <w:kern w:val="0"/>
          <w:sz w:val="24"/>
          <w:highlight w:val="none"/>
          <w:lang w:val="zh-TW" w:eastAsia="zh-CN" w:bidi="zh-TW"/>
        </w:rPr>
        <w:t>采</w:t>
      </w:r>
      <w:r>
        <w:rPr>
          <w:rFonts w:hint="eastAsia" w:ascii="宋体" w:hAnsi="宋体" w:cs="宋体"/>
          <w:color w:val="auto"/>
          <w:kern w:val="0"/>
          <w:sz w:val="24"/>
          <w:highlight w:val="none"/>
          <w:lang w:val="zh-TW" w:eastAsia="zh-TW" w:bidi="zh-TW"/>
        </w:rPr>
        <w:t>购政策：</w:t>
      </w:r>
    </w:p>
    <w:p w14:paraId="157459E1">
      <w:pPr>
        <w:spacing w:line="480" w:lineRule="exact"/>
        <w:ind w:firstLine="480" w:firstLineChars="200"/>
        <w:jc w:val="left"/>
        <w:rPr>
          <w:rFonts w:hint="eastAsia" w:ascii="宋体" w:hAnsi="宋体" w:cs="宋体"/>
          <w:color w:val="auto"/>
          <w:kern w:val="0"/>
          <w:sz w:val="24"/>
          <w:highlight w:val="none"/>
          <w:lang w:val="zh-TW" w:bidi="zh-TW"/>
        </w:rPr>
      </w:pPr>
      <w:bookmarkStart w:id="11" w:name="bookmark135"/>
      <w:bookmarkEnd w:id="11"/>
      <w:bookmarkStart w:id="12" w:name="bookmark136"/>
      <w:bookmarkEnd w:id="12"/>
      <w:r>
        <w:rPr>
          <w:rFonts w:hint="eastAsia" w:ascii="宋体" w:hAnsi="宋体" w:cs="宋体"/>
          <w:color w:val="auto"/>
          <w:kern w:val="0"/>
          <w:sz w:val="24"/>
          <w:highlight w:val="none"/>
          <w:lang w:val="zh-TW" w:bidi="zh-TW"/>
        </w:rPr>
        <w:t>（1）政府采购促进中小企业发展。</w:t>
      </w:r>
    </w:p>
    <w:p w14:paraId="1A82F7C5">
      <w:pPr>
        <w:spacing w:line="480" w:lineRule="exact"/>
        <w:ind w:firstLine="480" w:firstLineChars="200"/>
        <w:jc w:val="left"/>
        <w:rPr>
          <w:rFonts w:hint="eastAsia" w:ascii="宋体" w:hAnsi="宋体" w:cs="宋体"/>
          <w:color w:val="auto"/>
          <w:kern w:val="0"/>
          <w:sz w:val="24"/>
          <w:highlight w:val="none"/>
          <w:lang w:val="zh-TW" w:bidi="zh-TW"/>
        </w:rPr>
      </w:pPr>
      <w:r>
        <w:rPr>
          <w:rFonts w:hint="eastAsia" w:ascii="宋体" w:hAnsi="宋体" w:cs="宋体"/>
          <w:color w:val="auto"/>
          <w:kern w:val="0"/>
          <w:sz w:val="24"/>
          <w:highlight w:val="none"/>
          <w:lang w:val="zh-TW" w:bidi="zh-TW"/>
        </w:rPr>
        <w:t>（2）政府采购支持采用本国产品的政策。</w:t>
      </w:r>
    </w:p>
    <w:p w14:paraId="272595CE">
      <w:pPr>
        <w:spacing w:line="480" w:lineRule="exact"/>
        <w:ind w:firstLine="480" w:firstLineChars="200"/>
        <w:jc w:val="left"/>
        <w:rPr>
          <w:rFonts w:hint="eastAsia" w:ascii="宋体" w:hAnsi="宋体" w:cs="宋体"/>
          <w:color w:val="auto"/>
          <w:kern w:val="0"/>
          <w:sz w:val="24"/>
          <w:highlight w:val="none"/>
          <w:lang w:val="zh-TW" w:bidi="zh-TW"/>
        </w:rPr>
      </w:pPr>
      <w:r>
        <w:rPr>
          <w:rFonts w:hint="eastAsia" w:ascii="宋体" w:hAnsi="宋体" w:cs="宋体"/>
          <w:color w:val="auto"/>
          <w:kern w:val="0"/>
          <w:sz w:val="24"/>
          <w:highlight w:val="none"/>
          <w:lang w:val="zh-TW" w:bidi="zh-TW"/>
        </w:rPr>
        <w:t>（3）强制采购节能产品；优先采购节能产品、环境标志产品。</w:t>
      </w:r>
    </w:p>
    <w:p w14:paraId="731A6D3D">
      <w:pPr>
        <w:spacing w:line="480" w:lineRule="exact"/>
        <w:ind w:firstLine="480" w:firstLineChars="200"/>
        <w:jc w:val="left"/>
        <w:rPr>
          <w:rFonts w:hint="eastAsia" w:ascii="宋体" w:hAnsi="宋体" w:cs="宋体"/>
          <w:color w:val="auto"/>
          <w:kern w:val="0"/>
          <w:sz w:val="24"/>
          <w:highlight w:val="none"/>
          <w:lang w:val="zh-TW" w:bidi="zh-TW"/>
        </w:rPr>
      </w:pPr>
      <w:r>
        <w:rPr>
          <w:rFonts w:hint="eastAsia" w:ascii="宋体" w:hAnsi="宋体" w:cs="宋体"/>
          <w:color w:val="auto"/>
          <w:kern w:val="0"/>
          <w:sz w:val="24"/>
          <w:highlight w:val="none"/>
          <w:lang w:val="zh-TW" w:bidi="zh-TW"/>
        </w:rPr>
        <w:t>（4）政府采购促进残疾人就业政策。</w:t>
      </w:r>
    </w:p>
    <w:p w14:paraId="7E97AFBA">
      <w:pPr>
        <w:spacing w:line="480" w:lineRule="exact"/>
        <w:ind w:firstLine="480" w:firstLineChars="200"/>
        <w:jc w:val="left"/>
        <w:rPr>
          <w:rFonts w:hint="eastAsia" w:ascii="宋体" w:hAnsi="宋体" w:cs="宋体"/>
          <w:color w:val="auto"/>
          <w:kern w:val="0"/>
          <w:sz w:val="24"/>
          <w:highlight w:val="none"/>
          <w:lang w:val="zh-TW" w:bidi="zh-TW"/>
        </w:rPr>
      </w:pPr>
      <w:r>
        <w:rPr>
          <w:rFonts w:hint="eastAsia" w:ascii="宋体" w:hAnsi="宋体" w:cs="宋体"/>
          <w:color w:val="auto"/>
          <w:kern w:val="0"/>
          <w:sz w:val="24"/>
          <w:highlight w:val="none"/>
          <w:lang w:val="zh-TW" w:bidi="zh-TW"/>
        </w:rPr>
        <w:t>（5）政府采购支持监狱企业发展。</w:t>
      </w:r>
    </w:p>
    <w:p w14:paraId="0A6606D3">
      <w:pPr>
        <w:spacing w:line="480" w:lineRule="exact"/>
        <w:ind w:firstLine="480" w:firstLineChars="200"/>
        <w:jc w:val="left"/>
        <w:rPr>
          <w:rFonts w:hint="eastAsia" w:ascii="宋体" w:hAnsi="宋体" w:cs="宋体"/>
          <w:color w:val="auto"/>
          <w:kern w:val="0"/>
          <w:sz w:val="24"/>
          <w:highlight w:val="none"/>
          <w:lang w:val="zh-TW" w:bidi="zh-TW"/>
        </w:rPr>
      </w:pPr>
      <w:r>
        <w:rPr>
          <w:rFonts w:hint="eastAsia" w:ascii="宋体" w:hAnsi="宋体" w:cs="宋体"/>
          <w:color w:val="auto"/>
          <w:kern w:val="0"/>
          <w:sz w:val="24"/>
          <w:highlight w:val="none"/>
          <w:lang w:bidi="zh-TW"/>
        </w:rPr>
        <w:t>4</w:t>
      </w:r>
      <w:r>
        <w:rPr>
          <w:rFonts w:hint="eastAsia" w:ascii="宋体" w:hAnsi="宋体" w:cs="宋体"/>
          <w:color w:val="auto"/>
          <w:kern w:val="0"/>
          <w:sz w:val="24"/>
          <w:highlight w:val="none"/>
          <w:lang w:val="zh-TW" w:eastAsia="zh-TW" w:bidi="zh-TW"/>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w:t>
      </w:r>
      <w:r>
        <w:rPr>
          <w:rFonts w:hint="eastAsia" w:ascii="宋体" w:hAnsi="宋体" w:cs="宋体"/>
          <w:color w:val="auto"/>
          <w:kern w:val="0"/>
          <w:sz w:val="24"/>
          <w:highlight w:val="none"/>
          <w:lang w:val="zh-TW" w:eastAsia="zh-CN" w:bidi="zh-TW"/>
        </w:rPr>
        <w:t>采</w:t>
      </w:r>
      <w:r>
        <w:rPr>
          <w:rFonts w:hint="eastAsia" w:ascii="宋体" w:hAnsi="宋体" w:cs="宋体"/>
          <w:color w:val="auto"/>
          <w:kern w:val="0"/>
          <w:sz w:val="24"/>
          <w:highlight w:val="none"/>
          <w:lang w:val="zh-TW" w:eastAsia="zh-TW" w:bidi="zh-TW"/>
        </w:rPr>
        <w:t>购活动。</w:t>
      </w:r>
      <w:bookmarkStart w:id="13" w:name="bookmark94"/>
      <w:bookmarkEnd w:id="13"/>
    </w:p>
    <w:p w14:paraId="359F963C">
      <w:pPr>
        <w:spacing w:line="480" w:lineRule="exact"/>
        <w:ind w:firstLine="480" w:firstLineChars="200"/>
        <w:jc w:val="left"/>
        <w:rPr>
          <w:rFonts w:hint="eastAsia" w:ascii="宋体" w:hAnsi="宋体" w:eastAsia="宋体" w:cs="宋体"/>
          <w:color w:val="auto"/>
          <w:kern w:val="0"/>
          <w:sz w:val="24"/>
          <w:highlight w:val="none"/>
          <w:lang w:val="zh-TW" w:eastAsia="zh-TW" w:bidi="zh-TW"/>
        </w:rPr>
      </w:pPr>
      <w:r>
        <w:rPr>
          <w:rFonts w:hint="eastAsia" w:ascii="宋体" w:hAnsi="宋体" w:eastAsia="宋体" w:cs="宋体"/>
          <w:color w:val="auto"/>
          <w:kern w:val="0"/>
          <w:sz w:val="24"/>
          <w:highlight w:val="none"/>
          <w:lang w:val="zh-TW" w:eastAsia="zh-TW" w:bidi="zh-TW"/>
        </w:rPr>
        <w:t>5.对在“信用中国”网站(https://www.creditchina.gov.cn/)被列入重大税收违法失信主体、严重失信主体名单以及“中国执行信息公开网”（https://zxgk.court.gov.cn/shixin/）列入失信被执行人</w:t>
      </w:r>
      <w:r>
        <w:rPr>
          <w:rFonts w:hint="eastAsia" w:ascii="宋体" w:hAnsi="宋体" w:eastAsia="宋体" w:cs="宋体"/>
          <w:color w:val="auto"/>
          <w:kern w:val="0"/>
          <w:sz w:val="24"/>
          <w:highlight w:val="none"/>
          <w:lang w:val="en-US" w:eastAsia="zh-CN" w:bidi="zh-TW"/>
        </w:rPr>
        <w:t>及“</w:t>
      </w:r>
      <w:r>
        <w:rPr>
          <w:rFonts w:hint="eastAsia" w:ascii="宋体" w:hAnsi="宋体" w:eastAsia="宋体" w:cs="宋体"/>
          <w:color w:val="auto"/>
          <w:kern w:val="0"/>
          <w:sz w:val="24"/>
          <w:highlight w:val="none"/>
          <w:lang w:val="zh-TW" w:eastAsia="zh-TW" w:bidi="zh-TW"/>
        </w:rPr>
        <w:t>中国政府</w:t>
      </w:r>
      <w:r>
        <w:rPr>
          <w:rFonts w:hint="eastAsia" w:ascii="宋体" w:hAnsi="宋体" w:cs="宋体"/>
          <w:color w:val="auto"/>
          <w:kern w:val="0"/>
          <w:sz w:val="24"/>
          <w:highlight w:val="none"/>
          <w:lang w:val="zh-TW" w:eastAsia="zh-CN" w:bidi="zh-TW"/>
        </w:rPr>
        <w:t>采购网</w:t>
      </w:r>
      <w:r>
        <w:rPr>
          <w:rFonts w:hint="eastAsia" w:ascii="宋体" w:hAnsi="宋体" w:eastAsia="宋体" w:cs="宋体"/>
          <w:color w:val="auto"/>
          <w:kern w:val="0"/>
          <w:sz w:val="24"/>
          <w:highlight w:val="none"/>
          <w:lang w:val="en-US" w:eastAsia="zh-CN" w:bidi="zh-TW"/>
        </w:rPr>
        <w:t>”</w:t>
      </w:r>
      <w:r>
        <w:rPr>
          <w:rFonts w:hint="eastAsia" w:ascii="宋体" w:hAnsi="宋体" w:eastAsia="宋体" w:cs="宋体"/>
          <w:color w:val="auto"/>
          <w:kern w:val="0"/>
          <w:sz w:val="24"/>
          <w:highlight w:val="none"/>
          <w:lang w:val="zh-TW" w:eastAsia="zh-TW" w:bidi="zh-TW"/>
        </w:rPr>
        <w:t>（www. ccgp. gov. cn） 被列入政府</w:t>
      </w:r>
      <w:r>
        <w:rPr>
          <w:rFonts w:hint="eastAsia" w:ascii="宋体" w:hAnsi="宋体" w:cs="宋体"/>
          <w:color w:val="auto"/>
          <w:kern w:val="0"/>
          <w:sz w:val="24"/>
          <w:highlight w:val="none"/>
          <w:lang w:val="zh-TW" w:eastAsia="zh-CN" w:bidi="zh-TW"/>
        </w:rPr>
        <w:t>采</w:t>
      </w:r>
      <w:r>
        <w:rPr>
          <w:rFonts w:hint="eastAsia" w:ascii="宋体" w:hAnsi="宋体" w:eastAsia="宋体" w:cs="宋体"/>
          <w:color w:val="auto"/>
          <w:kern w:val="0"/>
          <w:sz w:val="24"/>
          <w:highlight w:val="none"/>
          <w:lang w:val="zh-TW" w:eastAsia="zh-TW" w:bidi="zh-TW"/>
        </w:rPr>
        <w:t>购严重违法失信行为记录名单及其他不符合《中华人民共和国政府采购法》第二十二条规定条件的供应商，不得参与政府采购活动。</w:t>
      </w:r>
    </w:p>
    <w:p w14:paraId="0C0FF826">
      <w:pPr>
        <w:tabs>
          <w:tab w:val="left" w:pos="1003"/>
        </w:tabs>
        <w:spacing w:line="480" w:lineRule="exact"/>
        <w:ind w:firstLine="480" w:firstLineChars="200"/>
        <w:jc w:val="left"/>
        <w:rPr>
          <w:rFonts w:hint="eastAsia" w:ascii="宋体" w:hAnsi="宋体" w:cs="宋体"/>
          <w:color w:val="auto"/>
          <w:kern w:val="0"/>
          <w:sz w:val="24"/>
          <w:highlight w:val="none"/>
          <w:lang w:val="zh-TW" w:eastAsia="zh-TW" w:bidi="zh-TW"/>
        </w:rPr>
      </w:pPr>
      <w:r>
        <w:rPr>
          <w:rFonts w:hint="eastAsia" w:ascii="宋体" w:hAnsi="宋体" w:cs="宋体"/>
          <w:color w:val="auto"/>
          <w:kern w:val="0"/>
          <w:sz w:val="24"/>
          <w:highlight w:val="none"/>
          <w:lang w:eastAsia="zh-TW" w:bidi="zh-TW"/>
        </w:rPr>
        <w:t>6.网上査询地址：</w:t>
      </w:r>
      <w:r>
        <w:rPr>
          <w:rFonts w:hint="eastAsia" w:ascii="宋体" w:hAnsi="宋体" w:cs="宋体"/>
          <w:color w:val="auto"/>
          <w:kern w:val="0"/>
          <w:sz w:val="24"/>
          <w:highlight w:val="none"/>
          <w:lang w:val="zh-TW" w:eastAsia="zh-TW" w:bidi="zh-TW"/>
        </w:rPr>
        <w:t>中国政府采购网（http://www.ccgp.gov.cn/）、广西壮族自治区政府采购网（http://zfcg.gxzf.gov.cn/)。</w:t>
      </w:r>
    </w:p>
    <w:p w14:paraId="76C3EEDD">
      <w:pPr>
        <w:spacing w:line="480" w:lineRule="exact"/>
        <w:ind w:firstLine="480" w:firstLineChars="200"/>
        <w:jc w:val="left"/>
        <w:rPr>
          <w:rFonts w:hint="eastAsia" w:ascii="宋体" w:hAnsi="宋体" w:cs="宋体"/>
          <w:color w:val="auto"/>
          <w:kern w:val="0"/>
          <w:sz w:val="24"/>
          <w:highlight w:val="none"/>
          <w:lang w:val="zh-TW" w:eastAsia="zh-TW" w:bidi="zh-TW"/>
        </w:rPr>
      </w:pPr>
      <w:r>
        <w:rPr>
          <w:rFonts w:hint="eastAsia" w:ascii="宋体" w:hAnsi="宋体" w:cs="宋体"/>
          <w:color w:val="auto"/>
          <w:kern w:val="0"/>
          <w:sz w:val="24"/>
          <w:highlight w:val="none"/>
          <w:lang w:bidi="zh-TW"/>
        </w:rPr>
        <w:t>7</w:t>
      </w:r>
      <w:r>
        <w:rPr>
          <w:rFonts w:hint="eastAsia" w:ascii="宋体" w:hAnsi="宋体" w:cs="宋体"/>
          <w:color w:val="auto"/>
          <w:kern w:val="0"/>
          <w:sz w:val="24"/>
          <w:highlight w:val="none"/>
          <w:lang w:val="zh-TW" w:eastAsia="zh-TW" w:bidi="zh-TW"/>
        </w:rPr>
        <w:t>.供应商竞标注意事项</w:t>
      </w:r>
    </w:p>
    <w:p w14:paraId="37C695CE">
      <w:pPr>
        <w:spacing w:line="470" w:lineRule="exact"/>
        <w:ind w:firstLine="480" w:firstLineChars="200"/>
        <w:rPr>
          <w:rFonts w:hint="eastAsia" w:ascii="宋体" w:hAnsi="宋体" w:cs="宋体"/>
          <w:color w:val="auto"/>
          <w:kern w:val="0"/>
          <w:sz w:val="24"/>
          <w:highlight w:val="none"/>
          <w:lang w:val="zh-TW" w:eastAsia="zh-TW" w:bidi="zh-TW"/>
        </w:rPr>
      </w:pPr>
      <w:r>
        <w:rPr>
          <w:rFonts w:hint="eastAsia" w:ascii="宋体" w:hAnsi="宋体" w:cs="宋体"/>
          <w:color w:val="auto"/>
          <w:kern w:val="0"/>
          <w:sz w:val="24"/>
          <w:highlight w:val="none"/>
          <w:lang w:val="zh-TW" w:eastAsia="zh-TW" w:bidi="zh-TW"/>
        </w:rPr>
        <w:t>（ 1 ） 本 项 目 为 全 流 程 电 子 化 采 购 项 目 ， 通 过 广 西 政 府 采 购 云 平 台 （https://www.gcy.zfcg.gxzf.gov.cn/）实行在线电子竞标，供应商应先安装“广西政府采购云平 台电子交易客户端 ”（请自行前往广西政府采购云平台进行下载），并按照本项目竞争性</w:t>
      </w:r>
      <w:r>
        <w:rPr>
          <w:rFonts w:hint="eastAsia" w:ascii="宋体" w:hAnsi="宋体" w:cs="宋体"/>
          <w:color w:val="auto"/>
          <w:kern w:val="0"/>
          <w:sz w:val="24"/>
          <w:highlight w:val="none"/>
          <w:lang w:val="zh-TW" w:bidi="zh-TW"/>
        </w:rPr>
        <w:t>谈判</w:t>
      </w:r>
      <w:r>
        <w:rPr>
          <w:rFonts w:hint="eastAsia" w:ascii="宋体" w:hAnsi="宋体" w:cs="宋体"/>
          <w:color w:val="auto"/>
          <w:kern w:val="0"/>
          <w:sz w:val="24"/>
          <w:highlight w:val="none"/>
          <w:lang w:val="zh-TW" w:eastAsia="zh-TW" w:bidi="zh-TW"/>
        </w:rPr>
        <w:t>文件和广西政府采购云平台的要求编制、加密后在提交响应文件截止时间前通过网络上传至广西政府采购云平台（加密的电子响应文件是指后缀名为“jmbs”的文件），供应商在广西政府采购云平台提 交电子响应文件时，请填写参加远程采购活动经办人联系方式。供应商登录广西政府采购云平台，依次进入“服务中心-项目采购-操作流程-电子招投标-政府采购项目电子交易管理操作指南-供应商 ”查看电子竞标具体操作流程。</w:t>
      </w:r>
    </w:p>
    <w:p w14:paraId="7DCD4991">
      <w:pPr>
        <w:spacing w:line="470" w:lineRule="exact"/>
        <w:ind w:firstLine="480" w:firstLineChars="200"/>
        <w:rPr>
          <w:rFonts w:hint="eastAsia" w:ascii="宋体" w:hAnsi="宋体" w:cs="宋体"/>
          <w:color w:val="auto"/>
          <w:kern w:val="0"/>
          <w:sz w:val="24"/>
          <w:highlight w:val="none"/>
          <w:lang w:val="zh-TW" w:eastAsia="zh-TW" w:bidi="zh-TW"/>
        </w:rPr>
      </w:pPr>
      <w:r>
        <w:rPr>
          <w:rFonts w:hint="eastAsia" w:ascii="宋体" w:hAnsi="宋体" w:cs="宋体"/>
          <w:color w:val="auto"/>
          <w:kern w:val="0"/>
          <w:sz w:val="24"/>
          <w:highlight w:val="none"/>
          <w:lang w:val="zh-TW" w:eastAsia="zh-TW" w:bidi="zh-TW"/>
        </w:rPr>
        <w:t>（2）未进行网上注册并办理数字证书（CA 认证）的供应商将无法参与本项目政府采购活动，供应商应当在提交响应文件截止时间前，完成电子交易平台上的 CA 数字证书办理及响应文件的提交（供应商可登录“广西政府采购网 ”，依次进入“办事服务-下载专区 ”或者登陆广西政府采购云平台，依次进入“服务中心-入驻与配置”中查看CA数字证书办理操作流程。如在操作过程中遇到问题或者需要技术支持，请致电广西政府采购云平台客服热线：95763）。</w:t>
      </w:r>
    </w:p>
    <w:p w14:paraId="62DA7B2B">
      <w:pPr>
        <w:spacing w:line="470" w:lineRule="exact"/>
        <w:ind w:firstLine="480" w:firstLineChars="200"/>
        <w:rPr>
          <w:rFonts w:hint="eastAsia" w:ascii="宋体" w:hAnsi="宋体" w:cs="宋体"/>
          <w:color w:val="auto"/>
          <w:kern w:val="0"/>
          <w:sz w:val="24"/>
          <w:highlight w:val="none"/>
          <w:lang w:val="zh-TW" w:eastAsia="zh-TW" w:bidi="zh-TW"/>
        </w:rPr>
      </w:pPr>
      <w:r>
        <w:rPr>
          <w:rFonts w:hint="eastAsia" w:ascii="宋体" w:hAnsi="宋体" w:cs="宋体"/>
          <w:color w:val="auto"/>
          <w:kern w:val="0"/>
          <w:sz w:val="24"/>
          <w:highlight w:val="none"/>
          <w:lang w:val="zh-TW" w:eastAsia="zh-TW" w:bidi="zh-TW"/>
        </w:rPr>
        <w:t>（3）CA证书在线解密：首次响应文件开启时，需携带制作响应文件时用来加密的有效数字证书（CA 认证）登录广西政府采购云平台电子开标大厅现场按规定时间对加密的响应文件进行解密，否则后果自负。</w:t>
      </w:r>
    </w:p>
    <w:p w14:paraId="5CDBC2E2">
      <w:pPr>
        <w:spacing w:line="470" w:lineRule="exact"/>
        <w:ind w:firstLine="480" w:firstLineChars="200"/>
        <w:rPr>
          <w:rFonts w:hint="eastAsia" w:ascii="宋体" w:hAnsi="宋体" w:cs="宋体"/>
          <w:color w:val="auto"/>
          <w:kern w:val="0"/>
          <w:sz w:val="24"/>
          <w:highlight w:val="none"/>
          <w:lang w:val="zh-TW" w:eastAsia="zh-TW" w:bidi="zh-TW"/>
        </w:rPr>
      </w:pPr>
      <w:r>
        <w:rPr>
          <w:rFonts w:hint="eastAsia" w:ascii="宋体" w:hAnsi="宋体" w:cs="宋体"/>
          <w:color w:val="auto"/>
          <w:kern w:val="0"/>
          <w:sz w:val="24"/>
          <w:highlight w:val="none"/>
          <w:lang w:val="zh-TW" w:eastAsia="zh-TW" w:bidi="zh-TW"/>
        </w:rPr>
        <w:t>注：1）为确保网上操作合法、有效和安全，请供应商确保在电子竞标过程中能够对相关数据电文进行加密和使用电子签章，妥善保管 CA 数字证书并使用有效的 CA 数字证书参与整个采购活动。2）供应商应当在提交响应文件截止时间前完成电子响应文件的提交（上传），提交响应文件截止时间前 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EA6A7EA">
      <w:pPr>
        <w:spacing w:line="470" w:lineRule="exact"/>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lang w:val="zh-TW" w:eastAsia="zh-TW" w:bidi="zh-TW"/>
        </w:rPr>
        <w:t>（4）供应商需要在具备有摄像头及语音功能且互联网网络状况良好的电脑登录广西政府采购云平台远程开标大厅参与本次</w:t>
      </w:r>
      <w:r>
        <w:rPr>
          <w:rFonts w:hint="eastAsia" w:ascii="宋体" w:hAnsi="宋体" w:cs="宋体"/>
          <w:color w:val="auto"/>
          <w:kern w:val="0"/>
          <w:sz w:val="24"/>
          <w:highlight w:val="none"/>
          <w:lang w:val="zh-TW" w:bidi="zh-TW"/>
        </w:rPr>
        <w:t>谈判</w:t>
      </w:r>
      <w:r>
        <w:rPr>
          <w:rFonts w:hint="eastAsia" w:ascii="宋体" w:hAnsi="宋体" w:cs="宋体"/>
          <w:color w:val="auto"/>
          <w:kern w:val="0"/>
          <w:sz w:val="24"/>
          <w:highlight w:val="none"/>
          <w:lang w:val="zh-TW" w:eastAsia="zh-TW" w:bidi="zh-TW"/>
        </w:rPr>
        <w:t>，否则后果自负。</w:t>
      </w:r>
    </w:p>
    <w:p w14:paraId="4CF4E07F">
      <w:pPr>
        <w:spacing w:line="470" w:lineRule="exact"/>
        <w:ind w:firstLine="361" w:firstLineChars="150"/>
        <w:rPr>
          <w:rFonts w:hint="eastAsia" w:ascii="宋体" w:hAnsi="宋体" w:cs="宋体"/>
          <w:b/>
          <w:bCs/>
          <w:color w:val="auto"/>
          <w:sz w:val="24"/>
          <w:highlight w:val="none"/>
        </w:rPr>
      </w:pPr>
      <w:r>
        <w:rPr>
          <w:rFonts w:hint="eastAsia" w:ascii="宋体" w:hAnsi="宋体" w:cs="宋体"/>
          <w:b/>
          <w:bCs/>
          <w:color w:val="auto"/>
          <w:sz w:val="24"/>
          <w:highlight w:val="none"/>
        </w:rPr>
        <w:t>八、凡对本次采购提出询问，请按以下方式联系。</w:t>
      </w:r>
      <w:bookmarkEnd w:id="2"/>
      <w:bookmarkEnd w:id="3"/>
      <w:bookmarkEnd w:id="4"/>
      <w:bookmarkEnd w:id="5"/>
      <w:bookmarkEnd w:id="6"/>
      <w:bookmarkEnd w:id="7"/>
    </w:p>
    <w:p w14:paraId="4B3E754F">
      <w:pPr>
        <w:spacing w:line="470" w:lineRule="exact"/>
        <w:ind w:firstLine="840" w:firstLineChars="350"/>
        <w:rPr>
          <w:rFonts w:hint="eastAsia" w:ascii="宋体" w:hAnsi="宋体" w:cs="宋体"/>
          <w:color w:val="auto"/>
          <w:sz w:val="24"/>
          <w:highlight w:val="none"/>
        </w:rPr>
      </w:pPr>
      <w:bookmarkStart w:id="14" w:name="_Toc35393637"/>
      <w:bookmarkStart w:id="15" w:name="_Toc28359096"/>
      <w:bookmarkStart w:id="16" w:name="_Toc28359019"/>
      <w:bookmarkStart w:id="17" w:name="_Toc35393806"/>
      <w:r>
        <w:rPr>
          <w:rFonts w:hint="eastAsia" w:ascii="宋体" w:hAnsi="宋体" w:cs="宋体"/>
          <w:color w:val="auto"/>
          <w:sz w:val="24"/>
          <w:highlight w:val="none"/>
        </w:rPr>
        <w:t>1.采购人信息</w:t>
      </w:r>
    </w:p>
    <w:p w14:paraId="25978EA7">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名    称：广西机电职业技术学院 </w:t>
      </w:r>
    </w:p>
    <w:p w14:paraId="76BF479C">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地    址：南宁市西乡塘区大学东路101号 </w:t>
      </w:r>
    </w:p>
    <w:p w14:paraId="5F823353">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郑洪威</w:t>
      </w:r>
      <w:r>
        <w:rPr>
          <w:rFonts w:hint="eastAsia" w:ascii="宋体" w:hAnsi="宋体" w:cs="宋体"/>
          <w:color w:val="auto"/>
          <w:sz w:val="24"/>
          <w:highlight w:val="none"/>
        </w:rPr>
        <w:t xml:space="preserve"> </w:t>
      </w:r>
    </w:p>
    <w:p w14:paraId="51483CD9">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项目联系方式：0771-3276119  </w:t>
      </w:r>
    </w:p>
    <w:p w14:paraId="0E36263A">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2.采购代理机构信息</w:t>
      </w:r>
    </w:p>
    <w:p w14:paraId="4B954358">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名    称：广西城建咨询设计有限公司 </w:t>
      </w:r>
    </w:p>
    <w:p w14:paraId="15C9EB2E">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地    址：南宁市青秀区金湖路58号广西建设大厦三楼 </w:t>
      </w:r>
    </w:p>
    <w:p w14:paraId="597F7AC7">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xml:space="preserve">项目联系人：李建霞 </w:t>
      </w:r>
    </w:p>
    <w:p w14:paraId="4FC87C6B">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项目联系方式：0771-5587592、18275892310</w:t>
      </w:r>
    </w:p>
    <w:p w14:paraId="73000249">
      <w:pPr>
        <w:spacing w:line="470" w:lineRule="exact"/>
        <w:ind w:firstLine="840" w:firstLineChars="350"/>
        <w:rPr>
          <w:rFonts w:hint="eastAsia" w:ascii="宋体" w:hAnsi="宋体" w:cs="宋体"/>
          <w:color w:val="auto"/>
          <w:sz w:val="24"/>
          <w:highlight w:val="none"/>
        </w:rPr>
      </w:pPr>
      <w:r>
        <w:rPr>
          <w:rFonts w:hint="eastAsia" w:ascii="宋体" w:hAnsi="宋体" w:cs="宋体"/>
          <w:color w:val="auto"/>
          <w:sz w:val="24"/>
          <w:highlight w:val="none"/>
        </w:rPr>
        <w:t>　　　　　　　　　</w:t>
      </w:r>
    </w:p>
    <w:bookmarkEnd w:id="14"/>
    <w:bookmarkEnd w:id="15"/>
    <w:bookmarkEnd w:id="16"/>
    <w:bookmarkEnd w:id="17"/>
    <w:p w14:paraId="38AE2570">
      <w:pPr>
        <w:spacing w:line="470" w:lineRule="exact"/>
        <w:ind w:firstLine="5880" w:firstLineChars="2450"/>
        <w:jc w:val="right"/>
        <w:rPr>
          <w:rFonts w:hint="eastAsia" w:ascii="宋体" w:hAnsi="宋体" w:cs="宋体"/>
          <w:color w:val="auto"/>
          <w:sz w:val="24"/>
          <w:highlight w:val="none"/>
        </w:rPr>
      </w:pPr>
    </w:p>
    <w:p w14:paraId="1442EC36">
      <w:pPr>
        <w:spacing w:line="470" w:lineRule="exact"/>
        <w:ind w:firstLine="5880" w:firstLineChars="2450"/>
        <w:jc w:val="right"/>
        <w:rPr>
          <w:rFonts w:hint="eastAsia" w:ascii="宋体" w:hAnsi="宋体" w:cs="宋体"/>
          <w:color w:val="auto"/>
          <w:sz w:val="24"/>
          <w:highlight w:val="none"/>
        </w:rPr>
      </w:pPr>
      <w:r>
        <w:rPr>
          <w:rFonts w:hint="eastAsia" w:ascii="宋体" w:hAnsi="宋体" w:cs="宋体"/>
          <w:color w:val="auto"/>
          <w:sz w:val="24"/>
          <w:highlight w:val="none"/>
        </w:rPr>
        <w:t>广西城建咨询设计有限公司</w:t>
      </w:r>
    </w:p>
    <w:bookmarkEnd w:id="8"/>
    <w:p w14:paraId="77C5283A">
      <w:pPr>
        <w:spacing w:line="470" w:lineRule="exact"/>
        <w:ind w:firstLine="7560" w:firstLineChars="3150"/>
        <w:jc w:val="left"/>
        <w:rPr>
          <w:rFonts w:hint="eastAsia" w:ascii="宋体" w:hAnsi="宋体" w:cs="宋体"/>
          <w:color w:val="auto"/>
          <w:sz w:val="24"/>
          <w:highlight w:val="none"/>
          <w:u w:val="singl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21</w:t>
      </w:r>
      <w:r>
        <w:rPr>
          <w:rFonts w:hint="eastAsia" w:ascii="宋体" w:hAnsi="宋体" w:cs="宋体"/>
          <w:color w:val="auto"/>
          <w:sz w:val="24"/>
          <w:highlight w:val="none"/>
        </w:rPr>
        <w:t>日</w:t>
      </w:r>
    </w:p>
    <w:p w14:paraId="0F70B673">
      <w:pPr>
        <w:rPr>
          <w:rFonts w:hint="eastAsia" w:ascii="宋体" w:hAnsi="宋体" w:cs="宋体"/>
          <w:color w:val="auto"/>
          <w:highlight w:val="none"/>
        </w:rPr>
      </w:pPr>
      <w:bookmarkStart w:id="18" w:name="_Toc74322009"/>
      <w:r>
        <w:rPr>
          <w:rFonts w:hint="eastAsia" w:ascii="宋体" w:hAnsi="宋体" w:cs="宋体"/>
          <w:color w:val="auto"/>
          <w:highlight w:val="none"/>
        </w:rPr>
        <w:br w:type="page"/>
      </w:r>
    </w:p>
    <w:p w14:paraId="0DD462E4">
      <w:pPr>
        <w:pStyle w:val="2"/>
        <w:spacing w:before="0" w:after="0"/>
        <w:jc w:val="center"/>
        <w:rPr>
          <w:rFonts w:hint="eastAsia" w:ascii="宋体" w:hAnsi="宋体" w:cs="宋体"/>
          <w:color w:val="auto"/>
          <w:highlight w:val="none"/>
        </w:rPr>
      </w:pPr>
      <w:bookmarkStart w:id="19" w:name="_Toc1417"/>
      <w:r>
        <w:rPr>
          <w:rFonts w:hint="eastAsia" w:ascii="宋体" w:hAnsi="宋体" w:cs="宋体"/>
          <w:color w:val="auto"/>
          <w:highlight w:val="none"/>
        </w:rPr>
        <w:t>第二章 供应商须知</w:t>
      </w:r>
      <w:bookmarkEnd w:id="18"/>
      <w:bookmarkEnd w:id="19"/>
    </w:p>
    <w:p w14:paraId="7A2B3B4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055D109C">
      <w:pPr>
        <w:spacing w:line="400" w:lineRule="exact"/>
        <w:jc w:val="center"/>
        <w:rPr>
          <w:rFonts w:hint="eastAsia" w:ascii="宋体" w:hAnsi="宋体" w:cs="宋体"/>
          <w:b/>
          <w:color w:val="auto"/>
          <w:sz w:val="32"/>
          <w:szCs w:val="32"/>
          <w:highlight w:val="none"/>
        </w:rPr>
      </w:pPr>
    </w:p>
    <w:tbl>
      <w:tblPr>
        <w:tblStyle w:val="27"/>
        <w:tblW w:w="91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1"/>
        <w:gridCol w:w="8181"/>
      </w:tblGrid>
      <w:tr w14:paraId="7BDB6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0970D3C0">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条款号</w:t>
            </w:r>
          </w:p>
        </w:tc>
        <w:tc>
          <w:tcPr>
            <w:tcW w:w="8181" w:type="dxa"/>
            <w:vAlign w:val="center"/>
          </w:tcPr>
          <w:p w14:paraId="561B25C9">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内    容</w:t>
            </w:r>
          </w:p>
        </w:tc>
      </w:tr>
      <w:tr w14:paraId="3EA1C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437C9A32">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8181" w:type="dxa"/>
            <w:vAlign w:val="center"/>
          </w:tcPr>
          <w:p w14:paraId="224FBFEC">
            <w:pPr>
              <w:spacing w:line="360" w:lineRule="auto"/>
              <w:rPr>
                <w:rFonts w:hint="eastAsia" w:ascii="宋体" w:hAnsi="宋体" w:cs="宋体"/>
                <w:color w:val="auto"/>
                <w:sz w:val="24"/>
                <w:highlight w:val="none"/>
              </w:rPr>
            </w:pPr>
            <w:r>
              <w:rPr>
                <w:rFonts w:hint="eastAsia" w:ascii="宋体" w:hAnsi="宋体" w:cs="宋体"/>
                <w:color w:val="auto"/>
                <w:sz w:val="24"/>
                <w:highlight w:val="none"/>
              </w:rPr>
              <w:t>供应商的资格条件：详见竞争性谈判公告</w:t>
            </w:r>
          </w:p>
        </w:tc>
      </w:tr>
      <w:tr w14:paraId="69EF0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65F58CA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5.1</w:t>
            </w:r>
          </w:p>
        </w:tc>
        <w:tc>
          <w:tcPr>
            <w:tcW w:w="8181" w:type="dxa"/>
            <w:vAlign w:val="center"/>
          </w:tcPr>
          <w:p w14:paraId="7EE26A95">
            <w:pPr>
              <w:spacing w:line="360" w:lineRule="auto"/>
              <w:rPr>
                <w:rFonts w:hint="eastAsia" w:ascii="宋体" w:hAnsi="宋体" w:cs="宋体"/>
                <w:color w:val="auto"/>
                <w:sz w:val="24"/>
                <w:highlight w:val="none"/>
              </w:rPr>
            </w:pPr>
            <w:r>
              <w:rPr>
                <w:rFonts w:hint="eastAsia" w:ascii="宋体" w:hAnsi="宋体" w:cs="宋体"/>
                <w:color w:val="auto"/>
                <w:sz w:val="24"/>
                <w:highlight w:val="none"/>
              </w:rPr>
              <w:t>是否接受联合体竞标: 详见竞争性谈判公告</w:t>
            </w:r>
          </w:p>
        </w:tc>
      </w:tr>
      <w:tr w14:paraId="40C53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1" w:type="dxa"/>
            <w:vAlign w:val="center"/>
          </w:tcPr>
          <w:p w14:paraId="5398A02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5.2</w:t>
            </w:r>
          </w:p>
        </w:tc>
        <w:tc>
          <w:tcPr>
            <w:tcW w:w="8181" w:type="dxa"/>
            <w:vAlign w:val="center"/>
          </w:tcPr>
          <w:p w14:paraId="2A79B8E5">
            <w:pPr>
              <w:spacing w:line="360" w:lineRule="auto"/>
              <w:rPr>
                <w:rFonts w:hint="eastAsia" w:ascii="宋体" w:hAnsi="宋体" w:cs="宋体"/>
                <w:color w:val="auto"/>
                <w:sz w:val="24"/>
                <w:highlight w:val="none"/>
              </w:rPr>
            </w:pPr>
            <w:r>
              <w:rPr>
                <w:rFonts w:hint="eastAsia" w:ascii="宋体" w:hAnsi="宋体" w:cs="宋体"/>
                <w:color w:val="auto"/>
                <w:sz w:val="24"/>
                <w:highlight w:val="none"/>
              </w:rPr>
              <w:t>如接受联合体竞标，联合体竞标要求如下：无。</w:t>
            </w:r>
          </w:p>
        </w:tc>
      </w:tr>
      <w:tr w14:paraId="4B580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2" w:hRule="atLeast"/>
          <w:jc w:val="center"/>
        </w:trPr>
        <w:tc>
          <w:tcPr>
            <w:tcW w:w="991" w:type="dxa"/>
            <w:vAlign w:val="center"/>
          </w:tcPr>
          <w:p w14:paraId="4A9DA2C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6.2</w:t>
            </w:r>
          </w:p>
        </w:tc>
        <w:tc>
          <w:tcPr>
            <w:tcW w:w="8181" w:type="dxa"/>
            <w:vAlign w:val="center"/>
          </w:tcPr>
          <w:p w14:paraId="2F077456">
            <w:pPr>
              <w:pStyle w:val="8"/>
              <w:spacing w:line="360" w:lineRule="auto"/>
              <w:jc w:val="both"/>
              <w:rPr>
                <w:rFonts w:hint="eastAsia"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b/>
                <w:bCs/>
                <w:color w:val="auto"/>
                <w:sz w:val="24"/>
                <w:highlight w:val="none"/>
              </w:rPr>
              <w:t>√</w:t>
            </w:r>
            <w:r>
              <w:rPr>
                <w:rFonts w:hint="eastAsia" w:ascii="宋体" w:hAnsi="宋体" w:cs="宋体"/>
                <w:color w:val="auto"/>
                <w:sz w:val="24"/>
                <w:highlight w:val="none"/>
              </w:rPr>
              <w:t>本项目不允许分包。</w:t>
            </w:r>
          </w:p>
          <w:p w14:paraId="0F2B7D8E">
            <w:pPr>
              <w:pStyle w:val="8"/>
              <w:spacing w:line="360" w:lineRule="auto"/>
              <w:jc w:val="both"/>
              <w:rPr>
                <w:rFonts w:hint="eastAsia"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本项目允许分包：</w:t>
            </w:r>
          </w:p>
          <w:p w14:paraId="4247CEA5">
            <w:pPr>
              <w:pStyle w:val="8"/>
              <w:spacing w:line="360" w:lineRule="auto"/>
              <w:jc w:val="both"/>
              <w:rPr>
                <w:rFonts w:hint="eastAsia" w:ascii="宋体" w:hAnsi="宋体" w:cs="宋体"/>
                <w:color w:val="auto"/>
                <w:sz w:val="24"/>
                <w:highlight w:val="none"/>
                <w:u w:val="single"/>
              </w:rPr>
            </w:pPr>
            <w:r>
              <w:rPr>
                <w:rFonts w:hint="eastAsia" w:ascii="宋体" w:hAnsi="宋体" w:cs="宋体"/>
                <w:color w:val="auto"/>
                <w:sz w:val="24"/>
                <w:highlight w:val="none"/>
              </w:rPr>
              <w:t>分包内容：</w:t>
            </w:r>
          </w:p>
          <w:p w14:paraId="73FA5186">
            <w:pPr>
              <w:pStyle w:val="8"/>
              <w:spacing w:line="360" w:lineRule="auto"/>
              <w:jc w:val="both"/>
              <w:rPr>
                <w:rFonts w:hint="eastAsia" w:ascii="宋体" w:hAnsi="宋体" w:cs="宋体"/>
                <w:color w:val="auto"/>
                <w:sz w:val="24"/>
                <w:highlight w:val="none"/>
                <w:u w:val="single"/>
              </w:rPr>
            </w:pPr>
            <w:r>
              <w:rPr>
                <w:rFonts w:hint="eastAsia" w:ascii="宋体" w:hAnsi="宋体" w:cs="宋体"/>
                <w:color w:val="auto"/>
                <w:sz w:val="24"/>
                <w:highlight w:val="none"/>
              </w:rPr>
              <w:t>分包金额或者比例：</w:t>
            </w:r>
            <w:r>
              <w:rPr>
                <w:rFonts w:hint="eastAsia" w:ascii="宋体" w:hAnsi="宋体" w:cs="宋体"/>
                <w:color w:val="auto"/>
                <w:sz w:val="24"/>
                <w:highlight w:val="none"/>
                <w:u w:val="single"/>
              </w:rPr>
              <w:t xml:space="preserve">    /     </w:t>
            </w:r>
          </w:p>
        </w:tc>
      </w:tr>
      <w:tr w14:paraId="09B80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5CD8494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12.1.1</w:t>
            </w:r>
          </w:p>
        </w:tc>
        <w:tc>
          <w:tcPr>
            <w:tcW w:w="8181" w:type="dxa"/>
            <w:vAlign w:val="center"/>
          </w:tcPr>
          <w:p w14:paraId="3B1CBA5F">
            <w:pPr>
              <w:snapToGri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资格证明文件</w:t>
            </w:r>
          </w:p>
          <w:p w14:paraId="1645A266">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bCs/>
                <w:color w:val="auto"/>
                <w:sz w:val="24"/>
                <w:highlight w:val="none"/>
              </w:rPr>
              <w:t>（必须提供，否则响应文件按无效响应处理）</w:t>
            </w:r>
          </w:p>
          <w:p w14:paraId="2977A4A1">
            <w:pPr>
              <w:spacing w:line="360" w:lineRule="auto"/>
              <w:contextualSpacing/>
              <w:rPr>
                <w:rFonts w:hint="eastAsia" w:ascii="宋体" w:hAnsi="宋体" w:cs="宋体"/>
                <w:b/>
                <w:bCs/>
                <w:color w:val="auto"/>
                <w:sz w:val="24"/>
                <w:highlight w:val="none"/>
              </w:rPr>
            </w:pPr>
            <w:r>
              <w:rPr>
                <w:rFonts w:hint="eastAsia" w:ascii="宋体" w:hAnsi="宋体" w:cs="宋体"/>
                <w:color w:val="auto"/>
                <w:sz w:val="24"/>
                <w:highlight w:val="none"/>
              </w:rPr>
              <w:t>2.供应商依法缴纳税收的相关材料[</w:t>
            </w:r>
            <w:r>
              <w:rPr>
                <w:rFonts w:hint="eastAsia" w:ascii="宋体" w:hAnsi="宋体" w:cs="宋体"/>
                <w:color w:val="auto"/>
                <w:sz w:val="24"/>
                <w:highlight w:val="none"/>
                <w:u w:val="single"/>
              </w:rPr>
              <w:t>2026年以来任意一个月的依法缴纳税收的证明材料复印件；依法免税或零申报的供应商，必须提供相应文件证明其依法免税或零申报。从成立之日起到</w:t>
            </w:r>
            <w:r>
              <w:rPr>
                <w:rFonts w:hint="eastAsia" w:ascii="宋体" w:hAnsi="宋体" w:cs="宋体"/>
                <w:color w:val="auto"/>
                <w:sz w:val="24"/>
                <w:highlight w:val="none"/>
                <w:u w:val="single"/>
                <w:lang w:val="en-US" w:eastAsia="zh-CN"/>
              </w:rPr>
              <w:t>响应</w:t>
            </w:r>
            <w:r>
              <w:rPr>
                <w:rFonts w:hint="eastAsia" w:ascii="宋体" w:hAnsi="宋体" w:cs="宋体"/>
                <w:color w:val="auto"/>
                <w:sz w:val="24"/>
                <w:highlight w:val="none"/>
                <w:u w:val="single"/>
              </w:rPr>
              <w:t>文件提交截止时间止不足要求月数的，则无需提供</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w:t>
            </w:r>
            <w:r>
              <w:rPr>
                <w:rFonts w:hint="eastAsia" w:ascii="宋体" w:hAnsi="宋体" w:cs="宋体"/>
                <w:b/>
                <w:bCs/>
                <w:color w:val="auto"/>
                <w:sz w:val="24"/>
                <w:highlight w:val="none"/>
              </w:rPr>
              <w:t>（必须提供，否则响应文件按无效响应处理）</w:t>
            </w:r>
          </w:p>
          <w:p w14:paraId="7C607384">
            <w:pPr>
              <w:spacing w:line="360" w:lineRule="auto"/>
              <w:contextualSpacing/>
              <w:rPr>
                <w:rFonts w:hint="eastAsia" w:ascii="宋体" w:hAnsi="宋体" w:cs="宋体"/>
                <w:b/>
                <w:bCs/>
                <w:color w:val="auto"/>
                <w:sz w:val="24"/>
                <w:highlight w:val="none"/>
              </w:rPr>
            </w:pPr>
            <w:r>
              <w:rPr>
                <w:rFonts w:hint="eastAsia" w:ascii="宋体" w:hAnsi="宋体" w:cs="宋体"/>
                <w:color w:val="auto"/>
                <w:sz w:val="24"/>
                <w:highlight w:val="none"/>
              </w:rPr>
              <w:t>3.供应商依法缴纳社会保障资金的相关材料[</w:t>
            </w:r>
            <w:r>
              <w:rPr>
                <w:rFonts w:hint="eastAsia" w:ascii="宋体" w:hAnsi="宋体" w:cs="宋体"/>
                <w:color w:val="auto"/>
                <w:sz w:val="24"/>
                <w:highlight w:val="none"/>
                <w:u w:val="single"/>
              </w:rPr>
              <w:t>2026年以来任意一个月的依法缴纳社会保障资金的缴费证明材料（如：专用收据、社会保险缴纳清单或者社保部门的证明）复印件；依法不需要缴纳社会保障资金的供应商，必须提供相应文件证明不需要缴纳社会保障资金。从成立之日起到</w:t>
            </w:r>
            <w:r>
              <w:rPr>
                <w:rFonts w:hint="eastAsia" w:ascii="宋体" w:hAnsi="宋体" w:cs="宋体"/>
                <w:color w:val="auto"/>
                <w:sz w:val="24"/>
                <w:highlight w:val="none"/>
                <w:u w:val="single"/>
                <w:lang w:val="en-US" w:eastAsia="zh-CN"/>
              </w:rPr>
              <w:t>响应</w:t>
            </w:r>
            <w:r>
              <w:rPr>
                <w:rFonts w:hint="eastAsia" w:ascii="宋体" w:hAnsi="宋体" w:cs="宋体"/>
                <w:color w:val="auto"/>
                <w:sz w:val="24"/>
                <w:highlight w:val="none"/>
                <w:u w:val="single"/>
              </w:rPr>
              <w:t>文件提交截止时间止不足要求月数的，则无需提供</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w:t>
            </w:r>
            <w:r>
              <w:rPr>
                <w:rFonts w:hint="eastAsia" w:ascii="宋体" w:hAnsi="宋体" w:cs="宋体"/>
                <w:b/>
                <w:bCs/>
                <w:color w:val="auto"/>
                <w:sz w:val="24"/>
                <w:highlight w:val="none"/>
              </w:rPr>
              <w:t>（必须提供，否则响应文件按无效响应处理）</w:t>
            </w:r>
          </w:p>
          <w:p w14:paraId="742E9647">
            <w:pPr>
              <w:spacing w:line="360" w:lineRule="auto"/>
              <w:contextualSpacing/>
              <w:rPr>
                <w:rFonts w:hint="eastAsia" w:ascii="宋体" w:hAnsi="宋体" w:cs="宋体"/>
                <w:b/>
                <w:bCs/>
                <w:color w:val="auto"/>
                <w:sz w:val="24"/>
                <w:highlight w:val="none"/>
              </w:rPr>
            </w:pPr>
            <w:r>
              <w:rPr>
                <w:rFonts w:hint="eastAsia" w:ascii="宋体" w:hAnsi="宋体" w:cs="宋体"/>
                <w:color w:val="auto"/>
                <w:sz w:val="24"/>
                <w:highlight w:val="none"/>
              </w:rPr>
              <w:t>4.供应商财务状况报告[2025年度财务报表复印件（包括“四表一注”，即资产负债表、利润表、现金流量表、所有者权益变动表及附注，属于小微企业的无须提供所有者权益变动表）]，或者银行出具的资信证明，或者中国人民银行征信中心出具的信用报告（企业竞标的提供企业信用报告，自然人竞标的提供个人信用报告，供应商属于成立时间在规定年度之后的法人或其他组织，需提供成立之日起至首次响应文件提交截止时间前的月报表或银行出具的资信证明或者中国人民银行征信中心出具的企业信用报告；资信证明应在有效期内，未注明有效期的，银行出具时间至首次响应文件提交截止时间不超过一年）；</w:t>
            </w:r>
            <w:r>
              <w:rPr>
                <w:rFonts w:hint="eastAsia" w:ascii="宋体" w:hAnsi="宋体" w:cs="宋体"/>
                <w:b/>
                <w:bCs/>
                <w:color w:val="auto"/>
                <w:sz w:val="24"/>
                <w:highlight w:val="none"/>
              </w:rPr>
              <w:t>（必须提供，否则响应文件按无效响应处理）</w:t>
            </w:r>
          </w:p>
          <w:p w14:paraId="09BEB2BC">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bCs/>
                <w:color w:val="auto"/>
                <w:sz w:val="24"/>
                <w:highlight w:val="none"/>
              </w:rPr>
              <w:t>.</w:t>
            </w:r>
            <w:r>
              <w:rPr>
                <w:rFonts w:hint="eastAsia" w:ascii="宋体" w:hAnsi="宋体" w:cs="宋体"/>
                <w:color w:val="auto"/>
                <w:sz w:val="24"/>
                <w:highlight w:val="none"/>
              </w:rPr>
              <w:t>供应商直接控股、管理关系信息表（格式后附）；</w:t>
            </w:r>
            <w:r>
              <w:rPr>
                <w:rFonts w:hint="eastAsia" w:ascii="宋体" w:hAnsi="宋体" w:cs="宋体"/>
                <w:b/>
                <w:bCs/>
                <w:color w:val="auto"/>
                <w:sz w:val="24"/>
                <w:highlight w:val="none"/>
              </w:rPr>
              <w:t>（</w:t>
            </w:r>
            <w:r>
              <w:rPr>
                <w:rFonts w:hint="eastAsia" w:ascii="宋体" w:hAnsi="宋体" w:cs="宋体"/>
                <w:b/>
                <w:color w:val="auto"/>
                <w:sz w:val="24"/>
                <w:highlight w:val="none"/>
              </w:rPr>
              <w:t>必须提供，否则响应文件按无效响应处理）</w:t>
            </w:r>
          </w:p>
          <w:p w14:paraId="69B94C87">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bCs/>
                <w:color w:val="auto"/>
                <w:sz w:val="24"/>
                <w:highlight w:val="none"/>
              </w:rPr>
              <w:t>.</w:t>
            </w:r>
            <w:r>
              <w:rPr>
                <w:rFonts w:hint="eastAsia" w:ascii="宋体" w:hAnsi="宋体" w:cs="宋体"/>
                <w:color w:val="auto"/>
                <w:sz w:val="24"/>
                <w:highlight w:val="none"/>
              </w:rPr>
              <w:t>竞标声明（格式后附）；</w:t>
            </w:r>
            <w:r>
              <w:rPr>
                <w:rFonts w:hint="eastAsia" w:ascii="宋体" w:hAnsi="宋体" w:cs="宋体"/>
                <w:b/>
                <w:bCs/>
                <w:color w:val="auto"/>
                <w:sz w:val="24"/>
                <w:highlight w:val="none"/>
              </w:rPr>
              <w:t>（</w:t>
            </w:r>
            <w:r>
              <w:rPr>
                <w:rFonts w:hint="eastAsia" w:ascii="宋体" w:hAnsi="宋体" w:cs="宋体"/>
                <w:b/>
                <w:color w:val="auto"/>
                <w:sz w:val="24"/>
                <w:highlight w:val="none"/>
              </w:rPr>
              <w:t>必须提供，否则响应文件按无效响应处理</w:t>
            </w:r>
            <w:r>
              <w:rPr>
                <w:rFonts w:hint="eastAsia" w:ascii="宋体" w:hAnsi="宋体" w:cs="宋体"/>
                <w:b/>
                <w:bCs/>
                <w:color w:val="auto"/>
                <w:sz w:val="24"/>
                <w:highlight w:val="none"/>
              </w:rPr>
              <w:t>）</w:t>
            </w:r>
          </w:p>
          <w:p w14:paraId="2EEFF243">
            <w:pPr>
              <w:snapToGrid w:val="0"/>
              <w:spacing w:line="360" w:lineRule="auto"/>
              <w:rPr>
                <w:rFonts w:hint="eastAsia" w:ascii="宋体" w:hAnsi="宋体" w:eastAsia="宋体" w:cs="宋体"/>
                <w:b/>
                <w:bCs w:val="0"/>
                <w:color w:val="auto"/>
                <w:sz w:val="24"/>
                <w:highlight w:val="none"/>
                <w:lang w:eastAsia="zh-CN"/>
              </w:rPr>
            </w:pPr>
            <w:r>
              <w:rPr>
                <w:rFonts w:hint="eastAsia" w:ascii="宋体" w:hAnsi="宋体" w:cs="宋体"/>
                <w:color w:val="auto"/>
                <w:sz w:val="24"/>
                <w:highlight w:val="none"/>
              </w:rPr>
              <w:t>7</w:t>
            </w:r>
            <w:r>
              <w:rPr>
                <w:rFonts w:hint="eastAsia" w:ascii="宋体" w:hAnsi="宋体" w:cs="宋体"/>
                <w:bCs/>
                <w:color w:val="auto"/>
                <w:sz w:val="24"/>
                <w:highlight w:val="none"/>
              </w:rPr>
              <w:t>.中小企业声明函或残疾人福利性单位声明函或监狱企业证明材料复印件（格式后附）</w:t>
            </w:r>
            <w:r>
              <w:rPr>
                <w:rFonts w:hint="eastAsia" w:ascii="宋体" w:hAnsi="宋体" w:cs="宋体"/>
                <w:bCs/>
                <w:color w:val="auto"/>
                <w:sz w:val="24"/>
                <w:highlight w:val="none"/>
                <w:lang w:eastAsia="zh-CN"/>
              </w:rPr>
              <w:t>；</w:t>
            </w:r>
            <w:r>
              <w:rPr>
                <w:rFonts w:hint="eastAsia" w:ascii="宋体" w:hAnsi="宋体" w:cs="宋体"/>
                <w:b/>
                <w:bCs w:val="0"/>
                <w:color w:val="auto"/>
                <w:sz w:val="24"/>
                <w:highlight w:val="none"/>
                <w:lang w:eastAsia="zh-CN"/>
              </w:rPr>
              <w:t>（必须提供，否则响应文件按无效响应处理）</w:t>
            </w:r>
          </w:p>
          <w:p w14:paraId="655AE7FC">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除谈判文件规定必须提供以外，供应商认为需要提供的其他证明材料；</w:t>
            </w:r>
          </w:p>
          <w:p w14:paraId="6E3F142F">
            <w:pPr>
              <w:snapToGri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1、以上标明“必须提供”的材料必须加盖供应商公章或电子签章，必须提供的材料在第五章“响应文件格式”中有要求法定代表人或委托代理人签字或盖章或电子签名的，必须由法定代表人或委托代理人签字或盖章或电子签名，否则响应文件按无效处理。</w:t>
            </w:r>
          </w:p>
          <w:p w14:paraId="2E7BA56F">
            <w:pPr>
              <w:snapToGri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2、分公司参加竞标的，应当取得总公司授权，否则响应文件按无效响应处理。</w:t>
            </w:r>
          </w:p>
        </w:tc>
      </w:tr>
      <w:tr w14:paraId="07580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Merge w:val="restart"/>
            <w:vAlign w:val="center"/>
          </w:tcPr>
          <w:p w14:paraId="43D52142">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12.1.2</w:t>
            </w:r>
          </w:p>
        </w:tc>
        <w:tc>
          <w:tcPr>
            <w:tcW w:w="8181" w:type="dxa"/>
            <w:vAlign w:val="center"/>
          </w:tcPr>
          <w:p w14:paraId="11B5F6E8">
            <w:pPr>
              <w:spacing w:line="360" w:lineRule="auto"/>
              <w:rPr>
                <w:rFonts w:hint="eastAsia" w:ascii="宋体" w:hAnsi="宋体" w:cs="宋体"/>
                <w:color w:val="auto"/>
                <w:sz w:val="24"/>
                <w:highlight w:val="none"/>
              </w:rPr>
            </w:pPr>
            <w:r>
              <w:rPr>
                <w:rFonts w:hint="eastAsia" w:ascii="宋体" w:hAnsi="宋体" w:cs="宋体"/>
                <w:b/>
                <w:color w:val="auto"/>
                <w:sz w:val="24"/>
                <w:highlight w:val="none"/>
              </w:rPr>
              <w:t>报价文件</w:t>
            </w:r>
          </w:p>
          <w:p w14:paraId="2F3BD6E7">
            <w:pPr>
              <w:spacing w:line="360" w:lineRule="auto"/>
              <w:rPr>
                <w:rFonts w:hint="eastAsia" w:ascii="宋体" w:hAnsi="宋体" w:cs="宋体"/>
                <w:b/>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w:t>
            </w:r>
            <w:r>
              <w:rPr>
                <w:rFonts w:hint="eastAsia" w:ascii="宋体" w:hAnsi="宋体" w:cs="宋体"/>
                <w:color w:val="auto"/>
                <w:sz w:val="24"/>
                <w:highlight w:val="none"/>
              </w:rPr>
              <w:t>响应函（格式后附）；</w:t>
            </w:r>
            <w:r>
              <w:rPr>
                <w:rFonts w:hint="eastAsia" w:ascii="宋体" w:hAnsi="宋体" w:cs="宋体"/>
                <w:b/>
                <w:color w:val="auto"/>
                <w:sz w:val="24"/>
                <w:highlight w:val="none"/>
              </w:rPr>
              <w:t>（必须提供，否则响应文件按无效响应处理）</w:t>
            </w:r>
          </w:p>
          <w:p w14:paraId="08A4738E">
            <w:pPr>
              <w:spacing w:line="360" w:lineRule="auto"/>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Cs/>
                <w:color w:val="auto"/>
                <w:sz w:val="24"/>
                <w:highlight w:val="none"/>
              </w:rPr>
              <w:t>.</w:t>
            </w:r>
            <w:r>
              <w:rPr>
                <w:rFonts w:hint="eastAsia" w:ascii="宋体" w:hAnsi="宋体" w:cs="宋体"/>
                <w:color w:val="auto"/>
                <w:sz w:val="24"/>
                <w:highlight w:val="none"/>
              </w:rPr>
              <w:t>竞标报价表（格式后附）；</w:t>
            </w:r>
            <w:r>
              <w:rPr>
                <w:rFonts w:hint="eastAsia" w:ascii="宋体" w:hAnsi="宋体" w:cs="宋体"/>
                <w:b/>
                <w:color w:val="auto"/>
                <w:sz w:val="24"/>
                <w:highlight w:val="none"/>
              </w:rPr>
              <w:t>（必须提供，否则响应文件按无效响应处理）</w:t>
            </w:r>
          </w:p>
          <w:p w14:paraId="68929CD9">
            <w:pPr>
              <w:spacing w:line="360" w:lineRule="auto"/>
              <w:rPr>
                <w:rFonts w:hint="eastAsia" w:ascii="宋体" w:hAnsi="宋体" w:eastAsia="宋体" w:cs="宋体"/>
                <w:bCs/>
                <w:color w:val="auto"/>
                <w:sz w:val="24"/>
                <w:highlight w:val="none"/>
                <w:lang w:eastAsia="zh-CN"/>
              </w:rPr>
            </w:pPr>
            <w:r>
              <w:rPr>
                <w:rFonts w:hint="eastAsia" w:ascii="宋体" w:hAnsi="宋体" w:cs="宋体"/>
                <w:color w:val="auto"/>
                <w:sz w:val="24"/>
                <w:highlight w:val="none"/>
              </w:rPr>
              <w:t>3</w:t>
            </w:r>
            <w:r>
              <w:rPr>
                <w:rFonts w:hint="eastAsia" w:ascii="宋体" w:hAnsi="宋体" w:cs="宋体"/>
                <w:bCs/>
                <w:color w:val="auto"/>
                <w:sz w:val="24"/>
                <w:highlight w:val="none"/>
              </w:rPr>
              <w:t>.备品备件及易损件清单及价格</w:t>
            </w:r>
            <w:r>
              <w:rPr>
                <w:rFonts w:hint="eastAsia" w:ascii="宋体" w:hAnsi="宋体" w:cs="宋体"/>
                <w:bCs/>
                <w:color w:val="auto"/>
                <w:sz w:val="24"/>
                <w:highlight w:val="none"/>
                <w:lang w:val="en-US" w:eastAsia="zh-CN"/>
              </w:rPr>
              <w:t>表</w:t>
            </w:r>
            <w:r>
              <w:rPr>
                <w:rFonts w:hint="eastAsia" w:ascii="宋体" w:hAnsi="宋体" w:cs="宋体"/>
                <w:bCs/>
                <w:color w:val="auto"/>
                <w:sz w:val="24"/>
                <w:highlight w:val="none"/>
              </w:rPr>
              <w:t>（格式自拟）</w:t>
            </w:r>
            <w:r>
              <w:rPr>
                <w:rFonts w:hint="eastAsia" w:ascii="宋体" w:hAnsi="宋体" w:cs="宋体"/>
                <w:bCs/>
                <w:color w:val="auto"/>
                <w:sz w:val="24"/>
                <w:highlight w:val="none"/>
                <w:lang w:eastAsia="zh-CN"/>
              </w:rPr>
              <w:t>；</w:t>
            </w:r>
            <w:r>
              <w:rPr>
                <w:rFonts w:hint="eastAsia" w:ascii="宋体" w:hAnsi="宋体" w:cs="宋体"/>
                <w:b/>
                <w:color w:val="auto"/>
                <w:sz w:val="24"/>
                <w:highlight w:val="none"/>
              </w:rPr>
              <w:t>（必须提供，否则响应文件按无效响应处理）</w:t>
            </w:r>
          </w:p>
          <w:p w14:paraId="7AAF772F">
            <w:pPr>
              <w:spacing w:line="360" w:lineRule="auto"/>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竞标人针对报价需要说明的其他文件和说明（格式自拟）。</w:t>
            </w:r>
          </w:p>
          <w:p w14:paraId="77BAC583">
            <w:pPr>
              <w:spacing w:line="360" w:lineRule="auto"/>
              <w:rPr>
                <w:rFonts w:hint="eastAsia" w:ascii="宋体" w:hAnsi="宋体" w:cs="宋体"/>
                <w:bCs/>
                <w:color w:val="auto"/>
                <w:sz w:val="24"/>
                <w:highlight w:val="none"/>
              </w:rPr>
            </w:pPr>
            <w:r>
              <w:rPr>
                <w:rFonts w:hint="eastAsia" w:ascii="宋体" w:hAnsi="宋体" w:cs="宋体"/>
                <w:b/>
                <w:bCs/>
                <w:color w:val="auto"/>
                <w:sz w:val="24"/>
                <w:highlight w:val="none"/>
              </w:rPr>
              <w:t>注：以上标明“必须提供”的材料必须加盖供应商公章或电子签章，必须提供的材料在第五章“响应文件格式”中有要求法定代表人或委托代理人签字或盖章或电子签名的，必须由法定代表人或委托代理人签字或盖章或电子签名，否则响应文件按无效处理。</w:t>
            </w:r>
          </w:p>
        </w:tc>
      </w:tr>
      <w:tr w14:paraId="4F200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991" w:type="dxa"/>
            <w:vMerge w:val="continue"/>
            <w:vAlign w:val="center"/>
          </w:tcPr>
          <w:p w14:paraId="4F0A22A0">
            <w:pPr>
              <w:spacing w:line="360" w:lineRule="auto"/>
              <w:jc w:val="center"/>
              <w:rPr>
                <w:rFonts w:hint="eastAsia" w:ascii="宋体" w:hAnsi="宋体" w:cs="宋体"/>
                <w:color w:val="auto"/>
                <w:sz w:val="24"/>
                <w:highlight w:val="none"/>
              </w:rPr>
            </w:pPr>
          </w:p>
        </w:tc>
        <w:tc>
          <w:tcPr>
            <w:tcW w:w="8181" w:type="dxa"/>
            <w:vAlign w:val="center"/>
          </w:tcPr>
          <w:p w14:paraId="2B713450">
            <w:pPr>
              <w:spacing w:line="360" w:lineRule="auto"/>
              <w:rPr>
                <w:rFonts w:hint="eastAsia" w:ascii="宋体" w:hAnsi="宋体" w:cs="宋体"/>
                <w:color w:val="auto"/>
                <w:sz w:val="24"/>
                <w:highlight w:val="none"/>
              </w:rPr>
            </w:pPr>
            <w:r>
              <w:rPr>
                <w:rFonts w:hint="eastAsia" w:ascii="宋体" w:hAnsi="宋体" w:cs="宋体"/>
                <w:b/>
                <w:color w:val="auto"/>
                <w:sz w:val="24"/>
                <w:highlight w:val="none"/>
              </w:rPr>
              <w:t>商务技术文件</w:t>
            </w:r>
          </w:p>
          <w:p w14:paraId="27636A31">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商务文件：</w:t>
            </w:r>
          </w:p>
          <w:p w14:paraId="05C43030">
            <w:pPr>
              <w:snapToGrid w:val="0"/>
              <w:spacing w:line="360" w:lineRule="auto"/>
              <w:rPr>
                <w:rFonts w:hint="eastAsia" w:ascii="宋体" w:hAnsi="宋体" w:cs="宋体"/>
                <w:b/>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.无串通竞标行为的承诺函（格式后附）；</w:t>
            </w:r>
            <w:r>
              <w:rPr>
                <w:rFonts w:hint="eastAsia" w:ascii="宋体" w:hAnsi="宋体" w:cs="宋体"/>
                <w:b/>
                <w:color w:val="auto"/>
                <w:sz w:val="24"/>
                <w:highlight w:val="none"/>
              </w:rPr>
              <w:t>（必须提供，否则响应文件按无效响应处理）</w:t>
            </w:r>
          </w:p>
          <w:p w14:paraId="1CEE52B6">
            <w:pPr>
              <w:snapToGrid w:val="0"/>
              <w:spacing w:line="360" w:lineRule="auto"/>
              <w:rPr>
                <w:rFonts w:hint="eastAsia"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法定代表人身份证明及法定代表人有效身份证正反面复印件（格式后附）；</w:t>
            </w:r>
            <w:r>
              <w:rPr>
                <w:rFonts w:hint="eastAsia" w:ascii="宋体" w:hAnsi="宋体" w:cs="宋体"/>
                <w:b/>
                <w:color w:val="auto"/>
                <w:sz w:val="24"/>
                <w:highlight w:val="none"/>
              </w:rPr>
              <w:t>（必须提供，否则响应文件按无效响应处理）</w:t>
            </w:r>
          </w:p>
          <w:p w14:paraId="52F5370B">
            <w:pPr>
              <w:spacing w:line="360" w:lineRule="auto"/>
              <w:rPr>
                <w:rFonts w:hint="eastAsia" w:ascii="宋体" w:hAnsi="宋体" w:cs="宋体"/>
                <w:b/>
                <w:color w:val="auto"/>
                <w:sz w:val="24"/>
                <w:highlight w:val="none"/>
              </w:rPr>
            </w:pPr>
            <w:r>
              <w:rPr>
                <w:rFonts w:hint="eastAsia" w:ascii="宋体" w:hAnsi="宋体" w:cs="宋体"/>
                <w:color w:val="auto"/>
                <w:sz w:val="24"/>
                <w:highlight w:val="none"/>
              </w:rPr>
              <w:t>3</w:t>
            </w:r>
            <w:r>
              <w:rPr>
                <w:rFonts w:hint="eastAsia" w:ascii="宋体" w:hAnsi="宋体" w:cs="宋体"/>
                <w:bCs/>
                <w:color w:val="auto"/>
                <w:sz w:val="24"/>
                <w:highlight w:val="none"/>
              </w:rPr>
              <w:t>.</w:t>
            </w:r>
            <w:r>
              <w:rPr>
                <w:rFonts w:hint="eastAsia" w:ascii="宋体" w:hAnsi="宋体" w:cs="宋体"/>
                <w:color w:val="auto"/>
                <w:sz w:val="24"/>
                <w:highlight w:val="none"/>
              </w:rPr>
              <w:t>授权委托书及委托代理人有效身份证正反面复印件（格式后附）；</w:t>
            </w:r>
            <w:r>
              <w:rPr>
                <w:rFonts w:hint="eastAsia" w:ascii="宋体" w:hAnsi="宋体" w:cs="宋体"/>
                <w:b/>
                <w:color w:val="auto"/>
                <w:sz w:val="24"/>
                <w:highlight w:val="none"/>
              </w:rPr>
              <w:t>（委托时必须提供，否则响应文件按无效响应处理）</w:t>
            </w:r>
          </w:p>
          <w:p w14:paraId="427632E1">
            <w:pPr>
              <w:spacing w:line="360" w:lineRule="auto"/>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bCs/>
                <w:color w:val="auto"/>
                <w:sz w:val="24"/>
                <w:highlight w:val="none"/>
              </w:rPr>
              <w:t>.</w:t>
            </w:r>
            <w:r>
              <w:rPr>
                <w:rFonts w:hint="eastAsia" w:ascii="宋体" w:hAnsi="宋体" w:cs="宋体"/>
                <w:color w:val="auto"/>
                <w:sz w:val="24"/>
                <w:highlight w:val="none"/>
              </w:rPr>
              <w:t>竞标保证金提交凭证；（</w:t>
            </w:r>
            <w:r>
              <w:rPr>
                <w:rFonts w:hint="eastAsia" w:ascii="宋体" w:hAnsi="宋体" w:cs="宋体"/>
                <w:b/>
                <w:bCs/>
                <w:color w:val="auto"/>
                <w:sz w:val="24"/>
                <w:highlight w:val="none"/>
              </w:rPr>
              <w:t>如要求提交竞标保证金的则必须提供</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p>
          <w:p w14:paraId="27632095">
            <w:pPr>
              <w:spacing w:line="360" w:lineRule="auto"/>
              <w:rPr>
                <w:rFonts w:hint="eastAsia" w:ascii="宋体" w:hAnsi="宋体" w:cs="宋体"/>
                <w:b/>
                <w:color w:val="auto"/>
                <w:sz w:val="24"/>
                <w:highlight w:val="none"/>
              </w:rPr>
            </w:pPr>
            <w:r>
              <w:rPr>
                <w:rFonts w:hint="eastAsia" w:ascii="宋体" w:hAnsi="宋体" w:cs="宋体"/>
                <w:color w:val="auto"/>
                <w:sz w:val="24"/>
                <w:highlight w:val="none"/>
              </w:rPr>
              <w:t>5</w:t>
            </w:r>
            <w:r>
              <w:rPr>
                <w:rFonts w:hint="eastAsia" w:ascii="宋体" w:hAnsi="宋体" w:cs="宋体"/>
                <w:bCs/>
                <w:color w:val="auto"/>
                <w:sz w:val="24"/>
                <w:highlight w:val="none"/>
              </w:rPr>
              <w:t>.</w:t>
            </w:r>
            <w:r>
              <w:rPr>
                <w:rFonts w:hint="eastAsia" w:ascii="宋体" w:hAnsi="宋体" w:cs="宋体"/>
                <w:color w:val="auto"/>
                <w:sz w:val="24"/>
                <w:highlight w:val="none"/>
              </w:rPr>
              <w:t>商务要求偏离表（格式后附）；</w:t>
            </w:r>
            <w:r>
              <w:rPr>
                <w:rFonts w:hint="eastAsia" w:ascii="宋体" w:hAnsi="宋体" w:cs="宋体"/>
                <w:b/>
                <w:color w:val="auto"/>
                <w:sz w:val="24"/>
                <w:highlight w:val="none"/>
              </w:rPr>
              <w:t>（必须提供，否则响应文件按无效响应处理）</w:t>
            </w:r>
          </w:p>
          <w:p w14:paraId="0EA1B2C2">
            <w:pPr>
              <w:spacing w:line="360" w:lineRule="auto"/>
              <w:rPr>
                <w:rFonts w:hint="eastAsia" w:ascii="宋体" w:hAnsi="宋体" w:cs="宋体"/>
                <w:color w:val="auto"/>
                <w:sz w:val="24"/>
                <w:highlight w:val="none"/>
              </w:rPr>
            </w:pPr>
            <w:r>
              <w:rPr>
                <w:rFonts w:hint="eastAsia" w:ascii="宋体" w:hAnsi="宋体" w:cs="宋体"/>
                <w:color w:val="auto"/>
                <w:sz w:val="24"/>
                <w:highlight w:val="none"/>
              </w:rPr>
              <w:t>6.供应商认为需要提供的其他有关技术资料；（如有，请提供）。</w:t>
            </w:r>
          </w:p>
          <w:p w14:paraId="2E7437D0">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技术文件：</w:t>
            </w:r>
          </w:p>
          <w:p w14:paraId="5F908F3A">
            <w:pPr>
              <w:spacing w:line="360" w:lineRule="auto"/>
              <w:rPr>
                <w:rFonts w:hint="eastAsia" w:ascii="宋体" w:hAnsi="宋体" w:cs="宋体"/>
                <w:b/>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.技术要求偏离表（格式后附）</w:t>
            </w:r>
            <w:r>
              <w:rPr>
                <w:rFonts w:hint="eastAsia" w:ascii="宋体" w:hAnsi="宋体" w:cs="宋体"/>
                <w:color w:val="auto"/>
                <w:sz w:val="24"/>
                <w:highlight w:val="none"/>
              </w:rPr>
              <w:t>；</w:t>
            </w:r>
            <w:r>
              <w:rPr>
                <w:rFonts w:hint="eastAsia" w:ascii="宋体" w:hAnsi="宋体" w:cs="宋体"/>
                <w:b/>
                <w:color w:val="auto"/>
                <w:sz w:val="24"/>
                <w:highlight w:val="none"/>
              </w:rPr>
              <w:t>（必须提供，否则响应文件按无效响应处理）</w:t>
            </w:r>
          </w:p>
          <w:p w14:paraId="35B24C8F">
            <w:pPr>
              <w:spacing w:line="360" w:lineRule="auto"/>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Cs/>
                <w:color w:val="auto"/>
                <w:sz w:val="24"/>
                <w:highlight w:val="none"/>
              </w:rPr>
              <w:t>.</w:t>
            </w:r>
            <w:r>
              <w:rPr>
                <w:rFonts w:hint="eastAsia" w:ascii="宋体" w:hAnsi="宋体" w:cs="宋体"/>
                <w:color w:val="auto"/>
                <w:sz w:val="24"/>
                <w:highlight w:val="none"/>
              </w:rPr>
              <w:t>货物配置清单（格式后附）；</w:t>
            </w:r>
            <w:r>
              <w:rPr>
                <w:rFonts w:hint="eastAsia" w:ascii="宋体" w:hAnsi="宋体" w:cs="宋体"/>
                <w:b/>
                <w:color w:val="auto"/>
                <w:sz w:val="24"/>
                <w:highlight w:val="none"/>
              </w:rPr>
              <w:t>（必须提供，否则响应文件按无效响应处理）</w:t>
            </w:r>
          </w:p>
          <w:p w14:paraId="5E09E58B">
            <w:pPr>
              <w:spacing w:line="360" w:lineRule="auto"/>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bCs/>
                <w:color w:val="auto"/>
                <w:sz w:val="24"/>
                <w:highlight w:val="none"/>
              </w:rPr>
              <w:t>.</w:t>
            </w:r>
            <w:r>
              <w:rPr>
                <w:rFonts w:hint="eastAsia" w:ascii="宋体" w:hAnsi="宋体" w:cs="宋体"/>
                <w:color w:val="auto"/>
                <w:sz w:val="24"/>
                <w:highlight w:val="none"/>
              </w:rPr>
              <w:t>售后服务承诺（格式自拟）；</w:t>
            </w:r>
            <w:r>
              <w:rPr>
                <w:rFonts w:hint="eastAsia" w:ascii="宋体" w:hAnsi="宋体" w:cs="宋体"/>
                <w:b/>
                <w:color w:val="auto"/>
                <w:sz w:val="24"/>
                <w:highlight w:val="none"/>
              </w:rPr>
              <w:t>（必须提供，否则响应文件按无效响应处理）</w:t>
            </w:r>
          </w:p>
          <w:p w14:paraId="5D34419D">
            <w:pPr>
              <w:spacing w:line="360" w:lineRule="auto"/>
              <w:rPr>
                <w:rFonts w:hint="eastAsia" w:ascii="宋体" w:hAnsi="宋体" w:cs="宋体"/>
                <w:color w:val="auto"/>
                <w:sz w:val="24"/>
                <w:highlight w:val="none"/>
              </w:rPr>
            </w:pPr>
            <w:r>
              <w:rPr>
                <w:rFonts w:hint="eastAsia" w:ascii="宋体" w:hAnsi="宋体" w:cs="宋体"/>
                <w:color w:val="auto"/>
                <w:sz w:val="24"/>
                <w:highlight w:val="none"/>
              </w:rPr>
              <w:t>4.项目实施人员一览表（格式自拟）；（如有，请提供）</w:t>
            </w:r>
          </w:p>
          <w:p w14:paraId="027DD9BC">
            <w:pPr>
              <w:spacing w:line="360" w:lineRule="auto"/>
              <w:rPr>
                <w:rFonts w:hint="eastAsia" w:ascii="宋体" w:hAnsi="宋体" w:eastAsia="宋体" w:cs="宋体"/>
                <w:bCs/>
                <w:color w:val="auto"/>
                <w:sz w:val="24"/>
                <w:highlight w:val="none"/>
                <w:lang w:eastAsia="zh-CN"/>
              </w:rPr>
            </w:pPr>
            <w:r>
              <w:rPr>
                <w:rFonts w:hint="eastAsia" w:ascii="宋体" w:hAnsi="宋体" w:cs="宋体"/>
                <w:color w:val="auto"/>
                <w:sz w:val="24"/>
                <w:highlight w:val="none"/>
              </w:rPr>
              <w:t>5</w:t>
            </w:r>
            <w:r>
              <w:rPr>
                <w:rFonts w:hint="eastAsia" w:ascii="宋体" w:hAnsi="宋体" w:cs="宋体"/>
                <w:bCs/>
                <w:color w:val="auto"/>
                <w:sz w:val="24"/>
                <w:highlight w:val="none"/>
              </w:rPr>
              <w:t>.提供针对第三方检测报告或产品技术参数证明或产品技术白皮书等技术参数佐证材料、项目技术实施方案、拟投入本项目团队情况、信誉业绩等相关内容</w:t>
            </w:r>
            <w:r>
              <w:rPr>
                <w:rFonts w:hint="eastAsia" w:ascii="宋体" w:hAnsi="宋体" w:cs="宋体"/>
                <w:bCs/>
                <w:color w:val="auto"/>
                <w:sz w:val="24"/>
                <w:highlight w:val="none"/>
                <w:lang w:eastAsia="zh-CN"/>
              </w:rPr>
              <w:t>；</w:t>
            </w:r>
            <w:r>
              <w:rPr>
                <w:rFonts w:hint="eastAsia" w:ascii="宋体" w:hAnsi="宋体" w:cs="宋体"/>
                <w:color w:val="auto"/>
                <w:sz w:val="24"/>
                <w:highlight w:val="none"/>
              </w:rPr>
              <w:t>（如有，请提供）</w:t>
            </w:r>
          </w:p>
          <w:p w14:paraId="1AC0EC09">
            <w:pPr>
              <w:spacing w:line="360" w:lineRule="auto"/>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对应采购需求的技术要求、商务要求提供的其他文件资料（格式自拟）；</w:t>
            </w:r>
          </w:p>
          <w:p w14:paraId="798A4057">
            <w:pPr>
              <w:spacing w:line="360" w:lineRule="auto"/>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bCs/>
                <w:color w:val="auto"/>
                <w:sz w:val="24"/>
                <w:highlight w:val="none"/>
              </w:rPr>
              <w:t>.</w:t>
            </w:r>
            <w:r>
              <w:rPr>
                <w:rFonts w:hint="eastAsia" w:ascii="宋体" w:hAnsi="宋体" w:cs="宋体"/>
                <w:color w:val="auto"/>
                <w:sz w:val="24"/>
                <w:highlight w:val="none"/>
              </w:rPr>
              <w:t>供应商认为需要提供的其他有关资料；（如有，请提供）。</w:t>
            </w:r>
          </w:p>
          <w:p w14:paraId="4B2BCF55">
            <w:pPr>
              <w:spacing w:line="360" w:lineRule="auto"/>
              <w:rPr>
                <w:rFonts w:hint="eastAsia" w:ascii="宋体" w:hAnsi="宋体" w:cs="宋体"/>
                <w:b/>
                <w:color w:val="auto"/>
                <w:sz w:val="24"/>
                <w:highlight w:val="none"/>
              </w:rPr>
            </w:pPr>
            <w:r>
              <w:rPr>
                <w:rFonts w:hint="eastAsia" w:ascii="宋体" w:hAnsi="宋体" w:cs="宋体"/>
                <w:b/>
                <w:bCs/>
                <w:color w:val="auto"/>
                <w:sz w:val="24"/>
                <w:highlight w:val="none"/>
              </w:rPr>
              <w:t>注：以上标明“必须提供”的材料必须加盖供应商公章或电子签章，必须提供的材料在第五章“响应文件格式”中有要求法定代表人或委托代理人签字或盖章或电子签名的，必须由法定代表人或委托代理人签字或盖章或电子签名，否则响应文件按无效处理。</w:t>
            </w:r>
          </w:p>
        </w:tc>
      </w:tr>
      <w:tr w14:paraId="07DB2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5DF67E1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15.2</w:t>
            </w:r>
          </w:p>
        </w:tc>
        <w:tc>
          <w:tcPr>
            <w:tcW w:w="8181" w:type="dxa"/>
            <w:vAlign w:val="center"/>
          </w:tcPr>
          <w:p w14:paraId="7009DFD0">
            <w:pPr>
              <w:spacing w:line="360" w:lineRule="auto"/>
              <w:rPr>
                <w:rFonts w:hint="eastAsia" w:ascii="宋体" w:hAnsi="宋体" w:cs="宋体"/>
                <w:color w:val="auto"/>
                <w:sz w:val="24"/>
                <w:highlight w:val="none"/>
              </w:rPr>
            </w:pPr>
            <w:r>
              <w:rPr>
                <w:rFonts w:hint="eastAsia" w:ascii="宋体" w:hAnsi="宋体" w:cs="宋体"/>
                <w:color w:val="auto"/>
                <w:sz w:val="24"/>
                <w:highlight w:val="none"/>
              </w:rPr>
              <w:t>供应商所提供的总报价需包含货物价款，备件、专用工具、安装、调试、检验、技术培训及技术资料和包装、运输等全部费用。对于本文件中未列明，而供应商认为必需的费用，也需列入总报价。在合同实施时，采购人将不予支付成交供应商没有列入的项目费用，并认为此项目的费用已包括在响应总报价中。</w:t>
            </w:r>
          </w:p>
        </w:tc>
      </w:tr>
      <w:tr w14:paraId="7A453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4467B41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16.2</w:t>
            </w:r>
          </w:p>
        </w:tc>
        <w:tc>
          <w:tcPr>
            <w:tcW w:w="8181" w:type="dxa"/>
            <w:vAlign w:val="center"/>
          </w:tcPr>
          <w:p w14:paraId="73F36EB9">
            <w:pPr>
              <w:pStyle w:val="7"/>
              <w:widowControl w:val="0"/>
              <w:tabs>
                <w:tab w:val="clear" w:pos="454"/>
              </w:tabs>
              <w:snapToGrid w:val="0"/>
              <w:spacing w:after="0" w:afterLines="0" w:line="360" w:lineRule="auto"/>
              <w:ind w:left="324" w:hanging="324" w:hangingChars="135"/>
              <w:jc w:val="both"/>
              <w:rPr>
                <w:rFonts w:hint="eastAsia" w:ascii="宋体" w:hAnsi="宋体" w:cs="宋体"/>
                <w:color w:val="auto"/>
                <w:kern w:val="2"/>
                <w:szCs w:val="24"/>
                <w:highlight w:val="none"/>
              </w:rPr>
            </w:pPr>
            <w:r>
              <w:rPr>
                <w:rFonts w:hint="eastAsia" w:ascii="宋体" w:hAnsi="宋体" w:cs="宋体"/>
                <w:color w:val="auto"/>
                <w:kern w:val="2"/>
                <w:szCs w:val="24"/>
                <w:highlight w:val="none"/>
              </w:rPr>
              <w:t>竞标有效期：首次响应文件提交截止之日起</w:t>
            </w:r>
            <w:r>
              <w:rPr>
                <w:rFonts w:hint="eastAsia" w:ascii="宋体" w:hAnsi="宋体" w:cs="宋体"/>
                <w:color w:val="auto"/>
                <w:kern w:val="2"/>
                <w:szCs w:val="24"/>
                <w:highlight w:val="none"/>
                <w:u w:val="single"/>
              </w:rPr>
              <w:t>60日历</w:t>
            </w:r>
            <w:r>
              <w:rPr>
                <w:rFonts w:hint="eastAsia" w:ascii="宋体" w:hAnsi="宋体" w:cs="宋体"/>
                <w:color w:val="auto"/>
                <w:kern w:val="2"/>
                <w:szCs w:val="24"/>
                <w:highlight w:val="none"/>
              </w:rPr>
              <w:t xml:space="preserve">天。 </w:t>
            </w:r>
          </w:p>
        </w:tc>
      </w:tr>
      <w:tr w14:paraId="3097A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991" w:type="dxa"/>
            <w:vAlign w:val="center"/>
          </w:tcPr>
          <w:p w14:paraId="591BAD7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17.1</w:t>
            </w:r>
          </w:p>
        </w:tc>
        <w:tc>
          <w:tcPr>
            <w:tcW w:w="8181" w:type="dxa"/>
            <w:vAlign w:val="center"/>
          </w:tcPr>
          <w:p w14:paraId="00907B74">
            <w:pPr>
              <w:spacing w:line="360" w:lineRule="auto"/>
              <w:rPr>
                <w:rFonts w:hint="eastAsia"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本项目不收取竞标保证金。</w:t>
            </w:r>
          </w:p>
          <w:p w14:paraId="05D2FBDD">
            <w:pPr>
              <w:spacing w:line="360" w:lineRule="auto"/>
              <w:rPr>
                <w:rFonts w:hint="eastAsia"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本项目收取竞标保证金，具体规定如下：</w:t>
            </w:r>
          </w:p>
          <w:p w14:paraId="59D72C65">
            <w:pPr>
              <w:spacing w:line="440" w:lineRule="exact"/>
              <w:jc w:val="left"/>
              <w:outlineLvl w:val="4"/>
              <w:rPr>
                <w:rFonts w:hint="eastAsia" w:ascii="宋体" w:hAnsi="宋体" w:cs="宋体"/>
                <w:color w:val="auto"/>
                <w:sz w:val="24"/>
                <w:highlight w:val="none"/>
              </w:rPr>
            </w:pPr>
            <w:r>
              <w:rPr>
                <w:rFonts w:hint="eastAsia" w:ascii="宋体" w:hAnsi="宋体" w:cs="宋体"/>
                <w:color w:val="auto"/>
                <w:sz w:val="24"/>
                <w:highlight w:val="none"/>
              </w:rPr>
              <w:t>竞标保证金金额为：人民币（大写）壹万</w:t>
            </w:r>
            <w:r>
              <w:rPr>
                <w:rFonts w:hint="eastAsia" w:ascii="宋体" w:hAnsi="宋体" w:cs="宋体"/>
                <w:color w:val="auto"/>
                <w:sz w:val="24"/>
                <w:highlight w:val="none"/>
                <w:lang w:val="en-US" w:eastAsia="zh-CN"/>
              </w:rPr>
              <w:t>伍仟</w:t>
            </w:r>
            <w:r>
              <w:rPr>
                <w:rFonts w:hint="eastAsia" w:ascii="宋体" w:hAnsi="宋体" w:cs="宋体"/>
                <w:color w:val="auto"/>
                <w:sz w:val="24"/>
                <w:highlight w:val="none"/>
              </w:rPr>
              <w:t>元整（￥1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000.00元）；须足额交纳。</w:t>
            </w:r>
          </w:p>
          <w:p w14:paraId="446B846C">
            <w:pPr>
              <w:spacing w:line="360" w:lineRule="auto"/>
              <w:rPr>
                <w:rFonts w:hint="eastAsia" w:ascii="宋体" w:hAnsi="宋体" w:cs="宋体"/>
                <w:color w:val="auto"/>
                <w:sz w:val="24"/>
                <w:highlight w:val="none"/>
                <w:lang w:val="zh-TW"/>
              </w:rPr>
            </w:pPr>
            <w:r>
              <w:rPr>
                <w:rFonts w:hint="eastAsia" w:ascii="宋体" w:hAnsi="宋体" w:cs="宋体"/>
                <w:color w:val="auto"/>
                <w:sz w:val="24"/>
                <w:highlight w:val="none"/>
              </w:rPr>
              <w:t>竞标保证金的交纳方式：</w:t>
            </w:r>
            <w:r>
              <w:rPr>
                <w:rFonts w:hint="eastAsia" w:ascii="宋体" w:hAnsi="宋体" w:cs="宋体"/>
                <w:color w:val="auto"/>
                <w:sz w:val="24"/>
                <w:highlight w:val="none"/>
                <w:lang w:val="zh-TW" w:eastAsia="zh-TW"/>
              </w:rPr>
              <w:t>银行转账、支票、汇票、本票或者银行、保险机构出具的保函，禁止采用现钞方式。采用银行转账方式的，在响应文件递交截止时间前交至采购代理机构指定账户并且到账【开户名称：</w:t>
            </w:r>
            <w:r>
              <w:rPr>
                <w:rFonts w:hint="eastAsia" w:ascii="宋体" w:hAnsi="宋体" w:cs="宋体"/>
                <w:color w:val="auto"/>
                <w:sz w:val="24"/>
                <w:highlight w:val="none"/>
                <w:lang w:val="zh-TW"/>
              </w:rPr>
              <w:t>广西城建咨询设计有限公司</w:t>
            </w:r>
            <w:r>
              <w:rPr>
                <w:rFonts w:hint="eastAsia" w:ascii="宋体" w:hAnsi="宋体" w:cs="宋体"/>
                <w:color w:val="auto"/>
                <w:sz w:val="24"/>
                <w:highlight w:val="none"/>
                <w:lang w:val="zh-TW" w:eastAsia="zh-TW"/>
              </w:rPr>
              <w:t>，开户银行：建行南宁市民族大道东分理处，银行账号：4500 1604 6530 5070 3663</w:t>
            </w:r>
            <w:r>
              <w:rPr>
                <w:rFonts w:hint="eastAsia" w:ascii="宋体" w:hAnsi="宋体" w:cs="宋体"/>
                <w:color w:val="auto"/>
                <w:sz w:val="24"/>
                <w:highlight w:val="none"/>
              </w:rPr>
              <w:t>，转账时请注明项目编号或者项目名称</w:t>
            </w:r>
            <w:r>
              <w:rPr>
                <w:rFonts w:hint="eastAsia" w:ascii="宋体" w:hAnsi="宋体" w:cs="宋体"/>
                <w:color w:val="auto"/>
                <w:sz w:val="24"/>
                <w:highlight w:val="none"/>
                <w:lang w:val="zh-TW" w:eastAsia="zh-TW"/>
              </w:rPr>
              <w:t>】，</w:t>
            </w:r>
            <w:r>
              <w:rPr>
                <w:rFonts w:hint="eastAsia" w:ascii="宋体" w:hAnsi="宋体" w:cs="宋体"/>
                <w:b/>
                <w:bCs/>
                <w:color w:val="auto"/>
                <w:sz w:val="24"/>
                <w:highlight w:val="none"/>
                <w:lang w:val="zh-TW" w:eastAsia="zh-TW"/>
              </w:rPr>
              <w:t>采用支票、汇票、本票或者保函等方式的，在响应文件递交截止时间前，供应商应当递交单独密封的支票、汇票、本票或者保函原件，否则视为无效</w:t>
            </w:r>
            <w:r>
              <w:rPr>
                <w:rFonts w:hint="eastAsia" w:ascii="宋体" w:hAnsi="宋体" w:cs="宋体"/>
                <w:b/>
                <w:bCs/>
                <w:color w:val="auto"/>
                <w:sz w:val="24"/>
                <w:highlight w:val="none"/>
                <w:lang w:val="zh-TW"/>
              </w:rPr>
              <w:t>竞标</w:t>
            </w:r>
            <w:r>
              <w:rPr>
                <w:rFonts w:hint="eastAsia" w:ascii="宋体" w:hAnsi="宋体" w:cs="宋体"/>
                <w:b/>
                <w:bCs/>
                <w:color w:val="auto"/>
                <w:sz w:val="24"/>
                <w:highlight w:val="none"/>
                <w:lang w:val="zh-TW" w:eastAsia="zh-TW"/>
              </w:rPr>
              <w:t>保证金</w:t>
            </w:r>
            <w:r>
              <w:rPr>
                <w:rFonts w:hint="eastAsia" w:ascii="宋体" w:hAnsi="宋体" w:cs="宋体"/>
                <w:b/>
                <w:bCs/>
                <w:color w:val="auto"/>
                <w:sz w:val="24"/>
                <w:highlight w:val="none"/>
                <w:lang w:val="zh-TW"/>
              </w:rPr>
              <w:t>。</w:t>
            </w:r>
          </w:p>
          <w:p w14:paraId="045329E8">
            <w:pPr>
              <w:spacing w:line="360" w:lineRule="auto"/>
              <w:rPr>
                <w:rFonts w:hint="eastAsia" w:ascii="宋体" w:hAnsi="宋体" w:cs="宋体"/>
                <w:color w:val="auto"/>
                <w:sz w:val="24"/>
                <w:highlight w:val="none"/>
              </w:rPr>
            </w:pPr>
            <w:r>
              <w:rPr>
                <w:rFonts w:hint="eastAsia" w:ascii="宋体" w:hAnsi="宋体" w:cs="宋体"/>
                <w:color w:val="auto"/>
                <w:sz w:val="24"/>
                <w:highlight w:val="none"/>
              </w:rPr>
              <w:t>相关要求：</w:t>
            </w:r>
          </w:p>
          <w:p w14:paraId="5FB4E9EE">
            <w:pPr>
              <w:snapToGrid w:val="0"/>
              <w:spacing w:line="360" w:lineRule="auto"/>
              <w:rPr>
                <w:rFonts w:hint="eastAsia" w:ascii="宋体" w:hAnsi="宋体" w:cs="宋体"/>
                <w:b/>
                <w:bCs/>
                <w:color w:val="auto"/>
                <w:sz w:val="24"/>
                <w:highlight w:val="none"/>
              </w:rPr>
            </w:pPr>
            <w:r>
              <w:rPr>
                <w:rFonts w:hint="eastAsia" w:ascii="宋体" w:hAnsi="宋体" w:cs="宋体"/>
                <w:color w:val="auto"/>
                <w:sz w:val="24"/>
                <w:highlight w:val="none"/>
              </w:rPr>
              <w:t>1.竞标保证金采用银行转账交纳方式的，在首次响应文件提交截止时间前交至采购代理机构指定账户并且到账，供应商应将银行转账底单的复印件作为竞标保证金提交凭证，放置于商务技术文件中，</w:t>
            </w:r>
            <w:r>
              <w:rPr>
                <w:rFonts w:hint="eastAsia" w:ascii="宋体" w:hAnsi="宋体" w:cs="宋体"/>
                <w:b/>
                <w:bCs/>
                <w:color w:val="auto"/>
                <w:sz w:val="24"/>
                <w:highlight w:val="none"/>
              </w:rPr>
              <w:t>否则响应文件按无效响应处理。</w:t>
            </w:r>
          </w:p>
          <w:p w14:paraId="4A2A39AA">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2.竞标保证金采用支票、汇票、本票或者金融、担保机构出具的保函交纳方式的，供应商应将支票、汇票、本票或者金融、担保机构出具的保函的复印件作为竞标保证金提交凭证，放置于商务技术文件中，</w:t>
            </w:r>
            <w:r>
              <w:rPr>
                <w:rFonts w:hint="eastAsia" w:ascii="宋体" w:hAnsi="宋体" w:cs="宋体"/>
                <w:b/>
                <w:bCs/>
                <w:color w:val="auto"/>
                <w:sz w:val="24"/>
                <w:highlight w:val="none"/>
              </w:rPr>
              <w:t>否则响应无效。</w:t>
            </w:r>
            <w:r>
              <w:rPr>
                <w:rFonts w:hint="eastAsia" w:ascii="宋体" w:hAnsi="宋体" w:cs="宋体"/>
                <w:color w:val="auto"/>
                <w:sz w:val="24"/>
                <w:highlight w:val="none"/>
              </w:rPr>
              <w:t>供应商必须于递交竞标文件时将支票、汇票、本票或者金融、担保机构出具的保函原件提交给采购人或者采购代理机构，由采购人或者采购代理机构向供应商出具回执，并妥善保管。</w:t>
            </w:r>
          </w:p>
          <w:p w14:paraId="18D9B17C">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3.竞标保证金指定</w:t>
            </w:r>
            <w:r>
              <w:rPr>
                <w:rFonts w:hint="eastAsia" w:ascii="宋体" w:hAnsi="宋体" w:cs="宋体"/>
                <w:color w:val="auto"/>
                <w:sz w:val="24"/>
                <w:highlight w:val="none"/>
                <w:lang w:eastAsia="zh-CN"/>
              </w:rPr>
              <w:t>账</w:t>
            </w:r>
            <w:r>
              <w:rPr>
                <w:rFonts w:hint="eastAsia" w:ascii="宋体" w:hAnsi="宋体" w:cs="宋体"/>
                <w:color w:val="auto"/>
                <w:sz w:val="24"/>
                <w:highlight w:val="none"/>
              </w:rPr>
              <w:t>户：详见竞争性竞标公告。</w:t>
            </w:r>
          </w:p>
          <w:p w14:paraId="0A0EA431">
            <w:pPr>
              <w:snapToGrid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备注：</w:t>
            </w:r>
          </w:p>
          <w:p w14:paraId="6E34CF47">
            <w:pPr>
              <w:snapToGrid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1.竞标保证金在响应文件提交截止时间后提交的，或者不按规定交纳方式交纳的，或者未足额交纳的（包含保函额度不足的），视为无效竞标保证金。</w:t>
            </w:r>
          </w:p>
          <w:p w14:paraId="36A9EA73">
            <w:pPr>
              <w:snapToGrid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2.供应商采用现钞方式或者从个人账户（自然人竞标除外）转出的竞标保证金，视为无效竞标保证金。</w:t>
            </w:r>
          </w:p>
          <w:p w14:paraId="50307751">
            <w:pPr>
              <w:snapToGrid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3.支票、汇票或者本票出现无效或者背书情形的，视为无效竞标保证金。</w:t>
            </w:r>
          </w:p>
          <w:p w14:paraId="3F17317D">
            <w:pPr>
              <w:snapToGrid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4.保函有效期低于竞标有效期的，视为无效竞标保证金。</w:t>
            </w:r>
          </w:p>
          <w:p w14:paraId="572F3748">
            <w:pPr>
              <w:snapToGrid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5.采用银行、保险机构出具保函的，必须为无条件保函，否则视为无效竞标保证金。</w:t>
            </w:r>
          </w:p>
          <w:p w14:paraId="19D8C37E">
            <w:pPr>
              <w:snapToGrid w:val="0"/>
              <w:spacing w:line="360" w:lineRule="auto"/>
              <w:rPr>
                <w:rFonts w:hint="eastAsia" w:ascii="宋体" w:hAnsi="宋体" w:cs="宋体"/>
                <w:color w:val="auto"/>
                <w:sz w:val="24"/>
                <w:highlight w:val="none"/>
              </w:rPr>
            </w:pPr>
            <w:r>
              <w:rPr>
                <w:rFonts w:hint="eastAsia" w:ascii="宋体" w:hAnsi="宋体" w:cs="宋体"/>
                <w:b/>
                <w:bCs/>
                <w:color w:val="auto"/>
                <w:sz w:val="24"/>
                <w:highlight w:val="none"/>
              </w:rPr>
              <w:t>6.广西政府采购云平台暂未支持电子保函功能，故本项目暂不接受电子保函形式的保证金。</w:t>
            </w:r>
          </w:p>
        </w:tc>
      </w:tr>
      <w:tr w14:paraId="16532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14935FA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18.2</w:t>
            </w:r>
          </w:p>
        </w:tc>
        <w:tc>
          <w:tcPr>
            <w:tcW w:w="8181" w:type="dxa"/>
            <w:vAlign w:val="center"/>
          </w:tcPr>
          <w:p w14:paraId="1267CA78">
            <w:pPr>
              <w:spacing w:line="360" w:lineRule="auto"/>
              <w:rPr>
                <w:rFonts w:hint="eastAsia" w:ascii="宋体" w:hAnsi="宋体" w:cs="宋体"/>
                <w:color w:val="auto"/>
                <w:sz w:val="24"/>
                <w:highlight w:val="none"/>
              </w:rPr>
            </w:pPr>
            <w:r>
              <w:rPr>
                <w:rFonts w:hint="eastAsia" w:ascii="宋体" w:hAnsi="宋体" w:cs="宋体"/>
                <w:color w:val="auto"/>
                <w:sz w:val="24"/>
                <w:highlight w:val="none"/>
              </w:rPr>
              <w:t>响应文件应按资格证明文件、报价文件、商务技术文件分别编制，</w:t>
            </w:r>
            <w:r>
              <w:rPr>
                <w:rFonts w:hint="eastAsia" w:ascii="宋体" w:hAnsi="宋体" w:cs="宋体"/>
                <w:color w:val="auto"/>
                <w:sz w:val="24"/>
                <w:highlight w:val="none"/>
                <w:lang w:bidi="ar"/>
              </w:rPr>
              <w:t>并按“广西政府采购云平台”的要求编制、加密、上传。</w:t>
            </w:r>
          </w:p>
        </w:tc>
      </w:tr>
      <w:tr w14:paraId="66E8A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6D96677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20.1</w:t>
            </w:r>
          </w:p>
        </w:tc>
        <w:tc>
          <w:tcPr>
            <w:tcW w:w="8181" w:type="dxa"/>
            <w:vAlign w:val="center"/>
          </w:tcPr>
          <w:p w14:paraId="37916BB2">
            <w:pPr>
              <w:spacing w:line="360"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首次响应文件提交截止时间：详见竞争性谈判公告。</w:t>
            </w:r>
          </w:p>
          <w:p w14:paraId="55F2E853">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首次响应文件提交地点：详见竞争性谈判公告。</w:t>
            </w:r>
          </w:p>
        </w:tc>
      </w:tr>
      <w:tr w14:paraId="6DF9C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0950A9F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24.1</w:t>
            </w:r>
          </w:p>
        </w:tc>
        <w:tc>
          <w:tcPr>
            <w:tcW w:w="8181" w:type="dxa"/>
            <w:vAlign w:val="center"/>
          </w:tcPr>
          <w:p w14:paraId="19266D11">
            <w:pPr>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谈判小组的人数：3人。</w:t>
            </w:r>
          </w:p>
        </w:tc>
      </w:tr>
      <w:tr w14:paraId="05A0F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3" w:hRule="atLeast"/>
          <w:jc w:val="center"/>
        </w:trPr>
        <w:tc>
          <w:tcPr>
            <w:tcW w:w="991" w:type="dxa"/>
            <w:vAlign w:val="center"/>
          </w:tcPr>
          <w:p w14:paraId="17B6339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25.2</w:t>
            </w:r>
          </w:p>
        </w:tc>
        <w:tc>
          <w:tcPr>
            <w:tcW w:w="8181" w:type="dxa"/>
            <w:vAlign w:val="center"/>
          </w:tcPr>
          <w:p w14:paraId="2EEFA509">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采购代理机构将依托电子交易平台发起开始解密指令，</w:t>
            </w:r>
            <w:r>
              <w:rPr>
                <w:rFonts w:hint="eastAsia" w:ascii="宋体" w:hAnsi="宋体" w:cs="宋体"/>
                <w:b/>
                <w:color w:val="auto"/>
                <w:sz w:val="24"/>
                <w:highlight w:val="none"/>
              </w:rPr>
              <w:t>供应商的法定代表人或其委托代理人须携带加密时所用的CA锁按平台提示和竞争性谈判文件的规定登录到“广西政府采购云平台”电子开标大厅签到并在发起解密指令之时起30分钟内完成对电子响应文件在线解密。</w:t>
            </w:r>
            <w:r>
              <w:rPr>
                <w:rFonts w:hint="eastAsia" w:ascii="宋体" w:hAnsi="宋体" w:cs="宋体"/>
                <w:b/>
                <w:bCs/>
                <w:color w:val="auto"/>
                <w:sz w:val="24"/>
                <w:highlight w:val="none"/>
              </w:rPr>
              <w:t>响应文件未按时解密的，视为响应文件无效。</w:t>
            </w:r>
          </w:p>
        </w:tc>
      </w:tr>
      <w:tr w14:paraId="2E394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restart"/>
            <w:vAlign w:val="center"/>
          </w:tcPr>
          <w:p w14:paraId="0725109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26</w:t>
            </w:r>
          </w:p>
        </w:tc>
        <w:tc>
          <w:tcPr>
            <w:tcW w:w="8181" w:type="dxa"/>
            <w:vAlign w:val="center"/>
          </w:tcPr>
          <w:p w14:paraId="2DD0F916">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商务要求评审中允许负偏离的条款数为</w:t>
            </w:r>
            <w:r>
              <w:rPr>
                <w:rFonts w:hint="eastAsia" w:ascii="宋体" w:hAnsi="宋体" w:cs="宋体"/>
                <w:color w:val="auto"/>
                <w:sz w:val="24"/>
                <w:highlight w:val="none"/>
                <w:u w:val="single"/>
              </w:rPr>
              <w:t xml:space="preserve"> 0 </w:t>
            </w:r>
            <w:r>
              <w:rPr>
                <w:rFonts w:hint="eastAsia" w:ascii="宋体" w:hAnsi="宋体" w:cs="宋体"/>
                <w:color w:val="auto"/>
                <w:sz w:val="24"/>
                <w:highlight w:val="none"/>
              </w:rPr>
              <w:t>项。</w:t>
            </w:r>
          </w:p>
          <w:p w14:paraId="15734500">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技术要求评审中允许负偏离的条款数为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2 </w:t>
            </w:r>
            <w:r>
              <w:rPr>
                <w:rFonts w:hint="eastAsia" w:ascii="宋体" w:hAnsi="宋体" w:cs="宋体"/>
                <w:color w:val="auto"/>
                <w:sz w:val="24"/>
                <w:highlight w:val="none"/>
              </w:rPr>
              <w:t>项。</w:t>
            </w:r>
          </w:p>
        </w:tc>
      </w:tr>
      <w:tr w14:paraId="2ACE8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jc w:val="center"/>
        </w:trPr>
        <w:tc>
          <w:tcPr>
            <w:tcW w:w="991" w:type="dxa"/>
            <w:vMerge w:val="continue"/>
            <w:vAlign w:val="center"/>
          </w:tcPr>
          <w:p w14:paraId="5E8DCB9C">
            <w:pPr>
              <w:spacing w:line="360" w:lineRule="auto"/>
              <w:jc w:val="center"/>
              <w:rPr>
                <w:rFonts w:hint="eastAsia" w:ascii="宋体" w:hAnsi="宋体" w:cs="宋体"/>
                <w:color w:val="auto"/>
                <w:sz w:val="24"/>
                <w:highlight w:val="none"/>
              </w:rPr>
            </w:pPr>
          </w:p>
        </w:tc>
        <w:tc>
          <w:tcPr>
            <w:tcW w:w="8181" w:type="dxa"/>
            <w:vAlign w:val="center"/>
          </w:tcPr>
          <w:p w14:paraId="4C923490">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谈判的顺序：按“广西政府采购云平台”系统的编号顺序。</w:t>
            </w:r>
          </w:p>
          <w:p w14:paraId="07F0359D">
            <w:pPr>
              <w:snapToGri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符合谈判资格的供应商必须在接到谈判通知后规定时间内参加谈判，未在规定时间内参加谈判的视同放弃参加谈判权利，其响应文件按无效响应处理。</w:t>
            </w:r>
          </w:p>
          <w:p w14:paraId="5D4CAE90">
            <w:pPr>
              <w:snapToGrid w:val="0"/>
              <w:spacing w:line="360" w:lineRule="auto"/>
              <w:rPr>
                <w:rFonts w:hint="eastAsia" w:ascii="宋体" w:hAnsi="宋体" w:cs="宋体"/>
                <w:color w:val="auto"/>
                <w:sz w:val="24"/>
                <w:highlight w:val="none"/>
              </w:rPr>
            </w:pPr>
            <w:r>
              <w:rPr>
                <w:rFonts w:hint="eastAsia" w:ascii="宋体" w:hAnsi="宋体" w:cs="宋体"/>
                <w:b/>
                <w:color w:val="auto"/>
                <w:sz w:val="24"/>
                <w:highlight w:val="none"/>
              </w:rPr>
              <w:t>参与谈判前，供应商法定代表人或者委托代理人必须向谈判小组出示本人有效证件原件[有效证件可以是身份证（含临时身份证明）或者护照的其中一项。</w:t>
            </w:r>
          </w:p>
        </w:tc>
      </w:tr>
      <w:tr w14:paraId="61DF1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continue"/>
            <w:vAlign w:val="center"/>
          </w:tcPr>
          <w:p w14:paraId="7AFCD909">
            <w:pPr>
              <w:spacing w:line="360" w:lineRule="auto"/>
              <w:jc w:val="center"/>
              <w:rPr>
                <w:rFonts w:hint="eastAsia" w:ascii="宋体" w:hAnsi="宋体" w:cs="宋体"/>
                <w:color w:val="auto"/>
                <w:sz w:val="24"/>
                <w:highlight w:val="none"/>
              </w:rPr>
            </w:pPr>
          </w:p>
        </w:tc>
        <w:tc>
          <w:tcPr>
            <w:tcW w:w="8181" w:type="dxa"/>
            <w:vAlign w:val="center"/>
          </w:tcPr>
          <w:p w14:paraId="2B6EFD1D">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评审价相同时，按照最后报价由低到高顺序依次推荐；最后报价相同的，按以下原则确定成交候选人的顺序：</w:t>
            </w:r>
          </w:p>
          <w:p w14:paraId="1047A086">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☑依次按带“▲”的实质性要求正偏离项数多的优先、</w:t>
            </w:r>
            <w:r>
              <w:rPr>
                <w:rFonts w:hint="eastAsia" w:ascii="宋体" w:hAnsi="宋体" w:cs="宋体"/>
                <w:color w:val="auto"/>
                <w:sz w:val="24"/>
                <w:highlight w:val="none"/>
                <w:lang w:val="en-US" w:eastAsia="zh-CN"/>
              </w:rPr>
              <w:t>非</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的项</w:t>
            </w:r>
            <w:r>
              <w:rPr>
                <w:rFonts w:hint="eastAsia" w:ascii="宋体" w:hAnsi="宋体" w:cs="宋体"/>
                <w:color w:val="auto"/>
                <w:sz w:val="24"/>
                <w:highlight w:val="none"/>
              </w:rPr>
              <w:t>均无正偏离或者正偏离项数一致时负偏离项数少的优先</w:t>
            </w:r>
            <w:r>
              <w:rPr>
                <w:rFonts w:hint="eastAsia" w:ascii="宋体" w:hAnsi="宋体" w:cs="宋体"/>
                <w:color w:val="auto"/>
                <w:sz w:val="24"/>
                <w:highlight w:val="none"/>
                <w:lang w:eastAsia="zh-CN"/>
              </w:rPr>
              <w:t>、</w:t>
            </w:r>
            <w:r>
              <w:rPr>
                <w:rFonts w:hint="eastAsia" w:ascii="宋体" w:hAnsi="宋体" w:cs="宋体"/>
                <w:color w:val="auto"/>
                <w:sz w:val="24"/>
                <w:highlight w:val="none"/>
              </w:rPr>
              <w:t>质量保证期长优先、交货期短优先、故障响应时间短优先、节能环保产品累计金额多的优先的顺序排列。</w:t>
            </w:r>
          </w:p>
          <w:p w14:paraId="60052EB9">
            <w:pPr>
              <w:pStyle w:val="37"/>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如果上述都一样则以抽签形式确定成交供应商。</w:t>
            </w:r>
          </w:p>
          <w:p w14:paraId="4409071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□由谈判小组推荐代表随机抽取。</w:t>
            </w:r>
          </w:p>
        </w:tc>
      </w:tr>
      <w:tr w14:paraId="0A991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6C3C112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28.1</w:t>
            </w:r>
          </w:p>
        </w:tc>
        <w:tc>
          <w:tcPr>
            <w:tcW w:w="8181" w:type="dxa"/>
            <w:vAlign w:val="center"/>
          </w:tcPr>
          <w:p w14:paraId="2ED4FE91">
            <w:pPr>
              <w:autoSpaceDE w:val="0"/>
              <w:autoSpaceDN w:val="0"/>
              <w:snapToGrid w:val="0"/>
              <w:spacing w:line="360" w:lineRule="auto"/>
              <w:textAlignment w:val="bottom"/>
              <w:rPr>
                <w:rFonts w:hint="eastAsia"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本项目不收取履约保证金。</w:t>
            </w:r>
          </w:p>
          <w:p w14:paraId="4143F653">
            <w:pPr>
              <w:spacing w:line="360" w:lineRule="auto"/>
              <w:jc w:val="left"/>
              <w:rPr>
                <w:rFonts w:hint="eastAsia" w:asciiTheme="minorEastAsia" w:hAnsiTheme="minorEastAsia" w:eastAsiaTheme="minorEastAsia" w:cstheme="minorEastAsia"/>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本项目</w:t>
            </w:r>
            <w:r>
              <w:rPr>
                <w:rFonts w:hint="eastAsia" w:asciiTheme="minorEastAsia" w:hAnsiTheme="minorEastAsia" w:eastAsiaTheme="minorEastAsia" w:cstheme="minorEastAsia"/>
                <w:color w:val="auto"/>
                <w:sz w:val="24"/>
                <w:highlight w:val="none"/>
              </w:rPr>
              <w:t>收取履约保证金：具体规定如下：</w:t>
            </w:r>
          </w:p>
          <w:p w14:paraId="10AB1B14">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履约保证金金额：按</w:t>
            </w:r>
            <w:r>
              <w:rPr>
                <w:rFonts w:hint="eastAsia" w:asciiTheme="minorEastAsia" w:hAnsiTheme="minorEastAsia" w:eastAsiaTheme="minorEastAsia" w:cstheme="minorEastAsia"/>
                <w:color w:val="auto"/>
                <w:sz w:val="24"/>
                <w:highlight w:val="none"/>
                <w:lang w:val="en-US" w:eastAsia="zh-CN"/>
              </w:rPr>
              <w:t>成交</w:t>
            </w:r>
            <w:r>
              <w:rPr>
                <w:rFonts w:hint="eastAsia" w:asciiTheme="minorEastAsia" w:hAnsiTheme="minorEastAsia" w:eastAsiaTheme="minorEastAsia" w:cstheme="minorEastAsia"/>
                <w:color w:val="auto"/>
                <w:sz w:val="24"/>
                <w:highlight w:val="none"/>
              </w:rPr>
              <w:t>金额的</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%交纳。</w:t>
            </w:r>
          </w:p>
          <w:p w14:paraId="30A4D4BB">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2.履约保证金递交方式：以电汇、转账、汇票、金融机构或担保机构出具的保函等非现金形式提交。由</w:t>
            </w:r>
            <w:r>
              <w:rPr>
                <w:rFonts w:hint="eastAsia" w:asciiTheme="minorEastAsia" w:hAnsiTheme="minorEastAsia" w:eastAsiaTheme="minorEastAsia" w:cstheme="minorEastAsia"/>
                <w:color w:val="auto"/>
                <w:sz w:val="24"/>
                <w:highlight w:val="none"/>
                <w:lang w:val="en-US" w:eastAsia="zh-CN"/>
              </w:rPr>
              <w:t>成交</w:t>
            </w:r>
            <w:r>
              <w:rPr>
                <w:rFonts w:hint="eastAsia" w:asciiTheme="minorEastAsia" w:hAnsiTheme="minorEastAsia" w:eastAsiaTheme="minorEastAsia" w:cstheme="minorEastAsia"/>
                <w:color w:val="auto"/>
                <w:sz w:val="24"/>
                <w:highlight w:val="none"/>
              </w:rPr>
              <w:t>人在成交通知书发出后10个工作日内按规定的金额直接缴入广西机电职业技术学院账户，账户名称: 广西机电职业技术学院；开户行：</w:t>
            </w:r>
            <w:r>
              <w:rPr>
                <w:rFonts w:hint="eastAsia" w:asciiTheme="minorEastAsia" w:hAnsiTheme="minorEastAsia" w:eastAsiaTheme="minorEastAsia" w:cstheme="minorEastAsia"/>
                <w:color w:val="auto"/>
                <w:sz w:val="24"/>
                <w:highlight w:val="none"/>
                <w:lang w:eastAsia="zh-CN"/>
              </w:rPr>
              <w:t>中国建设银行广西南宁大学路支行</w:t>
            </w:r>
            <w:r>
              <w:rPr>
                <w:rFonts w:hint="eastAsia" w:asciiTheme="minorEastAsia" w:hAnsiTheme="minorEastAsia" w:eastAsiaTheme="minorEastAsia" w:cstheme="minorEastAsia"/>
                <w:color w:val="auto"/>
                <w:sz w:val="24"/>
                <w:highlight w:val="none"/>
              </w:rPr>
              <w:t>；银行账号：4500 1604 8510 5050 3961。</w:t>
            </w:r>
          </w:p>
          <w:p w14:paraId="17998A1B">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lang w:val="en-US" w:eastAsia="zh-CN"/>
              </w:rPr>
              <w:t>成交</w:t>
            </w:r>
            <w:r>
              <w:rPr>
                <w:rFonts w:hint="eastAsia" w:asciiTheme="minorEastAsia" w:hAnsiTheme="minorEastAsia" w:eastAsiaTheme="minorEastAsia" w:cstheme="minorEastAsia"/>
                <w:color w:val="auto"/>
                <w:sz w:val="24"/>
                <w:highlight w:val="none"/>
              </w:rPr>
              <w:t>人须在签订合同之前按照本条规定的履约保证金金额、递交方式直接转入采购人账户，否则不予签订合同。在全部货物完成交付并验收合格后</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由</w:t>
            </w:r>
            <w:r>
              <w:rPr>
                <w:rFonts w:hint="eastAsia" w:asciiTheme="minorEastAsia" w:hAnsiTheme="minorEastAsia" w:eastAsiaTheme="minorEastAsia" w:cstheme="minorEastAsia"/>
                <w:color w:val="auto"/>
                <w:sz w:val="24"/>
                <w:highlight w:val="none"/>
                <w:lang w:val="en-US" w:eastAsia="zh-CN"/>
              </w:rPr>
              <w:t>成交</w:t>
            </w:r>
            <w:r>
              <w:rPr>
                <w:rFonts w:hint="eastAsia" w:asciiTheme="minorEastAsia" w:hAnsiTheme="minorEastAsia" w:eastAsiaTheme="minorEastAsia" w:cstheme="minorEastAsia"/>
                <w:color w:val="auto"/>
                <w:sz w:val="24"/>
                <w:highlight w:val="none"/>
              </w:rPr>
              <w:t>人向履约保证金收取单位提供《采购项目合同验收书》、《采购项目履约保证金退付意见书》，保证金收取单位在收到合格材料后，根据</w:t>
            </w:r>
            <w:r>
              <w:rPr>
                <w:rFonts w:hint="eastAsia" w:asciiTheme="minorEastAsia" w:hAnsiTheme="minorEastAsia" w:eastAsiaTheme="minorEastAsia" w:cstheme="minorEastAsia"/>
                <w:color w:val="auto"/>
                <w:sz w:val="24"/>
                <w:highlight w:val="none"/>
                <w:lang w:val="en-US" w:eastAsia="zh-CN"/>
              </w:rPr>
              <w:t>成交</w:t>
            </w:r>
            <w:r>
              <w:rPr>
                <w:rFonts w:hint="eastAsia" w:asciiTheme="minorEastAsia" w:hAnsiTheme="minorEastAsia" w:eastAsiaTheme="minorEastAsia" w:cstheme="minorEastAsia"/>
                <w:color w:val="auto"/>
                <w:sz w:val="24"/>
                <w:highlight w:val="none"/>
              </w:rPr>
              <w:t>人相关违约处罚扣款后的实际数额在</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个工作日内办理退还手续（不计利息）。若采购内容质保期各不相同的，也可按金额比例分次退付。</w:t>
            </w:r>
          </w:p>
          <w:p w14:paraId="69C18FB8">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4.在履约保证金退还日期前，若成交人的开户名称、开户银行、账号有变动的，请以书面形式通知广西机电职业技术学院，否则由此产生的后果由</w:t>
            </w:r>
            <w:r>
              <w:rPr>
                <w:rFonts w:hint="eastAsia" w:asciiTheme="minorEastAsia" w:hAnsiTheme="minorEastAsia" w:eastAsiaTheme="minorEastAsia" w:cstheme="minorEastAsia"/>
                <w:color w:val="auto"/>
                <w:sz w:val="24"/>
                <w:highlight w:val="none"/>
                <w:lang w:eastAsia="zh-CN"/>
              </w:rPr>
              <w:t>成交</w:t>
            </w:r>
            <w:r>
              <w:rPr>
                <w:rFonts w:hint="eastAsia" w:asciiTheme="minorEastAsia" w:hAnsiTheme="minorEastAsia" w:eastAsiaTheme="minorEastAsia" w:cstheme="minorEastAsia"/>
                <w:color w:val="auto"/>
                <w:sz w:val="24"/>
                <w:highlight w:val="none"/>
              </w:rPr>
              <w:t>人自负。</w:t>
            </w:r>
          </w:p>
          <w:p w14:paraId="116FA71C">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lang w:val="en-US" w:eastAsia="zh-CN"/>
              </w:rPr>
              <w:t>成交人</w:t>
            </w:r>
            <w:r>
              <w:rPr>
                <w:rFonts w:hint="eastAsia" w:asciiTheme="minorEastAsia" w:hAnsiTheme="minorEastAsia" w:eastAsiaTheme="minorEastAsia" w:cstheme="minorEastAsia"/>
                <w:color w:val="auto"/>
                <w:sz w:val="24"/>
                <w:highlight w:val="none"/>
              </w:rPr>
              <w:t>采用保函形式缴纳履约保证金的，该保函需载明：</w:t>
            </w:r>
          </w:p>
          <w:p w14:paraId="2E7C5057">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（1）见索即付；</w:t>
            </w:r>
          </w:p>
          <w:p w14:paraId="5AA669E2">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（2）收到采购人法定代表人或授权委托代理人签字确认并加盖公章的书面索赔通知后即应不争辩、不挑剔、不可撤销地向采购人支付索赔款，直至最高担保金额。（如</w:t>
            </w:r>
            <w:r>
              <w:rPr>
                <w:rFonts w:hint="eastAsia" w:asciiTheme="minorEastAsia" w:hAnsiTheme="minorEastAsia" w:eastAsiaTheme="minorEastAsia" w:cstheme="minorEastAsia"/>
                <w:color w:val="auto"/>
                <w:sz w:val="24"/>
                <w:highlight w:val="none"/>
                <w:lang w:val="en-US" w:eastAsia="zh-CN"/>
              </w:rPr>
              <w:t>成交人</w:t>
            </w:r>
            <w:r>
              <w:rPr>
                <w:rFonts w:hint="eastAsia" w:asciiTheme="minorEastAsia" w:hAnsiTheme="minorEastAsia" w:eastAsiaTheme="minorEastAsia" w:cstheme="minorEastAsia"/>
                <w:color w:val="auto"/>
                <w:sz w:val="24"/>
                <w:highlight w:val="none"/>
              </w:rPr>
              <w:t>提供的保函未载明前述内容的，采购人可直接拒收该保函，</w:t>
            </w:r>
            <w:r>
              <w:rPr>
                <w:rFonts w:hint="eastAsia" w:asciiTheme="minorEastAsia" w:hAnsiTheme="minorEastAsia" w:eastAsiaTheme="minorEastAsia" w:cstheme="minorEastAsia"/>
                <w:color w:val="auto"/>
                <w:sz w:val="24"/>
                <w:highlight w:val="none"/>
                <w:lang w:val="en-US" w:eastAsia="zh-CN"/>
              </w:rPr>
              <w:t>成交人</w:t>
            </w:r>
            <w:r>
              <w:rPr>
                <w:rFonts w:hint="eastAsia" w:asciiTheme="minorEastAsia" w:hAnsiTheme="minorEastAsia" w:eastAsiaTheme="minorEastAsia" w:cstheme="minorEastAsia"/>
                <w:color w:val="auto"/>
                <w:sz w:val="24"/>
                <w:highlight w:val="none"/>
              </w:rPr>
              <w:t>应以银行转账或其他能切实发挥履约担保作用的方式提供履约保证金）。</w:t>
            </w:r>
          </w:p>
          <w:p w14:paraId="26118DF6">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p w14:paraId="7DFBDA2A">
            <w:pPr>
              <w:spacing w:line="360" w:lineRule="auto"/>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p>
          <w:p w14:paraId="7E08B4BC">
            <w:pPr>
              <w:spacing w:line="360" w:lineRule="auto"/>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
                <w:color w:val="auto"/>
                <w:sz w:val="24"/>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18016E3">
            <w:pPr>
              <w:spacing w:line="360" w:lineRule="auto"/>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3.采用金融、担保机构出具的保函的，必须为无条件保函，否则不予签订合同。</w:t>
            </w:r>
          </w:p>
          <w:p w14:paraId="7BF27ADE">
            <w:pPr>
              <w:autoSpaceDE w:val="0"/>
              <w:autoSpaceDN w:val="0"/>
              <w:snapToGrid w:val="0"/>
              <w:spacing w:line="360" w:lineRule="auto"/>
              <w:textAlignment w:val="bottom"/>
              <w:rPr>
                <w:rFonts w:hint="eastAsia" w:ascii="宋体" w:hAnsi="宋体" w:cs="宋体"/>
                <w:color w:val="auto"/>
                <w:sz w:val="24"/>
                <w:highlight w:val="none"/>
              </w:rPr>
            </w:pPr>
            <w:r>
              <w:rPr>
                <w:rFonts w:hint="eastAsia" w:asciiTheme="minorEastAsia" w:hAnsiTheme="minorEastAsia" w:eastAsiaTheme="minorEastAsia" w:cstheme="minorEastAsia"/>
                <w:b/>
                <w:color w:val="auto"/>
                <w:sz w:val="24"/>
                <w:highlight w:val="none"/>
              </w:rPr>
              <w:t>4.供应商为联合体的，由联合体其中一方按规定提交的履约保证金，视为有效履约保证金。</w:t>
            </w:r>
          </w:p>
        </w:tc>
      </w:tr>
      <w:tr w14:paraId="5AB9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991" w:type="dxa"/>
            <w:vAlign w:val="center"/>
          </w:tcPr>
          <w:p w14:paraId="0813E10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29.1</w:t>
            </w:r>
          </w:p>
        </w:tc>
        <w:tc>
          <w:tcPr>
            <w:tcW w:w="8181" w:type="dxa"/>
            <w:vAlign w:val="center"/>
          </w:tcPr>
          <w:p w14:paraId="49BC4CB6">
            <w:pPr>
              <w:autoSpaceDE w:val="0"/>
              <w:autoSpaceDN w:val="0"/>
              <w:snapToGrid w:val="0"/>
              <w:spacing w:line="360" w:lineRule="auto"/>
              <w:textAlignment w:val="bottom"/>
              <w:rPr>
                <w:rFonts w:hint="eastAsia" w:ascii="宋体" w:hAnsi="宋体" w:cs="宋体"/>
                <w:color w:val="auto"/>
                <w:sz w:val="24"/>
                <w:highlight w:val="none"/>
              </w:rPr>
            </w:pPr>
            <w:r>
              <w:rPr>
                <w:rFonts w:hint="eastAsia" w:ascii="宋体" w:hAnsi="宋体" w:cs="宋体"/>
                <w:color w:val="auto"/>
                <w:sz w:val="24"/>
                <w:highlight w:val="none"/>
              </w:rPr>
              <w:t xml:space="preserve">签订合同携带的证明材料： </w:t>
            </w:r>
          </w:p>
          <w:p w14:paraId="6ECEF6DD">
            <w:pPr>
              <w:autoSpaceDE w:val="0"/>
              <w:autoSpaceDN w:val="0"/>
              <w:snapToGrid w:val="0"/>
              <w:spacing w:line="360" w:lineRule="auto"/>
              <w:textAlignment w:val="bottom"/>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bCs/>
                <w:color w:val="auto"/>
                <w:sz w:val="24"/>
                <w:highlight w:val="none"/>
              </w:rPr>
              <w:t>.</w:t>
            </w:r>
            <w:r>
              <w:rPr>
                <w:rFonts w:hint="eastAsia" w:ascii="宋体" w:hAnsi="宋体" w:cs="宋体"/>
                <w:color w:val="auto"/>
                <w:sz w:val="24"/>
                <w:highlight w:val="none"/>
              </w:rPr>
              <w:t>委托代理人负责签订合同的，须携带授权委托书及委托代理人身份证原件等其他资格证件。</w:t>
            </w:r>
          </w:p>
          <w:p w14:paraId="3FFC7894">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Cs/>
                <w:color w:val="auto"/>
                <w:sz w:val="24"/>
                <w:highlight w:val="none"/>
              </w:rPr>
              <w:t>.</w:t>
            </w:r>
            <w:r>
              <w:rPr>
                <w:rFonts w:hint="eastAsia" w:ascii="宋体" w:hAnsi="宋体" w:cs="宋体"/>
                <w:color w:val="auto"/>
                <w:sz w:val="24"/>
                <w:highlight w:val="none"/>
              </w:rPr>
              <w:t>法定代表人负责签订合同的，须携带法定代表人身份证明原件及身份证原件等其他证明材料。</w:t>
            </w:r>
          </w:p>
        </w:tc>
      </w:tr>
      <w:tr w14:paraId="3A33E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991" w:type="dxa"/>
            <w:vAlign w:val="center"/>
          </w:tcPr>
          <w:p w14:paraId="04A7BD33">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31.2</w:t>
            </w:r>
          </w:p>
        </w:tc>
        <w:tc>
          <w:tcPr>
            <w:tcW w:w="8181" w:type="dxa"/>
            <w:vAlign w:val="center"/>
          </w:tcPr>
          <w:p w14:paraId="1C69A272">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接收质疑函方式：以书面形式。</w:t>
            </w:r>
          </w:p>
          <w:p w14:paraId="3D5A8C3D">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质疑联系部门及联系方式：广西城建咨询设计有限公司，联系电话：0771-5587592，邮箱：2862904336@qq.com（电话无人接听时请通过邮件联系），通讯地址：南宁市青秀区金湖路58号广西建设大厦三楼</w:t>
            </w:r>
          </w:p>
          <w:p w14:paraId="7761C74D">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现场提交质疑办理业务时间：每天9时00分到12时00分，15时00分到17时30分，业务时间以外、双休日和法定节假日不办理业务。</w:t>
            </w:r>
          </w:p>
        </w:tc>
      </w:tr>
      <w:tr w14:paraId="0EE04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0" w:hRule="atLeast"/>
          <w:jc w:val="center"/>
        </w:trPr>
        <w:tc>
          <w:tcPr>
            <w:tcW w:w="991" w:type="dxa"/>
            <w:vAlign w:val="center"/>
          </w:tcPr>
          <w:p w14:paraId="219C992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32.1</w:t>
            </w:r>
          </w:p>
        </w:tc>
        <w:tc>
          <w:tcPr>
            <w:tcW w:w="8181" w:type="dxa"/>
            <w:vAlign w:val="center"/>
          </w:tcPr>
          <w:p w14:paraId="2B7DD516">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1.采购代理服务费支付方式：</w:t>
            </w:r>
          </w:p>
          <w:p w14:paraId="3043BD2E">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☑本项目代理服务费由</w:t>
            </w:r>
            <w:r>
              <w:rPr>
                <w:rFonts w:hint="eastAsia" w:hAnsi="宋体" w:cs="宋体"/>
                <w:color w:val="auto"/>
                <w:sz w:val="24"/>
                <w:szCs w:val="24"/>
                <w:highlight w:val="none"/>
                <w:u w:val="single"/>
              </w:rPr>
              <w:t>成交供应商</w:t>
            </w:r>
            <w:r>
              <w:rPr>
                <w:rFonts w:hint="eastAsia" w:hAnsi="宋体" w:cs="宋体"/>
                <w:color w:val="auto"/>
                <w:sz w:val="24"/>
                <w:szCs w:val="24"/>
                <w:highlight w:val="none"/>
              </w:rPr>
              <w:t>领取成交通知书前，一次性向采购代理机构支付。</w:t>
            </w:r>
          </w:p>
          <w:p w14:paraId="2BE847AA">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□采购人支付。</w:t>
            </w:r>
          </w:p>
          <w:p w14:paraId="545451E2">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2.采购代理服务费收取标准：本项目采购代理服务费由成交单位支付，参照原国家发展计划委员会《招标代理服务费管理暂行办法》（计价格〔2002〕1980号）收费标准下浮20%向成交供应商收取。</w:t>
            </w:r>
          </w:p>
          <w:p w14:paraId="3874BA9B">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3、采购代理服务费专用银行账号：</w:t>
            </w:r>
          </w:p>
          <w:p w14:paraId="1C77ECDA">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开户名称：广西城建咨询设计有限公司</w:t>
            </w:r>
          </w:p>
          <w:p w14:paraId="395A6F36">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开户银行：中国建设银行股份有限公司南宁锦春路支行</w:t>
            </w:r>
          </w:p>
          <w:p w14:paraId="64D739DF">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银行账号：45050160478300000080</w:t>
            </w:r>
          </w:p>
          <w:p w14:paraId="4A040434">
            <w:pPr>
              <w:spacing w:line="59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招标代理服务收费标准</w:t>
            </w:r>
          </w:p>
          <w:tbl>
            <w:tblPr>
              <w:tblStyle w:val="2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093"/>
              <w:gridCol w:w="1538"/>
              <w:gridCol w:w="1593"/>
              <w:gridCol w:w="1538"/>
            </w:tblGrid>
            <w:tr w14:paraId="68A13E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3093" w:type="dxa"/>
                  <w:tcBorders>
                    <w:top w:val="single" w:color="auto" w:sz="4" w:space="0"/>
                    <w:left w:val="single" w:color="auto" w:sz="4" w:space="0"/>
                    <w:bottom w:val="single" w:color="auto" w:sz="4" w:space="0"/>
                    <w:right w:val="single" w:color="auto" w:sz="4" w:space="0"/>
                  </w:tcBorders>
                </w:tcPr>
                <w:p w14:paraId="1391835A">
                  <w:pPr>
                    <w:spacing w:line="360" w:lineRule="exact"/>
                    <w:ind w:firstLine="960" w:firstLineChars="4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889000</wp:posOffset>
                            </wp:positionH>
                            <wp:positionV relativeFrom="paragraph">
                              <wp:posOffset>6985</wp:posOffset>
                            </wp:positionV>
                            <wp:extent cx="673100" cy="922655"/>
                            <wp:effectExtent l="3810" t="2540" r="8890" b="8255"/>
                            <wp:wrapNone/>
                            <wp:docPr id="2" name="直接连接符 2"/>
                            <wp:cNvGraphicFramePr/>
                            <a:graphic xmlns:a="http://schemas.openxmlformats.org/drawingml/2006/main">
                              <a:graphicData uri="http://schemas.microsoft.com/office/word/2010/wordprocessingShape">
                                <wps:wsp>
                                  <wps:cNvCnPr/>
                                  <wps:spPr>
                                    <a:xfrm>
                                      <a:off x="0" y="0"/>
                                      <a:ext cx="673100" cy="922655"/>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70pt;margin-top:0.55pt;height:72.65pt;width:53pt;z-index:251661312;mso-width-relative:page;mso-height-relative:page;" filled="f" stroked="t" coordsize="21600,21600" o:gfxdata="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dcyaP&#10;1AAAAAkBAAAPAAAAAAAAAAEAIAAAACIAAABkcnMvZG93bnJldi54bWxQSwECFAAUAAAACACHTuJA&#10;GLTLeewBAADcAwAADgAAAAAAAAABACAAAAAjAQAAZHJzL2Uyb0RvYy54bWxQSwUGAAAAAAYABgBZ&#10;AQAAgQUAAAAA&#10;">
                            <v:fill on="f" focussize="0,0"/>
                            <v:stroke weight="0.5pt" color="#000000" joinstyle="round"/>
                            <v:imagedata o:title=""/>
                            <o:lock v:ext="edit" aspectratio="f"/>
                          </v:line>
                        </w:pict>
                      </mc:Fallback>
                    </mc:AlternateContent>
                  </w:r>
                  <w:r>
                    <w:rPr>
                      <w:rFonts w:hint="eastAsia" w:asciiTheme="minorEastAsia" w:hAnsiTheme="minorEastAsia" w:eastAsiaTheme="minorEastAsia" w:cstheme="minorEastAsia"/>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-73025</wp:posOffset>
                            </wp:positionH>
                            <wp:positionV relativeFrom="paragraph">
                              <wp:posOffset>14605</wp:posOffset>
                            </wp:positionV>
                            <wp:extent cx="1313815" cy="902335"/>
                            <wp:effectExtent l="2540" t="3810" r="17145" b="8255"/>
                            <wp:wrapNone/>
                            <wp:docPr id="4" name="直接连接符 4"/>
                            <wp:cNvGraphicFramePr/>
                            <a:graphic xmlns:a="http://schemas.openxmlformats.org/drawingml/2006/main">
                              <a:graphicData uri="http://schemas.microsoft.com/office/word/2010/wordprocessingShape">
                                <wps:wsp>
                                  <wps:cNvCnPr/>
                                  <wps:spPr>
                                    <a:xfrm>
                                      <a:off x="0" y="0"/>
                                      <a:ext cx="1313815" cy="902335"/>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5.75pt;margin-top:1.15pt;height:71.05pt;width:103.45pt;z-index:251662336;mso-width-relative:page;mso-height-relative:page;" filled="f" stroked="t" coordsize="21600,21600" o:gfxdata="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ZLelP1gAAAAkBAAAPAAAAAAAAAAEAIAAAACIAAABkcnMvZG93bnJldi54bWxQSwECFAAUAAAA&#10;CACHTuJAT9dSYPABAADdAwAADgAAAAAAAAABACAAAAAlAQAAZHJzL2Uyb0RvYy54bWxQSwUGAAAA&#10;AAYABgBZAQAAhwUAAAAA&#10;">
                            <v:fill on="f" focussize="0,0"/>
                            <v:stroke weight="0.5pt" color="#000000" joinstyle="round"/>
                            <v:imagedata o:title=""/>
                            <o:lock v:ext="edit" aspectratio="f"/>
                          </v:line>
                        </w:pict>
                      </mc:Fallback>
                    </mc:AlternateContent>
                  </w:r>
                  <w:r>
                    <w:rPr>
                      <w:rFonts w:hint="eastAsia" w:asciiTheme="minorEastAsia" w:hAnsiTheme="minorEastAsia" w:eastAsiaTheme="minorEastAsia" w:cstheme="minorEastAsia"/>
                      <w:color w:val="auto"/>
                      <w:sz w:val="24"/>
                      <w:highlight w:val="none"/>
                    </w:rPr>
                    <w:t>服务</w:t>
                  </w:r>
                </w:p>
                <w:p w14:paraId="5261A5B7">
                  <w:pPr>
                    <w:spacing w:line="360" w:lineRule="exact"/>
                    <w:ind w:firstLine="960" w:firstLineChars="4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费率      类型</w:t>
                  </w:r>
                </w:p>
                <w:p w14:paraId="75E60FB8">
                  <w:pPr>
                    <w:spacing w:line="36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中标</w:t>
                  </w:r>
                </w:p>
                <w:p w14:paraId="7D63B57B">
                  <w:pPr>
                    <w:spacing w:line="36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金额（万元）</w:t>
                  </w:r>
                </w:p>
              </w:tc>
              <w:tc>
                <w:tcPr>
                  <w:tcW w:w="1538" w:type="dxa"/>
                  <w:tcBorders>
                    <w:top w:val="single" w:color="auto" w:sz="4" w:space="0"/>
                    <w:left w:val="single" w:color="auto" w:sz="4" w:space="0"/>
                    <w:bottom w:val="single" w:color="auto" w:sz="4" w:space="0"/>
                    <w:right w:val="single" w:color="auto" w:sz="4" w:space="0"/>
                  </w:tcBorders>
                  <w:vAlign w:val="center"/>
                </w:tcPr>
                <w:p w14:paraId="123A2406">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货物招标</w:t>
                  </w:r>
                </w:p>
              </w:tc>
              <w:tc>
                <w:tcPr>
                  <w:tcW w:w="1593" w:type="dxa"/>
                  <w:tcBorders>
                    <w:top w:val="single" w:color="auto" w:sz="4" w:space="0"/>
                    <w:left w:val="single" w:color="auto" w:sz="4" w:space="0"/>
                    <w:bottom w:val="single" w:color="auto" w:sz="4" w:space="0"/>
                    <w:right w:val="single" w:color="auto" w:sz="4" w:space="0"/>
                  </w:tcBorders>
                  <w:vAlign w:val="center"/>
                </w:tcPr>
                <w:p w14:paraId="3D85FAB1">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服务招标</w:t>
                  </w:r>
                </w:p>
              </w:tc>
              <w:tc>
                <w:tcPr>
                  <w:tcW w:w="1538" w:type="dxa"/>
                  <w:tcBorders>
                    <w:top w:val="single" w:color="auto" w:sz="4" w:space="0"/>
                    <w:left w:val="single" w:color="auto" w:sz="4" w:space="0"/>
                    <w:bottom w:val="single" w:color="auto" w:sz="4" w:space="0"/>
                    <w:right w:val="single" w:color="auto" w:sz="4" w:space="0"/>
                  </w:tcBorders>
                  <w:vAlign w:val="center"/>
                </w:tcPr>
                <w:p w14:paraId="1613535A">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工程招标</w:t>
                  </w:r>
                </w:p>
              </w:tc>
            </w:tr>
            <w:tr w14:paraId="04062D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3093" w:type="dxa"/>
                  <w:tcBorders>
                    <w:top w:val="single" w:color="auto" w:sz="4" w:space="0"/>
                    <w:left w:val="single" w:color="auto" w:sz="4" w:space="0"/>
                    <w:bottom w:val="single" w:color="auto" w:sz="4" w:space="0"/>
                    <w:right w:val="single" w:color="auto" w:sz="4" w:space="0"/>
                  </w:tcBorders>
                </w:tcPr>
                <w:p w14:paraId="6C72142F">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100以下</w:t>
                  </w:r>
                </w:p>
              </w:tc>
              <w:tc>
                <w:tcPr>
                  <w:tcW w:w="1538" w:type="dxa"/>
                  <w:tcBorders>
                    <w:top w:val="single" w:color="auto" w:sz="4" w:space="0"/>
                    <w:left w:val="single" w:color="auto" w:sz="4" w:space="0"/>
                    <w:bottom w:val="single" w:color="auto" w:sz="4" w:space="0"/>
                    <w:right w:val="single" w:color="auto" w:sz="4" w:space="0"/>
                  </w:tcBorders>
                </w:tcPr>
                <w:p w14:paraId="2903022D">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p>
              </w:tc>
              <w:tc>
                <w:tcPr>
                  <w:tcW w:w="1593" w:type="dxa"/>
                  <w:tcBorders>
                    <w:top w:val="single" w:color="auto" w:sz="4" w:space="0"/>
                    <w:left w:val="single" w:color="auto" w:sz="4" w:space="0"/>
                    <w:bottom w:val="single" w:color="auto" w:sz="4" w:space="0"/>
                    <w:right w:val="single" w:color="auto" w:sz="4" w:space="0"/>
                  </w:tcBorders>
                </w:tcPr>
                <w:p w14:paraId="3A4FC71C">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p>
              </w:tc>
              <w:tc>
                <w:tcPr>
                  <w:tcW w:w="1538" w:type="dxa"/>
                  <w:tcBorders>
                    <w:top w:val="single" w:color="auto" w:sz="4" w:space="0"/>
                    <w:left w:val="single" w:color="auto" w:sz="4" w:space="0"/>
                    <w:bottom w:val="single" w:color="auto" w:sz="4" w:space="0"/>
                    <w:right w:val="single" w:color="auto" w:sz="4" w:space="0"/>
                  </w:tcBorders>
                </w:tcPr>
                <w:p w14:paraId="6387C9B1">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w:t>
                  </w:r>
                </w:p>
              </w:tc>
            </w:tr>
            <w:tr w14:paraId="1CD129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3093" w:type="dxa"/>
                  <w:tcBorders>
                    <w:top w:val="single" w:color="auto" w:sz="4" w:space="0"/>
                    <w:left w:val="single" w:color="auto" w:sz="4" w:space="0"/>
                    <w:bottom w:val="single" w:color="auto" w:sz="4" w:space="0"/>
                    <w:right w:val="single" w:color="auto" w:sz="4" w:space="0"/>
                  </w:tcBorders>
                </w:tcPr>
                <w:p w14:paraId="2F610687">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100-500</w:t>
                  </w:r>
                </w:p>
              </w:tc>
              <w:tc>
                <w:tcPr>
                  <w:tcW w:w="1538" w:type="dxa"/>
                  <w:tcBorders>
                    <w:top w:val="single" w:color="auto" w:sz="4" w:space="0"/>
                    <w:left w:val="single" w:color="auto" w:sz="4" w:space="0"/>
                    <w:bottom w:val="single" w:color="auto" w:sz="4" w:space="0"/>
                    <w:right w:val="single" w:color="auto" w:sz="4" w:space="0"/>
                  </w:tcBorders>
                </w:tcPr>
                <w:p w14:paraId="122A33BD">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w:t>
                  </w:r>
                </w:p>
              </w:tc>
              <w:tc>
                <w:tcPr>
                  <w:tcW w:w="1593" w:type="dxa"/>
                  <w:tcBorders>
                    <w:top w:val="single" w:color="auto" w:sz="4" w:space="0"/>
                    <w:left w:val="single" w:color="auto" w:sz="4" w:space="0"/>
                    <w:bottom w:val="single" w:color="auto" w:sz="4" w:space="0"/>
                    <w:right w:val="single" w:color="auto" w:sz="4" w:space="0"/>
                  </w:tcBorders>
                </w:tcPr>
                <w:p w14:paraId="3A0E6EAA">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0.8%</w:t>
                  </w:r>
                </w:p>
              </w:tc>
              <w:tc>
                <w:tcPr>
                  <w:tcW w:w="1538" w:type="dxa"/>
                  <w:tcBorders>
                    <w:top w:val="single" w:color="auto" w:sz="4" w:space="0"/>
                    <w:left w:val="single" w:color="auto" w:sz="4" w:space="0"/>
                    <w:bottom w:val="single" w:color="auto" w:sz="4" w:space="0"/>
                    <w:right w:val="single" w:color="auto" w:sz="4" w:space="0"/>
                  </w:tcBorders>
                </w:tcPr>
                <w:p w14:paraId="070F0B1E">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0.7%</w:t>
                  </w:r>
                </w:p>
              </w:tc>
            </w:tr>
            <w:tr w14:paraId="54580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3093" w:type="dxa"/>
                  <w:tcBorders>
                    <w:top w:val="single" w:color="auto" w:sz="4" w:space="0"/>
                    <w:left w:val="single" w:color="auto" w:sz="4" w:space="0"/>
                    <w:bottom w:val="single" w:color="auto" w:sz="4" w:space="0"/>
                    <w:right w:val="single" w:color="auto" w:sz="4" w:space="0"/>
                  </w:tcBorders>
                </w:tcPr>
                <w:p w14:paraId="1039BB9F">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500-1000</w:t>
                  </w:r>
                </w:p>
              </w:tc>
              <w:tc>
                <w:tcPr>
                  <w:tcW w:w="1538" w:type="dxa"/>
                  <w:tcBorders>
                    <w:top w:val="single" w:color="auto" w:sz="4" w:space="0"/>
                    <w:left w:val="single" w:color="auto" w:sz="4" w:space="0"/>
                    <w:bottom w:val="single" w:color="auto" w:sz="4" w:space="0"/>
                    <w:right w:val="single" w:color="auto" w:sz="4" w:space="0"/>
                  </w:tcBorders>
                </w:tcPr>
                <w:p w14:paraId="395C3B6D">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0.8%</w:t>
                  </w:r>
                </w:p>
              </w:tc>
              <w:tc>
                <w:tcPr>
                  <w:tcW w:w="1593" w:type="dxa"/>
                  <w:tcBorders>
                    <w:top w:val="single" w:color="auto" w:sz="4" w:space="0"/>
                    <w:left w:val="single" w:color="auto" w:sz="4" w:space="0"/>
                    <w:bottom w:val="single" w:color="auto" w:sz="4" w:space="0"/>
                    <w:right w:val="single" w:color="auto" w:sz="4" w:space="0"/>
                  </w:tcBorders>
                </w:tcPr>
                <w:p w14:paraId="1E85BFC1">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0.45%</w:t>
                  </w:r>
                </w:p>
              </w:tc>
              <w:tc>
                <w:tcPr>
                  <w:tcW w:w="1538" w:type="dxa"/>
                  <w:tcBorders>
                    <w:top w:val="single" w:color="auto" w:sz="4" w:space="0"/>
                    <w:left w:val="single" w:color="auto" w:sz="4" w:space="0"/>
                    <w:bottom w:val="single" w:color="auto" w:sz="4" w:space="0"/>
                    <w:right w:val="single" w:color="auto" w:sz="4" w:space="0"/>
                  </w:tcBorders>
                </w:tcPr>
                <w:p w14:paraId="6CC5CA61">
                  <w:pPr>
                    <w:spacing w:line="36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0.55%</w:t>
                  </w:r>
                </w:p>
              </w:tc>
            </w:tr>
          </w:tbl>
          <w:p w14:paraId="2FCBA6D7">
            <w:pPr>
              <w:pStyle w:val="14"/>
              <w:snapToGrid w:val="0"/>
              <w:spacing w:line="360" w:lineRule="auto"/>
              <w:rPr>
                <w:rFonts w:hint="eastAsia" w:hAnsi="宋体" w:cs="宋体"/>
                <w:color w:val="auto"/>
                <w:sz w:val="24"/>
                <w:szCs w:val="24"/>
                <w:highlight w:val="none"/>
              </w:rPr>
            </w:pPr>
          </w:p>
        </w:tc>
      </w:tr>
      <w:tr w14:paraId="29B01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991" w:type="dxa"/>
            <w:vAlign w:val="center"/>
          </w:tcPr>
          <w:p w14:paraId="2B353E6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33.1</w:t>
            </w:r>
          </w:p>
        </w:tc>
        <w:tc>
          <w:tcPr>
            <w:tcW w:w="8181" w:type="dxa"/>
            <w:vAlign w:val="center"/>
          </w:tcPr>
          <w:p w14:paraId="6A213601">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解释权：构成本谈判文件的各个组成文件应互为解释，互为说明；除谈判文件中有特别规定外，仅适用于竞标阶段的规定，按更正公告（澄清公告）、竞争性谈判公告、供应商须知、采购需求、评审程序、评审方法和</w:t>
            </w:r>
            <w:r>
              <w:rPr>
                <w:rFonts w:hint="eastAsia" w:hAnsi="宋体" w:cs="宋体"/>
                <w:color w:val="auto"/>
                <w:sz w:val="24"/>
                <w:szCs w:val="24"/>
                <w:highlight w:val="none"/>
                <w:lang w:val="en-US" w:eastAsia="zh-CN"/>
              </w:rPr>
              <w:t>成交</w:t>
            </w:r>
            <w:r>
              <w:rPr>
                <w:rFonts w:hint="eastAsia" w:hAnsi="宋体" w:cs="宋体"/>
                <w:color w:val="auto"/>
                <w:sz w:val="24"/>
                <w:szCs w:val="24"/>
                <w:highlight w:val="none"/>
              </w:rPr>
              <w:t>标准、响应文件格式、</w:t>
            </w:r>
            <w:r>
              <w:rPr>
                <w:rFonts w:hint="eastAsia" w:hAnsi="宋体" w:cs="宋体"/>
                <w:color w:val="auto"/>
                <w:sz w:val="24"/>
                <w:szCs w:val="24"/>
                <w:highlight w:val="none"/>
                <w:lang w:eastAsia="zh-CN"/>
              </w:rPr>
              <w:t>合同主要条款格式</w:t>
            </w:r>
            <w:r>
              <w:rPr>
                <w:rFonts w:hint="eastAsia" w:hAnsi="宋体" w:cs="宋体"/>
                <w:color w:val="auto"/>
                <w:sz w:val="24"/>
                <w:szCs w:val="24"/>
                <w:highlight w:val="none"/>
              </w:rPr>
              <w:t>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p w14:paraId="3F4FA19B">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法律责任：</w:t>
            </w:r>
          </w:p>
          <w:p w14:paraId="488E96DD">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1.本谈判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2D854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991" w:type="dxa"/>
            <w:vAlign w:val="center"/>
          </w:tcPr>
          <w:p w14:paraId="72E7D45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33.2</w:t>
            </w:r>
          </w:p>
        </w:tc>
        <w:tc>
          <w:tcPr>
            <w:tcW w:w="8181" w:type="dxa"/>
            <w:vAlign w:val="center"/>
          </w:tcPr>
          <w:p w14:paraId="689A5827">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1.本谈判文件中描述供应商的“公章”是指根据我国对公章的管理规定，用供应商法定主体名称制作的印章或供应商通过指定电子化政府采购平台办理数字证书（CA认证）获得的以法定主体名称制作的电子印章。除本谈判文件有特殊规定外，供应商的财务章、部门章、分公司章、工会章、合同章、竞标专用章、业务专用章及银行的转账章、现金收讫章、现金付讫章等其他形式印章均不能代替公章。</w:t>
            </w:r>
          </w:p>
          <w:p w14:paraId="01FD0F95">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2.供应商为其他组织或者自然人时，本谈判文件规定的法定代表人指负责人或者自然人。本谈判文件所称负责人是指参加竞标的其他组织</w:t>
            </w:r>
            <w:r>
              <w:rPr>
                <w:rFonts w:hint="eastAsia" w:hAnsi="宋体" w:cs="宋体"/>
                <w:bCs/>
                <w:color w:val="auto"/>
                <w:sz w:val="24"/>
                <w:szCs w:val="24"/>
                <w:highlight w:val="none"/>
              </w:rPr>
              <w:t>营业执照或者执业许可证等证照上</w:t>
            </w:r>
            <w:r>
              <w:rPr>
                <w:rFonts w:hint="eastAsia" w:hAnsi="宋体" w:cs="宋体"/>
                <w:color w:val="auto"/>
                <w:sz w:val="24"/>
                <w:szCs w:val="24"/>
                <w:highlight w:val="none"/>
              </w:rPr>
              <w:t>的负责人，本谈判文件所称自然人指参与竞标的自然人本人，</w:t>
            </w:r>
            <w:r>
              <w:rPr>
                <w:rFonts w:hint="eastAsia" w:hAnsi="宋体" w:cs="宋体"/>
                <w:bCs/>
                <w:color w:val="auto"/>
                <w:sz w:val="24"/>
                <w:szCs w:val="24"/>
                <w:highlight w:val="none"/>
              </w:rPr>
              <w:t>且应具备独立承担民事责任能力，自然人应当为年满18岁以上成年人（十六周岁以上的未成年人，以自己的劳动收入为主要生活来源的，视为完全民事行为能力人）。</w:t>
            </w:r>
          </w:p>
          <w:p w14:paraId="77B2A2F3">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3.本谈判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14:paraId="2BB6F748">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4.本竞争性谈判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3D7862DE">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5.自然人竞标的，谈判文件规定盖章的地方自然人可以加盖手指指印。</w:t>
            </w:r>
          </w:p>
          <w:p w14:paraId="099F41AF">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6.本谈判文件所称的“以上”“以下”“以内”“届满”，包括本数；所称的“不满”“超过”“以外”，不包括本数。</w:t>
            </w:r>
          </w:p>
        </w:tc>
      </w:tr>
      <w:tr w14:paraId="7AFD5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jc w:val="center"/>
        </w:trPr>
        <w:tc>
          <w:tcPr>
            <w:tcW w:w="991" w:type="dxa"/>
            <w:vAlign w:val="center"/>
          </w:tcPr>
          <w:p w14:paraId="07621815">
            <w:pPr>
              <w:spacing w:line="360" w:lineRule="auto"/>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34.4</w:t>
            </w:r>
          </w:p>
        </w:tc>
        <w:tc>
          <w:tcPr>
            <w:tcW w:w="8181" w:type="dxa"/>
            <w:vAlign w:val="center"/>
          </w:tcPr>
          <w:p w14:paraId="285B82FF">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rPr>
              <w:t>支持本国产品说明</w:t>
            </w:r>
          </w:p>
          <w:p w14:paraId="4CE805A0">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lang w:eastAsia="zh-CN"/>
              </w:rPr>
              <w:t>☑</w:t>
            </w:r>
            <w:r>
              <w:rPr>
                <w:rFonts w:hint="eastAsia" w:hAnsi="宋体" w:cs="宋体"/>
                <w:color w:val="auto"/>
                <w:sz w:val="24"/>
                <w:szCs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582E6CD">
            <w:pPr>
              <w:pStyle w:val="14"/>
              <w:snapToGrid w:val="0"/>
              <w:spacing w:line="360" w:lineRule="auto"/>
              <w:rPr>
                <w:rFonts w:hint="eastAsia" w:hAnsi="宋体" w:cs="宋体"/>
                <w:color w:val="auto"/>
                <w:sz w:val="24"/>
                <w:szCs w:val="24"/>
                <w:highlight w:val="none"/>
              </w:rPr>
            </w:pPr>
            <w:r>
              <w:rPr>
                <w:rFonts w:hint="eastAsia" w:hAnsi="宋体" w:cs="宋体"/>
                <w:color w:val="auto"/>
                <w:sz w:val="24"/>
                <w:szCs w:val="24"/>
                <w:highlight w:val="none"/>
                <w:lang w:eastAsia="zh-CN"/>
              </w:rPr>
              <w:t>□</w:t>
            </w:r>
            <w:r>
              <w:rPr>
                <w:rFonts w:hint="eastAsia" w:hAnsi="宋体" w:cs="宋体"/>
                <w:color w:val="auto"/>
                <w:sz w:val="24"/>
                <w:szCs w:val="24"/>
                <w:highlight w:val="none"/>
              </w:rPr>
              <w:t>不适用</w:t>
            </w:r>
          </w:p>
        </w:tc>
      </w:tr>
    </w:tbl>
    <w:p w14:paraId="4B6C8E43">
      <w:pPr>
        <w:spacing w:line="360" w:lineRule="auto"/>
        <w:jc w:val="center"/>
        <w:rPr>
          <w:rFonts w:hint="eastAsia" w:ascii="宋体" w:hAnsi="宋体" w:cs="宋体"/>
          <w:b/>
          <w:color w:val="auto"/>
          <w:sz w:val="36"/>
          <w:szCs w:val="36"/>
          <w:highlight w:val="none"/>
        </w:rPr>
      </w:pPr>
      <w:r>
        <w:rPr>
          <w:rFonts w:hint="eastAsia" w:ascii="宋体" w:hAnsi="宋体" w:cs="宋体"/>
          <w:b/>
          <w:color w:val="auto"/>
          <w:sz w:val="32"/>
          <w:szCs w:val="32"/>
          <w:highlight w:val="none"/>
        </w:rPr>
        <w:br w:type="page"/>
      </w:r>
      <w:r>
        <w:rPr>
          <w:rFonts w:hint="eastAsia" w:ascii="宋体" w:hAnsi="宋体" w:cs="宋体"/>
          <w:b/>
          <w:color w:val="auto"/>
          <w:sz w:val="36"/>
          <w:szCs w:val="36"/>
          <w:highlight w:val="none"/>
        </w:rPr>
        <w:t>供应商须知正文</w:t>
      </w:r>
    </w:p>
    <w:p w14:paraId="15943AD4">
      <w:pPr>
        <w:spacing w:line="36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一、总则</w:t>
      </w:r>
    </w:p>
    <w:p w14:paraId="728C4C96">
      <w:pPr>
        <w:spacing w:line="400" w:lineRule="exact"/>
        <w:rPr>
          <w:rFonts w:hint="eastAsia" w:ascii="宋体" w:hAnsi="宋体" w:cs="宋体"/>
          <w:color w:val="auto"/>
          <w:szCs w:val="21"/>
          <w:highlight w:val="none"/>
        </w:rPr>
      </w:pPr>
    </w:p>
    <w:p w14:paraId="112D731D">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 适用范围</w:t>
      </w:r>
    </w:p>
    <w:p w14:paraId="2D04FF8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2AF0E44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w:t>
      </w:r>
      <w:r>
        <w:rPr>
          <w:rFonts w:hint="eastAsia" w:ascii="宋体" w:hAnsi="宋体" w:cs="宋体"/>
          <w:color w:val="auto"/>
          <w:spacing w:val="-6"/>
          <w:sz w:val="24"/>
          <w:highlight w:val="none"/>
        </w:rPr>
        <w:t>本竞争性谈判文件（以下简称谈判文件）适用于本项目的所有采购程序和环节（法律、法规另有规定的，从其规定）。</w:t>
      </w:r>
    </w:p>
    <w:p w14:paraId="52B9563A">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 定义</w:t>
      </w:r>
    </w:p>
    <w:p w14:paraId="66FBC32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2.1“采购人”是指依法进行采购的国家机关、事业单位、团体组织。</w:t>
      </w:r>
    </w:p>
    <w:p w14:paraId="4CAF777C">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2.2“采购代理机构”</w:t>
      </w:r>
      <w:r>
        <w:rPr>
          <w:rFonts w:hint="eastAsia" w:ascii="宋体" w:hAnsi="宋体" w:cs="宋体"/>
          <w:b w:val="0"/>
          <w:bCs/>
          <w:color w:val="auto"/>
          <w:sz w:val="24"/>
          <w:highlight w:val="none"/>
        </w:rPr>
        <w:t>是指政府采购集中采购机构和集中采购机构以外的采购代理机构。</w:t>
      </w:r>
    </w:p>
    <w:p w14:paraId="329CBC3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2.3“供应商”是指向采购人提供货物、工程或者服务的法人、其他组织或者自然人。</w:t>
      </w:r>
    </w:p>
    <w:p w14:paraId="7618479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2.4“货物”是指各种形态和种类的物品，包括原材料、燃料、设备、产品等。</w:t>
      </w:r>
    </w:p>
    <w:p w14:paraId="2493E44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2.5“竞标”是指按照本项目竞争性谈判公告或者邀请函规定的方式供应商获取谈判文件、提交响应文件并希望获得标的的行为。</w:t>
      </w:r>
    </w:p>
    <w:p w14:paraId="344C49C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2.6“售后服务” 是指包含但不限于供应商须承担的备品备件、包装、运输、装卸、保险、货到就位以及安装、调试、培训、保修和其他类似的义务。</w:t>
      </w:r>
    </w:p>
    <w:p w14:paraId="4B92930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2.7“书面形式”是指合同书、信件和数据电文（包括电报、电传、传真、电子数据交换和电子邮件）等可以有形地表现所载内容的形式。</w:t>
      </w:r>
    </w:p>
    <w:p w14:paraId="632B65D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2.8“响应文件”</w:t>
      </w:r>
      <w:r>
        <w:rPr>
          <w:rFonts w:hint="eastAsia" w:ascii="宋体" w:hAnsi="宋体" w:cs="宋体"/>
          <w:color w:val="auto"/>
          <w:spacing w:val="-6"/>
          <w:sz w:val="24"/>
          <w:highlight w:val="none"/>
        </w:rPr>
        <w:t>是指：供应商根据本谈判文件要求，编制包含报价、技术和服务等所有内容的文件。</w:t>
      </w:r>
    </w:p>
    <w:p w14:paraId="6AC7044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 “实质性要求”是指采购需求中带“▲”的条款或者不能负偏离的条款或者已经指明不满足按响应文件按无效响应处理的条款。</w:t>
      </w:r>
    </w:p>
    <w:p w14:paraId="49A9600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2.10“正偏离”，是指响应文件对谈判文件“采购需求”中有关条款作出优于条款要求并有利于采购人的响应情形；</w:t>
      </w:r>
    </w:p>
    <w:p w14:paraId="7B666EA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2.11“负偏离”，是指响应文件对谈判文件“采购需求”中有关条款作出的响应不满足条款要求，导致采购人要求不能得到满足的情形。</w:t>
      </w:r>
    </w:p>
    <w:p w14:paraId="1AC6F1B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2.12“允许负偏离的条款”是指采购需求中的不属于“实质性要求”的条款。</w:t>
      </w:r>
    </w:p>
    <w:p w14:paraId="66DD0F7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2.13“首次报价”是指供应商提交的首次响应文件中的竞标报价。</w:t>
      </w:r>
    </w:p>
    <w:p w14:paraId="5AF0B76A">
      <w:pPr>
        <w:spacing w:line="360" w:lineRule="auto"/>
        <w:ind w:firstLine="643" w:firstLineChars="200"/>
        <w:contextualSpacing/>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 供应商的资格条件</w:t>
      </w:r>
    </w:p>
    <w:p w14:paraId="0A30B0F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供应商的资格条件详见“供应商须知前附表”。</w:t>
      </w:r>
    </w:p>
    <w:p w14:paraId="43FC6938">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4. 竞标费用</w:t>
      </w:r>
    </w:p>
    <w:p w14:paraId="15FCA87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竞标费用：供应商应承担参与本次采购活动有关的所有费用，包括但不限于获取谈判文件、勘查现场、编制和提交响应文件、参加谈判与应答、签订合同等，不论竞标结果如何，均应自行承担。</w:t>
      </w:r>
    </w:p>
    <w:p w14:paraId="19B7B6D7">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5.联合体竞标</w:t>
      </w:r>
    </w:p>
    <w:p w14:paraId="61F9900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5.1本项目是否接受联合体竞标，详见“供应商须知前附表”。</w:t>
      </w:r>
    </w:p>
    <w:p w14:paraId="37D5261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5.2</w:t>
      </w:r>
      <w:r>
        <w:rPr>
          <w:rFonts w:hint="eastAsia" w:ascii="宋体" w:hAnsi="宋体" w:cs="宋体"/>
          <w:bCs/>
          <w:color w:val="auto"/>
          <w:sz w:val="24"/>
          <w:highlight w:val="none"/>
        </w:rPr>
        <w:t>如接受联合体竞标，</w:t>
      </w:r>
      <w:r>
        <w:rPr>
          <w:rFonts w:hint="eastAsia" w:ascii="宋体" w:hAnsi="宋体" w:cs="宋体"/>
          <w:color w:val="auto"/>
          <w:sz w:val="24"/>
          <w:highlight w:val="none"/>
        </w:rPr>
        <w:t>联合体竞标要求详见“供应商须知前附表”。</w:t>
      </w:r>
    </w:p>
    <w:p w14:paraId="272ACBC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5.3</w:t>
      </w:r>
      <w:bookmarkStart w:id="20" w:name="_Hlk65857072"/>
      <w:r>
        <w:rPr>
          <w:rFonts w:hint="eastAsia" w:ascii="宋体" w:hAnsi="宋体" w:cs="宋体"/>
          <w:color w:val="auto"/>
          <w:sz w:val="24"/>
          <w:highlight w:val="none"/>
        </w:rPr>
        <w:t>根据《政府采购促进中小企业发展管理办法》（财库〔2020〕46号）第九条第二款的规定以及广西壮族自治区财政厅关于持续优化政府采购营商环境推动高质量发展的通知（桂财采【2024】55），对于经主管预算单位统筹后未预留份额专门面向中小企业采购的货物、服务采购项目，以及预留份额的货物、服务项目中的非预留部分采购包，采购人、采购代理机构应当对符合规定的小微企业给予</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0%的价格扣除优惠，用扣除后的价格参加评审。大中型企业与小微企业组成联合体的，采购人、采购代理机构应当对联合体的报价予以4%—6%的扣除，用扣除后的价格参加评审。</w:t>
      </w:r>
      <w:bookmarkEnd w:id="20"/>
    </w:p>
    <w:p w14:paraId="5AF54735">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6.转包与分包             </w:t>
      </w:r>
    </w:p>
    <w:p w14:paraId="7FA735AD">
      <w:pPr>
        <w:pStyle w:val="5"/>
        <w:keepNext w:val="0"/>
        <w:keepLines w:val="0"/>
        <w:spacing w:before="0" w:after="0" w:line="360" w:lineRule="auto"/>
        <w:ind w:firstLine="480" w:firstLineChars="200"/>
        <w:rPr>
          <w:rFonts w:hint="eastAsia" w:ascii="宋体" w:hAnsi="宋体" w:cs="宋体"/>
          <w:b w:val="0"/>
          <w:color w:val="auto"/>
          <w:sz w:val="24"/>
          <w:szCs w:val="24"/>
          <w:highlight w:val="none"/>
        </w:rPr>
      </w:pPr>
      <w:bookmarkStart w:id="21" w:name="_Toc254970532"/>
      <w:bookmarkStart w:id="22" w:name="_Toc254970673"/>
      <w:r>
        <w:rPr>
          <w:rFonts w:hint="eastAsia" w:ascii="宋体" w:hAnsi="宋体" w:cs="宋体"/>
          <w:b w:val="0"/>
          <w:color w:val="auto"/>
          <w:sz w:val="24"/>
          <w:szCs w:val="24"/>
          <w:highlight w:val="none"/>
        </w:rPr>
        <w:t>6.1本项目不允许转包。</w:t>
      </w:r>
    </w:p>
    <w:p w14:paraId="1BB48A1C">
      <w:pPr>
        <w:pStyle w:val="5"/>
        <w:keepNext w:val="0"/>
        <w:keepLines w:val="0"/>
        <w:spacing w:before="0" w:after="0" w:line="360" w:lineRule="auto"/>
        <w:ind w:firstLine="360" w:firstLineChars="15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6B0D8019">
      <w:pPr>
        <w:pStyle w:val="5"/>
        <w:keepNext w:val="0"/>
        <w:keepLines w:val="0"/>
        <w:spacing w:before="0" w:after="0" w:line="360" w:lineRule="auto"/>
        <w:ind w:firstLine="360" w:firstLineChars="15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7272C5FD">
      <w:pPr>
        <w:spacing w:line="360" w:lineRule="auto"/>
        <w:ind w:firstLine="643" w:firstLineChars="200"/>
        <w:rPr>
          <w:rFonts w:hint="eastAsia" w:ascii="宋体" w:hAnsi="宋体" w:cs="宋体"/>
          <w:color w:val="auto"/>
          <w:sz w:val="24"/>
          <w:highlight w:val="none"/>
        </w:rPr>
      </w:pPr>
      <w:r>
        <w:rPr>
          <w:rFonts w:hint="eastAsia" w:ascii="宋体" w:hAnsi="宋体" w:cs="宋体"/>
          <w:b/>
          <w:bCs/>
          <w:color w:val="auto"/>
          <w:sz w:val="32"/>
          <w:szCs w:val="32"/>
          <w:highlight w:val="none"/>
        </w:rPr>
        <w:t>7.特别说明</w:t>
      </w:r>
      <w:bookmarkEnd w:id="21"/>
      <w:bookmarkEnd w:id="22"/>
      <w:bookmarkStart w:id="23" w:name="_8.1提供相同品牌产品且通过资格审查、符合性审查的不同投标人参加同一合"/>
      <w:bookmarkEnd w:id="23"/>
    </w:p>
    <w:p w14:paraId="57B19B7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1</w:t>
      </w:r>
      <w:r>
        <w:rPr>
          <w:rFonts w:hint="eastAsia" w:ascii="宋体" w:hAnsi="宋体" w:cs="宋体"/>
          <w:color w:val="auto"/>
          <w:sz w:val="24"/>
          <w:highlight w:val="none"/>
        </w:rPr>
        <w:t>如果本谈判文件要求提供供应商或制造商的资格、信誉、荣誉、业绩与企业认证等材料的，资格、信誉、荣誉、业绩与企业认证等必须为供应商或者制造商所拥有或自身获得 。</w:t>
      </w:r>
    </w:p>
    <w:p w14:paraId="703A96C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2</w:t>
      </w:r>
      <w:r>
        <w:rPr>
          <w:rFonts w:hint="eastAsia" w:ascii="宋体" w:hAnsi="宋体" w:cs="宋体"/>
          <w:color w:val="auto"/>
          <w:sz w:val="24"/>
          <w:highlight w:val="none"/>
        </w:rPr>
        <w:t>供应商应仔细阅读谈判文件的所有内容，按照谈判文件的要求提交响应文件，并对所提供的全部资料的真实性承担法律责任。</w:t>
      </w:r>
    </w:p>
    <w:p w14:paraId="7E1EDF6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3</w:t>
      </w:r>
      <w:r>
        <w:rPr>
          <w:rFonts w:hint="eastAsia" w:ascii="宋体" w:hAnsi="宋体" w:cs="宋体"/>
          <w:color w:val="auto"/>
          <w:sz w:val="24"/>
          <w:highlight w:val="none"/>
        </w:rPr>
        <w:t>供应商在竞标活动中提供任何虚假材料,其响应文件按无效响应处理，并报监管部门查处；签订合同后发现的,成交供应商须依法赔偿采购人，且民事赔偿并不免除违法供应商的行政与刑事责任。</w:t>
      </w:r>
    </w:p>
    <w:p w14:paraId="208EF07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4</w:t>
      </w:r>
      <w:r>
        <w:rPr>
          <w:rFonts w:hint="eastAsia" w:ascii="宋体" w:hAnsi="宋体" w:cs="宋体"/>
          <w:color w:val="auto"/>
          <w:sz w:val="24"/>
          <w:highlight w:val="none"/>
        </w:rPr>
        <w:t>在政府采购活动中，采购人员及相关人员与供应商有下列利害关系之一的，应当回避：</w:t>
      </w:r>
    </w:p>
    <w:p w14:paraId="4F27004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（1）参加采购活动前3年内与供应商存在劳动关系；</w:t>
      </w:r>
    </w:p>
    <w:p w14:paraId="6F5389A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（2）参加采购活动前3年内担任供应商的董事、监事；</w:t>
      </w:r>
    </w:p>
    <w:p w14:paraId="08A6A6F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（3）参加采购活动前3年内是供应商的控股股东或者实际控制人；</w:t>
      </w:r>
    </w:p>
    <w:p w14:paraId="5AA710C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（4）与供应商的法定代表人或者负责人有夫妻、直系血亲、三代以内旁系血亲或者近姻亲关系；</w:t>
      </w:r>
    </w:p>
    <w:p w14:paraId="4504576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（5）与供应商有其他可能影响政府采购活动公平、公正进行的关系。</w:t>
      </w:r>
    </w:p>
    <w:p w14:paraId="5A30051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FDEBCC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5</w:t>
      </w:r>
      <w:r>
        <w:rPr>
          <w:rFonts w:hint="eastAsia" w:ascii="宋体" w:hAnsi="宋体" w:cs="宋体"/>
          <w:color w:val="auto"/>
          <w:sz w:val="24"/>
          <w:highlight w:val="none"/>
        </w:rPr>
        <w:t>有下列情形之一的视为供应商相互串通竞标，响应文件将被视为无效：</w:t>
      </w:r>
    </w:p>
    <w:p w14:paraId="4A02309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p>
    <w:p w14:paraId="21192A5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12FCE97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2A8C985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（4）不同供应商的响应文件异常一致或者报价呈规律性差异；</w:t>
      </w:r>
    </w:p>
    <w:p w14:paraId="4603291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65C8F7D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（6）不同供应商的竞标保证金从同一单位或者个人账户转出。</w:t>
      </w:r>
    </w:p>
    <w:p w14:paraId="03E5CBF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6</w:t>
      </w:r>
      <w:r>
        <w:rPr>
          <w:rFonts w:hint="eastAsia" w:ascii="宋体" w:hAnsi="宋体" w:cs="宋体"/>
          <w:color w:val="auto"/>
          <w:sz w:val="24"/>
          <w:highlight w:val="none"/>
        </w:rPr>
        <w:t>供应商有下列情形之一的，属于恶意串通行为</w:t>
      </w:r>
      <w:bookmarkStart w:id="24" w:name="_Hlk54682620"/>
      <w:r>
        <w:rPr>
          <w:rFonts w:hint="eastAsia" w:ascii="宋体" w:hAnsi="宋体" w:cs="宋体"/>
          <w:color w:val="auto"/>
          <w:sz w:val="24"/>
          <w:highlight w:val="none"/>
        </w:rPr>
        <w:t>，将报同级监督管理部门</w:t>
      </w:r>
      <w:bookmarkEnd w:id="24"/>
      <w:r>
        <w:rPr>
          <w:rFonts w:hint="eastAsia" w:ascii="宋体" w:hAnsi="宋体" w:cs="宋体"/>
          <w:color w:val="auto"/>
          <w:sz w:val="24"/>
          <w:highlight w:val="none"/>
        </w:rPr>
        <w:t>：</w:t>
      </w:r>
    </w:p>
    <w:p w14:paraId="3807432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5DEF22E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482B1D5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（3）供应商之间协商报价、技术方案等响应文件或者响应文件的实质性内容；</w:t>
      </w:r>
    </w:p>
    <w:p w14:paraId="150C174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6B719B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（5）供应商之间事先约定一致抬高或者压低报价,或者在政府采购活动中事先约定轮流以高价位或者低价位成交,或者事先约定由某一特定供应商成交,然后再参加竞标；</w:t>
      </w:r>
    </w:p>
    <w:p w14:paraId="2361799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202B540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（7）供应商与采购人或者采购代理机构之间、供应商相互之间，为谋求特定供应商成交或者排斥其他供应商的其他串通行为。</w:t>
      </w:r>
    </w:p>
    <w:p w14:paraId="3CE06E8F">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7.7</w:t>
      </w:r>
      <w:r>
        <w:rPr>
          <w:rFonts w:hint="eastAsia" w:ascii="宋体" w:hAnsi="宋体" w:cs="宋体"/>
          <w:color w:val="auto"/>
          <w:sz w:val="24"/>
          <w:highlight w:val="none"/>
        </w:rPr>
        <w:t>单一产品采购项目，提供相同品牌产品的不同供应商参加同一合同项下竞标的，以其中通过资格审查、符合性审查、谈判且最后报价最低的参加报价评审；最后报价相同的，按照前附表第2</w:t>
      </w:r>
      <w:r>
        <w:rPr>
          <w:rFonts w:ascii="宋体" w:hAnsi="宋体" w:cs="宋体"/>
          <w:color w:val="auto"/>
          <w:sz w:val="24"/>
          <w:highlight w:val="none"/>
        </w:rPr>
        <w:t>6</w:t>
      </w:r>
      <w:r>
        <w:rPr>
          <w:rFonts w:hint="eastAsia" w:ascii="宋体" w:hAnsi="宋体" w:cs="宋体"/>
          <w:color w:val="auto"/>
          <w:sz w:val="24"/>
          <w:highlight w:val="none"/>
        </w:rPr>
        <w:t>条规定确定一个参加评审的供应商，其他响应文件作无效处理。</w:t>
      </w:r>
    </w:p>
    <w:p w14:paraId="6C863BC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非单一产品采购项目，多家供应商提供的核心产品品牌相同的，按前款规定处理；多家供应商提供的所有产品品牌相同，按前款处理。</w:t>
      </w:r>
    </w:p>
    <w:p w14:paraId="099569C9">
      <w:pPr>
        <w:spacing w:line="360" w:lineRule="auto"/>
        <w:ind w:firstLine="477" w:firstLineChars="199"/>
        <w:jc w:val="center"/>
        <w:rPr>
          <w:rFonts w:hint="eastAsia" w:ascii="宋体" w:hAnsi="宋体" w:cs="宋体"/>
          <w:color w:val="auto"/>
          <w:sz w:val="24"/>
          <w:szCs w:val="32"/>
          <w:highlight w:val="none"/>
        </w:rPr>
      </w:pPr>
      <w:bookmarkStart w:id="25" w:name="_Toc254970675"/>
      <w:bookmarkStart w:id="26" w:name="_Toc254970534"/>
    </w:p>
    <w:p w14:paraId="24BE62A8">
      <w:pPr>
        <w:spacing w:line="360" w:lineRule="auto"/>
        <w:jc w:val="center"/>
        <w:rPr>
          <w:rFonts w:hint="eastAsia" w:ascii="宋体" w:hAnsi="宋体" w:cs="宋体"/>
          <w:b/>
          <w:color w:val="auto"/>
          <w:sz w:val="40"/>
          <w:szCs w:val="40"/>
          <w:highlight w:val="none"/>
        </w:rPr>
      </w:pPr>
      <w:r>
        <w:rPr>
          <w:rFonts w:hint="eastAsia" w:ascii="宋体" w:hAnsi="宋体" w:cs="宋体"/>
          <w:b/>
          <w:color w:val="auto"/>
          <w:sz w:val="40"/>
          <w:szCs w:val="40"/>
          <w:highlight w:val="none"/>
        </w:rPr>
        <w:t>二、谈判文件</w:t>
      </w:r>
      <w:bookmarkEnd w:id="25"/>
      <w:bookmarkEnd w:id="26"/>
    </w:p>
    <w:p w14:paraId="59B0AF60">
      <w:pPr>
        <w:spacing w:line="360" w:lineRule="auto"/>
        <w:jc w:val="center"/>
        <w:rPr>
          <w:rFonts w:hint="eastAsia" w:ascii="宋体" w:hAnsi="宋体" w:cs="宋体"/>
          <w:color w:val="auto"/>
          <w:sz w:val="24"/>
          <w:highlight w:val="none"/>
        </w:rPr>
      </w:pPr>
    </w:p>
    <w:p w14:paraId="7B4E12D5">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8.谈判文件的构成</w:t>
      </w:r>
    </w:p>
    <w:p w14:paraId="65B463B1">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（1）竞争性谈判公告；</w:t>
      </w:r>
    </w:p>
    <w:p w14:paraId="62B6E44A">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（2）供应商须知； </w:t>
      </w:r>
    </w:p>
    <w:p w14:paraId="29A876C7">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（3）采购需求；</w:t>
      </w:r>
    </w:p>
    <w:p w14:paraId="41096194">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（4）响应文件格式</w:t>
      </w:r>
    </w:p>
    <w:p w14:paraId="79895BD5">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eastAsia="zh-CN"/>
        </w:rPr>
        <w:t>合同主要条款格式</w:t>
      </w:r>
      <w:r>
        <w:rPr>
          <w:rFonts w:hint="eastAsia" w:ascii="宋体" w:hAnsi="宋体" w:cs="宋体"/>
          <w:color w:val="auto"/>
          <w:sz w:val="24"/>
          <w:highlight w:val="none"/>
        </w:rPr>
        <w:t>；</w:t>
      </w:r>
    </w:p>
    <w:p w14:paraId="3D7182ED">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eastAsia="zh-CN"/>
        </w:rPr>
        <w:t>评审程序、评审方法和成交标准</w:t>
      </w:r>
      <w:r>
        <w:rPr>
          <w:rFonts w:hint="eastAsia" w:ascii="宋体" w:hAnsi="宋体" w:cs="宋体"/>
          <w:color w:val="auto"/>
          <w:sz w:val="24"/>
          <w:highlight w:val="none"/>
        </w:rPr>
        <w:t>；</w:t>
      </w:r>
    </w:p>
    <w:p w14:paraId="57223556">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9.供应商的询问</w:t>
      </w:r>
    </w:p>
    <w:p w14:paraId="4D4BFC7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应认真阅读谈判文件的采购需求，如供应商对谈判文件有疑问的，如要求采购人作出澄清或者修改的，供应商尽可能在提交首次响应文件截止之日前，以纸质书面形式向采购人、采购代理机构提出，否则，由此产生的后果由供应商自行负责。</w:t>
      </w:r>
    </w:p>
    <w:p w14:paraId="3587E37D">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10.谈判文件的澄清和修改</w:t>
      </w:r>
    </w:p>
    <w:p w14:paraId="1DE7D3E4">
      <w:pPr>
        <w:spacing w:line="44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10.1 已获取谈判文件的潜在供应商，若有问题需要澄清，应于应标截止时间前，以书面形式向采购代理机构提出，采购代理机构与采购人研究后，对认为有必要回答的问题，按照本章10.3 的内容处理。</w:t>
      </w:r>
    </w:p>
    <w:p w14:paraId="4759179E">
      <w:pPr>
        <w:spacing w:line="440" w:lineRule="exact"/>
        <w:ind w:firstLine="482" w:firstLineChars="200"/>
        <w:contextualSpacing/>
        <w:jc w:val="left"/>
        <w:rPr>
          <w:rFonts w:hint="eastAsia" w:ascii="宋体" w:hAnsi="宋体" w:cs="宋体"/>
          <w:b/>
          <w:color w:val="auto"/>
          <w:sz w:val="24"/>
          <w:highlight w:val="none"/>
        </w:rPr>
      </w:pPr>
      <w:r>
        <w:rPr>
          <w:rFonts w:hint="eastAsia" w:ascii="宋体" w:hAnsi="宋体" w:cs="宋体"/>
          <w:b/>
          <w:color w:val="auto"/>
          <w:sz w:val="24"/>
          <w:highlight w:val="none"/>
        </w:rPr>
        <w:t>10.2 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4A332B89">
      <w:pPr>
        <w:spacing w:line="44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10.3提交</w:t>
      </w:r>
      <w:r>
        <w:rPr>
          <w:rFonts w:ascii="宋体" w:hAnsi="宋体" w:cs="宋体"/>
          <w:color w:val="auto"/>
          <w:sz w:val="24"/>
          <w:highlight w:val="none"/>
        </w:rPr>
        <w:t>首次响应文件截止之日前，采购人、采购代理机构或者</w:t>
      </w:r>
      <w:r>
        <w:rPr>
          <w:rFonts w:hint="eastAsia" w:ascii="宋体" w:hAnsi="宋体" w:cs="宋体"/>
          <w:color w:val="auto"/>
          <w:sz w:val="24"/>
          <w:highlight w:val="none"/>
        </w:rPr>
        <w:t>谈判</w:t>
      </w:r>
      <w:r>
        <w:rPr>
          <w:rFonts w:ascii="宋体" w:hAnsi="宋体" w:cs="宋体"/>
          <w:color w:val="auto"/>
          <w:sz w:val="24"/>
          <w:highlight w:val="none"/>
        </w:rPr>
        <w:t>小组可以对已发出的</w:t>
      </w:r>
      <w:r>
        <w:rPr>
          <w:rFonts w:hint="eastAsia" w:ascii="宋体" w:hAnsi="宋体" w:cs="宋体"/>
          <w:color w:val="auto"/>
          <w:sz w:val="24"/>
          <w:highlight w:val="none"/>
        </w:rPr>
        <w:t>谈判</w:t>
      </w:r>
      <w:r>
        <w:rPr>
          <w:rFonts w:ascii="宋体" w:hAnsi="宋体" w:cs="宋体"/>
          <w:color w:val="auto"/>
          <w:sz w:val="24"/>
          <w:highlight w:val="none"/>
        </w:rPr>
        <w:t>文件进行必要的澄清或者修改，澄清或者修改的内容作为</w:t>
      </w:r>
      <w:r>
        <w:rPr>
          <w:rFonts w:hint="eastAsia" w:ascii="宋体" w:hAnsi="宋体" w:cs="宋体"/>
          <w:color w:val="auto"/>
          <w:sz w:val="24"/>
          <w:highlight w:val="none"/>
        </w:rPr>
        <w:t>谈判</w:t>
      </w:r>
      <w:r>
        <w:rPr>
          <w:rFonts w:ascii="宋体" w:hAnsi="宋体" w:cs="宋体"/>
          <w:color w:val="auto"/>
          <w:sz w:val="24"/>
          <w:highlight w:val="none"/>
        </w:rPr>
        <w:t>文件的组成部分。澄清或者修改的内容可能影响响应文件编制的，采购人、采购代理机构或者</w:t>
      </w:r>
      <w:r>
        <w:rPr>
          <w:rFonts w:hint="eastAsia" w:ascii="宋体" w:hAnsi="宋体" w:cs="宋体"/>
          <w:color w:val="auto"/>
          <w:sz w:val="24"/>
          <w:highlight w:val="none"/>
        </w:rPr>
        <w:t>谈判</w:t>
      </w:r>
      <w:r>
        <w:rPr>
          <w:rFonts w:ascii="宋体" w:hAnsi="宋体" w:cs="宋体"/>
          <w:color w:val="auto"/>
          <w:sz w:val="24"/>
          <w:highlight w:val="none"/>
        </w:rPr>
        <w:t>小组在提交首次响应文件截止之日3个工作日前，以书面形式通知所有</w:t>
      </w:r>
      <w:r>
        <w:rPr>
          <w:rFonts w:hint="eastAsia" w:ascii="宋体" w:hAnsi="宋体" w:cs="宋体"/>
          <w:color w:val="auto"/>
          <w:sz w:val="24"/>
          <w:highlight w:val="none"/>
        </w:rPr>
        <w:t>获取谈判</w:t>
      </w:r>
      <w:r>
        <w:rPr>
          <w:rFonts w:ascii="宋体" w:hAnsi="宋体" w:cs="宋体"/>
          <w:color w:val="auto"/>
          <w:sz w:val="24"/>
          <w:highlight w:val="none"/>
        </w:rPr>
        <w:t>文件的供应商，不足3个工作日的，应当顺延提交首次响应文件截止之日。</w:t>
      </w:r>
    </w:p>
    <w:p w14:paraId="414D00DA">
      <w:pPr>
        <w:spacing w:line="44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10.4 采购信息更正公告的内容应当包括采购人和采购代理机构名称、地址、联系方式，原公告的采购项目名称及首次公告日期，更正事项、内容及日期，采购项目联系人和电话。</w:t>
      </w:r>
    </w:p>
    <w:p w14:paraId="33F7DD3B">
      <w:pPr>
        <w:spacing w:line="44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10.5 采购人和采购代理机构可以视采购具体情况，变更提交首次响应文件截止时间和竞谈时间，将变更时间将在“</w:t>
      </w:r>
      <w:r>
        <w:rPr>
          <w:rFonts w:hint="eastAsia" w:ascii="宋体" w:hAnsi="宋体" w:cs="宋体"/>
          <w:color w:val="auto"/>
          <w:sz w:val="24"/>
          <w:highlight w:val="none"/>
          <w:lang w:val="en-US" w:eastAsia="zh-CN"/>
        </w:rPr>
        <w:t>竞争性谈判</w:t>
      </w:r>
      <w:r>
        <w:rPr>
          <w:rFonts w:hint="eastAsia" w:ascii="宋体" w:hAnsi="宋体" w:cs="宋体"/>
          <w:color w:val="auto"/>
          <w:sz w:val="24"/>
          <w:highlight w:val="none"/>
        </w:rPr>
        <w:t xml:space="preserve">公告”中“七、其他补充事宜 </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.网上査询地址”规定的政府采购信息发布媒体上发布更正公告。</w:t>
      </w:r>
    </w:p>
    <w:p w14:paraId="5E1DC4F9">
      <w:pPr>
        <w:spacing w:line="4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▲响应文件未按谈判文件的澄清、修改的内容编制，又不符合实质性要求的，其响应文件作无效处理。</w:t>
      </w:r>
    </w:p>
    <w:p w14:paraId="3AB9DAC1">
      <w:pPr>
        <w:spacing w:line="360" w:lineRule="auto"/>
        <w:ind w:firstLine="480" w:firstLineChars="200"/>
        <w:rPr>
          <w:rFonts w:hint="eastAsia" w:ascii="宋体" w:hAnsi="宋体" w:cs="宋体"/>
          <w:color w:val="auto"/>
          <w:sz w:val="24"/>
          <w:highlight w:val="none"/>
        </w:rPr>
      </w:pPr>
    </w:p>
    <w:p w14:paraId="47F6E7C6">
      <w:pPr>
        <w:spacing w:line="360" w:lineRule="auto"/>
        <w:rPr>
          <w:rFonts w:hint="eastAsia" w:ascii="宋体" w:hAnsi="宋体" w:cs="宋体"/>
          <w:color w:val="auto"/>
          <w:sz w:val="24"/>
          <w:highlight w:val="none"/>
        </w:rPr>
      </w:pPr>
    </w:p>
    <w:p w14:paraId="4E9B2E51">
      <w:pPr>
        <w:spacing w:line="360" w:lineRule="auto"/>
        <w:jc w:val="center"/>
        <w:rPr>
          <w:rFonts w:hint="eastAsia" w:ascii="宋体" w:hAnsi="宋体" w:cs="宋体"/>
          <w:b/>
          <w:color w:val="auto"/>
          <w:sz w:val="24"/>
          <w:highlight w:val="none"/>
        </w:rPr>
      </w:pPr>
      <w:r>
        <w:rPr>
          <w:rFonts w:hint="eastAsia" w:ascii="宋体" w:hAnsi="宋体" w:cs="宋体"/>
          <w:b/>
          <w:color w:val="auto"/>
          <w:sz w:val="40"/>
          <w:szCs w:val="40"/>
          <w:highlight w:val="none"/>
        </w:rPr>
        <w:t>三、响应文件的编制</w:t>
      </w:r>
    </w:p>
    <w:p w14:paraId="3272D267">
      <w:pPr>
        <w:spacing w:line="360" w:lineRule="auto"/>
        <w:rPr>
          <w:rFonts w:hint="eastAsia" w:ascii="宋体" w:hAnsi="宋体" w:cs="宋体"/>
          <w:color w:val="auto"/>
          <w:sz w:val="24"/>
          <w:highlight w:val="none"/>
        </w:rPr>
      </w:pPr>
    </w:p>
    <w:p w14:paraId="42753A59">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11.响应文件的编制原则</w:t>
      </w:r>
    </w:p>
    <w:p w14:paraId="38EC386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供应商必须按照谈判文件的要求编制响应文件，并对其提交的响应文件的真实性、合法性承担法律责任。响应文件必须对谈判文件作出实质性响应。</w:t>
      </w:r>
    </w:p>
    <w:p w14:paraId="7CC7CAE3">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12.响应文件的组成</w:t>
      </w:r>
    </w:p>
    <w:p w14:paraId="0D512D2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12.1响应文件由资格证明文件、报价文件、商务技术文件三部分组成。</w:t>
      </w:r>
    </w:p>
    <w:p w14:paraId="7E3A06D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12.1.1资格证明文件：详见“供应商须知前附表”</w:t>
      </w:r>
    </w:p>
    <w:p w14:paraId="163A1B7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12.1.2报价文件：详见“供应商须知前附表”</w:t>
      </w:r>
    </w:p>
    <w:p w14:paraId="472BE18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12.1.3商务技术文件：详见“供应商须知前附表”</w:t>
      </w:r>
    </w:p>
    <w:p w14:paraId="044D4C37">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13.计量单位</w:t>
      </w:r>
    </w:p>
    <w:p w14:paraId="511110B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谈判文件已有明确规定的，使用谈判文件规定的计量单位；谈判文件没有规定的，应采用中华人民共和国法定计量单位，货币种类为人民币，否则视同未响应。</w:t>
      </w:r>
    </w:p>
    <w:p w14:paraId="6CA078E3">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14.竞标的风险</w:t>
      </w:r>
    </w:p>
    <w:p w14:paraId="1D01DD2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供应商没有按照谈判文件要求提供全部资料，或者供应商没有对谈判文件在各方面作出实质性响应可能导致其响应文件按无效响应处理，是供应商应当考虑的风险。</w:t>
      </w:r>
    </w:p>
    <w:p w14:paraId="012E3B0D">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15.竞标报价</w:t>
      </w:r>
    </w:p>
    <w:p w14:paraId="7E05C55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15.1竞标报价应按谈判文件中“竞标报价表”格式填写。</w:t>
      </w:r>
    </w:p>
    <w:p w14:paraId="2F2D2CB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15.2竞标报价的内容详见“供应商须知前附表”。</w:t>
      </w:r>
    </w:p>
    <w:p w14:paraId="0B96947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15.3竞标报价要求</w:t>
      </w:r>
    </w:p>
    <w:p w14:paraId="5CAE061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15.3.1供应商的竞标报价应符合以下要求，否则响应文件按无效响应处理：</w:t>
      </w:r>
    </w:p>
    <w:p w14:paraId="34876B4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（1）供应商必须就“采购需求”中所竞标的每个分标的全部内容分别作完整唯一总价报价，不得存在漏项报价；</w:t>
      </w:r>
    </w:p>
    <w:p w14:paraId="697B03B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（2）供应商必须就所竞标的分标的单项内容作唯一报价。</w:t>
      </w:r>
    </w:p>
    <w:p w14:paraId="74C3A6E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15.3.2竞标报价（包含首次报价、最后报价）超过所竞标分标规定的采购预算金额或者最高限价的，其响应文件将按无效响应处理。</w:t>
      </w:r>
    </w:p>
    <w:p w14:paraId="49B0F40F">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15.3.3</w:t>
      </w:r>
      <w:r>
        <w:rPr>
          <w:rFonts w:hint="eastAsia" w:ascii="宋体" w:hAnsi="宋体" w:cs="宋体"/>
          <w:color w:val="auto"/>
          <w:sz w:val="24"/>
          <w:highlight w:val="none"/>
        </w:rPr>
        <w:t>竞标报价（包含首次报价、最后报价）超过分项采购预算金额或者最高限价的，其响应文件将作无效处理。</w:t>
      </w:r>
    </w:p>
    <w:p w14:paraId="3CE88873">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16.竞标有效期</w:t>
      </w:r>
    </w:p>
    <w:p w14:paraId="003D70D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16.1竞标有效期是指为保证采购人有足够的时间在提交响应文件后完成评审、确定成交供应商、合同签订等工作而要求供应商提交的响应文件在一定时间内保持有效的期限。</w:t>
      </w:r>
    </w:p>
    <w:p w14:paraId="13B2B4D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 竞标有效期应由供应商按“供应商须知前附表”规定的期限作出响应。</w:t>
      </w:r>
    </w:p>
    <w:p w14:paraId="66DA9C0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16.3供应商的响应文件在竞标有效期内均保持有效。</w:t>
      </w:r>
    </w:p>
    <w:p w14:paraId="73B55C8C">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17.竞标保证金</w:t>
      </w:r>
    </w:p>
    <w:p w14:paraId="2134311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17.1供应商须按“供应商须知前附表”的规定提交竞标保证金。</w:t>
      </w:r>
    </w:p>
    <w:p w14:paraId="30C95EF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17.2竞标保证金的退还</w:t>
      </w:r>
    </w:p>
    <w:p w14:paraId="4E8AF68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未</w:t>
      </w:r>
      <w:r>
        <w:rPr>
          <w:rFonts w:hint="eastAsia" w:ascii="宋体" w:hAnsi="宋体" w:cs="宋体"/>
          <w:color w:val="auto"/>
          <w:spacing w:val="-6"/>
          <w:sz w:val="24"/>
          <w:highlight w:val="none"/>
        </w:rPr>
        <w:t>成交</w:t>
      </w:r>
      <w:r>
        <w:rPr>
          <w:rFonts w:hint="eastAsia" w:ascii="宋体" w:hAnsi="宋体" w:cs="宋体"/>
          <w:color w:val="auto"/>
          <w:sz w:val="24"/>
          <w:highlight w:val="none"/>
        </w:rPr>
        <w:t xml:space="preserve">供应商的竞标保证金自成交通知书发出之日起5个工作日内退还；成交供应商的竞标保证金自签订合同之日起5个工作日内退还。 </w:t>
      </w:r>
    </w:p>
    <w:p w14:paraId="028748C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17.3竞标保证金不计息。</w:t>
      </w:r>
    </w:p>
    <w:p w14:paraId="29B7678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17.4供应商有下列情形之一的，竞标保证金将不予退还： </w:t>
      </w:r>
    </w:p>
    <w:p w14:paraId="0970FC8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（1）供应商在提交首次响应文件截止时间后撤回响应文件的；</w:t>
      </w:r>
    </w:p>
    <w:p w14:paraId="32A9020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（2）未按规定提交履约保证金的；</w:t>
      </w:r>
    </w:p>
    <w:p w14:paraId="1A6754B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（3）供应商在响应文件中提供虚假材料的；</w:t>
      </w:r>
    </w:p>
    <w:p w14:paraId="57FFE5D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（4）除因不可抗力或者谈判文件认可的情形以外，成交供应商不与采购人签订合同的；</w:t>
      </w:r>
    </w:p>
    <w:p w14:paraId="54BC472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（5）供应商与采购人、其他供应商或者采购代理机构恶意串通的；</w:t>
      </w:r>
    </w:p>
    <w:p w14:paraId="07337C4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（6）法律法规规定的其他情形。</w:t>
      </w:r>
    </w:p>
    <w:p w14:paraId="7F399CFE">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18. 响应文件编制的要求</w:t>
      </w:r>
    </w:p>
    <w:p w14:paraId="4FD5D71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18.1供应商应按本谈判文件规定的格式和顺序编制、装订响应文件并标注页码，响应文件内容</w:t>
      </w:r>
      <w:r>
        <w:rPr>
          <w:rFonts w:hint="eastAsia" w:ascii="宋体" w:hAnsi="宋体" w:cs="宋体"/>
          <w:color w:val="auto"/>
          <w:spacing w:val="-6"/>
          <w:sz w:val="24"/>
          <w:highlight w:val="none"/>
        </w:rPr>
        <w:t>不完整、编排混乱导致响应文件被误读、漏读或者查找不到相关内容的，</w:t>
      </w:r>
      <w:r>
        <w:rPr>
          <w:rFonts w:hint="eastAsia" w:ascii="宋体" w:hAnsi="宋体" w:cs="宋体"/>
          <w:color w:val="auto"/>
          <w:sz w:val="24"/>
          <w:szCs w:val="32"/>
          <w:highlight w:val="none"/>
        </w:rPr>
        <w:t>由此引发的</w:t>
      </w:r>
      <w:r>
        <w:rPr>
          <w:rFonts w:hint="eastAsia" w:ascii="宋体" w:hAnsi="宋体" w:cs="宋体"/>
          <w:color w:val="auto"/>
          <w:spacing w:val="-6"/>
          <w:sz w:val="24"/>
          <w:highlight w:val="none"/>
        </w:rPr>
        <w:t>后果由供应商承担。</w:t>
      </w:r>
    </w:p>
    <w:p w14:paraId="1187C1E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18.2响应文件应按资格证明文件、报价文件、商务技术文件分别编制电子文件，</w:t>
      </w:r>
      <w:r>
        <w:rPr>
          <w:rFonts w:hint="eastAsia" w:ascii="宋体" w:hAnsi="宋体" w:cs="宋体"/>
          <w:color w:val="auto"/>
          <w:sz w:val="24"/>
          <w:highlight w:val="none"/>
          <w:lang w:bidi="ar"/>
        </w:rPr>
        <w:t>并按“广西政府采购云平台”的要求编制、加密、上传。</w:t>
      </w:r>
    </w:p>
    <w:p w14:paraId="54585CF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w:t>
      </w:r>
      <w:bookmarkStart w:id="27" w:name="_Hlk65832699"/>
      <w:r>
        <w:rPr>
          <w:rFonts w:hint="eastAsia" w:ascii="宋体" w:hAnsi="宋体" w:cs="宋体"/>
          <w:color w:val="auto"/>
          <w:sz w:val="24"/>
          <w:highlight w:val="none"/>
        </w:rPr>
        <w:t>3响应文件须由供应商在规定位置盖公章并签字</w:t>
      </w:r>
      <w:bookmarkStart w:id="28" w:name="_Hlk65832569"/>
      <w:r>
        <w:rPr>
          <w:rFonts w:hint="eastAsia" w:ascii="宋体" w:hAnsi="宋体" w:cs="宋体"/>
          <w:color w:val="auto"/>
          <w:sz w:val="24"/>
          <w:highlight w:val="none"/>
        </w:rPr>
        <w:t>（具体以供应商须知前附表或响应文件格式规定为准）</w:t>
      </w:r>
      <w:bookmarkEnd w:id="27"/>
      <w:bookmarkEnd w:id="28"/>
      <w:r>
        <w:rPr>
          <w:rFonts w:hint="eastAsia" w:ascii="宋体" w:hAnsi="宋体" w:cs="宋体"/>
          <w:color w:val="auto"/>
          <w:sz w:val="24"/>
          <w:highlight w:val="none"/>
        </w:rPr>
        <w:t>，否则其响应文件按无效响应处理。</w:t>
      </w:r>
    </w:p>
    <w:p w14:paraId="7EAD9AC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18.4响应文件中标注的供应商名称应与营业执照（事业单位法人证书、执业许可证、自然人身份证）及公章一致，否则其响应文件按无效响应处理。</w:t>
      </w:r>
    </w:p>
    <w:p w14:paraId="4ABE126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4613061B">
      <w:pPr>
        <w:spacing w:line="360" w:lineRule="auto"/>
        <w:ind w:firstLine="321" w:firstLineChars="1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19.响应文件的密封和标记</w:t>
      </w:r>
    </w:p>
    <w:p w14:paraId="556DF596">
      <w:pPr>
        <w:spacing w:line="440" w:lineRule="exact"/>
        <w:ind w:firstLine="480" w:firstLineChars="200"/>
        <w:contextualSpacing/>
        <w:jc w:val="left"/>
        <w:rPr>
          <w:rFonts w:hint="eastAsia" w:ascii="宋体" w:hAnsi="宋体" w:cs="宋体"/>
          <w:bCs/>
          <w:color w:val="auto"/>
          <w:sz w:val="24"/>
          <w:highlight w:val="none"/>
        </w:rPr>
      </w:pPr>
      <w:r>
        <w:rPr>
          <w:rFonts w:hint="eastAsia" w:ascii="宋体" w:hAnsi="宋体" w:cs="宋体"/>
          <w:bCs/>
          <w:color w:val="auto"/>
          <w:sz w:val="24"/>
          <w:highlight w:val="none"/>
        </w:rPr>
        <w:t>19.1 供应商进行电子交易应安装客户端软件—“广西政府采购云平台电子交易客户端”，并按照谈判文件和电子交易平台的要求编制并加密响应文件。供应商未按规定加密的响应文件，电子交易平台将拒收并提示。</w:t>
      </w:r>
    </w:p>
    <w:p w14:paraId="04D94AE3">
      <w:pPr>
        <w:spacing w:line="440" w:lineRule="exact"/>
        <w:ind w:firstLine="480" w:firstLineChars="200"/>
        <w:contextualSpacing/>
        <w:jc w:val="left"/>
        <w:rPr>
          <w:rFonts w:hint="eastAsia" w:ascii="宋体" w:hAnsi="宋体" w:cs="宋体"/>
          <w:bCs/>
          <w:color w:val="auto"/>
          <w:sz w:val="24"/>
          <w:highlight w:val="none"/>
        </w:rPr>
      </w:pPr>
      <w:r>
        <w:rPr>
          <w:rFonts w:hint="eastAsia" w:ascii="宋体" w:hAnsi="宋体" w:cs="宋体"/>
          <w:bCs/>
          <w:color w:val="auto"/>
          <w:sz w:val="24"/>
          <w:highlight w:val="none"/>
        </w:rPr>
        <w:t>19.2 使用“广西政府采购云平台电子交易客户端”需要提前申领 CA 数字证书，申领流程见该项目采购公告附件。</w:t>
      </w:r>
    </w:p>
    <w:p w14:paraId="67F5F2E6">
      <w:pPr>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19.3 为确保网上操作合法、有效和安全，供应商应当在响应文件提交截止时间前完成在“广西政府采购云平台”的身份认证，确保在电子交易过程中能够对相关数据电文进行加密和使用电子签名。</w:t>
      </w:r>
    </w:p>
    <w:p w14:paraId="4EC369C1">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20.响应文件的提交</w:t>
      </w:r>
    </w:p>
    <w:p w14:paraId="17C4442F">
      <w:pPr>
        <w:spacing w:line="44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20.1供应商必须按“供应商须知前附表”规定的时间及地点提交响应文件。电子响应文件应在制作完成后，</w:t>
      </w:r>
      <w:r>
        <w:rPr>
          <w:rFonts w:ascii="宋体" w:hAnsi="宋体" w:cs="宋体"/>
          <w:color w:val="auto"/>
          <w:sz w:val="24"/>
          <w:highlight w:val="none"/>
        </w:rPr>
        <w:t>在</w:t>
      </w:r>
      <w:r>
        <w:rPr>
          <w:rFonts w:hint="eastAsia" w:ascii="宋体" w:hAnsi="宋体" w:cs="宋体"/>
          <w:color w:val="auto"/>
          <w:sz w:val="24"/>
          <w:highlight w:val="none"/>
        </w:rPr>
        <w:t>提交响应文件截止</w:t>
      </w:r>
      <w:r>
        <w:rPr>
          <w:rFonts w:ascii="宋体" w:hAnsi="宋体" w:cs="宋体"/>
          <w:color w:val="auto"/>
          <w:sz w:val="24"/>
          <w:highlight w:val="none"/>
        </w:rPr>
        <w:t>时间前</w:t>
      </w:r>
      <w:r>
        <w:rPr>
          <w:rFonts w:hint="eastAsia" w:ascii="宋体" w:hAnsi="宋体" w:cs="宋体"/>
          <w:color w:val="auto"/>
          <w:sz w:val="24"/>
          <w:highlight w:val="none"/>
        </w:rPr>
        <w:t xml:space="preserve">通过有效数字证书（CA认证锁）进行电子签章、加密，然后通过网络将加密的电子响应文件提交至“广西政府采购云平台”。  </w:t>
      </w:r>
    </w:p>
    <w:p w14:paraId="625D365E">
      <w:pPr>
        <w:spacing w:line="440" w:lineRule="exact"/>
        <w:ind w:firstLine="482" w:firstLineChars="200"/>
        <w:contextualSpacing/>
        <w:jc w:val="left"/>
        <w:rPr>
          <w:rFonts w:hint="eastAsia" w:ascii="宋体" w:hAnsi="宋体" w:cs="宋体"/>
          <w:b/>
          <w:color w:val="auto"/>
          <w:sz w:val="24"/>
          <w:highlight w:val="none"/>
        </w:rPr>
      </w:pPr>
      <w:r>
        <w:rPr>
          <w:rFonts w:hint="eastAsia" w:ascii="宋体" w:hAnsi="宋体" w:cs="宋体"/>
          <w:b/>
          <w:color w:val="auto"/>
          <w:sz w:val="24"/>
          <w:highlight w:val="none"/>
        </w:rPr>
        <w:t>20.</w:t>
      </w:r>
      <w:r>
        <w:rPr>
          <w:rFonts w:ascii="宋体" w:hAnsi="宋体" w:cs="宋体"/>
          <w:b/>
          <w:color w:val="auto"/>
          <w:sz w:val="24"/>
          <w:highlight w:val="none"/>
        </w:rPr>
        <w:t>2</w:t>
      </w:r>
      <w:r>
        <w:rPr>
          <w:rFonts w:hint="eastAsia" w:ascii="宋体" w:hAnsi="宋体" w:cs="宋体"/>
          <w:b/>
          <w:color w:val="auto"/>
          <w:sz w:val="24"/>
          <w:highlight w:val="none"/>
        </w:rPr>
        <w:t>未在规定时间内提交或者未按照谈判文件要求加密的电子响应文件，“广西政府采购云平台”将拒收。</w:t>
      </w:r>
    </w:p>
    <w:p w14:paraId="0C1AFB80">
      <w:pPr>
        <w:spacing w:line="44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 xml:space="preserve">20.3 在响应文件提交截止时间以后，不能补充、修改响应文件。 </w:t>
      </w:r>
    </w:p>
    <w:p w14:paraId="736B6448">
      <w:pPr>
        <w:spacing w:line="44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 xml:space="preserve">20.4 在提交“最后报价”后，供应商不能退出谈判。 </w:t>
      </w:r>
    </w:p>
    <w:p w14:paraId="5801F3CE">
      <w:pPr>
        <w:spacing w:line="44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 xml:space="preserve">20.5 电子交易平台收到响应文件，将妥善保存并即时向供应商发出确认回执通知。在响应文件提交截止时间前，除供应商补充、修改或者撤回响应文件外，任何单位和个人不得解密或提取响应文件。 </w:t>
      </w:r>
    </w:p>
    <w:p w14:paraId="1B7AB50D">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20.6 采购机构不可视情况延长提交响应文件的截止时间。</w:t>
      </w:r>
    </w:p>
    <w:p w14:paraId="1B8C3FEC">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21.首次响应文件的补充、修改与撤回</w:t>
      </w:r>
    </w:p>
    <w:p w14:paraId="622ADD8F">
      <w:pPr>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lang w:bidi="ar"/>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35421CB5">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22.首次响应文件的退回</w:t>
      </w:r>
    </w:p>
    <w:p w14:paraId="31DF454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6A17409D">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23. 截止时间后的撤回</w:t>
      </w:r>
    </w:p>
    <w:p w14:paraId="19D33E5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23.1供应商在首次响应文件提交截止时间后书面通知采购人、采购代理机构书面撤回响应文件的，将根据本须知正文17.4的规定不予退还其竞标保证金。</w:t>
      </w:r>
    </w:p>
    <w:p w14:paraId="7FFFD435">
      <w:pPr>
        <w:spacing w:line="360" w:lineRule="auto"/>
        <w:ind w:firstLine="480" w:firstLineChars="200"/>
        <w:rPr>
          <w:rFonts w:hint="eastAsia" w:ascii="宋体" w:hAnsi="宋体" w:cs="宋体"/>
          <w:color w:val="auto"/>
          <w:sz w:val="24"/>
          <w:highlight w:val="none"/>
        </w:rPr>
      </w:pPr>
    </w:p>
    <w:p w14:paraId="6E87ED60">
      <w:pPr>
        <w:spacing w:line="360" w:lineRule="auto"/>
        <w:jc w:val="center"/>
        <w:rPr>
          <w:rFonts w:hint="eastAsia" w:ascii="宋体" w:hAnsi="宋体" w:cs="宋体"/>
          <w:b/>
          <w:color w:val="auto"/>
          <w:sz w:val="40"/>
          <w:szCs w:val="40"/>
          <w:highlight w:val="none"/>
        </w:rPr>
      </w:pPr>
      <w:r>
        <w:rPr>
          <w:rFonts w:hint="eastAsia" w:ascii="宋体" w:hAnsi="宋体" w:cs="宋体"/>
          <w:b/>
          <w:color w:val="auto"/>
          <w:sz w:val="40"/>
          <w:szCs w:val="40"/>
          <w:highlight w:val="none"/>
        </w:rPr>
        <w:t>四、评审及谈判</w:t>
      </w:r>
    </w:p>
    <w:p w14:paraId="74FE663E">
      <w:pPr>
        <w:spacing w:line="360" w:lineRule="auto"/>
        <w:ind w:firstLine="420"/>
        <w:rPr>
          <w:rFonts w:hint="eastAsia" w:ascii="宋体" w:hAnsi="宋体" w:cs="宋体"/>
          <w:color w:val="auto"/>
          <w:sz w:val="24"/>
          <w:highlight w:val="none"/>
        </w:rPr>
      </w:pPr>
    </w:p>
    <w:p w14:paraId="20EBD91E">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24.谈判小组成立</w:t>
      </w:r>
    </w:p>
    <w:p w14:paraId="68D4E78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24.1竞争性谈判小组成立：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68AC8AD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3871160E">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25. 首次响应文件的开启</w:t>
      </w:r>
    </w:p>
    <w:p w14:paraId="17C05A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25.1首次响应文件由谈判小组或者采购代理机构在“供应商须知前附表”规定的时间开启。</w:t>
      </w:r>
    </w:p>
    <w:p w14:paraId="6C3AEA8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 w:val="24"/>
          <w:highlight w:val="none"/>
        </w:rPr>
        <w:t>供应商的法定代表人或其委托代理人须携带加密时所用的CA锁按平台提示和谈判文件的规定登录到“广西政府采购云平台”平台电子开标大厅签到并在发起解密指令之时起30分钟内完成对电子响应文件在线解密。</w:t>
      </w:r>
      <w:r>
        <w:rPr>
          <w:rFonts w:hint="eastAsia" w:ascii="宋体" w:hAnsi="宋体" w:cs="宋体"/>
          <w:b/>
          <w:bCs/>
          <w:color w:val="auto"/>
          <w:sz w:val="24"/>
          <w:highlight w:val="none"/>
        </w:rPr>
        <w:t>响应文件未按时解密的，视为响应文件无效。</w:t>
      </w:r>
      <w:r>
        <w:rPr>
          <w:rFonts w:hint="eastAsia" w:ascii="宋体" w:hAnsi="宋体" w:cs="宋体"/>
          <w:color w:val="auto"/>
          <w:sz w:val="24"/>
          <w:highlight w:val="none"/>
        </w:rPr>
        <w:t>（解密异常情况处理：详见本章26.2电子交易活动的中止。）</w:t>
      </w:r>
    </w:p>
    <w:p w14:paraId="472637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25.3成功解密响应文件的供应商不足3家的，不得谈判。</w:t>
      </w:r>
    </w:p>
    <w:p w14:paraId="45F5FAEE">
      <w:pPr>
        <w:spacing w:line="360" w:lineRule="auto"/>
        <w:ind w:firstLine="643" w:firstLineChars="200"/>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26. </w:t>
      </w:r>
      <w:r>
        <w:rPr>
          <w:rFonts w:hint="eastAsia" w:ascii="宋体" w:hAnsi="宋体" w:cs="宋体"/>
          <w:b/>
          <w:bCs/>
          <w:color w:val="auto"/>
          <w:sz w:val="32"/>
          <w:szCs w:val="32"/>
          <w:highlight w:val="none"/>
          <w:lang w:eastAsia="zh-CN"/>
        </w:rPr>
        <w:t>评审程序、评审方法和成交标准</w:t>
      </w:r>
    </w:p>
    <w:p w14:paraId="7E52DED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26.1谈判小组按照“第四章  </w:t>
      </w:r>
      <w:r>
        <w:rPr>
          <w:rFonts w:hint="eastAsia" w:ascii="宋体" w:hAnsi="宋体" w:cs="宋体"/>
          <w:color w:val="auto"/>
          <w:sz w:val="24"/>
          <w:highlight w:val="none"/>
          <w:lang w:eastAsia="zh-CN"/>
        </w:rPr>
        <w:t>评审程序、评审方法和成交标准</w:t>
      </w:r>
      <w:r>
        <w:rPr>
          <w:rFonts w:hint="eastAsia" w:ascii="宋体" w:hAnsi="宋体" w:cs="宋体"/>
          <w:color w:val="auto"/>
          <w:sz w:val="24"/>
          <w:highlight w:val="none"/>
        </w:rPr>
        <w:t>”规定的评审程序对响应文件进行评审，并按照评定成交的标准推荐成交候选供应商。</w:t>
      </w:r>
    </w:p>
    <w:p w14:paraId="62E1901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26.2 采购需求负偏离要求及谈判顺序详见 “供应商须知前附表”。</w:t>
      </w:r>
    </w:p>
    <w:p w14:paraId="5D2D098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电子交易活动的中止。采购过程中出现以下情形，导致电子交易平台无法正常运行，或者无法保证电子交易的公平、公正和安全时，采购机构可中止电子交易活动：</w:t>
      </w:r>
    </w:p>
    <w:p w14:paraId="4B18D74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（1）电子交易平台发生故障而无法登录访问的； </w:t>
      </w:r>
    </w:p>
    <w:p w14:paraId="18E1445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（2）电子交易平台应用或数据库出现错误，不能进行正常操作的；</w:t>
      </w:r>
    </w:p>
    <w:p w14:paraId="413E677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（3）电子交易平台发现严重安全漏洞，有潜在泄密危险的；</w:t>
      </w:r>
    </w:p>
    <w:p w14:paraId="585F7C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（4）病毒发作导致不能进行正常操作的； </w:t>
      </w:r>
    </w:p>
    <w:p w14:paraId="454DF1C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）其他无法保证电子交易的公平、公正和安全的情况。</w:t>
      </w:r>
    </w:p>
    <w:p w14:paraId="627324F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出现以上情形，不影响采购公平、公正性的，采购代理机构可以待上述情形消除后继续组织电子交易活动；影响或可能影响采购公平、公正性的，经采购代理机构确认后，应当重新采购。</w:t>
      </w:r>
    </w:p>
    <w:p w14:paraId="0A78E15D">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27.确定成交供应商及结果公告</w:t>
      </w:r>
    </w:p>
    <w:p w14:paraId="32EDB4A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1FA78CB1">
      <w:pPr>
        <w:pStyle w:val="8"/>
        <w:spacing w:line="360" w:lineRule="auto"/>
        <w:ind w:firstLine="480" w:firstLineChars="200"/>
        <w:jc w:val="both"/>
        <w:rPr>
          <w:rFonts w:hint="eastAsia" w:ascii="宋体" w:hAnsi="宋体" w:cs="宋体"/>
          <w:color w:val="auto"/>
          <w:kern w:val="0"/>
          <w:sz w:val="24"/>
          <w:highlight w:val="none"/>
        </w:rPr>
      </w:pPr>
      <w:r>
        <w:rPr>
          <w:rFonts w:hint="eastAsia" w:ascii="宋体" w:hAnsi="宋体" w:cs="宋体"/>
          <w:color w:val="auto"/>
          <w:kern w:val="0"/>
          <w:sz w:val="24"/>
          <w:highlight w:val="none"/>
        </w:rPr>
        <w:t>27.2采购代理机构应当在成交供应商确定后2个工作日内，在省级以上财政部门指定的媒体上公告成交结果，同时向成交供应商发出成交通知书。</w:t>
      </w:r>
      <w:r>
        <w:rPr>
          <w:rFonts w:hint="eastAsia" w:ascii="宋体" w:hAnsi="宋体" w:cs="宋体"/>
          <w:b/>
          <w:color w:val="auto"/>
          <w:kern w:val="0"/>
          <w:sz w:val="24"/>
          <w:highlight w:val="none"/>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kern w:val="0"/>
          <w:sz w:val="24"/>
          <w:highlight w:val="none"/>
        </w:rPr>
        <w:t>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宋体"/>
          <w:color w:val="auto"/>
          <w:sz w:val="24"/>
          <w:highlight w:val="none"/>
        </w:rPr>
        <w:t>成交供应商享受《政府采购促进中小企业发展管理办法》（财库〔2020〕46号）规定的中小企业扶持政策的，采购人、采购代理机构应当随成交结果公开成交供应商的《中小企业声明函》。</w:t>
      </w:r>
    </w:p>
    <w:p w14:paraId="26602165">
      <w:pPr>
        <w:pStyle w:val="8"/>
        <w:spacing w:line="360" w:lineRule="auto"/>
        <w:ind w:firstLine="480" w:firstLineChars="200"/>
        <w:jc w:val="both"/>
        <w:rPr>
          <w:rFonts w:hint="eastAsia" w:ascii="宋体" w:hAnsi="宋体" w:cs="宋体"/>
          <w:color w:val="auto"/>
          <w:sz w:val="24"/>
          <w:highlight w:val="none"/>
        </w:rPr>
      </w:pPr>
      <w:r>
        <w:rPr>
          <w:rFonts w:hint="eastAsia" w:ascii="宋体" w:hAnsi="宋体" w:cs="宋体"/>
          <w:color w:val="auto"/>
          <w:sz w:val="24"/>
          <w:highlight w:val="none"/>
        </w:rPr>
        <w:t>27.3出现下列情形之一的，采购人或者采购代理机构应当终止竞争性谈判采购活动，发布项目终止公告并说明原因，重新开展采购活动：</w:t>
      </w:r>
    </w:p>
    <w:p w14:paraId="30156237">
      <w:pPr>
        <w:pStyle w:val="8"/>
        <w:spacing w:line="360" w:lineRule="auto"/>
        <w:ind w:firstLine="480" w:firstLineChars="200"/>
        <w:jc w:val="both"/>
        <w:rPr>
          <w:rFonts w:hint="eastAsia" w:ascii="宋体" w:hAnsi="宋体" w:cs="宋体"/>
          <w:color w:val="auto"/>
          <w:sz w:val="24"/>
          <w:highlight w:val="none"/>
        </w:rPr>
      </w:pPr>
      <w:r>
        <w:rPr>
          <w:rFonts w:hint="eastAsia" w:ascii="宋体" w:hAnsi="宋体" w:cs="宋体"/>
          <w:color w:val="auto"/>
          <w:sz w:val="24"/>
          <w:highlight w:val="none"/>
        </w:rPr>
        <w:t>（一）因情况变化，不再符合规定的竞争性谈判采购方式适用情形的；</w:t>
      </w:r>
    </w:p>
    <w:p w14:paraId="08101A37">
      <w:pPr>
        <w:pStyle w:val="8"/>
        <w:spacing w:line="360" w:lineRule="auto"/>
        <w:ind w:firstLine="480" w:firstLineChars="200"/>
        <w:jc w:val="both"/>
        <w:rPr>
          <w:rFonts w:hint="eastAsia" w:ascii="宋体" w:hAnsi="宋体" w:cs="宋体"/>
          <w:color w:val="auto"/>
          <w:sz w:val="24"/>
          <w:highlight w:val="none"/>
        </w:rPr>
      </w:pPr>
      <w:r>
        <w:rPr>
          <w:rFonts w:hint="eastAsia" w:ascii="宋体" w:hAnsi="宋体" w:cs="宋体"/>
          <w:color w:val="auto"/>
          <w:sz w:val="24"/>
          <w:highlight w:val="none"/>
        </w:rPr>
        <w:t>（二）出现影响采购公正的违法、违规行为的；</w:t>
      </w:r>
    </w:p>
    <w:p w14:paraId="22374478">
      <w:pPr>
        <w:pStyle w:val="8"/>
        <w:spacing w:line="360" w:lineRule="auto"/>
        <w:ind w:firstLine="480" w:firstLineChars="200"/>
        <w:jc w:val="both"/>
        <w:rPr>
          <w:rFonts w:hint="eastAsia" w:ascii="宋体" w:hAnsi="宋体" w:cs="宋体"/>
          <w:color w:val="auto"/>
          <w:sz w:val="24"/>
          <w:highlight w:val="none"/>
        </w:rPr>
      </w:pPr>
      <w:r>
        <w:rPr>
          <w:rFonts w:hint="eastAsia" w:ascii="宋体" w:hAnsi="宋体" w:cs="宋体"/>
          <w:color w:val="auto"/>
          <w:sz w:val="24"/>
          <w:highlight w:val="none"/>
        </w:rPr>
        <w:t>（三）在采购过程中符合竞争要求的供应商或者报价未超过采购预算的供应商不足3家的，但《政府采购非招标采购方式管理办法》第二十七条第二款规定的情形除外。</w:t>
      </w:r>
    </w:p>
    <w:p w14:paraId="1A8AA995">
      <w:pPr>
        <w:pStyle w:val="8"/>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27.4在采购活动中因重大变故，采购任务取消的，采购人或者采购代理机构应当终止采购活动，通知所有参加采购活动的供应商。</w:t>
      </w:r>
    </w:p>
    <w:p w14:paraId="77E5F2FB">
      <w:pPr>
        <w:pStyle w:val="8"/>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27.5</w:t>
      </w:r>
      <w:r>
        <w:rPr>
          <w:rFonts w:hint="eastAsia" w:ascii="宋体" w:hAnsi="宋体" w:cs="宋体"/>
          <w:color w:val="auto"/>
          <w:sz w:val="24"/>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313CAE1D">
      <w:pPr>
        <w:pStyle w:val="8"/>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因不可抗力外，成交供应商不与采购人签订合同的，除不予退还其竞标保证金外，若给采购人造成损失，或（并）因此延误采购人教学科研计划的，须依据《中华人民共和国民法典》第五百条、《政府采购非招标采购方式管理办法（财政部令第74号）》第二十二条、第五十四条规定承担赔偿损失等法律责任，采购人有权将成交供应商的失信行为报财政部门记入诚信档案，以示惩戒。</w:t>
      </w:r>
    </w:p>
    <w:p w14:paraId="05F1A591">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28.履约保证金</w:t>
      </w:r>
    </w:p>
    <w:p w14:paraId="40713F8A">
      <w:pPr>
        <w:pStyle w:val="8"/>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28.1履约保证金的金额、提交方式、退付的时间和条件详见 “供应商须知前附表”。成交供应商未按规定提交履约保证金的，视为拒绝</w:t>
      </w:r>
      <w:r>
        <w:rPr>
          <w:rFonts w:hint="eastAsia" w:ascii="宋体" w:hAnsi="宋体" w:cs="宋体"/>
          <w:color w:val="auto"/>
          <w:sz w:val="24"/>
          <w:szCs w:val="32"/>
          <w:highlight w:val="none"/>
        </w:rPr>
        <w:t>与采购人</w:t>
      </w:r>
      <w:r>
        <w:rPr>
          <w:rFonts w:hint="eastAsia" w:ascii="宋体" w:hAnsi="宋体" w:cs="宋体"/>
          <w:color w:val="auto"/>
          <w:sz w:val="24"/>
          <w:highlight w:val="none"/>
        </w:rPr>
        <w:t>签订合同。</w:t>
      </w:r>
    </w:p>
    <w:p w14:paraId="42F91167">
      <w:pPr>
        <w:spacing w:line="36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28.2在履约保证金退还日期前，若成交供应商的开户名称、开户银行、</w:t>
      </w:r>
      <w:r>
        <w:rPr>
          <w:rFonts w:hint="eastAsia" w:ascii="宋体" w:hAnsi="宋体" w:cs="宋体"/>
          <w:color w:val="auto"/>
          <w:sz w:val="24"/>
          <w:highlight w:val="none"/>
          <w:lang w:eastAsia="zh-CN"/>
        </w:rPr>
        <w:t>账</w:t>
      </w:r>
      <w:r>
        <w:rPr>
          <w:rFonts w:hint="eastAsia" w:ascii="宋体" w:hAnsi="宋体" w:cs="宋体"/>
          <w:color w:val="auto"/>
          <w:sz w:val="24"/>
          <w:highlight w:val="none"/>
        </w:rPr>
        <w:t>号有变动的，请以书面形式通知履约保证金收取单位，否则由此产生的后果由成交供应商自负。</w:t>
      </w:r>
    </w:p>
    <w:p w14:paraId="2A4D65FC">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29.签订合同</w:t>
      </w:r>
    </w:p>
    <w:p w14:paraId="4F96E59B">
      <w:pPr>
        <w:spacing w:line="36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29.1成交供应商在收到成交通知书（书面或电子）后，按“供应商须知前附表”规定向采购人出示相关证明材料，经采购人核验合格后方可签订合同（书面或电子）。如成交供应商为联合体的，联合体各方应当共同与采购人签订采购合同，就采购合同约定的事项对采购人承担连带责任。</w:t>
      </w:r>
    </w:p>
    <w:p w14:paraId="01A0984F">
      <w:pPr>
        <w:spacing w:line="36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29.2 签订合同时间：按成交通知书的规定与采购人签订政府采购合同（最长不能超过</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日）。</w:t>
      </w:r>
    </w:p>
    <w:p w14:paraId="7DB1E209">
      <w:pPr>
        <w:spacing w:line="36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29.3成交供应商拒绝与采购人签订合同的，按照本须知正文第27.5条的规定执行。</w:t>
      </w:r>
    </w:p>
    <w:p w14:paraId="1EEDA05F">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30.政府采购合同公告</w:t>
      </w:r>
    </w:p>
    <w:p w14:paraId="1AB4192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094C379">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31. 询问、质疑和投诉</w:t>
      </w:r>
    </w:p>
    <w:p w14:paraId="598E539E">
      <w:pPr>
        <w:pStyle w:val="6"/>
        <w:spacing w:line="360" w:lineRule="auto"/>
        <w:rPr>
          <w:rFonts w:hint="eastAsia" w:ascii="宋体" w:hAnsi="宋体" w:cs="宋体"/>
          <w:color w:val="auto"/>
          <w:sz w:val="24"/>
          <w:szCs w:val="24"/>
          <w:highlight w:val="none"/>
        </w:rPr>
      </w:pPr>
      <w:r>
        <w:rPr>
          <w:rFonts w:hint="eastAsia" w:ascii="宋体" w:hAnsi="宋体" w:cs="宋体"/>
          <w:color w:val="auto"/>
          <w:sz w:val="24"/>
          <w:szCs w:val="22"/>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 w:val="24"/>
          <w:szCs w:val="24"/>
          <w:highlight w:val="none"/>
        </w:rPr>
        <w:t>但答复的内容不得涉及商业秘密。</w:t>
      </w:r>
    </w:p>
    <w:p w14:paraId="59438143">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31.2供应商认为谈判文件、采购过程或者成交结果使自己的合法权益受到损害的，应当在知道或者应知其权益受到损害之日起7个工作日内，以纸质书面形式向采购人、采购代理机构提出质疑，</w:t>
      </w:r>
      <w:r>
        <w:rPr>
          <w:rFonts w:hint="eastAsia" w:ascii="宋体" w:hAnsi="宋体" w:cs="宋体"/>
          <w:color w:val="auto"/>
          <w:sz w:val="24"/>
          <w:szCs w:val="32"/>
          <w:highlight w:val="none"/>
          <w:shd w:val="clear" w:color="auto" w:fill="FFFFFF"/>
        </w:rPr>
        <w:t>接收质疑函的方式、联系部门、联系电话和通讯地址等信息</w:t>
      </w:r>
      <w:r>
        <w:rPr>
          <w:rFonts w:hint="eastAsia" w:ascii="宋体" w:hAnsi="宋体" w:cs="宋体"/>
          <w:color w:val="auto"/>
          <w:sz w:val="24"/>
          <w:highlight w:val="none"/>
        </w:rPr>
        <w:t>详见“供应商须知前附表”</w:t>
      </w:r>
      <w:r>
        <w:rPr>
          <w:rFonts w:hint="eastAsia" w:ascii="宋体" w:hAnsi="宋体" w:cs="宋体"/>
          <w:color w:val="auto"/>
          <w:sz w:val="24"/>
          <w:szCs w:val="32"/>
          <w:highlight w:val="none"/>
        </w:rPr>
        <w:t>。供应商应当在法定质疑期内一次性提出针对同一采购程序环节的质疑。具体质疑起算时间如下：</w:t>
      </w:r>
    </w:p>
    <w:p w14:paraId="2ECAAC96">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（1）对可以质疑的谈判文件提出质疑的，为获取谈判文件之日；</w:t>
      </w:r>
    </w:p>
    <w:p w14:paraId="5E183D07">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（2）对采购过程提出质疑的，为各采购程序环节结束之日；</w:t>
      </w:r>
    </w:p>
    <w:p w14:paraId="4649DA14">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（3）对成交结果提出质疑的，为成交结果公告期限届满之日。</w:t>
      </w:r>
    </w:p>
    <w:p w14:paraId="54DB91E9">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3335126">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31.4供应商提出质疑应当提交质疑函和必要的证明材料，针对同一采购程序环节的质疑必须在法定质疑期内一次性提出。质疑函应当包括下列内容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4"/>
          <w:szCs w:val="32"/>
          <w:highlight w:val="none"/>
        </w:rPr>
        <w:t>（质疑函格式后附）</w:t>
      </w:r>
      <w:r>
        <w:rPr>
          <w:rFonts w:hint="eastAsia" w:ascii="宋体" w:hAnsi="宋体" w:cs="宋体"/>
          <w:color w:val="auto"/>
          <w:sz w:val="24"/>
          <w:szCs w:val="32"/>
          <w:highlight w:val="none"/>
        </w:rPr>
        <w:t>：</w:t>
      </w:r>
    </w:p>
    <w:p w14:paraId="35F8E6D6">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（1）供应商的姓名或者名称、地址、邮编、联系人及联系电话；</w:t>
      </w:r>
    </w:p>
    <w:p w14:paraId="19F02E34">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（2）质疑项目的名称、编号；</w:t>
      </w:r>
    </w:p>
    <w:p w14:paraId="2E25B8B3">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（3）具体、明确的质疑事项和与质疑事项相关的请求；</w:t>
      </w:r>
    </w:p>
    <w:p w14:paraId="5E340BB4">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（4）事实依据；</w:t>
      </w:r>
    </w:p>
    <w:p w14:paraId="038A3CDC">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（5）必要的法律依据；</w:t>
      </w:r>
    </w:p>
    <w:p w14:paraId="467757BF">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（6）提出质疑的日期。</w:t>
      </w:r>
    </w:p>
    <w:p w14:paraId="02633D62">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供应商为自然人的，应当由本人签字；供应商为法人或者其他组织的，应当由法定代表人、主要负责人，或者其委托代理人签字或者盖章，并加盖公章。</w:t>
      </w:r>
    </w:p>
    <w:p w14:paraId="3714FBD7">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31.5采购人、采购代理机构认为供应商质疑不成立，或者成立但未对成交结果构成影响的，继续开展采购活动；认为供应商质疑成立且影响或者可能影响成交结果的，按照下列情况处理：</w:t>
      </w:r>
    </w:p>
    <w:p w14:paraId="12818F74">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（1）对采购文件提出的质疑，依法通过澄清或者修改可以继续开展采购活动的，澄清或者修改采购文件后继续开展采购活动；否则应当修改采购文件后重新开展采购活动。</w:t>
      </w:r>
    </w:p>
    <w:p w14:paraId="5AC86657">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（2）对采购过程或者成交结果提出的质疑，合格供应商符合法定数量时，可以从合格的成交候选人中另行确定成交供应商的，应当依法另行确定成交供应商；否则应当重新开展采购活动。</w:t>
      </w:r>
    </w:p>
    <w:p w14:paraId="5CFCBDC8">
      <w:pPr>
        <w:spacing w:line="360"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质疑答复导致成交结果改变的，采购人或者采购代理机构应当将有关情况书面报告本级财政部门。</w:t>
      </w:r>
    </w:p>
    <w:p w14:paraId="44F54FFC">
      <w:pPr>
        <w:spacing w:line="360" w:lineRule="auto"/>
        <w:ind w:firstLine="480" w:firstLineChars="200"/>
        <w:rPr>
          <w:rFonts w:hint="eastAsia" w:ascii="宋体" w:hAnsi="宋体" w:cs="宋体"/>
          <w:b/>
          <w:bCs/>
          <w:color w:val="auto"/>
          <w:sz w:val="24"/>
          <w:highlight w:val="none"/>
        </w:rPr>
      </w:pPr>
      <w:r>
        <w:rPr>
          <w:rFonts w:hint="eastAsia" w:ascii="宋体" w:hAnsi="宋体" w:cs="宋体"/>
          <w:color w:val="auto"/>
          <w:sz w:val="24"/>
          <w:szCs w:val="32"/>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0A95B6A">
      <w:pPr>
        <w:spacing w:line="360" w:lineRule="auto"/>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32.其他内容</w:t>
      </w:r>
    </w:p>
    <w:p w14:paraId="1CF50380">
      <w:pPr>
        <w:tabs>
          <w:tab w:val="left" w:pos="2835"/>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32.1代理服务费：代理服务收取标准及缴费账户详见“供应商须知前附表”，供应商为联合体的，可以由联合体中的一方或者多方共同交纳代理服务费。</w:t>
      </w:r>
    </w:p>
    <w:p w14:paraId="6B2126C1">
      <w:pPr>
        <w:tabs>
          <w:tab w:val="left" w:pos="2835"/>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32.2代理服务费收费计算标准：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FD4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0EA7DF6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费率</w:t>
            </w:r>
          </w:p>
          <w:p w14:paraId="348B01AC">
            <w:pPr>
              <w:spacing w:line="360" w:lineRule="auto"/>
              <w:rPr>
                <w:rFonts w:hint="eastAsia" w:ascii="宋体" w:hAnsi="宋体" w:cs="宋体"/>
                <w:color w:val="auto"/>
                <w:sz w:val="24"/>
                <w:highlight w:val="none"/>
              </w:rPr>
            </w:pPr>
            <w:r>
              <w:rPr>
                <w:rFonts w:hint="eastAsia" w:ascii="宋体" w:hAnsi="宋体" w:cs="宋体"/>
                <w:color w:val="auto"/>
                <w:sz w:val="24"/>
                <w:highlight w:val="none"/>
              </w:rPr>
              <w:t>金额</w:t>
            </w:r>
          </w:p>
        </w:tc>
        <w:tc>
          <w:tcPr>
            <w:tcW w:w="1659" w:type="dxa"/>
            <w:vAlign w:val="center"/>
          </w:tcPr>
          <w:p w14:paraId="6B8EB68F">
            <w:pPr>
              <w:spacing w:line="360" w:lineRule="auto"/>
              <w:ind w:firstLine="120" w:firstLineChars="50"/>
              <w:jc w:val="center"/>
              <w:rPr>
                <w:rFonts w:hint="eastAsia" w:ascii="宋体" w:hAnsi="宋体" w:cs="宋体"/>
                <w:color w:val="auto"/>
                <w:sz w:val="24"/>
                <w:highlight w:val="none"/>
              </w:rPr>
            </w:pPr>
            <w:r>
              <w:rPr>
                <w:rFonts w:hint="eastAsia" w:ascii="宋体" w:hAnsi="宋体" w:cs="宋体"/>
                <w:color w:val="auto"/>
                <w:sz w:val="24"/>
                <w:highlight w:val="none"/>
              </w:rPr>
              <w:t>货物类</w:t>
            </w:r>
          </w:p>
        </w:tc>
        <w:tc>
          <w:tcPr>
            <w:tcW w:w="1532" w:type="dxa"/>
            <w:vAlign w:val="center"/>
          </w:tcPr>
          <w:p w14:paraId="61082B5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服务类</w:t>
            </w:r>
          </w:p>
        </w:tc>
        <w:tc>
          <w:tcPr>
            <w:tcW w:w="1546" w:type="dxa"/>
            <w:vAlign w:val="center"/>
          </w:tcPr>
          <w:p w14:paraId="6FA00E1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工程类</w:t>
            </w:r>
          </w:p>
        </w:tc>
      </w:tr>
      <w:tr w14:paraId="3A89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E3466D6">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100万元以下</w:t>
            </w:r>
          </w:p>
        </w:tc>
        <w:tc>
          <w:tcPr>
            <w:tcW w:w="1659" w:type="dxa"/>
          </w:tcPr>
          <w:p w14:paraId="1F9EBEC6">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1.5%</w:t>
            </w:r>
          </w:p>
        </w:tc>
        <w:tc>
          <w:tcPr>
            <w:tcW w:w="1532" w:type="dxa"/>
          </w:tcPr>
          <w:p w14:paraId="6205B99E">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1.5%</w:t>
            </w:r>
          </w:p>
        </w:tc>
        <w:tc>
          <w:tcPr>
            <w:tcW w:w="1546" w:type="dxa"/>
          </w:tcPr>
          <w:p w14:paraId="1A9C508E">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w:t>
            </w:r>
          </w:p>
        </w:tc>
      </w:tr>
      <w:tr w14:paraId="10FC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F086806">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100～500万元</w:t>
            </w:r>
          </w:p>
        </w:tc>
        <w:tc>
          <w:tcPr>
            <w:tcW w:w="1659" w:type="dxa"/>
          </w:tcPr>
          <w:p w14:paraId="1EE0EED1">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1.1%</w:t>
            </w:r>
          </w:p>
        </w:tc>
        <w:tc>
          <w:tcPr>
            <w:tcW w:w="1532" w:type="dxa"/>
          </w:tcPr>
          <w:p w14:paraId="269EB3B7">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0.8%</w:t>
            </w:r>
          </w:p>
        </w:tc>
        <w:tc>
          <w:tcPr>
            <w:tcW w:w="1546" w:type="dxa"/>
          </w:tcPr>
          <w:p w14:paraId="15088231">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0.7%</w:t>
            </w:r>
          </w:p>
        </w:tc>
      </w:tr>
      <w:tr w14:paraId="26B4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ACCC2C7">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500～1000万元</w:t>
            </w:r>
          </w:p>
        </w:tc>
        <w:tc>
          <w:tcPr>
            <w:tcW w:w="1659" w:type="dxa"/>
          </w:tcPr>
          <w:p w14:paraId="4DCBEB1E">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0.8%</w:t>
            </w:r>
          </w:p>
        </w:tc>
        <w:tc>
          <w:tcPr>
            <w:tcW w:w="1532" w:type="dxa"/>
          </w:tcPr>
          <w:p w14:paraId="6712BB1E">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0.45%</w:t>
            </w:r>
          </w:p>
        </w:tc>
        <w:tc>
          <w:tcPr>
            <w:tcW w:w="1546" w:type="dxa"/>
          </w:tcPr>
          <w:p w14:paraId="1B14DC66">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0.55%</w:t>
            </w:r>
          </w:p>
        </w:tc>
      </w:tr>
      <w:tr w14:paraId="69EE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3A4BB01">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1000～5000万元</w:t>
            </w:r>
          </w:p>
        </w:tc>
        <w:tc>
          <w:tcPr>
            <w:tcW w:w="1659" w:type="dxa"/>
          </w:tcPr>
          <w:p w14:paraId="09586D70">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0.5%</w:t>
            </w:r>
          </w:p>
        </w:tc>
        <w:tc>
          <w:tcPr>
            <w:tcW w:w="1532" w:type="dxa"/>
          </w:tcPr>
          <w:p w14:paraId="71AE0B45">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0.25%</w:t>
            </w:r>
          </w:p>
        </w:tc>
        <w:tc>
          <w:tcPr>
            <w:tcW w:w="1546" w:type="dxa"/>
          </w:tcPr>
          <w:p w14:paraId="6277E2DF">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0.35%</w:t>
            </w:r>
          </w:p>
        </w:tc>
      </w:tr>
      <w:tr w14:paraId="0A23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7CF18AA">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5000万元～1亿元</w:t>
            </w:r>
          </w:p>
        </w:tc>
        <w:tc>
          <w:tcPr>
            <w:tcW w:w="1659" w:type="dxa"/>
          </w:tcPr>
          <w:p w14:paraId="105F5575">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0.25%</w:t>
            </w:r>
          </w:p>
        </w:tc>
        <w:tc>
          <w:tcPr>
            <w:tcW w:w="1532" w:type="dxa"/>
          </w:tcPr>
          <w:p w14:paraId="0124D8B8">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0.1%</w:t>
            </w:r>
          </w:p>
        </w:tc>
        <w:tc>
          <w:tcPr>
            <w:tcW w:w="1546" w:type="dxa"/>
          </w:tcPr>
          <w:p w14:paraId="7F9524CC">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0.2%</w:t>
            </w:r>
          </w:p>
        </w:tc>
      </w:tr>
      <w:tr w14:paraId="02B0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983FA34">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1～5亿元</w:t>
            </w:r>
          </w:p>
        </w:tc>
        <w:tc>
          <w:tcPr>
            <w:tcW w:w="1659" w:type="dxa"/>
          </w:tcPr>
          <w:p w14:paraId="12E67D96">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0.05%</w:t>
            </w:r>
          </w:p>
        </w:tc>
        <w:tc>
          <w:tcPr>
            <w:tcW w:w="1532" w:type="dxa"/>
          </w:tcPr>
          <w:p w14:paraId="519DAAEC">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0.05%</w:t>
            </w:r>
          </w:p>
        </w:tc>
        <w:tc>
          <w:tcPr>
            <w:tcW w:w="1546" w:type="dxa"/>
          </w:tcPr>
          <w:p w14:paraId="13A8B057">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0.05%</w:t>
            </w:r>
          </w:p>
        </w:tc>
      </w:tr>
      <w:tr w14:paraId="3018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851F74D">
            <w:pPr>
              <w:spacing w:line="460" w:lineRule="exact"/>
              <w:jc w:val="center"/>
              <w:rPr>
                <w:rFonts w:hint="eastAsia" w:ascii="宋体" w:hAnsi="宋体" w:cs="宋体"/>
                <w:color w:val="auto"/>
                <w:sz w:val="24"/>
                <w:highlight w:val="none"/>
              </w:rPr>
            </w:pPr>
            <w:r>
              <w:rPr>
                <w:rFonts w:hint="eastAsia" w:ascii="宋体" w:hAnsi="宋体" w:cs="宋体"/>
                <w:color w:val="auto"/>
                <w:sz w:val="24"/>
                <w:highlight w:val="none"/>
              </w:rPr>
              <w:t>5～10亿元</w:t>
            </w:r>
          </w:p>
        </w:tc>
        <w:tc>
          <w:tcPr>
            <w:tcW w:w="1659" w:type="dxa"/>
          </w:tcPr>
          <w:p w14:paraId="694CB21B">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0.035%</w:t>
            </w:r>
          </w:p>
        </w:tc>
        <w:tc>
          <w:tcPr>
            <w:tcW w:w="1532" w:type="dxa"/>
          </w:tcPr>
          <w:p w14:paraId="78A64C51">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0.035%</w:t>
            </w:r>
          </w:p>
        </w:tc>
        <w:tc>
          <w:tcPr>
            <w:tcW w:w="1546" w:type="dxa"/>
          </w:tcPr>
          <w:p w14:paraId="2737911B">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0.035%</w:t>
            </w:r>
          </w:p>
        </w:tc>
      </w:tr>
      <w:tr w14:paraId="129E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6BCADE3">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10～50亿元</w:t>
            </w:r>
          </w:p>
        </w:tc>
        <w:tc>
          <w:tcPr>
            <w:tcW w:w="1659" w:type="dxa"/>
          </w:tcPr>
          <w:p w14:paraId="37D38E05">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0.008%</w:t>
            </w:r>
          </w:p>
        </w:tc>
        <w:tc>
          <w:tcPr>
            <w:tcW w:w="1532" w:type="dxa"/>
          </w:tcPr>
          <w:p w14:paraId="1968D7A2">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0.008%</w:t>
            </w:r>
          </w:p>
        </w:tc>
        <w:tc>
          <w:tcPr>
            <w:tcW w:w="1546" w:type="dxa"/>
          </w:tcPr>
          <w:p w14:paraId="7E170A17">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0.008%</w:t>
            </w:r>
          </w:p>
        </w:tc>
      </w:tr>
      <w:tr w14:paraId="4393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45957F3">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50～100亿元</w:t>
            </w:r>
          </w:p>
        </w:tc>
        <w:tc>
          <w:tcPr>
            <w:tcW w:w="1659" w:type="dxa"/>
          </w:tcPr>
          <w:p w14:paraId="35697895">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0.006%</w:t>
            </w:r>
          </w:p>
        </w:tc>
        <w:tc>
          <w:tcPr>
            <w:tcW w:w="1532" w:type="dxa"/>
          </w:tcPr>
          <w:p w14:paraId="30AEEAF1">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0.006%</w:t>
            </w:r>
          </w:p>
        </w:tc>
        <w:tc>
          <w:tcPr>
            <w:tcW w:w="1546" w:type="dxa"/>
          </w:tcPr>
          <w:p w14:paraId="38D52559">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0.006%</w:t>
            </w:r>
          </w:p>
        </w:tc>
      </w:tr>
      <w:tr w14:paraId="1142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632E3A4">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100亿以上</w:t>
            </w:r>
          </w:p>
        </w:tc>
        <w:tc>
          <w:tcPr>
            <w:tcW w:w="1659" w:type="dxa"/>
          </w:tcPr>
          <w:p w14:paraId="6EC10821">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0.004%</w:t>
            </w:r>
          </w:p>
        </w:tc>
        <w:tc>
          <w:tcPr>
            <w:tcW w:w="1532" w:type="dxa"/>
          </w:tcPr>
          <w:p w14:paraId="657FA7D3">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0.004%</w:t>
            </w:r>
          </w:p>
        </w:tc>
        <w:tc>
          <w:tcPr>
            <w:tcW w:w="1546" w:type="dxa"/>
          </w:tcPr>
          <w:p w14:paraId="2E5AF3F8">
            <w:pPr>
              <w:spacing w:line="4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0.004%</w:t>
            </w:r>
          </w:p>
        </w:tc>
      </w:tr>
    </w:tbl>
    <w:p w14:paraId="03C82B3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注： </w:t>
      </w:r>
    </w:p>
    <w:p w14:paraId="72FA543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（1）按本表费率计算的收费为采购代理的收费基准价格；</w:t>
      </w:r>
    </w:p>
    <w:p w14:paraId="05438A1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（2）采购代理收费按差额定率累进法计算。</w:t>
      </w:r>
    </w:p>
    <w:p w14:paraId="17BCD4C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例如：某货物采购代理业务成交金额或者暂定价为150万元，计算采购代理收费额如下：</w:t>
      </w:r>
    </w:p>
    <w:p w14:paraId="65DB831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100 万元 ×l.5 %＝ 1.5 万元</w:t>
      </w:r>
    </w:p>
    <w:p w14:paraId="160D2B3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 150 － 100 ）万元 ×1.1%＝ 0.55 万元</w:t>
      </w:r>
    </w:p>
    <w:p w14:paraId="206A6E8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合计收费＝ 1.5 ＋ 0.55＝ 2.05 （万元）</w:t>
      </w:r>
    </w:p>
    <w:p w14:paraId="78D513F9">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33. 需要补充的其他内容</w:t>
      </w:r>
    </w:p>
    <w:p w14:paraId="7DBF8298">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33.1本谈判文件解释规则详见“供应商须知前附表”。</w:t>
      </w:r>
    </w:p>
    <w:p w14:paraId="3412A0C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kern w:val="0"/>
          <w:sz w:val="24"/>
          <w:highlight w:val="none"/>
        </w:rPr>
        <w:t>33.2 其他事</w:t>
      </w:r>
      <w:r>
        <w:rPr>
          <w:rFonts w:hint="eastAsia" w:ascii="宋体" w:hAnsi="宋体" w:cs="宋体"/>
          <w:color w:val="auto"/>
          <w:sz w:val="24"/>
          <w:highlight w:val="none"/>
        </w:rPr>
        <w:t>项详见“供应商须知前附表”。</w:t>
      </w:r>
    </w:p>
    <w:p w14:paraId="4ED6C9FC">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33.3</w:t>
      </w:r>
      <w:bookmarkStart w:id="29" w:name="_Hlk65857140"/>
      <w:r>
        <w:rPr>
          <w:rFonts w:hint="eastAsia" w:hAnsi="宋体" w:cs="宋体"/>
          <w:color w:val="auto"/>
          <w:sz w:val="24"/>
          <w:szCs w:val="24"/>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119A95C4">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（1）在货物采购项目中，货物由中小企业制造，即货物由中小企业生产且使用该中小企业商号或者注册商标，不对其中涉及的工程承建商和服务的承接商作出要求；</w:t>
      </w:r>
    </w:p>
    <w:p w14:paraId="24B98967">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（2）在工程采购项目中，工程由中小企业承建，即工程施工单位为中小企业，不对其中涉及的货物的制造商和服务的承接商作出要求；</w:t>
      </w:r>
    </w:p>
    <w:p w14:paraId="074ABA48">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34606AA">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11FD4B5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依据本谈判文件规定享受扶持政策获得政府采购合同的，小微企业不得将合同分包给大中型企业，中型企业不得将合同分包给大型企业。</w:t>
      </w:r>
      <w:bookmarkEnd w:id="29"/>
    </w:p>
    <w:p w14:paraId="7C13085A">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sz w:val="24"/>
          <w:szCs w:val="24"/>
          <w:highlight w:val="none"/>
          <w:lang w:val="en-US" w:eastAsia="zh-CN"/>
        </w:rPr>
        <w:t>34.4</w:t>
      </w:r>
      <w:r>
        <w:rPr>
          <w:rFonts w:hint="eastAsia" w:ascii="宋体" w:hAnsi="宋体" w:cs="宋体"/>
          <w:color w:val="auto"/>
          <w:kern w:val="0"/>
          <w:sz w:val="24"/>
          <w:szCs w:val="24"/>
          <w:highlight w:val="none"/>
        </w:rPr>
        <w:t xml:space="preserve">依据《国务院办公厅关于在政府采购中实施本国产品标准及相关政策的通知》（国办发〔2025〕34 号）及《财政部和工业和信息化部关于贯彻落实&lt;国务院办公厅关于在政府采购中实施本国产品标准及相关政策的通知&gt;的意见》（财库〔2025〕30 号）等相关规定，对本国产品的支持政策。 </w:t>
      </w:r>
    </w:p>
    <w:p w14:paraId="16382AA3">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（1）本国产品标准的适用范围 </w:t>
      </w:r>
    </w:p>
    <w:p w14:paraId="70D8A272">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E914BFE">
      <w:pPr>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（2）对本国产品的支持政策 </w:t>
      </w:r>
    </w:p>
    <w:p w14:paraId="0A0A13F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政府采购活动中既有本国产品又有非本国产品参与竞争的，依法对本国产品给予价格评审优惠，对本国产品的报价给予 20%的价格扣除，用扣除后的价格参与评审。</w:t>
      </w:r>
    </w:p>
    <w:p w14:paraId="54B5D099">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 </w:t>
      </w:r>
    </w:p>
    <w:p w14:paraId="0533CFFE">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（3）本国产品应当符合以下条件：</w:t>
      </w:r>
    </w:p>
    <w:p w14:paraId="4907C2C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①在中国境内生产</w:t>
      </w:r>
    </w:p>
    <w:p w14:paraId="6F965A61">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产品应当在中国境内生产，即在中华人民共和国关境内实现从原材料、组件到产品的属性改变。</w:t>
      </w:r>
    </w:p>
    <w:p w14:paraId="0D9F5A69">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属性改变是指经过制造、加工或者组装等工序，产生完全不同于原材料、组件的新产品，并具有新的名称和特征（用途）。属性改变不包括以下细微操作：</w:t>
      </w:r>
    </w:p>
    <w:p w14:paraId="6DAFBB4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a.为确保产品在运输或者储存期间保持某种状态而进行的操作；</w:t>
      </w:r>
    </w:p>
    <w:p w14:paraId="6EF940F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b.为产品运输或者销售进行的包装或者展示；</w:t>
      </w:r>
    </w:p>
    <w:p w14:paraId="4C98EECE">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c.在产品或者其包装上粘贴或者印刷品牌、标志、标识以及其他用于区别的标记；</w:t>
      </w:r>
    </w:p>
    <w:p w14:paraId="1F0BC22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d.简单的上漆、磨光和分装；</w:t>
      </w:r>
    </w:p>
    <w:p w14:paraId="0A67CCF7">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e.其他不属于属性改变的情形。</w:t>
      </w:r>
    </w:p>
    <w:p w14:paraId="52B04EBB">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②在中国境内生产的组件成本占比达到规定比例</w:t>
      </w:r>
    </w:p>
    <w:p w14:paraId="4F2A5A9D">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产品在中国境内生产的组件成本占比应当达到规定比例，计算公式为：</w:t>
      </w:r>
    </w:p>
    <w:p w14:paraId="77021F7D">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rPr>
        <w:drawing>
          <wp:inline distT="0" distB="0" distL="114300" distR="114300">
            <wp:extent cx="2733675" cy="390525"/>
            <wp:effectExtent l="0" t="0" r="9525" b="9525"/>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13"/>
                    <a:stretch>
                      <a:fillRect/>
                    </a:stretch>
                  </pic:blipFill>
                  <pic:spPr>
                    <a:xfrm>
                      <a:off x="0" y="0"/>
                      <a:ext cx="2733675" cy="390525"/>
                    </a:xfrm>
                    <a:prstGeom prst="rect">
                      <a:avLst/>
                    </a:prstGeom>
                    <a:noFill/>
                    <a:ln w="9525">
                      <a:noFill/>
                    </a:ln>
                  </pic:spPr>
                </pic:pic>
              </a:graphicData>
            </a:graphic>
          </wp:inline>
        </w:drawing>
      </w:r>
    </w:p>
    <w:p w14:paraId="04D79FC4">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财政部会同有关行业主管部门，分产品确定在中国境内生产的组件成本占比应当达到的规定比例。在分产品的中国境内生产的组件成本占比相关要求实施前，符合34.4第①项条件的产品在政府采购活动中视同本国产品。</w:t>
      </w:r>
    </w:p>
    <w:p w14:paraId="01F4556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③特定产品的关键组件、关键工序符合相关要求</w:t>
      </w:r>
    </w:p>
    <w:p w14:paraId="52EDE0E3">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对特定产品，在符合34.4第①项和第②项条件的基础上，应当符合财政部会同有关行业主管部门确定的其关键组件、关键工序在中国境内生产、完成等要求。</w:t>
      </w:r>
    </w:p>
    <w:p w14:paraId="2AA7A107">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（4）认真审查有关证明文件。 </w:t>
      </w:r>
    </w:p>
    <w:p w14:paraId="2D82E916">
      <w:pPr>
        <w:spacing w:line="360" w:lineRule="auto"/>
        <w:ind w:firstLine="480" w:firstLineChars="200"/>
        <w:contextualSpacing/>
        <w:rPr>
          <w:rFonts w:hint="default" w:ascii="宋体" w:hAnsi="宋体" w:eastAsia="宋体" w:cs="宋体"/>
          <w:color w:val="auto"/>
          <w:sz w:val="24"/>
          <w:szCs w:val="24"/>
          <w:highlight w:val="none"/>
          <w:lang w:val="en-US" w:eastAsia="zh-CN"/>
        </w:rPr>
      </w:pPr>
      <w:r>
        <w:rPr>
          <w:rFonts w:hint="eastAsia" w:ascii="宋体" w:hAnsi="宋体"/>
          <w:color w:val="auto"/>
          <w:sz w:val="24"/>
          <w:szCs w:val="24"/>
          <w:highlight w:val="none"/>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03C19EFC">
      <w:pPr>
        <w:spacing w:line="360" w:lineRule="auto"/>
        <w:ind w:firstLine="480" w:firstLineChars="200"/>
        <w:contextualSpacing/>
        <w:rPr>
          <w:rFonts w:hint="eastAsia" w:ascii="宋体" w:hAnsi="宋体" w:cs="宋体"/>
          <w:color w:val="auto"/>
          <w:sz w:val="24"/>
          <w:highlight w:val="none"/>
        </w:rPr>
      </w:pPr>
    </w:p>
    <w:p w14:paraId="1CA76031">
      <w:pPr>
        <w:spacing w:line="360" w:lineRule="auto"/>
        <w:ind w:firstLine="480" w:firstLineChars="200"/>
        <w:contextualSpacing/>
        <w:rPr>
          <w:rFonts w:hint="eastAsia" w:ascii="宋体" w:hAnsi="宋体" w:cs="宋体"/>
          <w:color w:val="auto"/>
          <w:sz w:val="24"/>
          <w:highlight w:val="none"/>
        </w:rPr>
      </w:pPr>
    </w:p>
    <w:p w14:paraId="6C87F9F0">
      <w:pPr>
        <w:pStyle w:val="2"/>
        <w:spacing w:before="0" w:after="0" w:line="360" w:lineRule="auto"/>
        <w:jc w:val="center"/>
        <w:rPr>
          <w:rFonts w:hint="eastAsia" w:ascii="宋体" w:hAnsi="宋体" w:cs="宋体"/>
          <w:color w:val="auto"/>
          <w:sz w:val="32"/>
          <w:szCs w:val="32"/>
          <w:highlight w:val="none"/>
        </w:rPr>
      </w:pPr>
      <w:r>
        <w:rPr>
          <w:rFonts w:hint="eastAsia" w:ascii="宋体" w:hAnsi="宋体" w:cs="宋体"/>
          <w:bCs w:val="0"/>
          <w:color w:val="auto"/>
          <w:sz w:val="24"/>
          <w:szCs w:val="24"/>
          <w:highlight w:val="none"/>
        </w:rPr>
        <w:br w:type="page"/>
      </w:r>
      <w:bookmarkStart w:id="30" w:name="_Toc23210"/>
      <w:bookmarkStart w:id="31" w:name="_Toc74322010"/>
      <w:r>
        <w:rPr>
          <w:rFonts w:hint="eastAsia" w:ascii="宋体" w:hAnsi="宋体" w:cs="宋体"/>
          <w:color w:val="auto"/>
          <w:highlight w:val="none"/>
        </w:rPr>
        <w:t>第三章 采购需求</w:t>
      </w:r>
      <w:bookmarkEnd w:id="30"/>
      <w:bookmarkEnd w:id="31"/>
    </w:p>
    <w:p w14:paraId="4A2E5323">
      <w:pPr>
        <w:spacing w:line="360" w:lineRule="auto"/>
        <w:jc w:val="left"/>
        <w:rPr>
          <w:rFonts w:hint="eastAsia" w:ascii="宋体" w:hAnsi="宋体" w:cs="宋体"/>
          <w:bCs/>
          <w:color w:val="auto"/>
          <w:sz w:val="24"/>
          <w:highlight w:val="none"/>
        </w:rPr>
      </w:pPr>
      <w:bookmarkStart w:id="32" w:name="_Toc74322011"/>
      <w:r>
        <w:rPr>
          <w:rFonts w:hint="eastAsia" w:ascii="宋体" w:hAnsi="宋体" w:cs="宋体"/>
          <w:bCs/>
          <w:color w:val="auto"/>
          <w:sz w:val="24"/>
          <w:highlight w:val="none"/>
        </w:rPr>
        <w:t>说明：</w:t>
      </w:r>
    </w:p>
    <w:p w14:paraId="515E644B">
      <w:pPr>
        <w:spacing w:line="360" w:lineRule="auto"/>
        <w:ind w:left="-10" w:leftChars="-5" w:right="2" w:rightChars="1" w:firstLine="480" w:firstLineChars="200"/>
        <w:rPr>
          <w:bCs/>
          <w:color w:val="auto"/>
          <w:sz w:val="24"/>
          <w:highlight w:val="none"/>
        </w:rPr>
      </w:pPr>
      <w:r>
        <w:rPr>
          <w:bCs/>
          <w:color w:val="auto"/>
          <w:sz w:val="24"/>
          <w:highlight w:val="none"/>
        </w:rPr>
        <w:t>1、采购需求中如出现品牌、型号或者生产厂家等均仅起参考作用，不属于指定品牌、型号或者生产厂家的情形，</w:t>
      </w:r>
      <w:r>
        <w:rPr>
          <w:rFonts w:hint="eastAsia"/>
          <w:bCs/>
          <w:color w:val="auto"/>
          <w:sz w:val="24"/>
          <w:highlight w:val="none"/>
        </w:rPr>
        <w:t>竞标</w:t>
      </w:r>
      <w:r>
        <w:rPr>
          <w:bCs/>
          <w:color w:val="auto"/>
          <w:sz w:val="24"/>
          <w:highlight w:val="none"/>
        </w:rPr>
        <w:t>人可参照或者选用其他相当的品牌、型号或者生产供应商替代。但</w:t>
      </w:r>
      <w:r>
        <w:rPr>
          <w:rFonts w:hint="eastAsia"/>
          <w:bCs/>
          <w:color w:val="auto"/>
          <w:sz w:val="24"/>
          <w:highlight w:val="none"/>
        </w:rPr>
        <w:t>竞标</w:t>
      </w:r>
      <w:r>
        <w:rPr>
          <w:bCs/>
          <w:color w:val="auto"/>
          <w:sz w:val="24"/>
          <w:highlight w:val="none"/>
        </w:rPr>
        <w:t>人的产品实质上应相当于或优于本需求中的技术要求。</w:t>
      </w:r>
    </w:p>
    <w:p w14:paraId="5F5BE196">
      <w:pPr>
        <w:spacing w:line="360" w:lineRule="auto"/>
        <w:ind w:left="-10" w:leftChars="-5" w:right="2" w:rightChars="1" w:firstLine="480" w:firstLineChars="200"/>
        <w:rPr>
          <w:bCs/>
          <w:color w:val="auto"/>
          <w:sz w:val="24"/>
          <w:highlight w:val="none"/>
        </w:rPr>
      </w:pPr>
      <w:r>
        <w:rPr>
          <w:bCs/>
          <w:color w:val="auto"/>
          <w:sz w:val="24"/>
          <w:highlight w:val="none"/>
        </w:rPr>
        <w:t>2、凡在“技术要求”中表述为“标配”或“标准配置”的设备，</w:t>
      </w:r>
      <w:r>
        <w:rPr>
          <w:rFonts w:hint="eastAsia"/>
          <w:bCs/>
          <w:color w:val="auto"/>
          <w:sz w:val="24"/>
          <w:highlight w:val="none"/>
        </w:rPr>
        <w:t>竞标</w:t>
      </w:r>
      <w:r>
        <w:rPr>
          <w:bCs/>
          <w:color w:val="auto"/>
          <w:sz w:val="24"/>
          <w:highlight w:val="none"/>
        </w:rPr>
        <w:t>人应在</w:t>
      </w:r>
      <w:r>
        <w:rPr>
          <w:rFonts w:hint="eastAsia"/>
          <w:bCs/>
          <w:color w:val="auto"/>
          <w:sz w:val="24"/>
          <w:highlight w:val="none"/>
        </w:rPr>
        <w:t>竞标</w:t>
      </w:r>
      <w:r>
        <w:rPr>
          <w:bCs/>
          <w:color w:val="auto"/>
          <w:sz w:val="24"/>
          <w:highlight w:val="none"/>
        </w:rPr>
        <w:t>设备性能配置清单中将其标配参数详细列明。</w:t>
      </w:r>
    </w:p>
    <w:p w14:paraId="473B86A2">
      <w:pPr>
        <w:spacing w:line="360" w:lineRule="auto"/>
        <w:ind w:left="-10" w:leftChars="-5" w:right="2" w:rightChars="1" w:firstLine="480" w:firstLineChars="200"/>
        <w:rPr>
          <w:bCs/>
          <w:color w:val="auto"/>
          <w:sz w:val="24"/>
          <w:highlight w:val="none"/>
        </w:rPr>
      </w:pPr>
      <w:r>
        <w:rPr>
          <w:bCs/>
          <w:color w:val="auto"/>
          <w:sz w:val="24"/>
          <w:highlight w:val="none"/>
        </w:rPr>
        <w:t>3、</w:t>
      </w:r>
      <w:r>
        <w:rPr>
          <w:rFonts w:hint="eastAsia"/>
          <w:bCs/>
          <w:color w:val="auto"/>
          <w:sz w:val="24"/>
          <w:highlight w:val="none"/>
        </w:rPr>
        <w:t>根据《财政部 发展改革委 生态环境部 市场监管总局关于调整优化节能产品、环境标志产品政府采购执行机制的通知》（财库〔2019〕9号）和《关于印发节能产品政府采购品目清单的通知》（财库〔2019〕19号）的规定，</w:t>
      </w:r>
      <w:r>
        <w:rPr>
          <w:rFonts w:hint="eastAsia"/>
          <w:b/>
          <w:color w:val="auto"/>
          <w:sz w:val="24"/>
          <w:highlight w:val="none"/>
        </w:rPr>
        <w:t>采购需求中的产品属于节能产品政府采购品目清单内标注“★”的，供应商必须在响应文件中提供所竞标产品</w:t>
      </w:r>
      <w:r>
        <w:rPr>
          <w:rFonts w:hint="eastAsia"/>
          <w:b/>
          <w:color w:val="auto"/>
          <w:sz w:val="24"/>
          <w:highlight w:val="none"/>
          <w:lang w:val="en-US" w:eastAsia="zh-CN"/>
        </w:rPr>
        <w:t>有效</w:t>
      </w:r>
      <w:r>
        <w:rPr>
          <w:rFonts w:hint="eastAsia"/>
          <w:b/>
          <w:color w:val="auto"/>
          <w:sz w:val="24"/>
          <w:highlight w:val="none"/>
        </w:rPr>
        <w:t>的节能产品认证证书复印件</w:t>
      </w:r>
      <w:r>
        <w:rPr>
          <w:rFonts w:hint="eastAsia"/>
          <w:b/>
          <w:color w:val="auto"/>
          <w:sz w:val="24"/>
          <w:highlight w:val="none"/>
          <w:lang w:eastAsia="zh-CN"/>
        </w:rPr>
        <w:t>（节能产品认证需为有效期内、国家认监委批准机构出具的认证证书）</w:t>
      </w:r>
      <w:r>
        <w:rPr>
          <w:rFonts w:hint="eastAsia"/>
          <w:b/>
          <w:color w:val="auto"/>
          <w:sz w:val="24"/>
          <w:highlight w:val="none"/>
        </w:rPr>
        <w:t>（加盖供应商电子签章）</w:t>
      </w:r>
      <w:r>
        <w:rPr>
          <w:rFonts w:hint="eastAsia"/>
          <w:bCs/>
          <w:color w:val="auto"/>
          <w:sz w:val="24"/>
          <w:highlight w:val="none"/>
        </w:rPr>
        <w:t xml:space="preserve">，否则响应文件按无效处理。如本项目包含的货物属于品目清单内非标注“★”的产品时，应优先采购，具体详见“第四章 </w:t>
      </w:r>
      <w:r>
        <w:rPr>
          <w:rFonts w:hint="eastAsia"/>
          <w:bCs/>
          <w:color w:val="auto"/>
          <w:sz w:val="24"/>
          <w:highlight w:val="none"/>
          <w:lang w:eastAsia="zh-CN"/>
        </w:rPr>
        <w:t>评审程序、评审方法和成交标准</w:t>
      </w:r>
      <w:r>
        <w:rPr>
          <w:rFonts w:hint="eastAsia"/>
          <w:bCs/>
          <w:color w:val="auto"/>
          <w:sz w:val="24"/>
          <w:highlight w:val="none"/>
        </w:rPr>
        <w:t>”。</w:t>
      </w:r>
    </w:p>
    <w:p w14:paraId="254D2475">
      <w:pPr>
        <w:spacing w:line="360" w:lineRule="auto"/>
        <w:ind w:left="-10" w:leftChars="-5" w:right="2" w:rightChars="1" w:firstLine="480" w:firstLineChars="200"/>
        <w:rPr>
          <w:bCs/>
          <w:color w:val="auto"/>
          <w:sz w:val="24"/>
          <w:highlight w:val="none"/>
        </w:rPr>
      </w:pPr>
      <w:r>
        <w:rPr>
          <w:bCs/>
          <w:color w:val="auto"/>
          <w:sz w:val="24"/>
          <w:highlight w:val="none"/>
        </w:rPr>
        <w:t>4、如</w:t>
      </w:r>
      <w:r>
        <w:rPr>
          <w:rFonts w:hint="eastAsia"/>
          <w:bCs/>
          <w:color w:val="auto"/>
          <w:sz w:val="24"/>
          <w:highlight w:val="none"/>
        </w:rPr>
        <w:t>竞标</w:t>
      </w:r>
      <w:r>
        <w:rPr>
          <w:bCs/>
          <w:color w:val="auto"/>
          <w:sz w:val="24"/>
          <w:highlight w:val="none"/>
        </w:rPr>
        <w:t>人</w:t>
      </w:r>
      <w:r>
        <w:rPr>
          <w:rFonts w:hint="eastAsia"/>
          <w:bCs/>
          <w:color w:val="auto"/>
          <w:sz w:val="24"/>
          <w:highlight w:val="none"/>
        </w:rPr>
        <w:t>竞标</w:t>
      </w:r>
      <w:r>
        <w:rPr>
          <w:bCs/>
          <w:color w:val="auto"/>
          <w:sz w:val="24"/>
          <w:highlight w:val="none"/>
        </w:rPr>
        <w:t>产品存在侵犯他人的知识产权或者专利成果行为的，由</w:t>
      </w:r>
      <w:r>
        <w:rPr>
          <w:rFonts w:hint="eastAsia"/>
          <w:bCs/>
          <w:color w:val="auto"/>
          <w:sz w:val="24"/>
          <w:highlight w:val="none"/>
        </w:rPr>
        <w:t>竞标</w:t>
      </w:r>
      <w:r>
        <w:rPr>
          <w:bCs/>
          <w:color w:val="auto"/>
          <w:sz w:val="24"/>
          <w:highlight w:val="none"/>
        </w:rPr>
        <w:t>人自行承担相应法律责任。</w:t>
      </w:r>
    </w:p>
    <w:p w14:paraId="25C847B9">
      <w:pPr>
        <w:spacing w:line="360" w:lineRule="auto"/>
        <w:ind w:left="-10" w:leftChars="-5" w:right="2" w:rightChars="1" w:firstLine="480" w:firstLineChars="200"/>
        <w:rPr>
          <w:bCs/>
          <w:color w:val="auto"/>
          <w:sz w:val="24"/>
          <w:highlight w:val="none"/>
        </w:rPr>
      </w:pPr>
      <w:r>
        <w:rPr>
          <w:bCs/>
          <w:color w:val="auto"/>
          <w:sz w:val="24"/>
          <w:highlight w:val="none"/>
        </w:rPr>
        <w:t>5、</w:t>
      </w:r>
      <w:r>
        <w:rPr>
          <w:rFonts w:hint="eastAsia"/>
          <w:bCs/>
          <w:color w:val="auto"/>
          <w:sz w:val="24"/>
          <w:highlight w:val="none"/>
        </w:rPr>
        <w:t>“实质性要求”是指采购需求中带“▲”的条款或者不能负偏离的条款或者已经指明不满足按响应文件作无效处理的条款。</w:t>
      </w:r>
    </w:p>
    <w:p w14:paraId="3B93DFE1">
      <w:pPr>
        <w:spacing w:line="360" w:lineRule="auto"/>
        <w:ind w:left="-10" w:leftChars="-5" w:right="2" w:rightChars="1" w:firstLine="480" w:firstLineChars="200"/>
        <w:rPr>
          <w:bCs/>
          <w:color w:val="auto"/>
          <w:sz w:val="24"/>
          <w:highlight w:val="none"/>
        </w:rPr>
      </w:pPr>
      <w:r>
        <w:rPr>
          <w:rFonts w:hint="eastAsia"/>
          <w:bCs/>
          <w:color w:val="auto"/>
          <w:sz w:val="24"/>
          <w:highlight w:val="none"/>
        </w:rPr>
        <w:t>6、所属行业依照《中小企业划型标准规定》（工信部联企业〔2011〕300号）及《国民经济行业分类》（GB/T4754-2017）的有关规定执行。</w:t>
      </w:r>
    </w:p>
    <w:tbl>
      <w:tblPr>
        <w:tblStyle w:val="27"/>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767"/>
        <w:gridCol w:w="417"/>
        <w:gridCol w:w="400"/>
        <w:gridCol w:w="6266"/>
        <w:gridCol w:w="934"/>
        <w:gridCol w:w="966"/>
      </w:tblGrid>
      <w:tr w14:paraId="3E17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exact"/>
        </w:trPr>
        <w:tc>
          <w:tcPr>
            <w:tcW w:w="10200" w:type="dxa"/>
            <w:gridSpan w:val="7"/>
            <w:vAlign w:val="center"/>
          </w:tcPr>
          <w:p w14:paraId="14AC5BD4">
            <w:pPr>
              <w:spacing w:line="24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技术要求</w:t>
            </w:r>
          </w:p>
        </w:tc>
      </w:tr>
      <w:tr w14:paraId="038B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exact"/>
        </w:trPr>
        <w:tc>
          <w:tcPr>
            <w:tcW w:w="450" w:type="dxa"/>
            <w:vAlign w:val="center"/>
          </w:tcPr>
          <w:p w14:paraId="4E4BF630">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767" w:type="dxa"/>
            <w:vAlign w:val="center"/>
          </w:tcPr>
          <w:p w14:paraId="51DA408B">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标的名称</w:t>
            </w:r>
          </w:p>
        </w:tc>
        <w:tc>
          <w:tcPr>
            <w:tcW w:w="417" w:type="dxa"/>
            <w:vAlign w:val="center"/>
          </w:tcPr>
          <w:p w14:paraId="4E358C98">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w:t>
            </w:r>
          </w:p>
        </w:tc>
        <w:tc>
          <w:tcPr>
            <w:tcW w:w="400" w:type="dxa"/>
            <w:vAlign w:val="center"/>
          </w:tcPr>
          <w:p w14:paraId="072994A2">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单位</w:t>
            </w:r>
          </w:p>
        </w:tc>
        <w:tc>
          <w:tcPr>
            <w:tcW w:w="6266" w:type="dxa"/>
            <w:vAlign w:val="center"/>
          </w:tcPr>
          <w:p w14:paraId="24055310">
            <w:pPr>
              <w:tabs>
                <w:tab w:val="center" w:pos="3502"/>
                <w:tab w:val="left" w:pos="6023"/>
              </w:tabs>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技术参数及性能（配置）要求</w:t>
            </w:r>
          </w:p>
        </w:tc>
        <w:tc>
          <w:tcPr>
            <w:tcW w:w="934" w:type="dxa"/>
            <w:vAlign w:val="center"/>
          </w:tcPr>
          <w:p w14:paraId="09ADE926">
            <w:pPr>
              <w:tabs>
                <w:tab w:val="center" w:pos="3502"/>
                <w:tab w:val="left" w:pos="6023"/>
              </w:tabs>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本项目采购标的所属行业</w:t>
            </w:r>
          </w:p>
        </w:tc>
        <w:tc>
          <w:tcPr>
            <w:tcW w:w="966" w:type="dxa"/>
            <w:vAlign w:val="center"/>
          </w:tcPr>
          <w:p w14:paraId="665ECA05">
            <w:pPr>
              <w:tabs>
                <w:tab w:val="center" w:pos="3502"/>
                <w:tab w:val="left" w:pos="6023"/>
              </w:tabs>
              <w:spacing w:line="240" w:lineRule="auto"/>
              <w:jc w:val="center"/>
              <w:rPr>
                <w:rFonts w:hint="default" w:asciiTheme="minorEastAsia" w:hAnsiTheme="minorEastAsia" w:eastAsiaTheme="minorEastAsia" w:cstheme="minorEastAsia"/>
                <w:b/>
                <w:bCs/>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单价限价（元）</w:t>
            </w:r>
          </w:p>
        </w:tc>
      </w:tr>
      <w:tr w14:paraId="5920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50" w:type="dxa"/>
            <w:vAlign w:val="center"/>
          </w:tcPr>
          <w:p w14:paraId="3ACDB018">
            <w:pPr>
              <w:widowControl/>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67" w:type="dxa"/>
            <w:vAlign w:val="center"/>
          </w:tcPr>
          <w:p w14:paraId="3DB0B31E">
            <w:pPr>
              <w:widowControl/>
              <w:spacing w:line="24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工业智能控制实训设备</w:t>
            </w:r>
          </w:p>
        </w:tc>
        <w:tc>
          <w:tcPr>
            <w:tcW w:w="417" w:type="dxa"/>
            <w:vAlign w:val="center"/>
          </w:tcPr>
          <w:p w14:paraId="6F37D1C9">
            <w:pPr>
              <w:widowControl/>
              <w:spacing w:line="240" w:lineRule="auto"/>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w:t>
            </w:r>
          </w:p>
        </w:tc>
        <w:tc>
          <w:tcPr>
            <w:tcW w:w="400" w:type="dxa"/>
            <w:vAlign w:val="center"/>
          </w:tcPr>
          <w:p w14:paraId="413665E3">
            <w:pPr>
              <w:widowControl/>
              <w:spacing w:line="24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套</w:t>
            </w:r>
          </w:p>
        </w:tc>
        <w:tc>
          <w:tcPr>
            <w:tcW w:w="6266" w:type="dxa"/>
            <w:vAlign w:val="center"/>
          </w:tcPr>
          <w:p w14:paraId="49B8B00B">
            <w:pPr>
              <w:numPr>
                <w:ilvl w:val="0"/>
                <w:numId w:val="0"/>
              </w:numPr>
              <w:spacing w:line="400" w:lineRule="exact"/>
              <w:ind w:leftChars="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规格型号</w:t>
            </w:r>
          </w:p>
          <w:p w14:paraId="6CCC1008">
            <w:pPr>
              <w:numPr>
                <w:ilvl w:val="0"/>
                <w:numId w:val="0"/>
              </w:num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1：工业智能控制实训设备</w:t>
            </w:r>
          </w:p>
          <w:p w14:paraId="5A6BD7BF">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w:t>
            </w:r>
            <w:r>
              <w:rPr>
                <w:rFonts w:hint="eastAsia" w:ascii="宋体" w:hAnsi="宋体" w:cs="宋体"/>
                <w:color w:val="auto"/>
                <w:szCs w:val="21"/>
                <w:highlight w:val="none"/>
                <w:lang w:val="en-US" w:eastAsia="zh-CN"/>
              </w:rPr>
              <w:t xml:space="preserve">▲系统由高功率X射线球管、光子计数型X射线探测器、机电控制系统、用户软件等子单元构成，能够实现工件的焊接质量检测，一次扫描可以获得透视、散射多种模式图像，能够实现待测工件任意选取位置的三维断层成像； </w:t>
            </w:r>
          </w:p>
          <w:p w14:paraId="7D142257">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2)</w:t>
            </w:r>
            <w:r>
              <w:rPr>
                <w:rFonts w:hint="eastAsia" w:ascii="宋体" w:hAnsi="宋体" w:cs="宋体"/>
                <w:color w:val="auto"/>
                <w:szCs w:val="21"/>
                <w:highlight w:val="none"/>
                <w:lang w:val="en-US" w:eastAsia="zh-CN"/>
              </w:rPr>
              <w:t>具备自屏蔽功能，设备工作时，在距离设备1m处的辐射剂量≤0.2uSv/h；</w:t>
            </w:r>
          </w:p>
          <w:p w14:paraId="63D0CA4D">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3)</w:t>
            </w:r>
            <w:r>
              <w:rPr>
                <w:rFonts w:hint="eastAsia" w:ascii="宋体" w:hAnsi="宋体" w:cs="宋体"/>
                <w:color w:val="auto"/>
                <w:szCs w:val="21"/>
                <w:highlight w:val="none"/>
                <w:lang w:val="en-US" w:eastAsia="zh-CN"/>
              </w:rPr>
              <w:t xml:space="preserve">外形尺寸≤1.5m（长）* 1.5m（宽） *2.0m（高）； </w:t>
            </w:r>
          </w:p>
          <w:p w14:paraId="51DFA8ED">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4)</w:t>
            </w:r>
            <w:r>
              <w:rPr>
                <w:rFonts w:hint="eastAsia" w:ascii="宋体" w:hAnsi="宋体" w:cs="宋体"/>
                <w:color w:val="auto"/>
                <w:szCs w:val="21"/>
                <w:highlight w:val="none"/>
                <w:lang w:val="en-US" w:eastAsia="zh-CN"/>
              </w:rPr>
              <w:t>设备工作温度[-5℃,40℃]，存储温度[-15℃,60℃]；</w:t>
            </w:r>
          </w:p>
          <w:p w14:paraId="4CC5F8F8">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5)</w:t>
            </w:r>
            <w:r>
              <w:rPr>
                <w:rFonts w:hint="eastAsia" w:ascii="宋体" w:hAnsi="宋体" w:cs="宋体"/>
                <w:color w:val="auto"/>
                <w:szCs w:val="21"/>
                <w:highlight w:val="none"/>
                <w:lang w:val="en-US" w:eastAsia="zh-CN"/>
              </w:rPr>
              <w:t>设备采用Linux操作系统，用户软件系统能够具备数据采集，图像生成、显示（含窗宽、窗位调整）、存储功能；</w:t>
            </w:r>
          </w:p>
          <w:p w14:paraId="10991711">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6)</w:t>
            </w:r>
            <w:r>
              <w:rPr>
                <w:rFonts w:hint="eastAsia" w:ascii="宋体" w:hAnsi="宋体" w:cs="宋体"/>
                <w:color w:val="auto"/>
                <w:szCs w:val="21"/>
                <w:highlight w:val="none"/>
                <w:lang w:val="en-US" w:eastAsia="zh-CN"/>
              </w:rPr>
              <w:t>配备的X 射线球管的管电压≥160kV，管电流≥1mA；</w:t>
            </w:r>
          </w:p>
          <w:p w14:paraId="0DF92DAF">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7)</w:t>
            </w:r>
            <w:r>
              <w:rPr>
                <w:rFonts w:hint="eastAsia" w:ascii="宋体" w:hAnsi="宋体" w:cs="宋体"/>
                <w:color w:val="auto"/>
                <w:szCs w:val="21"/>
                <w:highlight w:val="none"/>
                <w:lang w:val="en-US" w:eastAsia="zh-CN"/>
              </w:rPr>
              <w:t>▲透视成像探测器像素的物理尺寸≤1.6mm，数目≥800；</w:t>
            </w:r>
          </w:p>
          <w:p w14:paraId="6BC3B115">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8)</w:t>
            </w:r>
            <w:r>
              <w:rPr>
                <w:rFonts w:hint="eastAsia" w:ascii="宋体" w:hAnsi="宋体" w:cs="宋体"/>
                <w:color w:val="auto"/>
                <w:szCs w:val="21"/>
                <w:highlight w:val="none"/>
                <w:lang w:val="en-US" w:eastAsia="zh-CN"/>
              </w:rPr>
              <w:t>▲透视成像具备能谱成像功能，一次扫描获得的能谱数据段（能量箱数据）≥3个，能量分辨率 ≤30%@80keV；</w:t>
            </w:r>
          </w:p>
          <w:p w14:paraId="61038743">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9)</w:t>
            </w:r>
            <w:r>
              <w:rPr>
                <w:rFonts w:hint="eastAsia" w:ascii="宋体" w:hAnsi="宋体" w:cs="宋体"/>
                <w:color w:val="auto"/>
                <w:szCs w:val="21"/>
                <w:highlight w:val="none"/>
                <w:lang w:val="en-US" w:eastAsia="zh-CN"/>
              </w:rPr>
              <w:t>▲透视成像穿透性能优于46mm（管电压≤160kV，管电流≤ 1mA 时获得的透视图像可以显示≥ 46mm 厚度钢板遮挡的铅块）；散射成像穿透性能优于4mm（管电压 ≤160kV，管电流≤ 1mA 时获得的散射图像可以清晰显示 4mm 厚度钢板遮挡的铅块）</w:t>
            </w:r>
          </w:p>
          <w:p w14:paraId="0F4DAD6B">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10)</w:t>
            </w:r>
            <w:r>
              <w:rPr>
                <w:rFonts w:hint="eastAsia" w:ascii="宋体" w:hAnsi="宋体" w:cs="宋体"/>
                <w:color w:val="auto"/>
                <w:szCs w:val="21"/>
                <w:highlight w:val="none"/>
                <w:lang w:val="en-US" w:eastAsia="zh-CN"/>
              </w:rPr>
              <w:t>▲散射成像用探测器的像素物理尺寸≤4.2mm，数目≥ 128个；</w:t>
            </w:r>
          </w:p>
          <w:p w14:paraId="3C5864E2">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11)</w:t>
            </w:r>
            <w:r>
              <w:rPr>
                <w:rFonts w:hint="eastAsia" w:ascii="宋体" w:hAnsi="宋体" w:cs="宋体"/>
                <w:color w:val="auto"/>
                <w:szCs w:val="21"/>
                <w:highlight w:val="none"/>
                <w:lang w:val="en-US" w:eastAsia="zh-CN"/>
              </w:rPr>
              <w:t>▲透视成像分辨率≤1.0mm；</w:t>
            </w:r>
          </w:p>
          <w:p w14:paraId="01FCD2C4">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12)</w:t>
            </w:r>
            <w:r>
              <w:rPr>
                <w:rFonts w:hint="eastAsia" w:ascii="宋体" w:hAnsi="宋体" w:cs="宋体"/>
                <w:color w:val="auto"/>
                <w:szCs w:val="21"/>
                <w:highlight w:val="none"/>
                <w:lang w:val="en-US" w:eastAsia="zh-CN"/>
              </w:rPr>
              <w:t>▲散射成像分辨率≤3.0mm；</w:t>
            </w:r>
          </w:p>
          <w:p w14:paraId="1CEB586A">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13)</w:t>
            </w:r>
            <w:r>
              <w:rPr>
                <w:rFonts w:hint="eastAsia" w:ascii="宋体" w:hAnsi="宋体" w:cs="宋体"/>
                <w:color w:val="auto"/>
                <w:szCs w:val="21"/>
                <w:highlight w:val="none"/>
                <w:lang w:val="en-US" w:eastAsia="zh-CN"/>
              </w:rPr>
              <w:t xml:space="preserve">散射成像具备能谱成像功能，一次扫描获得的能谱数据段（能量箱数量）≥2个，能量分辨率≤30%@80keV； </w:t>
            </w:r>
          </w:p>
          <w:p w14:paraId="4F37EC7B">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14)</w:t>
            </w:r>
            <w:r>
              <w:rPr>
                <w:rFonts w:hint="eastAsia" w:ascii="宋体" w:hAnsi="宋体" w:cs="宋体"/>
                <w:color w:val="auto"/>
                <w:szCs w:val="21"/>
                <w:highlight w:val="none"/>
                <w:lang w:val="en-US" w:eastAsia="zh-CN"/>
              </w:rPr>
              <w:t xml:space="preserve">提供设计加工文件（至少包括BOM清单，机电系统设计、加工原文件，作业指导书）； </w:t>
            </w:r>
          </w:p>
          <w:p w14:paraId="3487F87A">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szCs w:val="21"/>
                <w:highlight w:val="none"/>
                <w:lang w:val="en-US" w:eastAsia="zh-CN"/>
              </w:rPr>
              <w:t>提供机电控制、数据采集、应用软件层中由供应商自行开发部分的源代码，确保采购人能够进行二次开发和教学实训。对于供应商无权处分源代码的第三方组件，按以下情形处理：</w:t>
            </w:r>
          </w:p>
          <w:p w14:paraId="79A65542">
            <w:pPr>
              <w:numPr>
                <w:ilvl w:val="0"/>
                <w:numId w:val="0"/>
              </w:numPr>
              <w:spacing w:line="400" w:lineRule="exact"/>
              <w:ind w:left="632" w:leftChars="300" w:hanging="2" w:hangingChars="1"/>
              <w:jc w:val="left"/>
              <w:rPr>
                <w:rFonts w:hint="eastAsia" w:ascii="宋体" w:hAnsi="宋体" w:cs="宋体"/>
                <w:color w:val="auto"/>
                <w:szCs w:val="21"/>
                <w:highlight w:val="none"/>
                <w:lang w:val="en-US" w:eastAsia="zh-CN"/>
              </w:rPr>
            </w:pPr>
            <w:r>
              <w:rPr>
                <w:rFonts w:hint="default" w:ascii="Calibri" w:hAnsi="Calibri" w:eastAsia="宋体" w:cs="Calibri"/>
                <w:color w:val="auto"/>
                <w:kern w:val="2"/>
                <w:sz w:val="21"/>
                <w:szCs w:val="21"/>
                <w:highlight w:val="none"/>
                <w:lang w:val="en-US" w:eastAsia="zh-CN" w:bidi="ar-SA"/>
              </w:rPr>
              <w:t>①</w:t>
            </w:r>
            <w:r>
              <w:rPr>
                <w:rFonts w:hint="eastAsia" w:ascii="宋体" w:hAnsi="宋体" w:cs="宋体"/>
                <w:color w:val="auto"/>
                <w:szCs w:val="21"/>
                <w:highlight w:val="none"/>
                <w:lang w:val="en-US" w:eastAsia="zh-CN"/>
              </w:rPr>
              <w:t>第三方商用闭源组件： 供应商须提供合法授权证明文件、调用接口说明、数据交换协议及使用文档，无需提供源代码；</w:t>
            </w:r>
          </w:p>
          <w:p w14:paraId="54B7E3F4">
            <w:pPr>
              <w:numPr>
                <w:ilvl w:val="0"/>
                <w:numId w:val="0"/>
              </w:numPr>
              <w:spacing w:line="400" w:lineRule="exact"/>
              <w:ind w:left="632" w:leftChars="300" w:hanging="2" w:hangingChars="1"/>
              <w:jc w:val="left"/>
              <w:rPr>
                <w:rFonts w:hint="eastAsia" w:ascii="宋体" w:hAnsi="宋体" w:cs="宋体"/>
                <w:color w:val="auto"/>
                <w:szCs w:val="21"/>
                <w:highlight w:val="none"/>
                <w:lang w:val="en-US" w:eastAsia="zh-CN"/>
              </w:rPr>
            </w:pPr>
            <w:r>
              <w:rPr>
                <w:rFonts w:hint="default" w:ascii="Calibri" w:hAnsi="Calibri" w:eastAsia="宋体" w:cs="Calibri"/>
                <w:color w:val="auto"/>
                <w:kern w:val="2"/>
                <w:sz w:val="21"/>
                <w:szCs w:val="21"/>
                <w:highlight w:val="none"/>
                <w:lang w:val="en-US" w:eastAsia="zh-CN" w:bidi="ar-SA"/>
              </w:rPr>
              <w:t>②</w:t>
            </w:r>
            <w:r>
              <w:rPr>
                <w:rFonts w:hint="eastAsia" w:ascii="宋体" w:hAnsi="宋体" w:cs="宋体"/>
                <w:color w:val="auto"/>
                <w:szCs w:val="21"/>
                <w:highlight w:val="none"/>
                <w:lang w:val="en-US" w:eastAsia="zh-CN"/>
              </w:rPr>
              <w:t>操作系统及基础运行库（如Linux内核、编译器标准库等）： 供应商须列明名称及版本号，无需提供源代码；</w:t>
            </w:r>
          </w:p>
          <w:p w14:paraId="0FFA2A1F">
            <w:pPr>
              <w:numPr>
                <w:ilvl w:val="0"/>
                <w:numId w:val="0"/>
              </w:numPr>
              <w:spacing w:line="400" w:lineRule="exact"/>
              <w:ind w:left="632" w:leftChars="300" w:hanging="2" w:hangingChars="1"/>
              <w:jc w:val="left"/>
              <w:rPr>
                <w:rFonts w:hint="eastAsia" w:ascii="宋体" w:hAnsi="宋体" w:cs="宋体"/>
                <w:color w:val="auto"/>
                <w:szCs w:val="21"/>
                <w:highlight w:val="none"/>
                <w:lang w:val="en-US" w:eastAsia="zh-CN"/>
              </w:rPr>
            </w:pPr>
            <w:r>
              <w:rPr>
                <w:rFonts w:hint="default" w:ascii="Calibri" w:hAnsi="Calibri" w:eastAsia="宋体" w:cs="Calibri"/>
                <w:color w:val="auto"/>
                <w:kern w:val="2"/>
                <w:sz w:val="21"/>
                <w:szCs w:val="21"/>
                <w:highlight w:val="none"/>
                <w:lang w:val="en-US" w:eastAsia="zh-CN" w:bidi="ar-SA"/>
              </w:rPr>
              <w:t>③</w:t>
            </w:r>
            <w:r>
              <w:rPr>
                <w:rFonts w:hint="eastAsia" w:ascii="宋体" w:hAnsi="宋体" w:cs="宋体"/>
                <w:color w:val="auto"/>
                <w:szCs w:val="21"/>
                <w:highlight w:val="none"/>
                <w:lang w:val="en-US" w:eastAsia="zh-CN"/>
              </w:rPr>
              <w:t>第三方开源组件： 供应商须列明组件名称、版本号、所适用的开源协议名称，并书面声明该组件的使用方式符合相应开源协议要求，不存在因与自研代码集成而导致采购人须承担额外开源义务的情形；</w:t>
            </w:r>
          </w:p>
          <w:p w14:paraId="45E38453">
            <w:pPr>
              <w:numPr>
                <w:ilvl w:val="0"/>
                <w:numId w:val="0"/>
              </w:numPr>
              <w:spacing w:line="400" w:lineRule="exact"/>
              <w:ind w:left="642" w:leftChars="305" w:hanging="2" w:hangingChars="1"/>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对于供应商自研且未开源的核心技术组件，供应商可仅提供该模块的调用接口、数据交换协议及使用文档，但须保证该模块的功能完整性和稳定性，并提供长期技术支持；</w:t>
            </w:r>
          </w:p>
          <w:p w14:paraId="7698E3BD">
            <w:pPr>
              <w:numPr>
                <w:ilvl w:val="0"/>
                <w:numId w:val="0"/>
              </w:numPr>
              <w:spacing w:line="400" w:lineRule="exact"/>
              <w:ind w:left="621" w:leftChars="295" w:hanging="2" w:hangingChars="1"/>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采购人承诺所获源代码及技术资料仅限用于本校教学、科研和内部维护；</w:t>
            </w:r>
          </w:p>
          <w:p w14:paraId="265EE5BB">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eastAsia" w:ascii="宋体" w:hAnsi="宋体" w:cs="宋体"/>
                <w:color w:val="auto"/>
                <w:kern w:val="2"/>
                <w:sz w:val="21"/>
                <w:szCs w:val="21"/>
                <w:highlight w:val="none"/>
                <w:lang w:val="en-US" w:eastAsia="zh-CN" w:bidi="ar-SA"/>
              </w:rPr>
              <w:t>16</w:t>
            </w:r>
            <w:r>
              <w:rPr>
                <w:rFonts w:hint="default" w:ascii="宋体" w:hAnsi="宋体" w:eastAsia="宋体" w:cs="宋体"/>
                <w:color w:val="auto"/>
                <w:kern w:val="2"/>
                <w:sz w:val="21"/>
                <w:szCs w:val="21"/>
                <w:highlight w:val="none"/>
                <w:lang w:val="en-US" w:eastAsia="zh-CN" w:bidi="ar-SA"/>
              </w:rPr>
              <w:t>)</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自设备验收合格后1年内，成交人到广西机电职业技术学院为设备使用教师提不少于3次的专项培训，每次专项培训的时长不短于1小时，专项培训的内容至少需包括设备的设计、制造、质控三个方面</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允许用户依据作业指导书和培训内容进行设备的拆解、重装；</w:t>
            </w:r>
          </w:p>
          <w:p w14:paraId="310C32A9">
            <w:pPr>
              <w:numPr>
                <w:ilvl w:val="0"/>
                <w:numId w:val="0"/>
              </w:numPr>
              <w:spacing w:line="400" w:lineRule="exact"/>
              <w:ind w:left="635" w:leftChars="0" w:hanging="425" w:firstLineChars="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SA"/>
              </w:rPr>
              <w:t>17</w:t>
            </w:r>
            <w:r>
              <w:rPr>
                <w:rFonts w:hint="default" w:asciiTheme="minorEastAsia" w:hAnsiTheme="minorEastAsia" w:eastAsiaTheme="minorEastAsia" w:cstheme="minorEastAsia"/>
                <w:color w:val="auto"/>
                <w:kern w:val="0"/>
                <w:sz w:val="21"/>
                <w:szCs w:val="21"/>
                <w:highlight w:val="none"/>
                <w:lang w:val="en-US" w:eastAsia="zh-CN" w:bidi="ar-SA"/>
              </w:rPr>
              <w:t>)</w:t>
            </w:r>
            <w:r>
              <w:rPr>
                <w:rFonts w:hint="eastAsia" w:ascii="宋体" w:hAnsi="宋体" w:cs="宋体"/>
                <w:color w:val="auto"/>
                <w:szCs w:val="21"/>
                <w:highlight w:val="none"/>
                <w:lang w:val="en-US" w:eastAsia="zh-CN"/>
              </w:rPr>
              <w:t>▲提供设备所采用的三维重建算法的源代码与说明文档，协助用户采用该代码进行待测量物的三维数据重建。</w:t>
            </w:r>
          </w:p>
        </w:tc>
        <w:tc>
          <w:tcPr>
            <w:tcW w:w="934" w:type="dxa"/>
            <w:vAlign w:val="center"/>
          </w:tcPr>
          <w:p w14:paraId="3B3956DE">
            <w:pPr>
              <w:widowControl/>
              <w:spacing w:line="240" w:lineRule="auto"/>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工业</w:t>
            </w:r>
          </w:p>
        </w:tc>
        <w:tc>
          <w:tcPr>
            <w:tcW w:w="966" w:type="dxa"/>
            <w:vAlign w:val="center"/>
          </w:tcPr>
          <w:p w14:paraId="39A8141A">
            <w:pPr>
              <w:widowControl/>
              <w:spacing w:line="240" w:lineRule="auto"/>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1110000.00</w:t>
            </w:r>
          </w:p>
        </w:tc>
      </w:tr>
      <w:tr w14:paraId="7961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50" w:type="dxa"/>
            <w:vAlign w:val="center"/>
          </w:tcPr>
          <w:p w14:paraId="7398AE92">
            <w:pPr>
              <w:widowControl/>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767" w:type="dxa"/>
            <w:vAlign w:val="center"/>
          </w:tcPr>
          <w:p w14:paraId="44852F85">
            <w:pPr>
              <w:widowControl/>
              <w:spacing w:line="240" w:lineRule="auto"/>
              <w:jc w:val="center"/>
              <w:rPr>
                <w:rFonts w:hint="eastAsia" w:asciiTheme="minorEastAsia" w:hAnsiTheme="minorEastAsia" w:eastAsiaTheme="minorEastAsia" w:cstheme="minorEastAsia"/>
                <w:color w:val="auto"/>
                <w:kern w:val="0"/>
                <w:sz w:val="21"/>
                <w:szCs w:val="21"/>
                <w:highlight w:val="none"/>
              </w:rPr>
            </w:pPr>
          </w:p>
          <w:p w14:paraId="76A5385E">
            <w:pPr>
              <w:widowControl/>
              <w:spacing w:line="24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传感器与智能检测实训设备</w:t>
            </w:r>
          </w:p>
        </w:tc>
        <w:tc>
          <w:tcPr>
            <w:tcW w:w="417" w:type="dxa"/>
            <w:vAlign w:val="center"/>
          </w:tcPr>
          <w:p w14:paraId="4CBB7016">
            <w:pPr>
              <w:widowControl/>
              <w:spacing w:line="240" w:lineRule="auto"/>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w:t>
            </w:r>
          </w:p>
        </w:tc>
        <w:tc>
          <w:tcPr>
            <w:tcW w:w="400" w:type="dxa"/>
            <w:vAlign w:val="center"/>
          </w:tcPr>
          <w:p w14:paraId="13DCC80F">
            <w:pPr>
              <w:widowControl/>
              <w:spacing w:line="24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套</w:t>
            </w:r>
          </w:p>
        </w:tc>
        <w:tc>
          <w:tcPr>
            <w:tcW w:w="6266" w:type="dxa"/>
            <w:vAlign w:val="center"/>
          </w:tcPr>
          <w:p w14:paraId="10689542">
            <w:pPr>
              <w:numPr>
                <w:ilvl w:val="0"/>
                <w:numId w:val="0"/>
              </w:numPr>
              <w:spacing w:line="400" w:lineRule="exact"/>
              <w:ind w:leftChars="0"/>
              <w:jc w:val="left"/>
              <w:rPr>
                <w:rFonts w:hint="eastAsia" w:ascii="宋体" w:hAnsi="宋体" w:cs="宋体"/>
                <w:color w:val="auto"/>
                <w:szCs w:val="21"/>
                <w:highlight w:val="none"/>
              </w:rPr>
            </w:pPr>
            <w:r>
              <w:rPr>
                <w:rFonts w:hint="eastAsia" w:ascii="宋体" w:hAnsi="宋体" w:cs="宋体"/>
                <w:color w:val="auto"/>
                <w:szCs w:val="21"/>
                <w:highlight w:val="none"/>
              </w:rPr>
              <w:t>2：传感器与智能检测实训设备</w:t>
            </w:r>
          </w:p>
          <w:p w14:paraId="2DF3A1F9">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w:t>
            </w:r>
            <w:r>
              <w:rPr>
                <w:rFonts w:hint="eastAsia" w:ascii="宋体" w:hAnsi="宋体" w:cs="宋体"/>
                <w:color w:val="auto"/>
                <w:szCs w:val="21"/>
                <w:highlight w:val="none"/>
                <w:lang w:val="en-US" w:eastAsia="zh-CN"/>
              </w:rPr>
              <w:t>手持成像设备，面向焊接质量检测实现待测工件的散射成像，可以高亮显示待测工件中的有机物；</w:t>
            </w:r>
          </w:p>
          <w:p w14:paraId="6A1E6C00">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2)</w:t>
            </w:r>
            <w:r>
              <w:rPr>
                <w:rFonts w:hint="eastAsia" w:ascii="宋体" w:hAnsi="宋体" w:cs="宋体"/>
                <w:color w:val="auto"/>
                <w:szCs w:val="21"/>
                <w:highlight w:val="none"/>
                <w:lang w:val="en-US" w:eastAsia="zh-CN"/>
              </w:rPr>
              <w:t>配备设备支架 ，可以对匀速经过的物体实现成像；</w:t>
            </w:r>
          </w:p>
          <w:p w14:paraId="58781F21">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3)</w:t>
            </w:r>
            <w:r>
              <w:rPr>
                <w:rFonts w:hint="eastAsia" w:ascii="宋体" w:hAnsi="宋体" w:cs="宋体"/>
                <w:color w:val="auto"/>
                <w:szCs w:val="21"/>
                <w:highlight w:val="none"/>
                <w:lang w:val="en-US" w:eastAsia="zh-CN"/>
              </w:rPr>
              <w:t xml:space="preserve">外形尺寸≤25cm（长） * 30cm（宽） *20cm（高），总重量≤6kg； </w:t>
            </w:r>
          </w:p>
          <w:p w14:paraId="768BB188">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4)</w:t>
            </w:r>
            <w:r>
              <w:rPr>
                <w:rFonts w:hint="eastAsia" w:ascii="宋体" w:hAnsi="宋体" w:cs="宋体"/>
                <w:color w:val="auto"/>
                <w:szCs w:val="21"/>
                <w:highlight w:val="none"/>
                <w:lang w:val="en-US" w:eastAsia="zh-CN"/>
              </w:rPr>
              <w:t>持续工作时间≥3小时；</w:t>
            </w:r>
          </w:p>
          <w:p w14:paraId="0D0C24B0">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5)</w:t>
            </w:r>
            <w:r>
              <w:rPr>
                <w:rFonts w:hint="eastAsia" w:ascii="宋体" w:hAnsi="宋体" w:cs="宋体"/>
                <w:color w:val="auto"/>
                <w:szCs w:val="21"/>
                <w:highlight w:val="none"/>
                <w:lang w:val="en-US" w:eastAsia="zh-CN"/>
              </w:rPr>
              <w:t>设备工作温度[-5℃,40℃]，存储温度[-15℃,60℃]；</w:t>
            </w:r>
          </w:p>
          <w:p w14:paraId="5F9B4B5E">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6)</w:t>
            </w:r>
            <w:r>
              <w:rPr>
                <w:rFonts w:hint="eastAsia" w:ascii="宋体" w:hAnsi="宋体" w:cs="宋体"/>
                <w:color w:val="auto"/>
                <w:szCs w:val="21"/>
                <w:highlight w:val="none"/>
                <w:lang w:val="en-US" w:eastAsia="zh-CN"/>
              </w:rPr>
              <w:t>▲透视成像空间分辨率≤2.5mm；</w:t>
            </w:r>
          </w:p>
          <w:p w14:paraId="3CC5CA82">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7)</w:t>
            </w:r>
            <w:r>
              <w:rPr>
                <w:rFonts w:hint="eastAsia" w:ascii="宋体" w:hAnsi="宋体" w:cs="宋体"/>
                <w:color w:val="auto"/>
                <w:szCs w:val="21"/>
                <w:highlight w:val="none"/>
                <w:lang w:val="en-US" w:eastAsia="zh-CN"/>
              </w:rPr>
              <w:t>设备采用Linux操作系统，用户软件系统能够具备数据采集，图像生成、显示（含窗宽、窗位调整）、存储功能</w:t>
            </w:r>
            <w:r>
              <w:rPr>
                <w:rFonts w:hint="eastAsia" w:ascii="宋体" w:hAnsi="宋体" w:cs="宋体"/>
                <w:b/>
                <w:bCs/>
                <w:color w:val="auto"/>
                <w:szCs w:val="21"/>
                <w:highlight w:val="none"/>
                <w:lang w:val="en-US" w:eastAsia="zh-CN"/>
              </w:rPr>
              <w:t>；</w:t>
            </w:r>
          </w:p>
          <w:p w14:paraId="297ED509">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8)</w:t>
            </w:r>
            <w:r>
              <w:rPr>
                <w:rFonts w:hint="eastAsia" w:ascii="宋体" w:hAnsi="宋体" w:cs="宋体"/>
                <w:color w:val="auto"/>
                <w:szCs w:val="21"/>
                <w:highlight w:val="none"/>
                <w:lang w:val="en-US" w:eastAsia="zh-CN"/>
              </w:rPr>
              <w:t>▲配备的X 射线球管的管电压≥140kV，最大功率≥7W；</w:t>
            </w:r>
          </w:p>
          <w:p w14:paraId="34CD7A10">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9)</w:t>
            </w:r>
            <w:r>
              <w:rPr>
                <w:rFonts w:hint="eastAsia" w:ascii="宋体" w:hAnsi="宋体" w:cs="宋体"/>
                <w:color w:val="auto"/>
                <w:szCs w:val="21"/>
                <w:highlight w:val="none"/>
                <w:lang w:val="en-US" w:eastAsia="zh-CN"/>
              </w:rPr>
              <w:t>一次散射成像扫描能够获得的能谱数据段（能量箱数量）≥2，能量分辨率≤30%@80keV，具备物质分辨率能力，可以依据能谱数据实现金属铝和有机物的分辨</w:t>
            </w:r>
            <w:r>
              <w:rPr>
                <w:rFonts w:hint="eastAsia" w:ascii="宋体" w:hAnsi="宋体" w:cs="宋体"/>
                <w:b/>
                <w:bCs/>
                <w:color w:val="auto"/>
                <w:szCs w:val="21"/>
                <w:highlight w:val="none"/>
                <w:lang w:val="en-US" w:eastAsia="zh-CN"/>
              </w:rPr>
              <w:t>；</w:t>
            </w:r>
          </w:p>
          <w:p w14:paraId="73644E28">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10)</w:t>
            </w:r>
            <w:r>
              <w:rPr>
                <w:rFonts w:hint="eastAsia" w:ascii="宋体" w:hAnsi="宋体" w:cs="宋体"/>
                <w:color w:val="auto"/>
                <w:szCs w:val="21"/>
                <w:highlight w:val="none"/>
                <w:lang w:val="en-US" w:eastAsia="zh-CN"/>
              </w:rPr>
              <w:t>散射成像穿透力≥7mm（能够显示7mm厚度钢板后的有机物块）</w:t>
            </w:r>
            <w:r>
              <w:rPr>
                <w:rFonts w:hint="eastAsia" w:ascii="宋体" w:hAnsi="宋体" w:cs="宋体"/>
                <w:b/>
                <w:bCs/>
                <w:color w:val="auto"/>
                <w:szCs w:val="21"/>
                <w:highlight w:val="none"/>
                <w:lang w:val="en-US" w:eastAsia="zh-CN"/>
              </w:rPr>
              <w:t>；</w:t>
            </w:r>
          </w:p>
          <w:p w14:paraId="6C4F0D72">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11)</w:t>
            </w:r>
            <w:r>
              <w:rPr>
                <w:rFonts w:hint="eastAsia" w:ascii="宋体" w:hAnsi="宋体" w:cs="宋体"/>
                <w:color w:val="auto"/>
                <w:szCs w:val="21"/>
                <w:highlight w:val="none"/>
                <w:lang w:val="en-US" w:eastAsia="zh-CN"/>
              </w:rPr>
              <w:t xml:space="preserve">提供设计加工文件（至少包括BOM清单，机电系统设计、加工原文件，作业指导书）； </w:t>
            </w:r>
          </w:p>
          <w:p w14:paraId="0581C84B">
            <w:pPr>
              <w:numPr>
                <w:ilvl w:val="0"/>
                <w:numId w:val="0"/>
              </w:numPr>
              <w:spacing w:line="400" w:lineRule="exact"/>
              <w:ind w:left="635" w:leftChars="0" w:hanging="425" w:firstLineChars="0"/>
              <w:jc w:val="left"/>
              <w:rPr>
                <w:rFonts w:hint="eastAsia" w:ascii="宋体" w:hAnsi="宋体" w:cs="宋体"/>
                <w:color w:val="auto"/>
                <w:szCs w:val="21"/>
                <w:highlight w:val="none"/>
                <w:lang w:val="en-US" w:eastAsia="zh-CN"/>
              </w:rPr>
            </w:pPr>
            <w:r>
              <w:rPr>
                <w:rFonts w:hint="default" w:ascii="宋体" w:hAnsi="宋体" w:eastAsia="宋体" w:cs="宋体"/>
                <w:color w:val="auto"/>
                <w:kern w:val="2"/>
                <w:sz w:val="21"/>
                <w:szCs w:val="21"/>
                <w:highlight w:val="none"/>
                <w:lang w:val="en-US" w:eastAsia="zh-CN" w:bidi="ar-SA"/>
              </w:rPr>
              <w:t>12)</w:t>
            </w:r>
            <w:r>
              <w:rPr>
                <w:rFonts w:hint="default"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提供机电控制、数据采集、应用软件层中由供应商自行开发部分的源代码，确保采购人能够进行二次开发和教学实训。对于供应商无权处分源代码的第三方组件，按以下情形处理：</w:t>
            </w:r>
          </w:p>
          <w:p w14:paraId="350781F5">
            <w:pPr>
              <w:numPr>
                <w:ilvl w:val="0"/>
                <w:numId w:val="0"/>
              </w:numPr>
              <w:spacing w:line="400" w:lineRule="exact"/>
              <w:ind w:left="632" w:leftChars="300" w:hanging="2" w:hangingChars="1"/>
              <w:jc w:val="left"/>
              <w:rPr>
                <w:rFonts w:hint="eastAsia" w:ascii="宋体" w:hAnsi="宋体" w:cs="宋体"/>
                <w:color w:val="auto"/>
                <w:szCs w:val="21"/>
                <w:highlight w:val="none"/>
                <w:lang w:val="en-US" w:eastAsia="zh-CN"/>
              </w:rPr>
            </w:pPr>
            <w:r>
              <w:rPr>
                <w:rFonts w:hint="default" w:ascii="Calibri" w:hAnsi="Calibri" w:eastAsia="宋体" w:cs="Calibri"/>
                <w:color w:val="auto"/>
                <w:kern w:val="2"/>
                <w:sz w:val="21"/>
                <w:szCs w:val="21"/>
                <w:highlight w:val="none"/>
                <w:lang w:val="en-US" w:eastAsia="zh-CN" w:bidi="ar-SA"/>
              </w:rPr>
              <w:t>①</w:t>
            </w:r>
            <w:r>
              <w:rPr>
                <w:rFonts w:hint="eastAsia" w:ascii="宋体" w:hAnsi="宋体" w:cs="宋体"/>
                <w:color w:val="auto"/>
                <w:szCs w:val="21"/>
                <w:highlight w:val="none"/>
                <w:lang w:val="en-US" w:eastAsia="zh-CN"/>
              </w:rPr>
              <w:t>第三方商用闭源组件： 供应商须提供合法授权证明文件、调用接口说明、数据交换协议及使用文档，无需提供源代码；</w:t>
            </w:r>
          </w:p>
          <w:p w14:paraId="2E97591B">
            <w:pPr>
              <w:numPr>
                <w:ilvl w:val="0"/>
                <w:numId w:val="0"/>
              </w:numPr>
              <w:spacing w:line="400" w:lineRule="exact"/>
              <w:ind w:left="632" w:leftChars="300" w:hanging="2" w:hangingChars="1"/>
              <w:jc w:val="left"/>
              <w:rPr>
                <w:rFonts w:hint="eastAsia" w:ascii="宋体" w:hAnsi="宋体" w:cs="宋体"/>
                <w:color w:val="auto"/>
                <w:szCs w:val="21"/>
                <w:highlight w:val="none"/>
                <w:lang w:val="en-US" w:eastAsia="zh-CN"/>
              </w:rPr>
            </w:pPr>
            <w:r>
              <w:rPr>
                <w:rFonts w:hint="default" w:ascii="Calibri" w:hAnsi="Calibri" w:eastAsia="宋体" w:cs="Calibri"/>
                <w:color w:val="auto"/>
                <w:kern w:val="2"/>
                <w:sz w:val="21"/>
                <w:szCs w:val="21"/>
                <w:highlight w:val="none"/>
                <w:lang w:val="en-US" w:eastAsia="zh-CN" w:bidi="ar-SA"/>
              </w:rPr>
              <w:t>②</w:t>
            </w:r>
            <w:r>
              <w:rPr>
                <w:rFonts w:hint="eastAsia" w:ascii="宋体" w:hAnsi="宋体" w:cs="宋体"/>
                <w:color w:val="auto"/>
                <w:szCs w:val="21"/>
                <w:highlight w:val="none"/>
                <w:lang w:val="en-US" w:eastAsia="zh-CN"/>
              </w:rPr>
              <w:t>操作系统及基础运行库（如Linux内核、编译器标准库等）： 供应商须列明名称及版本号，无需提供源代码；</w:t>
            </w:r>
          </w:p>
          <w:p w14:paraId="1A4D1B4C">
            <w:pPr>
              <w:numPr>
                <w:ilvl w:val="0"/>
                <w:numId w:val="0"/>
              </w:numPr>
              <w:spacing w:line="400" w:lineRule="exact"/>
              <w:ind w:left="632" w:leftChars="300" w:hanging="2" w:hangingChars="1"/>
              <w:jc w:val="left"/>
              <w:rPr>
                <w:rFonts w:hint="eastAsia" w:ascii="宋体" w:hAnsi="宋体" w:cs="宋体"/>
                <w:color w:val="auto"/>
                <w:szCs w:val="21"/>
                <w:highlight w:val="none"/>
                <w:lang w:val="en-US" w:eastAsia="zh-CN"/>
              </w:rPr>
            </w:pPr>
            <w:r>
              <w:rPr>
                <w:rFonts w:hint="default" w:ascii="Calibri" w:hAnsi="Calibri" w:eastAsia="宋体" w:cs="Calibri"/>
                <w:color w:val="auto"/>
                <w:kern w:val="2"/>
                <w:sz w:val="21"/>
                <w:szCs w:val="21"/>
                <w:highlight w:val="none"/>
                <w:lang w:val="en-US" w:eastAsia="zh-CN" w:bidi="ar-SA"/>
              </w:rPr>
              <w:t>③</w:t>
            </w:r>
            <w:r>
              <w:rPr>
                <w:rFonts w:hint="eastAsia" w:ascii="宋体" w:hAnsi="宋体" w:cs="宋体"/>
                <w:color w:val="auto"/>
                <w:szCs w:val="21"/>
                <w:highlight w:val="none"/>
                <w:lang w:val="en-US" w:eastAsia="zh-CN"/>
              </w:rPr>
              <w:t>第三方开源组件： 供应商须列明组件名称、版本号、所适用的开源协议名称，并书面声明该组件的使用方式符合相应开源协议要求，不存在因与自研代码集成而导致采购人须承担额外开源义务的情形；</w:t>
            </w:r>
          </w:p>
          <w:p w14:paraId="0193B2F0">
            <w:pPr>
              <w:numPr>
                <w:ilvl w:val="0"/>
                <w:numId w:val="0"/>
              </w:numPr>
              <w:spacing w:line="400" w:lineRule="exact"/>
              <w:ind w:left="642" w:leftChars="305" w:hanging="2" w:hangingChars="1"/>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对于供应商自研且未开源的核心技术组件，供应商可仅提供该模块的调用接口、数据交换协议及使用文档，但须保证该模块的功能完整性和稳定性，并提供长期技术支持；</w:t>
            </w:r>
          </w:p>
          <w:p w14:paraId="48B52875">
            <w:pPr>
              <w:numPr>
                <w:ilvl w:val="0"/>
                <w:numId w:val="0"/>
              </w:numPr>
              <w:spacing w:line="400" w:lineRule="exact"/>
              <w:ind w:left="621" w:leftChars="295" w:hanging="2" w:hangingChars="1"/>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采购人承诺所获源代码及技术资料仅限用于本校教学、科研和内部维护；</w:t>
            </w:r>
          </w:p>
          <w:p w14:paraId="05E2C098">
            <w:pPr>
              <w:numPr>
                <w:ilvl w:val="0"/>
                <w:numId w:val="0"/>
              </w:numPr>
              <w:spacing w:line="400" w:lineRule="exact"/>
              <w:ind w:left="635" w:leftChars="0" w:hanging="425" w:firstLineChars="0"/>
              <w:jc w:val="left"/>
              <w:rPr>
                <w:rFonts w:hint="eastAsia" w:asciiTheme="minorEastAsia" w:hAnsiTheme="minorEastAsia" w:eastAsiaTheme="minorEastAsia" w:cstheme="minorEastAsia"/>
                <w:color w:val="auto"/>
                <w:kern w:val="0"/>
                <w:sz w:val="21"/>
                <w:szCs w:val="21"/>
                <w:highlight w:val="none"/>
              </w:rPr>
            </w:pPr>
            <w:r>
              <w:rPr>
                <w:rFonts w:hint="default" w:asciiTheme="minorEastAsia" w:hAnsiTheme="minorEastAsia" w:eastAsiaTheme="minorEastAsia" w:cstheme="minorEastAsia"/>
                <w:color w:val="auto"/>
                <w:kern w:val="0"/>
                <w:sz w:val="21"/>
                <w:szCs w:val="21"/>
                <w:highlight w:val="none"/>
                <w:lang w:val="en-US" w:eastAsia="zh-CN" w:bidi="ar-SA"/>
              </w:rPr>
              <w:t>13)</w:t>
            </w:r>
            <w:r>
              <w:rPr>
                <w:rFonts w:hint="eastAsia" w:ascii="宋体" w:hAnsi="宋体" w:cs="宋体"/>
                <w:color w:val="auto"/>
                <w:szCs w:val="21"/>
                <w:highlight w:val="none"/>
                <w:lang w:val="en-US" w:eastAsia="zh-CN"/>
              </w:rPr>
              <w:t>▲自设备验收合格后1年内，成交人到广西机电职业技术学院为设备使用教师提不少于3次的专项培训，每次专项培训的时长不短于1小时，专项培训的内容至少需包括设备的设计、制造、质控三个方面。允许用户依据作业指导书和培训内容进行设备的拆解、重装。</w:t>
            </w:r>
          </w:p>
        </w:tc>
        <w:tc>
          <w:tcPr>
            <w:tcW w:w="934" w:type="dxa"/>
            <w:vAlign w:val="center"/>
          </w:tcPr>
          <w:p w14:paraId="12EFAA48">
            <w:pPr>
              <w:widowControl/>
              <w:spacing w:line="24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工业</w:t>
            </w:r>
          </w:p>
        </w:tc>
        <w:tc>
          <w:tcPr>
            <w:tcW w:w="966" w:type="dxa"/>
            <w:vAlign w:val="center"/>
          </w:tcPr>
          <w:p w14:paraId="0F006E6A">
            <w:pPr>
              <w:widowControl/>
              <w:spacing w:line="240" w:lineRule="auto"/>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840000.00</w:t>
            </w:r>
          </w:p>
        </w:tc>
      </w:tr>
      <w:tr w14:paraId="05DE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200" w:type="dxa"/>
            <w:gridSpan w:val="7"/>
            <w:vAlign w:val="center"/>
          </w:tcPr>
          <w:p w14:paraId="11071697">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rPr>
              <w:t>商务要求</w:t>
            </w:r>
          </w:p>
        </w:tc>
      </w:tr>
      <w:tr w14:paraId="6EAA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1022BF9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1"/>
                <w:sz w:val="21"/>
                <w:szCs w:val="21"/>
                <w:highlight w:val="none"/>
              </w:rPr>
            </w:pPr>
            <w:r>
              <w:rPr>
                <w:rFonts w:hint="eastAsia" w:asciiTheme="minorEastAsia" w:hAnsiTheme="minorEastAsia" w:eastAsiaTheme="minorEastAsia" w:cstheme="minorEastAsia"/>
                <w:color w:val="auto"/>
                <w:sz w:val="21"/>
                <w:szCs w:val="21"/>
                <w:highlight w:val="none"/>
              </w:rPr>
              <w:t>合同签订时间</w:t>
            </w:r>
          </w:p>
        </w:tc>
        <w:tc>
          <w:tcPr>
            <w:tcW w:w="8983" w:type="dxa"/>
            <w:gridSpan w:val="5"/>
            <w:vAlign w:val="center"/>
          </w:tcPr>
          <w:p w14:paraId="5B1BCD8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自</w:t>
            </w:r>
            <w:r>
              <w:rPr>
                <w:rFonts w:hint="eastAsia" w:asciiTheme="minorEastAsia" w:hAnsiTheme="minorEastAsia" w:eastAsiaTheme="minorEastAsia" w:cstheme="minorEastAsia"/>
                <w:color w:val="auto"/>
                <w:sz w:val="21"/>
                <w:szCs w:val="21"/>
                <w:highlight w:val="none"/>
                <w:lang w:val="en-US" w:eastAsia="zh-CN"/>
              </w:rPr>
              <w:t>成交</w:t>
            </w:r>
            <w:r>
              <w:rPr>
                <w:rFonts w:hint="eastAsia" w:asciiTheme="minorEastAsia" w:hAnsiTheme="minorEastAsia" w:eastAsiaTheme="minorEastAsia" w:cstheme="minorEastAsia"/>
                <w:color w:val="auto"/>
                <w:sz w:val="21"/>
                <w:szCs w:val="21"/>
                <w:highlight w:val="none"/>
              </w:rPr>
              <w:t>通知书发出之日起15个日历日内。</w:t>
            </w:r>
          </w:p>
        </w:tc>
      </w:tr>
      <w:tr w14:paraId="4643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50F6C70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1"/>
                <w:sz w:val="21"/>
                <w:szCs w:val="21"/>
                <w:highlight w:val="none"/>
              </w:rPr>
            </w:pPr>
            <w:r>
              <w:rPr>
                <w:rFonts w:hint="eastAsia" w:asciiTheme="minorEastAsia" w:hAnsiTheme="minorEastAsia" w:eastAsiaTheme="minorEastAsia" w:cstheme="minorEastAsia"/>
                <w:color w:val="auto"/>
                <w:sz w:val="21"/>
                <w:szCs w:val="21"/>
                <w:highlight w:val="none"/>
              </w:rPr>
              <w:t>交付时间和地点</w:t>
            </w:r>
          </w:p>
        </w:tc>
        <w:tc>
          <w:tcPr>
            <w:tcW w:w="8983" w:type="dxa"/>
            <w:gridSpan w:val="5"/>
            <w:vAlign w:val="center"/>
          </w:tcPr>
          <w:p w14:paraId="4C1CD880">
            <w:pPr>
              <w:keepNext w:val="0"/>
              <w:keepLines w:val="0"/>
              <w:pageBreakBefore w:val="0"/>
              <w:tabs>
                <w:tab w:val="left" w:pos="420"/>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1.交付时间：采购合同签订生效之日起90个日历日完成项目供货、安装调试并交付验收和使用。</w:t>
            </w:r>
          </w:p>
          <w:p w14:paraId="2FC674CD">
            <w:pPr>
              <w:keepNext w:val="0"/>
              <w:keepLines w:val="0"/>
              <w:pageBreakBefore w:val="0"/>
              <w:tabs>
                <w:tab w:val="left" w:pos="420"/>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2.交付地点：采购人指定地点。</w:t>
            </w:r>
          </w:p>
        </w:tc>
      </w:tr>
      <w:tr w14:paraId="3AF4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25A209B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报价要求</w:t>
            </w:r>
          </w:p>
        </w:tc>
        <w:tc>
          <w:tcPr>
            <w:tcW w:w="8983" w:type="dxa"/>
            <w:gridSpan w:val="5"/>
            <w:vAlign w:val="center"/>
          </w:tcPr>
          <w:p w14:paraId="088DADE9">
            <w:pPr>
              <w:keepNext w:val="0"/>
              <w:keepLines w:val="0"/>
              <w:pageBreakBefore w:val="0"/>
              <w:tabs>
                <w:tab w:val="left" w:pos="420"/>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eastAsia="zh-CN"/>
              </w:rPr>
            </w:pPr>
            <w:r>
              <w:rPr>
                <w:rFonts w:hint="eastAsia"/>
                <w:color w:val="auto"/>
                <w:highlight w:val="none"/>
              </w:rPr>
              <w:t>本次报价须为人民币报价，包括</w:t>
            </w:r>
            <w:r>
              <w:rPr>
                <w:rFonts w:hint="eastAsia"/>
                <w:color w:val="auto"/>
                <w:highlight w:val="none"/>
                <w:lang w:eastAsia="zh-CN"/>
              </w:rPr>
              <w:t>竞标</w:t>
            </w:r>
            <w:r>
              <w:rPr>
                <w:rFonts w:hint="eastAsia"/>
                <w:color w:val="auto"/>
                <w:highlight w:val="none"/>
              </w:rPr>
              <w:t>货物（包括备品备件、专用工具等）的价格，</w:t>
            </w:r>
            <w:r>
              <w:rPr>
                <w:rFonts w:hint="eastAsia"/>
                <w:color w:val="auto"/>
                <w:highlight w:val="none"/>
                <w:lang w:eastAsia="zh-CN"/>
              </w:rPr>
              <w:t>竞标</w:t>
            </w:r>
            <w:r>
              <w:rPr>
                <w:rFonts w:hint="eastAsia"/>
                <w:color w:val="auto"/>
                <w:highlight w:val="none"/>
              </w:rPr>
              <w:t>货物运输（含保险）、安装（如有）、调试、检验、技术服务、培训和</w:t>
            </w:r>
            <w:r>
              <w:rPr>
                <w:rFonts w:hint="eastAsia"/>
                <w:color w:val="auto"/>
                <w:highlight w:val="none"/>
                <w:lang w:eastAsia="zh-CN"/>
              </w:rPr>
              <w:t>竞争性谈判文件</w:t>
            </w:r>
            <w:r>
              <w:rPr>
                <w:rFonts w:hint="eastAsia"/>
                <w:color w:val="auto"/>
                <w:highlight w:val="none"/>
              </w:rPr>
              <w:t>要求提供的所有伴随服务、工程等费用和税费。对于本文件中未列明，而</w:t>
            </w:r>
            <w:r>
              <w:rPr>
                <w:rFonts w:hint="eastAsia"/>
                <w:color w:val="auto"/>
                <w:highlight w:val="none"/>
                <w:lang w:eastAsia="zh-CN"/>
              </w:rPr>
              <w:t>供应商</w:t>
            </w:r>
            <w:r>
              <w:rPr>
                <w:rFonts w:hint="eastAsia"/>
                <w:color w:val="auto"/>
                <w:highlight w:val="none"/>
              </w:rPr>
              <w:t>认为必需的费用也需列入总报价。在合同实施时，采购人将不予支付</w:t>
            </w:r>
            <w:r>
              <w:rPr>
                <w:rFonts w:hint="eastAsia"/>
                <w:color w:val="auto"/>
                <w:highlight w:val="none"/>
                <w:lang w:eastAsia="zh-CN"/>
              </w:rPr>
              <w:t>成交</w:t>
            </w:r>
            <w:r>
              <w:rPr>
                <w:rFonts w:hint="eastAsia"/>
                <w:color w:val="auto"/>
                <w:highlight w:val="none"/>
              </w:rPr>
              <w:t>人没有列入的项目费用，并认为此项目的费用已包括在</w:t>
            </w:r>
            <w:r>
              <w:rPr>
                <w:rFonts w:hint="eastAsia"/>
                <w:color w:val="auto"/>
                <w:highlight w:val="none"/>
                <w:lang w:val="en-US" w:eastAsia="zh-CN"/>
              </w:rPr>
              <w:t>竞</w:t>
            </w:r>
            <w:r>
              <w:rPr>
                <w:rFonts w:hint="eastAsia"/>
                <w:color w:val="auto"/>
                <w:highlight w:val="none"/>
              </w:rPr>
              <w:t>标总报价中。</w:t>
            </w:r>
          </w:p>
        </w:tc>
      </w:tr>
      <w:tr w14:paraId="772D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1DF6A40F">
            <w:pPr>
              <w:spacing w:line="400" w:lineRule="exact"/>
              <w:jc w:val="center"/>
              <w:rPr>
                <w:rFonts w:hint="eastAsia" w:asciiTheme="minorEastAsia" w:hAnsiTheme="minorEastAsia" w:eastAsiaTheme="minorEastAsia" w:cstheme="minorEastAsia"/>
                <w:color w:val="auto"/>
                <w:kern w:val="0"/>
                <w:sz w:val="21"/>
                <w:szCs w:val="21"/>
                <w:highlight w:val="none"/>
              </w:rPr>
            </w:pPr>
            <w:r>
              <w:rPr>
                <w:rFonts w:hint="eastAsia" w:ascii="宋体" w:hAnsi="宋体" w:cs="宋体"/>
                <w:color w:val="auto"/>
                <w:szCs w:val="21"/>
                <w:highlight w:val="none"/>
              </w:rPr>
              <w:t>售后服务基本要求</w:t>
            </w:r>
          </w:p>
        </w:tc>
        <w:tc>
          <w:tcPr>
            <w:tcW w:w="8983" w:type="dxa"/>
            <w:gridSpan w:val="5"/>
            <w:vAlign w:val="center"/>
          </w:tcPr>
          <w:p w14:paraId="21CFE854">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提供的以下售后服务均应包含在</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报价中，采购人不再就此另行支付任何费用：</w:t>
            </w:r>
          </w:p>
          <w:p w14:paraId="1B024641">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1.质保期：质保期不得少于</w:t>
            </w:r>
            <w:r>
              <w:rPr>
                <w:rFonts w:hint="eastAsia" w:ascii="宋体" w:hAnsi="宋体" w:cs="宋体"/>
                <w:color w:val="auto"/>
                <w:szCs w:val="21"/>
                <w:highlight w:val="none"/>
                <w:lang w:val="en-US" w:eastAsia="zh-CN"/>
              </w:rPr>
              <w:t>壹</w:t>
            </w:r>
            <w:r>
              <w:rPr>
                <w:rFonts w:hint="eastAsia" w:ascii="宋体" w:hAnsi="宋体" w:cs="宋体"/>
                <w:b w:val="0"/>
                <w:bCs w:val="0"/>
                <w:color w:val="auto"/>
                <w:szCs w:val="21"/>
                <w:highlight w:val="none"/>
                <w:u w:val="none"/>
              </w:rPr>
              <w:t>年</w:t>
            </w:r>
            <w:r>
              <w:rPr>
                <w:rFonts w:hint="eastAsia" w:ascii="宋体" w:hAnsi="宋体" w:cs="宋体"/>
                <w:color w:val="auto"/>
                <w:szCs w:val="21"/>
                <w:highlight w:val="none"/>
              </w:rPr>
              <w:t>，且质保期内上门维修免收维修费和元器件费。</w:t>
            </w:r>
          </w:p>
          <w:p w14:paraId="32A65CB0">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2.采购范围内的货物提供送货上门，按采购人要求提供安装调试服务；并提供技术培训，直至操作人员熟练操作产品的各项功能。</w:t>
            </w:r>
          </w:p>
          <w:p w14:paraId="170AF225">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3.故障处理：提供7×24小时维修服务，并于</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中提供售后服务电话，出现故障应在接到故障通知起1小时内响应，一般问题4小时内通过远程方式解决；遇到重大故障问题，在接到报修通知后24小时内派技术人员到达现场维修，故障修复时限不超过48小时，如超过时限无法排除故障的，要求免费提供品牌、类型相一致或者是同类同档次的产品作为备用品供采购人使用，直到修复完成。如果需要更换配件的，要求更换的所有零配件全部使用原厂配件或者是同类同档次的替代品，后者需征得采购人管理人员同意。</w:t>
            </w:r>
          </w:p>
          <w:p w14:paraId="05155039">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4.质保期内提供维修服务（含人工费、配件费、差旅费等各项费用），所更换的所有零配件全部使用原厂配件；质保期以外一律按</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承诺的优惠价收费，提供终身上门维修服务（直至设备报废）。</w:t>
            </w:r>
          </w:p>
          <w:p w14:paraId="48C5A467">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5.若产品自带软件的，则须提供质保期内升级服务。</w:t>
            </w:r>
          </w:p>
          <w:p w14:paraId="0FBB93D8">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6.提供质保期外零配件优惠供应方案。</w:t>
            </w:r>
          </w:p>
          <w:p w14:paraId="4824BFE0">
            <w:pPr>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7.厂家售后服务优于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承诺的，按厂家承诺执行。</w:t>
            </w:r>
          </w:p>
        </w:tc>
      </w:tr>
      <w:tr w14:paraId="7465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1E675B16">
            <w:pPr>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付款条件</w:t>
            </w:r>
          </w:p>
        </w:tc>
        <w:tc>
          <w:tcPr>
            <w:tcW w:w="8983" w:type="dxa"/>
            <w:gridSpan w:val="5"/>
            <w:vAlign w:val="center"/>
          </w:tcPr>
          <w:p w14:paraId="3D125839">
            <w:pPr>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ascii="宋体" w:hAnsi="宋体" w:cs="宋体"/>
                <w:color w:val="auto"/>
                <w:szCs w:val="21"/>
                <w:highlight w:val="none"/>
              </w:rPr>
              <w:t>合同签订后10个工作日内，采购人按合同金额的30%向</w:t>
            </w:r>
            <w:r>
              <w:rPr>
                <w:rFonts w:hint="eastAsia" w:ascii="宋体" w:hAnsi="宋体" w:cs="宋体"/>
                <w:color w:val="auto"/>
                <w:szCs w:val="21"/>
                <w:highlight w:val="none"/>
                <w:lang w:val="en-US" w:eastAsia="zh-CN"/>
              </w:rPr>
              <w:t>成交</w:t>
            </w:r>
            <w:r>
              <w:rPr>
                <w:rFonts w:ascii="宋体" w:hAnsi="宋体" w:cs="宋体"/>
                <w:color w:val="auto"/>
                <w:szCs w:val="21"/>
                <w:highlight w:val="none"/>
              </w:rPr>
              <w:t>供应商支付预付款；</w:t>
            </w:r>
            <w:r>
              <w:rPr>
                <w:rFonts w:hint="eastAsia" w:ascii="宋体" w:hAnsi="宋体" w:cs="宋体"/>
                <w:color w:val="auto"/>
                <w:szCs w:val="21"/>
                <w:highlight w:val="none"/>
              </w:rPr>
              <w:t>货到安装调试完成后</w:t>
            </w:r>
            <w:r>
              <w:rPr>
                <w:rFonts w:ascii="宋体" w:hAnsi="宋体" w:cs="宋体"/>
                <w:color w:val="auto"/>
                <w:szCs w:val="21"/>
                <w:highlight w:val="none"/>
              </w:rPr>
              <w:t>5个工作日内，采购人按合同总款的</w:t>
            </w:r>
            <w:r>
              <w:rPr>
                <w:rFonts w:hint="eastAsia" w:ascii="宋体" w:hAnsi="宋体" w:cs="宋体"/>
                <w:color w:val="auto"/>
                <w:szCs w:val="21"/>
                <w:highlight w:val="none"/>
              </w:rPr>
              <w:t>3</w:t>
            </w:r>
            <w:r>
              <w:rPr>
                <w:rFonts w:ascii="宋体" w:hAnsi="宋体" w:cs="宋体"/>
                <w:color w:val="auto"/>
                <w:szCs w:val="21"/>
                <w:highlight w:val="none"/>
              </w:rPr>
              <w:t>0%向</w:t>
            </w:r>
            <w:r>
              <w:rPr>
                <w:rFonts w:hint="eastAsia" w:ascii="宋体" w:hAnsi="宋体" w:cs="宋体"/>
                <w:color w:val="auto"/>
                <w:szCs w:val="21"/>
                <w:highlight w:val="none"/>
                <w:lang w:val="en-US" w:eastAsia="zh-CN"/>
              </w:rPr>
              <w:t>成交</w:t>
            </w:r>
            <w:r>
              <w:rPr>
                <w:rFonts w:ascii="宋体" w:hAnsi="宋体" w:cs="宋体"/>
                <w:color w:val="auto"/>
                <w:szCs w:val="21"/>
                <w:highlight w:val="none"/>
              </w:rPr>
              <w:t>供应商支付进度款，本期支付完成后，采购人累计支付总额为合同总价的</w:t>
            </w:r>
            <w:r>
              <w:rPr>
                <w:rFonts w:hint="eastAsia" w:ascii="宋体" w:hAnsi="宋体" w:cs="宋体"/>
                <w:color w:val="auto"/>
                <w:szCs w:val="21"/>
                <w:highlight w:val="none"/>
              </w:rPr>
              <w:t>6</w:t>
            </w:r>
            <w:r>
              <w:rPr>
                <w:rFonts w:ascii="宋体" w:hAnsi="宋体" w:cs="宋体"/>
                <w:color w:val="auto"/>
                <w:szCs w:val="21"/>
                <w:highlight w:val="none"/>
              </w:rPr>
              <w:t>0%；验收合格后10个工作日采购人向</w:t>
            </w:r>
            <w:r>
              <w:rPr>
                <w:rFonts w:hint="eastAsia" w:ascii="宋体" w:hAnsi="宋体" w:cs="宋体"/>
                <w:color w:val="auto"/>
                <w:szCs w:val="21"/>
                <w:highlight w:val="none"/>
                <w:lang w:val="en-US" w:eastAsia="zh-CN"/>
              </w:rPr>
              <w:t>成交</w:t>
            </w:r>
            <w:r>
              <w:rPr>
                <w:rFonts w:ascii="宋体" w:hAnsi="宋体" w:cs="宋体"/>
                <w:color w:val="auto"/>
                <w:szCs w:val="21"/>
                <w:highlight w:val="none"/>
              </w:rPr>
              <w:t>供应商支付合同金额的</w:t>
            </w:r>
            <w:r>
              <w:rPr>
                <w:rFonts w:hint="eastAsia" w:ascii="宋体" w:hAnsi="宋体" w:cs="宋体"/>
                <w:color w:val="auto"/>
                <w:szCs w:val="21"/>
                <w:highlight w:val="none"/>
              </w:rPr>
              <w:t>4</w:t>
            </w:r>
            <w:r>
              <w:rPr>
                <w:rFonts w:ascii="宋体" w:hAnsi="宋体" w:cs="宋体"/>
                <w:color w:val="auto"/>
                <w:szCs w:val="21"/>
                <w:highlight w:val="none"/>
              </w:rPr>
              <w:t>0%尾款，本期支付完成后，采购人累计支付总额为合同总价的100%</w:t>
            </w:r>
            <w:r>
              <w:rPr>
                <w:rFonts w:hint="eastAsia" w:ascii="宋体" w:hAnsi="宋体" w:cs="宋体"/>
                <w:color w:val="auto"/>
                <w:szCs w:val="21"/>
                <w:highlight w:val="none"/>
              </w:rPr>
              <w:t>。每次</w:t>
            </w:r>
            <w:r>
              <w:rPr>
                <w:rFonts w:ascii="宋体" w:hAnsi="宋体" w:cs="宋体"/>
                <w:color w:val="auto"/>
                <w:szCs w:val="21"/>
                <w:highlight w:val="none"/>
              </w:rPr>
              <w:t>采购人</w:t>
            </w:r>
            <w:r>
              <w:rPr>
                <w:rFonts w:hint="eastAsia" w:ascii="宋体" w:hAnsi="宋体" w:cs="宋体"/>
                <w:color w:val="auto"/>
                <w:szCs w:val="21"/>
                <w:highlight w:val="none"/>
              </w:rPr>
              <w:t>付款前，</w:t>
            </w:r>
            <w:r>
              <w:rPr>
                <w:rFonts w:hint="eastAsia" w:ascii="宋体" w:hAnsi="宋体" w:cs="宋体"/>
                <w:color w:val="auto"/>
                <w:szCs w:val="21"/>
                <w:highlight w:val="none"/>
                <w:lang w:val="en-US" w:eastAsia="zh-CN"/>
              </w:rPr>
              <w:t>成交</w:t>
            </w:r>
            <w:r>
              <w:rPr>
                <w:rFonts w:ascii="宋体" w:hAnsi="宋体" w:cs="宋体"/>
                <w:color w:val="auto"/>
                <w:szCs w:val="21"/>
                <w:highlight w:val="none"/>
              </w:rPr>
              <w:t>供应商</w:t>
            </w:r>
            <w:r>
              <w:rPr>
                <w:rFonts w:hint="eastAsia" w:ascii="宋体" w:hAnsi="宋体" w:cs="宋体"/>
                <w:color w:val="auto"/>
                <w:szCs w:val="21"/>
                <w:highlight w:val="none"/>
              </w:rPr>
              <w:t>应向</w:t>
            </w:r>
            <w:r>
              <w:rPr>
                <w:rFonts w:ascii="宋体" w:hAnsi="宋体" w:cs="宋体"/>
                <w:color w:val="auto"/>
                <w:szCs w:val="21"/>
                <w:highlight w:val="none"/>
              </w:rPr>
              <w:t>采购人</w:t>
            </w:r>
            <w:r>
              <w:rPr>
                <w:rFonts w:hint="eastAsia" w:ascii="宋体" w:hAnsi="宋体" w:cs="宋体"/>
                <w:color w:val="auto"/>
                <w:szCs w:val="21"/>
                <w:highlight w:val="none"/>
              </w:rPr>
              <w:t>开具等额有效的增值税专用发票，</w:t>
            </w:r>
            <w:r>
              <w:rPr>
                <w:rFonts w:ascii="宋体" w:hAnsi="宋体" w:cs="宋体"/>
                <w:color w:val="auto"/>
                <w:szCs w:val="21"/>
                <w:highlight w:val="none"/>
              </w:rPr>
              <w:t>采购人</w:t>
            </w:r>
            <w:r>
              <w:rPr>
                <w:rFonts w:hint="eastAsia" w:ascii="宋体" w:hAnsi="宋体" w:cs="宋体"/>
                <w:color w:val="auto"/>
                <w:szCs w:val="21"/>
                <w:highlight w:val="none"/>
              </w:rPr>
              <w:t>未收到合格有效发票的，有权不予支付相应款项直至</w:t>
            </w:r>
            <w:r>
              <w:rPr>
                <w:rFonts w:hint="eastAsia" w:ascii="宋体" w:hAnsi="宋体" w:cs="宋体"/>
                <w:color w:val="auto"/>
                <w:szCs w:val="21"/>
                <w:highlight w:val="none"/>
                <w:lang w:val="en-US" w:eastAsia="zh-CN"/>
              </w:rPr>
              <w:t>成交</w:t>
            </w:r>
            <w:r>
              <w:rPr>
                <w:rFonts w:ascii="宋体" w:hAnsi="宋体" w:cs="宋体"/>
                <w:color w:val="auto"/>
                <w:szCs w:val="21"/>
                <w:highlight w:val="none"/>
              </w:rPr>
              <w:t>供应商</w:t>
            </w:r>
            <w:r>
              <w:rPr>
                <w:rFonts w:hint="eastAsia" w:ascii="宋体" w:hAnsi="宋体" w:cs="宋体"/>
                <w:color w:val="auto"/>
                <w:szCs w:val="21"/>
                <w:highlight w:val="none"/>
              </w:rPr>
              <w:t>提供合格发票，并不承担延迟付款责任。</w:t>
            </w:r>
          </w:p>
        </w:tc>
      </w:tr>
      <w:tr w14:paraId="5856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2298EA9F">
            <w:pPr>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包装和运输</w:t>
            </w:r>
          </w:p>
        </w:tc>
        <w:tc>
          <w:tcPr>
            <w:tcW w:w="8983" w:type="dxa"/>
            <w:gridSpan w:val="5"/>
            <w:vAlign w:val="center"/>
          </w:tcPr>
          <w:p w14:paraId="16659631">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1.原厂原包装，包装完好、完整无破损、未开封。</w:t>
            </w:r>
          </w:p>
          <w:p w14:paraId="6F8014E7">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2.包装及运输方式应综合考虑运输距离、防潮、防震、防锈和防破损装卸等要求。</w:t>
            </w:r>
          </w:p>
          <w:p w14:paraId="4B58A739">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3.国家对包装及运输有相关强制性标准或要求的，</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人应当执行。</w:t>
            </w:r>
          </w:p>
          <w:p w14:paraId="44CD2F57">
            <w:pPr>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4.产品（含包装）运抵采购人指定交付地点前发生损坏的，相关损失由</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人自行承担。</w:t>
            </w:r>
          </w:p>
        </w:tc>
      </w:tr>
      <w:tr w14:paraId="4428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18731985">
            <w:pPr>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验收条件及标准</w:t>
            </w:r>
          </w:p>
        </w:tc>
        <w:tc>
          <w:tcPr>
            <w:tcW w:w="8983" w:type="dxa"/>
            <w:gridSpan w:val="5"/>
            <w:vAlign w:val="center"/>
          </w:tcPr>
          <w:p w14:paraId="57936C38">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1.交付验收时，采购人根据《广西壮族自治区政府采购项目履约验收管理办法》及国家有关强制性标准的规定，由采购人及</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供应商等共同进行验收，采购人可委托采购代理机构、国家认可的质量检测机构开展采购项目履约验收工作。</w:t>
            </w:r>
          </w:p>
          <w:p w14:paraId="25BEDF4C">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人提供的所有货物必须是具备厂家合法渠道的全新正品，</w:t>
            </w:r>
            <w:r>
              <w:rPr>
                <w:rFonts w:hint="eastAsia"/>
                <w:color w:val="auto"/>
                <w:highlight w:val="none"/>
              </w:rPr>
              <w:t>产品验收时</w:t>
            </w:r>
            <w:r>
              <w:rPr>
                <w:rFonts w:hint="eastAsia" w:ascii="宋体" w:hAnsi="宋体" w:cs="宋体"/>
                <w:color w:val="auto"/>
                <w:szCs w:val="21"/>
                <w:highlight w:val="none"/>
              </w:rPr>
              <w:t>若采购方对所供产品有疑问的，则</w:t>
            </w:r>
            <w:r>
              <w:rPr>
                <w:color w:val="auto"/>
                <w:highlight w:val="none"/>
              </w:rPr>
              <w:t>有权要求</w:t>
            </w:r>
            <w:r>
              <w:rPr>
                <w:rFonts w:hint="eastAsia" w:ascii="宋体" w:hAnsi="宋体" w:cs="宋体"/>
                <w:color w:val="auto"/>
                <w:szCs w:val="21"/>
                <w:highlight w:val="none"/>
                <w:lang w:val="en-US" w:eastAsia="zh-CN"/>
              </w:rPr>
              <w:t>成交</w:t>
            </w:r>
            <w:r>
              <w:rPr>
                <w:color w:val="auto"/>
                <w:highlight w:val="none"/>
              </w:rPr>
              <w:t>人提供</w:t>
            </w:r>
            <w:r>
              <w:rPr>
                <w:rFonts w:hint="eastAsia"/>
                <w:color w:val="auto"/>
                <w:highlight w:val="none"/>
                <w:lang w:eastAsia="zh-CN"/>
              </w:rPr>
              <w:t>竞标</w:t>
            </w:r>
            <w:r>
              <w:rPr>
                <w:color w:val="auto"/>
                <w:highlight w:val="none"/>
              </w:rPr>
              <w:t>产品的参数真实性证明材料</w:t>
            </w:r>
            <w:r>
              <w:rPr>
                <w:rFonts w:hint="eastAsia"/>
                <w:color w:val="auto"/>
                <w:highlight w:val="none"/>
              </w:rPr>
              <w:t>及</w:t>
            </w:r>
            <w:r>
              <w:rPr>
                <w:color w:val="auto"/>
                <w:highlight w:val="none"/>
              </w:rPr>
              <w:t>向采购人提供产品的</w:t>
            </w:r>
            <w:r>
              <w:rPr>
                <w:rFonts w:hint="eastAsia"/>
                <w:color w:val="auto"/>
                <w:highlight w:val="none"/>
              </w:rPr>
              <w:t>产品合格证、出厂检验报告，否则视为产品验收不合格，</w:t>
            </w:r>
            <w:r>
              <w:rPr>
                <w:rFonts w:hint="eastAsia" w:ascii="宋体" w:hAnsi="宋体" w:cs="宋体"/>
                <w:color w:val="auto"/>
                <w:szCs w:val="21"/>
                <w:highlight w:val="none"/>
              </w:rPr>
              <w:t>采购单位有权不予验收。</w:t>
            </w:r>
          </w:p>
          <w:p w14:paraId="3D0FCA1D">
            <w:pPr>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3.验收合格的，由采购人及</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人在服务开通确认书确认，视为验收通过，对不符合要求的，采购人有权拒绝验收，由此产生的一切后果,均由</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人承担。由此造成的不能按时、按质、按量完成项目要求的，将按照政府采购相关法规、合同相关条款进行处理。</w:t>
            </w:r>
          </w:p>
        </w:tc>
      </w:tr>
      <w:tr w14:paraId="42B2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4C1260FE">
            <w:pPr>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验收方法及方案</w:t>
            </w:r>
          </w:p>
        </w:tc>
        <w:tc>
          <w:tcPr>
            <w:tcW w:w="8983" w:type="dxa"/>
            <w:gridSpan w:val="5"/>
            <w:vAlign w:val="center"/>
          </w:tcPr>
          <w:p w14:paraId="3B356026">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验收小组的组成：本项目验收小组由采购人组织成立。验收小组成员组成由熟悉掌握该项目采购的技术人员(专家)、采购人相关管理人员、使用部门或单位专业人员、采购人采购项目的有关人员或受托采购的代理机构人员组成，明确验收小组的负责人，负责组织整个采购项目的验收工作。</w:t>
            </w:r>
          </w:p>
          <w:p w14:paraId="6708D072">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2.验收费用:验收小组成员所产生的的劳务费、检验费及相关发生的费用均由</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人承担。</w:t>
            </w:r>
          </w:p>
          <w:p w14:paraId="3164A099">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3.验收方式:提供货品清单。表样内容包括:项目名称、实施年月、所有设备的名称、品牌和型号、各设备厂家售后服务电话、</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人售后服务联系方式、监督(采购人)电话等内容。在供货前，</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须向验收小组提前提交[验收申请报告]，由验收小组安排验收时间，验收小组到指定供货地点进行验收。必要时采购单位也可根据需要,将产品送检测机构检验，切实保证产品符合国家现行有关部门标准及采购文件对项目的技术规定要求和供应商的响应承诺等情况以及合同明确约定的要求，送检费用由</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人承担。</w:t>
            </w:r>
          </w:p>
          <w:p w14:paraId="7A635644">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4.验收公告:所有货物全部验收合格后，验收小组出具验收书。同时采购人将验收结果在广西政府采购云平台进行公告。</w:t>
            </w:r>
          </w:p>
          <w:p w14:paraId="755BDA0A">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5.保密要求:</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人在项目实施过程中，需要了解或知悉采购人的相关业务信息，为确保采购人业务信息的安全，</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人必须对本项目所有项目信息予以保密,未经采购单位书面许可，</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人不得以任何形式向第三方透露本项目的任何内容，并与采购人签订相关的《保密协议书》。</w:t>
            </w:r>
          </w:p>
          <w:p w14:paraId="1D1367FB">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6.其他服务要求：设备初检通过后，</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人应尽快安排技术人员进行设备的安装与调试。</w:t>
            </w:r>
          </w:p>
          <w:p w14:paraId="42A9E803">
            <w:pPr>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7.其他验收要求按第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章《合同主要条款格式》执行，未尽事宜按照《关于印发广西壮族自治区政府采购项目履约验收管理办法的通知》[桂财采(2015) 22号]以及《财政部关于进一步加强政府采购需求和履约验收管理的指导意见》[财库(2016) 205号]规定执行。</w:t>
            </w:r>
          </w:p>
        </w:tc>
      </w:tr>
      <w:tr w14:paraId="12DE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78C9785E">
            <w:pPr>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备品备件及耗材等要求</w:t>
            </w:r>
          </w:p>
        </w:tc>
        <w:tc>
          <w:tcPr>
            <w:tcW w:w="8983" w:type="dxa"/>
            <w:gridSpan w:val="5"/>
            <w:vAlign w:val="center"/>
          </w:tcPr>
          <w:p w14:paraId="0B6A970A">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产品如包括必备的易损易耗备品备件和专用工具，</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时请提供备品备件及易损件清单及价格（格式自拟）。</w:t>
            </w:r>
          </w:p>
          <w:p w14:paraId="75ACD087">
            <w:pPr>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常年备有设备配件，能及时处理、更换损坏的零部件。</w:t>
            </w:r>
          </w:p>
        </w:tc>
      </w:tr>
      <w:tr w14:paraId="35E9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7D099066">
            <w:pPr>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其他要求</w:t>
            </w:r>
          </w:p>
        </w:tc>
        <w:tc>
          <w:tcPr>
            <w:tcW w:w="8983" w:type="dxa"/>
            <w:gridSpan w:val="5"/>
            <w:vAlign w:val="center"/>
          </w:tcPr>
          <w:p w14:paraId="2D7C1E57">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实施项目工作期间如出现人员人身财产安全事故、损失等由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自行负责，采购人不负任何责任。</w:t>
            </w:r>
          </w:p>
          <w:p w14:paraId="2C16D593">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2.产品说明</w:t>
            </w:r>
          </w:p>
          <w:p w14:paraId="6C112013">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所提供的任何材料应当真实有效，如在评审过程中发现</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中提供任何虚假材料的，按</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无效处理，采购人有权汇报监督管理部门处理；</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后，采购人发现</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中提供任何虚假材料的，采购人有权汇报监督管理部门处理，造成损失的</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供应商须依照《中华人民共和国消费者权益保护法》赔偿采购人，民事赔偿并不免除违法</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供应商的法律责任。</w:t>
            </w:r>
          </w:p>
          <w:p w14:paraId="0CDEDE78">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②本项目货物不接受进口产品</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，根据《政府采购进口产品管理办法》（财库〔2007〕119号），进口产品是指通过中国海关报关验放进入中国境内且产自关境外的产品，如供应商有采用进口产品参与</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，则</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无效。</w:t>
            </w:r>
          </w:p>
          <w:p w14:paraId="7F3AFF8F">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③本项目货物涉及的产品及其配件包括但不限于各类芯片等必须符合国家有关政策规定，不得使用国家禁止使用范围内的产品及其配件，否则</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无效。</w:t>
            </w:r>
          </w:p>
          <w:p w14:paraId="3B3C69BA">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④本项目采购的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产品如有属于政府采购强制节能产品的，应根据《市场监管总局关于发布参与实施政府采购节能产品、环境标志产品认证机构名录的公告》2019年第16号、财库〔2019〕9号以及财库〔2019〕19号文规定，</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时须提供国家确定的认证机构出具的、处于有效期之内的有效的节能产品认证证书复印件并加盖</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公章。</w:t>
            </w:r>
          </w:p>
          <w:p w14:paraId="14E54C18">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⑤采购货物纳入强制性产品认证（3C认证）的，</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所投产品必须从其规定。</w:t>
            </w:r>
          </w:p>
          <w:p w14:paraId="249E8B84">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3.本项目采购标的需执行的国家相关标准、行业标准、地方标准或其他强制性标准、规范等要求。</w:t>
            </w:r>
          </w:p>
          <w:p w14:paraId="0BC166AA">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供应商竞标</w:t>
            </w:r>
            <w:r>
              <w:rPr>
                <w:rFonts w:hint="eastAsia" w:ascii="宋体" w:hAnsi="宋体" w:cs="宋体"/>
                <w:color w:val="auto"/>
                <w:szCs w:val="21"/>
                <w:highlight w:val="none"/>
              </w:rPr>
              <w:t>时，如有，请在</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中提供针对第三方检测报告或产品技术参数证明或产品技术白皮书等技术参数佐证材料、项目技术实施方案、拟投入本项目团队情况、信誉业绩等相关内容。</w:t>
            </w:r>
          </w:p>
          <w:p w14:paraId="2FA88A4C">
            <w:pPr>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须在设备进场前根据实训室空间条件进行设备布置设计，在安装前提交详细设备布置方案，经采购人确认后方可实施，具体须满足采购人教学实训需求。</w:t>
            </w:r>
          </w:p>
        </w:tc>
      </w:tr>
      <w:tr w14:paraId="3CCE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17" w:type="dxa"/>
            <w:gridSpan w:val="2"/>
            <w:vAlign w:val="center"/>
          </w:tcPr>
          <w:p w14:paraId="7F37ECA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8983" w:type="dxa"/>
            <w:gridSpan w:val="5"/>
          </w:tcPr>
          <w:p w14:paraId="1EAA113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履约保证金金额：按成交金额的2%交纳。</w:t>
            </w:r>
          </w:p>
          <w:p w14:paraId="652428C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2.履约保证金递交方式：以电汇、转账、汇票、金融机构或担保机构出具的保函等非现金形式提交。由</w:t>
            </w:r>
            <w:r>
              <w:rPr>
                <w:rFonts w:hint="eastAsia" w:asciiTheme="minorEastAsia" w:hAnsiTheme="minorEastAsia" w:eastAsiaTheme="minorEastAsia" w:cstheme="minorEastAsia"/>
                <w:color w:val="auto"/>
                <w:sz w:val="21"/>
                <w:szCs w:val="21"/>
                <w:highlight w:val="none"/>
                <w:lang w:val="en-US" w:eastAsia="zh-CN"/>
              </w:rPr>
              <w:t>成交</w:t>
            </w:r>
            <w:r>
              <w:rPr>
                <w:rFonts w:hint="eastAsia" w:asciiTheme="minorEastAsia" w:hAnsiTheme="minorEastAsia" w:eastAsiaTheme="minorEastAsia" w:cstheme="minorEastAsia"/>
                <w:color w:val="auto"/>
                <w:sz w:val="21"/>
                <w:szCs w:val="21"/>
                <w:highlight w:val="none"/>
              </w:rPr>
              <w:t>人在成交通知书发出后10个工作日内按规定的金额直接缴入广西机电职业技术学院账户，账户名称: 广西机电职业技术学院；开户行：</w:t>
            </w:r>
            <w:r>
              <w:rPr>
                <w:rFonts w:hint="eastAsia" w:asciiTheme="minorEastAsia" w:hAnsiTheme="minorEastAsia" w:eastAsiaTheme="minorEastAsia" w:cstheme="minorEastAsia"/>
                <w:color w:val="auto"/>
                <w:sz w:val="21"/>
                <w:szCs w:val="21"/>
                <w:highlight w:val="none"/>
                <w:lang w:eastAsia="zh-CN"/>
              </w:rPr>
              <w:t>中国建设银行广西南宁大学路支行</w:t>
            </w:r>
            <w:r>
              <w:rPr>
                <w:rFonts w:hint="eastAsia" w:asciiTheme="minorEastAsia" w:hAnsiTheme="minorEastAsia" w:eastAsiaTheme="minorEastAsia" w:cstheme="minorEastAsia"/>
                <w:color w:val="auto"/>
                <w:sz w:val="21"/>
                <w:szCs w:val="21"/>
                <w:highlight w:val="none"/>
              </w:rPr>
              <w:t>；银行账号：4500 1604 8510 5050 3961。</w:t>
            </w:r>
          </w:p>
          <w:p w14:paraId="0379A88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成交</w:t>
            </w:r>
            <w:r>
              <w:rPr>
                <w:rFonts w:hint="eastAsia" w:asciiTheme="minorEastAsia" w:hAnsiTheme="minorEastAsia" w:eastAsiaTheme="minorEastAsia" w:cstheme="minorEastAsia"/>
                <w:color w:val="auto"/>
                <w:sz w:val="21"/>
                <w:szCs w:val="21"/>
                <w:highlight w:val="none"/>
              </w:rPr>
              <w:t>人须在签订合同之前按照本条规定的履约保证金金额、递交方式直接转入采购人账户，否则不予签订合同。在全部货物完成交付并验收合格后</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由</w:t>
            </w:r>
            <w:r>
              <w:rPr>
                <w:rFonts w:hint="eastAsia" w:asciiTheme="minorEastAsia" w:hAnsiTheme="minorEastAsia" w:eastAsiaTheme="minorEastAsia" w:cstheme="minorEastAsia"/>
                <w:color w:val="auto"/>
                <w:sz w:val="21"/>
                <w:szCs w:val="21"/>
                <w:highlight w:val="none"/>
                <w:lang w:val="en-US" w:eastAsia="zh-CN"/>
              </w:rPr>
              <w:t>成交</w:t>
            </w:r>
            <w:r>
              <w:rPr>
                <w:rFonts w:hint="eastAsia" w:asciiTheme="minorEastAsia" w:hAnsiTheme="minorEastAsia" w:eastAsiaTheme="minorEastAsia" w:cstheme="minorEastAsia"/>
                <w:color w:val="auto"/>
                <w:sz w:val="21"/>
                <w:szCs w:val="21"/>
                <w:highlight w:val="none"/>
              </w:rPr>
              <w:t>人向履约保证金收取单位提供《采购项目合同验收书》、《采购项目履约保证金退付意见书》，保证金收取单位在收到合格材料后，根据</w:t>
            </w:r>
            <w:r>
              <w:rPr>
                <w:rFonts w:hint="eastAsia" w:asciiTheme="minorEastAsia" w:hAnsiTheme="minorEastAsia" w:eastAsiaTheme="minorEastAsia" w:cstheme="minorEastAsia"/>
                <w:color w:val="auto"/>
                <w:sz w:val="21"/>
                <w:szCs w:val="21"/>
                <w:highlight w:val="none"/>
                <w:lang w:val="en-US" w:eastAsia="zh-CN"/>
              </w:rPr>
              <w:t>成交</w:t>
            </w:r>
            <w:r>
              <w:rPr>
                <w:rFonts w:hint="eastAsia" w:asciiTheme="minorEastAsia" w:hAnsiTheme="minorEastAsia" w:eastAsiaTheme="minorEastAsia" w:cstheme="minorEastAsia"/>
                <w:color w:val="auto"/>
                <w:sz w:val="21"/>
                <w:szCs w:val="21"/>
                <w:highlight w:val="none"/>
              </w:rPr>
              <w:t>人相关违约处罚扣款后的实际数额在</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个工作日内办理退还手续（不计利息）。若采购内容质保期各不相同的，也可按金额比例分次退付。</w:t>
            </w:r>
          </w:p>
          <w:p w14:paraId="140B4A1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4.在履约保证金退还日期前，若</w:t>
            </w:r>
            <w:r>
              <w:rPr>
                <w:rFonts w:hint="eastAsia" w:ascii="宋体" w:hAnsi="宋体" w:cs="宋体"/>
                <w:color w:val="auto"/>
                <w:szCs w:val="21"/>
                <w:highlight w:val="none"/>
                <w:lang w:val="en-US" w:eastAsia="zh-CN"/>
              </w:rPr>
              <w:t>成交</w:t>
            </w:r>
            <w:r>
              <w:rPr>
                <w:rFonts w:hint="eastAsia" w:asciiTheme="minorEastAsia" w:hAnsiTheme="minorEastAsia" w:eastAsiaTheme="minorEastAsia" w:cstheme="minorEastAsia"/>
                <w:color w:val="auto"/>
                <w:sz w:val="21"/>
                <w:szCs w:val="21"/>
                <w:highlight w:val="none"/>
              </w:rPr>
              <w:t>人的开户名称、开户银行、账号有变动的，请以书面形式通知广西机电职业技术学院，否则由此产生的后果由</w:t>
            </w:r>
            <w:r>
              <w:rPr>
                <w:rFonts w:hint="eastAsia" w:asciiTheme="minorEastAsia" w:hAnsiTheme="minorEastAsia" w:eastAsiaTheme="minorEastAsia" w:cstheme="minorEastAsia"/>
                <w:color w:val="auto"/>
                <w:sz w:val="21"/>
                <w:szCs w:val="21"/>
                <w:highlight w:val="none"/>
                <w:lang w:eastAsia="zh-CN"/>
              </w:rPr>
              <w:t>成交</w:t>
            </w:r>
            <w:r>
              <w:rPr>
                <w:rFonts w:hint="eastAsia" w:asciiTheme="minorEastAsia" w:hAnsiTheme="minorEastAsia" w:eastAsiaTheme="minorEastAsia" w:cstheme="minorEastAsia"/>
                <w:color w:val="auto"/>
                <w:sz w:val="21"/>
                <w:szCs w:val="21"/>
                <w:highlight w:val="none"/>
              </w:rPr>
              <w:t>人自负。</w:t>
            </w:r>
          </w:p>
          <w:p w14:paraId="3A2DCCC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成交人</w:t>
            </w:r>
            <w:r>
              <w:rPr>
                <w:rFonts w:hint="eastAsia" w:asciiTheme="minorEastAsia" w:hAnsiTheme="minorEastAsia" w:eastAsiaTheme="minorEastAsia" w:cstheme="minorEastAsia"/>
                <w:color w:val="auto"/>
                <w:sz w:val="21"/>
                <w:szCs w:val="21"/>
                <w:highlight w:val="none"/>
              </w:rPr>
              <w:t>采用保函形式缴纳履约保证金的，该保函需载明：</w:t>
            </w:r>
          </w:p>
          <w:p w14:paraId="62B812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（1）见索即付；</w:t>
            </w:r>
          </w:p>
          <w:p w14:paraId="59578D0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color w:val="auto"/>
                <w:sz w:val="21"/>
                <w:szCs w:val="21"/>
                <w:highlight w:val="none"/>
              </w:rPr>
              <w:t>（2）收到采购人法定代表人或授权委托代理人签字确认并加盖公章的书面索赔通知后即应不争辩、不挑剔、不可撤销地向采购人支付索赔款，直至最高担保金额。（如</w:t>
            </w:r>
            <w:r>
              <w:rPr>
                <w:rFonts w:hint="eastAsia" w:asciiTheme="minorEastAsia" w:hAnsiTheme="minorEastAsia" w:eastAsiaTheme="minorEastAsia" w:cstheme="minorEastAsia"/>
                <w:color w:val="auto"/>
                <w:sz w:val="21"/>
                <w:szCs w:val="21"/>
                <w:highlight w:val="none"/>
                <w:lang w:val="en-US" w:eastAsia="zh-CN"/>
              </w:rPr>
              <w:t>成交人</w:t>
            </w:r>
            <w:r>
              <w:rPr>
                <w:rFonts w:hint="eastAsia" w:asciiTheme="minorEastAsia" w:hAnsiTheme="minorEastAsia" w:eastAsiaTheme="minorEastAsia" w:cstheme="minorEastAsia"/>
                <w:color w:val="auto"/>
                <w:sz w:val="21"/>
                <w:szCs w:val="21"/>
                <w:highlight w:val="none"/>
              </w:rPr>
              <w:t>提供的保函未载明前述内容的，采购人可直接拒收该保函，</w:t>
            </w:r>
            <w:r>
              <w:rPr>
                <w:rFonts w:hint="eastAsia" w:asciiTheme="minorEastAsia" w:hAnsiTheme="minorEastAsia" w:eastAsiaTheme="minorEastAsia" w:cstheme="minorEastAsia"/>
                <w:color w:val="auto"/>
                <w:sz w:val="21"/>
                <w:szCs w:val="21"/>
                <w:highlight w:val="none"/>
                <w:lang w:val="en-US" w:eastAsia="zh-CN"/>
              </w:rPr>
              <w:t>成交人</w:t>
            </w:r>
            <w:r>
              <w:rPr>
                <w:rFonts w:hint="eastAsia" w:asciiTheme="minorEastAsia" w:hAnsiTheme="minorEastAsia" w:eastAsiaTheme="minorEastAsia" w:cstheme="minorEastAsia"/>
                <w:color w:val="auto"/>
                <w:sz w:val="21"/>
                <w:szCs w:val="21"/>
                <w:highlight w:val="none"/>
              </w:rPr>
              <w:t>应以银行转账或其他能切实发挥履约担保作用的方式提供履约保证金）。</w:t>
            </w:r>
          </w:p>
        </w:tc>
      </w:tr>
    </w:tbl>
    <w:p w14:paraId="70CCCCAF">
      <w:pPr>
        <w:spacing w:line="428" w:lineRule="exact"/>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br w:type="page"/>
      </w:r>
    </w:p>
    <w:p w14:paraId="5ACCF069">
      <w:pPr>
        <w:rPr>
          <w:color w:val="auto"/>
          <w:highlight w:val="none"/>
        </w:rPr>
      </w:pPr>
    </w:p>
    <w:p w14:paraId="581C107B">
      <w:pPr>
        <w:spacing w:line="428" w:lineRule="exact"/>
        <w:ind w:left="119"/>
        <w:rPr>
          <w:rFonts w:hint="eastAsia" w:ascii="Arial Unicode MS" w:hAnsi="Arial Unicode MS" w:eastAsia="Arial Unicode MS" w:cs="Arial Unicode MS"/>
          <w:color w:val="auto"/>
          <w:sz w:val="32"/>
          <w:szCs w:val="32"/>
          <w:highlight w:val="none"/>
        </w:rPr>
      </w:pPr>
      <w:r>
        <w:rPr>
          <w:rFonts w:hint="eastAsia" w:ascii="微软雅黑" w:hAnsi="微软雅黑" w:eastAsia="微软雅黑" w:cs="微软雅黑"/>
          <w:color w:val="auto"/>
          <w:sz w:val="32"/>
          <w:szCs w:val="32"/>
          <w:highlight w:val="none"/>
        </w:rPr>
        <w:t>附件</w:t>
      </w:r>
      <w:r>
        <w:rPr>
          <w:rFonts w:ascii="Arial Unicode MS" w:hAnsi="Arial Unicode MS" w:eastAsia="Arial Unicode MS" w:cs="Arial Unicode MS"/>
          <w:color w:val="auto"/>
          <w:sz w:val="32"/>
          <w:szCs w:val="32"/>
          <w:highlight w:val="none"/>
        </w:rPr>
        <w:t>1</w:t>
      </w:r>
      <w:r>
        <w:rPr>
          <w:rFonts w:hint="eastAsia" w:ascii="微软雅黑" w:hAnsi="微软雅黑" w:eastAsia="微软雅黑" w:cs="微软雅黑"/>
          <w:color w:val="auto"/>
          <w:sz w:val="32"/>
          <w:szCs w:val="32"/>
          <w:highlight w:val="none"/>
        </w:rPr>
        <w:t>：</w:t>
      </w:r>
    </w:p>
    <w:p w14:paraId="5AC8515F">
      <w:pPr>
        <w:spacing w:before="7"/>
        <w:rPr>
          <w:rFonts w:hint="eastAsia" w:ascii="Arial Unicode MS" w:hAnsi="Arial Unicode MS" w:eastAsia="Arial Unicode MS" w:cs="Arial Unicode MS"/>
          <w:color w:val="auto"/>
          <w:sz w:val="17"/>
          <w:szCs w:val="17"/>
          <w:highlight w:val="none"/>
        </w:rPr>
      </w:pPr>
    </w:p>
    <w:p w14:paraId="152FA47F">
      <w:pPr>
        <w:spacing w:line="528" w:lineRule="exact"/>
        <w:ind w:left="22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节能产品政府采购品目清单</w:t>
      </w:r>
    </w:p>
    <w:tbl>
      <w:tblPr>
        <w:tblStyle w:val="27"/>
        <w:tblW w:w="9220" w:type="dxa"/>
        <w:tblInd w:w="93" w:type="dxa"/>
        <w:tblLayout w:type="autofit"/>
        <w:tblCellMar>
          <w:top w:w="0" w:type="dxa"/>
          <w:left w:w="108" w:type="dxa"/>
          <w:bottom w:w="0" w:type="dxa"/>
          <w:right w:w="108" w:type="dxa"/>
        </w:tblCellMar>
      </w:tblPr>
      <w:tblGrid>
        <w:gridCol w:w="589"/>
        <w:gridCol w:w="1296"/>
        <w:gridCol w:w="1776"/>
        <w:gridCol w:w="1776"/>
        <w:gridCol w:w="3783"/>
      </w:tblGrid>
      <w:tr w14:paraId="0966A042">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tcPr>
          <w:p w14:paraId="4ED4BCBA">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5B7C7A0F">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名称</w:t>
            </w:r>
          </w:p>
        </w:tc>
        <w:tc>
          <w:tcPr>
            <w:tcW w:w="4540" w:type="dxa"/>
            <w:tcBorders>
              <w:top w:val="single" w:color="000000" w:sz="8" w:space="0"/>
              <w:left w:val="nil"/>
              <w:bottom w:val="single" w:color="000000" w:sz="8" w:space="0"/>
              <w:right w:val="single" w:color="000000" w:sz="8" w:space="0"/>
            </w:tcBorders>
            <w:vAlign w:val="center"/>
          </w:tcPr>
          <w:p w14:paraId="1A4964BD">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依据的标准</w:t>
            </w:r>
          </w:p>
        </w:tc>
      </w:tr>
      <w:tr w14:paraId="0B1FD702">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vAlign w:val="center"/>
          </w:tcPr>
          <w:p w14:paraId="5252971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1080" w:type="dxa"/>
            <w:vMerge w:val="restart"/>
            <w:tcBorders>
              <w:top w:val="nil"/>
              <w:left w:val="single" w:color="000000" w:sz="8" w:space="0"/>
              <w:bottom w:val="single" w:color="000000" w:sz="8" w:space="0"/>
              <w:right w:val="single" w:color="000000" w:sz="8" w:space="0"/>
            </w:tcBorders>
            <w:vAlign w:val="center"/>
          </w:tcPr>
          <w:p w14:paraId="392CC57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A020101计算机设备</w:t>
            </w:r>
          </w:p>
        </w:tc>
        <w:tc>
          <w:tcPr>
            <w:tcW w:w="1320" w:type="dxa"/>
            <w:tcBorders>
              <w:top w:val="nil"/>
              <w:left w:val="nil"/>
              <w:bottom w:val="single" w:color="000000" w:sz="8" w:space="0"/>
              <w:right w:val="single" w:color="000000" w:sz="8" w:space="0"/>
            </w:tcBorders>
            <w:vAlign w:val="center"/>
          </w:tcPr>
          <w:p w14:paraId="1D55AF85">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★A02010104台式计算机</w:t>
            </w:r>
          </w:p>
        </w:tc>
        <w:tc>
          <w:tcPr>
            <w:tcW w:w="1620" w:type="dxa"/>
            <w:tcBorders>
              <w:top w:val="nil"/>
              <w:left w:val="nil"/>
              <w:bottom w:val="single" w:color="000000" w:sz="8" w:space="0"/>
              <w:right w:val="single" w:color="000000" w:sz="8" w:space="0"/>
            </w:tcBorders>
            <w:vAlign w:val="center"/>
          </w:tcPr>
          <w:p w14:paraId="0B65BF3E">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482A99D6">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《微型计算机能效限定值及能效等级》（GB28380）</w:t>
            </w:r>
          </w:p>
        </w:tc>
      </w:tr>
      <w:tr w14:paraId="24CD13E2">
        <w:tblPrEx>
          <w:tblCellMar>
            <w:top w:w="0" w:type="dxa"/>
            <w:left w:w="108" w:type="dxa"/>
            <w:bottom w:w="0" w:type="dxa"/>
            <w:right w:w="108" w:type="dxa"/>
          </w:tblCellMar>
        </w:tblPrEx>
        <w:trPr>
          <w:trHeight w:val="49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F7AB6AB">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328BD0D">
            <w:pPr>
              <w:widowControl/>
              <w:jc w:val="left"/>
              <w:rPr>
                <w:rFonts w:hint="eastAsia"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0C145B29">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★A02010105便携式计算机</w:t>
            </w:r>
          </w:p>
        </w:tc>
        <w:tc>
          <w:tcPr>
            <w:tcW w:w="1620" w:type="dxa"/>
            <w:tcBorders>
              <w:top w:val="nil"/>
              <w:left w:val="nil"/>
              <w:bottom w:val="single" w:color="000000" w:sz="8" w:space="0"/>
              <w:right w:val="single" w:color="000000" w:sz="8" w:space="0"/>
            </w:tcBorders>
            <w:vAlign w:val="center"/>
          </w:tcPr>
          <w:p w14:paraId="08ADA9FE">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0F2EB57C">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《微型计算机能效限定值及能效等级》（GB28380）</w:t>
            </w:r>
          </w:p>
        </w:tc>
      </w:tr>
      <w:tr w14:paraId="38D4FC87">
        <w:tblPrEx>
          <w:tblCellMar>
            <w:top w:w="0" w:type="dxa"/>
            <w:left w:w="108" w:type="dxa"/>
            <w:bottom w:w="0" w:type="dxa"/>
            <w:right w:w="108" w:type="dxa"/>
          </w:tblCellMar>
        </w:tblPrEx>
        <w:trPr>
          <w:trHeight w:val="73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A7C54D7">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C3235E1">
            <w:pPr>
              <w:widowControl/>
              <w:jc w:val="left"/>
              <w:rPr>
                <w:rFonts w:hint="eastAsia"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7B9D5F6F">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★A02010107平板式微型计算机</w:t>
            </w:r>
          </w:p>
        </w:tc>
        <w:tc>
          <w:tcPr>
            <w:tcW w:w="1620" w:type="dxa"/>
            <w:tcBorders>
              <w:top w:val="nil"/>
              <w:left w:val="nil"/>
              <w:bottom w:val="single" w:color="000000" w:sz="8" w:space="0"/>
              <w:right w:val="single" w:color="000000" w:sz="8" w:space="0"/>
            </w:tcBorders>
            <w:vAlign w:val="center"/>
          </w:tcPr>
          <w:p w14:paraId="5E46E72E">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4DA6A1E3">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《微型计算机能效限定值及能效等级》（GB28380）</w:t>
            </w:r>
          </w:p>
        </w:tc>
      </w:tr>
      <w:tr w14:paraId="5913D5A4">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309DA2BA">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1080" w:type="dxa"/>
            <w:vMerge w:val="restart"/>
            <w:tcBorders>
              <w:top w:val="nil"/>
              <w:left w:val="single" w:color="000000" w:sz="8" w:space="0"/>
              <w:bottom w:val="single" w:color="000000" w:sz="8" w:space="0"/>
              <w:right w:val="single" w:color="000000" w:sz="8" w:space="0"/>
            </w:tcBorders>
            <w:vAlign w:val="center"/>
          </w:tcPr>
          <w:p w14:paraId="393E1A1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133639E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A02010601打印设备</w:t>
            </w:r>
          </w:p>
        </w:tc>
        <w:tc>
          <w:tcPr>
            <w:tcW w:w="1620" w:type="dxa"/>
            <w:tcBorders>
              <w:top w:val="nil"/>
              <w:left w:val="nil"/>
              <w:bottom w:val="single" w:color="000000" w:sz="8" w:space="0"/>
              <w:right w:val="single" w:color="000000" w:sz="8" w:space="0"/>
            </w:tcBorders>
            <w:vAlign w:val="center"/>
          </w:tcPr>
          <w:p w14:paraId="611D0E47">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A0201060101喷墨打印机</w:t>
            </w:r>
          </w:p>
        </w:tc>
        <w:tc>
          <w:tcPr>
            <w:tcW w:w="4540" w:type="dxa"/>
            <w:tcBorders>
              <w:top w:val="nil"/>
              <w:left w:val="nil"/>
              <w:bottom w:val="single" w:color="000000" w:sz="8" w:space="0"/>
              <w:right w:val="single" w:color="000000" w:sz="8" w:space="0"/>
            </w:tcBorders>
            <w:vAlign w:val="center"/>
          </w:tcPr>
          <w:p w14:paraId="5C817726">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《复印机、打印机和传真机能效限定值及能效等级》（GB21521）</w:t>
            </w:r>
          </w:p>
        </w:tc>
      </w:tr>
      <w:tr w14:paraId="04B8D3F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5014391">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E4B8B0A">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EDFE5DD">
            <w:pPr>
              <w:widowControl/>
              <w:jc w:val="left"/>
              <w:rPr>
                <w:rFonts w:hint="eastAsia" w:ascii="宋体" w:hAnsi="宋体" w:cs="宋体"/>
                <w:color w:val="auto"/>
                <w:kern w:val="0"/>
                <w:sz w:val="24"/>
                <w:highlight w:val="none"/>
              </w:rPr>
            </w:pPr>
          </w:p>
        </w:tc>
        <w:tc>
          <w:tcPr>
            <w:tcW w:w="1620" w:type="dxa"/>
            <w:tcBorders>
              <w:top w:val="nil"/>
              <w:left w:val="nil"/>
              <w:bottom w:val="single" w:color="000000" w:sz="8" w:space="0"/>
              <w:right w:val="single" w:color="000000" w:sz="8" w:space="0"/>
            </w:tcBorders>
            <w:vAlign w:val="center"/>
          </w:tcPr>
          <w:p w14:paraId="5ED41CD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★A0201060102激光打印机</w:t>
            </w:r>
          </w:p>
        </w:tc>
        <w:tc>
          <w:tcPr>
            <w:tcW w:w="4540" w:type="dxa"/>
            <w:tcBorders>
              <w:top w:val="nil"/>
              <w:left w:val="nil"/>
              <w:bottom w:val="single" w:color="000000" w:sz="8" w:space="0"/>
              <w:right w:val="single" w:color="000000" w:sz="8" w:space="0"/>
            </w:tcBorders>
            <w:vAlign w:val="center"/>
          </w:tcPr>
          <w:p w14:paraId="6ED55566">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《复印机、打印机和传真机能效限定值及能效等级》（GB21521）</w:t>
            </w:r>
          </w:p>
        </w:tc>
      </w:tr>
      <w:tr w14:paraId="618B7A4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DDB96EA">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DBB89E7">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D9281D8">
            <w:pPr>
              <w:widowControl/>
              <w:jc w:val="left"/>
              <w:rPr>
                <w:rFonts w:hint="eastAsia" w:ascii="宋体" w:hAnsi="宋体" w:cs="宋体"/>
                <w:color w:val="auto"/>
                <w:kern w:val="0"/>
                <w:sz w:val="24"/>
                <w:highlight w:val="none"/>
              </w:rPr>
            </w:pPr>
          </w:p>
        </w:tc>
        <w:tc>
          <w:tcPr>
            <w:tcW w:w="1620" w:type="dxa"/>
            <w:tcBorders>
              <w:top w:val="nil"/>
              <w:left w:val="nil"/>
              <w:bottom w:val="single" w:color="000000" w:sz="8" w:space="0"/>
              <w:right w:val="single" w:color="000000" w:sz="8" w:space="0"/>
            </w:tcBorders>
            <w:vAlign w:val="center"/>
          </w:tcPr>
          <w:p w14:paraId="7219CBCB">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★A0201060104针式打印机</w:t>
            </w:r>
          </w:p>
        </w:tc>
        <w:tc>
          <w:tcPr>
            <w:tcW w:w="4540" w:type="dxa"/>
            <w:tcBorders>
              <w:top w:val="nil"/>
              <w:left w:val="nil"/>
              <w:bottom w:val="single" w:color="000000" w:sz="8" w:space="0"/>
              <w:right w:val="single" w:color="000000" w:sz="8" w:space="0"/>
            </w:tcBorders>
            <w:vAlign w:val="center"/>
          </w:tcPr>
          <w:p w14:paraId="3D6B241A">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《复印机、打印机和传真机能效限定值及能效等级》（GB21521）</w:t>
            </w:r>
          </w:p>
        </w:tc>
      </w:tr>
      <w:tr w14:paraId="738290B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92206CA">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B59DED6">
            <w:pPr>
              <w:widowControl/>
              <w:jc w:val="left"/>
              <w:rPr>
                <w:rFonts w:hint="eastAsia"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6A1E542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A02010604显示设备</w:t>
            </w:r>
          </w:p>
        </w:tc>
        <w:tc>
          <w:tcPr>
            <w:tcW w:w="1620" w:type="dxa"/>
            <w:tcBorders>
              <w:top w:val="nil"/>
              <w:left w:val="nil"/>
              <w:bottom w:val="single" w:color="000000" w:sz="8" w:space="0"/>
              <w:right w:val="single" w:color="000000" w:sz="8" w:space="0"/>
            </w:tcBorders>
            <w:vAlign w:val="center"/>
          </w:tcPr>
          <w:p w14:paraId="1FCBFA2D">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★A0201060401液晶显示器</w:t>
            </w:r>
          </w:p>
        </w:tc>
        <w:tc>
          <w:tcPr>
            <w:tcW w:w="4540" w:type="dxa"/>
            <w:tcBorders>
              <w:top w:val="nil"/>
              <w:left w:val="nil"/>
              <w:bottom w:val="single" w:color="000000" w:sz="8" w:space="0"/>
              <w:right w:val="single" w:color="000000" w:sz="8" w:space="0"/>
            </w:tcBorders>
            <w:vAlign w:val="center"/>
          </w:tcPr>
          <w:p w14:paraId="28BA720C">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《计算机显示器能效限定值及能效等级》（GB21520）</w:t>
            </w:r>
          </w:p>
        </w:tc>
      </w:tr>
      <w:tr w14:paraId="09098F37">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005C71F3">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2B26942">
            <w:pPr>
              <w:widowControl/>
              <w:jc w:val="left"/>
              <w:rPr>
                <w:rFonts w:hint="eastAsia"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251F7C00">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A02010609图形图像输入设备</w:t>
            </w:r>
          </w:p>
        </w:tc>
        <w:tc>
          <w:tcPr>
            <w:tcW w:w="1620" w:type="dxa"/>
            <w:tcBorders>
              <w:top w:val="nil"/>
              <w:left w:val="nil"/>
              <w:bottom w:val="single" w:color="000000" w:sz="8" w:space="0"/>
              <w:right w:val="single" w:color="000000" w:sz="8" w:space="0"/>
            </w:tcBorders>
            <w:vAlign w:val="center"/>
          </w:tcPr>
          <w:p w14:paraId="1F77118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A0201060901扫描仪</w:t>
            </w:r>
          </w:p>
        </w:tc>
        <w:tc>
          <w:tcPr>
            <w:tcW w:w="4540" w:type="dxa"/>
            <w:tcBorders>
              <w:top w:val="nil"/>
              <w:left w:val="nil"/>
              <w:bottom w:val="single" w:color="000000" w:sz="8" w:space="0"/>
              <w:right w:val="single" w:color="000000" w:sz="8" w:space="0"/>
            </w:tcBorders>
            <w:vAlign w:val="center"/>
          </w:tcPr>
          <w:p w14:paraId="10E21EEF">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参照《复印机、打印机和传真机能效限定值及能效等级》（GB21521中打印速度为15页/分的针式打印机相关要求中打印速度为15页/分的针式打印机相关要求</w:t>
            </w:r>
          </w:p>
        </w:tc>
      </w:tr>
      <w:tr w14:paraId="13DE820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31C2EA7">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1080" w:type="dxa"/>
            <w:tcBorders>
              <w:top w:val="nil"/>
              <w:left w:val="nil"/>
              <w:bottom w:val="single" w:color="000000" w:sz="8" w:space="0"/>
              <w:right w:val="single" w:color="000000" w:sz="8" w:space="0"/>
            </w:tcBorders>
            <w:vAlign w:val="center"/>
          </w:tcPr>
          <w:p w14:paraId="4F334AAE">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A020202投影仪</w:t>
            </w:r>
          </w:p>
        </w:tc>
        <w:tc>
          <w:tcPr>
            <w:tcW w:w="1320" w:type="dxa"/>
            <w:tcBorders>
              <w:top w:val="nil"/>
              <w:left w:val="nil"/>
              <w:bottom w:val="single" w:color="000000" w:sz="8" w:space="0"/>
              <w:right w:val="single" w:color="000000" w:sz="8" w:space="0"/>
            </w:tcBorders>
            <w:vAlign w:val="center"/>
          </w:tcPr>
          <w:p w14:paraId="302CC60B">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46BA4659">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5E2EA8B3">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《投影机能效限定值及能效等级》（GB32028）</w:t>
            </w:r>
          </w:p>
        </w:tc>
      </w:tr>
      <w:tr w14:paraId="7B06573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6A51E2D">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4</w:t>
            </w:r>
          </w:p>
        </w:tc>
        <w:tc>
          <w:tcPr>
            <w:tcW w:w="1080" w:type="dxa"/>
            <w:tcBorders>
              <w:top w:val="nil"/>
              <w:left w:val="nil"/>
              <w:bottom w:val="single" w:color="000000" w:sz="8" w:space="0"/>
              <w:right w:val="single" w:color="000000" w:sz="8" w:space="0"/>
            </w:tcBorders>
            <w:vAlign w:val="center"/>
          </w:tcPr>
          <w:p w14:paraId="4E03AECE">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A020204多功能一体机</w:t>
            </w:r>
          </w:p>
        </w:tc>
        <w:tc>
          <w:tcPr>
            <w:tcW w:w="1320" w:type="dxa"/>
            <w:tcBorders>
              <w:top w:val="nil"/>
              <w:left w:val="nil"/>
              <w:bottom w:val="single" w:color="000000" w:sz="8" w:space="0"/>
              <w:right w:val="single" w:color="000000" w:sz="8" w:space="0"/>
            </w:tcBorders>
            <w:vAlign w:val="center"/>
          </w:tcPr>
          <w:p w14:paraId="2CBFDECF">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278B9670">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40B655B3">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《复印机、打印机和传真机能效限定值及能效等级》（GB21521）</w:t>
            </w:r>
          </w:p>
        </w:tc>
      </w:tr>
      <w:tr w14:paraId="1C32CB9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auto" w:sz="4" w:space="0"/>
              <w:right w:val="single" w:color="000000" w:sz="8" w:space="0"/>
            </w:tcBorders>
            <w:vAlign w:val="center"/>
          </w:tcPr>
          <w:p w14:paraId="45DF84C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w:t>
            </w:r>
          </w:p>
        </w:tc>
        <w:tc>
          <w:tcPr>
            <w:tcW w:w="1080" w:type="dxa"/>
            <w:tcBorders>
              <w:top w:val="nil"/>
              <w:left w:val="nil"/>
              <w:bottom w:val="single" w:color="auto" w:sz="4" w:space="0"/>
              <w:right w:val="single" w:color="000000" w:sz="8" w:space="0"/>
            </w:tcBorders>
            <w:vAlign w:val="center"/>
          </w:tcPr>
          <w:p w14:paraId="50702387">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A020519泵</w:t>
            </w:r>
          </w:p>
        </w:tc>
        <w:tc>
          <w:tcPr>
            <w:tcW w:w="1320" w:type="dxa"/>
            <w:tcBorders>
              <w:top w:val="nil"/>
              <w:left w:val="nil"/>
              <w:bottom w:val="single" w:color="auto" w:sz="4" w:space="0"/>
              <w:right w:val="single" w:color="000000" w:sz="8" w:space="0"/>
            </w:tcBorders>
            <w:vAlign w:val="center"/>
          </w:tcPr>
          <w:p w14:paraId="2EECC9D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A02051901离心泵</w:t>
            </w:r>
          </w:p>
        </w:tc>
        <w:tc>
          <w:tcPr>
            <w:tcW w:w="1620" w:type="dxa"/>
            <w:tcBorders>
              <w:top w:val="nil"/>
              <w:left w:val="nil"/>
              <w:bottom w:val="single" w:color="auto" w:sz="4" w:space="0"/>
              <w:right w:val="single" w:color="000000" w:sz="8" w:space="0"/>
            </w:tcBorders>
            <w:vAlign w:val="center"/>
          </w:tcPr>
          <w:p w14:paraId="34E755A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4" w:space="0"/>
              <w:right w:val="single" w:color="000000" w:sz="8" w:space="0"/>
            </w:tcBorders>
            <w:vAlign w:val="center"/>
          </w:tcPr>
          <w:p w14:paraId="1B4501AB">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《清水离心泵能效限定值及节能评价值》（GB19762）</w:t>
            </w:r>
          </w:p>
        </w:tc>
      </w:tr>
      <w:tr w14:paraId="689A4738">
        <w:tblPrEx>
          <w:tblCellMar>
            <w:top w:w="0" w:type="dxa"/>
            <w:left w:w="108" w:type="dxa"/>
            <w:bottom w:w="0" w:type="dxa"/>
            <w:right w:w="108" w:type="dxa"/>
          </w:tblCellMar>
        </w:tblPrEx>
        <w:trPr>
          <w:trHeight w:val="735" w:hRule="atLeast"/>
        </w:trPr>
        <w:tc>
          <w:tcPr>
            <w:tcW w:w="660" w:type="dxa"/>
            <w:vMerge w:val="restart"/>
            <w:tcBorders>
              <w:top w:val="single" w:color="auto" w:sz="4" w:space="0"/>
              <w:left w:val="single" w:color="auto" w:sz="4" w:space="0"/>
              <w:bottom w:val="single" w:color="auto" w:sz="4" w:space="0"/>
              <w:right w:val="single" w:color="auto" w:sz="4" w:space="0"/>
            </w:tcBorders>
            <w:vAlign w:val="center"/>
          </w:tcPr>
          <w:p w14:paraId="47F3FE7B">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6</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4E8DF9BD">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A020523制冷空调设备</w:t>
            </w: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7B49958D">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★A02052301制冷压缩机</w:t>
            </w:r>
          </w:p>
        </w:tc>
        <w:tc>
          <w:tcPr>
            <w:tcW w:w="1620" w:type="dxa"/>
            <w:tcBorders>
              <w:top w:val="single" w:color="auto" w:sz="4" w:space="0"/>
              <w:left w:val="single" w:color="auto" w:sz="4" w:space="0"/>
              <w:bottom w:val="single" w:color="auto" w:sz="4" w:space="0"/>
              <w:right w:val="single" w:color="auto" w:sz="4" w:space="0"/>
            </w:tcBorders>
            <w:vAlign w:val="center"/>
          </w:tcPr>
          <w:p w14:paraId="0E98FA34">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冷水机组</w:t>
            </w:r>
          </w:p>
        </w:tc>
        <w:tc>
          <w:tcPr>
            <w:tcW w:w="4540" w:type="dxa"/>
            <w:tcBorders>
              <w:top w:val="single" w:color="auto" w:sz="4" w:space="0"/>
              <w:left w:val="single" w:color="auto" w:sz="4" w:space="0"/>
              <w:bottom w:val="single" w:color="auto" w:sz="4" w:space="0"/>
              <w:right w:val="single" w:color="auto" w:sz="4" w:space="0"/>
            </w:tcBorders>
            <w:vAlign w:val="center"/>
          </w:tcPr>
          <w:p w14:paraId="439124E8">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《冷水机组能效限定值及能效等级》（GB19577），《低环境温度空气源热泵（冷水）机组能效限定值及能效等级》（GB37480）</w:t>
            </w:r>
          </w:p>
        </w:tc>
      </w:tr>
      <w:tr w14:paraId="460F3A5E">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D64CF2C">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716ED3D">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4F3F470">
            <w:pPr>
              <w:widowControl/>
              <w:jc w:val="left"/>
              <w:rPr>
                <w:rFonts w:hint="eastAsia"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A1E1F2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水源热泵机组</w:t>
            </w:r>
          </w:p>
        </w:tc>
        <w:tc>
          <w:tcPr>
            <w:tcW w:w="4540" w:type="dxa"/>
            <w:tcBorders>
              <w:top w:val="single" w:color="auto" w:sz="4" w:space="0"/>
              <w:left w:val="single" w:color="auto" w:sz="4" w:space="0"/>
              <w:bottom w:val="single" w:color="auto" w:sz="4" w:space="0"/>
              <w:right w:val="single" w:color="auto" w:sz="4" w:space="0"/>
            </w:tcBorders>
            <w:vAlign w:val="center"/>
          </w:tcPr>
          <w:p w14:paraId="46B16C77">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《水（地）源热泵机组能效限定值及能效等级》（GB30721）</w:t>
            </w:r>
          </w:p>
        </w:tc>
      </w:tr>
      <w:tr w14:paraId="39C44EFA">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806583F">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5E5446E">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211455">
            <w:pPr>
              <w:widowControl/>
              <w:jc w:val="left"/>
              <w:rPr>
                <w:rFonts w:hint="eastAsia"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93B2EE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溴化锂吸收式冷水机组</w:t>
            </w:r>
          </w:p>
        </w:tc>
        <w:tc>
          <w:tcPr>
            <w:tcW w:w="4540" w:type="dxa"/>
            <w:tcBorders>
              <w:top w:val="single" w:color="auto" w:sz="4" w:space="0"/>
              <w:left w:val="single" w:color="auto" w:sz="4" w:space="0"/>
              <w:bottom w:val="single" w:color="auto" w:sz="4" w:space="0"/>
              <w:right w:val="single" w:color="auto" w:sz="4" w:space="0"/>
            </w:tcBorders>
            <w:vAlign w:val="center"/>
          </w:tcPr>
          <w:p w14:paraId="3656C246">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《溴化锂吸收式冷水机组能效限定值及能效等级》（GB29540）</w:t>
            </w:r>
          </w:p>
        </w:tc>
      </w:tr>
      <w:tr w14:paraId="41E15DCC">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0AFC380">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5CFAAA6">
            <w:pPr>
              <w:widowControl/>
              <w:jc w:val="left"/>
              <w:rPr>
                <w:rFonts w:hint="eastAsia" w:ascii="宋体" w:hAnsi="宋体" w:cs="宋体"/>
                <w:color w:val="auto"/>
                <w:kern w:val="0"/>
                <w:sz w:val="24"/>
                <w:highlight w:val="none"/>
              </w:rPr>
            </w:pP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1BBB078A">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★A02052305空调机组</w:t>
            </w:r>
          </w:p>
        </w:tc>
        <w:tc>
          <w:tcPr>
            <w:tcW w:w="1620" w:type="dxa"/>
            <w:tcBorders>
              <w:top w:val="single" w:color="auto" w:sz="4" w:space="0"/>
              <w:left w:val="single" w:color="auto" w:sz="4" w:space="0"/>
              <w:bottom w:val="single" w:color="auto" w:sz="4" w:space="0"/>
              <w:right w:val="single" w:color="auto" w:sz="4" w:space="0"/>
            </w:tcBorders>
            <w:vAlign w:val="center"/>
          </w:tcPr>
          <w:p w14:paraId="0D9EB0E7">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多联式空调（热泵）机组(制冷量&gt;14000W)</w:t>
            </w:r>
          </w:p>
        </w:tc>
        <w:tc>
          <w:tcPr>
            <w:tcW w:w="4540" w:type="dxa"/>
            <w:tcBorders>
              <w:top w:val="single" w:color="auto" w:sz="4" w:space="0"/>
              <w:left w:val="single" w:color="auto" w:sz="4" w:space="0"/>
              <w:bottom w:val="single" w:color="auto" w:sz="4" w:space="0"/>
              <w:right w:val="single" w:color="auto" w:sz="4" w:space="0"/>
            </w:tcBorders>
            <w:vAlign w:val="center"/>
          </w:tcPr>
          <w:p w14:paraId="7AFCA48A">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《多联式空调（热泵）机组能效限定值及能源效率等级》（GB21454）</w:t>
            </w:r>
          </w:p>
        </w:tc>
      </w:tr>
      <w:tr w14:paraId="198E9D46">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554DE09">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24FEB51">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69C5C74">
            <w:pPr>
              <w:widowControl/>
              <w:jc w:val="left"/>
              <w:rPr>
                <w:rFonts w:hint="eastAsia"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5A259D8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单元式空气调节机(制冷量&gt;14000W</w:t>
            </w:r>
          </w:p>
        </w:tc>
        <w:tc>
          <w:tcPr>
            <w:tcW w:w="4540" w:type="dxa"/>
            <w:tcBorders>
              <w:top w:val="single" w:color="auto" w:sz="4" w:space="0"/>
              <w:left w:val="single" w:color="auto" w:sz="4" w:space="0"/>
              <w:bottom w:val="single" w:color="auto" w:sz="4" w:space="0"/>
              <w:right w:val="single" w:color="auto" w:sz="4" w:space="0"/>
            </w:tcBorders>
            <w:vAlign w:val="center"/>
          </w:tcPr>
          <w:p w14:paraId="4A51BB9C">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《单元式空气调节机能效限定值及能效等级》（GB19576）《风管送风式空调机组能效限定值及能效等级》（GB37479）</w:t>
            </w:r>
          </w:p>
        </w:tc>
      </w:tr>
      <w:tr w14:paraId="59471D88">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000000" w:sz="8" w:space="0"/>
              <w:right w:val="single" w:color="000000" w:sz="8" w:space="0"/>
            </w:tcBorders>
            <w:vAlign w:val="center"/>
          </w:tcPr>
          <w:p w14:paraId="45EF692D">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000000" w:sz="8" w:space="0"/>
              <w:bottom w:val="single" w:color="000000" w:sz="8" w:space="0"/>
              <w:right w:val="single" w:color="000000" w:sz="8" w:space="0"/>
            </w:tcBorders>
            <w:vAlign w:val="center"/>
          </w:tcPr>
          <w:p w14:paraId="32A185A1">
            <w:pPr>
              <w:widowControl/>
              <w:jc w:val="left"/>
              <w:rPr>
                <w:rFonts w:hint="eastAsia" w:ascii="宋体" w:hAnsi="宋体" w:cs="宋体"/>
                <w:color w:val="auto"/>
                <w:kern w:val="0"/>
                <w:sz w:val="24"/>
                <w:highlight w:val="none"/>
              </w:rPr>
            </w:pPr>
          </w:p>
        </w:tc>
        <w:tc>
          <w:tcPr>
            <w:tcW w:w="1320" w:type="dxa"/>
            <w:tcBorders>
              <w:top w:val="single" w:color="auto" w:sz="4" w:space="0"/>
              <w:left w:val="nil"/>
              <w:bottom w:val="single" w:color="000000" w:sz="8" w:space="0"/>
              <w:right w:val="single" w:color="000000" w:sz="8" w:space="0"/>
            </w:tcBorders>
            <w:vAlign w:val="center"/>
          </w:tcPr>
          <w:p w14:paraId="73F8520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★A02052309专用制冷、空调设备</w:t>
            </w:r>
          </w:p>
        </w:tc>
        <w:tc>
          <w:tcPr>
            <w:tcW w:w="1620" w:type="dxa"/>
            <w:tcBorders>
              <w:top w:val="single" w:color="auto" w:sz="4" w:space="0"/>
              <w:left w:val="nil"/>
              <w:bottom w:val="single" w:color="000000" w:sz="8" w:space="0"/>
              <w:right w:val="single" w:color="000000" w:sz="8" w:space="0"/>
            </w:tcBorders>
            <w:vAlign w:val="center"/>
          </w:tcPr>
          <w:p w14:paraId="2DD4139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机房空调</w:t>
            </w:r>
          </w:p>
        </w:tc>
        <w:tc>
          <w:tcPr>
            <w:tcW w:w="4540" w:type="dxa"/>
            <w:tcBorders>
              <w:top w:val="single" w:color="auto" w:sz="4" w:space="0"/>
              <w:left w:val="nil"/>
              <w:bottom w:val="single" w:color="000000" w:sz="8" w:space="0"/>
              <w:right w:val="single" w:color="000000" w:sz="8" w:space="0"/>
            </w:tcBorders>
            <w:vAlign w:val="center"/>
          </w:tcPr>
          <w:p w14:paraId="4758BEDF">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《单元式空气调节机能效限定值及能效等级》（GB19576）</w:t>
            </w:r>
          </w:p>
        </w:tc>
      </w:tr>
      <w:tr w14:paraId="6946E95F">
        <w:tblPrEx>
          <w:tblCellMar>
            <w:top w:w="0" w:type="dxa"/>
            <w:left w:w="108" w:type="dxa"/>
            <w:bottom w:w="0" w:type="dxa"/>
            <w:right w:w="108" w:type="dxa"/>
          </w:tblCellMar>
        </w:tblPrEx>
        <w:trPr>
          <w:trHeight w:val="735" w:hRule="atLeast"/>
        </w:trPr>
        <w:tc>
          <w:tcPr>
            <w:tcW w:w="0" w:type="auto"/>
            <w:vMerge w:val="continue"/>
            <w:tcBorders>
              <w:top w:val="nil"/>
              <w:left w:val="single" w:color="auto" w:sz="4" w:space="0"/>
              <w:bottom w:val="single" w:color="000000" w:sz="8" w:space="0"/>
              <w:right w:val="single" w:color="000000" w:sz="8" w:space="0"/>
            </w:tcBorders>
            <w:vAlign w:val="center"/>
          </w:tcPr>
          <w:p w14:paraId="078012B8">
            <w:pPr>
              <w:widowControl/>
              <w:jc w:val="left"/>
              <w:rPr>
                <w:rFonts w:hint="eastAsia"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4CDCEB8">
            <w:pPr>
              <w:widowControl/>
              <w:jc w:val="left"/>
              <w:rPr>
                <w:rFonts w:hint="eastAsia"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4053C6B4">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A02052399其他制冷空调设备</w:t>
            </w:r>
          </w:p>
        </w:tc>
        <w:tc>
          <w:tcPr>
            <w:tcW w:w="1620" w:type="dxa"/>
            <w:tcBorders>
              <w:top w:val="nil"/>
              <w:left w:val="nil"/>
              <w:bottom w:val="single" w:color="000000" w:sz="8" w:space="0"/>
              <w:right w:val="single" w:color="000000" w:sz="8" w:space="0"/>
            </w:tcBorders>
            <w:vAlign w:val="center"/>
          </w:tcPr>
          <w:p w14:paraId="37715A85">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冷却塔</w:t>
            </w:r>
          </w:p>
        </w:tc>
        <w:tc>
          <w:tcPr>
            <w:tcW w:w="4540" w:type="dxa"/>
            <w:tcBorders>
              <w:top w:val="nil"/>
              <w:left w:val="nil"/>
              <w:bottom w:val="single" w:color="000000" w:sz="8" w:space="0"/>
              <w:right w:val="single" w:color="000000" w:sz="8" w:space="0"/>
            </w:tcBorders>
            <w:vAlign w:val="center"/>
          </w:tcPr>
          <w:p w14:paraId="2C0C3C33">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《机械通风冷却塔第1部分：中小型开式冷却塔》（GB/T7190.1）；《机械通风冷却塔第2部分：大型开式冷却塔》（GB/T7190.2）</w:t>
            </w:r>
          </w:p>
        </w:tc>
      </w:tr>
      <w:tr w14:paraId="6219194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CC507D5">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7</w:t>
            </w:r>
          </w:p>
        </w:tc>
        <w:tc>
          <w:tcPr>
            <w:tcW w:w="1080" w:type="dxa"/>
            <w:tcBorders>
              <w:top w:val="nil"/>
              <w:left w:val="nil"/>
              <w:bottom w:val="single" w:color="000000" w:sz="8" w:space="0"/>
              <w:right w:val="single" w:color="000000" w:sz="8" w:space="0"/>
            </w:tcBorders>
            <w:vAlign w:val="center"/>
          </w:tcPr>
          <w:p w14:paraId="4E8B0C7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A020601电机</w:t>
            </w:r>
          </w:p>
        </w:tc>
        <w:tc>
          <w:tcPr>
            <w:tcW w:w="1320" w:type="dxa"/>
            <w:tcBorders>
              <w:top w:val="nil"/>
              <w:left w:val="nil"/>
              <w:bottom w:val="single" w:color="000000" w:sz="8" w:space="0"/>
              <w:right w:val="single" w:color="000000" w:sz="8" w:space="0"/>
            </w:tcBorders>
            <w:vAlign w:val="center"/>
          </w:tcPr>
          <w:p w14:paraId="7D3DFB87">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794C73E7">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6123ADCC">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《中小型三相异步电动机能效限定值及能效等级》（GB18613）</w:t>
            </w:r>
          </w:p>
        </w:tc>
      </w:tr>
      <w:tr w14:paraId="629AA9E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0FFC9C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8</w:t>
            </w:r>
          </w:p>
        </w:tc>
        <w:tc>
          <w:tcPr>
            <w:tcW w:w="1080" w:type="dxa"/>
            <w:tcBorders>
              <w:top w:val="nil"/>
              <w:left w:val="nil"/>
              <w:bottom w:val="single" w:color="000000" w:sz="8" w:space="0"/>
              <w:right w:val="single" w:color="000000" w:sz="8" w:space="0"/>
            </w:tcBorders>
            <w:vAlign w:val="center"/>
          </w:tcPr>
          <w:p w14:paraId="634A583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A020602变压器</w:t>
            </w:r>
          </w:p>
        </w:tc>
        <w:tc>
          <w:tcPr>
            <w:tcW w:w="1320" w:type="dxa"/>
            <w:tcBorders>
              <w:top w:val="nil"/>
              <w:left w:val="nil"/>
              <w:bottom w:val="single" w:color="000000" w:sz="8" w:space="0"/>
              <w:right w:val="single" w:color="000000" w:sz="8" w:space="0"/>
            </w:tcBorders>
            <w:vAlign w:val="center"/>
          </w:tcPr>
          <w:p w14:paraId="63A5FB1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配电变压器</w:t>
            </w:r>
          </w:p>
        </w:tc>
        <w:tc>
          <w:tcPr>
            <w:tcW w:w="1620" w:type="dxa"/>
            <w:tcBorders>
              <w:top w:val="nil"/>
              <w:left w:val="nil"/>
              <w:bottom w:val="single" w:color="000000" w:sz="8" w:space="0"/>
              <w:right w:val="single" w:color="000000" w:sz="8" w:space="0"/>
            </w:tcBorders>
            <w:vAlign w:val="center"/>
          </w:tcPr>
          <w:p w14:paraId="7C01D586">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3DB6F9A5">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《三相配电变压器能效限定值及能效等级》（GB20052）</w:t>
            </w:r>
          </w:p>
        </w:tc>
      </w:tr>
      <w:tr w14:paraId="3D79F08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auto" w:sz="4" w:space="0"/>
              <w:right w:val="single" w:color="000000" w:sz="8" w:space="0"/>
            </w:tcBorders>
            <w:vAlign w:val="center"/>
          </w:tcPr>
          <w:p w14:paraId="2404259B">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9</w:t>
            </w:r>
          </w:p>
        </w:tc>
        <w:tc>
          <w:tcPr>
            <w:tcW w:w="1080" w:type="dxa"/>
            <w:tcBorders>
              <w:top w:val="nil"/>
              <w:left w:val="nil"/>
              <w:bottom w:val="single" w:color="auto" w:sz="4" w:space="0"/>
              <w:right w:val="single" w:color="000000" w:sz="8" w:space="0"/>
            </w:tcBorders>
            <w:vAlign w:val="center"/>
          </w:tcPr>
          <w:p w14:paraId="2745B6AB">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★A020609镇流器</w:t>
            </w:r>
          </w:p>
        </w:tc>
        <w:tc>
          <w:tcPr>
            <w:tcW w:w="1320" w:type="dxa"/>
            <w:tcBorders>
              <w:top w:val="nil"/>
              <w:left w:val="nil"/>
              <w:bottom w:val="single" w:color="auto" w:sz="4" w:space="0"/>
              <w:right w:val="single" w:color="000000" w:sz="8" w:space="0"/>
            </w:tcBorders>
            <w:vAlign w:val="center"/>
          </w:tcPr>
          <w:p w14:paraId="3C275775">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管型荧光灯镇流器</w:t>
            </w:r>
          </w:p>
        </w:tc>
        <w:tc>
          <w:tcPr>
            <w:tcW w:w="1620" w:type="dxa"/>
            <w:tcBorders>
              <w:top w:val="nil"/>
              <w:left w:val="nil"/>
              <w:bottom w:val="single" w:color="auto" w:sz="4" w:space="0"/>
              <w:right w:val="single" w:color="000000" w:sz="8" w:space="0"/>
            </w:tcBorders>
            <w:vAlign w:val="center"/>
          </w:tcPr>
          <w:p w14:paraId="60FF3D99">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4" w:space="0"/>
              <w:right w:val="single" w:color="000000" w:sz="8" w:space="0"/>
            </w:tcBorders>
            <w:vAlign w:val="center"/>
          </w:tcPr>
          <w:p w14:paraId="037A7FAE">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《管形荧光灯镇流器能效限定值及能效等级》（GB17896）</w:t>
            </w:r>
          </w:p>
        </w:tc>
      </w:tr>
      <w:tr w14:paraId="161EB2E2">
        <w:tblPrEx>
          <w:tblCellMar>
            <w:top w:w="0" w:type="dxa"/>
            <w:left w:w="108" w:type="dxa"/>
            <w:bottom w:w="0" w:type="dxa"/>
            <w:right w:w="108" w:type="dxa"/>
          </w:tblCellMar>
        </w:tblPrEx>
        <w:trPr>
          <w:trHeight w:val="495" w:hRule="atLeast"/>
        </w:trPr>
        <w:tc>
          <w:tcPr>
            <w:tcW w:w="660" w:type="dxa"/>
            <w:vMerge w:val="restart"/>
            <w:tcBorders>
              <w:top w:val="single" w:color="auto" w:sz="4" w:space="0"/>
              <w:left w:val="single" w:color="auto" w:sz="4" w:space="0"/>
              <w:bottom w:val="single" w:color="auto" w:sz="4" w:space="0"/>
              <w:right w:val="single" w:color="auto" w:sz="4" w:space="0"/>
            </w:tcBorders>
            <w:vAlign w:val="center"/>
          </w:tcPr>
          <w:p w14:paraId="54260838">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428EA63B">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A020618生活用电器</w:t>
            </w:r>
          </w:p>
        </w:tc>
        <w:tc>
          <w:tcPr>
            <w:tcW w:w="1320" w:type="dxa"/>
            <w:tcBorders>
              <w:top w:val="single" w:color="auto" w:sz="4" w:space="0"/>
              <w:left w:val="single" w:color="auto" w:sz="4" w:space="0"/>
              <w:bottom w:val="single" w:color="auto" w:sz="4" w:space="0"/>
              <w:right w:val="single" w:color="auto" w:sz="4" w:space="0"/>
            </w:tcBorders>
            <w:vAlign w:val="center"/>
          </w:tcPr>
          <w:p w14:paraId="603DDD45">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A0206180101电冰箱</w:t>
            </w:r>
          </w:p>
        </w:tc>
        <w:tc>
          <w:tcPr>
            <w:tcW w:w="1620" w:type="dxa"/>
            <w:tcBorders>
              <w:top w:val="single" w:color="auto" w:sz="4" w:space="0"/>
              <w:left w:val="single" w:color="auto" w:sz="4" w:space="0"/>
              <w:bottom w:val="single" w:color="auto" w:sz="4" w:space="0"/>
              <w:right w:val="single" w:color="auto" w:sz="4" w:space="0"/>
            </w:tcBorders>
            <w:vAlign w:val="center"/>
          </w:tcPr>
          <w:p w14:paraId="58957E64">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5B47EA95">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《家用电冰箱耗电量限定值及能效等级》（GB 12021.2）</w:t>
            </w:r>
          </w:p>
        </w:tc>
      </w:tr>
      <w:tr w14:paraId="6B6051C6">
        <w:tblPrEx>
          <w:tblCellMar>
            <w:top w:w="0" w:type="dxa"/>
            <w:left w:w="108" w:type="dxa"/>
            <w:bottom w:w="0" w:type="dxa"/>
            <w:right w:w="108" w:type="dxa"/>
          </w:tblCellMar>
        </w:tblPrEx>
        <w:trPr>
          <w:trHeight w:val="97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034EB8B">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CD9E29">
            <w:pPr>
              <w:widowControl/>
              <w:jc w:val="left"/>
              <w:rPr>
                <w:rFonts w:hint="eastAsia" w:ascii="宋体" w:hAnsi="宋体" w:cs="宋体"/>
                <w:color w:val="auto"/>
                <w:kern w:val="0"/>
                <w:sz w:val="24"/>
                <w:highlight w:val="none"/>
              </w:rPr>
            </w:pP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0D469525">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★A0206180203空调机</w:t>
            </w:r>
          </w:p>
        </w:tc>
        <w:tc>
          <w:tcPr>
            <w:tcW w:w="1620" w:type="dxa"/>
            <w:tcBorders>
              <w:top w:val="single" w:color="auto" w:sz="4" w:space="0"/>
              <w:left w:val="single" w:color="auto" w:sz="4" w:space="0"/>
              <w:bottom w:val="single" w:color="auto" w:sz="4" w:space="0"/>
              <w:right w:val="single" w:color="auto" w:sz="4" w:space="0"/>
            </w:tcBorders>
            <w:vAlign w:val="center"/>
          </w:tcPr>
          <w:p w14:paraId="1268A550">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房间空气调节器</w:t>
            </w:r>
          </w:p>
        </w:tc>
        <w:tc>
          <w:tcPr>
            <w:tcW w:w="4540" w:type="dxa"/>
            <w:tcBorders>
              <w:top w:val="single" w:color="auto" w:sz="4" w:space="0"/>
              <w:left w:val="single" w:color="auto" w:sz="4" w:space="0"/>
              <w:bottom w:val="single" w:color="auto" w:sz="4" w:space="0"/>
              <w:right w:val="single" w:color="auto" w:sz="4" w:space="0"/>
            </w:tcBorders>
            <w:vAlign w:val="center"/>
          </w:tcPr>
          <w:p w14:paraId="2592DDA9">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《转速可控型房间空气调节器能效限定值及能效等级》（GB21455-2013），待2019年修订发布后，按《房间空气调节器能效限定值及能效等级》（GB21455-2019实施。</w:t>
            </w:r>
          </w:p>
        </w:tc>
      </w:tr>
      <w:tr w14:paraId="68935F27">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E4B7615">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D78ABEF">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C8D7F67">
            <w:pPr>
              <w:widowControl/>
              <w:jc w:val="left"/>
              <w:rPr>
                <w:rFonts w:hint="eastAsia"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221D28B">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多联式空调（热泵）机组（制冷量≤ 14000W）</w:t>
            </w:r>
          </w:p>
        </w:tc>
        <w:tc>
          <w:tcPr>
            <w:tcW w:w="4540" w:type="dxa"/>
            <w:tcBorders>
              <w:top w:val="single" w:color="auto" w:sz="4" w:space="0"/>
              <w:left w:val="single" w:color="auto" w:sz="4" w:space="0"/>
              <w:bottom w:val="single" w:color="auto" w:sz="4" w:space="0"/>
              <w:right w:val="single" w:color="auto" w:sz="4" w:space="0"/>
            </w:tcBorders>
            <w:vAlign w:val="center"/>
          </w:tcPr>
          <w:p w14:paraId="5082D57D">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《多联式空调（热泵）机组能效限定值及能源效率等级》（GB21454）</w:t>
            </w:r>
          </w:p>
        </w:tc>
      </w:tr>
      <w:tr w14:paraId="1B9B206B">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B876475">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7B37C3">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EC5DD4">
            <w:pPr>
              <w:widowControl/>
              <w:jc w:val="left"/>
              <w:rPr>
                <w:rFonts w:hint="eastAsia"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6D6B0C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单元式空气调节机(制冷量≤14000W)</w:t>
            </w:r>
          </w:p>
        </w:tc>
        <w:tc>
          <w:tcPr>
            <w:tcW w:w="4540" w:type="dxa"/>
            <w:tcBorders>
              <w:top w:val="single" w:color="auto" w:sz="4" w:space="0"/>
              <w:left w:val="single" w:color="auto" w:sz="4" w:space="0"/>
              <w:bottom w:val="single" w:color="auto" w:sz="4" w:space="0"/>
              <w:right w:val="single" w:color="auto" w:sz="4" w:space="0"/>
            </w:tcBorders>
            <w:vAlign w:val="center"/>
          </w:tcPr>
          <w:p w14:paraId="7A860746">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《单元式空气调节机能效限定值及能源效率等级》（GB19576）《风管送风式空调机组能效限定值及能效等级》（GB37479）</w:t>
            </w:r>
          </w:p>
        </w:tc>
      </w:tr>
      <w:tr w14:paraId="36C95BF0">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EDBFBA1">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A3399BC">
            <w:pPr>
              <w:widowControl/>
              <w:jc w:val="left"/>
              <w:rPr>
                <w:rFonts w:hint="eastAsia" w:ascii="宋体" w:hAnsi="宋体" w:cs="宋体"/>
                <w:color w:val="auto"/>
                <w:kern w:val="0"/>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2F99D45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A0206180301洗衣机</w:t>
            </w:r>
          </w:p>
        </w:tc>
        <w:tc>
          <w:tcPr>
            <w:tcW w:w="1620" w:type="dxa"/>
            <w:tcBorders>
              <w:top w:val="single" w:color="auto" w:sz="4" w:space="0"/>
              <w:left w:val="single" w:color="auto" w:sz="4" w:space="0"/>
              <w:bottom w:val="single" w:color="auto" w:sz="4" w:space="0"/>
              <w:right w:val="single" w:color="auto" w:sz="4" w:space="0"/>
            </w:tcBorders>
            <w:vAlign w:val="center"/>
          </w:tcPr>
          <w:p w14:paraId="72F8F3BB">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2A60A3AA">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《电动洗衣机能效水效限定值及等级》（GB12021.4）</w:t>
            </w:r>
          </w:p>
        </w:tc>
      </w:tr>
      <w:tr w14:paraId="42C1C0BF">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112F985">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09FB267">
            <w:pPr>
              <w:widowControl/>
              <w:jc w:val="left"/>
              <w:rPr>
                <w:rFonts w:hint="eastAsia" w:ascii="宋体" w:hAnsi="宋体" w:cs="宋体"/>
                <w:color w:val="auto"/>
                <w:kern w:val="0"/>
                <w:sz w:val="24"/>
                <w:highlight w:val="none"/>
              </w:rPr>
            </w:pP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5DE1CD8F">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A02061808热水器</w:t>
            </w:r>
          </w:p>
        </w:tc>
        <w:tc>
          <w:tcPr>
            <w:tcW w:w="1620" w:type="dxa"/>
            <w:tcBorders>
              <w:top w:val="single" w:color="auto" w:sz="4" w:space="0"/>
              <w:left w:val="single" w:color="auto" w:sz="4" w:space="0"/>
              <w:bottom w:val="single" w:color="auto" w:sz="4" w:space="0"/>
              <w:right w:val="single" w:color="auto" w:sz="4" w:space="0"/>
            </w:tcBorders>
            <w:vAlign w:val="center"/>
          </w:tcPr>
          <w:p w14:paraId="11AFF2E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★电热水器</w:t>
            </w:r>
          </w:p>
        </w:tc>
        <w:tc>
          <w:tcPr>
            <w:tcW w:w="4540" w:type="dxa"/>
            <w:tcBorders>
              <w:top w:val="single" w:color="auto" w:sz="4" w:space="0"/>
              <w:left w:val="single" w:color="auto" w:sz="4" w:space="0"/>
              <w:bottom w:val="single" w:color="auto" w:sz="4" w:space="0"/>
              <w:right w:val="single" w:color="auto" w:sz="4" w:space="0"/>
            </w:tcBorders>
            <w:vAlign w:val="center"/>
          </w:tcPr>
          <w:p w14:paraId="05377157">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《储水式电热水器能效限定值及能效等级》（GB21519）</w:t>
            </w:r>
          </w:p>
        </w:tc>
      </w:tr>
      <w:tr w14:paraId="033D05E5">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4E97FF7">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98A74C6">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58C9CF3">
            <w:pPr>
              <w:widowControl/>
              <w:jc w:val="left"/>
              <w:rPr>
                <w:rFonts w:hint="eastAsia"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2AC8FC34">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燃气热水器</w:t>
            </w:r>
          </w:p>
        </w:tc>
        <w:tc>
          <w:tcPr>
            <w:tcW w:w="4540" w:type="dxa"/>
            <w:tcBorders>
              <w:top w:val="single" w:color="auto" w:sz="4" w:space="0"/>
              <w:left w:val="single" w:color="auto" w:sz="4" w:space="0"/>
              <w:bottom w:val="single" w:color="auto" w:sz="4" w:space="0"/>
              <w:right w:val="single" w:color="auto" w:sz="4" w:space="0"/>
            </w:tcBorders>
            <w:vAlign w:val="center"/>
          </w:tcPr>
          <w:p w14:paraId="21DF994D">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《家用燃气快速热水器和燃气采暖热水炉能效限定值及能效等级》（GB20665）</w:t>
            </w:r>
          </w:p>
        </w:tc>
      </w:tr>
      <w:tr w14:paraId="44AB10DB">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D2C8062">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DACC663">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2FC72E4">
            <w:pPr>
              <w:widowControl/>
              <w:jc w:val="left"/>
              <w:rPr>
                <w:rFonts w:hint="eastAsia"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73FFB37">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热泵热水器</w:t>
            </w:r>
          </w:p>
        </w:tc>
        <w:tc>
          <w:tcPr>
            <w:tcW w:w="4540" w:type="dxa"/>
            <w:tcBorders>
              <w:top w:val="single" w:color="auto" w:sz="4" w:space="0"/>
              <w:left w:val="single" w:color="auto" w:sz="4" w:space="0"/>
              <w:bottom w:val="single" w:color="auto" w:sz="4" w:space="0"/>
              <w:right w:val="single" w:color="auto" w:sz="4" w:space="0"/>
            </w:tcBorders>
            <w:vAlign w:val="center"/>
          </w:tcPr>
          <w:p w14:paraId="27DA0168">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《热泵热水机（器）能效限定值及能效等级》（GB29541）</w:t>
            </w:r>
          </w:p>
        </w:tc>
      </w:tr>
      <w:tr w14:paraId="7F102559">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B45BD32">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A5BE3C4">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3822B5">
            <w:pPr>
              <w:widowControl/>
              <w:jc w:val="left"/>
              <w:rPr>
                <w:rFonts w:hint="eastAsia"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F7D07F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太阳能热水系统</w:t>
            </w:r>
          </w:p>
        </w:tc>
        <w:tc>
          <w:tcPr>
            <w:tcW w:w="4540" w:type="dxa"/>
            <w:tcBorders>
              <w:top w:val="single" w:color="auto" w:sz="4" w:space="0"/>
              <w:left w:val="single" w:color="auto" w:sz="4" w:space="0"/>
              <w:bottom w:val="single" w:color="auto" w:sz="4" w:space="0"/>
              <w:right w:val="single" w:color="auto" w:sz="4" w:space="0"/>
            </w:tcBorders>
            <w:vAlign w:val="center"/>
          </w:tcPr>
          <w:p w14:paraId="78000F47">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《家用太阳能热水系统能效限定值及能效等级》（GB26969）</w:t>
            </w:r>
          </w:p>
        </w:tc>
      </w:tr>
      <w:tr w14:paraId="2DF7FCF9">
        <w:tblPrEx>
          <w:tblCellMar>
            <w:top w:w="0" w:type="dxa"/>
            <w:left w:w="108" w:type="dxa"/>
            <w:bottom w:w="0" w:type="dxa"/>
            <w:right w:w="108" w:type="dxa"/>
          </w:tblCellMar>
        </w:tblPrEx>
        <w:trPr>
          <w:trHeight w:val="495" w:hRule="atLeast"/>
        </w:trPr>
        <w:tc>
          <w:tcPr>
            <w:tcW w:w="660" w:type="dxa"/>
            <w:vMerge w:val="restart"/>
            <w:tcBorders>
              <w:top w:val="single" w:color="auto" w:sz="4" w:space="0"/>
              <w:left w:val="single" w:color="auto" w:sz="4" w:space="0"/>
              <w:bottom w:val="single" w:color="auto" w:sz="4" w:space="0"/>
              <w:right w:val="single" w:color="auto" w:sz="4" w:space="0"/>
            </w:tcBorders>
            <w:vAlign w:val="center"/>
          </w:tcPr>
          <w:p w14:paraId="4B029549">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11</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CF458E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A020619照明设备</w:t>
            </w:r>
          </w:p>
        </w:tc>
        <w:tc>
          <w:tcPr>
            <w:tcW w:w="1320" w:type="dxa"/>
            <w:tcBorders>
              <w:top w:val="single" w:color="auto" w:sz="4" w:space="0"/>
              <w:left w:val="single" w:color="auto" w:sz="4" w:space="0"/>
              <w:bottom w:val="single" w:color="auto" w:sz="4" w:space="0"/>
              <w:right w:val="single" w:color="auto" w:sz="4" w:space="0"/>
            </w:tcBorders>
            <w:vAlign w:val="center"/>
          </w:tcPr>
          <w:p w14:paraId="292E5BD8">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★普通照明用双端荧光灯</w:t>
            </w:r>
          </w:p>
        </w:tc>
        <w:tc>
          <w:tcPr>
            <w:tcW w:w="1620" w:type="dxa"/>
            <w:tcBorders>
              <w:top w:val="single" w:color="auto" w:sz="4" w:space="0"/>
              <w:left w:val="single" w:color="auto" w:sz="4" w:space="0"/>
              <w:bottom w:val="single" w:color="auto" w:sz="4" w:space="0"/>
              <w:right w:val="single" w:color="auto" w:sz="4" w:space="0"/>
            </w:tcBorders>
            <w:vAlign w:val="center"/>
          </w:tcPr>
          <w:p w14:paraId="64498E96">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0066EBA4">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《普通照明用双端荧光灯能效限定值及能效等级》（GB19043）</w:t>
            </w:r>
          </w:p>
        </w:tc>
      </w:tr>
      <w:tr w14:paraId="68159E8A">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39F7532">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0B6AAF">
            <w:pPr>
              <w:widowControl/>
              <w:jc w:val="left"/>
              <w:rPr>
                <w:rFonts w:hint="eastAsia" w:ascii="宋体" w:hAnsi="宋体" w:cs="宋体"/>
                <w:color w:val="auto"/>
                <w:kern w:val="0"/>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67F408CD">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LED道路/隧道照明产品</w:t>
            </w:r>
          </w:p>
        </w:tc>
        <w:tc>
          <w:tcPr>
            <w:tcW w:w="1620" w:type="dxa"/>
            <w:tcBorders>
              <w:top w:val="single" w:color="auto" w:sz="4" w:space="0"/>
              <w:left w:val="single" w:color="auto" w:sz="4" w:space="0"/>
              <w:bottom w:val="single" w:color="auto" w:sz="4" w:space="0"/>
              <w:right w:val="single" w:color="auto" w:sz="4" w:space="0"/>
            </w:tcBorders>
            <w:vAlign w:val="center"/>
          </w:tcPr>
          <w:p w14:paraId="4927273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24F20470">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《道路和隧道照明用LED灯具能效限定值及能效等级》（GB37478）</w:t>
            </w:r>
          </w:p>
        </w:tc>
      </w:tr>
      <w:tr w14:paraId="61102C08">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D4884C4">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896722">
            <w:pPr>
              <w:widowControl/>
              <w:jc w:val="left"/>
              <w:rPr>
                <w:rFonts w:hint="eastAsia" w:ascii="宋体" w:hAnsi="宋体" w:cs="宋体"/>
                <w:color w:val="auto"/>
                <w:kern w:val="0"/>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05D43F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LED筒灯</w:t>
            </w:r>
          </w:p>
        </w:tc>
        <w:tc>
          <w:tcPr>
            <w:tcW w:w="1620" w:type="dxa"/>
            <w:tcBorders>
              <w:top w:val="single" w:color="auto" w:sz="4" w:space="0"/>
              <w:left w:val="single" w:color="auto" w:sz="4" w:space="0"/>
              <w:bottom w:val="single" w:color="auto" w:sz="4" w:space="0"/>
              <w:right w:val="single" w:color="auto" w:sz="4" w:space="0"/>
            </w:tcBorders>
            <w:vAlign w:val="center"/>
          </w:tcPr>
          <w:p w14:paraId="1DE9EB08">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111A202F">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《室内照明用LED产品能效限定值及能效等级》（GB30255）</w:t>
            </w:r>
          </w:p>
        </w:tc>
      </w:tr>
      <w:tr w14:paraId="40E4B0F4">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8979E83">
            <w:pPr>
              <w:widowControl/>
              <w:jc w:val="left"/>
              <w:rPr>
                <w:rFonts w:hint="eastAsia"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2A1D33">
            <w:pPr>
              <w:widowControl/>
              <w:jc w:val="left"/>
              <w:rPr>
                <w:rFonts w:hint="eastAsia" w:ascii="宋体" w:hAnsi="宋体" w:cs="宋体"/>
                <w:color w:val="auto"/>
                <w:kern w:val="0"/>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5E1981E8">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普通照明用非定向自镇流LED灯</w:t>
            </w:r>
          </w:p>
        </w:tc>
        <w:tc>
          <w:tcPr>
            <w:tcW w:w="1620" w:type="dxa"/>
            <w:tcBorders>
              <w:top w:val="single" w:color="auto" w:sz="4" w:space="0"/>
              <w:left w:val="single" w:color="auto" w:sz="4" w:space="0"/>
              <w:bottom w:val="single" w:color="auto" w:sz="4" w:space="0"/>
              <w:right w:val="single" w:color="auto" w:sz="4" w:space="0"/>
            </w:tcBorders>
            <w:vAlign w:val="center"/>
          </w:tcPr>
          <w:p w14:paraId="480A84F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184F19FB">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《室内照明用LED产品能效限定值及能效等级》（GB30255）</w:t>
            </w:r>
          </w:p>
        </w:tc>
      </w:tr>
      <w:tr w14:paraId="03DD4526">
        <w:tblPrEx>
          <w:tblCellMar>
            <w:top w:w="0" w:type="dxa"/>
            <w:left w:w="108" w:type="dxa"/>
            <w:bottom w:w="0" w:type="dxa"/>
            <w:right w:w="108" w:type="dxa"/>
          </w:tblCellMar>
        </w:tblPrEx>
        <w:trPr>
          <w:trHeight w:val="735" w:hRule="atLeast"/>
        </w:trPr>
        <w:tc>
          <w:tcPr>
            <w:tcW w:w="660" w:type="dxa"/>
            <w:tcBorders>
              <w:top w:val="single" w:color="auto" w:sz="4" w:space="0"/>
              <w:left w:val="single" w:color="auto" w:sz="4" w:space="0"/>
              <w:bottom w:val="single" w:color="auto" w:sz="4" w:space="0"/>
              <w:right w:val="single" w:color="auto" w:sz="4" w:space="0"/>
            </w:tcBorders>
            <w:vAlign w:val="center"/>
          </w:tcPr>
          <w:p w14:paraId="09336F7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12</w:t>
            </w:r>
          </w:p>
        </w:tc>
        <w:tc>
          <w:tcPr>
            <w:tcW w:w="1080" w:type="dxa"/>
            <w:tcBorders>
              <w:top w:val="single" w:color="auto" w:sz="4" w:space="0"/>
              <w:left w:val="single" w:color="auto" w:sz="4" w:space="0"/>
              <w:bottom w:val="single" w:color="auto" w:sz="4" w:space="0"/>
              <w:right w:val="single" w:color="auto" w:sz="4" w:space="0"/>
            </w:tcBorders>
            <w:vAlign w:val="center"/>
          </w:tcPr>
          <w:p w14:paraId="3693E6E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★A020910电视设备</w:t>
            </w:r>
          </w:p>
        </w:tc>
        <w:tc>
          <w:tcPr>
            <w:tcW w:w="1320" w:type="dxa"/>
            <w:tcBorders>
              <w:top w:val="single" w:color="auto" w:sz="4" w:space="0"/>
              <w:left w:val="single" w:color="auto" w:sz="4" w:space="0"/>
              <w:bottom w:val="single" w:color="auto" w:sz="4" w:space="0"/>
              <w:right w:val="single" w:color="auto" w:sz="4" w:space="0"/>
            </w:tcBorders>
            <w:vAlign w:val="center"/>
          </w:tcPr>
          <w:p w14:paraId="232EBFB5">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A02091001普通电视设备（电视机）</w:t>
            </w:r>
          </w:p>
        </w:tc>
        <w:tc>
          <w:tcPr>
            <w:tcW w:w="1620" w:type="dxa"/>
            <w:tcBorders>
              <w:top w:val="single" w:color="auto" w:sz="4" w:space="0"/>
              <w:left w:val="single" w:color="auto" w:sz="4" w:space="0"/>
              <w:bottom w:val="single" w:color="auto" w:sz="4" w:space="0"/>
              <w:right w:val="single" w:color="auto" w:sz="4" w:space="0"/>
            </w:tcBorders>
            <w:vAlign w:val="center"/>
          </w:tcPr>
          <w:p w14:paraId="1F83669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07C365A2">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《平板电视能效限定值及能效等级》（GB24850）</w:t>
            </w:r>
          </w:p>
        </w:tc>
      </w:tr>
      <w:tr w14:paraId="0D79B833">
        <w:tblPrEx>
          <w:tblCellMar>
            <w:top w:w="0" w:type="dxa"/>
            <w:left w:w="108" w:type="dxa"/>
            <w:bottom w:w="0" w:type="dxa"/>
            <w:right w:w="108" w:type="dxa"/>
          </w:tblCellMar>
        </w:tblPrEx>
        <w:trPr>
          <w:trHeight w:val="975" w:hRule="atLeast"/>
        </w:trPr>
        <w:tc>
          <w:tcPr>
            <w:tcW w:w="660" w:type="dxa"/>
            <w:tcBorders>
              <w:top w:val="single" w:color="auto" w:sz="4" w:space="0"/>
              <w:left w:val="single" w:color="auto" w:sz="4" w:space="0"/>
              <w:bottom w:val="single" w:color="auto" w:sz="4" w:space="0"/>
              <w:right w:val="single" w:color="auto" w:sz="4" w:space="0"/>
            </w:tcBorders>
            <w:vAlign w:val="center"/>
          </w:tcPr>
          <w:p w14:paraId="47FD836D">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13</w:t>
            </w:r>
          </w:p>
        </w:tc>
        <w:tc>
          <w:tcPr>
            <w:tcW w:w="1080" w:type="dxa"/>
            <w:tcBorders>
              <w:top w:val="single" w:color="auto" w:sz="4" w:space="0"/>
              <w:left w:val="single" w:color="auto" w:sz="4" w:space="0"/>
              <w:bottom w:val="single" w:color="auto" w:sz="4" w:space="0"/>
              <w:right w:val="single" w:color="auto" w:sz="4" w:space="0"/>
            </w:tcBorders>
            <w:vAlign w:val="center"/>
          </w:tcPr>
          <w:p w14:paraId="143748FF">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★A020911视频设备</w:t>
            </w:r>
          </w:p>
        </w:tc>
        <w:tc>
          <w:tcPr>
            <w:tcW w:w="1320" w:type="dxa"/>
            <w:tcBorders>
              <w:top w:val="single" w:color="auto" w:sz="4" w:space="0"/>
              <w:left w:val="single" w:color="auto" w:sz="4" w:space="0"/>
              <w:bottom w:val="single" w:color="auto" w:sz="4" w:space="0"/>
              <w:right w:val="single" w:color="auto" w:sz="4" w:space="0"/>
            </w:tcBorders>
            <w:vAlign w:val="center"/>
          </w:tcPr>
          <w:p w14:paraId="53068440">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A02091107视频监控设备</w:t>
            </w:r>
          </w:p>
        </w:tc>
        <w:tc>
          <w:tcPr>
            <w:tcW w:w="1620" w:type="dxa"/>
            <w:tcBorders>
              <w:top w:val="single" w:color="auto" w:sz="4" w:space="0"/>
              <w:left w:val="single" w:color="auto" w:sz="4" w:space="0"/>
              <w:bottom w:val="single" w:color="auto" w:sz="4" w:space="0"/>
              <w:right w:val="single" w:color="auto" w:sz="4" w:space="0"/>
            </w:tcBorders>
            <w:vAlign w:val="center"/>
          </w:tcPr>
          <w:p w14:paraId="2B87D0B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监视器</w:t>
            </w:r>
          </w:p>
        </w:tc>
        <w:tc>
          <w:tcPr>
            <w:tcW w:w="4540" w:type="dxa"/>
            <w:tcBorders>
              <w:top w:val="single" w:color="auto" w:sz="4" w:space="0"/>
              <w:left w:val="single" w:color="auto" w:sz="4" w:space="0"/>
              <w:bottom w:val="single" w:color="auto" w:sz="4" w:space="0"/>
              <w:right w:val="single" w:color="auto" w:sz="4" w:space="0"/>
            </w:tcBorders>
            <w:vAlign w:val="center"/>
          </w:tcPr>
          <w:p w14:paraId="110DCD0B">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以射频信号为主要信号输入的监视器应符合《平板电视能效限定值及能效等级》（GB24850），以数字信号为主要信号输入的监视器应符合《计算机显示器能效限定值及能效等级》（GB21520）</w:t>
            </w:r>
          </w:p>
        </w:tc>
      </w:tr>
      <w:tr w14:paraId="141D045F">
        <w:tblPrEx>
          <w:tblCellMar>
            <w:top w:w="0" w:type="dxa"/>
            <w:left w:w="108" w:type="dxa"/>
            <w:bottom w:w="0" w:type="dxa"/>
            <w:right w:w="108" w:type="dxa"/>
          </w:tblCellMar>
        </w:tblPrEx>
        <w:trPr>
          <w:trHeight w:val="495" w:hRule="atLeast"/>
        </w:trPr>
        <w:tc>
          <w:tcPr>
            <w:tcW w:w="660" w:type="dxa"/>
            <w:tcBorders>
              <w:top w:val="single" w:color="auto" w:sz="4" w:space="0"/>
              <w:left w:val="single" w:color="auto" w:sz="8" w:space="0"/>
              <w:bottom w:val="single" w:color="auto" w:sz="8" w:space="0"/>
              <w:right w:val="single" w:color="auto" w:sz="8" w:space="0"/>
            </w:tcBorders>
            <w:vAlign w:val="center"/>
          </w:tcPr>
          <w:p w14:paraId="4DC2702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14</w:t>
            </w:r>
          </w:p>
        </w:tc>
        <w:tc>
          <w:tcPr>
            <w:tcW w:w="1080" w:type="dxa"/>
            <w:tcBorders>
              <w:top w:val="single" w:color="auto" w:sz="4" w:space="0"/>
              <w:left w:val="nil"/>
              <w:bottom w:val="single" w:color="auto" w:sz="8" w:space="0"/>
              <w:right w:val="single" w:color="auto" w:sz="8" w:space="0"/>
            </w:tcBorders>
            <w:vAlign w:val="center"/>
          </w:tcPr>
          <w:p w14:paraId="4436FBD3">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A031210饮食炊事机械</w:t>
            </w:r>
          </w:p>
        </w:tc>
        <w:tc>
          <w:tcPr>
            <w:tcW w:w="1320" w:type="dxa"/>
            <w:tcBorders>
              <w:top w:val="single" w:color="auto" w:sz="4" w:space="0"/>
              <w:left w:val="nil"/>
              <w:bottom w:val="single" w:color="auto" w:sz="8" w:space="0"/>
              <w:right w:val="single" w:color="auto" w:sz="8" w:space="0"/>
            </w:tcBorders>
            <w:vAlign w:val="center"/>
          </w:tcPr>
          <w:p w14:paraId="0906B59F">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商用燃气灶具</w:t>
            </w:r>
          </w:p>
        </w:tc>
        <w:tc>
          <w:tcPr>
            <w:tcW w:w="1620" w:type="dxa"/>
            <w:tcBorders>
              <w:top w:val="single" w:color="auto" w:sz="4" w:space="0"/>
              <w:left w:val="nil"/>
              <w:bottom w:val="single" w:color="auto" w:sz="8" w:space="0"/>
              <w:right w:val="single" w:color="auto" w:sz="8" w:space="0"/>
            </w:tcBorders>
            <w:vAlign w:val="center"/>
          </w:tcPr>
          <w:p w14:paraId="43152AE4">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nil"/>
              <w:bottom w:val="single" w:color="auto" w:sz="8" w:space="0"/>
              <w:right w:val="single" w:color="auto" w:sz="8" w:space="0"/>
            </w:tcBorders>
            <w:vAlign w:val="center"/>
          </w:tcPr>
          <w:p w14:paraId="3CA5C5CA">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《商用燃气灶具能效限定值及能效等级》（GB30531）</w:t>
            </w:r>
          </w:p>
        </w:tc>
      </w:tr>
      <w:tr w14:paraId="74F48D72">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vAlign w:val="center"/>
          </w:tcPr>
          <w:p w14:paraId="711A31B9">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15</w:t>
            </w:r>
          </w:p>
        </w:tc>
        <w:tc>
          <w:tcPr>
            <w:tcW w:w="1080" w:type="dxa"/>
            <w:vMerge w:val="restart"/>
            <w:tcBorders>
              <w:top w:val="nil"/>
              <w:left w:val="single" w:color="auto" w:sz="8" w:space="0"/>
              <w:bottom w:val="single" w:color="000000" w:sz="8" w:space="0"/>
              <w:right w:val="single" w:color="auto" w:sz="8" w:space="0"/>
            </w:tcBorders>
            <w:vAlign w:val="center"/>
          </w:tcPr>
          <w:p w14:paraId="2AF2725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★A060805便器</w:t>
            </w:r>
          </w:p>
        </w:tc>
        <w:tc>
          <w:tcPr>
            <w:tcW w:w="1320" w:type="dxa"/>
            <w:tcBorders>
              <w:top w:val="nil"/>
              <w:left w:val="nil"/>
              <w:bottom w:val="single" w:color="auto" w:sz="8" w:space="0"/>
              <w:right w:val="single" w:color="auto" w:sz="8" w:space="0"/>
            </w:tcBorders>
            <w:vAlign w:val="center"/>
          </w:tcPr>
          <w:p w14:paraId="6BC32DE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坐便器</w:t>
            </w:r>
          </w:p>
        </w:tc>
        <w:tc>
          <w:tcPr>
            <w:tcW w:w="1620" w:type="dxa"/>
            <w:tcBorders>
              <w:top w:val="nil"/>
              <w:left w:val="nil"/>
              <w:bottom w:val="single" w:color="auto" w:sz="8" w:space="0"/>
              <w:right w:val="single" w:color="auto" w:sz="8" w:space="0"/>
            </w:tcBorders>
            <w:vAlign w:val="center"/>
          </w:tcPr>
          <w:p w14:paraId="43A73CEC">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8" w:space="0"/>
              <w:right w:val="single" w:color="auto" w:sz="8" w:space="0"/>
            </w:tcBorders>
            <w:vAlign w:val="center"/>
          </w:tcPr>
          <w:p w14:paraId="23F0403E">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《坐便器水效限定值及水效等级》（GB25502）</w:t>
            </w:r>
          </w:p>
        </w:tc>
      </w:tr>
      <w:tr w14:paraId="1ABFB0D6">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vAlign w:val="center"/>
          </w:tcPr>
          <w:p w14:paraId="5132DE65">
            <w:pPr>
              <w:widowControl/>
              <w:jc w:val="left"/>
              <w:rPr>
                <w:rFonts w:hint="eastAsia" w:ascii="宋体" w:hAnsi="宋体" w:cs="宋体"/>
                <w:color w:val="auto"/>
                <w:kern w:val="0"/>
                <w:sz w:val="24"/>
                <w:highlight w:val="none"/>
              </w:rPr>
            </w:pPr>
          </w:p>
        </w:tc>
        <w:tc>
          <w:tcPr>
            <w:tcW w:w="0" w:type="auto"/>
            <w:vMerge w:val="continue"/>
            <w:tcBorders>
              <w:top w:val="nil"/>
              <w:left w:val="single" w:color="auto" w:sz="8" w:space="0"/>
              <w:bottom w:val="single" w:color="000000" w:sz="8" w:space="0"/>
              <w:right w:val="single" w:color="auto" w:sz="8" w:space="0"/>
            </w:tcBorders>
            <w:vAlign w:val="center"/>
          </w:tcPr>
          <w:p w14:paraId="562971B5">
            <w:pPr>
              <w:widowControl/>
              <w:jc w:val="left"/>
              <w:rPr>
                <w:rFonts w:hint="eastAsia" w:ascii="宋体" w:hAnsi="宋体" w:cs="宋体"/>
                <w:color w:val="auto"/>
                <w:kern w:val="0"/>
                <w:sz w:val="24"/>
                <w:highlight w:val="none"/>
              </w:rPr>
            </w:pPr>
          </w:p>
        </w:tc>
        <w:tc>
          <w:tcPr>
            <w:tcW w:w="1320" w:type="dxa"/>
            <w:tcBorders>
              <w:top w:val="nil"/>
              <w:left w:val="nil"/>
              <w:bottom w:val="single" w:color="auto" w:sz="8" w:space="0"/>
              <w:right w:val="single" w:color="auto" w:sz="8" w:space="0"/>
            </w:tcBorders>
            <w:vAlign w:val="center"/>
          </w:tcPr>
          <w:p w14:paraId="71480815">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蹲便器</w:t>
            </w:r>
          </w:p>
        </w:tc>
        <w:tc>
          <w:tcPr>
            <w:tcW w:w="1620" w:type="dxa"/>
            <w:tcBorders>
              <w:top w:val="nil"/>
              <w:left w:val="nil"/>
              <w:bottom w:val="single" w:color="auto" w:sz="8" w:space="0"/>
              <w:right w:val="single" w:color="auto" w:sz="8" w:space="0"/>
            </w:tcBorders>
            <w:vAlign w:val="center"/>
          </w:tcPr>
          <w:p w14:paraId="6F1D1C5A">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8" w:space="0"/>
              <w:right w:val="single" w:color="auto" w:sz="8" w:space="0"/>
            </w:tcBorders>
            <w:vAlign w:val="center"/>
          </w:tcPr>
          <w:p w14:paraId="0E50D2FB">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《蹲便器用水效率限定值及用水效率等级》（GB30717）</w:t>
            </w:r>
          </w:p>
        </w:tc>
      </w:tr>
      <w:tr w14:paraId="48C8AC06">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vAlign w:val="center"/>
          </w:tcPr>
          <w:p w14:paraId="74ABB1F7">
            <w:pPr>
              <w:widowControl/>
              <w:jc w:val="left"/>
              <w:rPr>
                <w:rFonts w:hint="eastAsia" w:ascii="宋体" w:hAnsi="宋体" w:cs="宋体"/>
                <w:color w:val="auto"/>
                <w:kern w:val="0"/>
                <w:sz w:val="24"/>
                <w:highlight w:val="none"/>
              </w:rPr>
            </w:pPr>
          </w:p>
        </w:tc>
        <w:tc>
          <w:tcPr>
            <w:tcW w:w="0" w:type="auto"/>
            <w:vMerge w:val="continue"/>
            <w:tcBorders>
              <w:top w:val="nil"/>
              <w:left w:val="single" w:color="auto" w:sz="8" w:space="0"/>
              <w:bottom w:val="single" w:color="000000" w:sz="8" w:space="0"/>
              <w:right w:val="single" w:color="auto" w:sz="8" w:space="0"/>
            </w:tcBorders>
            <w:vAlign w:val="center"/>
          </w:tcPr>
          <w:p w14:paraId="322343DA">
            <w:pPr>
              <w:widowControl/>
              <w:jc w:val="left"/>
              <w:rPr>
                <w:rFonts w:hint="eastAsia" w:ascii="宋体" w:hAnsi="宋体" w:cs="宋体"/>
                <w:color w:val="auto"/>
                <w:kern w:val="0"/>
                <w:sz w:val="24"/>
                <w:highlight w:val="none"/>
              </w:rPr>
            </w:pPr>
          </w:p>
        </w:tc>
        <w:tc>
          <w:tcPr>
            <w:tcW w:w="1320" w:type="dxa"/>
            <w:tcBorders>
              <w:top w:val="nil"/>
              <w:left w:val="nil"/>
              <w:bottom w:val="single" w:color="auto" w:sz="8" w:space="0"/>
              <w:right w:val="single" w:color="auto" w:sz="8" w:space="0"/>
            </w:tcBorders>
            <w:vAlign w:val="center"/>
          </w:tcPr>
          <w:p w14:paraId="63AA979A">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小便器</w:t>
            </w:r>
          </w:p>
        </w:tc>
        <w:tc>
          <w:tcPr>
            <w:tcW w:w="1620" w:type="dxa"/>
            <w:tcBorders>
              <w:top w:val="nil"/>
              <w:left w:val="nil"/>
              <w:bottom w:val="single" w:color="auto" w:sz="8" w:space="0"/>
              <w:right w:val="single" w:color="auto" w:sz="8" w:space="0"/>
            </w:tcBorders>
            <w:vAlign w:val="center"/>
          </w:tcPr>
          <w:p w14:paraId="53BDEA39">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8" w:space="0"/>
              <w:right w:val="single" w:color="auto" w:sz="8" w:space="0"/>
            </w:tcBorders>
            <w:vAlign w:val="center"/>
          </w:tcPr>
          <w:p w14:paraId="12205DF5">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《小便器用水效率限定值及用水效率等级》（GB28377）</w:t>
            </w:r>
          </w:p>
        </w:tc>
      </w:tr>
      <w:tr w14:paraId="4D49443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C2CD68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16</w:t>
            </w:r>
          </w:p>
        </w:tc>
        <w:tc>
          <w:tcPr>
            <w:tcW w:w="1080" w:type="dxa"/>
            <w:tcBorders>
              <w:top w:val="nil"/>
              <w:left w:val="nil"/>
              <w:bottom w:val="single" w:color="000000" w:sz="8" w:space="0"/>
              <w:right w:val="single" w:color="000000" w:sz="8" w:space="0"/>
            </w:tcBorders>
            <w:vAlign w:val="center"/>
          </w:tcPr>
          <w:p w14:paraId="792652E0">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★A060806水嘴</w:t>
            </w:r>
          </w:p>
        </w:tc>
        <w:tc>
          <w:tcPr>
            <w:tcW w:w="1320" w:type="dxa"/>
            <w:tcBorders>
              <w:top w:val="nil"/>
              <w:left w:val="nil"/>
              <w:bottom w:val="single" w:color="000000" w:sz="8" w:space="0"/>
              <w:right w:val="single" w:color="000000" w:sz="8" w:space="0"/>
            </w:tcBorders>
            <w:vAlign w:val="center"/>
          </w:tcPr>
          <w:p w14:paraId="4F464690">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0E5C31CF">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63748DA1">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《水嘴用水效率限定值及用水效率等级》（GB 25501）</w:t>
            </w:r>
          </w:p>
        </w:tc>
      </w:tr>
      <w:tr w14:paraId="2A691CA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27545DD">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17</w:t>
            </w:r>
          </w:p>
        </w:tc>
        <w:tc>
          <w:tcPr>
            <w:tcW w:w="1080" w:type="dxa"/>
            <w:tcBorders>
              <w:top w:val="nil"/>
              <w:left w:val="nil"/>
              <w:bottom w:val="single" w:color="000000" w:sz="8" w:space="0"/>
              <w:right w:val="single" w:color="000000" w:sz="8" w:space="0"/>
            </w:tcBorders>
            <w:vAlign w:val="center"/>
          </w:tcPr>
          <w:p w14:paraId="4425E43F">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A060807便器冲洗阀</w:t>
            </w:r>
          </w:p>
        </w:tc>
        <w:tc>
          <w:tcPr>
            <w:tcW w:w="1320" w:type="dxa"/>
            <w:tcBorders>
              <w:top w:val="nil"/>
              <w:left w:val="nil"/>
              <w:bottom w:val="single" w:color="000000" w:sz="8" w:space="0"/>
              <w:right w:val="single" w:color="000000" w:sz="8" w:space="0"/>
            </w:tcBorders>
            <w:vAlign w:val="center"/>
          </w:tcPr>
          <w:p w14:paraId="5641CB8D">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793476D7">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64B5E795">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《便器冲洗阀用水效率限定值及用水效率等级》（GB28379）</w:t>
            </w:r>
          </w:p>
        </w:tc>
      </w:tr>
      <w:tr w14:paraId="646A1C6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1FFEE72">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18</w:t>
            </w:r>
          </w:p>
        </w:tc>
        <w:tc>
          <w:tcPr>
            <w:tcW w:w="1080" w:type="dxa"/>
            <w:tcBorders>
              <w:top w:val="nil"/>
              <w:left w:val="nil"/>
              <w:bottom w:val="single" w:color="000000" w:sz="8" w:space="0"/>
              <w:right w:val="single" w:color="000000" w:sz="8" w:space="0"/>
            </w:tcBorders>
            <w:vAlign w:val="center"/>
          </w:tcPr>
          <w:p w14:paraId="4B93CE90">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A060810淋浴器</w:t>
            </w:r>
          </w:p>
        </w:tc>
        <w:tc>
          <w:tcPr>
            <w:tcW w:w="1320" w:type="dxa"/>
            <w:tcBorders>
              <w:top w:val="nil"/>
              <w:left w:val="nil"/>
              <w:bottom w:val="single" w:color="000000" w:sz="8" w:space="0"/>
              <w:right w:val="single" w:color="000000" w:sz="8" w:space="0"/>
            </w:tcBorders>
            <w:vAlign w:val="center"/>
          </w:tcPr>
          <w:p w14:paraId="5CA6BA09">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5C4F4C61">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52D3D3A8">
            <w:pPr>
              <w:widowControl/>
              <w:jc w:val="left"/>
              <w:rPr>
                <w:rFonts w:hint="eastAsia" w:ascii="宋体" w:hAnsi="宋体" w:cs="宋体"/>
                <w:color w:val="auto"/>
                <w:kern w:val="0"/>
                <w:sz w:val="24"/>
                <w:highlight w:val="none"/>
              </w:rPr>
            </w:pPr>
            <w:r>
              <w:rPr>
                <w:rFonts w:hint="eastAsia" w:ascii="宋体" w:hAnsi="宋体" w:cs="宋体"/>
                <w:color w:val="auto"/>
                <w:kern w:val="0"/>
                <w:sz w:val="24"/>
                <w:highlight w:val="none"/>
              </w:rPr>
              <w:t>《淋浴器用水效率限定值及用水效率等级》（GB28378）</w:t>
            </w:r>
          </w:p>
        </w:tc>
      </w:tr>
    </w:tbl>
    <w:p w14:paraId="4748C5A5">
      <w:pPr>
        <w:pStyle w:val="10"/>
        <w:spacing w:line="360" w:lineRule="auto"/>
        <w:ind w:firstLine="408"/>
        <w:rPr>
          <w:rFonts w:hint="eastAsia" w:ascii="宋体" w:hAnsi="宋体" w:cs="宋体"/>
          <w:color w:val="auto"/>
          <w:highlight w:val="none"/>
        </w:rPr>
      </w:pPr>
      <w:r>
        <w:rPr>
          <w:rFonts w:hint="eastAsia" w:ascii="宋体" w:hAnsi="宋体" w:cs="宋体"/>
          <w:color w:val="auto"/>
          <w:spacing w:val="-3"/>
          <w:highlight w:val="none"/>
        </w:rPr>
        <w:t>注：1.节能产品认证应依据相关国家标准的最新版本，依据国家标准中二级能效（水效）</w:t>
      </w:r>
      <w:r>
        <w:rPr>
          <w:rFonts w:hint="eastAsia" w:ascii="宋体" w:hAnsi="宋体" w:cs="宋体"/>
          <w:color w:val="auto"/>
          <w:highlight w:val="none"/>
        </w:rPr>
        <w:t>指标。</w:t>
      </w:r>
    </w:p>
    <w:p w14:paraId="661924FA">
      <w:pPr>
        <w:pStyle w:val="10"/>
        <w:spacing w:line="360" w:lineRule="auto"/>
        <w:rPr>
          <w:rFonts w:hint="eastAsia" w:ascii="宋体" w:hAnsi="宋体" w:cs="宋体"/>
          <w:b/>
          <w:bCs/>
          <w:color w:val="auto"/>
          <w:highlight w:val="none"/>
        </w:rPr>
      </w:pPr>
      <w:r>
        <w:rPr>
          <w:rFonts w:hint="eastAsia" w:ascii="宋体" w:hAnsi="宋体" w:cs="宋体"/>
          <w:color w:val="auto"/>
          <w:highlight w:val="none"/>
        </w:rPr>
        <w:t xml:space="preserve">    2</w:t>
      </w:r>
      <w:r>
        <w:rPr>
          <w:rFonts w:hint="eastAsia" w:ascii="宋体" w:hAnsi="宋体" w:cs="宋体"/>
          <w:b/>
          <w:bCs/>
          <w:color w:val="auto"/>
          <w:highlight w:val="none"/>
        </w:rPr>
        <w:t>.以“★”标注的为政府强制采购产品。</w:t>
      </w:r>
    </w:p>
    <w:p w14:paraId="141AA305">
      <w:pPr>
        <w:pStyle w:val="14"/>
        <w:jc w:val="left"/>
        <w:rPr>
          <w:rFonts w:hint="eastAsia" w:hAnsi="宋体" w:cs="宋体"/>
          <w:color w:val="auto"/>
          <w:sz w:val="24"/>
          <w:szCs w:val="24"/>
          <w:highlight w:val="none"/>
        </w:rPr>
      </w:pPr>
      <w:r>
        <w:rPr>
          <w:rFonts w:hint="eastAsia" w:hAnsi="宋体" w:cs="宋体"/>
          <w:color w:val="auto"/>
          <w:sz w:val="24"/>
          <w:szCs w:val="24"/>
          <w:highlight w:val="none"/>
        </w:rPr>
        <w:t>附件2：</w:t>
      </w:r>
    </w:p>
    <w:p w14:paraId="1FC7A95E">
      <w:pPr>
        <w:spacing w:line="528" w:lineRule="exact"/>
        <w:ind w:left="22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中小微企业划型标准</w:t>
      </w:r>
    </w:p>
    <w:tbl>
      <w:tblPr>
        <w:tblStyle w:val="27"/>
        <w:tblW w:w="9418" w:type="dxa"/>
        <w:tblInd w:w="250" w:type="dxa"/>
        <w:tblLayout w:type="fixed"/>
        <w:tblCellMar>
          <w:top w:w="0" w:type="dxa"/>
          <w:left w:w="108" w:type="dxa"/>
          <w:bottom w:w="0" w:type="dxa"/>
          <w:right w:w="108" w:type="dxa"/>
        </w:tblCellMar>
      </w:tblPr>
      <w:tblGrid>
        <w:gridCol w:w="2007"/>
        <w:gridCol w:w="1633"/>
        <w:gridCol w:w="1077"/>
        <w:gridCol w:w="1911"/>
        <w:gridCol w:w="1699"/>
        <w:gridCol w:w="1091"/>
      </w:tblGrid>
      <w:tr w14:paraId="6D259D7E">
        <w:tblPrEx>
          <w:tblCellMar>
            <w:top w:w="0" w:type="dxa"/>
            <w:left w:w="108" w:type="dxa"/>
            <w:bottom w:w="0" w:type="dxa"/>
            <w:right w:w="108" w:type="dxa"/>
          </w:tblCellMar>
        </w:tblPrEx>
        <w:trPr>
          <w:trHeight w:val="364" w:hRule="atLeast"/>
        </w:trPr>
        <w:tc>
          <w:tcPr>
            <w:tcW w:w="2007" w:type="dxa"/>
            <w:tcBorders>
              <w:top w:val="single" w:color="auto" w:sz="4" w:space="0"/>
              <w:left w:val="single" w:color="auto" w:sz="4" w:space="0"/>
              <w:bottom w:val="single" w:color="auto" w:sz="4" w:space="0"/>
              <w:right w:val="single" w:color="auto" w:sz="4" w:space="0"/>
            </w:tcBorders>
            <w:vAlign w:val="center"/>
          </w:tcPr>
          <w:p w14:paraId="5B99D3B3">
            <w:pPr>
              <w:widowControl/>
              <w:jc w:val="left"/>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行业名称</w:t>
            </w:r>
          </w:p>
        </w:tc>
        <w:tc>
          <w:tcPr>
            <w:tcW w:w="1633" w:type="dxa"/>
            <w:tcBorders>
              <w:top w:val="single" w:color="auto" w:sz="4" w:space="0"/>
              <w:left w:val="nil"/>
              <w:bottom w:val="single" w:color="auto" w:sz="4" w:space="0"/>
              <w:right w:val="single" w:color="auto" w:sz="4" w:space="0"/>
            </w:tcBorders>
            <w:vAlign w:val="center"/>
          </w:tcPr>
          <w:p w14:paraId="6CD75712">
            <w:pPr>
              <w:widowControl/>
              <w:jc w:val="left"/>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指标名称</w:t>
            </w:r>
          </w:p>
        </w:tc>
        <w:tc>
          <w:tcPr>
            <w:tcW w:w="1077" w:type="dxa"/>
            <w:tcBorders>
              <w:top w:val="single" w:color="auto" w:sz="4" w:space="0"/>
              <w:left w:val="nil"/>
              <w:bottom w:val="single" w:color="auto" w:sz="4" w:space="0"/>
              <w:right w:val="single" w:color="auto" w:sz="4" w:space="0"/>
            </w:tcBorders>
            <w:vAlign w:val="center"/>
          </w:tcPr>
          <w:p w14:paraId="4BADED23">
            <w:pPr>
              <w:widowControl/>
              <w:jc w:val="left"/>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计量单位</w:t>
            </w:r>
          </w:p>
        </w:tc>
        <w:tc>
          <w:tcPr>
            <w:tcW w:w="1911" w:type="dxa"/>
            <w:tcBorders>
              <w:top w:val="single" w:color="auto" w:sz="4" w:space="0"/>
              <w:left w:val="nil"/>
              <w:bottom w:val="single" w:color="auto" w:sz="4" w:space="0"/>
              <w:right w:val="single" w:color="auto" w:sz="4" w:space="0"/>
            </w:tcBorders>
            <w:vAlign w:val="center"/>
          </w:tcPr>
          <w:p w14:paraId="76614534">
            <w:pPr>
              <w:widowControl/>
              <w:jc w:val="left"/>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中型</w:t>
            </w:r>
          </w:p>
        </w:tc>
        <w:tc>
          <w:tcPr>
            <w:tcW w:w="1699" w:type="dxa"/>
            <w:tcBorders>
              <w:top w:val="single" w:color="auto" w:sz="4" w:space="0"/>
              <w:left w:val="nil"/>
              <w:bottom w:val="single" w:color="auto" w:sz="4" w:space="0"/>
              <w:right w:val="single" w:color="auto" w:sz="4" w:space="0"/>
            </w:tcBorders>
            <w:vAlign w:val="center"/>
          </w:tcPr>
          <w:p w14:paraId="30AD1142">
            <w:pPr>
              <w:widowControl/>
              <w:jc w:val="left"/>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小型</w:t>
            </w:r>
          </w:p>
        </w:tc>
        <w:tc>
          <w:tcPr>
            <w:tcW w:w="1091" w:type="dxa"/>
            <w:tcBorders>
              <w:top w:val="single" w:color="auto" w:sz="4" w:space="0"/>
              <w:left w:val="nil"/>
              <w:bottom w:val="single" w:color="auto" w:sz="4" w:space="0"/>
              <w:right w:val="single" w:color="auto" w:sz="4" w:space="0"/>
            </w:tcBorders>
            <w:vAlign w:val="center"/>
          </w:tcPr>
          <w:p w14:paraId="6FE88B97">
            <w:pPr>
              <w:widowControl/>
              <w:jc w:val="left"/>
              <w:rPr>
                <w:rFonts w:hint="eastAsia" w:ascii="宋体" w:hAnsi="宋体" w:cs="宋体"/>
                <w:b/>
                <w:color w:val="auto"/>
                <w:kern w:val="0"/>
                <w:sz w:val="20"/>
                <w:szCs w:val="20"/>
                <w:highlight w:val="none"/>
              </w:rPr>
            </w:pPr>
            <w:r>
              <w:rPr>
                <w:rFonts w:hint="eastAsia" w:ascii="宋体" w:hAnsi="宋体" w:cs="宋体"/>
                <w:b/>
                <w:color w:val="auto"/>
                <w:kern w:val="0"/>
                <w:sz w:val="20"/>
                <w:szCs w:val="20"/>
                <w:highlight w:val="none"/>
              </w:rPr>
              <w:t>微型</w:t>
            </w:r>
          </w:p>
        </w:tc>
      </w:tr>
      <w:tr w14:paraId="34BF2D8C">
        <w:tblPrEx>
          <w:tblCellMar>
            <w:top w:w="0" w:type="dxa"/>
            <w:left w:w="108" w:type="dxa"/>
            <w:bottom w:w="0" w:type="dxa"/>
            <w:right w:w="108" w:type="dxa"/>
          </w:tblCellMar>
        </w:tblPrEx>
        <w:trPr>
          <w:trHeight w:val="364" w:hRule="atLeast"/>
        </w:trPr>
        <w:tc>
          <w:tcPr>
            <w:tcW w:w="2007" w:type="dxa"/>
            <w:tcBorders>
              <w:top w:val="nil"/>
              <w:left w:val="single" w:color="auto" w:sz="4" w:space="0"/>
              <w:bottom w:val="single" w:color="auto" w:sz="4" w:space="0"/>
              <w:right w:val="single" w:color="auto" w:sz="4" w:space="0"/>
            </w:tcBorders>
            <w:vAlign w:val="bottom"/>
          </w:tcPr>
          <w:p w14:paraId="0E62E2BF">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农、林、牧、渔</w:t>
            </w:r>
          </w:p>
        </w:tc>
        <w:tc>
          <w:tcPr>
            <w:tcW w:w="1633" w:type="dxa"/>
            <w:tcBorders>
              <w:top w:val="nil"/>
              <w:left w:val="nil"/>
              <w:bottom w:val="single" w:color="auto" w:sz="4" w:space="0"/>
              <w:right w:val="single" w:color="auto" w:sz="4" w:space="0"/>
            </w:tcBorders>
            <w:vAlign w:val="center"/>
          </w:tcPr>
          <w:p w14:paraId="5BCB279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57E2B8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14198E0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1699" w:type="dxa"/>
            <w:tcBorders>
              <w:top w:val="nil"/>
              <w:left w:val="nil"/>
              <w:bottom w:val="single" w:color="auto" w:sz="4" w:space="0"/>
              <w:right w:val="single" w:color="auto" w:sz="4" w:space="0"/>
            </w:tcBorders>
            <w:vAlign w:val="center"/>
          </w:tcPr>
          <w:p w14:paraId="0DE6380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50≤Y＜500</w:t>
            </w:r>
          </w:p>
        </w:tc>
        <w:tc>
          <w:tcPr>
            <w:tcW w:w="1091" w:type="dxa"/>
            <w:tcBorders>
              <w:top w:val="nil"/>
              <w:left w:val="nil"/>
              <w:bottom w:val="single" w:color="auto" w:sz="4" w:space="0"/>
              <w:right w:val="single" w:color="auto" w:sz="4" w:space="0"/>
            </w:tcBorders>
            <w:vAlign w:val="center"/>
          </w:tcPr>
          <w:p w14:paraId="18BD4D8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55332BD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B076F2E">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工业</w:t>
            </w:r>
          </w:p>
        </w:tc>
        <w:tc>
          <w:tcPr>
            <w:tcW w:w="1633" w:type="dxa"/>
            <w:tcBorders>
              <w:top w:val="nil"/>
              <w:left w:val="nil"/>
              <w:bottom w:val="single" w:color="auto" w:sz="4" w:space="0"/>
              <w:right w:val="single" w:color="auto" w:sz="4" w:space="0"/>
            </w:tcBorders>
            <w:vAlign w:val="center"/>
          </w:tcPr>
          <w:p w14:paraId="72A136F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0D05491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F3F5E4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63EF4E9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6EA8A72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644C49D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98ACA5B">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935B2C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64DCEB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1A741A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2000≤Y＜40000</w:t>
            </w:r>
          </w:p>
        </w:tc>
        <w:tc>
          <w:tcPr>
            <w:tcW w:w="1699" w:type="dxa"/>
            <w:tcBorders>
              <w:top w:val="nil"/>
              <w:left w:val="nil"/>
              <w:bottom w:val="single" w:color="auto" w:sz="4" w:space="0"/>
              <w:right w:val="single" w:color="auto" w:sz="4" w:space="0"/>
            </w:tcBorders>
            <w:vAlign w:val="center"/>
          </w:tcPr>
          <w:p w14:paraId="2D40452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300≤Y＜2000</w:t>
            </w:r>
          </w:p>
        </w:tc>
        <w:tc>
          <w:tcPr>
            <w:tcW w:w="1091" w:type="dxa"/>
            <w:tcBorders>
              <w:top w:val="nil"/>
              <w:left w:val="nil"/>
              <w:bottom w:val="single" w:color="auto" w:sz="4" w:space="0"/>
              <w:right w:val="single" w:color="auto" w:sz="4" w:space="0"/>
            </w:tcBorders>
            <w:vAlign w:val="center"/>
          </w:tcPr>
          <w:p w14:paraId="26E1EB6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4BB3BC5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239F9E8">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建筑业</w:t>
            </w:r>
          </w:p>
        </w:tc>
        <w:tc>
          <w:tcPr>
            <w:tcW w:w="1633" w:type="dxa"/>
            <w:tcBorders>
              <w:top w:val="nil"/>
              <w:left w:val="nil"/>
              <w:bottom w:val="single" w:color="auto" w:sz="4" w:space="0"/>
              <w:right w:val="single" w:color="auto" w:sz="4" w:space="0"/>
            </w:tcBorders>
            <w:vAlign w:val="center"/>
          </w:tcPr>
          <w:p w14:paraId="340160D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2B19EB6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528BB03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6000≤Y＜80000</w:t>
            </w:r>
          </w:p>
        </w:tc>
        <w:tc>
          <w:tcPr>
            <w:tcW w:w="1699" w:type="dxa"/>
            <w:tcBorders>
              <w:top w:val="nil"/>
              <w:left w:val="nil"/>
              <w:bottom w:val="single" w:color="auto" w:sz="4" w:space="0"/>
              <w:right w:val="single" w:color="auto" w:sz="4" w:space="0"/>
            </w:tcBorders>
            <w:vAlign w:val="center"/>
          </w:tcPr>
          <w:p w14:paraId="747A11E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300≤Y＜6000</w:t>
            </w:r>
          </w:p>
        </w:tc>
        <w:tc>
          <w:tcPr>
            <w:tcW w:w="1091" w:type="dxa"/>
            <w:tcBorders>
              <w:top w:val="nil"/>
              <w:left w:val="nil"/>
              <w:bottom w:val="single" w:color="auto" w:sz="4" w:space="0"/>
              <w:right w:val="single" w:color="auto" w:sz="4" w:space="0"/>
            </w:tcBorders>
            <w:vAlign w:val="center"/>
          </w:tcPr>
          <w:p w14:paraId="440F2EE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66150913">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58F4E8D">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2AD649A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01C1C81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4A4F4F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5000≤Z＜80000</w:t>
            </w:r>
          </w:p>
        </w:tc>
        <w:tc>
          <w:tcPr>
            <w:tcW w:w="1699" w:type="dxa"/>
            <w:tcBorders>
              <w:top w:val="nil"/>
              <w:left w:val="nil"/>
              <w:bottom w:val="single" w:color="auto" w:sz="4" w:space="0"/>
              <w:right w:val="single" w:color="auto" w:sz="4" w:space="0"/>
            </w:tcBorders>
            <w:vAlign w:val="center"/>
          </w:tcPr>
          <w:p w14:paraId="71B7292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300≤Z＜5000</w:t>
            </w:r>
          </w:p>
        </w:tc>
        <w:tc>
          <w:tcPr>
            <w:tcW w:w="1091" w:type="dxa"/>
            <w:tcBorders>
              <w:top w:val="nil"/>
              <w:left w:val="nil"/>
              <w:bottom w:val="single" w:color="auto" w:sz="4" w:space="0"/>
              <w:right w:val="single" w:color="auto" w:sz="4" w:space="0"/>
            </w:tcBorders>
            <w:vAlign w:val="center"/>
          </w:tcPr>
          <w:p w14:paraId="025BAA4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Z＜300</w:t>
            </w:r>
          </w:p>
        </w:tc>
      </w:tr>
      <w:tr w14:paraId="11153B19">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E73954F">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批发业</w:t>
            </w:r>
          </w:p>
        </w:tc>
        <w:tc>
          <w:tcPr>
            <w:tcW w:w="1633" w:type="dxa"/>
            <w:tcBorders>
              <w:top w:val="nil"/>
              <w:left w:val="nil"/>
              <w:bottom w:val="single" w:color="auto" w:sz="4" w:space="0"/>
              <w:right w:val="single" w:color="auto" w:sz="4" w:space="0"/>
            </w:tcBorders>
            <w:vAlign w:val="center"/>
          </w:tcPr>
          <w:p w14:paraId="5C63F36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476EC91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A384C5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20≤X＜200</w:t>
            </w:r>
          </w:p>
        </w:tc>
        <w:tc>
          <w:tcPr>
            <w:tcW w:w="1699" w:type="dxa"/>
            <w:tcBorders>
              <w:top w:val="nil"/>
              <w:left w:val="nil"/>
              <w:bottom w:val="single" w:color="auto" w:sz="4" w:space="0"/>
              <w:right w:val="single" w:color="auto" w:sz="4" w:space="0"/>
            </w:tcBorders>
            <w:vAlign w:val="center"/>
          </w:tcPr>
          <w:p w14:paraId="2D514FD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5≤X＜20</w:t>
            </w:r>
          </w:p>
        </w:tc>
        <w:tc>
          <w:tcPr>
            <w:tcW w:w="1091" w:type="dxa"/>
            <w:tcBorders>
              <w:top w:val="nil"/>
              <w:left w:val="nil"/>
              <w:bottom w:val="single" w:color="auto" w:sz="4" w:space="0"/>
              <w:right w:val="single" w:color="auto" w:sz="4" w:space="0"/>
            </w:tcBorders>
            <w:vAlign w:val="center"/>
          </w:tcPr>
          <w:p w14:paraId="44C0253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X＜5</w:t>
            </w:r>
          </w:p>
        </w:tc>
      </w:tr>
      <w:tr w14:paraId="43F1EF1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722F288">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4ABB365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E4484E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5F43A3E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5000≤Y＜40000</w:t>
            </w:r>
          </w:p>
        </w:tc>
        <w:tc>
          <w:tcPr>
            <w:tcW w:w="1699" w:type="dxa"/>
            <w:tcBorders>
              <w:top w:val="nil"/>
              <w:left w:val="nil"/>
              <w:bottom w:val="single" w:color="auto" w:sz="4" w:space="0"/>
              <w:right w:val="single" w:color="auto" w:sz="4" w:space="0"/>
            </w:tcBorders>
            <w:vAlign w:val="center"/>
          </w:tcPr>
          <w:p w14:paraId="596749C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1091" w:type="dxa"/>
            <w:tcBorders>
              <w:top w:val="nil"/>
              <w:left w:val="nil"/>
              <w:bottom w:val="single" w:color="auto" w:sz="4" w:space="0"/>
              <w:right w:val="single" w:color="auto" w:sz="4" w:space="0"/>
            </w:tcBorders>
            <w:vAlign w:val="center"/>
          </w:tcPr>
          <w:p w14:paraId="47CCE16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Y＜1000</w:t>
            </w:r>
          </w:p>
        </w:tc>
      </w:tr>
      <w:tr w14:paraId="443F8014">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9B2A339">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零售业</w:t>
            </w:r>
          </w:p>
        </w:tc>
        <w:tc>
          <w:tcPr>
            <w:tcW w:w="1633" w:type="dxa"/>
            <w:tcBorders>
              <w:top w:val="nil"/>
              <w:left w:val="nil"/>
              <w:bottom w:val="single" w:color="auto" w:sz="4" w:space="0"/>
              <w:right w:val="single" w:color="auto" w:sz="4" w:space="0"/>
            </w:tcBorders>
            <w:vAlign w:val="center"/>
          </w:tcPr>
          <w:p w14:paraId="2E0C9E5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3C8A35C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52EE5B7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50≤X＜300</w:t>
            </w:r>
          </w:p>
        </w:tc>
        <w:tc>
          <w:tcPr>
            <w:tcW w:w="1699" w:type="dxa"/>
            <w:tcBorders>
              <w:top w:val="nil"/>
              <w:left w:val="nil"/>
              <w:bottom w:val="single" w:color="auto" w:sz="4" w:space="0"/>
              <w:right w:val="single" w:color="auto" w:sz="4" w:space="0"/>
            </w:tcBorders>
            <w:vAlign w:val="center"/>
          </w:tcPr>
          <w:p w14:paraId="79FA102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10≤X＜50</w:t>
            </w:r>
          </w:p>
        </w:tc>
        <w:tc>
          <w:tcPr>
            <w:tcW w:w="1091" w:type="dxa"/>
            <w:tcBorders>
              <w:top w:val="nil"/>
              <w:left w:val="nil"/>
              <w:bottom w:val="single" w:color="auto" w:sz="4" w:space="0"/>
              <w:right w:val="single" w:color="auto" w:sz="4" w:space="0"/>
            </w:tcBorders>
            <w:vAlign w:val="center"/>
          </w:tcPr>
          <w:p w14:paraId="7F692B5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234FA938">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66B12CEC">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0567210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1442DD8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480A8E8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1699" w:type="dxa"/>
            <w:tcBorders>
              <w:top w:val="nil"/>
              <w:left w:val="nil"/>
              <w:bottom w:val="single" w:color="auto" w:sz="4" w:space="0"/>
              <w:right w:val="single" w:color="auto" w:sz="4" w:space="0"/>
            </w:tcBorders>
            <w:vAlign w:val="center"/>
          </w:tcPr>
          <w:p w14:paraId="2794FF0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100≤Y＜500</w:t>
            </w:r>
          </w:p>
        </w:tc>
        <w:tc>
          <w:tcPr>
            <w:tcW w:w="1091" w:type="dxa"/>
            <w:tcBorders>
              <w:top w:val="nil"/>
              <w:left w:val="nil"/>
              <w:bottom w:val="single" w:color="auto" w:sz="4" w:space="0"/>
              <w:right w:val="single" w:color="auto" w:sz="4" w:space="0"/>
            </w:tcBorders>
            <w:vAlign w:val="center"/>
          </w:tcPr>
          <w:p w14:paraId="7ACC212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02FAB409">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7B215DB">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交通运输业</w:t>
            </w:r>
          </w:p>
        </w:tc>
        <w:tc>
          <w:tcPr>
            <w:tcW w:w="1633" w:type="dxa"/>
            <w:tcBorders>
              <w:top w:val="nil"/>
              <w:left w:val="nil"/>
              <w:bottom w:val="single" w:color="auto" w:sz="4" w:space="0"/>
              <w:right w:val="single" w:color="auto" w:sz="4" w:space="0"/>
            </w:tcBorders>
            <w:vAlign w:val="center"/>
          </w:tcPr>
          <w:p w14:paraId="43C7037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415A131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DAA517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2E1B4E2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693B934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00CE3233">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8C95268">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4079B44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E3D8DD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7A82F6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3000≤Y＜30000</w:t>
            </w:r>
          </w:p>
        </w:tc>
        <w:tc>
          <w:tcPr>
            <w:tcW w:w="1699" w:type="dxa"/>
            <w:tcBorders>
              <w:top w:val="nil"/>
              <w:left w:val="nil"/>
              <w:bottom w:val="single" w:color="auto" w:sz="4" w:space="0"/>
              <w:right w:val="single" w:color="auto" w:sz="4" w:space="0"/>
            </w:tcBorders>
            <w:vAlign w:val="center"/>
          </w:tcPr>
          <w:p w14:paraId="1B13227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200≤Y＜3000</w:t>
            </w:r>
          </w:p>
        </w:tc>
        <w:tc>
          <w:tcPr>
            <w:tcW w:w="1091" w:type="dxa"/>
            <w:tcBorders>
              <w:top w:val="nil"/>
              <w:left w:val="nil"/>
              <w:bottom w:val="single" w:color="auto" w:sz="4" w:space="0"/>
              <w:right w:val="single" w:color="auto" w:sz="4" w:space="0"/>
            </w:tcBorders>
            <w:vAlign w:val="center"/>
          </w:tcPr>
          <w:p w14:paraId="0C706CD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Y＜200</w:t>
            </w:r>
          </w:p>
        </w:tc>
      </w:tr>
      <w:tr w14:paraId="467D8DB4">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AD6AAAB">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仓储业</w:t>
            </w:r>
          </w:p>
        </w:tc>
        <w:tc>
          <w:tcPr>
            <w:tcW w:w="1633" w:type="dxa"/>
            <w:tcBorders>
              <w:top w:val="nil"/>
              <w:left w:val="nil"/>
              <w:bottom w:val="single" w:color="auto" w:sz="4" w:space="0"/>
              <w:right w:val="single" w:color="auto" w:sz="4" w:space="0"/>
            </w:tcBorders>
            <w:vAlign w:val="center"/>
          </w:tcPr>
          <w:p w14:paraId="2D21BDF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79E1025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20557A8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100≤X＜200</w:t>
            </w:r>
          </w:p>
        </w:tc>
        <w:tc>
          <w:tcPr>
            <w:tcW w:w="1699" w:type="dxa"/>
            <w:tcBorders>
              <w:top w:val="nil"/>
              <w:left w:val="nil"/>
              <w:bottom w:val="single" w:color="auto" w:sz="4" w:space="0"/>
              <w:right w:val="single" w:color="auto" w:sz="4" w:space="0"/>
            </w:tcBorders>
            <w:vAlign w:val="center"/>
          </w:tcPr>
          <w:p w14:paraId="7098F69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20≤X＜100</w:t>
            </w:r>
          </w:p>
        </w:tc>
        <w:tc>
          <w:tcPr>
            <w:tcW w:w="1091" w:type="dxa"/>
            <w:tcBorders>
              <w:top w:val="nil"/>
              <w:left w:val="nil"/>
              <w:bottom w:val="single" w:color="auto" w:sz="4" w:space="0"/>
              <w:right w:val="single" w:color="auto" w:sz="4" w:space="0"/>
            </w:tcBorders>
            <w:vAlign w:val="center"/>
          </w:tcPr>
          <w:p w14:paraId="1B8741B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6D2ABD8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68E0004E">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5A67A7D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654E8E2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365B094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1000≤Y＜30000</w:t>
            </w:r>
          </w:p>
        </w:tc>
        <w:tc>
          <w:tcPr>
            <w:tcW w:w="1699" w:type="dxa"/>
            <w:tcBorders>
              <w:top w:val="nil"/>
              <w:left w:val="nil"/>
              <w:bottom w:val="single" w:color="auto" w:sz="4" w:space="0"/>
              <w:right w:val="single" w:color="auto" w:sz="4" w:space="0"/>
            </w:tcBorders>
            <w:vAlign w:val="center"/>
          </w:tcPr>
          <w:p w14:paraId="3EB7405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1091" w:type="dxa"/>
            <w:tcBorders>
              <w:top w:val="nil"/>
              <w:left w:val="nil"/>
              <w:bottom w:val="single" w:color="auto" w:sz="4" w:space="0"/>
              <w:right w:val="single" w:color="auto" w:sz="4" w:space="0"/>
            </w:tcBorders>
            <w:vAlign w:val="center"/>
          </w:tcPr>
          <w:p w14:paraId="3FFCACE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9B59C3C">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3A71564D">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邮政业</w:t>
            </w:r>
          </w:p>
        </w:tc>
        <w:tc>
          <w:tcPr>
            <w:tcW w:w="1633" w:type="dxa"/>
            <w:tcBorders>
              <w:top w:val="nil"/>
              <w:left w:val="nil"/>
              <w:bottom w:val="single" w:color="auto" w:sz="4" w:space="0"/>
              <w:right w:val="single" w:color="auto" w:sz="4" w:space="0"/>
            </w:tcBorders>
            <w:vAlign w:val="center"/>
          </w:tcPr>
          <w:p w14:paraId="2220402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73EF9DB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7ACFBFF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4281A09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0CFCC4D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380B3DF7">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75EC3E2C">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19A4C4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2BB986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1D14B95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2000≤Y＜30000</w:t>
            </w:r>
          </w:p>
        </w:tc>
        <w:tc>
          <w:tcPr>
            <w:tcW w:w="1699" w:type="dxa"/>
            <w:tcBorders>
              <w:top w:val="nil"/>
              <w:left w:val="nil"/>
              <w:bottom w:val="single" w:color="auto" w:sz="4" w:space="0"/>
              <w:right w:val="single" w:color="auto" w:sz="4" w:space="0"/>
            </w:tcBorders>
            <w:vAlign w:val="center"/>
          </w:tcPr>
          <w:p w14:paraId="5355178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1184351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46C8063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C4BD26E">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住宿业</w:t>
            </w:r>
          </w:p>
        </w:tc>
        <w:tc>
          <w:tcPr>
            <w:tcW w:w="1633" w:type="dxa"/>
            <w:tcBorders>
              <w:top w:val="nil"/>
              <w:left w:val="nil"/>
              <w:bottom w:val="single" w:color="auto" w:sz="4" w:space="0"/>
              <w:right w:val="single" w:color="auto" w:sz="4" w:space="0"/>
            </w:tcBorders>
            <w:vAlign w:val="center"/>
          </w:tcPr>
          <w:p w14:paraId="2E42CFC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71282DA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478383D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337B9BA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45EACFC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2ECA600A">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7649BF5">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366FF0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4BD8D9B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E166B7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1699" w:type="dxa"/>
            <w:tcBorders>
              <w:top w:val="nil"/>
              <w:left w:val="nil"/>
              <w:bottom w:val="single" w:color="auto" w:sz="4" w:space="0"/>
              <w:right w:val="single" w:color="auto" w:sz="4" w:space="0"/>
            </w:tcBorders>
            <w:vAlign w:val="center"/>
          </w:tcPr>
          <w:p w14:paraId="31611FC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342CD51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4EA98C5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1217FB1">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餐饮业</w:t>
            </w:r>
          </w:p>
        </w:tc>
        <w:tc>
          <w:tcPr>
            <w:tcW w:w="1633" w:type="dxa"/>
            <w:tcBorders>
              <w:top w:val="nil"/>
              <w:left w:val="nil"/>
              <w:bottom w:val="single" w:color="auto" w:sz="4" w:space="0"/>
              <w:right w:val="single" w:color="auto" w:sz="4" w:space="0"/>
            </w:tcBorders>
            <w:vAlign w:val="center"/>
          </w:tcPr>
          <w:p w14:paraId="546F8D9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0287594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70DF8E6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7832ED4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1A34793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59EAD8B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032C8A85">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0BDF4DD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6FCBF76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48E2817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1699" w:type="dxa"/>
            <w:tcBorders>
              <w:top w:val="nil"/>
              <w:left w:val="nil"/>
              <w:bottom w:val="single" w:color="auto" w:sz="4" w:space="0"/>
              <w:right w:val="single" w:color="auto" w:sz="4" w:space="0"/>
            </w:tcBorders>
            <w:vAlign w:val="center"/>
          </w:tcPr>
          <w:p w14:paraId="5717DE6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0A08C87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7255EC6">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1840BF1">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信息传输业</w:t>
            </w:r>
          </w:p>
        </w:tc>
        <w:tc>
          <w:tcPr>
            <w:tcW w:w="1633" w:type="dxa"/>
            <w:tcBorders>
              <w:top w:val="nil"/>
              <w:left w:val="nil"/>
              <w:bottom w:val="single" w:color="auto" w:sz="4" w:space="0"/>
              <w:right w:val="single" w:color="auto" w:sz="4" w:space="0"/>
            </w:tcBorders>
            <w:vAlign w:val="center"/>
          </w:tcPr>
          <w:p w14:paraId="1C63290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45B72D2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9DAC18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100≤X＜2000</w:t>
            </w:r>
          </w:p>
        </w:tc>
        <w:tc>
          <w:tcPr>
            <w:tcW w:w="1699" w:type="dxa"/>
            <w:tcBorders>
              <w:top w:val="nil"/>
              <w:left w:val="nil"/>
              <w:bottom w:val="single" w:color="auto" w:sz="4" w:space="0"/>
              <w:right w:val="single" w:color="auto" w:sz="4" w:space="0"/>
            </w:tcBorders>
            <w:vAlign w:val="center"/>
          </w:tcPr>
          <w:p w14:paraId="2235BF5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44EBF1B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66E50A0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9EF26C8">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799B66C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3968A91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1E586F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1000≤Y＜100000</w:t>
            </w:r>
          </w:p>
        </w:tc>
        <w:tc>
          <w:tcPr>
            <w:tcW w:w="1699" w:type="dxa"/>
            <w:tcBorders>
              <w:top w:val="nil"/>
              <w:left w:val="nil"/>
              <w:bottom w:val="single" w:color="auto" w:sz="4" w:space="0"/>
              <w:right w:val="single" w:color="auto" w:sz="4" w:space="0"/>
            </w:tcBorders>
            <w:vAlign w:val="center"/>
          </w:tcPr>
          <w:p w14:paraId="2E412A8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1091" w:type="dxa"/>
            <w:tcBorders>
              <w:top w:val="nil"/>
              <w:left w:val="nil"/>
              <w:bottom w:val="single" w:color="auto" w:sz="4" w:space="0"/>
              <w:right w:val="single" w:color="auto" w:sz="4" w:space="0"/>
            </w:tcBorders>
            <w:vAlign w:val="center"/>
          </w:tcPr>
          <w:p w14:paraId="75E7002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0DAE1364">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C5A2228">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软件和信息技术服务业</w:t>
            </w:r>
          </w:p>
        </w:tc>
        <w:tc>
          <w:tcPr>
            <w:tcW w:w="1633" w:type="dxa"/>
            <w:tcBorders>
              <w:top w:val="nil"/>
              <w:left w:val="nil"/>
              <w:bottom w:val="single" w:color="auto" w:sz="4" w:space="0"/>
              <w:right w:val="single" w:color="auto" w:sz="4" w:space="0"/>
            </w:tcBorders>
            <w:vAlign w:val="center"/>
          </w:tcPr>
          <w:p w14:paraId="488D726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4C1CF5F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6C035F2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175B442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587C599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1FE3047E">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DA8EF7A">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41E5AEB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3ACA60D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451743A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1000≤Y＜10000</w:t>
            </w:r>
          </w:p>
        </w:tc>
        <w:tc>
          <w:tcPr>
            <w:tcW w:w="1699" w:type="dxa"/>
            <w:tcBorders>
              <w:top w:val="nil"/>
              <w:left w:val="nil"/>
              <w:bottom w:val="single" w:color="auto" w:sz="4" w:space="0"/>
              <w:right w:val="single" w:color="auto" w:sz="4" w:space="0"/>
            </w:tcBorders>
            <w:vAlign w:val="center"/>
          </w:tcPr>
          <w:p w14:paraId="3848863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50≤Y＜1000</w:t>
            </w:r>
          </w:p>
        </w:tc>
        <w:tc>
          <w:tcPr>
            <w:tcW w:w="1091" w:type="dxa"/>
            <w:tcBorders>
              <w:top w:val="nil"/>
              <w:left w:val="nil"/>
              <w:bottom w:val="single" w:color="auto" w:sz="4" w:space="0"/>
              <w:right w:val="single" w:color="auto" w:sz="4" w:space="0"/>
            </w:tcBorders>
            <w:vAlign w:val="center"/>
          </w:tcPr>
          <w:p w14:paraId="09A3FC6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6D55CAB0">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E734C95">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房地产开发经营</w:t>
            </w:r>
          </w:p>
        </w:tc>
        <w:tc>
          <w:tcPr>
            <w:tcW w:w="1633" w:type="dxa"/>
            <w:tcBorders>
              <w:top w:val="nil"/>
              <w:left w:val="nil"/>
              <w:bottom w:val="single" w:color="auto" w:sz="4" w:space="0"/>
              <w:right w:val="single" w:color="auto" w:sz="4" w:space="0"/>
            </w:tcBorders>
            <w:vAlign w:val="center"/>
          </w:tcPr>
          <w:p w14:paraId="7614B78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342CD31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1590C30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1000≤Y＜200000</w:t>
            </w:r>
          </w:p>
        </w:tc>
        <w:tc>
          <w:tcPr>
            <w:tcW w:w="1699" w:type="dxa"/>
            <w:tcBorders>
              <w:top w:val="nil"/>
              <w:left w:val="nil"/>
              <w:bottom w:val="single" w:color="auto" w:sz="4" w:space="0"/>
              <w:right w:val="single" w:color="auto" w:sz="4" w:space="0"/>
            </w:tcBorders>
            <w:vAlign w:val="center"/>
          </w:tcPr>
          <w:p w14:paraId="28F7514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100≤X＜1000</w:t>
            </w:r>
          </w:p>
        </w:tc>
        <w:tc>
          <w:tcPr>
            <w:tcW w:w="1091" w:type="dxa"/>
            <w:tcBorders>
              <w:top w:val="nil"/>
              <w:left w:val="nil"/>
              <w:bottom w:val="single" w:color="auto" w:sz="4" w:space="0"/>
              <w:right w:val="single" w:color="auto" w:sz="4" w:space="0"/>
            </w:tcBorders>
            <w:vAlign w:val="center"/>
          </w:tcPr>
          <w:p w14:paraId="1222792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1440956D">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9A1B572">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5BA31DD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1EBB2B6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CAE8B9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5000≤Z＜10000</w:t>
            </w:r>
          </w:p>
        </w:tc>
        <w:tc>
          <w:tcPr>
            <w:tcW w:w="1699" w:type="dxa"/>
            <w:tcBorders>
              <w:top w:val="nil"/>
              <w:left w:val="nil"/>
              <w:bottom w:val="single" w:color="auto" w:sz="4" w:space="0"/>
              <w:right w:val="single" w:color="auto" w:sz="4" w:space="0"/>
            </w:tcBorders>
            <w:vAlign w:val="center"/>
          </w:tcPr>
          <w:p w14:paraId="42FDE69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2000≤Y＜5000</w:t>
            </w:r>
          </w:p>
        </w:tc>
        <w:tc>
          <w:tcPr>
            <w:tcW w:w="1091" w:type="dxa"/>
            <w:tcBorders>
              <w:top w:val="nil"/>
              <w:left w:val="nil"/>
              <w:bottom w:val="single" w:color="auto" w:sz="4" w:space="0"/>
              <w:right w:val="single" w:color="auto" w:sz="4" w:space="0"/>
            </w:tcBorders>
            <w:vAlign w:val="center"/>
          </w:tcPr>
          <w:p w14:paraId="672962D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Y＜2000</w:t>
            </w:r>
          </w:p>
        </w:tc>
      </w:tr>
      <w:tr w14:paraId="3F0073C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C7F1559">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物业管理</w:t>
            </w:r>
          </w:p>
        </w:tc>
        <w:tc>
          <w:tcPr>
            <w:tcW w:w="1633" w:type="dxa"/>
            <w:tcBorders>
              <w:top w:val="nil"/>
              <w:left w:val="nil"/>
              <w:bottom w:val="single" w:color="auto" w:sz="4" w:space="0"/>
              <w:right w:val="single" w:color="auto" w:sz="4" w:space="0"/>
            </w:tcBorders>
            <w:vAlign w:val="center"/>
          </w:tcPr>
          <w:p w14:paraId="5436A4E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0C44A08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160EF92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3655C92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091" w:type="dxa"/>
            <w:tcBorders>
              <w:top w:val="nil"/>
              <w:left w:val="nil"/>
              <w:bottom w:val="single" w:color="auto" w:sz="4" w:space="0"/>
              <w:right w:val="single" w:color="auto" w:sz="4" w:space="0"/>
            </w:tcBorders>
            <w:vAlign w:val="center"/>
          </w:tcPr>
          <w:p w14:paraId="267534A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7FE2DB2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76E27C19">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366000B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2F2BA6E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37EE9DD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1699" w:type="dxa"/>
            <w:tcBorders>
              <w:top w:val="nil"/>
              <w:left w:val="nil"/>
              <w:bottom w:val="single" w:color="auto" w:sz="4" w:space="0"/>
              <w:right w:val="single" w:color="auto" w:sz="4" w:space="0"/>
            </w:tcBorders>
            <w:vAlign w:val="center"/>
          </w:tcPr>
          <w:p w14:paraId="4D5B294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500≤Y＜1000</w:t>
            </w:r>
          </w:p>
        </w:tc>
        <w:tc>
          <w:tcPr>
            <w:tcW w:w="1091" w:type="dxa"/>
            <w:tcBorders>
              <w:top w:val="nil"/>
              <w:left w:val="nil"/>
              <w:bottom w:val="single" w:color="auto" w:sz="4" w:space="0"/>
              <w:right w:val="single" w:color="auto" w:sz="4" w:space="0"/>
            </w:tcBorders>
            <w:vAlign w:val="center"/>
          </w:tcPr>
          <w:p w14:paraId="5D5A6E8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Y＜500</w:t>
            </w:r>
          </w:p>
        </w:tc>
      </w:tr>
      <w:tr w14:paraId="33F1CA2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C3E5464">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租赁和商务服务业</w:t>
            </w:r>
          </w:p>
        </w:tc>
        <w:tc>
          <w:tcPr>
            <w:tcW w:w="1633" w:type="dxa"/>
            <w:tcBorders>
              <w:top w:val="nil"/>
              <w:left w:val="nil"/>
              <w:bottom w:val="single" w:color="auto" w:sz="4" w:space="0"/>
              <w:right w:val="single" w:color="auto" w:sz="4" w:space="0"/>
            </w:tcBorders>
            <w:vAlign w:val="center"/>
          </w:tcPr>
          <w:p w14:paraId="68C6C47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6D6F75A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1E067B2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74EF2C0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1EEB2A6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5D3CA0C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66217EBB">
            <w:pPr>
              <w:widowControl/>
              <w:jc w:val="left"/>
              <w:rPr>
                <w:rFonts w:hint="eastAsia"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0BAC872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31D2959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4B54E3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8000≤Z＜120000</w:t>
            </w:r>
          </w:p>
        </w:tc>
        <w:tc>
          <w:tcPr>
            <w:tcW w:w="1699" w:type="dxa"/>
            <w:tcBorders>
              <w:top w:val="nil"/>
              <w:left w:val="nil"/>
              <w:bottom w:val="single" w:color="auto" w:sz="4" w:space="0"/>
              <w:right w:val="single" w:color="auto" w:sz="4" w:space="0"/>
            </w:tcBorders>
            <w:vAlign w:val="center"/>
          </w:tcPr>
          <w:p w14:paraId="661F46F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100≤Z＜8000</w:t>
            </w:r>
          </w:p>
        </w:tc>
        <w:tc>
          <w:tcPr>
            <w:tcW w:w="1091" w:type="dxa"/>
            <w:tcBorders>
              <w:top w:val="nil"/>
              <w:left w:val="nil"/>
              <w:bottom w:val="single" w:color="auto" w:sz="4" w:space="0"/>
              <w:right w:val="single" w:color="auto" w:sz="4" w:space="0"/>
            </w:tcBorders>
            <w:vAlign w:val="center"/>
          </w:tcPr>
          <w:p w14:paraId="453EB0E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6EF36C12">
        <w:tblPrEx>
          <w:tblCellMar>
            <w:top w:w="0" w:type="dxa"/>
            <w:left w:w="108" w:type="dxa"/>
            <w:bottom w:w="0" w:type="dxa"/>
            <w:right w:w="108" w:type="dxa"/>
          </w:tblCellMar>
        </w:tblPrEx>
        <w:trPr>
          <w:trHeight w:val="375" w:hRule="atLeast"/>
        </w:trPr>
        <w:tc>
          <w:tcPr>
            <w:tcW w:w="2007" w:type="dxa"/>
            <w:tcBorders>
              <w:top w:val="nil"/>
              <w:left w:val="single" w:color="auto" w:sz="4" w:space="0"/>
              <w:bottom w:val="single" w:color="auto" w:sz="4" w:space="0"/>
              <w:right w:val="single" w:color="auto" w:sz="4" w:space="0"/>
            </w:tcBorders>
            <w:vAlign w:val="bottom"/>
          </w:tcPr>
          <w:p w14:paraId="052B66BC">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其他未列明行业</w:t>
            </w:r>
          </w:p>
        </w:tc>
        <w:tc>
          <w:tcPr>
            <w:tcW w:w="1633" w:type="dxa"/>
            <w:tcBorders>
              <w:top w:val="nil"/>
              <w:left w:val="nil"/>
              <w:bottom w:val="single" w:color="auto" w:sz="4" w:space="0"/>
              <w:right w:val="single" w:color="auto" w:sz="4" w:space="0"/>
            </w:tcBorders>
            <w:vAlign w:val="center"/>
          </w:tcPr>
          <w:p w14:paraId="527DC66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5C41DCF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563601C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460D207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4454ADA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bl>
    <w:p w14:paraId="2A2BFBED">
      <w:pPr>
        <w:spacing w:line="360" w:lineRule="auto"/>
        <w:ind w:firstLine="600" w:firstLineChars="250"/>
        <w:rPr>
          <w:rFonts w:hint="eastAsia" w:ascii="宋体" w:hAnsi="宋体" w:cs="宋体"/>
          <w:color w:val="auto"/>
          <w:sz w:val="24"/>
          <w:highlight w:val="none"/>
        </w:rPr>
      </w:pPr>
      <w:r>
        <w:rPr>
          <w:rFonts w:hint="eastAsia" w:ascii="宋体" w:hAnsi="宋体" w:cs="宋体"/>
          <w:color w:val="auto"/>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463D965">
      <w:pPr>
        <w:spacing w:line="360" w:lineRule="auto"/>
        <w:ind w:firstLine="600" w:firstLineChars="250"/>
        <w:rPr>
          <w:rFonts w:hint="eastAsia" w:ascii="宋体" w:hAnsi="宋体" w:cs="宋体"/>
          <w:color w:val="auto"/>
          <w:sz w:val="24"/>
          <w:highlight w:val="none"/>
        </w:rPr>
      </w:pPr>
      <w:r>
        <w:rPr>
          <w:rFonts w:hint="eastAsia" w:ascii="宋体" w:hAnsi="宋体" w:cs="宋体"/>
          <w:color w:val="auto"/>
          <w:sz w:val="24"/>
          <w:highlight w:val="none"/>
        </w:rPr>
        <w:t>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6EC748D">
      <w:pPr>
        <w:spacing w:line="360" w:lineRule="auto"/>
        <w:ind w:firstLine="600" w:firstLineChars="250"/>
        <w:rPr>
          <w:rFonts w:hint="eastAsia" w:ascii="宋体" w:hAnsi="宋体" w:cs="宋体"/>
          <w:color w:val="auto"/>
          <w:sz w:val="24"/>
          <w:highlight w:val="none"/>
        </w:rPr>
      </w:pPr>
      <w:bookmarkStart w:id="33" w:name="_Toc5080"/>
      <w:r>
        <w:rPr>
          <w:rFonts w:hint="eastAsia" w:ascii="宋体" w:hAnsi="宋体" w:cs="宋体"/>
          <w:color w:val="auto"/>
          <w:sz w:val="24"/>
          <w:highlight w:val="none"/>
        </w:rPr>
        <w:br w:type="page"/>
      </w:r>
    </w:p>
    <w:p w14:paraId="558E6C42">
      <w:pPr>
        <w:pStyle w:val="2"/>
        <w:spacing w:before="0" w:after="0" w:line="360" w:lineRule="auto"/>
        <w:ind w:firstLine="883" w:firstLineChars="200"/>
        <w:jc w:val="left"/>
        <w:rPr>
          <w:rFonts w:hint="eastAsia" w:ascii="宋体" w:hAnsi="宋体" w:eastAsia="宋体" w:cs="宋体"/>
          <w:color w:val="auto"/>
          <w:highlight w:val="none"/>
          <w:lang w:eastAsia="zh-CN"/>
        </w:rPr>
      </w:pPr>
      <w:r>
        <w:rPr>
          <w:rFonts w:hint="eastAsia" w:ascii="宋体" w:hAnsi="宋体" w:cs="宋体"/>
          <w:color w:val="auto"/>
          <w:highlight w:val="none"/>
        </w:rPr>
        <w:t xml:space="preserve">第四章  </w:t>
      </w:r>
      <w:bookmarkEnd w:id="32"/>
      <w:bookmarkEnd w:id="33"/>
      <w:r>
        <w:rPr>
          <w:rFonts w:hint="eastAsia" w:ascii="宋体" w:hAnsi="宋体" w:cs="宋体"/>
          <w:color w:val="auto"/>
          <w:highlight w:val="none"/>
          <w:lang w:eastAsia="zh-CN"/>
        </w:rPr>
        <w:t>评审程序、评审方法和成交标准</w:t>
      </w:r>
    </w:p>
    <w:p w14:paraId="27C5F385">
      <w:pPr>
        <w:spacing w:line="360" w:lineRule="auto"/>
        <w:rPr>
          <w:rFonts w:hint="eastAsia" w:ascii="宋体" w:hAnsi="宋体" w:cs="宋体"/>
          <w:b/>
          <w:color w:val="auto"/>
          <w:sz w:val="32"/>
          <w:szCs w:val="32"/>
          <w:highlight w:val="none"/>
        </w:rPr>
      </w:pPr>
    </w:p>
    <w:p w14:paraId="1DCE3885">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36585F25">
      <w:pPr>
        <w:spacing w:line="360" w:lineRule="auto"/>
        <w:ind w:firstLine="482" w:firstLineChars="200"/>
        <w:rPr>
          <w:rFonts w:hint="eastAsia" w:ascii="宋体" w:hAnsi="宋体" w:cs="宋体"/>
          <w:b/>
          <w:bCs/>
          <w:color w:val="auto"/>
          <w:sz w:val="24"/>
          <w:highlight w:val="none"/>
        </w:rPr>
      </w:pPr>
    </w:p>
    <w:p w14:paraId="7353854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1.确认谈判文件</w:t>
      </w:r>
    </w:p>
    <w:p w14:paraId="3B69497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由谈判小组确认谈判文件。</w:t>
      </w:r>
    </w:p>
    <w:p w14:paraId="1A84257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2.资格审查</w:t>
      </w:r>
    </w:p>
    <w:p w14:paraId="24B5DCE6">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2.1响应文件开启后，谈判小组依法对供应商的资格证明文件进行审查。</w:t>
      </w:r>
    </w:p>
    <w:p w14:paraId="232DACDA">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（1）查询渠道：“信用中国”网站（www.creditchina.gov.cn）、中国执行信息公开网（https://zxgk.court.gov.cn/shixin/）</w:t>
      </w:r>
      <w:r>
        <w:rPr>
          <w:rFonts w:hint="eastAsia" w:ascii="宋体" w:hAnsi="宋体" w:cs="宋体"/>
          <w:color w:val="auto"/>
          <w:sz w:val="24"/>
          <w:highlight w:val="none"/>
          <w:lang w:eastAsia="zh-CN"/>
        </w:rPr>
        <w:t>、</w:t>
      </w:r>
      <w:r>
        <w:rPr>
          <w:rFonts w:hint="eastAsia" w:ascii="宋体" w:hAnsi="宋体" w:cs="宋体"/>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 w:val="24"/>
          <w:highlight w:val="none"/>
        </w:rPr>
        <w:t>www.ccgp.gov.cn</w:t>
      </w:r>
      <w:r>
        <w:rPr>
          <w:rFonts w:hint="eastAsia" w:ascii="宋体" w:hAnsi="宋体" w:cs="宋体"/>
          <w:color w:val="auto"/>
          <w:sz w:val="24"/>
          <w:highlight w:val="none"/>
        </w:rPr>
        <w:fldChar w:fldCharType="end"/>
      </w:r>
      <w:r>
        <w:rPr>
          <w:rFonts w:hint="eastAsia" w:ascii="宋体" w:hAnsi="宋体" w:cs="宋体"/>
          <w:color w:val="auto"/>
          <w:sz w:val="24"/>
          <w:highlight w:val="none"/>
        </w:rPr>
        <w:t xml:space="preserve">） </w:t>
      </w:r>
    </w:p>
    <w:p w14:paraId="65B144A2">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（2）信用查询截止时点：资格审查结束前</w:t>
      </w:r>
    </w:p>
    <w:p w14:paraId="4976E10C">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（3）查询记录和证据留存方式：将查询网站中的查询记录截图并作为评审资料保存。</w:t>
      </w:r>
    </w:p>
    <w:p w14:paraId="4F0AD6BA">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信用信息使用规则：信用信息使用规则：根据财政部《关于在政府采购活动中查询及使用信用记录有关问题的通知》（财库〔2016〕125号）的规定，对在“信用中国”网站(https://www.creditchina.gov.cn/)被列入重大税收违法失信主体、严重失信主体名单以及“中国执行信息公开网”（https://zxgk.court.gov.cn/shixin/）列入失信被执行人及“中国政府</w:t>
      </w:r>
      <w:r>
        <w:rPr>
          <w:rFonts w:hint="eastAsia" w:ascii="宋体" w:hAnsi="宋体" w:cs="宋体"/>
          <w:color w:val="auto"/>
          <w:sz w:val="24"/>
          <w:highlight w:val="none"/>
          <w:lang w:eastAsia="zh-CN"/>
        </w:rPr>
        <w:t>采</w:t>
      </w:r>
      <w:r>
        <w:rPr>
          <w:rFonts w:hint="eastAsia" w:ascii="宋体" w:hAnsi="宋体" w:cs="宋体"/>
          <w:color w:val="auto"/>
          <w:sz w:val="24"/>
          <w:highlight w:val="none"/>
        </w:rPr>
        <w:t>购网”（www. ccgp. gov. cn） 被列入政府</w:t>
      </w:r>
      <w:r>
        <w:rPr>
          <w:rFonts w:hint="eastAsia" w:ascii="宋体" w:hAnsi="宋体" w:cs="宋体"/>
          <w:color w:val="auto"/>
          <w:sz w:val="24"/>
          <w:highlight w:val="none"/>
          <w:lang w:eastAsia="zh-CN"/>
        </w:rPr>
        <w:t>采</w:t>
      </w:r>
      <w:r>
        <w:rPr>
          <w:rFonts w:hint="eastAsia" w:ascii="宋体" w:hAnsi="宋体" w:cs="宋体"/>
          <w:color w:val="auto"/>
          <w:sz w:val="24"/>
          <w:highlight w:val="none"/>
        </w:rPr>
        <w:t>购严重违法失信行为记录名单及其他不符合《中华人民共和国政府采购法》第二十二条规定条件的供应商，不得参与政府采购活动。</w:t>
      </w:r>
    </w:p>
    <w:p w14:paraId="6A342B9A">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2.2资格审查标准为本谈判文件中载明对供应商资格要求的条件。本项目资格审查采用合格制，凡符合谈判文件规定的供应商资格要求的供应商均通过资格审查。</w:t>
      </w:r>
    </w:p>
    <w:p w14:paraId="183541F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 供应商有下列情形之一的，资格审查不通过，其响应文件按无效响应处理：</w:t>
      </w:r>
    </w:p>
    <w:p w14:paraId="38D4297F">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（1）不具备谈判文件中规定的资格要求的；</w:t>
      </w:r>
    </w:p>
    <w:p w14:paraId="701DA0C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（2）响应文件中的资格证明文件缺少任一项“供应商须知前附表”资格证明文件规定的“必须提供”的文件资料的；</w:t>
      </w:r>
    </w:p>
    <w:p w14:paraId="6DA32AA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（3）响应文件中的资格证明文件出现任一项不符合“供应商须知前附表”资格证明文件规定的“必须提供”的文件资料要求或者无效的；</w:t>
      </w:r>
    </w:p>
    <w:p w14:paraId="1441929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0014186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2.4通过资格审查的合格供应商不足3家的，不得进入符合性审查环节，应当重新开展采购活动。</w:t>
      </w:r>
    </w:p>
    <w:p w14:paraId="4451D9A7">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3.符合性审查</w:t>
      </w:r>
    </w:p>
    <w:p w14:paraId="7A22AC6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3.1由谈判小组对资格审查的合格的供应商的响应文件进行竞标报价、商务、技术等实质性要求符合性审查，以确定其是否满足谈判文件的实质性要求。</w:t>
      </w:r>
    </w:p>
    <w:p w14:paraId="6A8EB67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396C496">
      <w:pPr>
        <w:spacing w:line="360" w:lineRule="auto"/>
        <w:ind w:firstLine="480" w:firstLineChars="200"/>
        <w:rPr>
          <w:rFonts w:hint="eastAsia" w:ascii="宋体" w:hAnsi="宋体" w:cs="宋体"/>
          <w:color w:val="auto"/>
          <w:spacing w:val="-6"/>
          <w:sz w:val="24"/>
          <w:highlight w:val="none"/>
        </w:rPr>
      </w:pPr>
      <w:r>
        <w:rPr>
          <w:rFonts w:hint="eastAsia" w:ascii="宋体" w:hAnsi="宋体" w:cs="宋体"/>
          <w:color w:val="auto"/>
          <w:sz w:val="24"/>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供应商公章。</w:t>
      </w:r>
    </w:p>
    <w:p w14:paraId="749399D1">
      <w:pPr>
        <w:spacing w:line="360" w:lineRule="auto"/>
        <w:ind w:firstLine="456" w:firstLineChars="200"/>
        <w:rPr>
          <w:rFonts w:hint="eastAsia" w:ascii="宋体" w:hAnsi="宋体" w:cs="宋体"/>
          <w:color w:val="auto"/>
          <w:sz w:val="24"/>
          <w:highlight w:val="none"/>
        </w:rPr>
      </w:pPr>
      <w:r>
        <w:rPr>
          <w:rFonts w:hint="eastAsia" w:ascii="宋体" w:hAnsi="宋体" w:cs="宋体"/>
          <w:color w:val="auto"/>
          <w:spacing w:val="-6"/>
          <w:sz w:val="24"/>
          <w:highlight w:val="none"/>
        </w:rPr>
        <w:t>3.4</w:t>
      </w:r>
      <w:r>
        <w:rPr>
          <w:rFonts w:hint="eastAsia" w:ascii="宋体" w:hAnsi="宋体" w:cs="宋体"/>
          <w:color w:val="auto"/>
          <w:sz w:val="24"/>
          <w:highlight w:val="none"/>
        </w:rPr>
        <w:t xml:space="preserve">首次响应文件报价出现前后不一致的，按照下列规定修正： </w:t>
      </w:r>
    </w:p>
    <w:p w14:paraId="6592E39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（1）响应文件中报价表内容与响应文件中相应内容不一致的，以报价表为准；</w:t>
      </w:r>
    </w:p>
    <w:p w14:paraId="76E3CBC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14:paraId="04393BB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（3）单价金额小数点或者百分比有明显错位的，以报价表的总价为准，并修改单价；</w:t>
      </w:r>
    </w:p>
    <w:p w14:paraId="7E3A0BE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14:paraId="53C63EB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同时出现两种以上不一致的，按照以上（1）-（4）规定的顺序逐条进行修正。修正后的报价经供应商确认后产生约束力，供应商不确认的，其响应文件按无效响应处理。</w:t>
      </w:r>
    </w:p>
    <w:p w14:paraId="50A0A0F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3.5商务技术、报价评审</w:t>
      </w:r>
    </w:p>
    <w:p w14:paraId="0F86D02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在评审时，如发现下列情形之一的，将被视为响应文件无效响应处理：</w:t>
      </w:r>
    </w:p>
    <w:p w14:paraId="767A2E2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（1）商务技术评审</w:t>
      </w:r>
    </w:p>
    <w:p w14:paraId="0129BC0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1）响应文件未按谈判文件要求签署、盖章的；</w:t>
      </w:r>
    </w:p>
    <w:p w14:paraId="066BDFF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2）委托代理人未能出具有效身份证或者出具的身份证与授权委托书中的信息不符的； </w:t>
      </w:r>
    </w:p>
    <w:p w14:paraId="6331495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3）提交的竞标保证金无效的或者未按照谈判文件的规定提交竞标保证金；</w:t>
      </w:r>
    </w:p>
    <w:p w14:paraId="6596A7B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4）响应文件中的商务技术文件出现任一项不符合“供应商须知前附表”中“必须提供”或者“委托时必须提供”文件资料要求的规定或者提供的商务技术文件无效。</w:t>
      </w:r>
    </w:p>
    <w:p w14:paraId="6656B91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5）商务条款中标“▲”的条款发生负偏离或者允许负偏离的条款数超过“供应商须知前附表”规定项数的；</w:t>
      </w:r>
    </w:p>
    <w:p w14:paraId="4C85775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6）未对竞标有效期作出响应或者响应文件承诺的竞标有效期不满足谈判文件要求；</w:t>
      </w:r>
    </w:p>
    <w:p w14:paraId="1668577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7）响应文件的实质性内容未使用中文表述、使用计量单位不符合谈判文件要求的；</w:t>
      </w:r>
    </w:p>
    <w:p w14:paraId="1232518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8）响应文件中的文件资料因填写不齐全或者内容虚假或者出现其他情形而导致被谈判小组认定无效的；</w:t>
      </w:r>
    </w:p>
    <w:p w14:paraId="7F5E13F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9）响应文件含有采购人不能接受的附加条件的；</w:t>
      </w:r>
    </w:p>
    <w:p w14:paraId="6A7D641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10）属于“供应商须知正文”第7.</w:t>
      </w:r>
      <w:r>
        <w:rPr>
          <w:rFonts w:ascii="宋体" w:hAnsi="宋体" w:cs="宋体"/>
          <w:color w:val="auto"/>
          <w:sz w:val="24"/>
          <w:highlight w:val="none"/>
        </w:rPr>
        <w:t>4</w:t>
      </w:r>
      <w:r>
        <w:rPr>
          <w:rFonts w:hint="eastAsia" w:ascii="宋体" w:hAnsi="宋体" w:cs="宋体"/>
          <w:color w:val="auto"/>
          <w:sz w:val="24"/>
          <w:highlight w:val="none"/>
        </w:rPr>
        <w:t>条的情形的；</w:t>
      </w:r>
    </w:p>
    <w:p w14:paraId="2B295F2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11）技术要求中标“▲”的条款发生负偏离或者允许负偏离的条款数超过“供应商须知前附表”规定项数的；</w:t>
      </w:r>
    </w:p>
    <w:p w14:paraId="4560C94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12）虚假竞标，或者出现其他情形而导致被谈判小组认定无效的；</w:t>
      </w:r>
    </w:p>
    <w:p w14:paraId="0E5DBD1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w:t>
      </w:r>
      <w:bookmarkStart w:id="34" w:name="_Hlk71704147"/>
      <w:r>
        <w:rPr>
          <w:rFonts w:hint="eastAsia" w:ascii="宋体" w:hAnsi="宋体" w:cs="宋体"/>
          <w:color w:val="auto"/>
          <w:sz w:val="24"/>
          <w:highlight w:val="none"/>
        </w:rPr>
        <w:t>谈判文件未载明允许提供备选（替代）竞标方案或明确不允许提供备选（替代）竞标方案时，供应商提供了备选（替代）竞标方案的；</w:t>
      </w:r>
      <w:bookmarkEnd w:id="34"/>
    </w:p>
    <w:p w14:paraId="56B74D9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14）响应文件标注的项目名称或者项目编号与谈判文件标注的项目名称或者项目编号不一致的；</w:t>
      </w:r>
    </w:p>
    <w:p w14:paraId="7FFC963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w:t>
      </w:r>
      <w:r>
        <w:rPr>
          <w:rFonts w:hint="eastAsia" w:ascii="宋体" w:hAnsi="宋体" w:cs="宋体"/>
          <w:b/>
          <w:color w:val="auto"/>
          <w:sz w:val="24"/>
          <w:highlight w:val="none"/>
        </w:rPr>
        <w:t>谈判文件明确不允许分包，响应文件拟分包的；</w:t>
      </w:r>
    </w:p>
    <w:p w14:paraId="20952FE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16）未响应谈判文件实质性要求；</w:t>
      </w:r>
    </w:p>
    <w:p w14:paraId="1BEAAD1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17）法律、法规和谈判文件规定的其他无效情形。</w:t>
      </w:r>
    </w:p>
    <w:p w14:paraId="0D711C2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（2）报价评审</w:t>
      </w:r>
    </w:p>
    <w:p w14:paraId="77C1275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1）响应文件未提供“供应商须知前附表” 报价文件中规定的“竞标报价表”的；</w:t>
      </w:r>
    </w:p>
    <w:p w14:paraId="1FF0961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2）未采用人民币报价或者未按照谈判文件标明的币种报价的；</w:t>
      </w:r>
    </w:p>
    <w:p w14:paraId="615F923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供应商未就所竞标分标进行报价或者存在漏项报价的；供应商未就所竞标分标的单项内容作唯一报价的；供应商未就所竞标分标的全部内容作完整唯一总价报价的；供应商响应文件中存在有选择、有条件报价的（谈判文件允许有备选方案或者其他约定的除外）；</w:t>
      </w:r>
    </w:p>
    <w:p w14:paraId="4B86FDC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4）竞标报价（包含首次报价、最后报价）超过所竞标分标规定的采购预算金额或者最高限价的；</w:t>
      </w:r>
    </w:p>
    <w:p w14:paraId="088435F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5）竞标报价（包含首次报价、最后报价）超过分项采购预算金额或者最高限价的，其响应文件将作无效处理。</w:t>
      </w:r>
    </w:p>
    <w:p w14:paraId="751A9C5D">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6</w:t>
      </w:r>
      <w:r>
        <w:rPr>
          <w:rFonts w:hint="eastAsia" w:ascii="宋体" w:hAnsi="宋体" w:cs="宋体"/>
          <w:color w:val="auto"/>
          <w:sz w:val="24"/>
          <w:highlight w:val="none"/>
        </w:rPr>
        <w:t>）修正后的报价，供应商不确认的；或者经供应商确认修正后的最后报价超过所竞标分标规定的采购预算金额或者最高限价（如本项目公布了最高限价）；</w:t>
      </w:r>
    </w:p>
    <w:p w14:paraId="071F46B3">
      <w:pPr>
        <w:spacing w:line="360" w:lineRule="auto"/>
        <w:ind w:firstLine="480" w:firstLineChars="200"/>
        <w:rPr>
          <w:rFonts w:hint="eastAsia" w:ascii="宋体" w:hAnsi="宋体" w:cs="宋体"/>
          <w:color w:val="auto"/>
          <w:sz w:val="24"/>
          <w:highlight w:val="none"/>
        </w:rPr>
      </w:pPr>
      <w:r>
        <w:rPr>
          <w:rFonts w:ascii="宋体" w:hAnsi="宋体" w:cs="宋体"/>
          <w:color w:val="auto"/>
          <w:sz w:val="24"/>
          <w:highlight w:val="none"/>
        </w:rPr>
        <w:t>7</w:t>
      </w:r>
      <w:r>
        <w:rPr>
          <w:rFonts w:hint="eastAsia" w:ascii="宋体" w:hAnsi="宋体" w:cs="宋体"/>
          <w:color w:val="auto"/>
          <w:sz w:val="24"/>
          <w:highlight w:val="none"/>
        </w:rPr>
        <w:t>）响应文件响应的标的数量及单位与竞争性谈判文件要求实质性不一致的。</w:t>
      </w:r>
    </w:p>
    <w:p w14:paraId="0E708B5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）异常低价审查：</w:t>
      </w:r>
    </w:p>
    <w:p w14:paraId="1F299EB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①评审中出现下列情形之一的，</w:t>
      </w: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 xml:space="preserve">应当启动异常低价响应审查程序： </w:t>
      </w:r>
    </w:p>
    <w:p w14:paraId="4A3A68F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a.</w:t>
      </w:r>
      <w:r>
        <w:rPr>
          <w:rFonts w:hint="eastAsia" w:ascii="宋体" w:hAnsi="宋体" w:cs="宋体"/>
          <w:color w:val="auto"/>
          <w:sz w:val="24"/>
          <w:highlight w:val="none"/>
        </w:rPr>
        <w:t xml:space="preserve">响应报价低于全部通过符合性审查供应商响应报价平均值50%的，即响应报价&lt;全部通过符合性审查供应商响应报价平均值×50%； </w:t>
      </w:r>
    </w:p>
    <w:p w14:paraId="5C6491A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b.</w:t>
      </w:r>
      <w:r>
        <w:rPr>
          <w:rFonts w:hint="eastAsia" w:ascii="宋体" w:hAnsi="宋体" w:cs="宋体"/>
          <w:color w:val="auto"/>
          <w:sz w:val="24"/>
          <w:highlight w:val="none"/>
        </w:rPr>
        <w:t xml:space="preserve">响应报价低于通过符合性审查的次低报价供应商响应报价50%的，即响应报价&lt;通过符合性审查的次低报价供应商响应报价×50%； </w:t>
      </w:r>
    </w:p>
    <w:p w14:paraId="3B795F3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c.</w:t>
      </w:r>
      <w:r>
        <w:rPr>
          <w:rFonts w:hint="eastAsia" w:ascii="宋体" w:hAnsi="宋体" w:cs="宋体"/>
          <w:color w:val="auto"/>
          <w:sz w:val="24"/>
          <w:highlight w:val="none"/>
        </w:rPr>
        <w:t xml:space="preserve">响应报价低于采购项目最高限价45%的，即响应报价&lt;采购项目最高限价×45%； </w:t>
      </w:r>
    </w:p>
    <w:p w14:paraId="61DA6DD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d.</w:t>
      </w: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 xml:space="preserve">基于专业判断，认为供应商报价过低，有可能影响产品质量或者不能诚信履约的其他情形。 </w:t>
      </w:r>
    </w:p>
    <w:p w14:paraId="02452A6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相关法律法规对供应商报价有规定的，从其规定。</w:t>
      </w:r>
    </w:p>
    <w:p w14:paraId="139F444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②</w:t>
      </w: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启动异常低价响应审查后，属于前述第</w:t>
      </w:r>
      <w:r>
        <w:rPr>
          <w:rFonts w:hint="eastAsia" w:ascii="宋体" w:hAnsi="宋体" w:cs="宋体"/>
          <w:color w:val="auto"/>
          <w:sz w:val="24"/>
          <w:highlight w:val="none"/>
          <w:lang w:val="en-US" w:eastAsia="zh-CN"/>
        </w:rPr>
        <w:t>a</w:t>
      </w:r>
      <w:r>
        <w:rPr>
          <w:rFonts w:hint="eastAsia" w:ascii="宋体" w:hAnsi="宋体" w:cs="宋体"/>
          <w:color w:val="auto"/>
          <w:sz w:val="24"/>
          <w:highlight w:val="none"/>
        </w:rPr>
        <w:t>项至第</w:t>
      </w:r>
      <w:r>
        <w:rPr>
          <w:rFonts w:hint="eastAsia" w:ascii="宋体" w:hAnsi="宋体" w:cs="宋体"/>
          <w:color w:val="auto"/>
          <w:sz w:val="24"/>
          <w:highlight w:val="none"/>
          <w:lang w:val="en-US" w:eastAsia="zh-CN"/>
        </w:rPr>
        <w:t>d</w:t>
      </w:r>
      <w:r>
        <w:rPr>
          <w:rFonts w:hint="eastAsia" w:ascii="宋体" w:hAnsi="宋体" w:cs="宋体"/>
          <w:color w:val="auto"/>
          <w:sz w:val="24"/>
          <w:highlight w:val="none"/>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s="宋体"/>
          <w:color w:val="auto"/>
          <w:sz w:val="24"/>
          <w:highlight w:val="none"/>
          <w:lang w:val="en-US" w:eastAsia="zh-CN"/>
        </w:rPr>
        <w:t>c</w:t>
      </w:r>
      <w:r>
        <w:rPr>
          <w:rFonts w:hint="eastAsia" w:ascii="宋体" w:hAnsi="宋体" w:cs="宋体"/>
          <w:color w:val="auto"/>
          <w:sz w:val="24"/>
          <w:highlight w:val="none"/>
        </w:rPr>
        <w:t xml:space="preserve">项情形，供应商已随响应文件一并提交相关书面说明及必要的证明材料的，在评审现场可不再重复提交。 </w:t>
      </w:r>
    </w:p>
    <w:p w14:paraId="444D747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 xml:space="preserve">应当将其作为无效响应处理。 </w:t>
      </w:r>
    </w:p>
    <w:p w14:paraId="5E88A0E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采购人、采购代理机构应当为</w:t>
      </w: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 xml:space="preserve">借助互联网等渠道查询相关信息的，应当严格遵守评审工作纪律，不得实施影响评审公正的行为。 </w:t>
      </w:r>
    </w:p>
    <w:p w14:paraId="32B3A19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异常低价投标（响应）审查的启动原因、审查意见和审查结果应当在评审报告中记录，并随供应商提供的相关书面说明及证明材料，以及</w:t>
      </w: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有关互联网浏览、查询历史一并归档。</w:t>
      </w:r>
    </w:p>
    <w:p w14:paraId="1E39798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谈判小组对响应文件进行评审，未实质性响应谈判文件的响应文件按无效响应处理。谈判小组应当将资格和符合性不通过的情况告知有关供应商。谈判小组从符合谈判文件规定的相应资格条件的供应商名单中确定不少于3家的供应商参加谈判。</w:t>
      </w:r>
    </w:p>
    <w:p w14:paraId="235DE62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3.7通过符合性审查的合格供应商不足3家的，不得进入谈判环节，应当重新开展采购活动。</w:t>
      </w:r>
    </w:p>
    <w:p w14:paraId="40DFF80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4.谈判程序</w:t>
      </w:r>
    </w:p>
    <w:p w14:paraId="0937CF5A">
      <w:pPr>
        <w:spacing w:line="360" w:lineRule="auto"/>
        <w:ind w:firstLine="480" w:firstLineChars="200"/>
        <w:rPr>
          <w:rFonts w:hint="eastAsia" w:ascii="宋体" w:hAnsi="宋体" w:cs="宋体"/>
          <w:b/>
          <w:bCs/>
          <w:color w:val="auto"/>
          <w:sz w:val="24"/>
          <w:highlight w:val="none"/>
        </w:rPr>
      </w:pPr>
      <w:r>
        <w:rPr>
          <w:rFonts w:hint="eastAsia" w:ascii="宋体" w:hAnsi="宋体" w:cs="宋体"/>
          <w:color w:val="auto"/>
          <w:kern w:val="0"/>
          <w:sz w:val="24"/>
          <w:highlight w:val="none"/>
        </w:rPr>
        <w:t>4.1谈判小组按照“供应商须知前附表”第26条确定的</w:t>
      </w:r>
      <w:r>
        <w:rPr>
          <w:rFonts w:hint="eastAsia" w:ascii="宋体" w:hAnsi="宋体" w:cs="宋体"/>
          <w:color w:val="auto"/>
          <w:sz w:val="24"/>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bCs/>
          <w:color w:val="auto"/>
          <w:sz w:val="24"/>
          <w:highlight w:val="none"/>
        </w:rPr>
        <w:t>其响应文件按无效响应处理。</w:t>
      </w:r>
    </w:p>
    <w:p w14:paraId="3053C17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01E4617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4.3对谈判文件作出的实质性变动是谈判文件的有效组成部分，谈判小组应当及时以电子谈判记录形式同时通知所有参加谈判的供应商。</w:t>
      </w:r>
    </w:p>
    <w:p w14:paraId="0D5F1AA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4.4供应商必须按照谈判文件的变动情况和谈判小组的要求以电子回函的形式重新提交响应文件，并由其法定代表人或者委托代理人签字或者加盖供应商公章。由委托代理人签字的，</w:t>
      </w:r>
      <w:r>
        <w:rPr>
          <w:rFonts w:hint="eastAsia" w:ascii="宋体" w:hAnsi="宋体" w:cs="宋体"/>
          <w:bCs/>
          <w:color w:val="auto"/>
          <w:sz w:val="24"/>
          <w:highlight w:val="none"/>
        </w:rPr>
        <w:t>若委托代理人不是响应文件中授权的委托代理人时，必须同时出示有效的授权委托书原件</w:t>
      </w:r>
      <w:r>
        <w:rPr>
          <w:rFonts w:hint="eastAsia" w:ascii="宋体" w:hAnsi="宋体" w:cs="宋体"/>
          <w:color w:val="auto"/>
          <w:sz w:val="24"/>
          <w:highlight w:val="none"/>
        </w:rPr>
        <w:t>。供应商为自然人的，必须由本人签字并附身份证明。参加谈判的供应商未在规定时间内以电子回函的形式重新提交响应文件的，视同退出谈判，其响应文件按无效响应处理。</w:t>
      </w:r>
    </w:p>
    <w:p w14:paraId="484FF26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4.5谈判中，谈判的任何一方不得透露与谈判有关的其他供应商的技术资料、价格和其他信息。</w:t>
      </w:r>
    </w:p>
    <w:p w14:paraId="73D564C8">
      <w:pPr>
        <w:tabs>
          <w:tab w:val="left" w:pos="2835"/>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4.6对谈判过程提交的响应文件进行有效性、完整性和响应程度审查，通过审查的合格供应商不足3家的，采购人或者采购代理机构应当重新开展采购活动。</w:t>
      </w:r>
    </w:p>
    <w:p w14:paraId="2B4CA1C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 最后报价</w:t>
      </w:r>
    </w:p>
    <w:p w14:paraId="40CC275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谈判文件能够详细列明采购标的的技术、服务要求的，谈判结束后，谈判小组应当要求所有继续参加谈判的供应商在规定时间内以电子文件形式提交最后报价，提交最后报价的供应商不得少于3家，除本章第3.7条外，否则必须重新采购。</w:t>
      </w:r>
    </w:p>
    <w:p w14:paraId="010B077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以电子文件形式提交最后报价。</w:t>
      </w:r>
    </w:p>
    <w:p w14:paraId="62C8F95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5.3最后报价是供应商响应文件的有效组成部分。</w:t>
      </w:r>
    </w:p>
    <w:p w14:paraId="0D0A5E6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5.4已经提交响应文件的供应商，在提交最后报价之前，可以根据谈判情况退出谈判。采购人、采购代理机构将退还退出谈判的供应商的保证金。</w:t>
      </w:r>
    </w:p>
    <w:p w14:paraId="67E0A72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5.5供应商未在规定时间内提交最后报价的，视为退出谈判，其响应文件按无效处理。</w:t>
      </w:r>
    </w:p>
    <w:p w14:paraId="550B85B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5.6谈判小组收齐某一分标最后报价后或达到规定时间后统一开启，谈判小组对最后报价进行有效性、完整性和响应程度的审查。</w:t>
      </w:r>
    </w:p>
    <w:p w14:paraId="682AEC4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5.7响应文件首次及最后报价出现前后不一致的，按照本章第3.4条的规定修正。 </w:t>
      </w:r>
    </w:p>
    <w:p w14:paraId="2DDC15F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5.8经供应商确认修正后的最后报价作为评审及签订合同的依据。</w:t>
      </w:r>
    </w:p>
    <w:p w14:paraId="1E863CE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5.9供应商出现最后报价按无效响应处理或者响应文件按无效响应处理时，谈判小组应当告知有关供应商。</w:t>
      </w:r>
    </w:p>
    <w:p w14:paraId="15CA517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5.10最后报价结束后，谈判小组不得再与供应商进行任何形式的商谈。</w:t>
      </w:r>
    </w:p>
    <w:p w14:paraId="4C6DC20E">
      <w:pPr>
        <w:spacing w:line="360" w:lineRule="auto"/>
        <w:ind w:firstLine="472" w:firstLineChars="196"/>
        <w:rPr>
          <w:rFonts w:hint="eastAsia" w:ascii="宋体" w:hAnsi="宋体" w:cs="宋体"/>
          <w:b/>
          <w:bCs/>
          <w:color w:val="auto"/>
          <w:sz w:val="24"/>
          <w:highlight w:val="none"/>
        </w:rPr>
      </w:pPr>
      <w:r>
        <w:rPr>
          <w:rFonts w:hint="eastAsia" w:ascii="宋体" w:hAnsi="宋体" w:cs="宋体"/>
          <w:b/>
          <w:bCs/>
          <w:color w:val="auto"/>
          <w:sz w:val="24"/>
          <w:highlight w:val="none"/>
        </w:rPr>
        <w:t>6. 最后报价政府采购政策性扣除</w:t>
      </w:r>
    </w:p>
    <w:p w14:paraId="161DBEF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6.1评审价为供应商的最后报价进行政策性扣除后的价格，评审价只是作为评审时使用。最终成交供应商的成交金额等于最后报价（如有修正，以确认修正后的最后报价为准）。</w:t>
      </w:r>
    </w:p>
    <w:p w14:paraId="5D71D6D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6.2</w:t>
      </w:r>
      <w:r>
        <w:rPr>
          <w:rFonts w:hint="eastAsia" w:ascii="宋体" w:hAnsi="宋体" w:cs="宋体"/>
          <w:color w:val="auto"/>
          <w:sz w:val="24"/>
          <w:highlight w:val="none"/>
          <w:lang w:val="en-US" w:eastAsia="zh-CN"/>
        </w:rPr>
        <w:t>中小企业</w:t>
      </w:r>
      <w:r>
        <w:rPr>
          <w:rFonts w:hint="eastAsia" w:ascii="宋体" w:hAnsi="宋体" w:cs="宋体"/>
          <w:color w:val="auto"/>
          <w:sz w:val="24"/>
          <w:highlight w:val="none"/>
        </w:rPr>
        <w:t>政策性扣除计算方法（本项目为专门面向</w:t>
      </w:r>
      <w:r>
        <w:rPr>
          <w:rFonts w:hint="eastAsia" w:ascii="宋体" w:hAnsi="宋体" w:cs="宋体"/>
          <w:color w:val="auto"/>
          <w:sz w:val="24"/>
          <w:highlight w:val="none"/>
          <w:lang w:val="en-US" w:eastAsia="zh-CN"/>
        </w:rPr>
        <w:t>中小</w:t>
      </w:r>
      <w:r>
        <w:rPr>
          <w:rFonts w:hint="eastAsia" w:ascii="宋体" w:hAnsi="宋体" w:cs="宋体"/>
          <w:color w:val="auto"/>
          <w:sz w:val="24"/>
          <w:highlight w:val="none"/>
        </w:rPr>
        <w:t>企业采购的项目，不再执行中小企业价格评审优惠政策）</w:t>
      </w:r>
    </w:p>
    <w:p w14:paraId="782933F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 xml:space="preserve">本国产品政策性扣除计算方法。 </w:t>
      </w:r>
    </w:p>
    <w:p w14:paraId="4D78606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根据《国务院办公厅关于在政府采购中实施本国产品标准及相关政策的通知》（国办发〔2025〕34 号）的规定，政府采购活动中既有本国产品又有非本国产品参与竞争的，依法对本国产品给予价格评审优惠，对本国产品的报价给予20%的价格扣除，用扣除后的价格参与评审。 </w:t>
      </w:r>
    </w:p>
    <w:p w14:paraId="3B168BA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当采购项目或者采购包中含有多种产品，竞标人为该采购项目或者采购包提供的符合本国产品标准的产品成本之和占该竞标人提供的全部产品成本之和的比例达到80%以上时，依法对该竞标人提供的全部产品给予价格评审优惠，即对该竞标人提供的全部产品的总报价给予20%的价格扣除，用扣除后的价格参与评审，即评审价=</w:t>
      </w:r>
      <w:r>
        <w:rPr>
          <w:rFonts w:hint="eastAsia" w:ascii="宋体" w:hAnsi="宋体" w:cs="宋体"/>
          <w:color w:val="auto"/>
          <w:sz w:val="24"/>
          <w:highlight w:val="none"/>
          <w:lang w:val="en-US" w:eastAsia="zh-CN"/>
        </w:rPr>
        <w:t>最后</w:t>
      </w:r>
      <w:r>
        <w:rPr>
          <w:rFonts w:hint="eastAsia" w:ascii="宋体" w:hAnsi="宋体" w:cs="宋体"/>
          <w:color w:val="auto"/>
          <w:sz w:val="24"/>
          <w:highlight w:val="none"/>
        </w:rPr>
        <w:t>报价×（1-</w:t>
      </w:r>
      <w:r>
        <w:rPr>
          <w:rFonts w:hint="eastAsia" w:ascii="宋体" w:hAnsi="宋体" w:cs="宋体"/>
          <w:color w:val="auto"/>
          <w:sz w:val="24"/>
          <w:highlight w:val="none"/>
          <w:lang w:val="en-US" w:eastAsia="zh-CN"/>
        </w:rPr>
        <w:t>20</w:t>
      </w:r>
      <w:r>
        <w:rPr>
          <w:rFonts w:hint="eastAsia" w:ascii="宋体" w:hAnsi="宋体" w:cs="宋体"/>
          <w:color w:val="auto"/>
          <w:sz w:val="24"/>
          <w:highlight w:val="none"/>
        </w:rPr>
        <w:t xml:space="preserve">%）。未达到80%，不享受价格评审优惠。竞标人在其响应文件中提供《关于符合本国产品标准的声明函》或财政部会同有关部门规定的有关证明文件，出具符合要求的《声明函》或有关证明文件的，该产品视为本国产品。 </w:t>
      </w:r>
    </w:p>
    <w:p w14:paraId="6DCA6B3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6.4</w:t>
      </w:r>
      <w:r>
        <w:rPr>
          <w:rFonts w:hint="eastAsia" w:ascii="宋体" w:hAnsi="宋体" w:cs="宋体"/>
          <w:color w:val="auto"/>
          <w:sz w:val="24"/>
          <w:highlight w:val="none"/>
        </w:rPr>
        <w:t>除上述情况外，评审价＝最后报价。</w:t>
      </w:r>
    </w:p>
    <w:p w14:paraId="793FA577">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7.评审复核</w:t>
      </w:r>
    </w:p>
    <w:p w14:paraId="0078995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7.1评审报告签署前，</w:t>
      </w:r>
      <w:r>
        <w:rPr>
          <w:rFonts w:hint="eastAsia" w:ascii="宋体" w:hAnsi="宋体" w:cs="宋体"/>
          <w:color w:val="auto"/>
          <w:sz w:val="24"/>
          <w:highlight w:val="none"/>
          <w:lang w:eastAsia="zh-CN"/>
        </w:rPr>
        <w:t>谈判小组</w:t>
      </w:r>
      <w:r>
        <w:rPr>
          <w:rFonts w:hint="eastAsia" w:ascii="宋体" w:hAnsi="宋体" w:cs="宋体"/>
          <w:color w:val="auto"/>
          <w:sz w:val="24"/>
          <w:highlight w:val="none"/>
        </w:rPr>
        <w:t>要对评审结果进行复核，复核意见要体现在评审报告中。</w:t>
      </w:r>
    </w:p>
    <w:p w14:paraId="0E00BED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7.2除资格性审查认定错误和价格计算错误外，采购人或者采购代理机构不得以任何理由组织重新评审。</w:t>
      </w:r>
    </w:p>
    <w:p w14:paraId="263C5635">
      <w:pPr>
        <w:spacing w:line="360" w:lineRule="auto"/>
        <w:ind w:firstLine="480" w:firstLineChars="200"/>
        <w:rPr>
          <w:rFonts w:hint="eastAsia" w:ascii="宋体" w:hAnsi="宋体" w:cs="宋体"/>
          <w:color w:val="auto"/>
          <w:sz w:val="24"/>
          <w:highlight w:val="none"/>
        </w:rPr>
      </w:pPr>
    </w:p>
    <w:p w14:paraId="38328B2D">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二、评审原则</w:t>
      </w:r>
    </w:p>
    <w:p w14:paraId="415BC254">
      <w:pPr>
        <w:spacing w:line="360" w:lineRule="auto"/>
        <w:ind w:firstLine="482" w:firstLine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8</w:t>
      </w:r>
      <w:r>
        <w:rPr>
          <w:rFonts w:hint="eastAsia" w:asciiTheme="minorEastAsia" w:hAnsiTheme="minorEastAsia" w:eastAsiaTheme="minorEastAsia" w:cstheme="minorEastAsia"/>
          <w:b/>
          <w:bCs/>
          <w:color w:val="auto"/>
          <w:sz w:val="24"/>
          <w:szCs w:val="24"/>
          <w:highlight w:val="none"/>
        </w:rPr>
        <w:t>.评审原则</w:t>
      </w:r>
    </w:p>
    <w:p w14:paraId="4EB49AFC">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132C79D0">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5988D8A1">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3谈判小组发现竞争性谈判采购文件存在歧义、重大缺陷导致评审工作无法进行，或者竞争性谈判采购文件内容违反国家有关规定的，要停止评审工作并向采购人或采购代理机构书面说明情况，采购人或采购代理机构应当修改竞争性谈判采购文件后重新组织采购活动；发现供应商提供虚假材料、串通等违法违规行为的，要及时向采购人或采购代理机构报告。</w:t>
      </w:r>
    </w:p>
    <w:p w14:paraId="560495A2">
      <w:pPr>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9</w:t>
      </w:r>
      <w:r>
        <w:rPr>
          <w:rFonts w:hint="eastAsia" w:asciiTheme="minorEastAsia" w:hAnsiTheme="minorEastAsia" w:eastAsiaTheme="minorEastAsia" w:cstheme="minorEastAsia"/>
          <w:b/>
          <w:bCs/>
          <w:color w:val="auto"/>
          <w:sz w:val="24"/>
          <w:szCs w:val="24"/>
          <w:highlight w:val="none"/>
        </w:rPr>
        <w:t>.终止竞争性谈判采购活动</w:t>
      </w:r>
    </w:p>
    <w:p w14:paraId="3A47C632">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出现下列情形之一的，采购人或者采购代理机构应当终止竞争性谈判采购活动，发布项目终止公告并说明原因，重新开展采购活动：</w:t>
      </w:r>
    </w:p>
    <w:p w14:paraId="6AA899D4">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（1）因情况变化，不再符合规定的竞争性谈判采购方式适用情形的； </w:t>
      </w:r>
    </w:p>
    <w:p w14:paraId="61C6E00E">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（2）出现影响采购公正的违法、违规行为的；</w:t>
      </w:r>
    </w:p>
    <w:p w14:paraId="0901F3E3">
      <w:pPr>
        <w:spacing w:line="360" w:lineRule="auto"/>
        <w:ind w:firstLine="480" w:firstLineChars="200"/>
        <w:jc w:val="both"/>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（3）在采购过程中符合竞争要求的供应商或者报价未超过采购预算的供应商不足3家的，但《政府采购非招标采购方式管理办法》第二十七条第二款规定的情形除外。</w:t>
      </w:r>
    </w:p>
    <w:p w14:paraId="2BE43E8C">
      <w:pPr>
        <w:spacing w:line="360" w:lineRule="auto"/>
        <w:jc w:val="center"/>
        <w:rPr>
          <w:rFonts w:hint="eastAsia" w:ascii="宋体" w:hAnsi="宋体" w:cs="宋体"/>
          <w:b/>
          <w:color w:val="auto"/>
          <w:sz w:val="24"/>
          <w:highlight w:val="none"/>
        </w:rPr>
      </w:pPr>
    </w:p>
    <w:p w14:paraId="06E9BC6F">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lang w:val="en-US" w:eastAsia="zh-CN"/>
        </w:rPr>
        <w:t>三、</w:t>
      </w:r>
      <w:r>
        <w:rPr>
          <w:rFonts w:hint="eastAsia" w:ascii="宋体" w:hAnsi="宋体" w:cs="宋体"/>
          <w:b/>
          <w:color w:val="auto"/>
          <w:sz w:val="24"/>
          <w:highlight w:val="none"/>
        </w:rPr>
        <w:t>评审报告</w:t>
      </w:r>
    </w:p>
    <w:p w14:paraId="579A66D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10</w:t>
      </w:r>
      <w:r>
        <w:rPr>
          <w:rFonts w:hint="eastAsia" w:ascii="宋体" w:hAnsi="宋体" w:cs="宋体"/>
          <w:b/>
          <w:bCs/>
          <w:color w:val="auto"/>
          <w:sz w:val="24"/>
          <w:highlight w:val="none"/>
        </w:rPr>
        <w:t>. 成交候选人推荐原则</w:t>
      </w:r>
    </w:p>
    <w:p w14:paraId="3A74F48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谈判小组应当</w:t>
      </w:r>
      <w:r>
        <w:rPr>
          <w:rFonts w:hint="eastAsia" w:ascii="宋体" w:hAnsi="宋体" w:cs="宋体"/>
          <w:b w:val="0"/>
          <w:bCs w:val="0"/>
          <w:color w:val="auto"/>
          <w:sz w:val="24"/>
          <w:highlight w:val="none"/>
        </w:rPr>
        <w:t>从质量和服务均能满足谈判文件实质性响应要求的供应商中</w:t>
      </w:r>
      <w:r>
        <w:rPr>
          <w:rFonts w:hint="eastAsia" w:ascii="宋体" w:hAnsi="宋体" w:cs="宋体"/>
          <w:color w:val="auto"/>
          <w:sz w:val="24"/>
          <w:highlight w:val="none"/>
        </w:rPr>
        <w:t>，按照评</w:t>
      </w:r>
      <w:r>
        <w:rPr>
          <w:rFonts w:hint="eastAsia" w:ascii="宋体" w:hAnsi="宋体" w:cs="宋体"/>
          <w:color w:val="auto"/>
          <w:sz w:val="24"/>
          <w:highlight w:val="none"/>
          <w:lang w:val="en-US" w:eastAsia="zh-CN"/>
        </w:rPr>
        <w:t>审</w:t>
      </w:r>
      <w:r>
        <w:rPr>
          <w:rFonts w:hint="eastAsia" w:ascii="宋体" w:hAnsi="宋体" w:cs="宋体"/>
          <w:color w:val="auto"/>
          <w:sz w:val="24"/>
          <w:highlight w:val="none"/>
        </w:rPr>
        <w:t>价由低到高的顺序提出3名以上成交候选人（评</w:t>
      </w:r>
      <w:r>
        <w:rPr>
          <w:rFonts w:hint="eastAsia" w:ascii="宋体" w:hAnsi="宋体" w:cs="宋体"/>
          <w:color w:val="auto"/>
          <w:sz w:val="24"/>
          <w:highlight w:val="none"/>
          <w:lang w:val="en-US" w:eastAsia="zh-CN"/>
        </w:rPr>
        <w:t>审</w:t>
      </w:r>
      <w:r>
        <w:rPr>
          <w:rFonts w:hint="eastAsia" w:ascii="宋体" w:hAnsi="宋体" w:cs="宋体"/>
          <w:color w:val="auto"/>
          <w:sz w:val="24"/>
          <w:highlight w:val="none"/>
        </w:rPr>
        <w:t>价相同时，按照最后报价由低到高顺序依次推荐；最后报价相同时，由谈判小组按“供应商须知前附表”第26条规定的顺序推荐）,并在线编写电子评审报告。</w:t>
      </w:r>
    </w:p>
    <w:p w14:paraId="74001D8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11</w:t>
      </w:r>
      <w:r>
        <w:rPr>
          <w:rFonts w:hint="eastAsia" w:ascii="宋体" w:hAnsi="宋体" w:cs="宋体"/>
          <w:b/>
          <w:bCs/>
          <w:color w:val="auto"/>
          <w:sz w:val="24"/>
          <w:highlight w:val="none"/>
        </w:rPr>
        <w:t>.评</w:t>
      </w:r>
      <w:r>
        <w:rPr>
          <w:rFonts w:hint="eastAsia" w:ascii="宋体" w:hAnsi="宋体" w:cs="宋体"/>
          <w:b/>
          <w:bCs/>
          <w:color w:val="auto"/>
          <w:sz w:val="24"/>
          <w:highlight w:val="none"/>
          <w:lang w:val="en-US" w:eastAsia="zh-CN"/>
        </w:rPr>
        <w:t>审</w:t>
      </w:r>
      <w:r>
        <w:rPr>
          <w:rFonts w:hint="eastAsia" w:ascii="宋体" w:hAnsi="宋体" w:cs="宋体"/>
          <w:b/>
          <w:bCs/>
          <w:color w:val="auto"/>
          <w:sz w:val="24"/>
          <w:highlight w:val="none"/>
        </w:rPr>
        <w:t>争议事项处理</w:t>
      </w:r>
    </w:p>
    <w:p w14:paraId="561D32F9">
      <w:pPr>
        <w:pStyle w:val="2"/>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cs="宋体"/>
          <w:b w:val="0"/>
          <w:bCs w:val="0"/>
          <w:color w:val="auto"/>
          <w:kern w:val="2"/>
          <w:sz w:val="24"/>
          <w:szCs w:val="24"/>
          <w:highlight w:val="none"/>
        </w:rPr>
      </w:pPr>
      <w:r>
        <w:rPr>
          <w:rFonts w:hint="eastAsia" w:ascii="宋体" w:hAnsi="宋体" w:cs="宋体"/>
          <w:b w:val="0"/>
          <w:bCs w:val="0"/>
          <w:color w:val="auto"/>
          <w:kern w:val="2"/>
          <w:sz w:val="24"/>
          <w:szCs w:val="24"/>
          <w:highlight w:val="none"/>
        </w:rPr>
        <w:t>谈判小组成员对需要共同认定的事项存在争议的，应当按照少数服从多数的原则作出结论。持不同意见的谈判小组成员应当在评标报告上签署不同意见及理由，否则视为同意评</w:t>
      </w:r>
      <w:r>
        <w:rPr>
          <w:rFonts w:hint="eastAsia" w:ascii="宋体" w:hAnsi="宋体" w:cs="宋体"/>
          <w:b w:val="0"/>
          <w:bCs w:val="0"/>
          <w:color w:val="auto"/>
          <w:kern w:val="2"/>
          <w:sz w:val="24"/>
          <w:szCs w:val="24"/>
          <w:highlight w:val="none"/>
          <w:lang w:val="en-US" w:eastAsia="zh-CN"/>
        </w:rPr>
        <w:t>审</w:t>
      </w:r>
      <w:r>
        <w:rPr>
          <w:rFonts w:hint="eastAsia" w:ascii="宋体" w:hAnsi="宋体" w:cs="宋体"/>
          <w:b w:val="0"/>
          <w:bCs w:val="0"/>
          <w:color w:val="auto"/>
          <w:kern w:val="2"/>
          <w:sz w:val="24"/>
          <w:szCs w:val="24"/>
          <w:highlight w:val="none"/>
        </w:rPr>
        <w:t>报告。</w:t>
      </w:r>
    </w:p>
    <w:p w14:paraId="19D7AE10">
      <w:pPr>
        <w:spacing w:line="360" w:lineRule="auto"/>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四、评审过程的保密与录像</w:t>
      </w:r>
    </w:p>
    <w:p w14:paraId="4C12BDB4">
      <w:pPr>
        <w:spacing w:line="360" w:lineRule="auto"/>
        <w:ind w:firstLine="482" w:firstLineChars="200"/>
        <w:rPr>
          <w:rFonts w:hint="eastAsia" w:ascii="宋体" w:hAnsi="宋体" w:eastAsia="宋体" w:cs="宋体"/>
          <w:b/>
          <w:bCs/>
          <w:color w:val="auto"/>
          <w:sz w:val="24"/>
          <w:highlight w:val="none"/>
        </w:rPr>
      </w:pPr>
    </w:p>
    <w:p w14:paraId="0017BBFF">
      <w:pPr>
        <w:spacing w:line="360" w:lineRule="auto"/>
        <w:ind w:firstLine="482" w:firstLineChars="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12</w:t>
      </w:r>
      <w:r>
        <w:rPr>
          <w:rFonts w:hint="eastAsia" w:ascii="宋体" w:hAnsi="宋体" w:eastAsia="宋体" w:cs="宋体"/>
          <w:b/>
          <w:bCs/>
          <w:color w:val="auto"/>
          <w:sz w:val="24"/>
          <w:highlight w:val="none"/>
        </w:rPr>
        <w:t>.保密。</w:t>
      </w:r>
    </w:p>
    <w:p w14:paraId="685D6F45">
      <w:pPr>
        <w:spacing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b w:val="0"/>
          <w:bCs w:val="0"/>
          <w:color w:val="auto"/>
          <w:sz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A51405B">
      <w:pPr>
        <w:spacing w:line="360" w:lineRule="auto"/>
        <w:ind w:firstLine="482" w:firstLineChars="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13</w:t>
      </w:r>
      <w:r>
        <w:rPr>
          <w:rFonts w:hint="eastAsia" w:ascii="宋体" w:hAnsi="宋体" w:eastAsia="宋体" w:cs="宋体"/>
          <w:b/>
          <w:bCs/>
          <w:color w:val="auto"/>
          <w:sz w:val="24"/>
          <w:highlight w:val="none"/>
        </w:rPr>
        <w:t>.录音录像。</w:t>
      </w:r>
    </w:p>
    <w:p w14:paraId="6E832AA7">
      <w:pPr>
        <w:spacing w:line="360" w:lineRule="auto"/>
        <w:ind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采购代理机构对评审工作现场及操作屏幕进行全过程录音录像，录音录像资料作为采购项目文件随其他文件一并存档。</w:t>
      </w:r>
    </w:p>
    <w:p w14:paraId="6C878534">
      <w:pPr>
        <w:rPr>
          <w:rFonts w:hint="eastAsia" w:ascii="宋体" w:hAnsi="宋体" w:cs="宋体"/>
          <w:color w:val="auto"/>
          <w:highlight w:val="none"/>
        </w:rPr>
      </w:pPr>
    </w:p>
    <w:p w14:paraId="75591496">
      <w:pPr>
        <w:rPr>
          <w:rFonts w:hint="eastAsia" w:ascii="宋体" w:hAnsi="宋体" w:cs="宋体"/>
          <w:color w:val="auto"/>
          <w:highlight w:val="none"/>
        </w:rPr>
      </w:pPr>
      <w:bookmarkStart w:id="35" w:name="_Toc3661"/>
      <w:bookmarkStart w:id="36" w:name="_Toc74322012"/>
      <w:r>
        <w:rPr>
          <w:rFonts w:hint="eastAsia" w:ascii="宋体" w:hAnsi="宋体" w:cs="宋体"/>
          <w:color w:val="auto"/>
          <w:highlight w:val="none"/>
        </w:rPr>
        <w:br w:type="page"/>
      </w:r>
    </w:p>
    <w:p w14:paraId="39B7AEEB">
      <w:pPr>
        <w:pStyle w:val="2"/>
        <w:spacing w:before="0" w:after="0"/>
        <w:jc w:val="center"/>
        <w:rPr>
          <w:rFonts w:hint="eastAsia" w:ascii="宋体" w:hAnsi="宋体" w:cs="宋体"/>
          <w:color w:val="auto"/>
          <w:highlight w:val="none"/>
        </w:rPr>
      </w:pPr>
      <w:r>
        <w:rPr>
          <w:rFonts w:hint="eastAsia" w:ascii="宋体" w:hAnsi="宋体" w:cs="宋体"/>
          <w:color w:val="auto"/>
          <w:highlight w:val="none"/>
        </w:rPr>
        <w:t>第五章 响应文件格式</w:t>
      </w:r>
      <w:bookmarkEnd w:id="35"/>
      <w:bookmarkEnd w:id="36"/>
    </w:p>
    <w:p w14:paraId="7A1A07E6">
      <w:pPr>
        <w:spacing w:line="240" w:lineRule="atLeast"/>
        <w:rPr>
          <w:rFonts w:hint="eastAsia" w:ascii="宋体" w:hAnsi="宋体" w:cs="宋体"/>
          <w:b/>
          <w:color w:val="auto"/>
          <w:sz w:val="32"/>
          <w:szCs w:val="32"/>
          <w:highlight w:val="none"/>
        </w:rPr>
      </w:pPr>
    </w:p>
    <w:p w14:paraId="0BC004E2">
      <w:pPr>
        <w:spacing w:line="240" w:lineRule="atLeast"/>
        <w:rPr>
          <w:rFonts w:hint="eastAsia" w:ascii="宋体" w:hAnsi="宋体" w:cs="宋体"/>
          <w:b/>
          <w:color w:val="auto"/>
          <w:sz w:val="32"/>
          <w:szCs w:val="32"/>
          <w:highlight w:val="none"/>
        </w:rPr>
      </w:pPr>
    </w:p>
    <w:p w14:paraId="4EFA8007">
      <w:pPr>
        <w:spacing w:line="360" w:lineRule="auto"/>
        <w:rPr>
          <w:rFonts w:hint="eastAsia" w:ascii="宋体" w:hAnsi="宋体" w:cs="宋体"/>
          <w:b/>
          <w:color w:val="auto"/>
          <w:sz w:val="32"/>
          <w:szCs w:val="32"/>
          <w:highlight w:val="none"/>
        </w:rPr>
      </w:pPr>
      <w:bookmarkStart w:id="37" w:name="_Toc71365382"/>
      <w:bookmarkStart w:id="38" w:name="_Toc71366060"/>
      <w:r>
        <w:rPr>
          <w:rFonts w:hint="eastAsia" w:ascii="宋体" w:hAnsi="宋体" w:cs="宋体"/>
          <w:b/>
          <w:color w:val="auto"/>
          <w:sz w:val="32"/>
          <w:szCs w:val="32"/>
          <w:highlight w:val="none"/>
        </w:rPr>
        <w:t>一、资格证明文件格式</w:t>
      </w:r>
      <w:bookmarkEnd w:id="37"/>
      <w:bookmarkEnd w:id="38"/>
    </w:p>
    <w:p w14:paraId="6ADCADC7">
      <w:pPr>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3DD42E66">
      <w:pPr>
        <w:snapToGrid w:val="0"/>
        <w:spacing w:line="360" w:lineRule="auto"/>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450E19AA">
      <w:pPr>
        <w:snapToGrid w:val="0"/>
        <w:spacing w:line="360" w:lineRule="auto"/>
        <w:jc w:val="center"/>
        <w:rPr>
          <w:rFonts w:hint="eastAsia" w:ascii="宋体" w:hAnsi="宋体" w:cs="宋体"/>
          <w:bCs/>
          <w:color w:val="auto"/>
          <w:sz w:val="44"/>
          <w:szCs w:val="44"/>
          <w:highlight w:val="none"/>
        </w:rPr>
      </w:pPr>
    </w:p>
    <w:p w14:paraId="573381D1">
      <w:pPr>
        <w:snapToGrid w:val="0"/>
        <w:spacing w:line="360" w:lineRule="auto"/>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05FF395C">
      <w:pPr>
        <w:snapToGrid w:val="0"/>
        <w:spacing w:line="360" w:lineRule="auto"/>
        <w:rPr>
          <w:rFonts w:hint="eastAsia" w:ascii="宋体" w:hAnsi="宋体" w:cs="宋体"/>
          <w:color w:val="auto"/>
          <w:sz w:val="24"/>
          <w:szCs w:val="20"/>
          <w:highlight w:val="none"/>
        </w:rPr>
      </w:pPr>
    </w:p>
    <w:p w14:paraId="131B9772">
      <w:pPr>
        <w:snapToGrid w:val="0"/>
        <w:spacing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资  格  证  明  文  件</w:t>
      </w:r>
    </w:p>
    <w:p w14:paraId="2D8D7B45">
      <w:pPr>
        <w:snapToGrid w:val="0"/>
        <w:spacing w:line="360" w:lineRule="auto"/>
        <w:rPr>
          <w:rFonts w:hint="eastAsia" w:ascii="宋体" w:hAnsi="宋体" w:cs="宋体"/>
          <w:bCs/>
          <w:color w:val="auto"/>
          <w:sz w:val="24"/>
          <w:szCs w:val="20"/>
          <w:highlight w:val="none"/>
        </w:rPr>
      </w:pPr>
    </w:p>
    <w:p w14:paraId="51D6E90F">
      <w:pPr>
        <w:snapToGrid w:val="0"/>
        <w:spacing w:line="360" w:lineRule="auto"/>
        <w:rPr>
          <w:rFonts w:hint="eastAsia" w:ascii="宋体" w:hAnsi="宋体" w:cs="宋体"/>
          <w:bCs/>
          <w:color w:val="auto"/>
          <w:sz w:val="24"/>
          <w:szCs w:val="20"/>
          <w:highlight w:val="none"/>
        </w:rPr>
      </w:pPr>
    </w:p>
    <w:p w14:paraId="7DC78042">
      <w:pPr>
        <w:snapToGrid w:val="0"/>
        <w:spacing w:line="360" w:lineRule="auto"/>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9E66275">
      <w:pPr>
        <w:snapToGrid w:val="0"/>
        <w:spacing w:line="360" w:lineRule="auto"/>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583C806A">
      <w:pPr>
        <w:snapToGrid w:val="0"/>
        <w:spacing w:line="360" w:lineRule="auto"/>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DEA2B9F">
      <w:pPr>
        <w:pStyle w:val="6"/>
        <w:snapToGrid w:val="0"/>
        <w:spacing w:line="360" w:lineRule="auto"/>
        <w:ind w:left="0" w:leftChars="0"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FB0B814">
      <w:pPr>
        <w:pStyle w:val="6"/>
        <w:snapToGrid w:val="0"/>
        <w:spacing w:line="360" w:lineRule="auto"/>
        <w:ind w:firstLine="0"/>
        <w:rPr>
          <w:rFonts w:hint="eastAsia" w:ascii="宋体" w:hAnsi="宋体" w:cs="宋体"/>
          <w:bCs/>
          <w:color w:val="auto"/>
          <w:sz w:val="32"/>
          <w:szCs w:val="32"/>
          <w:highlight w:val="none"/>
        </w:rPr>
      </w:pPr>
    </w:p>
    <w:p w14:paraId="382E6BD0">
      <w:pPr>
        <w:pStyle w:val="6"/>
        <w:snapToGrid w:val="0"/>
        <w:spacing w:line="360" w:lineRule="auto"/>
        <w:ind w:firstLine="1280" w:firstLineChars="400"/>
        <w:rPr>
          <w:rFonts w:hint="eastAsia" w:ascii="宋体" w:hAnsi="宋体" w:cs="宋体"/>
          <w:bCs/>
          <w:color w:val="auto"/>
          <w:sz w:val="32"/>
          <w:szCs w:val="32"/>
          <w:highlight w:val="none"/>
        </w:rPr>
      </w:pPr>
    </w:p>
    <w:p w14:paraId="4F70DDF9">
      <w:pPr>
        <w:snapToGrid w:val="0"/>
        <w:spacing w:line="360" w:lineRule="auto"/>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EC3E392">
      <w:pPr>
        <w:snapToGrid w:val="0"/>
        <w:spacing w:line="360" w:lineRule="auto"/>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145A3679">
      <w:pPr>
        <w:snapToGrid w:val="0"/>
        <w:spacing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根据谈判文件规定及供应商提供的材料自行编写目录（部分格式后附）。</w:t>
      </w:r>
    </w:p>
    <w:p w14:paraId="5871156A">
      <w:pPr>
        <w:snapToGrid w:val="0"/>
        <w:spacing w:line="360" w:lineRule="auto"/>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E08E1AA">
      <w:pPr>
        <w:spacing w:line="360" w:lineRule="auto"/>
        <w:rPr>
          <w:rFonts w:hint="eastAsia" w:ascii="宋体" w:hAnsi="宋体" w:cs="宋体"/>
          <w:color w:val="auto"/>
          <w:szCs w:val="21"/>
          <w:highlight w:val="none"/>
        </w:rPr>
      </w:pPr>
    </w:p>
    <w:p w14:paraId="5152C9C3">
      <w:pPr>
        <w:spacing w:line="360" w:lineRule="auto"/>
        <w:rPr>
          <w:rFonts w:hint="eastAsia" w:ascii="宋体" w:hAnsi="宋体" w:cs="宋体"/>
          <w:color w:val="auto"/>
          <w:szCs w:val="21"/>
          <w:highlight w:val="none"/>
        </w:rPr>
      </w:pPr>
    </w:p>
    <w:p w14:paraId="5BFA0FA0">
      <w:pPr>
        <w:spacing w:line="360" w:lineRule="auto"/>
        <w:rPr>
          <w:rFonts w:hint="eastAsia" w:ascii="宋体" w:hAnsi="宋体" w:cs="宋体"/>
          <w:color w:val="auto"/>
          <w:szCs w:val="21"/>
          <w:highlight w:val="none"/>
        </w:rPr>
      </w:pPr>
    </w:p>
    <w:p w14:paraId="1B5E9397">
      <w:pPr>
        <w:spacing w:line="360" w:lineRule="auto"/>
        <w:rPr>
          <w:rFonts w:hint="eastAsia" w:ascii="宋体" w:hAnsi="宋体" w:cs="宋体"/>
          <w:color w:val="auto"/>
          <w:szCs w:val="21"/>
          <w:highlight w:val="none"/>
        </w:rPr>
      </w:pPr>
    </w:p>
    <w:p w14:paraId="14AE4E77">
      <w:pPr>
        <w:spacing w:line="360" w:lineRule="auto"/>
        <w:rPr>
          <w:rFonts w:hint="eastAsia" w:ascii="宋体" w:hAnsi="宋体" w:cs="宋体"/>
          <w:color w:val="auto"/>
          <w:szCs w:val="21"/>
          <w:highlight w:val="none"/>
        </w:rPr>
      </w:pPr>
    </w:p>
    <w:p w14:paraId="2A95BA42">
      <w:pPr>
        <w:spacing w:line="360" w:lineRule="auto"/>
        <w:rPr>
          <w:rFonts w:hint="eastAsia" w:ascii="宋体" w:hAnsi="宋体" w:cs="宋体"/>
          <w:color w:val="auto"/>
          <w:szCs w:val="21"/>
          <w:highlight w:val="none"/>
        </w:rPr>
      </w:pPr>
    </w:p>
    <w:p w14:paraId="190B48DB">
      <w:pPr>
        <w:spacing w:line="360" w:lineRule="auto"/>
        <w:rPr>
          <w:rFonts w:hint="eastAsia" w:ascii="宋体" w:hAnsi="宋体" w:cs="宋体"/>
          <w:color w:val="auto"/>
          <w:szCs w:val="21"/>
          <w:highlight w:val="none"/>
        </w:rPr>
      </w:pPr>
    </w:p>
    <w:p w14:paraId="6F5C62DE">
      <w:pPr>
        <w:spacing w:line="360" w:lineRule="auto"/>
        <w:rPr>
          <w:rFonts w:hint="eastAsia" w:ascii="宋体" w:hAnsi="宋体" w:cs="宋体"/>
          <w:color w:val="auto"/>
          <w:szCs w:val="21"/>
          <w:highlight w:val="none"/>
        </w:rPr>
      </w:pPr>
    </w:p>
    <w:p w14:paraId="13601287">
      <w:pPr>
        <w:spacing w:line="360" w:lineRule="auto"/>
        <w:rPr>
          <w:rFonts w:hint="eastAsia" w:ascii="宋体" w:hAnsi="宋体" w:cs="宋体"/>
          <w:color w:val="auto"/>
          <w:szCs w:val="21"/>
          <w:highlight w:val="none"/>
        </w:rPr>
      </w:pPr>
    </w:p>
    <w:p w14:paraId="6869F71F">
      <w:pPr>
        <w:spacing w:line="360" w:lineRule="auto"/>
        <w:rPr>
          <w:rFonts w:hint="eastAsia" w:ascii="宋体" w:hAnsi="宋体" w:cs="宋体"/>
          <w:color w:val="auto"/>
          <w:szCs w:val="21"/>
          <w:highlight w:val="none"/>
        </w:rPr>
      </w:pPr>
    </w:p>
    <w:p w14:paraId="2EFA5E83">
      <w:pPr>
        <w:spacing w:line="360" w:lineRule="auto"/>
        <w:rPr>
          <w:rFonts w:hint="eastAsia" w:ascii="宋体" w:hAnsi="宋体" w:cs="宋体"/>
          <w:color w:val="auto"/>
          <w:szCs w:val="21"/>
          <w:highlight w:val="none"/>
        </w:rPr>
      </w:pPr>
    </w:p>
    <w:p w14:paraId="74B9F664">
      <w:pPr>
        <w:spacing w:line="360" w:lineRule="auto"/>
        <w:rPr>
          <w:rFonts w:hint="eastAsia" w:ascii="宋体" w:hAnsi="宋体" w:cs="宋体"/>
          <w:color w:val="auto"/>
          <w:szCs w:val="21"/>
          <w:highlight w:val="none"/>
        </w:rPr>
      </w:pPr>
    </w:p>
    <w:p w14:paraId="67EA8095">
      <w:pPr>
        <w:spacing w:line="360" w:lineRule="auto"/>
        <w:rPr>
          <w:rFonts w:hint="eastAsia" w:ascii="宋体" w:hAnsi="宋体" w:cs="宋体"/>
          <w:color w:val="auto"/>
          <w:szCs w:val="21"/>
          <w:highlight w:val="none"/>
        </w:rPr>
      </w:pPr>
    </w:p>
    <w:p w14:paraId="72747EEC">
      <w:pPr>
        <w:spacing w:line="360" w:lineRule="auto"/>
        <w:rPr>
          <w:rFonts w:hint="eastAsia" w:ascii="宋体" w:hAnsi="宋体" w:cs="宋体"/>
          <w:color w:val="auto"/>
          <w:szCs w:val="21"/>
          <w:highlight w:val="none"/>
        </w:rPr>
      </w:pPr>
    </w:p>
    <w:p w14:paraId="16A366D0">
      <w:pPr>
        <w:spacing w:line="360" w:lineRule="auto"/>
        <w:rPr>
          <w:rFonts w:hint="eastAsia" w:ascii="宋体" w:hAnsi="宋体" w:cs="宋体"/>
          <w:color w:val="auto"/>
          <w:szCs w:val="21"/>
          <w:highlight w:val="none"/>
        </w:rPr>
      </w:pPr>
    </w:p>
    <w:p w14:paraId="02045CA3">
      <w:pPr>
        <w:spacing w:line="360" w:lineRule="auto"/>
        <w:jc w:val="left"/>
        <w:rPr>
          <w:rFonts w:hint="eastAsia" w:ascii="宋体" w:hAnsi="宋体" w:cs="宋体"/>
          <w:color w:val="auto"/>
          <w:szCs w:val="21"/>
          <w:highlight w:val="none"/>
        </w:rPr>
      </w:pPr>
    </w:p>
    <w:p w14:paraId="5280095E">
      <w:pPr>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3.供应商直接控股、管理关系信息表</w:t>
      </w:r>
    </w:p>
    <w:p w14:paraId="6C265D25">
      <w:pPr>
        <w:snapToGrid w:val="0"/>
        <w:spacing w:line="360" w:lineRule="auto"/>
        <w:jc w:val="center"/>
        <w:rPr>
          <w:rFonts w:hint="eastAsia" w:ascii="宋体" w:hAnsi="宋体" w:cs="宋体"/>
          <w:b/>
          <w:color w:val="auto"/>
          <w:sz w:val="32"/>
          <w:szCs w:val="32"/>
          <w:highlight w:val="none"/>
        </w:rPr>
      </w:pPr>
    </w:p>
    <w:p w14:paraId="39454A1B">
      <w:pPr>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2BF04636">
      <w:pPr>
        <w:snapToGrid w:val="0"/>
        <w:spacing w:line="360" w:lineRule="auto"/>
        <w:jc w:val="center"/>
        <w:rPr>
          <w:rFonts w:hint="eastAsia" w:ascii="宋体" w:hAnsi="宋体" w:cs="宋体"/>
          <w:b/>
          <w:color w:val="auto"/>
          <w:sz w:val="32"/>
          <w:szCs w:val="32"/>
          <w:highlight w:val="none"/>
        </w:rPr>
      </w:pPr>
    </w:p>
    <w:tbl>
      <w:tblPr>
        <w:tblStyle w:val="27"/>
        <w:tblW w:w="9318" w:type="dxa"/>
        <w:jc w:val="center"/>
        <w:shd w:val="clear" w:color="auto" w:fill="FBFBFB"/>
        <w:tblLayout w:type="fixed"/>
        <w:tblCellMar>
          <w:top w:w="0" w:type="dxa"/>
          <w:left w:w="0" w:type="dxa"/>
          <w:bottom w:w="0" w:type="dxa"/>
          <w:right w:w="0" w:type="dxa"/>
        </w:tblCellMar>
      </w:tblPr>
      <w:tblGrid>
        <w:gridCol w:w="880"/>
        <w:gridCol w:w="2655"/>
        <w:gridCol w:w="1455"/>
        <w:gridCol w:w="3503"/>
        <w:gridCol w:w="825"/>
      </w:tblGrid>
      <w:tr w14:paraId="0DC8A41D">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2644AF">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90BFFB">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048D90">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350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E7B3726">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2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56DA798">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371AEB0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542960">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88C865">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B65693">
            <w:pPr>
              <w:widowControl/>
              <w:spacing w:line="360" w:lineRule="auto"/>
              <w:jc w:val="center"/>
              <w:rPr>
                <w:rFonts w:hint="eastAsia"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132FA8">
            <w:pPr>
              <w:widowControl/>
              <w:spacing w:line="360" w:lineRule="auto"/>
              <w:jc w:val="center"/>
              <w:rPr>
                <w:rFonts w:hint="eastAsia"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9013C7">
            <w:pPr>
              <w:widowControl/>
              <w:spacing w:line="360" w:lineRule="auto"/>
              <w:jc w:val="center"/>
              <w:rPr>
                <w:rFonts w:hint="eastAsia" w:ascii="宋体" w:hAnsi="宋体" w:cs="宋体"/>
                <w:color w:val="auto"/>
                <w:kern w:val="0"/>
                <w:sz w:val="28"/>
                <w:szCs w:val="28"/>
                <w:highlight w:val="none"/>
              </w:rPr>
            </w:pPr>
          </w:p>
        </w:tc>
      </w:tr>
      <w:tr w14:paraId="128FD66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FB97F8">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33EA5E">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1CB6DF">
            <w:pPr>
              <w:widowControl/>
              <w:spacing w:line="360" w:lineRule="auto"/>
              <w:jc w:val="center"/>
              <w:rPr>
                <w:rFonts w:hint="eastAsia"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62B515">
            <w:pPr>
              <w:widowControl/>
              <w:spacing w:line="360" w:lineRule="auto"/>
              <w:jc w:val="center"/>
              <w:rPr>
                <w:rFonts w:hint="eastAsia"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25AAAA">
            <w:pPr>
              <w:widowControl/>
              <w:spacing w:line="360" w:lineRule="auto"/>
              <w:jc w:val="center"/>
              <w:rPr>
                <w:rFonts w:hint="eastAsia" w:ascii="宋体" w:hAnsi="宋体" w:cs="宋体"/>
                <w:color w:val="auto"/>
                <w:kern w:val="0"/>
                <w:sz w:val="28"/>
                <w:szCs w:val="28"/>
                <w:highlight w:val="none"/>
              </w:rPr>
            </w:pPr>
          </w:p>
        </w:tc>
      </w:tr>
      <w:tr w14:paraId="226C9BA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6A6EE3">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4A19FD">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FFF187">
            <w:pPr>
              <w:widowControl/>
              <w:spacing w:line="360" w:lineRule="auto"/>
              <w:jc w:val="center"/>
              <w:rPr>
                <w:rFonts w:hint="eastAsia"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FBA0DE">
            <w:pPr>
              <w:widowControl/>
              <w:spacing w:line="360" w:lineRule="auto"/>
              <w:jc w:val="center"/>
              <w:rPr>
                <w:rFonts w:hint="eastAsia"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032385">
            <w:pPr>
              <w:widowControl/>
              <w:spacing w:line="360" w:lineRule="auto"/>
              <w:jc w:val="center"/>
              <w:rPr>
                <w:rFonts w:hint="eastAsia" w:ascii="宋体" w:hAnsi="宋体" w:cs="宋体"/>
                <w:color w:val="auto"/>
                <w:kern w:val="0"/>
                <w:sz w:val="28"/>
                <w:szCs w:val="28"/>
                <w:highlight w:val="none"/>
              </w:rPr>
            </w:pPr>
          </w:p>
        </w:tc>
      </w:tr>
      <w:tr w14:paraId="7F7F05D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0755A9">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81F388">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0A6207">
            <w:pPr>
              <w:widowControl/>
              <w:spacing w:line="360" w:lineRule="auto"/>
              <w:jc w:val="center"/>
              <w:rPr>
                <w:rFonts w:hint="eastAsia"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373CD9">
            <w:pPr>
              <w:widowControl/>
              <w:spacing w:line="360" w:lineRule="auto"/>
              <w:jc w:val="center"/>
              <w:rPr>
                <w:rFonts w:hint="eastAsia"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BCA03F">
            <w:pPr>
              <w:widowControl/>
              <w:spacing w:line="360" w:lineRule="auto"/>
              <w:jc w:val="center"/>
              <w:rPr>
                <w:rFonts w:hint="eastAsia" w:ascii="宋体" w:hAnsi="宋体" w:cs="宋体"/>
                <w:color w:val="auto"/>
                <w:kern w:val="0"/>
                <w:sz w:val="28"/>
                <w:szCs w:val="28"/>
                <w:highlight w:val="none"/>
              </w:rPr>
            </w:pPr>
          </w:p>
        </w:tc>
      </w:tr>
    </w:tbl>
    <w:p w14:paraId="5BAEE01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0797BA6D">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5779106">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0B09B910">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54199ECD">
      <w:pPr>
        <w:spacing w:line="360" w:lineRule="auto"/>
        <w:ind w:firstLine="420" w:firstLineChars="200"/>
        <w:contextualSpacing/>
        <w:jc w:val="left"/>
        <w:rPr>
          <w:rFonts w:hint="eastAsia" w:ascii="宋体" w:hAnsi="宋体" w:cs="宋体"/>
          <w:color w:val="auto"/>
          <w:szCs w:val="21"/>
          <w:highlight w:val="none"/>
        </w:rPr>
      </w:pPr>
    </w:p>
    <w:p w14:paraId="2F2CFA3D">
      <w:pPr>
        <w:spacing w:line="360" w:lineRule="auto"/>
        <w:ind w:firstLine="560" w:firstLineChars="200"/>
        <w:contextualSpacing/>
        <w:jc w:val="left"/>
        <w:rPr>
          <w:rFonts w:hint="eastAsia" w:ascii="宋体" w:hAnsi="宋体" w:cs="宋体"/>
          <w:color w:val="auto"/>
          <w:sz w:val="28"/>
          <w:szCs w:val="28"/>
          <w:highlight w:val="none"/>
        </w:rPr>
      </w:pPr>
    </w:p>
    <w:p w14:paraId="398F39EC">
      <w:pPr>
        <w:spacing w:line="360" w:lineRule="auto"/>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w:t>
      </w:r>
      <w:r>
        <w:rPr>
          <w:rFonts w:hint="eastAsia"/>
          <w:color w:val="auto"/>
          <w:sz w:val="24"/>
          <w:highlight w:val="none"/>
        </w:rPr>
        <w:t>（</w:t>
      </w:r>
      <w:r>
        <w:rPr>
          <w:rFonts w:hint="eastAsia" w:ascii="宋体" w:hAnsi="宋体"/>
          <w:color w:val="auto"/>
          <w:sz w:val="24"/>
          <w:highlight w:val="none"/>
        </w:rPr>
        <w:t>签字或者电子签名</w:t>
      </w:r>
      <w:r>
        <w:rPr>
          <w:rFonts w:hint="eastAsia"/>
          <w:color w:val="auto"/>
          <w:sz w:val="24"/>
          <w:highlight w:val="none"/>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5607A42">
      <w:pPr>
        <w:spacing w:line="360" w:lineRule="auto"/>
        <w:ind w:firstLine="3360" w:firstLineChars="14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39E88CE2">
      <w:pPr>
        <w:spacing w:line="360" w:lineRule="auto"/>
        <w:ind w:firstLine="5280" w:firstLineChars="2200"/>
        <w:contextualSpacing/>
        <w:rPr>
          <w:rFonts w:hint="eastAsia" w:ascii="宋体" w:hAnsi="宋体" w:cs="宋体"/>
          <w:b/>
          <w:color w:val="auto"/>
          <w:sz w:val="28"/>
          <w:szCs w:val="28"/>
          <w:highlight w:val="none"/>
        </w:rPr>
      </w:pPr>
      <w:r>
        <w:rPr>
          <w:rFonts w:hint="eastAsia" w:ascii="宋体" w:hAnsi="宋体" w:cs="宋体"/>
          <w:color w:val="auto"/>
          <w:sz w:val="24"/>
          <w:highlight w:val="none"/>
        </w:rPr>
        <w:t>年    月    日</w:t>
      </w:r>
      <w:r>
        <w:rPr>
          <w:rFonts w:hint="eastAsia" w:ascii="宋体" w:hAnsi="宋体" w:cs="宋体"/>
          <w:b/>
          <w:color w:val="auto"/>
          <w:sz w:val="28"/>
          <w:szCs w:val="28"/>
          <w:highlight w:val="none"/>
        </w:rPr>
        <w:br w:type="page"/>
      </w:r>
    </w:p>
    <w:p w14:paraId="203DDB36">
      <w:pPr>
        <w:snapToGrid w:val="0"/>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70538998">
      <w:pPr>
        <w:snapToGrid w:val="0"/>
        <w:spacing w:line="360" w:lineRule="auto"/>
        <w:jc w:val="center"/>
        <w:rPr>
          <w:rFonts w:hint="eastAsia" w:ascii="宋体" w:hAnsi="宋体" w:cs="宋体"/>
          <w:b/>
          <w:color w:val="auto"/>
          <w:sz w:val="32"/>
          <w:szCs w:val="32"/>
          <w:highlight w:val="none"/>
        </w:rPr>
      </w:pPr>
    </w:p>
    <w:tbl>
      <w:tblPr>
        <w:tblStyle w:val="27"/>
        <w:tblW w:w="8942" w:type="dxa"/>
        <w:jc w:val="center"/>
        <w:shd w:val="clear" w:color="auto" w:fill="FBFBFB"/>
        <w:tblLayout w:type="fixed"/>
        <w:tblCellMar>
          <w:top w:w="0" w:type="dxa"/>
          <w:left w:w="0" w:type="dxa"/>
          <w:bottom w:w="0" w:type="dxa"/>
          <w:right w:w="0" w:type="dxa"/>
        </w:tblCellMar>
      </w:tblPr>
      <w:tblGrid>
        <w:gridCol w:w="808"/>
        <w:gridCol w:w="3600"/>
        <w:gridCol w:w="3555"/>
        <w:gridCol w:w="979"/>
      </w:tblGrid>
      <w:tr w14:paraId="5DE0133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4F49B6">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C3FB49">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1B9E75">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9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FC3FA55">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320995B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EBD5F1">
            <w:pPr>
              <w:widowControl/>
              <w:wordWrap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11A52A">
            <w:pPr>
              <w:widowControl/>
              <w:wordWrap w:val="0"/>
              <w:spacing w:line="360" w:lineRule="auto"/>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DF0632">
            <w:pPr>
              <w:widowControl/>
              <w:wordWrap w:val="0"/>
              <w:spacing w:line="360" w:lineRule="auto"/>
              <w:jc w:val="center"/>
              <w:rPr>
                <w:rFonts w:hint="eastAsia"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F6ECA8">
            <w:pPr>
              <w:widowControl/>
              <w:wordWrap w:val="0"/>
              <w:spacing w:line="360" w:lineRule="auto"/>
              <w:jc w:val="center"/>
              <w:rPr>
                <w:rFonts w:hint="eastAsia" w:ascii="宋体" w:hAnsi="宋体" w:cs="宋体"/>
                <w:color w:val="auto"/>
                <w:kern w:val="0"/>
                <w:sz w:val="28"/>
                <w:szCs w:val="28"/>
                <w:highlight w:val="none"/>
              </w:rPr>
            </w:pPr>
          </w:p>
        </w:tc>
      </w:tr>
      <w:tr w14:paraId="7D9BCEA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2C94E0">
            <w:pPr>
              <w:widowControl/>
              <w:wordWrap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CE6870">
            <w:pPr>
              <w:widowControl/>
              <w:wordWrap w:val="0"/>
              <w:spacing w:line="360" w:lineRule="auto"/>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BC8619">
            <w:pPr>
              <w:widowControl/>
              <w:wordWrap w:val="0"/>
              <w:spacing w:line="360" w:lineRule="auto"/>
              <w:jc w:val="center"/>
              <w:rPr>
                <w:rFonts w:hint="eastAsia"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095312">
            <w:pPr>
              <w:widowControl/>
              <w:wordWrap w:val="0"/>
              <w:spacing w:line="360" w:lineRule="auto"/>
              <w:jc w:val="center"/>
              <w:rPr>
                <w:rFonts w:hint="eastAsia" w:ascii="宋体" w:hAnsi="宋体" w:cs="宋体"/>
                <w:color w:val="auto"/>
                <w:kern w:val="0"/>
                <w:sz w:val="28"/>
                <w:szCs w:val="28"/>
                <w:highlight w:val="none"/>
              </w:rPr>
            </w:pPr>
          </w:p>
        </w:tc>
      </w:tr>
      <w:tr w14:paraId="49A67CA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CDE6C6">
            <w:pPr>
              <w:widowControl/>
              <w:wordWrap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BDD7DF">
            <w:pPr>
              <w:widowControl/>
              <w:wordWrap w:val="0"/>
              <w:spacing w:line="360" w:lineRule="auto"/>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F6211A">
            <w:pPr>
              <w:widowControl/>
              <w:wordWrap w:val="0"/>
              <w:spacing w:line="360" w:lineRule="auto"/>
              <w:jc w:val="center"/>
              <w:rPr>
                <w:rFonts w:hint="eastAsia"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3C3C33">
            <w:pPr>
              <w:widowControl/>
              <w:wordWrap w:val="0"/>
              <w:spacing w:line="360" w:lineRule="auto"/>
              <w:jc w:val="center"/>
              <w:rPr>
                <w:rFonts w:hint="eastAsia" w:ascii="宋体" w:hAnsi="宋体" w:cs="宋体"/>
                <w:color w:val="auto"/>
                <w:kern w:val="0"/>
                <w:sz w:val="28"/>
                <w:szCs w:val="28"/>
                <w:highlight w:val="none"/>
              </w:rPr>
            </w:pPr>
          </w:p>
        </w:tc>
      </w:tr>
      <w:tr w14:paraId="242324C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340B4B">
            <w:pPr>
              <w:widowControl/>
              <w:wordWrap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A37630">
            <w:pPr>
              <w:widowControl/>
              <w:wordWrap w:val="0"/>
              <w:spacing w:line="360" w:lineRule="auto"/>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1E5D47">
            <w:pPr>
              <w:widowControl/>
              <w:wordWrap w:val="0"/>
              <w:spacing w:line="360" w:lineRule="auto"/>
              <w:jc w:val="center"/>
              <w:rPr>
                <w:rFonts w:hint="eastAsia"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6FDF4B">
            <w:pPr>
              <w:widowControl/>
              <w:wordWrap w:val="0"/>
              <w:spacing w:line="360" w:lineRule="auto"/>
              <w:jc w:val="center"/>
              <w:rPr>
                <w:rFonts w:hint="eastAsia" w:ascii="宋体" w:hAnsi="宋体" w:cs="宋体"/>
                <w:color w:val="auto"/>
                <w:kern w:val="0"/>
                <w:sz w:val="28"/>
                <w:szCs w:val="28"/>
                <w:highlight w:val="none"/>
              </w:rPr>
            </w:pPr>
          </w:p>
        </w:tc>
      </w:tr>
    </w:tbl>
    <w:p w14:paraId="4223696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61E5CA5">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77E9CE4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128B0BD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214135D1">
      <w:pPr>
        <w:spacing w:line="360" w:lineRule="auto"/>
        <w:contextualSpacing/>
        <w:jc w:val="left"/>
        <w:rPr>
          <w:rFonts w:hint="eastAsia" w:ascii="宋体" w:hAnsi="宋体" w:cs="宋体"/>
          <w:color w:val="auto"/>
          <w:sz w:val="28"/>
          <w:szCs w:val="28"/>
          <w:highlight w:val="none"/>
        </w:rPr>
      </w:pPr>
    </w:p>
    <w:p w14:paraId="3B1CF9E8">
      <w:pPr>
        <w:spacing w:line="360" w:lineRule="auto"/>
        <w:contextualSpacing/>
        <w:jc w:val="left"/>
        <w:rPr>
          <w:rFonts w:hint="eastAsia" w:ascii="宋体" w:hAnsi="宋体" w:cs="宋体"/>
          <w:color w:val="auto"/>
          <w:sz w:val="28"/>
          <w:szCs w:val="28"/>
          <w:highlight w:val="none"/>
        </w:rPr>
      </w:pPr>
    </w:p>
    <w:p w14:paraId="319A2DFD">
      <w:pPr>
        <w:spacing w:line="360" w:lineRule="auto"/>
        <w:contextualSpacing/>
        <w:jc w:val="left"/>
        <w:rPr>
          <w:rFonts w:hint="eastAsia" w:ascii="宋体" w:hAnsi="宋体" w:cs="宋体"/>
          <w:color w:val="auto"/>
          <w:sz w:val="28"/>
          <w:szCs w:val="28"/>
          <w:highlight w:val="none"/>
        </w:rPr>
      </w:pPr>
    </w:p>
    <w:p w14:paraId="4753BD94">
      <w:pPr>
        <w:spacing w:line="360" w:lineRule="auto"/>
        <w:contextualSpacing/>
        <w:jc w:val="left"/>
        <w:rPr>
          <w:rFonts w:hint="eastAsia" w:ascii="宋体" w:hAnsi="宋体" w:cs="宋体"/>
          <w:color w:val="auto"/>
          <w:sz w:val="28"/>
          <w:szCs w:val="28"/>
          <w:highlight w:val="none"/>
        </w:rPr>
      </w:pPr>
    </w:p>
    <w:p w14:paraId="3DF87A91">
      <w:pPr>
        <w:spacing w:line="360" w:lineRule="auto"/>
        <w:contextualSpacing/>
        <w:jc w:val="left"/>
        <w:rPr>
          <w:rFonts w:hint="eastAsia" w:ascii="宋体" w:hAnsi="宋体" w:cs="宋体"/>
          <w:color w:val="auto"/>
          <w:sz w:val="28"/>
          <w:szCs w:val="28"/>
          <w:highlight w:val="none"/>
        </w:rPr>
      </w:pPr>
    </w:p>
    <w:p w14:paraId="5E1FF493">
      <w:pPr>
        <w:spacing w:line="360" w:lineRule="auto"/>
        <w:contextualSpacing/>
        <w:jc w:val="left"/>
        <w:rPr>
          <w:rFonts w:hint="eastAsia" w:ascii="宋体" w:hAnsi="宋体" w:cs="宋体"/>
          <w:color w:val="auto"/>
          <w:sz w:val="28"/>
          <w:szCs w:val="28"/>
          <w:highlight w:val="none"/>
        </w:rPr>
      </w:pPr>
    </w:p>
    <w:p w14:paraId="6E1DFF52">
      <w:pPr>
        <w:spacing w:line="360" w:lineRule="auto"/>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w:t>
      </w:r>
      <w:r>
        <w:rPr>
          <w:rFonts w:hint="eastAsia"/>
          <w:color w:val="auto"/>
          <w:sz w:val="24"/>
          <w:highlight w:val="none"/>
        </w:rPr>
        <w:t>（</w:t>
      </w:r>
      <w:r>
        <w:rPr>
          <w:rFonts w:hint="eastAsia" w:ascii="宋体" w:hAnsi="宋体"/>
          <w:color w:val="auto"/>
          <w:sz w:val="24"/>
          <w:highlight w:val="none"/>
        </w:rPr>
        <w:t>签字或者电子签名</w:t>
      </w:r>
      <w:r>
        <w:rPr>
          <w:rFonts w:hint="eastAsia"/>
          <w:color w:val="auto"/>
          <w:sz w:val="24"/>
          <w:highlight w:val="none"/>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DB32A92">
      <w:pPr>
        <w:spacing w:line="360" w:lineRule="auto"/>
        <w:ind w:firstLine="3720" w:firstLineChars="1550"/>
        <w:contextualSpacing/>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01D8D0D4">
      <w:pPr>
        <w:spacing w:line="360" w:lineRule="auto"/>
        <w:ind w:firstLine="240" w:firstLineChars="100"/>
        <w:contextualSpacing/>
        <w:jc w:val="center"/>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3C48C72C">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竞标声明</w:t>
      </w:r>
    </w:p>
    <w:p w14:paraId="69CE3673">
      <w:pPr>
        <w:spacing w:line="360" w:lineRule="auto"/>
        <w:jc w:val="center"/>
        <w:rPr>
          <w:rFonts w:hint="eastAsia" w:ascii="宋体" w:hAnsi="宋体" w:cs="宋体"/>
          <w:color w:val="auto"/>
          <w:sz w:val="24"/>
          <w:szCs w:val="20"/>
          <w:highlight w:val="none"/>
        </w:rPr>
      </w:pPr>
    </w:p>
    <w:p w14:paraId="13FA8388">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65A398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46BA3C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65A8920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03969C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028CCAD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711FE9C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3819182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507F3A8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3D6CA5F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（4）响应谈判文件规定的竞标有效期。</w:t>
      </w:r>
    </w:p>
    <w:p w14:paraId="77C8E1B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1B50443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962BB1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5D3B5B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BF1878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21991BA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A8B7F6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5118D3C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E43241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7D4A69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2D18CD4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0E624584">
      <w:pPr>
        <w:pStyle w:val="14"/>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kern w:val="2"/>
          <w:sz w:val="24"/>
          <w:szCs w:val="24"/>
          <w:highlight w:val="none"/>
        </w:rPr>
        <w:t>7.与本谈判有关的</w:t>
      </w:r>
      <w:r>
        <w:rPr>
          <w:rFonts w:hint="eastAsia" w:hAnsi="宋体" w:cs="宋体"/>
          <w:color w:val="auto"/>
          <w:sz w:val="24"/>
          <w:szCs w:val="24"/>
          <w:highlight w:val="none"/>
        </w:rPr>
        <w:t>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34DDD17">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4766F50F">
      <w:pPr>
        <w:pStyle w:val="12"/>
        <w:tabs>
          <w:tab w:val="left" w:pos="939"/>
        </w:tabs>
        <w:spacing w:line="360" w:lineRule="auto"/>
        <w:ind w:left="0" w:leftChars="0"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账</w:t>
      </w:r>
      <w:r>
        <w:rPr>
          <w:rFonts w:hint="eastAsia" w:ascii="宋体" w:hAnsi="宋体" w:cs="宋体"/>
          <w:color w:val="auto"/>
          <w:sz w:val="24"/>
          <w:highlight w:val="none"/>
        </w:rPr>
        <w:t>号/行号：</w:t>
      </w:r>
      <w:r>
        <w:rPr>
          <w:rFonts w:hint="eastAsia" w:ascii="宋体" w:hAnsi="宋体" w:cs="宋体"/>
          <w:color w:val="auto"/>
          <w:sz w:val="24"/>
          <w:highlight w:val="none"/>
          <w:u w:val="single"/>
        </w:rPr>
        <w:t xml:space="preserve">           </w:t>
      </w:r>
    </w:p>
    <w:p w14:paraId="02644448">
      <w:pPr>
        <w:pStyle w:val="12"/>
        <w:tabs>
          <w:tab w:val="left" w:pos="939"/>
        </w:tabs>
        <w:spacing w:line="360" w:lineRule="auto"/>
        <w:ind w:left="0" w:leftChars="0" w:firstLine="600" w:firstLineChars="250"/>
        <w:rPr>
          <w:rFonts w:hint="eastAsia" w:ascii="宋体" w:hAnsi="宋体" w:cs="宋体"/>
          <w:color w:val="auto"/>
          <w:sz w:val="24"/>
          <w:highlight w:val="none"/>
        </w:rPr>
      </w:pPr>
      <w:r>
        <w:rPr>
          <w:rFonts w:ascii="宋体" w:hAnsi="宋体" w:cs="宋体"/>
          <w:color w:val="auto"/>
          <w:sz w:val="24"/>
          <w:highlight w:val="none"/>
        </w:rPr>
        <w:t>8</w:t>
      </w:r>
      <w:r>
        <w:rPr>
          <w:rFonts w:hint="eastAsia" w:ascii="宋体" w:hAnsi="宋体" w:cs="宋体"/>
          <w:color w:val="auto"/>
          <w:sz w:val="24"/>
          <w:highlight w:val="none"/>
        </w:rPr>
        <w:t>.</w:t>
      </w:r>
      <w:r>
        <w:rPr>
          <w:rFonts w:ascii="宋体" w:hAnsi="宋体" w:cs="宋体"/>
          <w:color w:val="auto"/>
          <w:sz w:val="24"/>
          <w:highlight w:val="none"/>
        </w:rPr>
        <w:t>我方若</w:t>
      </w:r>
      <w:r>
        <w:rPr>
          <w:rFonts w:hint="eastAsia" w:ascii="宋体" w:hAnsi="宋体" w:cs="宋体"/>
          <w:color w:val="auto"/>
          <w:sz w:val="24"/>
          <w:highlight w:val="none"/>
        </w:rPr>
        <w:t>竞标成功</w:t>
      </w:r>
      <w:r>
        <w:rPr>
          <w:rFonts w:ascii="宋体" w:hAnsi="宋体" w:cs="宋体"/>
          <w:color w:val="auto"/>
          <w:sz w:val="24"/>
          <w:highlight w:val="none"/>
        </w:rPr>
        <w:t>，将采取</w:t>
      </w:r>
      <w:r>
        <w:rPr>
          <w:rFonts w:ascii="宋体" w:hAnsi="宋体" w:cs="宋体"/>
          <w:color w:val="auto"/>
          <w:sz w:val="24"/>
          <w:highlight w:val="none"/>
          <w:u w:val="single"/>
        </w:rPr>
        <w:t>      （</w:t>
      </w:r>
      <w:r>
        <w:rPr>
          <w:rFonts w:hint="eastAsia" w:ascii="宋体" w:hAnsi="宋体" w:cs="宋体"/>
          <w:color w:val="auto"/>
          <w:sz w:val="24"/>
          <w:highlight w:val="none"/>
          <w:u w:val="single"/>
        </w:rPr>
        <w:t>汽车、火车、飞机等</w:t>
      </w:r>
      <w:r>
        <w:rPr>
          <w:rFonts w:ascii="宋体" w:hAnsi="宋体" w:cs="宋体"/>
          <w:color w:val="auto"/>
          <w:sz w:val="24"/>
          <w:highlight w:val="none"/>
          <w:u w:val="single"/>
        </w:rPr>
        <w:t>）</w:t>
      </w:r>
      <w:r>
        <w:rPr>
          <w:rFonts w:ascii="宋体" w:hAnsi="宋体" w:cs="宋体"/>
          <w:color w:val="auto"/>
          <w:sz w:val="24"/>
          <w:highlight w:val="none"/>
        </w:rPr>
        <w:t>方式运输货物。</w:t>
      </w:r>
    </w:p>
    <w:p w14:paraId="435400BD">
      <w:pPr>
        <w:pStyle w:val="12"/>
        <w:tabs>
          <w:tab w:val="left" w:pos="939"/>
        </w:tabs>
        <w:spacing w:line="360" w:lineRule="auto"/>
        <w:ind w:left="0" w:leftChars="0" w:firstLine="600" w:firstLineChars="250"/>
        <w:rPr>
          <w:rFonts w:hint="eastAsia" w:ascii="宋体" w:hAnsi="宋体" w:cs="宋体"/>
          <w:color w:val="auto"/>
          <w:sz w:val="24"/>
          <w:highlight w:val="none"/>
        </w:rPr>
      </w:pPr>
      <w:r>
        <w:rPr>
          <w:rFonts w:hint="eastAsia" w:ascii="宋体" w:hAnsi="宋体" w:cs="宋体"/>
          <w:color w:val="auto"/>
          <w:sz w:val="24"/>
          <w:highlight w:val="none"/>
        </w:rPr>
        <w:t>9</w:t>
      </w:r>
      <w:r>
        <w:rPr>
          <w:rFonts w:ascii="宋体" w:hAnsi="宋体" w:cs="宋体"/>
          <w:color w:val="auto"/>
          <w:sz w:val="24"/>
          <w:highlight w:val="none"/>
        </w:rPr>
        <w:t>.</w:t>
      </w:r>
      <w:r>
        <w:rPr>
          <w:rFonts w:hint="eastAsia" w:ascii="宋体" w:hAnsi="宋体" w:cs="宋体"/>
          <w:color w:val="auto"/>
          <w:sz w:val="24"/>
          <w:highlight w:val="none"/>
        </w:rPr>
        <w:t>我方若竞标成功，除非发生不可抗力，承诺与采购人及时签订《合同书》。如果放弃，自愿按照《供应商须知正文》条款2</w:t>
      </w:r>
      <w:r>
        <w:rPr>
          <w:rFonts w:ascii="宋体" w:hAnsi="宋体" w:cs="宋体"/>
          <w:color w:val="auto"/>
          <w:sz w:val="24"/>
          <w:highlight w:val="none"/>
        </w:rPr>
        <w:t>7.5</w:t>
      </w:r>
      <w:r>
        <w:rPr>
          <w:rFonts w:hint="eastAsia" w:ascii="宋体" w:hAnsi="宋体" w:cs="宋体"/>
          <w:color w:val="auto"/>
          <w:sz w:val="24"/>
          <w:highlight w:val="none"/>
        </w:rPr>
        <w:t>的要求承担法律责任和失信惩戒。</w:t>
      </w:r>
    </w:p>
    <w:p w14:paraId="422F8473">
      <w:pPr>
        <w:pStyle w:val="12"/>
        <w:tabs>
          <w:tab w:val="left" w:pos="939"/>
        </w:tabs>
        <w:spacing w:line="360" w:lineRule="auto"/>
        <w:ind w:left="0" w:leftChars="0" w:firstLine="600" w:firstLineChars="250"/>
        <w:rPr>
          <w:rFonts w:hint="eastAsia" w:ascii="宋体" w:hAnsi="宋体" w:cs="宋体"/>
          <w:color w:val="auto"/>
          <w:sz w:val="24"/>
          <w:highlight w:val="none"/>
        </w:rPr>
      </w:pPr>
      <w:r>
        <w:rPr>
          <w:rFonts w:ascii="宋体" w:hAnsi="宋体" w:cs="宋体"/>
          <w:color w:val="auto"/>
          <w:sz w:val="24"/>
          <w:highlight w:val="none"/>
        </w:rPr>
        <w:t>10</w:t>
      </w:r>
      <w:r>
        <w:rPr>
          <w:rFonts w:hint="eastAsia" w:ascii="宋体" w:hAnsi="宋体" w:cs="宋体"/>
          <w:color w:val="auto"/>
          <w:sz w:val="24"/>
          <w:highlight w:val="none"/>
        </w:rPr>
        <w:t>.以上事项如有虚假或者隐瞒，我方愿意承担一切后果，并不再寻求任何旨在减轻或者免除法律责任的辩解。</w:t>
      </w:r>
    </w:p>
    <w:p w14:paraId="5589CD3A">
      <w:pPr>
        <w:pStyle w:val="12"/>
        <w:tabs>
          <w:tab w:val="left" w:pos="939"/>
        </w:tabs>
        <w:spacing w:line="360" w:lineRule="auto"/>
        <w:ind w:left="0" w:leftChars="0" w:firstLine="600" w:firstLineChars="250"/>
        <w:rPr>
          <w:rFonts w:hint="eastAsia" w:ascii="宋体" w:hAnsi="宋体" w:cs="宋体"/>
          <w:color w:val="auto"/>
          <w:szCs w:val="21"/>
          <w:highlight w:val="none"/>
        </w:rPr>
      </w:pPr>
      <w:r>
        <w:rPr>
          <w:rFonts w:hint="eastAsia" w:ascii="宋体" w:hAnsi="宋体" w:cs="宋体"/>
          <w:color w:val="auto"/>
          <w:sz w:val="24"/>
          <w:highlight w:val="none"/>
        </w:rPr>
        <w:t>特此承诺。</w:t>
      </w:r>
    </w:p>
    <w:p w14:paraId="7D7B433B">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 xml:space="preserve">     注：如为联合体竞标，盖章处须加盖联合体各方公章并由联合体各方法定代表人分别签署，否则响应文件按无效响应处理。</w:t>
      </w:r>
    </w:p>
    <w:p w14:paraId="0870B43C">
      <w:pPr>
        <w:spacing w:line="360" w:lineRule="auto"/>
        <w:contextualSpacing/>
        <w:jc w:val="left"/>
        <w:rPr>
          <w:rFonts w:hint="eastAsia" w:ascii="宋体" w:hAnsi="宋体" w:cs="宋体"/>
          <w:color w:val="auto"/>
          <w:szCs w:val="21"/>
          <w:highlight w:val="none"/>
        </w:rPr>
      </w:pPr>
    </w:p>
    <w:p w14:paraId="653FFC1D">
      <w:pPr>
        <w:spacing w:line="360" w:lineRule="auto"/>
        <w:ind w:firstLine="4320" w:firstLineChars="1800"/>
        <w:contextualSpacing/>
        <w:rPr>
          <w:rFonts w:hint="eastAsia" w:ascii="宋体" w:hAnsi="宋体" w:cs="宋体"/>
          <w:color w:val="auto"/>
          <w:sz w:val="24"/>
          <w:highlight w:val="none"/>
        </w:rPr>
      </w:pPr>
      <w:r>
        <w:rPr>
          <w:rFonts w:hint="eastAsia" w:ascii="宋体" w:hAnsi="宋体" w:cs="宋体"/>
          <w:color w:val="auto"/>
          <w:sz w:val="24"/>
          <w:highlight w:val="none"/>
        </w:rPr>
        <w:t>法定代表人</w:t>
      </w:r>
      <w:r>
        <w:rPr>
          <w:rFonts w:hint="eastAsia"/>
          <w:color w:val="auto"/>
          <w:sz w:val="24"/>
          <w:highlight w:val="none"/>
        </w:rPr>
        <w:t>（</w:t>
      </w:r>
      <w:r>
        <w:rPr>
          <w:rFonts w:hint="eastAsia" w:ascii="宋体" w:hAnsi="宋体"/>
          <w:color w:val="auto"/>
          <w:sz w:val="24"/>
          <w:highlight w:val="none"/>
        </w:rPr>
        <w:t>签字或者盖章或者电子签名</w:t>
      </w:r>
      <w:r>
        <w:rPr>
          <w:rFonts w:hint="eastAsia"/>
          <w:color w:val="auto"/>
          <w:sz w:val="24"/>
          <w:highlight w:val="none"/>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42388E2">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3682601">
      <w:pPr>
        <w:spacing w:line="360" w:lineRule="auto"/>
        <w:ind w:firstLine="240" w:firstLineChars="1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 </w:t>
      </w:r>
    </w:p>
    <w:p w14:paraId="6CE9B9DC">
      <w:pPr>
        <w:spacing w:line="360" w:lineRule="auto"/>
        <w:jc w:val="center"/>
        <w:rPr>
          <w:rFonts w:hint="eastAsia" w:ascii="宋体" w:hAnsi="宋体" w:eastAsia="宋体" w:cs="宋体"/>
          <w:b/>
          <w:color w:val="auto"/>
          <w:sz w:val="32"/>
          <w:szCs w:val="32"/>
          <w:highlight w:val="none"/>
        </w:rPr>
      </w:pPr>
      <w:r>
        <w:rPr>
          <w:rFonts w:hint="eastAsia" w:ascii="宋体" w:hAnsi="宋体" w:cs="宋体"/>
          <w:color w:val="auto"/>
          <w:sz w:val="32"/>
          <w:szCs w:val="32"/>
          <w:highlight w:val="none"/>
        </w:rPr>
        <w:br w:type="page"/>
      </w:r>
      <w:bookmarkStart w:id="39" w:name="_Toc71366061"/>
      <w:bookmarkStart w:id="40" w:name="_Toc71365383"/>
      <w:r>
        <w:rPr>
          <w:rFonts w:hint="eastAsia" w:ascii="宋体" w:hAnsi="宋体" w:eastAsia="宋体" w:cs="宋体"/>
          <w:b/>
          <w:color w:val="auto"/>
          <w:sz w:val="32"/>
          <w:szCs w:val="32"/>
          <w:highlight w:val="none"/>
        </w:rPr>
        <w:t>中小企业声明函</w:t>
      </w:r>
      <w:bookmarkEnd w:id="39"/>
      <w:bookmarkEnd w:id="40"/>
    </w:p>
    <w:p w14:paraId="79A72E5D">
      <w:pPr>
        <w:spacing w:line="360" w:lineRule="auto"/>
        <w:rPr>
          <w:rFonts w:hint="eastAsia" w:ascii="宋体" w:hAnsi="宋体" w:cs="宋体"/>
          <w:color w:val="auto"/>
          <w:highlight w:val="none"/>
        </w:rPr>
      </w:pPr>
    </w:p>
    <w:p w14:paraId="4A8A1E23">
      <w:pPr>
        <w:pStyle w:val="10"/>
        <w:spacing w:after="0" w:line="360" w:lineRule="auto"/>
        <w:ind w:firstLine="640"/>
        <w:contextualSpacing/>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采购活动，提供的</w:t>
      </w:r>
      <w:r>
        <w:rPr>
          <w:rFonts w:hint="eastAsia" w:ascii="宋体" w:hAnsi="宋体" w:cs="宋体"/>
          <w:b w:val="0"/>
          <w:bCs w:val="0"/>
          <w:color w:val="auto"/>
          <w:sz w:val="24"/>
          <w:highlight w:val="none"/>
          <w:u w:val="none"/>
          <w:lang w:val="en-US" w:eastAsia="zh-CN"/>
        </w:rPr>
        <w:t>货物</w:t>
      </w:r>
      <w:r>
        <w:rPr>
          <w:rFonts w:hint="eastAsia" w:ascii="宋体" w:hAnsi="宋体" w:cs="宋体"/>
          <w:color w:val="auto"/>
          <w:sz w:val="24"/>
          <w:highlight w:val="none"/>
        </w:rPr>
        <w:t>全部由符合政策要求的中小企业制造</w:t>
      </w:r>
      <w:r>
        <w:rPr>
          <w:rFonts w:hint="eastAsia" w:ascii="宋体" w:hAnsi="宋体" w:cs="宋体"/>
          <w:b w:val="0"/>
          <w:bCs w:val="0"/>
          <w:color w:val="auto"/>
          <w:sz w:val="24"/>
          <w:highlight w:val="none"/>
          <w:u w:val="none"/>
        </w:rPr>
        <w:t>和提供</w:t>
      </w:r>
      <w:r>
        <w:rPr>
          <w:rFonts w:hint="eastAsia" w:ascii="宋体" w:hAnsi="宋体" w:cs="宋体"/>
          <w:color w:val="auto"/>
          <w:sz w:val="24"/>
          <w:highlight w:val="none"/>
        </w:rPr>
        <w:t>。相关企业（含联合体中的中小企业、签订分包意向协议的中小企业）的具体情况如下：</w:t>
      </w:r>
    </w:p>
    <w:p w14:paraId="48D2E073">
      <w:pPr>
        <w:tabs>
          <w:tab w:val="left" w:pos="1384"/>
          <w:tab w:val="left" w:pos="4562"/>
          <w:tab w:val="left" w:pos="6803"/>
        </w:tabs>
        <w:spacing w:before="13" w:line="500" w:lineRule="exact"/>
        <w:ind w:right="142" w:firstLine="772" w:firstLineChars="322"/>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hint="eastAsia" w:ascii="宋体" w:hAnsi="宋体"/>
          <w:color w:val="auto"/>
          <w:sz w:val="24"/>
          <w:highlight w:val="none"/>
          <w:u w:val="single"/>
        </w:rPr>
        <w:t>）</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hint="eastAsia" w:ascii="宋体" w:hAnsi="宋体" w:cs="宋体"/>
          <w:b/>
          <w:bCs/>
          <w:color w:val="auto"/>
          <w:sz w:val="24"/>
          <w:highlight w:val="none"/>
          <w:u w:val="single"/>
        </w:rPr>
        <w:t xml:space="preserve"> </w:t>
      </w:r>
      <w:r>
        <w:rPr>
          <w:rFonts w:ascii="宋体" w:hAnsi="宋体"/>
          <w:color w:val="auto"/>
          <w:sz w:val="24"/>
          <w:highlight w:val="none"/>
        </w:rPr>
        <w:t>；</w:t>
      </w:r>
      <w:r>
        <w:rPr>
          <w:rFonts w:hint="eastAsia" w:ascii="宋体" w:hAnsi="宋体" w:cs="宋体"/>
          <w:b w:val="0"/>
          <w:bCs w:val="0"/>
          <w:color w:val="auto"/>
          <w:sz w:val="24"/>
          <w:highlight w:val="none"/>
        </w:rPr>
        <w:t>制造商</w:t>
      </w:r>
      <w:r>
        <w:rPr>
          <w:rFonts w:hint="eastAsia" w:ascii="宋体" w:hAnsi="宋体"/>
          <w:color w:val="auto"/>
          <w:sz w:val="24"/>
          <w:highlight w:val="none"/>
        </w:rPr>
        <w:t>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 xml:space="preserve">； </w:t>
      </w:r>
    </w:p>
    <w:p w14:paraId="5F078ED1">
      <w:pPr>
        <w:tabs>
          <w:tab w:val="left" w:pos="1065"/>
          <w:tab w:val="left" w:pos="4262"/>
          <w:tab w:val="left" w:pos="6477"/>
        </w:tabs>
        <w:spacing w:before="20" w:line="500" w:lineRule="exact"/>
        <w:ind w:right="84" w:firstLine="772" w:firstLineChars="322"/>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s="宋体"/>
          <w:b w:val="0"/>
          <w:bCs w:val="0"/>
          <w:color w:val="auto"/>
          <w:sz w:val="24"/>
          <w:highlight w:val="none"/>
          <w:u w:val="none"/>
        </w:rPr>
        <w:t xml:space="preserve"> 制造商</w:t>
      </w:r>
      <w:r>
        <w:rPr>
          <w:rFonts w:hint="eastAsia" w:ascii="宋体" w:hAnsi="宋体"/>
          <w:color w:val="auto"/>
          <w:sz w:val="24"/>
          <w:highlight w:val="none"/>
        </w:rPr>
        <w:t>为</w:t>
      </w:r>
      <w:r>
        <w:rPr>
          <w:rFonts w:hint="eastAsia" w:ascii="宋体" w:hAnsi="宋体"/>
          <w:color w:val="auto"/>
          <w:sz w:val="24"/>
          <w:highlight w:val="none"/>
          <w:u w:val="single"/>
        </w:rPr>
        <w:t xml:space="preserve">（企业名称）  </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61551DF4">
      <w:pPr>
        <w:pStyle w:val="10"/>
        <w:spacing w:after="0" w:line="360" w:lineRule="auto"/>
        <w:ind w:firstLine="720" w:firstLineChars="300"/>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246263A">
      <w:pPr>
        <w:pStyle w:val="10"/>
        <w:spacing w:after="0" w:line="360" w:lineRule="auto"/>
        <w:ind w:firstLine="453" w:firstLineChars="189"/>
        <w:contextualSpacing/>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BF53DEA">
      <w:pPr>
        <w:pStyle w:val="10"/>
        <w:spacing w:after="0" w:line="360" w:lineRule="auto"/>
        <w:ind w:firstLine="567"/>
        <w:contextualSpacing/>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18F84AA6">
      <w:pPr>
        <w:pStyle w:val="10"/>
        <w:spacing w:after="0" w:line="360" w:lineRule="auto"/>
        <w:contextualSpacing/>
        <w:rPr>
          <w:rFonts w:hint="eastAsia" w:ascii="宋体" w:hAnsi="宋体" w:cs="宋体"/>
          <w:color w:val="auto"/>
          <w:sz w:val="24"/>
          <w:highlight w:val="none"/>
        </w:rPr>
      </w:pPr>
    </w:p>
    <w:p w14:paraId="6AB88AC7">
      <w:pPr>
        <w:pStyle w:val="10"/>
        <w:spacing w:after="0"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企业名称（公章）：</w:t>
      </w:r>
    </w:p>
    <w:p w14:paraId="3083C33F">
      <w:pPr>
        <w:pStyle w:val="10"/>
        <w:spacing w:after="0"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日 期：</w:t>
      </w:r>
    </w:p>
    <w:p w14:paraId="101E8CFD">
      <w:pPr>
        <w:pStyle w:val="10"/>
        <w:spacing w:after="0" w:line="360" w:lineRule="auto"/>
        <w:contextualSpacing/>
        <w:rPr>
          <w:rFonts w:hint="eastAsia" w:ascii="宋体" w:hAnsi="宋体" w:cs="宋体"/>
          <w:color w:val="auto"/>
          <w:highlight w:val="none"/>
        </w:rPr>
      </w:pPr>
    </w:p>
    <w:p w14:paraId="51B1C74B">
      <w:pPr>
        <w:jc w:val="left"/>
        <w:rPr>
          <w:rFonts w:hint="eastAsia" w:ascii="宋体" w:hAnsi="宋体" w:cs="仿宋_GB2312"/>
          <w:color w:val="auto"/>
          <w:sz w:val="24"/>
          <w:highlight w:val="none"/>
        </w:rPr>
      </w:pPr>
      <w:r>
        <w:rPr>
          <w:rFonts w:hint="eastAsia" w:ascii="宋体" w:hAnsi="宋体" w:cs="仿宋_GB2312"/>
          <w:color w:val="auto"/>
          <w:sz w:val="24"/>
          <w:highlight w:val="none"/>
        </w:rPr>
        <w:t>注：1、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2B746B2">
      <w:pPr>
        <w:jc w:val="left"/>
        <w:rPr>
          <w:rFonts w:hint="eastAsia" w:ascii="宋体" w:hAnsi="宋体" w:cs="仿宋_GB2312"/>
          <w:color w:val="auto"/>
          <w:sz w:val="24"/>
          <w:highlight w:val="none"/>
        </w:rPr>
      </w:pPr>
      <w:r>
        <w:rPr>
          <w:rFonts w:hint="eastAsia" w:ascii="宋体" w:hAnsi="宋体" w:cs="仿宋_GB2312"/>
          <w:color w:val="auto"/>
          <w:sz w:val="24"/>
          <w:highlight w:val="none"/>
        </w:rPr>
        <w:t>2、供应商提供的《中小企业声明函》与事实不符的，依照《中华人民共和国政府采购法》第七十七条第一款的规定追究法律责任。</w:t>
      </w:r>
    </w:p>
    <w:p w14:paraId="014FAE3F">
      <w:pPr>
        <w:jc w:val="left"/>
        <w:rPr>
          <w:rFonts w:hint="eastAsia" w:ascii="宋体" w:hAnsi="宋体" w:cs="仿宋_GB2312"/>
          <w:color w:val="auto"/>
          <w:sz w:val="24"/>
          <w:highlight w:val="none"/>
        </w:rPr>
      </w:pPr>
      <w:r>
        <w:rPr>
          <w:rFonts w:hint="eastAsia" w:ascii="宋体" w:hAnsi="宋体" w:cs="仿宋_GB2312"/>
          <w:color w:val="auto"/>
          <w:sz w:val="24"/>
          <w:highlight w:val="none"/>
        </w:rPr>
        <w:t>3、未完整填写以上空白处信息，声明函将做无效处理。</w:t>
      </w:r>
    </w:p>
    <w:p w14:paraId="7EF4FE37">
      <w:pPr>
        <w:rPr>
          <w:rFonts w:hint="eastAsia" w:ascii="宋体" w:hAnsi="宋体" w:cs="宋体"/>
          <w:color w:val="auto"/>
          <w:sz w:val="24"/>
          <w:highlight w:val="none"/>
        </w:rPr>
      </w:pPr>
      <w:r>
        <w:rPr>
          <w:rFonts w:ascii="宋体" w:hAnsi="宋体" w:cs="宋体"/>
          <w:color w:val="auto"/>
          <w:sz w:val="24"/>
          <w:highlight w:val="none"/>
        </w:rPr>
        <w:br w:type="page"/>
      </w:r>
    </w:p>
    <w:p w14:paraId="35FE08AF">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残疾人福利性单位声明函</w:t>
      </w:r>
    </w:p>
    <w:p w14:paraId="28C643CC">
      <w:pPr>
        <w:spacing w:line="360" w:lineRule="auto"/>
        <w:rPr>
          <w:rFonts w:hint="eastAsia" w:ascii="宋体" w:hAnsi="宋体" w:cs="宋体"/>
          <w:color w:val="auto"/>
          <w:sz w:val="32"/>
          <w:szCs w:val="32"/>
          <w:highlight w:val="none"/>
        </w:rPr>
      </w:pPr>
    </w:p>
    <w:p w14:paraId="67FD350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4D165E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31B80CED">
      <w:pPr>
        <w:spacing w:line="360" w:lineRule="auto"/>
        <w:contextualSpacing/>
        <w:rPr>
          <w:rFonts w:hint="eastAsia" w:ascii="宋体" w:hAnsi="宋体" w:cs="宋体"/>
          <w:color w:val="auto"/>
          <w:sz w:val="24"/>
          <w:highlight w:val="none"/>
        </w:rPr>
      </w:pPr>
    </w:p>
    <w:p w14:paraId="79EAF382">
      <w:pPr>
        <w:spacing w:line="360" w:lineRule="auto"/>
        <w:contextualSpacing/>
        <w:rPr>
          <w:rFonts w:hint="eastAsia" w:ascii="宋体" w:hAnsi="宋体" w:cs="宋体"/>
          <w:color w:val="auto"/>
          <w:sz w:val="24"/>
          <w:highlight w:val="none"/>
        </w:rPr>
      </w:pPr>
    </w:p>
    <w:p w14:paraId="66A8E8F7">
      <w:pPr>
        <w:spacing w:line="360" w:lineRule="auto"/>
        <w:contextualSpacing/>
        <w:rPr>
          <w:rFonts w:hint="eastAsia" w:ascii="宋体" w:hAnsi="宋体" w:cs="宋体"/>
          <w:color w:val="auto"/>
          <w:sz w:val="24"/>
          <w:highlight w:val="none"/>
        </w:rPr>
      </w:pPr>
    </w:p>
    <w:p w14:paraId="3CEB059D">
      <w:pPr>
        <w:spacing w:line="360" w:lineRule="auto"/>
        <w:ind w:firstLine="2400" w:firstLineChars="1000"/>
        <w:contextualSpacing/>
        <w:rPr>
          <w:rFonts w:hint="eastAsia" w:ascii="宋体" w:hAnsi="宋体" w:cs="宋体"/>
          <w:color w:val="auto"/>
          <w:sz w:val="24"/>
          <w:highlight w:val="none"/>
        </w:rPr>
      </w:pPr>
      <w:r>
        <w:rPr>
          <w:rFonts w:hint="eastAsia" w:ascii="宋体" w:hAnsi="宋体" w:cs="宋体"/>
          <w:color w:val="auto"/>
          <w:sz w:val="24"/>
          <w:highlight w:val="none"/>
        </w:rPr>
        <w:t>单位名称（公章）：</w:t>
      </w:r>
    </w:p>
    <w:p w14:paraId="7618AB25">
      <w:pPr>
        <w:spacing w:line="360" w:lineRule="auto"/>
        <w:ind w:firstLine="3600" w:firstLineChars="15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0E0416AA">
      <w:pPr>
        <w:spacing w:line="360" w:lineRule="auto"/>
        <w:contextualSpacing/>
        <w:rPr>
          <w:rFonts w:hint="eastAsia" w:ascii="宋体" w:hAnsi="宋体" w:cs="宋体"/>
          <w:color w:val="auto"/>
          <w:sz w:val="24"/>
          <w:highlight w:val="none"/>
        </w:rPr>
      </w:pPr>
    </w:p>
    <w:p w14:paraId="29712265">
      <w:pPr>
        <w:spacing w:line="360" w:lineRule="auto"/>
        <w:contextualSpacing/>
        <w:rPr>
          <w:rFonts w:hint="eastAsia" w:ascii="宋体" w:hAnsi="宋体" w:cs="宋体"/>
          <w:color w:val="auto"/>
          <w:sz w:val="24"/>
          <w:highlight w:val="none"/>
        </w:rPr>
      </w:pPr>
    </w:p>
    <w:p w14:paraId="4192A821">
      <w:pPr>
        <w:spacing w:line="360" w:lineRule="auto"/>
        <w:contextualSpacing/>
        <w:rPr>
          <w:rFonts w:hint="eastAsia" w:ascii="宋体" w:hAnsi="宋体" w:cs="宋体"/>
          <w:color w:val="auto"/>
          <w:sz w:val="24"/>
          <w:highlight w:val="none"/>
        </w:rPr>
      </w:pPr>
    </w:p>
    <w:p w14:paraId="3887FC40">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A350FFC">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32"/>
          <w:szCs w:val="32"/>
          <w:highlight w:val="none"/>
        </w:rPr>
        <w:t xml:space="preserve"> </w:t>
      </w:r>
    </w:p>
    <w:p w14:paraId="1154468E">
      <w:pPr>
        <w:spacing w:line="360" w:lineRule="auto"/>
        <w:contextualSpacing/>
        <w:jc w:val="left"/>
        <w:rPr>
          <w:rFonts w:hint="eastAsia" w:ascii="宋体" w:hAnsi="宋体" w:cs="宋体"/>
          <w:b/>
          <w:color w:val="auto"/>
          <w:sz w:val="32"/>
          <w:szCs w:val="32"/>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49BB57BB">
      <w:pPr>
        <w:snapToGrid w:val="0"/>
        <w:spacing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430D4171">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681155AD">
      <w:pPr>
        <w:snapToGrid w:val="0"/>
        <w:spacing w:line="360" w:lineRule="auto"/>
        <w:rPr>
          <w:rFonts w:hint="eastAsia" w:ascii="宋体" w:hAnsi="宋体" w:cs="宋体"/>
          <w:color w:val="auto"/>
          <w:sz w:val="24"/>
          <w:highlight w:val="none"/>
        </w:rPr>
      </w:pPr>
    </w:p>
    <w:p w14:paraId="57801542">
      <w:pPr>
        <w:snapToGrid w:val="0"/>
        <w:spacing w:line="360" w:lineRule="auto"/>
        <w:rPr>
          <w:rFonts w:hint="eastAsia" w:ascii="宋体" w:hAnsi="宋体" w:cs="宋体"/>
          <w:color w:val="auto"/>
          <w:sz w:val="24"/>
          <w:szCs w:val="20"/>
          <w:highlight w:val="none"/>
        </w:rPr>
      </w:pPr>
    </w:p>
    <w:p w14:paraId="44F5406B">
      <w:pPr>
        <w:snapToGrid w:val="0"/>
        <w:spacing w:line="360" w:lineRule="auto"/>
        <w:jc w:val="center"/>
        <w:rPr>
          <w:rFonts w:hint="eastAsia" w:ascii="宋体" w:hAnsi="宋体"/>
          <w:color w:val="auto"/>
          <w:sz w:val="44"/>
          <w:szCs w:val="44"/>
          <w:highlight w:val="none"/>
        </w:rPr>
      </w:pPr>
      <w:r>
        <w:rPr>
          <w:rFonts w:hint="eastAsia" w:ascii="宋体" w:hAnsi="宋体"/>
          <w:color w:val="auto"/>
          <w:sz w:val="44"/>
          <w:szCs w:val="44"/>
          <w:highlight w:val="none"/>
        </w:rPr>
        <w:t>响  应  文  件</w:t>
      </w:r>
    </w:p>
    <w:p w14:paraId="2DD48CE8">
      <w:pPr>
        <w:snapToGrid w:val="0"/>
        <w:spacing w:line="360" w:lineRule="auto"/>
        <w:rPr>
          <w:rFonts w:hint="eastAsia" w:ascii="宋体" w:hAnsi="宋体" w:cs="宋体"/>
          <w:color w:val="auto"/>
          <w:sz w:val="24"/>
          <w:szCs w:val="20"/>
          <w:highlight w:val="none"/>
        </w:rPr>
      </w:pPr>
    </w:p>
    <w:p w14:paraId="3D7DFD36">
      <w:pPr>
        <w:snapToGrid w:val="0"/>
        <w:spacing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报 价 文 件</w:t>
      </w:r>
    </w:p>
    <w:p w14:paraId="217BAB64">
      <w:pPr>
        <w:snapToGrid w:val="0"/>
        <w:spacing w:line="360" w:lineRule="auto"/>
        <w:rPr>
          <w:rFonts w:hint="eastAsia" w:ascii="宋体" w:hAnsi="宋体" w:cs="宋体"/>
          <w:bCs/>
          <w:color w:val="auto"/>
          <w:sz w:val="28"/>
          <w:szCs w:val="28"/>
          <w:highlight w:val="none"/>
        </w:rPr>
      </w:pPr>
    </w:p>
    <w:p w14:paraId="3F34C7ED">
      <w:pPr>
        <w:snapToGrid w:val="0"/>
        <w:spacing w:line="360" w:lineRule="auto"/>
        <w:rPr>
          <w:rFonts w:hint="eastAsia" w:ascii="宋体" w:hAnsi="宋体" w:cs="宋体"/>
          <w:bCs/>
          <w:color w:val="auto"/>
          <w:sz w:val="28"/>
          <w:szCs w:val="28"/>
          <w:highlight w:val="none"/>
        </w:rPr>
      </w:pPr>
    </w:p>
    <w:p w14:paraId="158D1596">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2F87FAB6">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 xml:space="preserve">项目编号： </w:t>
      </w:r>
    </w:p>
    <w:p w14:paraId="044BF20E">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所竞分标（如有则填写，无分标时填写“无”或者留空）：</w:t>
      </w:r>
    </w:p>
    <w:p w14:paraId="32498AC5">
      <w:pPr>
        <w:pStyle w:val="6"/>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52474930">
      <w:pPr>
        <w:pStyle w:val="6"/>
        <w:snapToGrid w:val="0"/>
        <w:spacing w:line="360" w:lineRule="auto"/>
        <w:ind w:firstLine="1680" w:firstLineChars="600"/>
        <w:rPr>
          <w:rFonts w:hint="eastAsia" w:ascii="宋体" w:hAnsi="宋体" w:cs="宋体"/>
          <w:bCs/>
          <w:color w:val="auto"/>
          <w:sz w:val="28"/>
          <w:szCs w:val="28"/>
          <w:highlight w:val="none"/>
        </w:rPr>
      </w:pPr>
    </w:p>
    <w:p w14:paraId="330F2973">
      <w:pPr>
        <w:snapToGrid w:val="0"/>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年    月    日</w:t>
      </w:r>
    </w:p>
    <w:p w14:paraId="1A684629">
      <w:pPr>
        <w:snapToGrid w:val="0"/>
        <w:spacing w:line="360" w:lineRule="auto"/>
        <w:jc w:val="left"/>
        <w:rPr>
          <w:rFonts w:hint="eastAsia" w:ascii="宋体" w:hAnsi="宋体" w:cs="宋体"/>
          <w:b/>
          <w:bCs/>
          <w:color w:val="auto"/>
          <w:sz w:val="24"/>
          <w:highlight w:val="none"/>
        </w:rPr>
      </w:pPr>
      <w:r>
        <w:rPr>
          <w:rFonts w:hint="eastAsia" w:ascii="宋体" w:hAnsi="宋体" w:cs="宋体"/>
          <w:color w:val="auto"/>
          <w:sz w:val="28"/>
          <w:szCs w:val="28"/>
          <w:highlight w:val="none"/>
        </w:rPr>
        <w:br w:type="page"/>
      </w:r>
      <w:r>
        <w:rPr>
          <w:rFonts w:hint="eastAsia" w:ascii="宋体" w:hAnsi="宋体" w:cs="宋体"/>
          <w:b/>
          <w:bCs/>
          <w:color w:val="auto"/>
          <w:sz w:val="32"/>
          <w:szCs w:val="32"/>
          <w:highlight w:val="none"/>
        </w:rPr>
        <w:t>2.报价文件目录</w:t>
      </w:r>
    </w:p>
    <w:p w14:paraId="5F0AE4FC">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根据谈判文件规定及供应商提供的材料自行编写目录（部分格式后附）。</w:t>
      </w:r>
    </w:p>
    <w:p w14:paraId="1726011E">
      <w:pPr>
        <w:spacing w:line="360" w:lineRule="auto"/>
        <w:rPr>
          <w:rFonts w:hint="eastAsia" w:ascii="宋体" w:hAnsi="宋体" w:cs="宋体"/>
          <w:color w:val="auto"/>
          <w:sz w:val="32"/>
          <w:szCs w:val="32"/>
          <w:highlight w:val="none"/>
        </w:rPr>
      </w:pPr>
    </w:p>
    <w:p w14:paraId="1FB71CE4">
      <w:pPr>
        <w:spacing w:line="500" w:lineRule="exact"/>
        <w:jc w:val="center"/>
        <w:rPr>
          <w:rFonts w:hint="eastAsia" w:ascii="宋体" w:hAnsi="宋体" w:cs="宋体"/>
          <w:bCs/>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Cs/>
          <w:color w:val="auto"/>
          <w:sz w:val="44"/>
          <w:szCs w:val="44"/>
          <w:highlight w:val="none"/>
        </w:rPr>
        <w:t>响应函</w:t>
      </w:r>
    </w:p>
    <w:p w14:paraId="33C932E0">
      <w:pPr>
        <w:spacing w:line="440" w:lineRule="exact"/>
        <w:rPr>
          <w:color w:val="auto"/>
          <w:sz w:val="24"/>
          <w:highlight w:val="none"/>
        </w:rPr>
      </w:pPr>
      <w:r>
        <w:rPr>
          <w:rFonts w:hint="eastAsia"/>
          <w:color w:val="auto"/>
          <w:sz w:val="24"/>
          <w:highlight w:val="none"/>
        </w:rPr>
        <w:t>致：</w:t>
      </w:r>
      <w:r>
        <w:rPr>
          <w:rFonts w:hint="eastAsia"/>
          <w:color w:val="auto"/>
          <w:sz w:val="24"/>
          <w:highlight w:val="none"/>
          <w:u w:val="single"/>
        </w:rPr>
        <w:t>（采购人名称）</w:t>
      </w:r>
    </w:p>
    <w:p w14:paraId="4D0AFBE9">
      <w:pPr>
        <w:spacing w:line="440" w:lineRule="exact"/>
        <w:ind w:firstLine="480" w:firstLineChars="200"/>
        <w:rPr>
          <w:rFonts w:ascii="宋体" w:hAnsi="Courier New"/>
          <w:color w:val="auto"/>
          <w:sz w:val="24"/>
          <w:highlight w:val="none"/>
        </w:rPr>
      </w:pPr>
      <w:r>
        <w:rPr>
          <w:rFonts w:hint="eastAsia" w:ascii="宋体" w:hAnsi="Courier New"/>
          <w:color w:val="auto"/>
          <w:sz w:val="24"/>
          <w:highlight w:val="none"/>
        </w:rPr>
        <w:t>我方已仔细阅读了贵方组织的</w:t>
      </w:r>
      <w:bookmarkStart w:id="41" w:name="PO_3000001867_PM002_6"/>
      <w:r>
        <w:rPr>
          <w:rFonts w:hint="eastAsia"/>
          <w:color w:val="auto"/>
          <w:sz w:val="24"/>
          <w:highlight w:val="none"/>
          <w:u w:val="single"/>
        </w:rPr>
        <w:t>（项目名称）</w:t>
      </w:r>
      <w:bookmarkEnd w:id="41"/>
      <w:r>
        <w:rPr>
          <w:rFonts w:hint="eastAsia" w:ascii="宋体" w:hAnsi="Courier New"/>
          <w:color w:val="auto"/>
          <w:sz w:val="24"/>
          <w:highlight w:val="none"/>
        </w:rPr>
        <w:t>项目（项目编号：     ）的</w:t>
      </w:r>
      <w:r>
        <w:rPr>
          <w:rFonts w:hint="eastAsia" w:ascii="宋体"/>
          <w:color w:val="auto"/>
          <w:sz w:val="24"/>
          <w:highlight w:val="none"/>
        </w:rPr>
        <w:t>竞争性谈判文件</w:t>
      </w:r>
      <w:r>
        <w:rPr>
          <w:rFonts w:hint="eastAsia" w:ascii="宋体" w:hAnsi="Courier New"/>
          <w:color w:val="auto"/>
          <w:sz w:val="24"/>
          <w:highlight w:val="none"/>
        </w:rPr>
        <w:t>的全部内容，授权(全权代表姓名) (职务、职称)为全权代表，现正式递交下述文件参加贵方组织的本次政府采购活动：</w:t>
      </w:r>
    </w:p>
    <w:p w14:paraId="2785F8A0">
      <w:pPr>
        <w:spacing w:line="440" w:lineRule="exact"/>
        <w:ind w:firstLine="480" w:firstLineChars="200"/>
        <w:rPr>
          <w:rFonts w:ascii="宋体" w:hAnsi="Courier New"/>
          <w:color w:val="auto"/>
          <w:sz w:val="24"/>
          <w:highlight w:val="none"/>
        </w:rPr>
      </w:pPr>
      <w:r>
        <w:rPr>
          <w:rFonts w:hint="eastAsia" w:ascii="宋体" w:hAnsi="Courier New"/>
          <w:color w:val="auto"/>
          <w:sz w:val="24"/>
          <w:highlight w:val="none"/>
        </w:rPr>
        <w:t>一、首次报价文件电子版一份（包含按“第二章 供应商须知”提交的全部文件）；</w:t>
      </w:r>
    </w:p>
    <w:p w14:paraId="30632891">
      <w:pPr>
        <w:spacing w:line="440" w:lineRule="exact"/>
        <w:ind w:firstLine="482"/>
        <w:rPr>
          <w:rFonts w:ascii="宋体" w:hAnsi="Courier New"/>
          <w:color w:val="auto"/>
          <w:sz w:val="24"/>
          <w:highlight w:val="none"/>
        </w:rPr>
      </w:pPr>
      <w:r>
        <w:rPr>
          <w:rFonts w:hint="eastAsia" w:ascii="宋体" w:hAnsi="Courier New"/>
          <w:color w:val="auto"/>
          <w:sz w:val="24"/>
          <w:highlight w:val="none"/>
        </w:rPr>
        <w:t>二、资格文件电子版一份（包含按“第二章 供应商须知”提交的全部文件）；</w:t>
      </w:r>
    </w:p>
    <w:p w14:paraId="6B524B76">
      <w:pPr>
        <w:spacing w:line="440" w:lineRule="exact"/>
        <w:ind w:firstLine="482"/>
        <w:rPr>
          <w:rFonts w:ascii="宋体" w:hAnsi="Courier New"/>
          <w:color w:val="auto"/>
          <w:sz w:val="24"/>
          <w:highlight w:val="none"/>
        </w:rPr>
      </w:pPr>
      <w:r>
        <w:rPr>
          <w:rFonts w:hint="eastAsia" w:ascii="宋体" w:hAnsi="Courier New"/>
          <w:color w:val="auto"/>
          <w:sz w:val="24"/>
          <w:highlight w:val="none"/>
        </w:rPr>
        <w:t>三、商务</w:t>
      </w:r>
      <w:r>
        <w:rPr>
          <w:rFonts w:hint="eastAsia" w:ascii="宋体" w:hAnsi="宋体"/>
          <w:color w:val="auto"/>
          <w:sz w:val="24"/>
          <w:highlight w:val="none"/>
        </w:rPr>
        <w:t>技术</w:t>
      </w:r>
      <w:r>
        <w:rPr>
          <w:rFonts w:hint="eastAsia" w:ascii="宋体" w:hAnsi="Courier New"/>
          <w:color w:val="auto"/>
          <w:sz w:val="24"/>
          <w:highlight w:val="none"/>
        </w:rPr>
        <w:t>文件电子版一份（包含按“第二章 供应商须知”提交的全部文件）；</w:t>
      </w:r>
    </w:p>
    <w:p w14:paraId="4B37EB98">
      <w:pPr>
        <w:spacing w:line="440" w:lineRule="exact"/>
        <w:ind w:firstLine="482"/>
        <w:rPr>
          <w:color w:val="auto"/>
          <w:sz w:val="24"/>
          <w:highlight w:val="none"/>
        </w:rPr>
      </w:pPr>
      <w:r>
        <w:rPr>
          <w:rFonts w:hint="eastAsia" w:ascii="宋体" w:hAnsi="Courier New"/>
          <w:color w:val="auto"/>
          <w:sz w:val="24"/>
          <w:highlight w:val="none"/>
        </w:rPr>
        <w:t>据此函，签字人兹宣布：</w:t>
      </w:r>
    </w:p>
    <w:p w14:paraId="62BF9635">
      <w:pPr>
        <w:spacing w:line="440" w:lineRule="exact"/>
        <w:ind w:firstLine="480" w:firstLineChars="200"/>
        <w:rPr>
          <w:color w:val="auto"/>
          <w:sz w:val="24"/>
          <w:highlight w:val="none"/>
        </w:rPr>
      </w:pPr>
      <w:r>
        <w:rPr>
          <w:rFonts w:hint="eastAsia" w:ascii="宋体" w:hAnsi="Courier New"/>
          <w:color w:val="auto"/>
          <w:sz w:val="24"/>
          <w:highlight w:val="none"/>
        </w:rPr>
        <w:t>1、我方愿意以（大写）</w:t>
      </w:r>
      <w:r>
        <w:rPr>
          <w:rFonts w:hint="eastAsia" w:ascii="宋体" w:hAnsi="Courier New"/>
          <w:b/>
          <w:bCs/>
          <w:color w:val="auto"/>
          <w:sz w:val="24"/>
          <w:highlight w:val="none"/>
        </w:rPr>
        <w:t>人民币</w:t>
      </w:r>
      <w:r>
        <w:rPr>
          <w:rFonts w:hint="eastAsia" w:ascii="宋体" w:hAnsi="Courier New"/>
          <w:b/>
          <w:bCs/>
          <w:color w:val="auto"/>
          <w:sz w:val="24"/>
          <w:highlight w:val="none"/>
          <w:u w:val="single"/>
        </w:rPr>
        <w:t xml:space="preserve">       </w:t>
      </w:r>
      <w:r>
        <w:rPr>
          <w:rFonts w:hint="eastAsia" w:ascii="宋体" w:hAnsi="Courier New"/>
          <w:b/>
          <w:bCs/>
          <w:color w:val="auto"/>
          <w:sz w:val="24"/>
          <w:highlight w:val="none"/>
        </w:rPr>
        <w:t>元 (￥</w:t>
      </w:r>
      <w:r>
        <w:rPr>
          <w:rFonts w:hint="eastAsia" w:ascii="宋体" w:hAnsi="Courier New"/>
          <w:b/>
          <w:bCs/>
          <w:color w:val="auto"/>
          <w:sz w:val="24"/>
          <w:highlight w:val="none"/>
          <w:u w:val="single"/>
        </w:rPr>
        <w:t xml:space="preserve">      </w:t>
      </w:r>
      <w:r>
        <w:rPr>
          <w:rFonts w:hint="eastAsia" w:ascii="宋体" w:hAnsi="Courier New"/>
          <w:b/>
          <w:bCs/>
          <w:color w:val="auto"/>
          <w:sz w:val="24"/>
          <w:highlight w:val="none"/>
        </w:rPr>
        <w:t>元)的竞标</w:t>
      </w:r>
      <w:r>
        <w:rPr>
          <w:rFonts w:hint="eastAsia" w:ascii="宋体" w:hAnsi="Courier New"/>
          <w:b/>
          <w:bCs/>
          <w:color w:val="auto"/>
          <w:sz w:val="24"/>
          <w:highlight w:val="none"/>
          <w:lang w:val="en-US" w:eastAsia="zh-CN"/>
        </w:rPr>
        <w:t>总</w:t>
      </w:r>
      <w:r>
        <w:rPr>
          <w:rFonts w:hint="eastAsia" w:ascii="宋体" w:hAnsi="Courier New"/>
          <w:b/>
          <w:bCs/>
          <w:color w:val="auto"/>
          <w:sz w:val="24"/>
          <w:highlight w:val="none"/>
        </w:rPr>
        <w:t>报价，交货时间（无分标时填写）</w:t>
      </w:r>
      <w:r>
        <w:rPr>
          <w:rFonts w:hint="eastAsia" w:ascii="宋体" w:hAnsi="Courier New"/>
          <w:b/>
          <w:bCs/>
          <w:color w:val="auto"/>
          <w:sz w:val="24"/>
          <w:highlight w:val="none"/>
          <w:u w:val="single"/>
        </w:rPr>
        <w:t xml:space="preserve">        </w:t>
      </w:r>
      <w:r>
        <w:rPr>
          <w:rFonts w:hint="eastAsia" w:ascii="宋体" w:hAnsi="Courier New"/>
          <w:color w:val="auto"/>
          <w:sz w:val="24"/>
          <w:highlight w:val="none"/>
        </w:rPr>
        <w:t>，提供本项目</w:t>
      </w:r>
      <w:r>
        <w:rPr>
          <w:rFonts w:hint="eastAsia" w:ascii="宋体"/>
          <w:color w:val="auto"/>
          <w:sz w:val="24"/>
          <w:highlight w:val="none"/>
        </w:rPr>
        <w:t>竞争性谈判文件第三章</w:t>
      </w:r>
      <w:r>
        <w:rPr>
          <w:rFonts w:hint="eastAsia" w:ascii="宋体" w:hAnsi="Courier New"/>
          <w:color w:val="auto"/>
          <w:sz w:val="24"/>
          <w:highlight w:val="none"/>
        </w:rPr>
        <w:t>“采购需求”中的相应的采购内容。</w:t>
      </w:r>
    </w:p>
    <w:p w14:paraId="3AE93DFC">
      <w:pPr>
        <w:spacing w:line="440" w:lineRule="exact"/>
        <w:ind w:firstLine="480" w:firstLineChars="200"/>
        <w:rPr>
          <w:color w:val="auto"/>
          <w:sz w:val="24"/>
          <w:highlight w:val="none"/>
        </w:rPr>
      </w:pPr>
      <w:r>
        <w:rPr>
          <w:rFonts w:hint="eastAsia" w:ascii="宋体" w:hAnsi="Courier New"/>
          <w:color w:val="auto"/>
          <w:sz w:val="24"/>
          <w:highlight w:val="none"/>
        </w:rPr>
        <w:t>其中（有分标时填写）：/</w:t>
      </w:r>
    </w:p>
    <w:p w14:paraId="291173A8">
      <w:pPr>
        <w:spacing w:line="360" w:lineRule="exact"/>
        <w:ind w:firstLine="480" w:firstLineChars="200"/>
        <w:rPr>
          <w:rFonts w:ascii="宋体" w:hAnsi="Courier New"/>
          <w:color w:val="auto"/>
          <w:sz w:val="24"/>
          <w:highlight w:val="none"/>
          <w:u w:val="single"/>
        </w:rPr>
      </w:pPr>
      <w:r>
        <w:rPr>
          <w:rFonts w:hint="eastAsia" w:ascii="宋体" w:hAnsi="Courier New"/>
          <w:color w:val="auto"/>
          <w:sz w:val="24"/>
          <w:highlight w:val="none"/>
        </w:rPr>
        <w:t>分标报价为（大写）人民币</w:t>
      </w:r>
      <w:r>
        <w:rPr>
          <w:rFonts w:hint="eastAsia" w:ascii="宋体" w:hAnsi="Courier New"/>
          <w:color w:val="auto"/>
          <w:sz w:val="24"/>
          <w:highlight w:val="none"/>
          <w:u w:val="single"/>
        </w:rPr>
        <w:t xml:space="preserve">   /    </w:t>
      </w:r>
      <w:r>
        <w:rPr>
          <w:rFonts w:hint="eastAsia" w:ascii="宋体" w:hAnsi="Courier New"/>
          <w:color w:val="auto"/>
          <w:sz w:val="24"/>
          <w:highlight w:val="none"/>
        </w:rPr>
        <w:t>元 (￥</w:t>
      </w:r>
      <w:r>
        <w:rPr>
          <w:rFonts w:hint="eastAsia" w:ascii="宋体" w:hAnsi="Courier New"/>
          <w:color w:val="auto"/>
          <w:sz w:val="24"/>
          <w:highlight w:val="none"/>
          <w:u w:val="single"/>
        </w:rPr>
        <w:t xml:space="preserve"> /  </w:t>
      </w:r>
      <w:r>
        <w:rPr>
          <w:rFonts w:hint="eastAsia" w:ascii="宋体" w:hAnsi="Courier New"/>
          <w:color w:val="auto"/>
          <w:sz w:val="24"/>
          <w:highlight w:val="none"/>
        </w:rPr>
        <w:t>元)，交货时间：</w:t>
      </w:r>
      <w:r>
        <w:rPr>
          <w:rFonts w:hint="eastAsia" w:ascii="宋体" w:hAnsi="Courier New"/>
          <w:color w:val="auto"/>
          <w:sz w:val="24"/>
          <w:highlight w:val="none"/>
          <w:u w:val="single"/>
        </w:rPr>
        <w:t xml:space="preserve">     /     </w:t>
      </w:r>
      <w:r>
        <w:rPr>
          <w:rFonts w:hint="eastAsia" w:ascii="宋体" w:hAnsi="Courier New"/>
          <w:color w:val="auto"/>
          <w:sz w:val="24"/>
          <w:highlight w:val="none"/>
        </w:rPr>
        <w:t>；</w:t>
      </w:r>
    </w:p>
    <w:p w14:paraId="40BA187A">
      <w:pPr>
        <w:spacing w:line="360" w:lineRule="exact"/>
        <w:ind w:firstLine="480" w:firstLineChars="200"/>
        <w:rPr>
          <w:rFonts w:ascii="宋体" w:hAnsi="Courier New"/>
          <w:color w:val="auto"/>
          <w:sz w:val="24"/>
          <w:highlight w:val="none"/>
          <w:u w:val="single"/>
        </w:rPr>
      </w:pPr>
      <w:r>
        <w:rPr>
          <w:rFonts w:hint="eastAsia" w:ascii="宋体" w:hAnsi="Courier New"/>
          <w:color w:val="auto"/>
          <w:sz w:val="24"/>
          <w:highlight w:val="none"/>
        </w:rPr>
        <w:t>分标报价为（大写）人民币</w:t>
      </w:r>
      <w:r>
        <w:rPr>
          <w:rFonts w:hint="eastAsia" w:ascii="宋体" w:hAnsi="Courier New"/>
          <w:color w:val="auto"/>
          <w:sz w:val="24"/>
          <w:highlight w:val="none"/>
          <w:u w:val="single"/>
        </w:rPr>
        <w:t xml:space="preserve">  /   </w:t>
      </w:r>
      <w:r>
        <w:rPr>
          <w:rFonts w:hint="eastAsia" w:ascii="宋体" w:hAnsi="Courier New"/>
          <w:color w:val="auto"/>
          <w:sz w:val="24"/>
          <w:highlight w:val="none"/>
        </w:rPr>
        <w:t>元 (￥</w:t>
      </w:r>
      <w:r>
        <w:rPr>
          <w:rFonts w:hint="eastAsia" w:ascii="宋体" w:hAnsi="Courier New"/>
          <w:color w:val="auto"/>
          <w:sz w:val="24"/>
          <w:highlight w:val="none"/>
          <w:u w:val="single"/>
        </w:rPr>
        <w:t xml:space="preserve">  /  </w:t>
      </w:r>
      <w:r>
        <w:rPr>
          <w:rFonts w:hint="eastAsia" w:ascii="宋体" w:hAnsi="Courier New"/>
          <w:color w:val="auto"/>
          <w:sz w:val="24"/>
          <w:highlight w:val="none"/>
        </w:rPr>
        <w:t>元)，交货时间：</w:t>
      </w:r>
      <w:r>
        <w:rPr>
          <w:rFonts w:hint="eastAsia" w:ascii="宋体" w:hAnsi="Courier New"/>
          <w:color w:val="auto"/>
          <w:sz w:val="24"/>
          <w:highlight w:val="none"/>
          <w:u w:val="single"/>
        </w:rPr>
        <w:t xml:space="preserve">     /      </w:t>
      </w:r>
      <w:r>
        <w:rPr>
          <w:rFonts w:hint="eastAsia" w:ascii="宋体" w:hAnsi="Courier New"/>
          <w:color w:val="auto"/>
          <w:sz w:val="24"/>
          <w:highlight w:val="none"/>
        </w:rPr>
        <w:t>；</w:t>
      </w:r>
    </w:p>
    <w:p w14:paraId="0796DE74">
      <w:pPr>
        <w:spacing w:line="360" w:lineRule="exact"/>
        <w:ind w:firstLine="480" w:firstLineChars="200"/>
        <w:rPr>
          <w:rFonts w:ascii="宋体" w:hAnsi="Courier New"/>
          <w:color w:val="auto"/>
          <w:sz w:val="24"/>
          <w:highlight w:val="none"/>
          <w:u w:val="single"/>
        </w:rPr>
      </w:pPr>
      <w:r>
        <w:rPr>
          <w:rFonts w:hint="eastAsia" w:ascii="宋体" w:hAnsi="Courier New"/>
          <w:color w:val="auto"/>
          <w:sz w:val="24"/>
          <w:highlight w:val="none"/>
        </w:rPr>
        <w:t>......</w:t>
      </w:r>
    </w:p>
    <w:p w14:paraId="6A395D89">
      <w:pPr>
        <w:spacing w:line="360" w:lineRule="exact"/>
        <w:ind w:firstLine="480" w:firstLineChars="200"/>
        <w:rPr>
          <w:rFonts w:ascii="宋体" w:hAnsi="Courier New"/>
          <w:color w:val="auto"/>
          <w:sz w:val="24"/>
          <w:highlight w:val="none"/>
          <w:u w:val="single"/>
        </w:rPr>
      </w:pPr>
      <w:r>
        <w:rPr>
          <w:rFonts w:hint="eastAsia" w:ascii="宋体" w:hAnsi="Courier New"/>
          <w:color w:val="auto"/>
          <w:sz w:val="24"/>
          <w:highlight w:val="none"/>
        </w:rPr>
        <w:t>2、我方同意自本项目</w:t>
      </w:r>
      <w:r>
        <w:rPr>
          <w:rFonts w:hint="eastAsia" w:ascii="宋体"/>
          <w:color w:val="auto"/>
          <w:sz w:val="24"/>
          <w:highlight w:val="none"/>
        </w:rPr>
        <w:t>竞争性谈判文件采购公告规定的</w:t>
      </w:r>
      <w:r>
        <w:rPr>
          <w:rFonts w:hint="eastAsia" w:ascii="宋体" w:hAnsi="Courier New"/>
          <w:color w:val="auto"/>
          <w:sz w:val="24"/>
          <w:highlight w:val="none"/>
        </w:rPr>
        <w:t>递交响应文件截止时间起遵循</w:t>
      </w:r>
      <w:r>
        <w:rPr>
          <w:rFonts w:hint="eastAsia" w:ascii="宋体" w:hAnsi="宋体"/>
          <w:color w:val="auto"/>
          <w:sz w:val="24"/>
          <w:highlight w:val="none"/>
        </w:rPr>
        <w:t>本响应函</w:t>
      </w:r>
      <w:r>
        <w:rPr>
          <w:rFonts w:hint="eastAsia" w:ascii="宋体" w:hAnsi="Courier New"/>
          <w:color w:val="auto"/>
          <w:sz w:val="24"/>
          <w:highlight w:val="none"/>
        </w:rPr>
        <w:t>，并承诺在“第二章 供应商须知”规定的响应有效期内不修改、撤销竞标文件。</w:t>
      </w:r>
    </w:p>
    <w:p w14:paraId="7E15BEA9">
      <w:pPr>
        <w:spacing w:line="360" w:lineRule="exact"/>
        <w:ind w:firstLine="480" w:firstLineChars="200"/>
        <w:rPr>
          <w:rFonts w:ascii="宋体" w:hAnsi="Courier New"/>
          <w:color w:val="auto"/>
          <w:sz w:val="24"/>
          <w:highlight w:val="none"/>
          <w:u w:val="single"/>
        </w:rPr>
      </w:pPr>
      <w:r>
        <w:rPr>
          <w:rFonts w:hint="eastAsia" w:ascii="宋体" w:hAnsi="Courier New"/>
          <w:color w:val="auto"/>
          <w:sz w:val="24"/>
          <w:highlight w:val="none"/>
        </w:rPr>
        <w:t>3、我方在此声明，所递交的响应文件及有关资料都是内容完整、真实和准确的。</w:t>
      </w:r>
    </w:p>
    <w:p w14:paraId="665C5B98">
      <w:pPr>
        <w:spacing w:line="440" w:lineRule="exact"/>
        <w:ind w:firstLine="482"/>
        <w:rPr>
          <w:rFonts w:ascii="宋体" w:hAnsi="Courier New"/>
          <w:color w:val="auto"/>
          <w:sz w:val="24"/>
          <w:highlight w:val="none"/>
        </w:rPr>
      </w:pPr>
      <w:r>
        <w:rPr>
          <w:rFonts w:hint="eastAsia" w:ascii="宋体" w:hAnsi="Courier New"/>
          <w:color w:val="auto"/>
          <w:sz w:val="24"/>
          <w:highlight w:val="none"/>
        </w:rPr>
        <w:t>4、如本项目采购内容涉及须符合国家强制规定的，我方承诺我方本次竞标均符合国家有关强制规定。</w:t>
      </w:r>
    </w:p>
    <w:p w14:paraId="0E1CF012">
      <w:pPr>
        <w:spacing w:line="440" w:lineRule="exact"/>
        <w:ind w:firstLine="480" w:firstLineChars="200"/>
        <w:rPr>
          <w:rFonts w:ascii="宋体" w:hAnsi="Courier New"/>
          <w:color w:val="auto"/>
          <w:sz w:val="24"/>
          <w:highlight w:val="none"/>
        </w:rPr>
      </w:pPr>
      <w:r>
        <w:rPr>
          <w:rFonts w:hint="eastAsia" w:ascii="宋体" w:hAnsi="Courier New"/>
          <w:color w:val="auto"/>
          <w:sz w:val="24"/>
          <w:highlight w:val="none"/>
        </w:rPr>
        <w:t>5、如我方成交，我方承诺在收到成交通知书后，在成交通知书规定的期限内，</w:t>
      </w:r>
      <w:r>
        <w:rPr>
          <w:rFonts w:hint="eastAsia" w:ascii="宋体" w:hAnsi="宋体"/>
          <w:color w:val="auto"/>
          <w:sz w:val="24"/>
          <w:highlight w:val="none"/>
        </w:rPr>
        <w:t>根据竞争性谈判文件、我方的响应文件及有关澄清承诺书的要求按第六章“</w:t>
      </w:r>
      <w:r>
        <w:rPr>
          <w:rFonts w:hint="eastAsia" w:ascii="宋体" w:hAnsi="宋体"/>
          <w:color w:val="auto"/>
          <w:sz w:val="24"/>
          <w:highlight w:val="none"/>
          <w:lang w:eastAsia="zh-CN"/>
        </w:rPr>
        <w:t>合同主要条款格式</w:t>
      </w:r>
      <w:r>
        <w:rPr>
          <w:rFonts w:hint="eastAsia" w:ascii="宋体" w:hAnsi="宋体"/>
          <w:color w:val="auto"/>
          <w:sz w:val="24"/>
          <w:highlight w:val="none"/>
        </w:rPr>
        <w:t>”与采购人订立书面合同，并按照合同约定</w:t>
      </w:r>
      <w:r>
        <w:rPr>
          <w:rFonts w:hint="eastAsia" w:ascii="宋体" w:hAnsi="Courier New"/>
          <w:color w:val="auto"/>
          <w:sz w:val="24"/>
          <w:highlight w:val="none"/>
        </w:rPr>
        <w:t>承担完成合同的责任和义务。</w:t>
      </w:r>
    </w:p>
    <w:p w14:paraId="46437723">
      <w:pPr>
        <w:spacing w:line="440" w:lineRule="exact"/>
        <w:ind w:firstLine="480" w:firstLineChars="200"/>
        <w:rPr>
          <w:rFonts w:ascii="宋体" w:hAnsi="Courier New"/>
          <w:color w:val="auto"/>
          <w:sz w:val="24"/>
          <w:highlight w:val="none"/>
        </w:rPr>
      </w:pPr>
      <w:r>
        <w:rPr>
          <w:rFonts w:hint="eastAsia" w:ascii="宋体" w:hAnsi="Courier New"/>
          <w:color w:val="auto"/>
          <w:sz w:val="24"/>
          <w:highlight w:val="none"/>
        </w:rPr>
        <w:t>6、我方已详细审核竞争性谈判文件，我方知道必须放弃提出含糊不清或误解问题的权利。</w:t>
      </w:r>
    </w:p>
    <w:p w14:paraId="6A4C2551">
      <w:pPr>
        <w:spacing w:line="440" w:lineRule="exact"/>
        <w:ind w:firstLine="480" w:firstLineChars="200"/>
        <w:rPr>
          <w:rFonts w:ascii="宋体" w:hAnsi="Courier New"/>
          <w:color w:val="auto"/>
          <w:sz w:val="24"/>
          <w:highlight w:val="none"/>
        </w:rPr>
      </w:pPr>
      <w:r>
        <w:rPr>
          <w:rFonts w:hint="eastAsia" w:ascii="宋体" w:hAnsi="Courier New"/>
          <w:color w:val="auto"/>
          <w:sz w:val="24"/>
          <w:highlight w:val="none"/>
        </w:rPr>
        <w:t>7、我方承诺满足竞争性谈判采购文件第六章“</w:t>
      </w:r>
      <w:r>
        <w:rPr>
          <w:rFonts w:hint="eastAsia" w:ascii="宋体" w:hAnsi="Courier New"/>
          <w:color w:val="auto"/>
          <w:sz w:val="24"/>
          <w:highlight w:val="none"/>
          <w:lang w:eastAsia="zh-CN"/>
        </w:rPr>
        <w:t>合同主要条款格式</w:t>
      </w:r>
      <w:r>
        <w:rPr>
          <w:rFonts w:hint="eastAsia" w:ascii="宋体" w:hAnsi="Courier New"/>
          <w:color w:val="auto"/>
          <w:sz w:val="24"/>
          <w:highlight w:val="none"/>
        </w:rPr>
        <w:t>”的条款，承担完成合同的责任和义务</w:t>
      </w:r>
    </w:p>
    <w:p w14:paraId="11C066FE">
      <w:pPr>
        <w:spacing w:line="440" w:lineRule="exact"/>
        <w:ind w:firstLine="480" w:firstLineChars="200"/>
        <w:rPr>
          <w:rFonts w:ascii="宋体" w:hAnsi="Courier New"/>
          <w:color w:val="auto"/>
          <w:sz w:val="24"/>
          <w:highlight w:val="none"/>
        </w:rPr>
      </w:pPr>
      <w:r>
        <w:rPr>
          <w:rFonts w:hint="eastAsia" w:ascii="宋体" w:hAnsi="Courier New"/>
          <w:color w:val="auto"/>
          <w:sz w:val="24"/>
          <w:highlight w:val="none"/>
        </w:rPr>
        <w:t>8、我方同意应贵方要求进行谈判，并按要求提供与本竞标有关的任何数据或资料，若贵方需要，我方愿意提供我方作出的一切承诺的证明材料。</w:t>
      </w:r>
    </w:p>
    <w:p w14:paraId="64A0A420">
      <w:pPr>
        <w:spacing w:line="440" w:lineRule="exact"/>
        <w:ind w:firstLine="480" w:firstLineChars="200"/>
        <w:rPr>
          <w:rFonts w:ascii="宋体" w:hAnsi="Courier New"/>
          <w:color w:val="auto"/>
          <w:sz w:val="24"/>
          <w:highlight w:val="none"/>
        </w:rPr>
      </w:pPr>
      <w:r>
        <w:rPr>
          <w:rFonts w:hint="eastAsia" w:ascii="宋体" w:hAnsi="Courier New"/>
          <w:color w:val="auto"/>
          <w:sz w:val="24"/>
          <w:highlight w:val="none"/>
        </w:rPr>
        <w:t>9、我方完全理解贵方不一定接受</w:t>
      </w:r>
      <w:r>
        <w:rPr>
          <w:rFonts w:hint="eastAsia" w:ascii="宋体" w:hAnsi="Courier New"/>
          <w:color w:val="auto"/>
          <w:sz w:val="24"/>
          <w:highlight w:val="none"/>
          <w:lang w:val="en-US" w:eastAsia="zh-CN"/>
        </w:rPr>
        <w:t>竞标</w:t>
      </w:r>
      <w:r>
        <w:rPr>
          <w:rFonts w:hint="eastAsia" w:ascii="宋体" w:hAnsi="Courier New"/>
          <w:color w:val="auto"/>
          <w:sz w:val="24"/>
          <w:highlight w:val="none"/>
        </w:rPr>
        <w:t>报价最低的竞标人为成交供应商的行为。</w:t>
      </w:r>
    </w:p>
    <w:p w14:paraId="29853786">
      <w:pPr>
        <w:spacing w:line="440" w:lineRule="exact"/>
        <w:ind w:firstLine="480" w:firstLineChars="200"/>
        <w:rPr>
          <w:rFonts w:ascii="宋体" w:hAnsi="Courier New"/>
          <w:color w:val="auto"/>
          <w:sz w:val="24"/>
          <w:highlight w:val="none"/>
        </w:rPr>
      </w:pPr>
      <w:r>
        <w:rPr>
          <w:rFonts w:hint="eastAsia" w:ascii="宋体" w:hAnsi="Courier New"/>
          <w:color w:val="auto"/>
          <w:sz w:val="24"/>
          <w:highlight w:val="none"/>
        </w:rPr>
        <w:t>10、我方将严格遵守《中华人民共和国政府采购法》第七十七条的规定，即供应商有下列情形之一的，处以采购金额千分之五以上千分之十</w:t>
      </w:r>
      <w:r>
        <w:rPr>
          <w:rFonts w:hint="eastAsia" w:ascii="宋体" w:hAnsi="宋体"/>
          <w:color w:val="auto"/>
          <w:sz w:val="24"/>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7C425221">
      <w:pPr>
        <w:numPr>
          <w:ilvl w:val="0"/>
          <w:numId w:val="1"/>
        </w:numPr>
        <w:spacing w:line="440" w:lineRule="exact"/>
        <w:rPr>
          <w:rFonts w:hint="eastAsia" w:ascii="宋体" w:hAnsi="宋体"/>
          <w:color w:val="auto"/>
          <w:sz w:val="24"/>
          <w:highlight w:val="none"/>
        </w:rPr>
      </w:pPr>
      <w:r>
        <w:rPr>
          <w:rFonts w:hint="eastAsia" w:ascii="宋体" w:hAnsi="宋体"/>
          <w:color w:val="auto"/>
          <w:sz w:val="24"/>
          <w:highlight w:val="none"/>
        </w:rPr>
        <w:t>提供虚假材料谋取中标、成交的；</w:t>
      </w:r>
    </w:p>
    <w:p w14:paraId="4AF24EE4">
      <w:pPr>
        <w:numPr>
          <w:ilvl w:val="0"/>
          <w:numId w:val="1"/>
        </w:numPr>
        <w:spacing w:line="440" w:lineRule="exact"/>
        <w:rPr>
          <w:rFonts w:hint="eastAsia" w:ascii="宋体" w:hAnsi="宋体"/>
          <w:color w:val="auto"/>
          <w:sz w:val="24"/>
          <w:highlight w:val="none"/>
        </w:rPr>
      </w:pPr>
      <w:r>
        <w:rPr>
          <w:rFonts w:hint="eastAsia" w:ascii="宋体" w:hAnsi="宋体"/>
          <w:color w:val="auto"/>
          <w:sz w:val="24"/>
          <w:highlight w:val="none"/>
        </w:rPr>
        <w:t>采取不正当手段诋毁、排挤其他供应商的；</w:t>
      </w:r>
    </w:p>
    <w:p w14:paraId="4A07BD1B">
      <w:pPr>
        <w:numPr>
          <w:ilvl w:val="0"/>
          <w:numId w:val="1"/>
        </w:numPr>
        <w:spacing w:line="440" w:lineRule="exact"/>
        <w:rPr>
          <w:rFonts w:ascii="宋体" w:hAnsi="Courier New"/>
          <w:color w:val="auto"/>
          <w:sz w:val="24"/>
          <w:highlight w:val="none"/>
        </w:rPr>
      </w:pPr>
      <w:r>
        <w:rPr>
          <w:rFonts w:hint="eastAsia" w:ascii="宋体" w:hAnsi="宋体"/>
          <w:color w:val="auto"/>
          <w:sz w:val="24"/>
          <w:highlight w:val="none"/>
        </w:rPr>
        <w:t>与采购人、其他供应商或者采购代理机构恶意串通的；</w:t>
      </w:r>
    </w:p>
    <w:p w14:paraId="31044893">
      <w:pPr>
        <w:numPr>
          <w:ilvl w:val="0"/>
          <w:numId w:val="1"/>
        </w:numPr>
        <w:spacing w:line="440" w:lineRule="exact"/>
        <w:rPr>
          <w:rFonts w:ascii="宋体" w:hAnsi="Courier New"/>
          <w:color w:val="auto"/>
          <w:sz w:val="24"/>
          <w:highlight w:val="none"/>
        </w:rPr>
      </w:pPr>
      <w:r>
        <w:rPr>
          <w:rFonts w:hint="eastAsia" w:ascii="宋体" w:hAnsi="宋体"/>
          <w:color w:val="auto"/>
          <w:sz w:val="24"/>
          <w:highlight w:val="none"/>
        </w:rPr>
        <w:t>向采购人、采购代理机构行贿或者提供其他不正当利益的；</w:t>
      </w:r>
    </w:p>
    <w:p w14:paraId="2A6C5D90">
      <w:pPr>
        <w:numPr>
          <w:ilvl w:val="0"/>
          <w:numId w:val="1"/>
        </w:numPr>
        <w:spacing w:line="440" w:lineRule="exact"/>
        <w:rPr>
          <w:rFonts w:ascii="宋体" w:hAnsi="Courier New"/>
          <w:color w:val="auto"/>
          <w:sz w:val="24"/>
          <w:highlight w:val="none"/>
        </w:rPr>
      </w:pPr>
      <w:r>
        <w:rPr>
          <w:rFonts w:hint="eastAsia" w:ascii="宋体" w:hAnsi="宋体"/>
          <w:color w:val="auto"/>
          <w:sz w:val="24"/>
          <w:highlight w:val="none"/>
        </w:rPr>
        <w:t>在招标采购过程中与采购人进行协商谈判的；</w:t>
      </w:r>
    </w:p>
    <w:p w14:paraId="6DAB530E">
      <w:pPr>
        <w:numPr>
          <w:ilvl w:val="0"/>
          <w:numId w:val="1"/>
        </w:numPr>
        <w:spacing w:line="440" w:lineRule="exact"/>
        <w:rPr>
          <w:rFonts w:ascii="宋体" w:hAnsi="Courier New"/>
          <w:color w:val="auto"/>
          <w:sz w:val="24"/>
          <w:highlight w:val="none"/>
        </w:rPr>
      </w:pPr>
      <w:r>
        <w:rPr>
          <w:rFonts w:hint="eastAsia" w:ascii="宋体" w:hAnsi="宋体"/>
          <w:color w:val="auto"/>
          <w:sz w:val="24"/>
          <w:highlight w:val="none"/>
        </w:rPr>
        <w:t>拒绝有关部门监督检查或提供虚假情况的。</w:t>
      </w:r>
    </w:p>
    <w:p w14:paraId="2D323140">
      <w:pPr>
        <w:spacing w:line="440" w:lineRule="exact"/>
        <w:ind w:left="420"/>
        <w:rPr>
          <w:rFonts w:ascii="宋体" w:hAnsi="Courier New"/>
          <w:color w:val="auto"/>
          <w:sz w:val="24"/>
          <w:highlight w:val="none"/>
        </w:rPr>
      </w:pPr>
      <w:r>
        <w:rPr>
          <w:rFonts w:hint="eastAsia" w:ascii="宋体" w:hAnsi="Courier New"/>
          <w:color w:val="auto"/>
          <w:sz w:val="24"/>
          <w:highlight w:val="none"/>
        </w:rPr>
        <w:t>11、我方及由本人担任法定代表人的其他机构最近三年内被处罚的违法行为有：</w:t>
      </w:r>
    </w:p>
    <w:p w14:paraId="5E08F9E3">
      <w:pPr>
        <w:spacing w:line="360" w:lineRule="auto"/>
        <w:ind w:firstLine="420"/>
        <w:rPr>
          <w:rFonts w:ascii="宋体" w:hAnsi="Courier New"/>
          <w:color w:val="auto"/>
          <w:sz w:val="24"/>
          <w:highlight w:val="none"/>
        </w:rPr>
      </w:pPr>
      <w:r>
        <w:rPr>
          <w:rFonts w:hint="eastAsia" w:ascii="宋体" w:hAnsi="Courier New"/>
          <w:color w:val="auto"/>
          <w:sz w:val="24"/>
          <w:highlight w:val="none"/>
        </w:rPr>
        <w:t>12、以上事项如有虚假或隐瞒，我方愿意承担一切后果，并不再寻求任何旨在减轻或免除法律责任的辩解。</w:t>
      </w:r>
    </w:p>
    <w:p w14:paraId="75BCA1D4">
      <w:pPr>
        <w:spacing w:line="360" w:lineRule="auto"/>
        <w:ind w:firstLine="420"/>
        <w:rPr>
          <w:rFonts w:ascii="宋体" w:hAnsi="Courier New"/>
          <w:color w:val="auto"/>
          <w:sz w:val="24"/>
          <w:highlight w:val="none"/>
        </w:rPr>
      </w:pPr>
      <w:r>
        <w:rPr>
          <w:rFonts w:hint="eastAsia" w:ascii="宋体" w:hAnsi="Courier New"/>
          <w:color w:val="auto"/>
          <w:sz w:val="24"/>
          <w:highlight w:val="none"/>
        </w:rPr>
        <w:t>13、与本竞标有关的一切正式往来信函请寄：</w:t>
      </w:r>
    </w:p>
    <w:p w14:paraId="7EB8AA03">
      <w:pPr>
        <w:spacing w:line="360" w:lineRule="auto"/>
        <w:ind w:firstLine="420"/>
        <w:rPr>
          <w:rFonts w:ascii="宋体" w:hAnsi="Courier New"/>
          <w:color w:val="auto"/>
          <w:sz w:val="24"/>
          <w:highlight w:val="none"/>
        </w:rPr>
      </w:pPr>
      <w:r>
        <w:rPr>
          <w:rFonts w:hint="eastAsia" w:ascii="宋体" w:hAnsi="Courier New"/>
          <w:color w:val="auto"/>
          <w:sz w:val="24"/>
          <w:highlight w:val="none"/>
        </w:rPr>
        <w:t>地址：</w:t>
      </w:r>
      <w:r>
        <w:rPr>
          <w:rFonts w:hint="eastAsia" w:ascii="宋体" w:hAnsi="Courier New"/>
          <w:color w:val="auto"/>
          <w:sz w:val="24"/>
          <w:highlight w:val="none"/>
          <w:u w:val="single"/>
        </w:rPr>
        <w:t>　　　　　　　　　　　　　　　　　　　　　　　　　　　　</w:t>
      </w:r>
    </w:p>
    <w:p w14:paraId="6261FC0E">
      <w:pPr>
        <w:spacing w:line="360" w:lineRule="auto"/>
        <w:ind w:firstLine="420"/>
        <w:rPr>
          <w:rFonts w:ascii="宋体" w:hAnsi="Courier New"/>
          <w:color w:val="auto"/>
          <w:sz w:val="24"/>
          <w:highlight w:val="none"/>
          <w:u w:val="single"/>
        </w:rPr>
      </w:pPr>
      <w:r>
        <w:rPr>
          <w:rFonts w:hint="eastAsia" w:ascii="宋体" w:hAnsi="Courier New"/>
          <w:color w:val="auto"/>
          <w:sz w:val="24"/>
          <w:highlight w:val="none"/>
        </w:rPr>
        <w:t>电话：</w:t>
      </w:r>
      <w:r>
        <w:rPr>
          <w:rFonts w:hint="eastAsia" w:ascii="宋体" w:hAnsi="Courier New"/>
          <w:color w:val="auto"/>
          <w:sz w:val="24"/>
          <w:highlight w:val="none"/>
          <w:u w:val="single"/>
        </w:rPr>
        <w:t>　　　　　　　　　　　　　　　　　　　　　　　　　　　　</w:t>
      </w:r>
    </w:p>
    <w:p w14:paraId="270073B6">
      <w:pPr>
        <w:spacing w:line="360" w:lineRule="auto"/>
        <w:ind w:firstLine="420"/>
        <w:rPr>
          <w:rFonts w:ascii="宋体" w:hAnsi="Courier New"/>
          <w:color w:val="auto"/>
          <w:sz w:val="24"/>
          <w:highlight w:val="none"/>
        </w:rPr>
      </w:pPr>
      <w:r>
        <w:rPr>
          <w:rFonts w:hint="eastAsia" w:ascii="宋体" w:hAnsi="Courier New"/>
          <w:color w:val="auto"/>
          <w:sz w:val="24"/>
          <w:highlight w:val="none"/>
        </w:rPr>
        <w:t>传真：</w:t>
      </w:r>
      <w:r>
        <w:rPr>
          <w:rFonts w:hint="eastAsia" w:ascii="宋体" w:hAnsi="Courier New"/>
          <w:color w:val="auto"/>
          <w:sz w:val="24"/>
          <w:highlight w:val="none"/>
          <w:u w:val="single"/>
        </w:rPr>
        <w:t>　　　　　　　　　　　　　　　　　　　　　　　　　　　　</w:t>
      </w:r>
    </w:p>
    <w:p w14:paraId="57C9589C">
      <w:pPr>
        <w:spacing w:line="360" w:lineRule="auto"/>
        <w:ind w:firstLine="420"/>
        <w:rPr>
          <w:rFonts w:ascii="宋体" w:hAnsi="Courier New"/>
          <w:color w:val="auto"/>
          <w:sz w:val="24"/>
          <w:highlight w:val="none"/>
          <w:u w:val="single"/>
        </w:rPr>
      </w:pPr>
      <w:r>
        <w:rPr>
          <w:rFonts w:hint="eastAsia" w:ascii="宋体" w:hAnsi="Courier New"/>
          <w:color w:val="auto"/>
          <w:sz w:val="24"/>
          <w:highlight w:val="none"/>
        </w:rPr>
        <w:t>邮政编码：</w:t>
      </w:r>
      <w:r>
        <w:rPr>
          <w:rFonts w:hint="eastAsia" w:ascii="宋体" w:hAnsi="Courier New"/>
          <w:color w:val="auto"/>
          <w:sz w:val="24"/>
          <w:highlight w:val="none"/>
          <w:u w:val="single"/>
        </w:rPr>
        <w:t>　　　　　　　　　　　　　　　　　　　　　　　　　　</w:t>
      </w:r>
    </w:p>
    <w:p w14:paraId="574D9620">
      <w:pPr>
        <w:spacing w:line="360" w:lineRule="auto"/>
        <w:ind w:firstLine="420"/>
        <w:rPr>
          <w:rFonts w:ascii="宋体" w:hAnsi="Courier New"/>
          <w:color w:val="auto"/>
          <w:sz w:val="24"/>
          <w:highlight w:val="none"/>
          <w:u w:val="single"/>
        </w:rPr>
      </w:pPr>
      <w:r>
        <w:rPr>
          <w:rFonts w:hint="eastAsia" w:ascii="宋体" w:hAnsi="Courier New"/>
          <w:color w:val="auto"/>
          <w:sz w:val="24"/>
          <w:highlight w:val="none"/>
        </w:rPr>
        <w:t>开户名称：</w:t>
      </w:r>
      <w:r>
        <w:rPr>
          <w:rFonts w:hint="eastAsia" w:ascii="宋体" w:hAnsi="Courier New"/>
          <w:color w:val="auto"/>
          <w:sz w:val="24"/>
          <w:highlight w:val="none"/>
          <w:u w:val="single"/>
        </w:rPr>
        <w:t>　　　　　　　　　　　　　　　　　　　　　　　　　　</w:t>
      </w:r>
    </w:p>
    <w:p w14:paraId="4F06BE13">
      <w:pPr>
        <w:spacing w:line="360" w:lineRule="auto"/>
        <w:ind w:firstLine="420"/>
        <w:rPr>
          <w:rFonts w:ascii="宋体" w:hAnsi="Courier New"/>
          <w:color w:val="auto"/>
          <w:sz w:val="24"/>
          <w:highlight w:val="none"/>
          <w:u w:val="single"/>
        </w:rPr>
      </w:pPr>
      <w:r>
        <w:rPr>
          <w:rFonts w:hint="eastAsia" w:ascii="宋体" w:hAnsi="Courier New"/>
          <w:color w:val="auto"/>
          <w:sz w:val="24"/>
          <w:highlight w:val="none"/>
        </w:rPr>
        <w:t>开户银行：</w:t>
      </w:r>
      <w:r>
        <w:rPr>
          <w:rFonts w:hint="eastAsia" w:ascii="宋体" w:hAnsi="Courier New"/>
          <w:color w:val="auto"/>
          <w:sz w:val="24"/>
          <w:highlight w:val="none"/>
          <w:u w:val="single"/>
        </w:rPr>
        <w:t>　　　　　　　　　　　　　　　　　　　　　　　　　　</w:t>
      </w:r>
    </w:p>
    <w:p w14:paraId="7F56ECBB">
      <w:pPr>
        <w:spacing w:line="360" w:lineRule="auto"/>
        <w:ind w:firstLine="420"/>
        <w:rPr>
          <w:rFonts w:ascii="宋体" w:hAnsi="Courier New"/>
          <w:color w:val="auto"/>
          <w:sz w:val="24"/>
          <w:highlight w:val="none"/>
          <w:u w:val="single"/>
        </w:rPr>
      </w:pPr>
      <w:r>
        <w:rPr>
          <w:rFonts w:hint="eastAsia" w:ascii="宋体" w:hAnsi="Courier New"/>
          <w:color w:val="auto"/>
          <w:sz w:val="24"/>
          <w:highlight w:val="none"/>
        </w:rPr>
        <w:t>银行账号：</w:t>
      </w:r>
      <w:r>
        <w:rPr>
          <w:rFonts w:hint="eastAsia" w:ascii="宋体" w:hAnsi="Courier New"/>
          <w:color w:val="auto"/>
          <w:sz w:val="24"/>
          <w:highlight w:val="none"/>
          <w:u w:val="single"/>
        </w:rPr>
        <w:t>　　　　　　　　　　　　　　　　　　　　　　　　　　</w:t>
      </w:r>
    </w:p>
    <w:p w14:paraId="710D107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特此承诺。</w:t>
      </w:r>
    </w:p>
    <w:p w14:paraId="1FC14F1D">
      <w:pPr>
        <w:spacing w:line="360" w:lineRule="auto"/>
        <w:ind w:firstLine="2640" w:firstLineChars="1100"/>
        <w:contextualSpacing/>
        <w:rPr>
          <w:rFonts w:hint="eastAsia" w:ascii="宋体" w:hAnsi="宋体" w:cs="宋体"/>
          <w:color w:val="auto"/>
          <w:sz w:val="24"/>
          <w:highlight w:val="none"/>
        </w:rPr>
      </w:pPr>
    </w:p>
    <w:p w14:paraId="406768FC">
      <w:pPr>
        <w:spacing w:line="360" w:lineRule="auto"/>
        <w:ind w:firstLine="5520" w:firstLineChars="2300"/>
        <w:contextualSpacing/>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 xml:space="preserve">：    </w:t>
      </w:r>
    </w:p>
    <w:p w14:paraId="5C28420E">
      <w:pPr>
        <w:snapToGrid w:val="0"/>
        <w:spacing w:line="360" w:lineRule="auto"/>
        <w:ind w:firstLine="6360" w:firstLineChars="2650"/>
        <w:rPr>
          <w:rFonts w:hint="eastAsia" w:ascii="仿宋_GB2312" w:hAnsi="仿宋" w:eastAsia="仿宋_GB2312" w:cs="仿宋_GB2312"/>
          <w:color w:val="auto"/>
          <w:kern w:val="0"/>
          <w:sz w:val="24"/>
          <w:highlight w:val="none"/>
          <w:lang w:val="zh-CN"/>
        </w:rPr>
        <w:sectPr>
          <w:footerReference r:id="rId9" w:type="default"/>
          <w:pgSz w:w="11906" w:h="16838"/>
          <w:pgMar w:top="1134" w:right="1134" w:bottom="1134" w:left="1134" w:header="720" w:footer="720" w:gutter="0"/>
          <w:cols w:space="720" w:num="1"/>
          <w:docGrid w:type="lines" w:linePitch="331" w:charSpace="0"/>
        </w:sectPr>
      </w:pPr>
      <w:r>
        <w:rPr>
          <w:rFonts w:hint="eastAsia" w:ascii="宋体" w:hAnsi="宋体" w:cs="宋体"/>
          <w:color w:val="auto"/>
          <w:sz w:val="24"/>
          <w:highlight w:val="none"/>
        </w:rPr>
        <w:t>日期：   年   月   日</w:t>
      </w:r>
    </w:p>
    <w:p w14:paraId="70916F6B">
      <w:pPr>
        <w:spacing w:line="520" w:lineRule="exact"/>
        <w:jc w:val="center"/>
        <w:rPr>
          <w:rFonts w:hint="eastAsia" w:ascii="方正小标宋简体" w:hAnsi="方正小标宋简体" w:eastAsia="方正小标宋简体" w:cs="方正小标宋简体"/>
          <w:bCs/>
          <w:color w:val="auto"/>
          <w:sz w:val="32"/>
          <w:szCs w:val="32"/>
          <w:highlight w:val="none"/>
        </w:rPr>
      </w:pPr>
      <w:r>
        <w:rPr>
          <w:rFonts w:hint="eastAsia" w:ascii="宋体" w:hAnsi="宋体" w:cs="方正小标宋简体"/>
          <w:b/>
          <w:color w:val="auto"/>
          <w:sz w:val="36"/>
          <w:szCs w:val="36"/>
          <w:highlight w:val="none"/>
        </w:rPr>
        <w:t>竞标报价表</w:t>
      </w:r>
    </w:p>
    <w:p w14:paraId="3A9D894B">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555DC8A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        项目编号：</w:t>
      </w:r>
    </w:p>
    <w:p w14:paraId="7623DE23">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分标（如有则填写，无分标时填写“无”或者留空）：</w:t>
      </w:r>
    </w:p>
    <w:p w14:paraId="599F54E4">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p>
    <w:p w14:paraId="4DFCEF1B">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27"/>
        <w:tblpPr w:leftFromText="180" w:rightFromText="180" w:vertAnchor="text" w:horzAnchor="page" w:tblpX="1116"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1D3D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5" w:hRule="atLeast"/>
        </w:trPr>
        <w:tc>
          <w:tcPr>
            <w:tcW w:w="595" w:type="dxa"/>
            <w:tcBorders>
              <w:top w:val="single" w:color="auto" w:sz="4" w:space="0"/>
              <w:left w:val="single" w:color="auto" w:sz="4" w:space="0"/>
              <w:bottom w:val="single" w:color="auto" w:sz="4" w:space="0"/>
              <w:right w:val="single" w:color="auto" w:sz="4" w:space="0"/>
            </w:tcBorders>
            <w:vAlign w:val="center"/>
          </w:tcPr>
          <w:p w14:paraId="11EC661E">
            <w:pPr>
              <w:spacing w:line="400" w:lineRule="exact"/>
              <w:rPr>
                <w:rFonts w:hint="eastAsia" w:ascii="宋体" w:hAnsi="宋体" w:cs="宋体"/>
                <w:color w:val="auto"/>
                <w:sz w:val="24"/>
                <w:highlight w:val="none"/>
              </w:rPr>
            </w:pPr>
            <w:r>
              <w:rPr>
                <w:rFonts w:hint="eastAsia" w:ascii="宋体" w:hAnsi="宋体" w:cs="宋体"/>
                <w:color w:val="auto"/>
                <w:sz w:val="24"/>
                <w:highlight w:val="none"/>
                <w:lang w:bidi="ar"/>
              </w:rPr>
              <w:t>序号</w:t>
            </w:r>
          </w:p>
        </w:tc>
        <w:tc>
          <w:tcPr>
            <w:tcW w:w="1383" w:type="dxa"/>
            <w:tcBorders>
              <w:top w:val="single" w:color="auto" w:sz="4" w:space="0"/>
              <w:left w:val="single" w:color="auto" w:sz="4" w:space="0"/>
              <w:bottom w:val="single" w:color="auto" w:sz="4" w:space="0"/>
              <w:right w:val="single" w:color="auto" w:sz="4" w:space="0"/>
            </w:tcBorders>
            <w:vAlign w:val="center"/>
          </w:tcPr>
          <w:p w14:paraId="1CEC9D00">
            <w:pPr>
              <w:spacing w:line="400" w:lineRule="exact"/>
              <w:rPr>
                <w:rFonts w:hint="eastAsia" w:ascii="宋体" w:hAnsi="宋体" w:cs="宋体"/>
                <w:color w:val="auto"/>
                <w:sz w:val="24"/>
                <w:highlight w:val="none"/>
              </w:rPr>
            </w:pPr>
            <w:r>
              <w:rPr>
                <w:rFonts w:hint="eastAsia" w:ascii="宋体" w:hAnsi="宋体" w:cs="宋体"/>
                <w:color w:val="auto"/>
                <w:sz w:val="24"/>
                <w:highlight w:val="none"/>
                <w:lang w:bidi="ar"/>
              </w:rPr>
              <w:t>标的名称</w:t>
            </w:r>
          </w:p>
        </w:tc>
        <w:tc>
          <w:tcPr>
            <w:tcW w:w="1927" w:type="dxa"/>
            <w:tcBorders>
              <w:top w:val="single" w:color="auto" w:sz="4" w:space="0"/>
              <w:left w:val="single" w:color="auto" w:sz="4" w:space="0"/>
              <w:bottom w:val="single" w:color="auto" w:sz="4" w:space="0"/>
              <w:right w:val="single" w:color="auto" w:sz="4" w:space="0"/>
            </w:tcBorders>
            <w:vAlign w:val="center"/>
          </w:tcPr>
          <w:p w14:paraId="39F5AE2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lang w:bidi="ar"/>
              </w:rPr>
              <w:t>规格型号</w:t>
            </w:r>
          </w:p>
        </w:tc>
        <w:tc>
          <w:tcPr>
            <w:tcW w:w="1216" w:type="dxa"/>
            <w:tcBorders>
              <w:top w:val="single" w:color="auto" w:sz="4" w:space="0"/>
              <w:left w:val="single" w:color="auto" w:sz="4" w:space="0"/>
              <w:bottom w:val="single" w:color="auto" w:sz="4" w:space="0"/>
              <w:right w:val="single" w:color="auto" w:sz="4" w:space="0"/>
            </w:tcBorders>
            <w:vAlign w:val="center"/>
          </w:tcPr>
          <w:p w14:paraId="1C4A042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lang w:bidi="ar"/>
              </w:rPr>
              <w:t>品牌</w:t>
            </w:r>
          </w:p>
        </w:tc>
        <w:tc>
          <w:tcPr>
            <w:tcW w:w="1080" w:type="dxa"/>
            <w:tcBorders>
              <w:top w:val="single" w:color="auto" w:sz="4" w:space="0"/>
              <w:left w:val="single" w:color="auto" w:sz="4" w:space="0"/>
              <w:bottom w:val="single" w:color="auto" w:sz="4" w:space="0"/>
              <w:right w:val="single" w:color="auto" w:sz="4" w:space="0"/>
            </w:tcBorders>
            <w:vAlign w:val="center"/>
          </w:tcPr>
          <w:p w14:paraId="62E90FB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lang w:bidi="ar"/>
              </w:rPr>
              <w:t>数量①</w:t>
            </w:r>
          </w:p>
        </w:tc>
        <w:tc>
          <w:tcPr>
            <w:tcW w:w="954" w:type="dxa"/>
            <w:tcBorders>
              <w:top w:val="single" w:color="auto" w:sz="4" w:space="0"/>
              <w:left w:val="single" w:color="auto" w:sz="4" w:space="0"/>
              <w:bottom w:val="single" w:color="auto" w:sz="4" w:space="0"/>
              <w:right w:val="single" w:color="auto" w:sz="4" w:space="0"/>
            </w:tcBorders>
            <w:vAlign w:val="center"/>
          </w:tcPr>
          <w:p w14:paraId="5D5E230E">
            <w:pPr>
              <w:spacing w:line="400" w:lineRule="exact"/>
              <w:rPr>
                <w:rFonts w:hint="eastAsia" w:ascii="宋体" w:hAnsi="宋体" w:cs="宋体"/>
                <w:color w:val="auto"/>
                <w:sz w:val="24"/>
                <w:highlight w:val="none"/>
              </w:rPr>
            </w:pPr>
            <w:r>
              <w:rPr>
                <w:rFonts w:hint="eastAsia" w:ascii="宋体" w:hAnsi="宋体" w:cs="宋体"/>
                <w:color w:val="auto"/>
                <w:sz w:val="24"/>
                <w:highlight w:val="none"/>
                <w:lang w:bidi="ar"/>
              </w:rPr>
              <w:t>单价(元)②</w:t>
            </w:r>
          </w:p>
        </w:tc>
        <w:tc>
          <w:tcPr>
            <w:tcW w:w="1570" w:type="dxa"/>
            <w:tcBorders>
              <w:top w:val="single" w:color="auto" w:sz="4" w:space="0"/>
              <w:left w:val="single" w:color="auto" w:sz="4" w:space="0"/>
              <w:bottom w:val="single" w:color="auto" w:sz="4" w:space="0"/>
              <w:right w:val="single" w:color="auto" w:sz="4" w:space="0"/>
            </w:tcBorders>
            <w:vAlign w:val="center"/>
          </w:tcPr>
          <w:p w14:paraId="7E7597F3">
            <w:pPr>
              <w:spacing w:line="400" w:lineRule="exact"/>
              <w:rPr>
                <w:rFonts w:hint="eastAsia" w:ascii="宋体" w:hAnsi="宋体" w:cs="宋体"/>
                <w:color w:val="auto"/>
                <w:sz w:val="24"/>
                <w:highlight w:val="none"/>
              </w:rPr>
            </w:pPr>
            <w:r>
              <w:rPr>
                <w:rFonts w:hint="eastAsia" w:ascii="宋体" w:hAnsi="宋体" w:cs="宋体"/>
                <w:color w:val="auto"/>
                <w:sz w:val="24"/>
                <w:highlight w:val="none"/>
                <w:lang w:bidi="ar"/>
              </w:rPr>
              <w:t>单项合价（元）</w:t>
            </w:r>
          </w:p>
          <w:p w14:paraId="6E6F43A8">
            <w:pPr>
              <w:spacing w:line="400" w:lineRule="exact"/>
              <w:rPr>
                <w:rFonts w:hint="eastAsia" w:ascii="宋体" w:hAnsi="宋体" w:cs="宋体"/>
                <w:color w:val="auto"/>
                <w:sz w:val="24"/>
                <w:highlight w:val="none"/>
              </w:rPr>
            </w:pPr>
            <w:r>
              <w:rPr>
                <w:rFonts w:hint="eastAsia" w:ascii="宋体" w:hAnsi="宋体" w:cs="宋体"/>
                <w:color w:val="auto"/>
                <w:sz w:val="24"/>
                <w:highlight w:val="none"/>
                <w:lang w:bidi="ar"/>
              </w:rPr>
              <w:t>③=①×②</w:t>
            </w:r>
          </w:p>
        </w:tc>
        <w:tc>
          <w:tcPr>
            <w:tcW w:w="1085" w:type="dxa"/>
            <w:tcBorders>
              <w:top w:val="single" w:color="auto" w:sz="4" w:space="0"/>
              <w:left w:val="single" w:color="auto" w:sz="4" w:space="0"/>
              <w:bottom w:val="single" w:color="auto" w:sz="4" w:space="0"/>
              <w:right w:val="single" w:color="auto" w:sz="4" w:space="0"/>
            </w:tcBorders>
            <w:vAlign w:val="center"/>
          </w:tcPr>
          <w:p w14:paraId="2F570B4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lang w:bidi="ar"/>
              </w:rPr>
              <w:t>备注</w:t>
            </w:r>
          </w:p>
        </w:tc>
      </w:tr>
      <w:tr w14:paraId="3B4B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vAlign w:val="center"/>
          </w:tcPr>
          <w:p w14:paraId="58955A95">
            <w:pPr>
              <w:spacing w:line="400" w:lineRule="exact"/>
              <w:rPr>
                <w:rFonts w:hint="eastAsia" w:ascii="宋体" w:hAnsi="宋体" w:cs="宋体"/>
                <w:color w:val="auto"/>
                <w:sz w:val="24"/>
                <w:highlight w:val="none"/>
              </w:rPr>
            </w:pPr>
            <w:r>
              <w:rPr>
                <w:rFonts w:hint="eastAsia" w:ascii="宋体" w:hAnsi="宋体" w:cs="宋体"/>
                <w:color w:val="auto"/>
                <w:sz w:val="24"/>
                <w:highlight w:val="none"/>
                <w:lang w:bidi="ar"/>
              </w:rPr>
              <w:t>1</w:t>
            </w:r>
          </w:p>
        </w:tc>
        <w:tc>
          <w:tcPr>
            <w:tcW w:w="1383" w:type="dxa"/>
            <w:tcBorders>
              <w:top w:val="single" w:color="auto" w:sz="4" w:space="0"/>
              <w:left w:val="single" w:color="auto" w:sz="4" w:space="0"/>
              <w:bottom w:val="single" w:color="auto" w:sz="4" w:space="0"/>
              <w:right w:val="single" w:color="auto" w:sz="4" w:space="0"/>
            </w:tcBorders>
            <w:vAlign w:val="center"/>
          </w:tcPr>
          <w:p w14:paraId="51B2804C">
            <w:pPr>
              <w:spacing w:line="400" w:lineRule="exact"/>
              <w:rPr>
                <w:rFonts w:hint="eastAsia" w:ascii="宋体" w:hAnsi="宋体" w:cs="宋体"/>
                <w:color w:val="auto"/>
                <w:sz w:val="24"/>
                <w:highlight w:val="none"/>
              </w:rPr>
            </w:pPr>
          </w:p>
        </w:tc>
        <w:tc>
          <w:tcPr>
            <w:tcW w:w="1927" w:type="dxa"/>
            <w:tcBorders>
              <w:top w:val="single" w:color="auto" w:sz="4" w:space="0"/>
              <w:left w:val="single" w:color="auto" w:sz="4" w:space="0"/>
              <w:bottom w:val="single" w:color="auto" w:sz="4" w:space="0"/>
              <w:right w:val="single" w:color="auto" w:sz="4" w:space="0"/>
            </w:tcBorders>
            <w:vAlign w:val="center"/>
          </w:tcPr>
          <w:p w14:paraId="635C2EF6">
            <w:pPr>
              <w:spacing w:line="400" w:lineRule="exact"/>
              <w:rPr>
                <w:rFonts w:hint="eastAsia" w:ascii="宋体" w:hAnsi="宋体" w:cs="宋体"/>
                <w:color w:val="auto"/>
                <w:sz w:val="24"/>
                <w:highlight w:val="none"/>
              </w:rPr>
            </w:pPr>
          </w:p>
        </w:tc>
        <w:tc>
          <w:tcPr>
            <w:tcW w:w="1216" w:type="dxa"/>
            <w:tcBorders>
              <w:top w:val="single" w:color="auto" w:sz="4" w:space="0"/>
              <w:left w:val="single" w:color="auto" w:sz="4" w:space="0"/>
              <w:bottom w:val="single" w:color="auto" w:sz="4" w:space="0"/>
              <w:right w:val="single" w:color="auto" w:sz="4" w:space="0"/>
            </w:tcBorders>
            <w:vAlign w:val="center"/>
          </w:tcPr>
          <w:p w14:paraId="06BBCBD4">
            <w:pPr>
              <w:spacing w:line="400" w:lineRule="exact"/>
              <w:rPr>
                <w:rFonts w:hint="eastAsia"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3A2B28E">
            <w:pPr>
              <w:spacing w:line="400" w:lineRule="exact"/>
              <w:rPr>
                <w:rFonts w:hint="eastAsia" w:ascii="宋体" w:hAnsi="宋体" w:cs="宋体"/>
                <w:color w:val="auto"/>
                <w:sz w:val="24"/>
                <w:highlight w:val="none"/>
              </w:rPr>
            </w:pPr>
          </w:p>
        </w:tc>
        <w:tc>
          <w:tcPr>
            <w:tcW w:w="954" w:type="dxa"/>
            <w:tcBorders>
              <w:top w:val="single" w:color="auto" w:sz="4" w:space="0"/>
              <w:left w:val="single" w:color="auto" w:sz="4" w:space="0"/>
              <w:bottom w:val="single" w:color="auto" w:sz="4" w:space="0"/>
              <w:right w:val="single" w:color="auto" w:sz="4" w:space="0"/>
            </w:tcBorders>
            <w:vAlign w:val="center"/>
          </w:tcPr>
          <w:p w14:paraId="04ABAA1E">
            <w:pPr>
              <w:spacing w:line="400" w:lineRule="exact"/>
              <w:rPr>
                <w:rFonts w:hint="eastAsia"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534426DE">
            <w:pPr>
              <w:spacing w:line="400" w:lineRule="exact"/>
              <w:rPr>
                <w:rFonts w:hint="eastAsia" w:ascii="宋体" w:hAnsi="宋体" w:cs="宋体"/>
                <w:color w:val="auto"/>
                <w:sz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658093C8">
            <w:pPr>
              <w:spacing w:line="400" w:lineRule="exact"/>
              <w:rPr>
                <w:rFonts w:hint="eastAsia" w:ascii="宋体" w:hAnsi="宋体" w:cs="宋体"/>
                <w:color w:val="auto"/>
                <w:sz w:val="24"/>
                <w:highlight w:val="none"/>
              </w:rPr>
            </w:pPr>
          </w:p>
        </w:tc>
      </w:tr>
      <w:tr w14:paraId="3ECA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vAlign w:val="center"/>
          </w:tcPr>
          <w:p w14:paraId="5A5421E6">
            <w:pPr>
              <w:spacing w:line="400" w:lineRule="exact"/>
              <w:rPr>
                <w:rFonts w:hint="eastAsia" w:ascii="宋体" w:hAnsi="宋体" w:cs="宋体"/>
                <w:color w:val="auto"/>
                <w:sz w:val="24"/>
                <w:highlight w:val="none"/>
              </w:rPr>
            </w:pPr>
            <w:r>
              <w:rPr>
                <w:rFonts w:hint="eastAsia" w:ascii="宋体" w:hAnsi="宋体" w:cs="宋体"/>
                <w:color w:val="auto"/>
                <w:sz w:val="24"/>
                <w:highlight w:val="none"/>
                <w:lang w:bidi="ar"/>
              </w:rPr>
              <w:t>2</w:t>
            </w:r>
          </w:p>
        </w:tc>
        <w:tc>
          <w:tcPr>
            <w:tcW w:w="1383" w:type="dxa"/>
            <w:tcBorders>
              <w:top w:val="single" w:color="auto" w:sz="4" w:space="0"/>
              <w:left w:val="single" w:color="auto" w:sz="4" w:space="0"/>
              <w:bottom w:val="single" w:color="auto" w:sz="4" w:space="0"/>
              <w:right w:val="single" w:color="auto" w:sz="4" w:space="0"/>
            </w:tcBorders>
            <w:vAlign w:val="center"/>
          </w:tcPr>
          <w:p w14:paraId="741619B3">
            <w:pPr>
              <w:spacing w:line="400" w:lineRule="exact"/>
              <w:rPr>
                <w:rFonts w:hint="eastAsia" w:ascii="宋体" w:hAnsi="宋体" w:cs="宋体"/>
                <w:color w:val="auto"/>
                <w:sz w:val="24"/>
                <w:highlight w:val="none"/>
              </w:rPr>
            </w:pPr>
          </w:p>
        </w:tc>
        <w:tc>
          <w:tcPr>
            <w:tcW w:w="1927" w:type="dxa"/>
            <w:tcBorders>
              <w:top w:val="single" w:color="auto" w:sz="4" w:space="0"/>
              <w:left w:val="single" w:color="auto" w:sz="4" w:space="0"/>
              <w:bottom w:val="single" w:color="auto" w:sz="4" w:space="0"/>
              <w:right w:val="single" w:color="auto" w:sz="4" w:space="0"/>
            </w:tcBorders>
            <w:vAlign w:val="center"/>
          </w:tcPr>
          <w:p w14:paraId="62A40D01">
            <w:pPr>
              <w:spacing w:line="400" w:lineRule="exact"/>
              <w:rPr>
                <w:rFonts w:hint="eastAsia" w:ascii="宋体" w:hAnsi="宋体" w:cs="宋体"/>
                <w:color w:val="auto"/>
                <w:sz w:val="24"/>
                <w:highlight w:val="none"/>
              </w:rPr>
            </w:pPr>
          </w:p>
        </w:tc>
        <w:tc>
          <w:tcPr>
            <w:tcW w:w="1216" w:type="dxa"/>
            <w:tcBorders>
              <w:top w:val="single" w:color="auto" w:sz="4" w:space="0"/>
              <w:left w:val="single" w:color="auto" w:sz="4" w:space="0"/>
              <w:bottom w:val="single" w:color="auto" w:sz="4" w:space="0"/>
              <w:right w:val="single" w:color="auto" w:sz="4" w:space="0"/>
            </w:tcBorders>
            <w:vAlign w:val="center"/>
          </w:tcPr>
          <w:p w14:paraId="60E7315E">
            <w:pPr>
              <w:spacing w:line="400" w:lineRule="exact"/>
              <w:rPr>
                <w:rFonts w:hint="eastAsia"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FF7EE0A">
            <w:pPr>
              <w:spacing w:line="400" w:lineRule="exact"/>
              <w:rPr>
                <w:rFonts w:hint="eastAsia" w:ascii="宋体" w:hAnsi="宋体" w:cs="宋体"/>
                <w:color w:val="auto"/>
                <w:sz w:val="24"/>
                <w:highlight w:val="none"/>
              </w:rPr>
            </w:pPr>
          </w:p>
        </w:tc>
        <w:tc>
          <w:tcPr>
            <w:tcW w:w="954" w:type="dxa"/>
            <w:tcBorders>
              <w:top w:val="single" w:color="auto" w:sz="4" w:space="0"/>
              <w:left w:val="single" w:color="auto" w:sz="4" w:space="0"/>
              <w:bottom w:val="single" w:color="auto" w:sz="4" w:space="0"/>
              <w:right w:val="single" w:color="auto" w:sz="4" w:space="0"/>
            </w:tcBorders>
            <w:vAlign w:val="center"/>
          </w:tcPr>
          <w:p w14:paraId="5999C16E">
            <w:pPr>
              <w:spacing w:line="400" w:lineRule="exact"/>
              <w:rPr>
                <w:rFonts w:hint="eastAsia"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A89D25D">
            <w:pPr>
              <w:spacing w:line="400" w:lineRule="exact"/>
              <w:rPr>
                <w:rFonts w:hint="eastAsia" w:ascii="宋体" w:hAnsi="宋体" w:cs="宋体"/>
                <w:color w:val="auto"/>
                <w:sz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14E6FF00">
            <w:pPr>
              <w:spacing w:line="400" w:lineRule="exact"/>
              <w:rPr>
                <w:rFonts w:hint="eastAsia" w:ascii="宋体" w:hAnsi="宋体" w:cs="宋体"/>
                <w:color w:val="auto"/>
                <w:sz w:val="24"/>
                <w:highlight w:val="none"/>
              </w:rPr>
            </w:pPr>
          </w:p>
        </w:tc>
      </w:tr>
      <w:tr w14:paraId="239F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vAlign w:val="center"/>
          </w:tcPr>
          <w:p w14:paraId="0CFC7F8B">
            <w:pPr>
              <w:spacing w:line="400" w:lineRule="exact"/>
              <w:rPr>
                <w:rFonts w:hint="eastAsia" w:ascii="宋体" w:hAnsi="宋体" w:cs="宋体"/>
                <w:color w:val="auto"/>
                <w:sz w:val="24"/>
                <w:highlight w:val="none"/>
              </w:rPr>
            </w:pPr>
            <w:r>
              <w:rPr>
                <w:rFonts w:hint="eastAsia" w:ascii="宋体" w:hAnsi="宋体" w:cs="宋体"/>
                <w:color w:val="auto"/>
                <w:sz w:val="24"/>
                <w:highlight w:val="none"/>
                <w:lang w:bidi="ar"/>
              </w:rPr>
              <w:t>...</w:t>
            </w:r>
          </w:p>
        </w:tc>
        <w:tc>
          <w:tcPr>
            <w:tcW w:w="1383" w:type="dxa"/>
            <w:tcBorders>
              <w:top w:val="single" w:color="auto" w:sz="4" w:space="0"/>
              <w:left w:val="single" w:color="auto" w:sz="4" w:space="0"/>
              <w:bottom w:val="single" w:color="auto" w:sz="4" w:space="0"/>
              <w:right w:val="single" w:color="auto" w:sz="4" w:space="0"/>
            </w:tcBorders>
            <w:vAlign w:val="center"/>
          </w:tcPr>
          <w:p w14:paraId="4913A23F">
            <w:pPr>
              <w:spacing w:line="400" w:lineRule="exact"/>
              <w:rPr>
                <w:rFonts w:hint="eastAsia" w:ascii="宋体" w:hAnsi="宋体" w:cs="宋体"/>
                <w:color w:val="auto"/>
                <w:sz w:val="24"/>
                <w:highlight w:val="none"/>
              </w:rPr>
            </w:pPr>
          </w:p>
        </w:tc>
        <w:tc>
          <w:tcPr>
            <w:tcW w:w="1927" w:type="dxa"/>
            <w:tcBorders>
              <w:top w:val="single" w:color="auto" w:sz="4" w:space="0"/>
              <w:left w:val="single" w:color="auto" w:sz="4" w:space="0"/>
              <w:bottom w:val="single" w:color="auto" w:sz="4" w:space="0"/>
              <w:right w:val="single" w:color="auto" w:sz="4" w:space="0"/>
            </w:tcBorders>
            <w:vAlign w:val="center"/>
          </w:tcPr>
          <w:p w14:paraId="4B3A93C9">
            <w:pPr>
              <w:spacing w:line="400" w:lineRule="exact"/>
              <w:rPr>
                <w:rFonts w:hint="eastAsia" w:ascii="宋体" w:hAnsi="宋体" w:cs="宋体"/>
                <w:color w:val="auto"/>
                <w:sz w:val="24"/>
                <w:highlight w:val="none"/>
              </w:rPr>
            </w:pPr>
          </w:p>
        </w:tc>
        <w:tc>
          <w:tcPr>
            <w:tcW w:w="1216" w:type="dxa"/>
            <w:tcBorders>
              <w:top w:val="single" w:color="auto" w:sz="4" w:space="0"/>
              <w:left w:val="single" w:color="auto" w:sz="4" w:space="0"/>
              <w:bottom w:val="single" w:color="auto" w:sz="4" w:space="0"/>
              <w:right w:val="single" w:color="auto" w:sz="4" w:space="0"/>
            </w:tcBorders>
            <w:vAlign w:val="center"/>
          </w:tcPr>
          <w:p w14:paraId="21FB4EE0">
            <w:pPr>
              <w:spacing w:line="400" w:lineRule="exact"/>
              <w:rPr>
                <w:rFonts w:hint="eastAsia"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E7045E9">
            <w:pPr>
              <w:spacing w:line="400" w:lineRule="exact"/>
              <w:rPr>
                <w:rFonts w:hint="eastAsia" w:ascii="宋体" w:hAnsi="宋体" w:cs="宋体"/>
                <w:color w:val="auto"/>
                <w:sz w:val="24"/>
                <w:highlight w:val="none"/>
              </w:rPr>
            </w:pPr>
          </w:p>
        </w:tc>
        <w:tc>
          <w:tcPr>
            <w:tcW w:w="954" w:type="dxa"/>
            <w:tcBorders>
              <w:top w:val="single" w:color="auto" w:sz="4" w:space="0"/>
              <w:left w:val="single" w:color="auto" w:sz="4" w:space="0"/>
              <w:bottom w:val="single" w:color="auto" w:sz="4" w:space="0"/>
              <w:right w:val="single" w:color="auto" w:sz="4" w:space="0"/>
            </w:tcBorders>
            <w:vAlign w:val="center"/>
          </w:tcPr>
          <w:p w14:paraId="0758F7B5">
            <w:pPr>
              <w:spacing w:line="400" w:lineRule="exact"/>
              <w:rPr>
                <w:rFonts w:hint="eastAsia"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38C1BE7A">
            <w:pPr>
              <w:spacing w:line="400" w:lineRule="exact"/>
              <w:rPr>
                <w:rFonts w:hint="eastAsia" w:ascii="宋体" w:hAnsi="宋体" w:cs="宋体"/>
                <w:color w:val="auto"/>
                <w:sz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1C3A9C82">
            <w:pPr>
              <w:spacing w:line="400" w:lineRule="exact"/>
              <w:rPr>
                <w:rFonts w:hint="eastAsia" w:ascii="宋体" w:hAnsi="宋体" w:cs="宋体"/>
                <w:color w:val="auto"/>
                <w:sz w:val="24"/>
                <w:highlight w:val="none"/>
              </w:rPr>
            </w:pPr>
          </w:p>
        </w:tc>
      </w:tr>
      <w:tr w14:paraId="12C6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vAlign w:val="center"/>
          </w:tcPr>
          <w:p w14:paraId="79E3170D">
            <w:pPr>
              <w:spacing w:line="400" w:lineRule="exact"/>
              <w:jc w:val="both"/>
              <w:rPr>
                <w:rFonts w:hint="eastAsia" w:ascii="宋体" w:hAnsi="宋体" w:cs="宋体"/>
                <w:color w:val="auto"/>
                <w:sz w:val="24"/>
                <w:highlight w:val="none"/>
              </w:rPr>
            </w:pPr>
            <w:r>
              <w:rPr>
                <w:rFonts w:hint="eastAsia" w:ascii="宋体" w:hAnsi="宋体" w:cs="宋体"/>
                <w:color w:val="auto"/>
                <w:sz w:val="24"/>
                <w:highlight w:val="none"/>
                <w:lang w:bidi="ar"/>
              </w:rPr>
              <w:t>报价合计（包含税费等所有费用）：（大写）人民币                                       （￥                元）</w:t>
            </w:r>
          </w:p>
        </w:tc>
      </w:tr>
      <w:tr w14:paraId="76C5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vAlign w:val="center"/>
          </w:tcPr>
          <w:p w14:paraId="3A61EE42">
            <w:pPr>
              <w:spacing w:line="400" w:lineRule="exact"/>
              <w:jc w:val="both"/>
              <w:rPr>
                <w:rFonts w:hint="eastAsia" w:ascii="宋体" w:hAnsi="宋体" w:eastAsia="宋体" w:cs="宋体"/>
                <w:color w:val="auto"/>
                <w:sz w:val="24"/>
                <w:highlight w:val="none"/>
                <w:lang w:val="en-US" w:eastAsia="zh-CN" w:bidi="ar"/>
              </w:rPr>
            </w:pPr>
            <w:r>
              <w:rPr>
                <w:rFonts w:hint="eastAsia" w:ascii="宋体" w:hAnsi="宋体" w:cs="宋体"/>
                <w:color w:val="auto"/>
                <w:sz w:val="24"/>
                <w:highlight w:val="none"/>
                <w:lang w:val="en-US" w:eastAsia="zh-CN" w:bidi="ar"/>
              </w:rPr>
              <w:t>交货时间：</w:t>
            </w:r>
          </w:p>
        </w:tc>
      </w:tr>
      <w:tr w14:paraId="5BE8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tcPr>
          <w:p w14:paraId="3B806671">
            <w:pPr>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注：根据《国务院办公厅关于在政府采购中实施本国产品标准及相关政策的通知》国办发〔2025〕34号的规定，我方为本政府采购项目提供的符合本国产品标准的产品成本之和占全部竞标产品成本之和的比例达到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tc>
      </w:tr>
    </w:tbl>
    <w:p w14:paraId="27DF34E2">
      <w:pPr>
        <w:pStyle w:val="18"/>
        <w:rPr>
          <w:color w:val="auto"/>
          <w:highlight w:val="none"/>
        </w:rPr>
      </w:pPr>
    </w:p>
    <w:p w14:paraId="3A3E68FA">
      <w:pPr>
        <w:spacing w:line="440" w:lineRule="exact"/>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注：</w:t>
      </w:r>
    </w:p>
    <w:p w14:paraId="23E727CA">
      <w:pPr>
        <w:spacing w:line="440" w:lineRule="exact"/>
        <w:ind w:firstLine="480" w:firstLineChars="200"/>
        <w:contextualSpacing/>
        <w:rPr>
          <w:rFonts w:hint="eastAsia" w:ascii="宋体" w:hAnsi="宋体" w:cs="仿宋_GB2312"/>
          <w:bCs/>
          <w:color w:val="auto"/>
          <w:sz w:val="24"/>
          <w:highlight w:val="none"/>
        </w:rPr>
      </w:pPr>
      <w:r>
        <w:rPr>
          <w:rFonts w:hint="eastAsia" w:ascii="宋体" w:hAnsi="宋体" w:cs="仿宋_GB2312"/>
          <w:bCs/>
          <w:color w:val="auto"/>
          <w:sz w:val="24"/>
          <w:highlight w:val="none"/>
        </w:rPr>
        <w:t>1、 供应商需按本表格式填写，不得自行更改，也不得留空， 如有多分标，按分标分别提供</w:t>
      </w:r>
      <w:r>
        <w:rPr>
          <w:rFonts w:hint="eastAsia" w:ascii="宋体" w:hAnsi="宋体" w:cs="仿宋_GB2312"/>
          <w:bCs/>
          <w:color w:val="auto"/>
          <w:sz w:val="24"/>
          <w:highlight w:val="none"/>
          <w:lang w:val="en-US" w:eastAsia="zh-CN"/>
        </w:rPr>
        <w:t>竞标</w:t>
      </w:r>
      <w:r>
        <w:rPr>
          <w:rFonts w:hint="eastAsia" w:ascii="宋体" w:hAnsi="宋体" w:cs="仿宋_GB2312"/>
          <w:bCs/>
          <w:color w:val="auto"/>
          <w:sz w:val="24"/>
          <w:highlight w:val="none"/>
        </w:rPr>
        <w:t>报价表。</w:t>
      </w:r>
    </w:p>
    <w:p w14:paraId="47B4CDD5">
      <w:pPr>
        <w:spacing w:line="440" w:lineRule="exact"/>
        <w:ind w:firstLine="480" w:firstLineChars="200"/>
        <w:contextualSpacing/>
        <w:rPr>
          <w:rFonts w:hint="eastAsia" w:ascii="宋体" w:hAnsi="宋体" w:cs="仿宋_GB2312"/>
          <w:b/>
          <w:color w:val="auto"/>
          <w:sz w:val="24"/>
          <w:highlight w:val="none"/>
        </w:rPr>
      </w:pPr>
      <w:r>
        <w:rPr>
          <w:rFonts w:hint="eastAsia" w:ascii="宋体" w:hAnsi="宋体" w:cs="仿宋_GB2312"/>
          <w:bCs/>
          <w:color w:val="auto"/>
          <w:sz w:val="24"/>
          <w:highlight w:val="none"/>
        </w:rPr>
        <w:t>2、如为联合体响应的，“供应商名称”处必须列明联合体各方名称，并标注联合体牵头人名称，且盖章处须加盖联合体各方公章，</w:t>
      </w:r>
      <w:r>
        <w:rPr>
          <w:rFonts w:hint="eastAsia" w:ascii="宋体" w:hAnsi="宋体" w:cs="仿宋_GB2312"/>
          <w:b/>
          <w:color w:val="auto"/>
          <w:sz w:val="24"/>
          <w:highlight w:val="none"/>
        </w:rPr>
        <w:t>否则其响应作无效响应处理。</w:t>
      </w:r>
    </w:p>
    <w:p w14:paraId="13E7DF6E">
      <w:pPr>
        <w:spacing w:line="440" w:lineRule="exact"/>
        <w:ind w:firstLine="480" w:firstLineChars="200"/>
        <w:contextualSpacing/>
        <w:rPr>
          <w:rFonts w:hint="eastAsia" w:ascii="宋体" w:hAnsi="宋体" w:cs="仿宋_GB2312"/>
          <w:b/>
          <w:color w:val="auto"/>
          <w:sz w:val="24"/>
          <w:highlight w:val="none"/>
        </w:rPr>
      </w:pPr>
      <w:r>
        <w:rPr>
          <w:rFonts w:hint="eastAsia" w:ascii="宋体" w:hAnsi="宋体" w:cs="仿宋_GB2312"/>
          <w:bCs/>
          <w:color w:val="auto"/>
          <w:sz w:val="24"/>
          <w:highlight w:val="none"/>
        </w:rPr>
        <w:t>3、以上表格要求细分项目及报价，在“标的名称”一栏中，填写具体标的，</w:t>
      </w:r>
      <w:r>
        <w:rPr>
          <w:rFonts w:hint="eastAsia" w:ascii="宋体" w:hAnsi="宋体" w:cs="仿宋_GB2312"/>
          <w:b/>
          <w:color w:val="auto"/>
          <w:sz w:val="24"/>
          <w:highlight w:val="none"/>
        </w:rPr>
        <w:t>否则其响应作无效响应处理。</w:t>
      </w:r>
    </w:p>
    <w:p w14:paraId="11697059">
      <w:pPr>
        <w:spacing w:line="440" w:lineRule="exact"/>
        <w:ind w:firstLine="480" w:firstLineChars="200"/>
        <w:contextualSpacing/>
        <w:rPr>
          <w:rFonts w:hint="eastAsia" w:ascii="宋体" w:hAnsi="宋体" w:cs="仿宋_GB2312"/>
          <w:bCs/>
          <w:color w:val="auto"/>
          <w:sz w:val="24"/>
          <w:highlight w:val="none"/>
        </w:rPr>
      </w:pPr>
      <w:r>
        <w:rPr>
          <w:rFonts w:hint="eastAsia" w:ascii="宋体" w:hAnsi="宋体" w:cs="仿宋_GB2312"/>
          <w:bCs/>
          <w:color w:val="auto"/>
          <w:sz w:val="24"/>
          <w:highlight w:val="none"/>
        </w:rPr>
        <w:t>4、特别提示：采购机构将对项目名称和项目编号，成交供应商名称、地址和成交金额，主要成交标的的名称、规格型号、数量、单价、货物要求等予以公示。</w:t>
      </w:r>
    </w:p>
    <w:p w14:paraId="215BB4B0">
      <w:pPr>
        <w:spacing w:line="440" w:lineRule="exact"/>
        <w:ind w:firstLine="480" w:firstLineChars="200"/>
        <w:contextualSpacing/>
        <w:rPr>
          <w:rFonts w:hint="eastAsia" w:ascii="宋体" w:hAnsi="宋体" w:cs="仿宋_GB2312"/>
          <w:color w:val="auto"/>
          <w:sz w:val="24"/>
          <w:highlight w:val="none"/>
        </w:rPr>
      </w:pPr>
      <w:r>
        <w:rPr>
          <w:rFonts w:hint="eastAsia" w:ascii="宋体" w:hAnsi="宋体" w:cs="仿宋_GB2312"/>
          <w:bCs/>
          <w:color w:val="auto"/>
          <w:sz w:val="24"/>
          <w:highlight w:val="none"/>
        </w:rPr>
        <w:t>5、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1AF171F6">
      <w:pPr>
        <w:ind w:right="-817" w:rightChars="-389"/>
        <w:contextualSpacing/>
        <w:rPr>
          <w:rFonts w:hint="eastAsia" w:ascii="宋体" w:hAnsi="宋体" w:cs="仿宋_GB2312"/>
          <w:color w:val="auto"/>
          <w:sz w:val="24"/>
          <w:highlight w:val="none"/>
        </w:rPr>
      </w:pPr>
    </w:p>
    <w:p w14:paraId="21EDCF51">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83E8091">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A5B2477">
      <w:pPr>
        <w:spacing w:line="360" w:lineRule="auto"/>
        <w:ind w:right="-817" w:rightChars="-389" w:firstLine="4080" w:firstLineChars="1700"/>
        <w:contextualSpacing/>
        <w:rPr>
          <w:rFonts w:hint="eastAsia" w:ascii="宋体" w:hAnsi="宋体" w:cs="仿宋_GB2312"/>
          <w:b/>
          <w:color w:val="auto"/>
          <w:sz w:val="24"/>
          <w:highlight w:val="none"/>
        </w:rPr>
      </w:pPr>
      <w:r>
        <w:rPr>
          <w:rFonts w:hint="eastAsia" w:ascii="宋体" w:hAnsi="宋体" w:cs="仿宋_GB2312"/>
          <w:color w:val="auto"/>
          <w:sz w:val="24"/>
          <w:highlight w:val="none"/>
        </w:rPr>
        <w:t>日期：   年   月   日</w:t>
      </w:r>
    </w:p>
    <w:p w14:paraId="40168B63">
      <w:pPr>
        <w:widowControl/>
        <w:jc w:val="left"/>
        <w:rPr>
          <w:rFonts w:ascii="宋体" w:hAnsi="宋体"/>
          <w:b/>
          <w:bCs/>
          <w:color w:val="auto"/>
          <w:sz w:val="32"/>
          <w:szCs w:val="32"/>
          <w:highlight w:val="none"/>
        </w:rPr>
      </w:pPr>
      <w:r>
        <w:rPr>
          <w:rFonts w:ascii="宋体" w:hAnsi="宋体"/>
          <w:b/>
          <w:bCs/>
          <w:color w:val="auto"/>
          <w:sz w:val="32"/>
          <w:szCs w:val="32"/>
          <w:highlight w:val="none"/>
        </w:rPr>
        <w:br w:type="page"/>
      </w:r>
    </w:p>
    <w:p w14:paraId="14841123">
      <w:pPr>
        <w:spacing w:line="520" w:lineRule="exact"/>
        <w:jc w:val="center"/>
        <w:rPr>
          <w:rFonts w:hint="eastAsia" w:ascii="宋体" w:hAnsi="宋体" w:cs="方正小标宋简体"/>
          <w:b/>
          <w:color w:val="auto"/>
          <w:sz w:val="36"/>
          <w:szCs w:val="36"/>
          <w:highlight w:val="none"/>
        </w:rPr>
      </w:pPr>
      <w:r>
        <w:rPr>
          <w:rFonts w:hint="eastAsia" w:ascii="宋体" w:hAnsi="宋体" w:cs="方正小标宋简体"/>
          <w:b/>
          <w:color w:val="auto"/>
          <w:sz w:val="36"/>
          <w:szCs w:val="36"/>
          <w:highlight w:val="none"/>
        </w:rPr>
        <w:t>备品备件及易损件清单及价格</w:t>
      </w:r>
      <w:r>
        <w:rPr>
          <w:rFonts w:hint="eastAsia" w:ascii="宋体" w:hAnsi="宋体" w:cs="方正小标宋简体"/>
          <w:b/>
          <w:color w:val="auto"/>
          <w:sz w:val="36"/>
          <w:szCs w:val="36"/>
          <w:highlight w:val="none"/>
          <w:lang w:val="en-US" w:eastAsia="zh-CN"/>
        </w:rPr>
        <w:t>表</w:t>
      </w:r>
    </w:p>
    <w:p w14:paraId="7F2632B2">
      <w:pPr>
        <w:widowControl/>
        <w:jc w:val="center"/>
        <w:rPr>
          <w:rFonts w:hint="eastAsia" w:ascii="宋体" w:hAnsi="宋体"/>
          <w:b/>
          <w:bCs/>
          <w:color w:val="auto"/>
          <w:sz w:val="32"/>
          <w:szCs w:val="32"/>
          <w:highlight w:val="none"/>
        </w:rPr>
      </w:pPr>
      <w:r>
        <w:rPr>
          <w:rFonts w:hint="eastAsia" w:ascii="宋体" w:hAnsi="宋体" w:cs="方正小标宋简体"/>
          <w:b w:val="0"/>
          <w:bCs/>
          <w:color w:val="auto"/>
          <w:sz w:val="32"/>
          <w:szCs w:val="32"/>
          <w:highlight w:val="none"/>
        </w:rPr>
        <w:t>（格式自拟）</w:t>
      </w:r>
    </w:p>
    <w:p w14:paraId="2F907C2C">
      <w:pPr>
        <w:jc w:val="center"/>
        <w:rPr>
          <w:color w:val="auto"/>
          <w:highlight w:val="none"/>
        </w:rPr>
      </w:pPr>
    </w:p>
    <w:p w14:paraId="5DB5D0D3">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36B306F">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A6E4575">
      <w:pPr>
        <w:spacing w:line="360" w:lineRule="auto"/>
        <w:ind w:right="-817" w:rightChars="-389" w:firstLine="4080" w:firstLineChars="1700"/>
        <w:contextualSpacing/>
        <w:rPr>
          <w:rFonts w:hint="eastAsia" w:ascii="宋体" w:hAnsi="宋体" w:cs="仿宋_GB2312"/>
          <w:b/>
          <w:color w:val="auto"/>
          <w:sz w:val="24"/>
          <w:highlight w:val="none"/>
        </w:rPr>
      </w:pPr>
      <w:r>
        <w:rPr>
          <w:rFonts w:hint="eastAsia" w:ascii="宋体" w:hAnsi="宋体" w:cs="仿宋_GB2312"/>
          <w:color w:val="auto"/>
          <w:sz w:val="24"/>
          <w:highlight w:val="none"/>
        </w:rPr>
        <w:t>日期：   年   月   日</w:t>
      </w:r>
    </w:p>
    <w:p w14:paraId="4A5EE661">
      <w:pPr>
        <w:rPr>
          <w:rFonts w:hint="eastAsia" w:ascii="宋体" w:hAnsi="宋体" w:cs="宋体"/>
          <w:b/>
          <w:color w:val="auto"/>
          <w:sz w:val="32"/>
          <w:szCs w:val="32"/>
          <w:highlight w:val="none"/>
        </w:rPr>
      </w:pPr>
    </w:p>
    <w:p w14:paraId="2979679E">
      <w:pP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4797E736">
      <w:pPr>
        <w:spacing w:line="360" w:lineRule="auto"/>
        <w:contextualSpacing/>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三</w:t>
      </w:r>
      <w:r>
        <w:rPr>
          <w:rFonts w:hint="eastAsia" w:ascii="宋体" w:hAnsi="宋体" w:cs="宋体"/>
          <w:b/>
          <w:bCs/>
          <w:color w:val="auto"/>
          <w:sz w:val="32"/>
          <w:szCs w:val="32"/>
          <w:highlight w:val="none"/>
        </w:rPr>
        <w:t>、</w:t>
      </w:r>
      <w:r>
        <w:rPr>
          <w:rFonts w:hint="eastAsia" w:ascii="宋体" w:hAnsi="宋体" w:cs="宋体"/>
          <w:b/>
          <w:color w:val="auto"/>
          <w:sz w:val="32"/>
          <w:szCs w:val="32"/>
          <w:highlight w:val="none"/>
        </w:rPr>
        <w:t xml:space="preserve">商务技术文件格式 </w:t>
      </w:r>
    </w:p>
    <w:p w14:paraId="4FCF60BE">
      <w:pPr>
        <w:snapToGrid w:val="0"/>
        <w:spacing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2596B95A">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16580C99">
      <w:pPr>
        <w:snapToGrid w:val="0"/>
        <w:spacing w:line="360" w:lineRule="auto"/>
        <w:rPr>
          <w:rFonts w:hint="eastAsia" w:ascii="宋体" w:hAnsi="宋体" w:cs="宋体"/>
          <w:color w:val="auto"/>
          <w:sz w:val="24"/>
          <w:highlight w:val="none"/>
        </w:rPr>
      </w:pPr>
    </w:p>
    <w:p w14:paraId="175971DA">
      <w:pPr>
        <w:snapToGrid w:val="0"/>
        <w:spacing w:line="360" w:lineRule="auto"/>
        <w:rPr>
          <w:rFonts w:hint="eastAsia" w:ascii="宋体" w:hAnsi="宋体" w:cs="宋体"/>
          <w:color w:val="auto"/>
          <w:sz w:val="24"/>
          <w:szCs w:val="20"/>
          <w:highlight w:val="none"/>
        </w:rPr>
      </w:pPr>
    </w:p>
    <w:p w14:paraId="4FAC05DD">
      <w:pPr>
        <w:snapToGrid w:val="0"/>
        <w:spacing w:line="360" w:lineRule="auto"/>
        <w:jc w:val="center"/>
        <w:rPr>
          <w:rFonts w:hint="eastAsia" w:ascii="宋体" w:hAnsi="宋体" w:cs="宋体"/>
          <w:bCs/>
          <w:color w:val="auto"/>
          <w:sz w:val="84"/>
          <w:szCs w:val="84"/>
          <w:highlight w:val="none"/>
        </w:rPr>
      </w:pPr>
      <w:r>
        <w:rPr>
          <w:rFonts w:hint="eastAsia" w:ascii="宋体" w:hAnsi="宋体"/>
          <w:color w:val="auto"/>
          <w:sz w:val="44"/>
          <w:szCs w:val="44"/>
          <w:highlight w:val="none"/>
        </w:rPr>
        <w:t>响  应  文  件</w:t>
      </w:r>
    </w:p>
    <w:p w14:paraId="57ECB33E">
      <w:pPr>
        <w:snapToGrid w:val="0"/>
        <w:spacing w:line="360" w:lineRule="auto"/>
        <w:rPr>
          <w:rFonts w:hint="eastAsia" w:ascii="宋体" w:hAnsi="宋体" w:cs="宋体"/>
          <w:color w:val="auto"/>
          <w:sz w:val="24"/>
          <w:szCs w:val="20"/>
          <w:highlight w:val="none"/>
        </w:rPr>
      </w:pPr>
    </w:p>
    <w:p w14:paraId="6C5EFD51">
      <w:pPr>
        <w:snapToGrid w:val="0"/>
        <w:spacing w:line="360" w:lineRule="auto"/>
        <w:jc w:val="center"/>
        <w:rPr>
          <w:rFonts w:hint="eastAsia" w:ascii="宋体" w:hAnsi="宋体" w:cs="宋体"/>
          <w:bCs/>
          <w:color w:val="auto"/>
          <w:sz w:val="32"/>
          <w:szCs w:val="32"/>
          <w:highlight w:val="none"/>
        </w:rPr>
      </w:pPr>
      <w:r>
        <w:rPr>
          <w:rFonts w:hint="eastAsia" w:ascii="宋体" w:hAnsi="宋体" w:cs="宋体"/>
          <w:b/>
          <w:color w:val="auto"/>
          <w:sz w:val="44"/>
          <w:szCs w:val="44"/>
          <w:highlight w:val="none"/>
        </w:rPr>
        <w:t>商 务 技 术 文 件</w:t>
      </w:r>
    </w:p>
    <w:p w14:paraId="4FD86237">
      <w:pPr>
        <w:snapToGrid w:val="0"/>
        <w:spacing w:line="360" w:lineRule="auto"/>
        <w:rPr>
          <w:rFonts w:hint="eastAsia" w:ascii="宋体" w:hAnsi="宋体" w:cs="宋体"/>
          <w:bCs/>
          <w:color w:val="auto"/>
          <w:sz w:val="28"/>
          <w:szCs w:val="28"/>
          <w:highlight w:val="none"/>
        </w:rPr>
      </w:pPr>
    </w:p>
    <w:p w14:paraId="3E573F9A">
      <w:pPr>
        <w:snapToGrid w:val="0"/>
        <w:spacing w:line="360" w:lineRule="auto"/>
        <w:rPr>
          <w:rFonts w:hint="eastAsia" w:ascii="宋体" w:hAnsi="宋体" w:cs="宋体"/>
          <w:bCs/>
          <w:color w:val="auto"/>
          <w:sz w:val="28"/>
          <w:szCs w:val="28"/>
          <w:highlight w:val="none"/>
        </w:rPr>
      </w:pPr>
    </w:p>
    <w:p w14:paraId="71AACD49">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10E26A99">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 xml:space="preserve">项目编号： </w:t>
      </w:r>
    </w:p>
    <w:p w14:paraId="54975AD9">
      <w:pPr>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所竞分标（如有则填写，无分标时填写“无”或者留空）：</w:t>
      </w:r>
    </w:p>
    <w:p w14:paraId="5F17D1B0">
      <w:pPr>
        <w:pStyle w:val="6"/>
        <w:snapToGrid w:val="0"/>
        <w:spacing w:line="360" w:lineRule="auto"/>
        <w:ind w:firstLine="1680" w:firstLineChars="600"/>
        <w:rPr>
          <w:rFonts w:hint="eastAsia"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58C616A5">
      <w:pPr>
        <w:pStyle w:val="6"/>
        <w:snapToGrid w:val="0"/>
        <w:spacing w:line="360" w:lineRule="auto"/>
        <w:ind w:firstLine="1680" w:firstLineChars="600"/>
        <w:rPr>
          <w:rFonts w:hint="eastAsia" w:ascii="宋体" w:hAnsi="宋体" w:cs="宋体"/>
          <w:bCs/>
          <w:color w:val="auto"/>
          <w:sz w:val="28"/>
          <w:szCs w:val="28"/>
          <w:highlight w:val="none"/>
        </w:rPr>
      </w:pPr>
    </w:p>
    <w:p w14:paraId="25CA5794">
      <w:pPr>
        <w:snapToGrid w:val="0"/>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年    月    日</w:t>
      </w:r>
    </w:p>
    <w:p w14:paraId="704C27FC">
      <w:pPr>
        <w:snapToGrid w:val="0"/>
        <w:spacing w:line="360" w:lineRule="auto"/>
        <w:jc w:val="left"/>
        <w:rPr>
          <w:rFonts w:hint="eastAsia" w:ascii="宋体" w:hAnsi="宋体" w:cs="宋体"/>
          <w:b/>
          <w:bCs/>
          <w:color w:val="auto"/>
          <w:sz w:val="24"/>
          <w:highlight w:val="none"/>
        </w:rPr>
      </w:pPr>
      <w:r>
        <w:rPr>
          <w:rFonts w:hint="eastAsia" w:ascii="宋体" w:hAnsi="宋体" w:cs="宋体"/>
          <w:color w:val="auto"/>
          <w:sz w:val="28"/>
          <w:szCs w:val="28"/>
          <w:highlight w:val="none"/>
        </w:rPr>
        <w:br w:type="page"/>
      </w:r>
      <w:r>
        <w:rPr>
          <w:rFonts w:hint="eastAsia" w:ascii="宋体" w:hAnsi="宋体" w:cs="宋体"/>
          <w:b/>
          <w:bCs/>
          <w:color w:val="auto"/>
          <w:sz w:val="32"/>
          <w:szCs w:val="32"/>
          <w:highlight w:val="none"/>
        </w:rPr>
        <w:t>2.商务技术文件目录</w:t>
      </w:r>
    </w:p>
    <w:p w14:paraId="7E5CFC9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根据谈判文件规定及供应商提供的材料自行编写目录（部分格式后附）。</w:t>
      </w:r>
    </w:p>
    <w:p w14:paraId="6B7C2CCD">
      <w:pPr>
        <w:spacing w:line="360" w:lineRule="auto"/>
        <w:rPr>
          <w:rFonts w:hint="eastAsia" w:ascii="宋体" w:hAnsi="宋体" w:cs="宋体"/>
          <w:color w:val="auto"/>
          <w:sz w:val="32"/>
          <w:szCs w:val="32"/>
          <w:highlight w:val="none"/>
        </w:rPr>
      </w:pPr>
    </w:p>
    <w:p w14:paraId="649394C9">
      <w:pPr>
        <w:spacing w:line="360" w:lineRule="auto"/>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14:paraId="267167E0">
      <w:pPr>
        <w:spacing w:line="360" w:lineRule="auto"/>
        <w:ind w:firstLine="640" w:firstLineChars="200"/>
        <w:contextualSpacing/>
        <w:rPr>
          <w:rFonts w:hint="eastAsia" w:ascii="宋体" w:hAnsi="宋体" w:cs="宋体"/>
          <w:color w:val="auto"/>
          <w:sz w:val="32"/>
          <w:szCs w:val="32"/>
          <w:highlight w:val="none"/>
        </w:rPr>
      </w:pPr>
    </w:p>
    <w:p w14:paraId="150A22CF">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4C66E42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p>
    <w:p w14:paraId="275B845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4213773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3FDE1AA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2BC2952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0B9B4CF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6.不同供应商的竞标保证金从同一单位或者个人账户转出。</w:t>
      </w:r>
    </w:p>
    <w:p w14:paraId="275D228C">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11E4671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7628C7E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BD26B8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4A51CD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5A3701D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0D31CF0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113EEED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632172C5">
      <w:pPr>
        <w:spacing w:line="360" w:lineRule="auto"/>
        <w:ind w:firstLine="480" w:firstLineChars="200"/>
        <w:contextualSpacing/>
        <w:rPr>
          <w:rFonts w:hint="eastAsia" w:ascii="宋体" w:hAnsi="宋体" w:cs="宋体"/>
          <w:color w:val="auto"/>
          <w:sz w:val="24"/>
          <w:highlight w:val="none"/>
        </w:rPr>
      </w:pPr>
    </w:p>
    <w:p w14:paraId="1EBA75FE">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5AB8EAE3">
      <w:pPr>
        <w:spacing w:line="360" w:lineRule="auto"/>
        <w:ind w:firstLine="480" w:firstLineChars="200"/>
        <w:contextualSpacing/>
        <w:rPr>
          <w:rFonts w:hint="eastAsia" w:ascii="宋体" w:hAnsi="宋体" w:cs="宋体"/>
          <w:color w:val="auto"/>
          <w:sz w:val="24"/>
          <w:highlight w:val="none"/>
        </w:rPr>
      </w:pPr>
    </w:p>
    <w:p w14:paraId="18CFF447">
      <w:pPr>
        <w:spacing w:line="360" w:lineRule="auto"/>
        <w:ind w:firstLine="3600" w:firstLineChars="1500"/>
        <w:contextualSpacing/>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w:t>
      </w:r>
    </w:p>
    <w:p w14:paraId="26D43703">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96E34EB">
      <w:pPr>
        <w:rPr>
          <w:rFonts w:hint="eastAsia" w:ascii="宋体" w:hAnsi="宋体" w:cs="宋体"/>
          <w:b/>
          <w:color w:val="auto"/>
          <w:sz w:val="32"/>
          <w:szCs w:val="32"/>
          <w:highlight w:val="none"/>
        </w:rPr>
      </w:pPr>
    </w:p>
    <w:p w14:paraId="31AE916B">
      <w:pPr>
        <w:spacing w:line="360" w:lineRule="auto"/>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t>法定代表人身份证明</w:t>
      </w:r>
    </w:p>
    <w:p w14:paraId="541E9776">
      <w:pPr>
        <w:spacing w:line="360" w:lineRule="auto"/>
        <w:contextualSpacing/>
        <w:rPr>
          <w:rFonts w:hint="eastAsia" w:ascii="宋体" w:hAnsi="宋体" w:cs="宋体"/>
          <w:color w:val="auto"/>
          <w:sz w:val="32"/>
          <w:szCs w:val="32"/>
          <w:highlight w:val="none"/>
        </w:rPr>
      </w:pPr>
    </w:p>
    <w:p w14:paraId="49F21677">
      <w:pPr>
        <w:spacing w:line="480" w:lineRule="auto"/>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1F43CC47">
      <w:pPr>
        <w:spacing w:line="480" w:lineRule="auto"/>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675D28D6">
      <w:pPr>
        <w:spacing w:line="480" w:lineRule="auto"/>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2947FA7">
      <w:pPr>
        <w:spacing w:line="480"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36116E3E">
      <w:pPr>
        <w:spacing w:line="480" w:lineRule="auto"/>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67FE377">
      <w:pPr>
        <w:spacing w:line="480" w:lineRule="auto"/>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的法定代表人。</w:t>
      </w:r>
    </w:p>
    <w:p w14:paraId="42C4AD46">
      <w:pPr>
        <w:spacing w:line="480" w:lineRule="auto"/>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7FF61D2E">
      <w:pPr>
        <w:spacing w:line="480" w:lineRule="auto"/>
        <w:contextualSpacing/>
        <w:rPr>
          <w:rFonts w:hint="eastAsia" w:ascii="宋体" w:hAnsi="宋体" w:cs="宋体"/>
          <w:color w:val="auto"/>
          <w:sz w:val="24"/>
          <w:highlight w:val="none"/>
        </w:rPr>
      </w:pPr>
    </w:p>
    <w:p w14:paraId="191F7A1C">
      <w:pPr>
        <w:spacing w:line="360" w:lineRule="auto"/>
        <w:contextualSpacing/>
        <w:rPr>
          <w:rFonts w:hint="eastAsia" w:ascii="宋体" w:hAnsi="宋体" w:cs="宋体"/>
          <w:color w:val="auto"/>
          <w:sz w:val="24"/>
          <w:highlight w:val="none"/>
        </w:rPr>
      </w:pPr>
    </w:p>
    <w:p w14:paraId="183608FC">
      <w:pPr>
        <w:spacing w:line="360" w:lineRule="auto"/>
        <w:contextualSpacing/>
        <w:rPr>
          <w:rFonts w:hint="eastAsia" w:ascii="宋体" w:hAnsi="宋体" w:cs="宋体"/>
          <w:color w:val="auto"/>
          <w:sz w:val="24"/>
          <w:highlight w:val="none"/>
        </w:rPr>
      </w:pPr>
    </w:p>
    <w:p w14:paraId="5D6BCF9D">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13B2BBB5">
      <w:pPr>
        <w:spacing w:line="360" w:lineRule="auto"/>
        <w:contextualSpacing/>
        <w:rPr>
          <w:rFonts w:hint="eastAsia" w:ascii="宋体" w:hAnsi="宋体" w:cs="宋体"/>
          <w:color w:val="auto"/>
          <w:sz w:val="24"/>
          <w:highlight w:val="none"/>
        </w:rPr>
      </w:pPr>
    </w:p>
    <w:p w14:paraId="76A05E61">
      <w:pPr>
        <w:spacing w:line="360" w:lineRule="auto"/>
        <w:contextualSpacing/>
        <w:jc w:val="right"/>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E57B956">
      <w:pPr>
        <w:spacing w:line="360" w:lineRule="auto"/>
        <w:ind w:firstLine="4080" w:firstLineChars="170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CE3A827">
      <w:pPr>
        <w:spacing w:line="360" w:lineRule="auto"/>
        <w:contextualSpacing/>
        <w:jc w:val="center"/>
        <w:rPr>
          <w:rFonts w:hint="eastAsia" w:ascii="宋体" w:hAnsi="宋体" w:cs="宋体"/>
          <w:b/>
          <w:color w:val="auto"/>
          <w:sz w:val="24"/>
          <w:highlight w:val="none"/>
        </w:rPr>
      </w:pPr>
    </w:p>
    <w:p w14:paraId="41218F59">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4E8E9F5E">
      <w:pPr>
        <w:adjustRightInd w:val="0"/>
        <w:snapToGrid w:val="0"/>
        <w:spacing w:line="360" w:lineRule="auto"/>
        <w:jc w:val="left"/>
        <w:rPr>
          <w:rFonts w:hint="eastAsia" w:ascii="宋体" w:hAnsi="宋体" w:cs="宋体"/>
          <w:b/>
          <w:color w:val="auto"/>
          <w:szCs w:val="21"/>
          <w:highlight w:val="none"/>
        </w:rPr>
      </w:pPr>
    </w:p>
    <w:p w14:paraId="65D44C1B">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授权委托书</w:t>
      </w:r>
    </w:p>
    <w:p w14:paraId="68A133DE">
      <w:pPr>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（非联合体竞标格式）</w:t>
      </w:r>
    </w:p>
    <w:p w14:paraId="3823B4AA">
      <w:pPr>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（如有委托时）</w:t>
      </w:r>
    </w:p>
    <w:p w14:paraId="559A467E">
      <w:pPr>
        <w:spacing w:line="360" w:lineRule="auto"/>
        <w:contextualSpacing/>
        <w:rPr>
          <w:rFonts w:hint="eastAsia" w:ascii="宋体" w:hAnsi="宋体" w:cs="宋体"/>
          <w:color w:val="auto"/>
          <w:sz w:val="32"/>
          <w:szCs w:val="32"/>
          <w:highlight w:val="none"/>
        </w:rPr>
      </w:pPr>
    </w:p>
    <w:p w14:paraId="25EFBA60">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28B24C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1C3FB96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70F94B1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368841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7995736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w:t>
      </w:r>
    </w:p>
    <w:p w14:paraId="53E64120">
      <w:pPr>
        <w:spacing w:line="360" w:lineRule="auto"/>
        <w:contextualSpacing/>
        <w:rPr>
          <w:rFonts w:hint="eastAsia" w:ascii="宋体" w:hAnsi="宋体" w:cs="宋体"/>
          <w:color w:val="auto"/>
          <w:sz w:val="24"/>
          <w:highlight w:val="none"/>
        </w:rPr>
      </w:pPr>
    </w:p>
    <w:p w14:paraId="47C704DC">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w:t>
      </w:r>
    </w:p>
    <w:p w14:paraId="1EC620A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法定代表人（签字或者盖章或者电子签名）：</w:t>
      </w:r>
    </w:p>
    <w:p w14:paraId="0E0030C7">
      <w:pPr>
        <w:spacing w:line="360" w:lineRule="auto"/>
        <w:ind w:left="420" w:leftChars="200"/>
        <w:contextualSpacing/>
        <w:rPr>
          <w:rFonts w:hint="eastAsia" w:ascii="宋体" w:hAnsi="宋体" w:cs="宋体"/>
          <w:color w:val="auto"/>
          <w:sz w:val="24"/>
          <w:highlight w:val="none"/>
        </w:rPr>
      </w:pPr>
      <w:r>
        <w:rPr>
          <w:rFonts w:hint="eastAsia" w:ascii="宋体" w:hAnsi="宋体" w:cs="仿宋_GB2312"/>
          <w:color w:val="auto"/>
          <w:sz w:val="24"/>
          <w:highlight w:val="none"/>
        </w:rPr>
        <w:t>委托代理人身份证号码：</w:t>
      </w:r>
      <w:r>
        <w:rPr>
          <w:rFonts w:hint="eastAsia" w:ascii="宋体" w:hAnsi="宋体" w:cs="宋体"/>
          <w:color w:val="auto"/>
          <w:sz w:val="24"/>
          <w:highlight w:val="none"/>
        </w:rPr>
        <w:t xml:space="preserve">                              </w:t>
      </w:r>
    </w:p>
    <w:p w14:paraId="6211CDDD">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1C2399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 xml:space="preserve">：                      </w:t>
      </w:r>
    </w:p>
    <w:p w14:paraId="3C103BD6">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DBF77EA">
      <w:pPr>
        <w:spacing w:line="360" w:lineRule="auto"/>
        <w:contextualSpacing/>
        <w:rPr>
          <w:rFonts w:hint="eastAsia" w:ascii="宋体" w:hAnsi="宋体" w:cs="宋体"/>
          <w:color w:val="auto"/>
          <w:sz w:val="24"/>
          <w:highlight w:val="none"/>
        </w:rPr>
      </w:pPr>
    </w:p>
    <w:p w14:paraId="71CCE72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法定代表人必须在授权委托书上亲笔签字或者盖章，委托代理人必须在授权委托书上亲笔签字，</w:t>
      </w:r>
      <w:r>
        <w:rPr>
          <w:rFonts w:hint="eastAsia" w:ascii="宋体" w:hAnsi="宋体" w:cs="宋体"/>
          <w:b/>
          <w:color w:val="auto"/>
          <w:sz w:val="24"/>
          <w:highlight w:val="none"/>
        </w:rPr>
        <w:t>否则其响应文件按无效响应处理。</w:t>
      </w:r>
    </w:p>
    <w:p w14:paraId="2ED3189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088FCDB0">
      <w:pPr>
        <w:spacing w:line="360" w:lineRule="auto"/>
        <w:ind w:firstLine="420" w:firstLineChars="200"/>
        <w:contextualSpacing/>
        <w:jc w:val="left"/>
        <w:rPr>
          <w:rFonts w:hint="eastAsia" w:ascii="宋体" w:hAnsi="宋体" w:cs="宋体"/>
          <w:color w:val="auto"/>
          <w:szCs w:val="21"/>
          <w:highlight w:val="none"/>
        </w:rPr>
      </w:pPr>
    </w:p>
    <w:p w14:paraId="01FC030D">
      <w:pPr>
        <w:spacing w:line="360" w:lineRule="auto"/>
        <w:contextualSpacing/>
        <w:jc w:val="center"/>
        <w:rPr>
          <w:rFonts w:hint="eastAsia" w:ascii="宋体" w:hAnsi="宋体" w:cs="宋体"/>
          <w:color w:val="auto"/>
          <w:sz w:val="44"/>
          <w:szCs w:val="44"/>
          <w:highlight w:val="none"/>
        </w:rPr>
      </w:pPr>
      <w:r>
        <w:rPr>
          <w:rFonts w:hint="eastAsia" w:ascii="宋体" w:hAnsi="宋体" w:cs="宋体"/>
          <w:color w:val="auto"/>
          <w:szCs w:val="21"/>
          <w:highlight w:val="none"/>
        </w:rPr>
        <w:br w:type="page"/>
      </w:r>
      <w:r>
        <w:rPr>
          <w:rFonts w:hint="eastAsia" w:ascii="宋体" w:hAnsi="宋体" w:cs="宋体"/>
          <w:color w:val="auto"/>
          <w:sz w:val="44"/>
          <w:szCs w:val="44"/>
          <w:highlight w:val="none"/>
        </w:rPr>
        <w:t>授权委托书</w:t>
      </w:r>
    </w:p>
    <w:p w14:paraId="00DA39F3">
      <w:pPr>
        <w:spacing w:line="360" w:lineRule="auto"/>
        <w:contextualSpacing/>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（联合体竞标格式）</w:t>
      </w:r>
    </w:p>
    <w:p w14:paraId="71B49E95">
      <w:pPr>
        <w:spacing w:line="360" w:lineRule="auto"/>
        <w:contextualSpacing/>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（如有委托时）</w:t>
      </w:r>
    </w:p>
    <w:p w14:paraId="2614DD27">
      <w:pPr>
        <w:spacing w:line="360" w:lineRule="auto"/>
        <w:contextualSpacing/>
        <w:rPr>
          <w:rFonts w:hint="eastAsia" w:ascii="宋体" w:hAnsi="宋体" w:cs="宋体"/>
          <w:color w:val="auto"/>
          <w:sz w:val="32"/>
          <w:szCs w:val="32"/>
          <w:highlight w:val="none"/>
        </w:rPr>
      </w:pPr>
    </w:p>
    <w:p w14:paraId="692E8FBF">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（联合体其他成员名称）签订的《联合体竞标协议书》的内容，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01CF7D2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3102AAC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7B65AC7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27242B6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附：法定代表人身份证明及委托代理人有效身份证正反面复印件</w:t>
      </w:r>
    </w:p>
    <w:p w14:paraId="0D73421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牵头人法定代表人</w:t>
      </w:r>
      <w:r>
        <w:rPr>
          <w:rFonts w:hint="eastAsia" w:ascii="宋体" w:hAnsi="宋体" w:cs="仿宋_GB2312"/>
          <w:color w:val="auto"/>
          <w:sz w:val="24"/>
          <w:highlight w:val="none"/>
        </w:rPr>
        <w:t>（签字或者盖章或者电子签名）</w:t>
      </w:r>
      <w:r>
        <w:rPr>
          <w:rFonts w:hint="eastAsia" w:ascii="宋体" w:hAnsi="宋体" w:cs="宋体"/>
          <w:color w:val="auto"/>
          <w:sz w:val="24"/>
          <w:highlight w:val="none"/>
        </w:rPr>
        <w:t>：</w:t>
      </w:r>
    </w:p>
    <w:p w14:paraId="7A8386C3">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牵头人（电子签章）：</w:t>
      </w:r>
    </w:p>
    <w:p w14:paraId="684F0FA0">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AB51A7C">
      <w:pPr>
        <w:spacing w:line="360" w:lineRule="auto"/>
        <w:contextualSpacing/>
        <w:rPr>
          <w:rFonts w:hint="eastAsia" w:ascii="宋体" w:hAnsi="宋体" w:cs="仿宋_GB2312"/>
          <w:color w:val="auto"/>
          <w:sz w:val="24"/>
          <w:highlight w:val="none"/>
        </w:rPr>
      </w:pPr>
    </w:p>
    <w:p w14:paraId="64D423D4">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被授权人（签字或者电子签名）：</w:t>
      </w:r>
    </w:p>
    <w:p w14:paraId="6DFBE761">
      <w:pPr>
        <w:spacing w:line="360" w:lineRule="auto"/>
        <w:ind w:firstLine="3840" w:firstLineChars="1600"/>
        <w:contextualSpacing/>
        <w:rPr>
          <w:rFonts w:hint="eastAsia" w:ascii="宋体" w:hAnsi="宋体" w:cs="宋体"/>
          <w:color w:val="auto"/>
          <w:sz w:val="24"/>
          <w:highlight w:val="none"/>
        </w:rPr>
      </w:pPr>
      <w:r>
        <w:rPr>
          <w:rFonts w:hint="eastAsia" w:ascii="宋体" w:hAnsi="宋体" w:cs="仿宋_GB2312"/>
          <w:color w:val="auto"/>
          <w:sz w:val="24"/>
          <w:highlight w:val="none"/>
        </w:rPr>
        <w:t>日期：    年   月   日</w:t>
      </w:r>
    </w:p>
    <w:p w14:paraId="1C4181BC">
      <w:pPr>
        <w:spacing w:line="360" w:lineRule="auto"/>
        <w:contextualSpacing/>
        <w:rPr>
          <w:rFonts w:hint="eastAsia" w:ascii="宋体" w:hAnsi="宋体" w:cs="宋体"/>
          <w:color w:val="auto"/>
          <w:sz w:val="24"/>
          <w:highlight w:val="none"/>
        </w:rPr>
      </w:pPr>
    </w:p>
    <w:p w14:paraId="2776FEEF">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法定代表人必须在授权委托书上亲笔签字或者盖章，委托代理人必须在授权委托书上亲笔签字，</w:t>
      </w:r>
      <w:r>
        <w:rPr>
          <w:rFonts w:hint="eastAsia" w:ascii="宋体" w:hAnsi="宋体" w:cs="宋体"/>
          <w:b/>
          <w:bCs/>
          <w:color w:val="auto"/>
          <w:sz w:val="24"/>
          <w:highlight w:val="none"/>
        </w:rPr>
        <w:t>否</w:t>
      </w:r>
      <w:r>
        <w:rPr>
          <w:rFonts w:hint="eastAsia" w:ascii="宋体" w:hAnsi="宋体" w:cs="宋体"/>
          <w:b/>
          <w:color w:val="auto"/>
          <w:sz w:val="24"/>
          <w:highlight w:val="none"/>
        </w:rPr>
        <w:t>则其响应文件按无效响应处理。</w:t>
      </w:r>
    </w:p>
    <w:p w14:paraId="79B7C12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4159C10D">
      <w:pPr>
        <w:spacing w:line="360" w:lineRule="auto"/>
        <w:ind w:firstLine="480" w:firstLineChars="200"/>
        <w:contextualSpacing/>
        <w:jc w:val="left"/>
        <w:rPr>
          <w:rFonts w:hint="eastAsia" w:ascii="宋体" w:hAnsi="宋体" w:cs="宋体"/>
          <w:color w:val="auto"/>
          <w:szCs w:val="21"/>
          <w:highlight w:val="none"/>
        </w:rPr>
      </w:pPr>
      <w:r>
        <w:rPr>
          <w:rFonts w:hint="eastAsia" w:ascii="宋体" w:hAnsi="宋体" w:cs="宋体"/>
          <w:color w:val="auto"/>
          <w:sz w:val="24"/>
          <w:highlight w:val="none"/>
        </w:rPr>
        <w:t>3.法人、其他组织竞标时“我方”是指“我单位”，自然人竞标时“我方”是指“本人”。</w:t>
      </w:r>
    </w:p>
    <w:p w14:paraId="1CACC7CD">
      <w:pPr>
        <w:spacing w:line="360" w:lineRule="auto"/>
        <w:jc w:val="center"/>
        <w:rPr>
          <w:rFonts w:hint="eastAsia" w:ascii="宋体" w:hAnsi="宋体" w:cs="宋体"/>
          <w:bCs/>
          <w:color w:val="auto"/>
          <w:sz w:val="44"/>
          <w:szCs w:val="44"/>
          <w:highlight w:val="none"/>
        </w:rPr>
      </w:pPr>
      <w:r>
        <w:rPr>
          <w:rFonts w:hint="eastAsia" w:ascii="宋体" w:hAnsi="宋体" w:cs="宋体"/>
          <w:color w:val="auto"/>
          <w:sz w:val="32"/>
          <w:szCs w:val="32"/>
          <w:highlight w:val="none"/>
        </w:rPr>
        <w:br w:type="page"/>
      </w:r>
      <w:r>
        <w:rPr>
          <w:rFonts w:hint="eastAsia" w:ascii="宋体" w:hAnsi="宋体" w:cs="宋体"/>
          <w:bCs/>
          <w:color w:val="auto"/>
          <w:sz w:val="44"/>
          <w:szCs w:val="44"/>
          <w:highlight w:val="none"/>
        </w:rPr>
        <w:t>商务要求偏离表格式</w:t>
      </w:r>
    </w:p>
    <w:p w14:paraId="7D449576">
      <w:pPr>
        <w:spacing w:line="360" w:lineRule="auto"/>
        <w:jc w:val="center"/>
        <w:rPr>
          <w:rFonts w:hint="eastAsia" w:ascii="宋体" w:hAnsi="宋体" w:cs="宋体"/>
          <w:b/>
          <w:color w:val="auto"/>
          <w:sz w:val="28"/>
          <w:szCs w:val="28"/>
          <w:highlight w:val="none"/>
        </w:rPr>
      </w:pPr>
      <w:r>
        <w:rPr>
          <w:rFonts w:hint="eastAsia" w:ascii="宋体" w:hAnsi="宋体" w:cs="宋体"/>
          <w:bCs/>
          <w:color w:val="auto"/>
          <w:sz w:val="28"/>
          <w:szCs w:val="28"/>
          <w:highlight w:val="none"/>
        </w:rPr>
        <w:t>（注：按采购需求具体条款修改）</w:t>
      </w:r>
    </w:p>
    <w:p w14:paraId="68C97A7A">
      <w:pPr>
        <w:snapToGrid w:val="0"/>
        <w:spacing w:line="360" w:lineRule="auto"/>
        <w:jc w:val="left"/>
        <w:rPr>
          <w:rFonts w:hint="eastAsia" w:ascii="宋体" w:hAnsi="宋体" w:cs="宋体"/>
          <w:color w:val="auto"/>
          <w:sz w:val="24"/>
          <w:highlight w:val="none"/>
        </w:rPr>
      </w:pPr>
    </w:p>
    <w:p w14:paraId="034DBC28">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2C91211F">
      <w:pPr>
        <w:spacing w:line="360" w:lineRule="auto"/>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7CC2711B">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分标号（如有则填写，无分标时填写“无”或者留空）：</w:t>
      </w:r>
      <w:r>
        <w:rPr>
          <w:rFonts w:hint="eastAsia" w:ascii="宋体" w:hAnsi="宋体" w:cs="宋体"/>
          <w:color w:val="auto"/>
          <w:sz w:val="24"/>
          <w:highlight w:val="none"/>
          <w:u w:val="single"/>
        </w:rPr>
        <w:t xml:space="preserve">    /            </w:t>
      </w:r>
    </w:p>
    <w:tbl>
      <w:tblPr>
        <w:tblStyle w:val="27"/>
        <w:tblpPr w:leftFromText="180" w:rightFromText="180" w:vertAnchor="text" w:horzAnchor="margin" w:tblpY="311"/>
        <w:tblOverlap w:val="never"/>
        <w:tblW w:w="913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8"/>
        <w:gridCol w:w="2619"/>
        <w:gridCol w:w="2585"/>
        <w:gridCol w:w="1795"/>
      </w:tblGrid>
      <w:tr w14:paraId="7ACC7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2138" w:type="dxa"/>
            <w:tcBorders>
              <w:top w:val="single" w:color="auto" w:sz="4" w:space="0"/>
              <w:left w:val="single" w:color="auto" w:sz="4" w:space="0"/>
              <w:bottom w:val="single" w:color="auto" w:sz="4" w:space="0"/>
              <w:right w:val="single" w:color="auto" w:sz="4" w:space="0"/>
            </w:tcBorders>
            <w:vAlign w:val="center"/>
          </w:tcPr>
          <w:p w14:paraId="5B7D7347">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项目</w:t>
            </w:r>
          </w:p>
        </w:tc>
        <w:tc>
          <w:tcPr>
            <w:tcW w:w="2619" w:type="dxa"/>
            <w:tcBorders>
              <w:top w:val="single" w:color="auto" w:sz="4" w:space="0"/>
              <w:left w:val="single" w:color="auto" w:sz="4" w:space="0"/>
              <w:bottom w:val="single" w:color="auto" w:sz="4" w:space="0"/>
              <w:right w:val="single" w:color="auto" w:sz="4" w:space="0"/>
            </w:tcBorders>
            <w:vAlign w:val="center"/>
          </w:tcPr>
          <w:p w14:paraId="4F4B577D">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采购文件商务要求</w:t>
            </w:r>
          </w:p>
        </w:tc>
        <w:tc>
          <w:tcPr>
            <w:tcW w:w="2585" w:type="dxa"/>
            <w:tcBorders>
              <w:top w:val="single" w:color="auto" w:sz="4" w:space="0"/>
              <w:left w:val="single" w:color="auto" w:sz="4" w:space="0"/>
              <w:bottom w:val="single" w:color="auto" w:sz="4" w:space="0"/>
              <w:right w:val="single" w:color="auto" w:sz="4" w:space="0"/>
            </w:tcBorders>
            <w:vAlign w:val="center"/>
          </w:tcPr>
          <w:p w14:paraId="0F9F14A8">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供应商的响应</w:t>
            </w:r>
          </w:p>
        </w:tc>
        <w:tc>
          <w:tcPr>
            <w:tcW w:w="1795" w:type="dxa"/>
            <w:tcBorders>
              <w:top w:val="single" w:color="auto" w:sz="4" w:space="0"/>
              <w:left w:val="single" w:color="auto" w:sz="4" w:space="0"/>
              <w:bottom w:val="single" w:color="auto" w:sz="4" w:space="0"/>
              <w:right w:val="single" w:color="auto" w:sz="4" w:space="0"/>
            </w:tcBorders>
            <w:vAlign w:val="center"/>
          </w:tcPr>
          <w:p w14:paraId="122C20FF">
            <w:pPr>
              <w:snapToGrid w:val="0"/>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偏离说明</w:t>
            </w:r>
          </w:p>
        </w:tc>
      </w:tr>
      <w:tr w14:paraId="10A67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 w:hRule="atLeast"/>
        </w:trPr>
        <w:tc>
          <w:tcPr>
            <w:tcW w:w="2138" w:type="dxa"/>
            <w:tcBorders>
              <w:top w:val="single" w:color="auto" w:sz="4" w:space="0"/>
              <w:left w:val="single" w:color="auto" w:sz="4" w:space="0"/>
              <w:bottom w:val="single" w:color="auto" w:sz="4" w:space="0"/>
              <w:right w:val="single" w:color="auto" w:sz="4" w:space="0"/>
            </w:tcBorders>
            <w:vAlign w:val="center"/>
          </w:tcPr>
          <w:p w14:paraId="2A90DA1D">
            <w:pPr>
              <w:spacing w:line="440" w:lineRule="exact"/>
              <w:jc w:val="center"/>
              <w:rPr>
                <w:rFonts w:hint="eastAsia" w:ascii="宋体" w:hAnsi="宋体" w:cs="宋体"/>
                <w:color w:val="auto"/>
                <w:sz w:val="24"/>
                <w:highlight w:val="none"/>
              </w:rPr>
            </w:pPr>
          </w:p>
        </w:tc>
        <w:tc>
          <w:tcPr>
            <w:tcW w:w="2619" w:type="dxa"/>
            <w:tcBorders>
              <w:top w:val="single" w:color="auto" w:sz="4" w:space="0"/>
              <w:left w:val="single" w:color="auto" w:sz="4" w:space="0"/>
              <w:bottom w:val="single" w:color="auto" w:sz="4" w:space="0"/>
              <w:right w:val="single" w:color="auto" w:sz="4" w:space="0"/>
            </w:tcBorders>
            <w:vAlign w:val="center"/>
          </w:tcPr>
          <w:p w14:paraId="6C13F34C">
            <w:pPr>
              <w:spacing w:line="500" w:lineRule="exact"/>
              <w:jc w:val="center"/>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3740293A">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15B8D3E5">
            <w:pPr>
              <w:snapToGrid w:val="0"/>
              <w:spacing w:line="500" w:lineRule="exact"/>
              <w:jc w:val="center"/>
              <w:rPr>
                <w:rFonts w:hint="eastAsia" w:ascii="宋体" w:hAnsi="宋体" w:cs="宋体"/>
                <w:color w:val="auto"/>
                <w:sz w:val="24"/>
                <w:highlight w:val="none"/>
              </w:rPr>
            </w:pPr>
          </w:p>
        </w:tc>
      </w:tr>
      <w:tr w14:paraId="536F8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2138" w:type="dxa"/>
            <w:tcBorders>
              <w:top w:val="single" w:color="auto" w:sz="4" w:space="0"/>
              <w:left w:val="single" w:color="auto" w:sz="4" w:space="0"/>
              <w:bottom w:val="single" w:color="auto" w:sz="4" w:space="0"/>
              <w:right w:val="single" w:color="auto" w:sz="4" w:space="0"/>
            </w:tcBorders>
            <w:vAlign w:val="center"/>
          </w:tcPr>
          <w:p w14:paraId="170F1889">
            <w:pPr>
              <w:spacing w:line="440" w:lineRule="exact"/>
              <w:jc w:val="center"/>
              <w:rPr>
                <w:rFonts w:hint="eastAsia" w:ascii="宋体" w:hAnsi="宋体" w:cs="宋体"/>
                <w:color w:val="auto"/>
                <w:sz w:val="24"/>
                <w:highlight w:val="none"/>
              </w:rPr>
            </w:pPr>
          </w:p>
        </w:tc>
        <w:tc>
          <w:tcPr>
            <w:tcW w:w="2619" w:type="dxa"/>
            <w:tcBorders>
              <w:top w:val="single" w:color="auto" w:sz="4" w:space="0"/>
              <w:left w:val="single" w:color="auto" w:sz="4" w:space="0"/>
              <w:bottom w:val="single" w:color="auto" w:sz="4" w:space="0"/>
              <w:right w:val="single" w:color="auto" w:sz="4" w:space="0"/>
            </w:tcBorders>
            <w:vAlign w:val="center"/>
          </w:tcPr>
          <w:p w14:paraId="4E34785C">
            <w:pPr>
              <w:spacing w:line="500" w:lineRule="exact"/>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200A5FC5">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690DC3DA">
            <w:pPr>
              <w:snapToGrid w:val="0"/>
              <w:spacing w:line="500" w:lineRule="exact"/>
              <w:jc w:val="center"/>
              <w:rPr>
                <w:rFonts w:hint="eastAsia" w:ascii="宋体" w:hAnsi="宋体" w:cs="宋体"/>
                <w:color w:val="auto"/>
                <w:sz w:val="24"/>
                <w:highlight w:val="none"/>
              </w:rPr>
            </w:pPr>
          </w:p>
        </w:tc>
      </w:tr>
      <w:tr w14:paraId="39FA3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2138" w:type="dxa"/>
            <w:tcBorders>
              <w:top w:val="single" w:color="auto" w:sz="4" w:space="0"/>
              <w:left w:val="single" w:color="auto" w:sz="4" w:space="0"/>
              <w:bottom w:val="single" w:color="auto" w:sz="4" w:space="0"/>
              <w:right w:val="single" w:color="auto" w:sz="4" w:space="0"/>
            </w:tcBorders>
            <w:vAlign w:val="center"/>
          </w:tcPr>
          <w:p w14:paraId="49AB0769">
            <w:pPr>
              <w:spacing w:line="360" w:lineRule="auto"/>
              <w:jc w:val="center"/>
              <w:rPr>
                <w:rFonts w:hint="eastAsia" w:ascii="宋体" w:hAnsi="宋体" w:cs="宋体"/>
                <w:color w:val="auto"/>
                <w:sz w:val="24"/>
                <w:highlight w:val="none"/>
              </w:rPr>
            </w:pPr>
          </w:p>
        </w:tc>
        <w:tc>
          <w:tcPr>
            <w:tcW w:w="2619" w:type="dxa"/>
            <w:tcBorders>
              <w:top w:val="single" w:color="auto" w:sz="4" w:space="0"/>
              <w:left w:val="single" w:color="auto" w:sz="4" w:space="0"/>
              <w:bottom w:val="single" w:color="auto" w:sz="4" w:space="0"/>
              <w:right w:val="single" w:color="auto" w:sz="4" w:space="0"/>
            </w:tcBorders>
            <w:vAlign w:val="center"/>
          </w:tcPr>
          <w:p w14:paraId="00282839">
            <w:pPr>
              <w:snapToGrid w:val="0"/>
              <w:spacing w:line="500" w:lineRule="exact"/>
              <w:jc w:val="center"/>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335F55B5">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4B69F03B">
            <w:pPr>
              <w:snapToGrid w:val="0"/>
              <w:spacing w:line="500" w:lineRule="exact"/>
              <w:jc w:val="center"/>
              <w:rPr>
                <w:rFonts w:hint="eastAsia" w:ascii="宋体" w:hAnsi="宋体" w:cs="宋体"/>
                <w:color w:val="auto"/>
                <w:sz w:val="24"/>
                <w:highlight w:val="none"/>
              </w:rPr>
            </w:pPr>
          </w:p>
        </w:tc>
      </w:tr>
      <w:tr w14:paraId="0C347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2138" w:type="dxa"/>
            <w:tcBorders>
              <w:top w:val="single" w:color="auto" w:sz="4" w:space="0"/>
              <w:left w:val="single" w:color="auto" w:sz="4" w:space="0"/>
              <w:bottom w:val="single" w:color="auto" w:sz="4" w:space="0"/>
              <w:right w:val="single" w:color="auto" w:sz="4" w:space="0"/>
            </w:tcBorders>
            <w:vAlign w:val="center"/>
          </w:tcPr>
          <w:p w14:paraId="157A35AC">
            <w:pPr>
              <w:spacing w:line="360" w:lineRule="auto"/>
              <w:jc w:val="center"/>
              <w:rPr>
                <w:rFonts w:hint="eastAsia" w:ascii="宋体" w:hAnsi="宋体" w:cs="宋体"/>
                <w:color w:val="auto"/>
                <w:sz w:val="24"/>
                <w:highlight w:val="none"/>
              </w:rPr>
            </w:pPr>
          </w:p>
        </w:tc>
        <w:tc>
          <w:tcPr>
            <w:tcW w:w="2619" w:type="dxa"/>
            <w:tcBorders>
              <w:top w:val="single" w:color="auto" w:sz="4" w:space="0"/>
              <w:left w:val="single" w:color="auto" w:sz="4" w:space="0"/>
              <w:bottom w:val="single" w:color="auto" w:sz="4" w:space="0"/>
              <w:right w:val="single" w:color="auto" w:sz="4" w:space="0"/>
            </w:tcBorders>
            <w:vAlign w:val="center"/>
          </w:tcPr>
          <w:p w14:paraId="18F2F6C7">
            <w:pPr>
              <w:snapToGrid w:val="0"/>
              <w:spacing w:line="500" w:lineRule="exact"/>
              <w:jc w:val="center"/>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5AE88DC1">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267CF677">
            <w:pPr>
              <w:snapToGrid w:val="0"/>
              <w:spacing w:line="500" w:lineRule="exact"/>
              <w:jc w:val="center"/>
              <w:rPr>
                <w:rFonts w:hint="eastAsia" w:ascii="宋体" w:hAnsi="宋体" w:cs="宋体"/>
                <w:color w:val="auto"/>
                <w:sz w:val="24"/>
                <w:highlight w:val="none"/>
              </w:rPr>
            </w:pPr>
          </w:p>
        </w:tc>
      </w:tr>
      <w:tr w14:paraId="576C3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2138" w:type="dxa"/>
            <w:tcBorders>
              <w:top w:val="single" w:color="auto" w:sz="4" w:space="0"/>
              <w:left w:val="single" w:color="auto" w:sz="4" w:space="0"/>
              <w:bottom w:val="single" w:color="auto" w:sz="4" w:space="0"/>
              <w:right w:val="single" w:color="auto" w:sz="4" w:space="0"/>
            </w:tcBorders>
            <w:vAlign w:val="center"/>
          </w:tcPr>
          <w:p w14:paraId="5575EDEC">
            <w:pPr>
              <w:spacing w:line="360" w:lineRule="auto"/>
              <w:jc w:val="center"/>
              <w:rPr>
                <w:rFonts w:hint="eastAsia" w:ascii="宋体" w:hAnsi="宋体" w:cs="宋体"/>
                <w:color w:val="auto"/>
                <w:sz w:val="24"/>
                <w:highlight w:val="none"/>
              </w:rPr>
            </w:pPr>
          </w:p>
        </w:tc>
        <w:tc>
          <w:tcPr>
            <w:tcW w:w="2619" w:type="dxa"/>
            <w:tcBorders>
              <w:top w:val="single" w:color="auto" w:sz="4" w:space="0"/>
              <w:left w:val="single" w:color="auto" w:sz="4" w:space="0"/>
              <w:bottom w:val="single" w:color="auto" w:sz="4" w:space="0"/>
              <w:right w:val="single" w:color="auto" w:sz="4" w:space="0"/>
            </w:tcBorders>
            <w:vAlign w:val="center"/>
          </w:tcPr>
          <w:p w14:paraId="757223A3">
            <w:pPr>
              <w:snapToGrid w:val="0"/>
              <w:spacing w:line="500" w:lineRule="exact"/>
              <w:jc w:val="center"/>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485398A1">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73EEAAC7">
            <w:pPr>
              <w:snapToGrid w:val="0"/>
              <w:spacing w:line="500" w:lineRule="exact"/>
              <w:jc w:val="center"/>
              <w:rPr>
                <w:rFonts w:hint="eastAsia" w:ascii="宋体" w:hAnsi="宋体" w:cs="宋体"/>
                <w:color w:val="auto"/>
                <w:sz w:val="24"/>
                <w:highlight w:val="none"/>
              </w:rPr>
            </w:pPr>
          </w:p>
        </w:tc>
      </w:tr>
      <w:tr w14:paraId="3EF4F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2138" w:type="dxa"/>
            <w:tcBorders>
              <w:top w:val="single" w:color="auto" w:sz="4" w:space="0"/>
              <w:left w:val="single" w:color="auto" w:sz="4" w:space="0"/>
              <w:bottom w:val="single" w:color="auto" w:sz="4" w:space="0"/>
              <w:right w:val="single" w:color="auto" w:sz="4" w:space="0"/>
            </w:tcBorders>
            <w:vAlign w:val="center"/>
          </w:tcPr>
          <w:p w14:paraId="13447BDC">
            <w:pPr>
              <w:spacing w:line="360" w:lineRule="auto"/>
              <w:jc w:val="center"/>
              <w:rPr>
                <w:rFonts w:hint="eastAsia" w:ascii="宋体" w:hAnsi="宋体" w:cs="宋体"/>
                <w:color w:val="auto"/>
                <w:sz w:val="24"/>
                <w:highlight w:val="none"/>
              </w:rPr>
            </w:pPr>
          </w:p>
        </w:tc>
        <w:tc>
          <w:tcPr>
            <w:tcW w:w="2619" w:type="dxa"/>
            <w:tcBorders>
              <w:top w:val="single" w:color="auto" w:sz="4" w:space="0"/>
              <w:left w:val="single" w:color="auto" w:sz="4" w:space="0"/>
              <w:bottom w:val="single" w:color="auto" w:sz="4" w:space="0"/>
              <w:right w:val="single" w:color="auto" w:sz="4" w:space="0"/>
            </w:tcBorders>
            <w:vAlign w:val="center"/>
          </w:tcPr>
          <w:p w14:paraId="662EA0A1">
            <w:pPr>
              <w:snapToGrid w:val="0"/>
              <w:spacing w:line="500" w:lineRule="exact"/>
              <w:jc w:val="center"/>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4B5E7C9B">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3751AECF">
            <w:pPr>
              <w:snapToGrid w:val="0"/>
              <w:spacing w:line="500" w:lineRule="exact"/>
              <w:jc w:val="center"/>
              <w:rPr>
                <w:rFonts w:hint="eastAsia" w:ascii="宋体" w:hAnsi="宋体" w:cs="宋体"/>
                <w:color w:val="auto"/>
                <w:sz w:val="24"/>
                <w:highlight w:val="none"/>
              </w:rPr>
            </w:pPr>
          </w:p>
        </w:tc>
      </w:tr>
      <w:tr w14:paraId="0FE77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2138" w:type="dxa"/>
            <w:tcBorders>
              <w:top w:val="single" w:color="auto" w:sz="4" w:space="0"/>
              <w:left w:val="single" w:color="auto" w:sz="4" w:space="0"/>
              <w:bottom w:val="single" w:color="auto" w:sz="4" w:space="0"/>
              <w:right w:val="single" w:color="auto" w:sz="4" w:space="0"/>
            </w:tcBorders>
            <w:vAlign w:val="center"/>
          </w:tcPr>
          <w:p w14:paraId="6141B669">
            <w:pPr>
              <w:spacing w:line="360" w:lineRule="auto"/>
              <w:jc w:val="center"/>
              <w:rPr>
                <w:rFonts w:hint="eastAsia" w:ascii="宋体" w:hAnsi="宋体" w:cs="宋体"/>
                <w:color w:val="auto"/>
                <w:sz w:val="24"/>
                <w:highlight w:val="none"/>
              </w:rPr>
            </w:pPr>
          </w:p>
        </w:tc>
        <w:tc>
          <w:tcPr>
            <w:tcW w:w="2619" w:type="dxa"/>
            <w:tcBorders>
              <w:top w:val="single" w:color="auto" w:sz="4" w:space="0"/>
              <w:left w:val="single" w:color="auto" w:sz="4" w:space="0"/>
              <w:bottom w:val="single" w:color="auto" w:sz="4" w:space="0"/>
              <w:right w:val="single" w:color="auto" w:sz="4" w:space="0"/>
            </w:tcBorders>
            <w:vAlign w:val="center"/>
          </w:tcPr>
          <w:p w14:paraId="4BEF1031">
            <w:pPr>
              <w:snapToGrid w:val="0"/>
              <w:spacing w:line="500" w:lineRule="exact"/>
              <w:jc w:val="center"/>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5B9B556F">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5C1BA137">
            <w:pPr>
              <w:snapToGrid w:val="0"/>
              <w:spacing w:line="500" w:lineRule="exact"/>
              <w:jc w:val="center"/>
              <w:rPr>
                <w:rFonts w:hint="eastAsia" w:ascii="宋体" w:hAnsi="宋体" w:cs="宋体"/>
                <w:color w:val="auto"/>
                <w:sz w:val="24"/>
                <w:highlight w:val="none"/>
              </w:rPr>
            </w:pPr>
          </w:p>
        </w:tc>
      </w:tr>
      <w:tr w14:paraId="7832A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2138" w:type="dxa"/>
            <w:tcBorders>
              <w:top w:val="single" w:color="auto" w:sz="4" w:space="0"/>
              <w:left w:val="single" w:color="auto" w:sz="4" w:space="0"/>
              <w:bottom w:val="single" w:color="auto" w:sz="4" w:space="0"/>
              <w:right w:val="single" w:color="auto" w:sz="4" w:space="0"/>
            </w:tcBorders>
            <w:vAlign w:val="center"/>
          </w:tcPr>
          <w:p w14:paraId="208151B7">
            <w:pPr>
              <w:spacing w:line="360" w:lineRule="auto"/>
              <w:jc w:val="center"/>
              <w:rPr>
                <w:rFonts w:hint="eastAsia" w:ascii="宋体" w:hAnsi="宋体"/>
                <w:color w:val="auto"/>
                <w:sz w:val="24"/>
                <w:highlight w:val="none"/>
              </w:rPr>
            </w:pPr>
          </w:p>
        </w:tc>
        <w:tc>
          <w:tcPr>
            <w:tcW w:w="2619" w:type="dxa"/>
            <w:tcBorders>
              <w:top w:val="single" w:color="auto" w:sz="4" w:space="0"/>
              <w:left w:val="single" w:color="auto" w:sz="4" w:space="0"/>
              <w:bottom w:val="single" w:color="auto" w:sz="4" w:space="0"/>
              <w:right w:val="single" w:color="auto" w:sz="4" w:space="0"/>
            </w:tcBorders>
            <w:vAlign w:val="center"/>
          </w:tcPr>
          <w:p w14:paraId="10C4D048">
            <w:pPr>
              <w:snapToGrid w:val="0"/>
              <w:spacing w:line="500" w:lineRule="exact"/>
              <w:jc w:val="center"/>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42247C71">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6C94809E">
            <w:pPr>
              <w:snapToGrid w:val="0"/>
              <w:spacing w:line="500" w:lineRule="exact"/>
              <w:jc w:val="center"/>
              <w:rPr>
                <w:rFonts w:hint="eastAsia" w:ascii="宋体" w:hAnsi="宋体" w:cs="宋体"/>
                <w:color w:val="auto"/>
                <w:sz w:val="24"/>
                <w:highlight w:val="none"/>
              </w:rPr>
            </w:pPr>
          </w:p>
        </w:tc>
      </w:tr>
      <w:tr w14:paraId="73F95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2138" w:type="dxa"/>
            <w:tcBorders>
              <w:top w:val="single" w:color="auto" w:sz="4" w:space="0"/>
              <w:left w:val="single" w:color="auto" w:sz="4" w:space="0"/>
              <w:bottom w:val="single" w:color="auto" w:sz="4" w:space="0"/>
              <w:right w:val="single" w:color="auto" w:sz="4" w:space="0"/>
            </w:tcBorders>
            <w:vAlign w:val="center"/>
          </w:tcPr>
          <w:p w14:paraId="68B2D14B">
            <w:pPr>
              <w:spacing w:line="360" w:lineRule="auto"/>
              <w:jc w:val="center"/>
              <w:rPr>
                <w:rFonts w:hint="eastAsia" w:ascii="宋体" w:hAnsi="宋体"/>
                <w:color w:val="auto"/>
                <w:sz w:val="24"/>
                <w:highlight w:val="none"/>
              </w:rPr>
            </w:pPr>
            <w:r>
              <w:rPr>
                <w:rFonts w:hint="eastAsia" w:ascii="宋体" w:hAnsi="宋体"/>
                <w:color w:val="auto"/>
                <w:sz w:val="24"/>
                <w:highlight w:val="none"/>
              </w:rPr>
              <w:t>……</w:t>
            </w:r>
          </w:p>
        </w:tc>
        <w:tc>
          <w:tcPr>
            <w:tcW w:w="2619" w:type="dxa"/>
            <w:tcBorders>
              <w:top w:val="single" w:color="auto" w:sz="4" w:space="0"/>
              <w:left w:val="single" w:color="auto" w:sz="4" w:space="0"/>
              <w:bottom w:val="single" w:color="auto" w:sz="4" w:space="0"/>
              <w:right w:val="single" w:color="auto" w:sz="4" w:space="0"/>
            </w:tcBorders>
            <w:vAlign w:val="center"/>
          </w:tcPr>
          <w:p w14:paraId="6084F189">
            <w:pPr>
              <w:snapToGrid w:val="0"/>
              <w:spacing w:line="500" w:lineRule="exact"/>
              <w:jc w:val="center"/>
              <w:rPr>
                <w:rFonts w:hint="eastAsia" w:ascii="宋体" w:hAnsi="宋体" w:cs="宋体"/>
                <w:color w:val="auto"/>
                <w:sz w:val="24"/>
                <w:highlight w:val="none"/>
              </w:rPr>
            </w:pPr>
          </w:p>
        </w:tc>
        <w:tc>
          <w:tcPr>
            <w:tcW w:w="2585" w:type="dxa"/>
            <w:tcBorders>
              <w:top w:val="single" w:color="auto" w:sz="4" w:space="0"/>
              <w:left w:val="single" w:color="auto" w:sz="4" w:space="0"/>
              <w:bottom w:val="single" w:color="auto" w:sz="4" w:space="0"/>
              <w:right w:val="single" w:color="auto" w:sz="4" w:space="0"/>
            </w:tcBorders>
            <w:vAlign w:val="center"/>
          </w:tcPr>
          <w:p w14:paraId="6192CE5A">
            <w:pPr>
              <w:snapToGrid w:val="0"/>
              <w:spacing w:line="500" w:lineRule="exact"/>
              <w:jc w:val="center"/>
              <w:rPr>
                <w:rFonts w:hint="eastAsia" w:ascii="宋体" w:hAnsi="宋体" w:cs="宋体"/>
                <w:color w:val="auto"/>
                <w:sz w:val="24"/>
                <w:highlight w:val="none"/>
              </w:rPr>
            </w:pPr>
          </w:p>
        </w:tc>
        <w:tc>
          <w:tcPr>
            <w:tcW w:w="1795" w:type="dxa"/>
            <w:tcBorders>
              <w:top w:val="single" w:color="auto" w:sz="4" w:space="0"/>
              <w:left w:val="single" w:color="auto" w:sz="4" w:space="0"/>
              <w:bottom w:val="single" w:color="auto" w:sz="4" w:space="0"/>
              <w:right w:val="single" w:color="auto" w:sz="4" w:space="0"/>
            </w:tcBorders>
            <w:vAlign w:val="center"/>
          </w:tcPr>
          <w:p w14:paraId="51041233">
            <w:pPr>
              <w:snapToGrid w:val="0"/>
              <w:spacing w:line="500" w:lineRule="exact"/>
              <w:jc w:val="center"/>
              <w:rPr>
                <w:rFonts w:hint="eastAsia" w:ascii="宋体" w:hAnsi="宋体" w:cs="宋体"/>
                <w:color w:val="auto"/>
                <w:sz w:val="24"/>
                <w:highlight w:val="none"/>
              </w:rPr>
            </w:pPr>
          </w:p>
        </w:tc>
      </w:tr>
    </w:tbl>
    <w:p w14:paraId="730F1CFD">
      <w:pPr>
        <w:pStyle w:val="9"/>
        <w:spacing w:after="0" w:line="360" w:lineRule="auto"/>
        <w:contextualSpacing/>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137E6750">
      <w:pPr>
        <w:pStyle w:val="9"/>
        <w:spacing w:after="0" w:line="360" w:lineRule="auto"/>
        <w:contextualSpacing/>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1.说明：应对照采购文件“第三章 采购需求”中的商务要求逐条明确响应，并作出偏离说明。</w:t>
      </w:r>
    </w:p>
    <w:p w14:paraId="7B833FA5">
      <w:pPr>
        <w:pStyle w:val="9"/>
        <w:spacing w:after="0" w:line="360" w:lineRule="auto"/>
        <w:contextualSpacing/>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2.供应商应根据自身的承诺，对照采购文件要求在“偏离说明”中注明“正偏离”、“负偏离”或者“无偏离”。既不属于“正偏离”也不属于“负偏离”即为“无偏离”。</w:t>
      </w:r>
    </w:p>
    <w:p w14:paraId="1B6ACE0D">
      <w:pPr>
        <w:spacing w:line="360" w:lineRule="auto"/>
        <w:contextualSpacing/>
        <w:rPr>
          <w:rFonts w:hint="eastAsia" w:ascii="宋体" w:hAnsi="宋体" w:cs="宋体"/>
          <w:color w:val="auto"/>
          <w:sz w:val="24"/>
          <w:highlight w:val="none"/>
        </w:rPr>
      </w:pPr>
    </w:p>
    <w:p w14:paraId="05826D3D">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w:t>
      </w:r>
      <w:r>
        <w:rPr>
          <w:rFonts w:hint="eastAsia" w:ascii="宋体" w:hAnsi="宋体" w:cs="仿宋_GB2312"/>
          <w:color w:val="auto"/>
          <w:sz w:val="24"/>
          <w:highlight w:val="none"/>
        </w:rPr>
        <w:t>（签字或者电子签名）</w:t>
      </w:r>
      <w:r>
        <w:rPr>
          <w:rFonts w:hint="eastAsia" w:ascii="宋体" w:hAnsi="宋体" w:cs="宋体"/>
          <w:color w:val="auto"/>
          <w:sz w:val="24"/>
          <w:highlight w:val="none"/>
        </w:rPr>
        <w:t>：</w:t>
      </w:r>
    </w:p>
    <w:p w14:paraId="13064424">
      <w:pPr>
        <w:spacing w:line="360" w:lineRule="auto"/>
        <w:ind w:firstLine="3240" w:firstLineChars="1350"/>
        <w:contextualSpacing/>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 xml:space="preserve">：      </w:t>
      </w:r>
    </w:p>
    <w:p w14:paraId="7285D8A8">
      <w:pPr>
        <w:spacing w:line="360" w:lineRule="auto"/>
        <w:ind w:firstLine="3240" w:firstLineChars="1350"/>
        <w:contextualSpacing/>
        <w:rPr>
          <w:rFonts w:hint="eastAsia" w:ascii="宋体" w:hAnsi="宋体" w:cs="宋体"/>
          <w:bCs/>
          <w:color w:val="auto"/>
          <w:sz w:val="44"/>
          <w:szCs w:val="44"/>
          <w:highlight w:val="none"/>
        </w:rPr>
      </w:pPr>
      <w:r>
        <w:rPr>
          <w:rFonts w:hint="eastAsia" w:ascii="宋体" w:hAnsi="宋体" w:cs="宋体"/>
          <w:color w:val="auto"/>
          <w:sz w:val="24"/>
          <w:highlight w:val="none"/>
        </w:rPr>
        <w:t>日期：   年   月   日</w:t>
      </w:r>
    </w:p>
    <w:p w14:paraId="72F7A990">
      <w:pPr>
        <w:spacing w:line="360" w:lineRule="auto"/>
        <w:ind w:firstLine="5940" w:firstLineChars="1350"/>
        <w:contextualSpacing/>
        <w:rPr>
          <w:rFonts w:hint="eastAsia" w:ascii="宋体" w:hAnsi="宋体" w:cs="宋体"/>
          <w:color w:val="auto"/>
          <w:szCs w:val="21"/>
          <w:highlight w:val="none"/>
          <w:u w:val="single"/>
        </w:rPr>
      </w:pPr>
      <w:r>
        <w:rPr>
          <w:rFonts w:hint="eastAsia" w:ascii="宋体" w:hAnsi="宋体" w:cs="宋体"/>
          <w:bCs/>
          <w:color w:val="auto"/>
          <w:sz w:val="44"/>
          <w:szCs w:val="44"/>
          <w:highlight w:val="none"/>
        </w:rPr>
        <w:br w:type="page"/>
      </w:r>
    </w:p>
    <w:p w14:paraId="796E819D">
      <w:pPr>
        <w:adjustRightInd w:val="0"/>
        <w:snapToGrid w:val="0"/>
        <w:spacing w:line="360" w:lineRule="auto"/>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技术要求偏离表</w:t>
      </w:r>
    </w:p>
    <w:p w14:paraId="199A8516">
      <w:pPr>
        <w:spacing w:line="360" w:lineRule="auto"/>
        <w:rPr>
          <w:rFonts w:hint="eastAsia" w:ascii="宋体" w:hAnsi="宋体" w:cs="宋体"/>
          <w:color w:val="auto"/>
          <w:sz w:val="32"/>
          <w:szCs w:val="32"/>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242E9CCA">
      <w:pPr>
        <w:spacing w:line="360" w:lineRule="auto"/>
        <w:rPr>
          <w:rFonts w:hint="eastAsia" w:ascii="宋体" w:hAnsi="宋体" w:cs="宋体"/>
          <w:color w:val="auto"/>
          <w:sz w:val="24"/>
          <w:highlight w:val="non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697D1697">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分标号（如有则填写，无分标时填写“无”或者留空）：</w:t>
      </w:r>
      <w:r>
        <w:rPr>
          <w:rFonts w:hint="eastAsia" w:ascii="宋体" w:hAnsi="宋体" w:cs="宋体"/>
          <w:color w:val="auto"/>
          <w:sz w:val="24"/>
          <w:highlight w:val="none"/>
          <w:u w:val="single"/>
        </w:rPr>
        <w:t xml:space="preserve">    /          </w:t>
      </w:r>
    </w:p>
    <w:tbl>
      <w:tblPr>
        <w:tblStyle w:val="27"/>
        <w:tblW w:w="4909"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4"/>
        <w:gridCol w:w="916"/>
        <w:gridCol w:w="3049"/>
        <w:gridCol w:w="2742"/>
        <w:gridCol w:w="1497"/>
      </w:tblGrid>
      <w:tr w14:paraId="5CAD01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15" w:hRule="atLeast"/>
          <w:jc w:val="center"/>
        </w:trPr>
        <w:tc>
          <w:tcPr>
            <w:tcW w:w="501" w:type="pct"/>
            <w:vAlign w:val="center"/>
          </w:tcPr>
          <w:p w14:paraId="15617652">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序号</w:t>
            </w:r>
          </w:p>
        </w:tc>
        <w:tc>
          <w:tcPr>
            <w:tcW w:w="502" w:type="pct"/>
            <w:tcBorders>
              <w:right w:val="single" w:color="auto" w:sz="4" w:space="0"/>
            </w:tcBorders>
            <w:vAlign w:val="center"/>
          </w:tcPr>
          <w:p w14:paraId="0A918E08">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名称</w:t>
            </w:r>
          </w:p>
        </w:tc>
        <w:tc>
          <w:tcPr>
            <w:tcW w:w="1671" w:type="pct"/>
            <w:tcBorders>
              <w:left w:val="single" w:color="auto" w:sz="4" w:space="0"/>
            </w:tcBorders>
            <w:vAlign w:val="center"/>
          </w:tcPr>
          <w:p w14:paraId="788CC5D0">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采购文件技术要求</w:t>
            </w:r>
          </w:p>
        </w:tc>
        <w:tc>
          <w:tcPr>
            <w:tcW w:w="1503" w:type="pct"/>
            <w:vAlign w:val="center"/>
          </w:tcPr>
          <w:p w14:paraId="68964D13">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竞标响应</w:t>
            </w:r>
          </w:p>
        </w:tc>
        <w:tc>
          <w:tcPr>
            <w:tcW w:w="820" w:type="pct"/>
            <w:vAlign w:val="center"/>
          </w:tcPr>
          <w:p w14:paraId="2A366FD9">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偏离说明</w:t>
            </w:r>
          </w:p>
        </w:tc>
      </w:tr>
      <w:tr w14:paraId="7E716C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jc w:val="center"/>
        </w:trPr>
        <w:tc>
          <w:tcPr>
            <w:tcW w:w="501" w:type="pct"/>
            <w:vAlign w:val="center"/>
          </w:tcPr>
          <w:p w14:paraId="4C0103E4">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p>
        </w:tc>
        <w:tc>
          <w:tcPr>
            <w:tcW w:w="502" w:type="pct"/>
            <w:tcBorders>
              <w:right w:val="single" w:color="auto" w:sz="4" w:space="0"/>
            </w:tcBorders>
            <w:vAlign w:val="center"/>
          </w:tcPr>
          <w:p w14:paraId="0A7A4AAE">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671" w:type="pct"/>
            <w:tcBorders>
              <w:left w:val="single" w:color="auto" w:sz="4" w:space="0"/>
            </w:tcBorders>
            <w:vAlign w:val="center"/>
          </w:tcPr>
          <w:p w14:paraId="10FC704C">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503" w:type="pct"/>
            <w:vAlign w:val="center"/>
          </w:tcPr>
          <w:p w14:paraId="2759017B">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820" w:type="pct"/>
            <w:vAlign w:val="center"/>
          </w:tcPr>
          <w:p w14:paraId="0283A743">
            <w:pPr>
              <w:pStyle w:val="11"/>
              <w:spacing w:line="500" w:lineRule="exact"/>
              <w:ind w:firstLine="0" w:firstLineChars="0"/>
              <w:jc w:val="center"/>
              <w:rPr>
                <w:rFonts w:hint="eastAsia" w:ascii="宋体" w:hAnsi="宋体" w:eastAsia="宋体" w:cs="宋体"/>
                <w:color w:val="auto"/>
                <w:kern w:val="2"/>
                <w:sz w:val="24"/>
                <w:szCs w:val="24"/>
                <w:highlight w:val="none"/>
              </w:rPr>
            </w:pPr>
          </w:p>
        </w:tc>
      </w:tr>
      <w:tr w14:paraId="2F8DDF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jc w:val="center"/>
        </w:trPr>
        <w:tc>
          <w:tcPr>
            <w:tcW w:w="501" w:type="pct"/>
            <w:vAlign w:val="center"/>
          </w:tcPr>
          <w:p w14:paraId="31516FB4">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w:t>
            </w:r>
          </w:p>
        </w:tc>
        <w:tc>
          <w:tcPr>
            <w:tcW w:w="502" w:type="pct"/>
            <w:tcBorders>
              <w:right w:val="single" w:color="auto" w:sz="4" w:space="0"/>
            </w:tcBorders>
            <w:vAlign w:val="center"/>
          </w:tcPr>
          <w:p w14:paraId="6DDAEB58">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671" w:type="pct"/>
            <w:tcBorders>
              <w:left w:val="single" w:color="auto" w:sz="4" w:space="0"/>
            </w:tcBorders>
            <w:vAlign w:val="center"/>
          </w:tcPr>
          <w:p w14:paraId="07237272">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503" w:type="pct"/>
            <w:vAlign w:val="center"/>
          </w:tcPr>
          <w:p w14:paraId="553F2161">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820" w:type="pct"/>
            <w:vAlign w:val="center"/>
          </w:tcPr>
          <w:p w14:paraId="73C5A1DB">
            <w:pPr>
              <w:pStyle w:val="11"/>
              <w:spacing w:line="500" w:lineRule="exact"/>
              <w:ind w:firstLine="0" w:firstLineChars="0"/>
              <w:jc w:val="center"/>
              <w:rPr>
                <w:rFonts w:hint="eastAsia" w:ascii="宋体" w:hAnsi="宋体" w:eastAsia="宋体" w:cs="宋体"/>
                <w:color w:val="auto"/>
                <w:kern w:val="2"/>
                <w:sz w:val="24"/>
                <w:szCs w:val="24"/>
                <w:highlight w:val="none"/>
              </w:rPr>
            </w:pPr>
          </w:p>
        </w:tc>
      </w:tr>
      <w:tr w14:paraId="3968CC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jc w:val="center"/>
        </w:trPr>
        <w:tc>
          <w:tcPr>
            <w:tcW w:w="501" w:type="pct"/>
            <w:vAlign w:val="center"/>
          </w:tcPr>
          <w:p w14:paraId="2EF619D2">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p>
        </w:tc>
        <w:tc>
          <w:tcPr>
            <w:tcW w:w="502" w:type="pct"/>
            <w:tcBorders>
              <w:right w:val="single" w:color="auto" w:sz="4" w:space="0"/>
            </w:tcBorders>
            <w:vAlign w:val="center"/>
          </w:tcPr>
          <w:p w14:paraId="2EC3D6D1">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671" w:type="pct"/>
            <w:tcBorders>
              <w:left w:val="single" w:color="auto" w:sz="4" w:space="0"/>
            </w:tcBorders>
            <w:vAlign w:val="center"/>
          </w:tcPr>
          <w:p w14:paraId="1A2A074F">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503" w:type="pct"/>
            <w:vAlign w:val="center"/>
          </w:tcPr>
          <w:p w14:paraId="216DFD02">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820" w:type="pct"/>
            <w:vAlign w:val="center"/>
          </w:tcPr>
          <w:p w14:paraId="1EF536AF">
            <w:pPr>
              <w:pStyle w:val="11"/>
              <w:spacing w:line="500" w:lineRule="exact"/>
              <w:ind w:firstLine="0" w:firstLineChars="0"/>
              <w:jc w:val="center"/>
              <w:rPr>
                <w:rFonts w:hint="eastAsia" w:ascii="宋体" w:hAnsi="宋体" w:eastAsia="宋体" w:cs="宋体"/>
                <w:color w:val="auto"/>
                <w:kern w:val="2"/>
                <w:sz w:val="24"/>
                <w:szCs w:val="24"/>
                <w:highlight w:val="none"/>
              </w:rPr>
            </w:pPr>
          </w:p>
        </w:tc>
      </w:tr>
      <w:tr w14:paraId="4035F3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501" w:type="pct"/>
            <w:vAlign w:val="center"/>
          </w:tcPr>
          <w:p w14:paraId="621E9AD3">
            <w:pPr>
              <w:pStyle w:val="11"/>
              <w:spacing w:line="500" w:lineRule="exact"/>
              <w:ind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p>
        </w:tc>
        <w:tc>
          <w:tcPr>
            <w:tcW w:w="502" w:type="pct"/>
            <w:tcBorders>
              <w:right w:val="single" w:color="auto" w:sz="4" w:space="0"/>
            </w:tcBorders>
            <w:vAlign w:val="center"/>
          </w:tcPr>
          <w:p w14:paraId="41197641">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671" w:type="pct"/>
            <w:tcBorders>
              <w:left w:val="single" w:color="auto" w:sz="4" w:space="0"/>
            </w:tcBorders>
            <w:vAlign w:val="center"/>
          </w:tcPr>
          <w:p w14:paraId="7CDE8FD8">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1503" w:type="pct"/>
            <w:vAlign w:val="center"/>
          </w:tcPr>
          <w:p w14:paraId="27CC5D8B">
            <w:pPr>
              <w:pStyle w:val="11"/>
              <w:spacing w:line="500" w:lineRule="exact"/>
              <w:ind w:firstLine="0" w:firstLineChars="0"/>
              <w:jc w:val="center"/>
              <w:rPr>
                <w:rFonts w:hint="eastAsia" w:ascii="宋体" w:hAnsi="宋体" w:eastAsia="宋体" w:cs="宋体"/>
                <w:color w:val="auto"/>
                <w:kern w:val="2"/>
                <w:sz w:val="24"/>
                <w:szCs w:val="24"/>
                <w:highlight w:val="none"/>
              </w:rPr>
            </w:pPr>
          </w:p>
        </w:tc>
        <w:tc>
          <w:tcPr>
            <w:tcW w:w="820" w:type="pct"/>
            <w:tcBorders>
              <w:right w:val="single" w:color="auto" w:sz="4" w:space="0"/>
            </w:tcBorders>
            <w:vAlign w:val="center"/>
          </w:tcPr>
          <w:p w14:paraId="7370E361">
            <w:pPr>
              <w:pStyle w:val="11"/>
              <w:spacing w:line="500" w:lineRule="exact"/>
              <w:ind w:firstLine="0" w:firstLineChars="0"/>
              <w:jc w:val="center"/>
              <w:rPr>
                <w:rFonts w:hint="eastAsia" w:ascii="宋体" w:hAnsi="宋体" w:eastAsia="宋体" w:cs="宋体"/>
                <w:color w:val="auto"/>
                <w:kern w:val="2"/>
                <w:sz w:val="24"/>
                <w:szCs w:val="24"/>
                <w:highlight w:val="none"/>
              </w:rPr>
            </w:pPr>
          </w:p>
        </w:tc>
      </w:tr>
    </w:tbl>
    <w:p w14:paraId="3A85C81A">
      <w:pPr>
        <w:pStyle w:val="11"/>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BDFA4FF">
      <w:pPr>
        <w:pStyle w:val="11"/>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说明：应对照采购文件“第三章 采购需求”中的技术参数及性能（配置）要求逐条实质性响应，并作出偏离说明。</w:t>
      </w:r>
    </w:p>
    <w:p w14:paraId="590C126E">
      <w:pPr>
        <w:pStyle w:val="11"/>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2.供应商应根据竞标设备的性能指标，对照采购文件要求，在“偏离说明”中注明“正偏离”、“负偏离”或者“无偏离”。既不属于“正偏离”也不属于“负偏离”即为“无偏离”。</w:t>
      </w:r>
    </w:p>
    <w:p w14:paraId="330DA6DA">
      <w:pPr>
        <w:pStyle w:val="11"/>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3.表格内容均需按要求填写并盖章，不得留空，否则按竞标无效处理。</w:t>
      </w:r>
    </w:p>
    <w:p w14:paraId="05CD57B2">
      <w:pPr>
        <w:pStyle w:val="11"/>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如技术偏离表中的竞标响应与佐证材料不一致的，以佐证材料为准。</w:t>
      </w:r>
    </w:p>
    <w:p w14:paraId="5DA7F070">
      <w:pPr>
        <w:pStyle w:val="11"/>
        <w:spacing w:line="360" w:lineRule="auto"/>
        <w:ind w:firstLine="0" w:firstLineChars="0"/>
        <w:contextualSpacing/>
        <w:rPr>
          <w:rFonts w:hint="eastAsia" w:ascii="宋体" w:hAnsi="宋体" w:eastAsia="宋体" w:cs="宋体"/>
          <w:color w:val="auto"/>
          <w:sz w:val="24"/>
          <w:szCs w:val="24"/>
          <w:highlight w:val="none"/>
        </w:rPr>
      </w:pPr>
    </w:p>
    <w:p w14:paraId="2C191988">
      <w:pPr>
        <w:spacing w:line="360" w:lineRule="auto"/>
        <w:contextualSpacing/>
        <w:rPr>
          <w:rFonts w:hint="eastAsia" w:ascii="宋体" w:hAnsi="宋体" w:cs="宋体"/>
          <w:color w:val="auto"/>
          <w:sz w:val="24"/>
          <w:highlight w:val="none"/>
        </w:rPr>
      </w:pPr>
    </w:p>
    <w:p w14:paraId="787BB1B4">
      <w:pPr>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w:t>
      </w:r>
      <w:r>
        <w:rPr>
          <w:rFonts w:hint="eastAsia" w:ascii="宋体" w:hAnsi="宋体" w:cs="仿宋_GB2312"/>
          <w:color w:val="auto"/>
          <w:sz w:val="24"/>
          <w:highlight w:val="none"/>
        </w:rPr>
        <w:t>（签字或者电子签名）</w:t>
      </w:r>
      <w:r>
        <w:rPr>
          <w:rFonts w:hint="eastAsia" w:ascii="宋体" w:hAnsi="宋体" w:cs="宋体"/>
          <w:color w:val="auto"/>
          <w:sz w:val="24"/>
          <w:highlight w:val="none"/>
        </w:rPr>
        <w:t>：</w:t>
      </w:r>
    </w:p>
    <w:p w14:paraId="5CD5070D">
      <w:pPr>
        <w:spacing w:line="360" w:lineRule="auto"/>
        <w:ind w:firstLine="2880" w:firstLineChars="1200"/>
        <w:contextualSpacing/>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仿宋_GB2312"/>
          <w:color w:val="auto"/>
          <w:sz w:val="24"/>
          <w:highlight w:val="none"/>
        </w:rPr>
        <w:t>（电子签章）</w:t>
      </w:r>
      <w:r>
        <w:rPr>
          <w:rFonts w:hint="eastAsia" w:ascii="宋体" w:hAnsi="宋体" w:cs="宋体"/>
          <w:color w:val="auto"/>
          <w:sz w:val="24"/>
          <w:highlight w:val="none"/>
        </w:rPr>
        <w:t xml:space="preserve">：      </w:t>
      </w:r>
    </w:p>
    <w:p w14:paraId="3D83DEC4">
      <w:pPr>
        <w:spacing w:line="360" w:lineRule="auto"/>
        <w:ind w:firstLine="2880" w:firstLineChars="1200"/>
        <w:contextualSpacing/>
        <w:rPr>
          <w:rFonts w:hint="eastAsia" w:ascii="宋体" w:hAnsi="宋体" w:cs="宋体"/>
          <w:color w:val="auto"/>
          <w:sz w:val="32"/>
          <w:szCs w:val="32"/>
          <w:highlight w:val="none"/>
        </w:rPr>
      </w:pPr>
      <w:r>
        <w:rPr>
          <w:rFonts w:hint="eastAsia" w:ascii="宋体" w:hAnsi="宋体" w:cs="宋体"/>
          <w:color w:val="auto"/>
          <w:sz w:val="24"/>
          <w:highlight w:val="none"/>
        </w:rPr>
        <w:t>日期：   年   月   日</w:t>
      </w:r>
    </w:p>
    <w:p w14:paraId="5AAFFAF5">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14:paraId="34C62E4F">
      <w:pPr>
        <w:adjustRightInd w:val="0"/>
        <w:snapToGrid w:val="0"/>
        <w:spacing w:line="360" w:lineRule="auto"/>
        <w:jc w:val="center"/>
        <w:rPr>
          <w:rFonts w:hint="eastAsia" w:ascii="宋体" w:hAnsi="宋体" w:cs="宋体"/>
          <w:b/>
          <w:color w:val="auto"/>
          <w:sz w:val="32"/>
          <w:szCs w:val="32"/>
          <w:highlight w:val="none"/>
        </w:rPr>
      </w:pPr>
      <w:r>
        <w:rPr>
          <w:rFonts w:hint="eastAsia" w:ascii="宋体" w:hAnsi="宋体" w:cs="宋体"/>
          <w:bCs/>
          <w:color w:val="auto"/>
          <w:sz w:val="44"/>
          <w:szCs w:val="44"/>
          <w:highlight w:val="none"/>
        </w:rPr>
        <w:t>货物配置清单</w:t>
      </w:r>
    </w:p>
    <w:p w14:paraId="4CBE6371">
      <w:pPr>
        <w:tabs>
          <w:tab w:val="center" w:pos="4535"/>
        </w:tabs>
        <w:spacing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rPr>
        <w:tab/>
      </w:r>
    </w:p>
    <w:p w14:paraId="776CE38A">
      <w:pPr>
        <w:spacing w:line="360" w:lineRule="auto"/>
        <w:rPr>
          <w:rFonts w:hint="eastAsia"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545A6E8">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分标号（如有则填写，无分标时填写“无”或者留空）：</w:t>
      </w:r>
      <w:r>
        <w:rPr>
          <w:rFonts w:hint="eastAsia" w:ascii="宋体" w:hAnsi="宋体" w:cs="宋体"/>
          <w:color w:val="auto"/>
          <w:sz w:val="24"/>
          <w:highlight w:val="none"/>
          <w:u w:val="single"/>
        </w:rPr>
        <w:t xml:space="preserve">    /          </w:t>
      </w:r>
    </w:p>
    <w:tbl>
      <w:tblPr>
        <w:tblStyle w:val="27"/>
        <w:tblW w:w="93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9"/>
        <w:gridCol w:w="1145"/>
        <w:gridCol w:w="1078"/>
        <w:gridCol w:w="1050"/>
        <w:gridCol w:w="1481"/>
        <w:gridCol w:w="1035"/>
        <w:gridCol w:w="1100"/>
        <w:gridCol w:w="1763"/>
      </w:tblGrid>
      <w:tr w14:paraId="5F05A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79" w:type="dxa"/>
            <w:tcBorders>
              <w:top w:val="single" w:color="auto" w:sz="4" w:space="0"/>
              <w:left w:val="single" w:color="auto" w:sz="4" w:space="0"/>
              <w:bottom w:val="single" w:color="auto" w:sz="4" w:space="0"/>
              <w:right w:val="single" w:color="auto" w:sz="4" w:space="0"/>
            </w:tcBorders>
            <w:vAlign w:val="center"/>
          </w:tcPr>
          <w:p w14:paraId="1E762ADC">
            <w:pPr>
              <w:snapToGrid w:val="0"/>
              <w:spacing w:before="50" w:after="50"/>
              <w:jc w:val="center"/>
              <w:rPr>
                <w:rFonts w:hint="eastAsia" w:ascii="宋体" w:hAnsi="宋体" w:cs="宋体"/>
                <w:color w:val="auto"/>
                <w:sz w:val="24"/>
                <w:highlight w:val="none"/>
              </w:rPr>
            </w:pPr>
            <w:r>
              <w:rPr>
                <w:rFonts w:hint="eastAsia" w:ascii="宋体" w:hAnsi="宋体"/>
                <w:color w:val="auto"/>
                <w:sz w:val="24"/>
                <w:highlight w:val="none"/>
              </w:rPr>
              <w:t>序号</w:t>
            </w:r>
          </w:p>
        </w:tc>
        <w:tc>
          <w:tcPr>
            <w:tcW w:w="1145" w:type="dxa"/>
            <w:tcBorders>
              <w:top w:val="single" w:color="auto" w:sz="4" w:space="0"/>
              <w:left w:val="single" w:color="auto" w:sz="4" w:space="0"/>
              <w:bottom w:val="single" w:color="auto" w:sz="4" w:space="0"/>
              <w:right w:val="single" w:color="auto" w:sz="4" w:space="0"/>
            </w:tcBorders>
            <w:vAlign w:val="center"/>
          </w:tcPr>
          <w:p w14:paraId="3C7EE2E9">
            <w:pPr>
              <w:snapToGrid w:val="0"/>
              <w:spacing w:before="50" w:after="50"/>
              <w:jc w:val="center"/>
              <w:rPr>
                <w:rFonts w:hint="eastAsia" w:ascii="宋体" w:hAnsi="宋体" w:cs="宋体"/>
                <w:color w:val="auto"/>
                <w:sz w:val="24"/>
                <w:highlight w:val="none"/>
              </w:rPr>
            </w:pPr>
            <w:r>
              <w:rPr>
                <w:rFonts w:hint="eastAsia" w:ascii="宋体" w:hAnsi="宋体"/>
                <w:color w:val="auto"/>
                <w:sz w:val="24"/>
                <w:highlight w:val="none"/>
              </w:rPr>
              <w:t>货物名称</w:t>
            </w:r>
          </w:p>
        </w:tc>
        <w:tc>
          <w:tcPr>
            <w:tcW w:w="1078" w:type="dxa"/>
            <w:tcBorders>
              <w:top w:val="single" w:color="auto" w:sz="4" w:space="0"/>
              <w:left w:val="single" w:color="auto" w:sz="4" w:space="0"/>
              <w:bottom w:val="single" w:color="auto" w:sz="4" w:space="0"/>
              <w:right w:val="single" w:color="auto" w:sz="4" w:space="0"/>
            </w:tcBorders>
            <w:vAlign w:val="center"/>
          </w:tcPr>
          <w:p w14:paraId="34443C23">
            <w:pPr>
              <w:snapToGrid w:val="0"/>
              <w:spacing w:before="50" w:after="50"/>
              <w:jc w:val="center"/>
              <w:rPr>
                <w:rFonts w:hint="eastAsia" w:ascii="宋体" w:hAnsi="宋体" w:cs="宋体"/>
                <w:color w:val="auto"/>
                <w:sz w:val="24"/>
                <w:highlight w:val="none"/>
              </w:rPr>
            </w:pPr>
            <w:r>
              <w:rPr>
                <w:rFonts w:hint="eastAsia" w:ascii="宋体" w:hAnsi="宋体"/>
                <w:color w:val="auto"/>
                <w:sz w:val="24"/>
                <w:highlight w:val="none"/>
              </w:rPr>
              <w:t>数量及单位</w:t>
            </w:r>
          </w:p>
        </w:tc>
        <w:tc>
          <w:tcPr>
            <w:tcW w:w="1050" w:type="dxa"/>
            <w:tcBorders>
              <w:top w:val="single" w:color="auto" w:sz="4" w:space="0"/>
              <w:left w:val="single" w:color="auto" w:sz="4" w:space="0"/>
              <w:bottom w:val="single" w:color="auto" w:sz="4" w:space="0"/>
              <w:right w:val="single" w:color="auto" w:sz="4" w:space="0"/>
            </w:tcBorders>
            <w:vAlign w:val="center"/>
          </w:tcPr>
          <w:p w14:paraId="5330F46F">
            <w:pPr>
              <w:snapToGrid w:val="0"/>
              <w:spacing w:before="50" w:after="50"/>
              <w:jc w:val="center"/>
              <w:rPr>
                <w:rFonts w:hint="eastAsia" w:ascii="宋体" w:hAnsi="宋体" w:cs="宋体"/>
                <w:color w:val="auto"/>
                <w:sz w:val="24"/>
                <w:highlight w:val="none"/>
              </w:rPr>
            </w:pPr>
            <w:r>
              <w:rPr>
                <w:rFonts w:hint="eastAsia" w:ascii="宋体" w:hAnsi="宋体"/>
                <w:color w:val="auto"/>
                <w:sz w:val="24"/>
                <w:highlight w:val="none"/>
              </w:rPr>
              <w:t>品牌</w:t>
            </w:r>
          </w:p>
        </w:tc>
        <w:tc>
          <w:tcPr>
            <w:tcW w:w="1481" w:type="dxa"/>
            <w:tcBorders>
              <w:top w:val="single" w:color="auto" w:sz="4" w:space="0"/>
              <w:left w:val="single" w:color="auto" w:sz="4" w:space="0"/>
              <w:bottom w:val="single" w:color="auto" w:sz="4" w:space="0"/>
              <w:right w:val="single" w:color="auto" w:sz="4" w:space="0"/>
            </w:tcBorders>
          </w:tcPr>
          <w:p w14:paraId="7E660A1E">
            <w:pPr>
              <w:snapToGrid w:val="0"/>
              <w:spacing w:before="50" w:after="50"/>
              <w:jc w:val="center"/>
              <w:rPr>
                <w:rFonts w:hint="eastAsia" w:ascii="宋体" w:hAnsi="宋体"/>
                <w:color w:val="auto"/>
                <w:sz w:val="24"/>
                <w:highlight w:val="none"/>
              </w:rPr>
            </w:pPr>
          </w:p>
          <w:p w14:paraId="7268D8A4">
            <w:pPr>
              <w:snapToGrid w:val="0"/>
              <w:spacing w:before="50" w:after="50"/>
              <w:jc w:val="center"/>
              <w:rPr>
                <w:rFonts w:hint="eastAsia" w:ascii="宋体" w:hAnsi="宋体" w:cs="宋体"/>
                <w:color w:val="auto"/>
                <w:sz w:val="24"/>
                <w:highlight w:val="none"/>
              </w:rPr>
            </w:pPr>
            <w:r>
              <w:rPr>
                <w:rFonts w:hint="eastAsia" w:ascii="宋体" w:hAnsi="宋体"/>
                <w:color w:val="auto"/>
                <w:sz w:val="24"/>
                <w:highlight w:val="none"/>
              </w:rPr>
              <w:t>规格型号</w:t>
            </w:r>
          </w:p>
        </w:tc>
        <w:tc>
          <w:tcPr>
            <w:tcW w:w="1035" w:type="dxa"/>
            <w:tcBorders>
              <w:top w:val="single" w:color="auto" w:sz="4" w:space="0"/>
              <w:left w:val="single" w:color="auto" w:sz="4" w:space="0"/>
              <w:bottom w:val="single" w:color="auto" w:sz="4" w:space="0"/>
              <w:right w:val="single" w:color="auto" w:sz="4" w:space="0"/>
            </w:tcBorders>
            <w:vAlign w:val="center"/>
          </w:tcPr>
          <w:p w14:paraId="55CA686B">
            <w:pPr>
              <w:snapToGrid w:val="0"/>
              <w:spacing w:before="50" w:after="50"/>
              <w:jc w:val="center"/>
              <w:rPr>
                <w:rFonts w:hint="eastAsia" w:ascii="宋体" w:hAnsi="宋体" w:cs="宋体"/>
                <w:color w:val="auto"/>
                <w:sz w:val="24"/>
                <w:highlight w:val="none"/>
              </w:rPr>
            </w:pPr>
            <w:r>
              <w:rPr>
                <w:rFonts w:hint="eastAsia" w:ascii="宋体" w:hAnsi="宋体"/>
                <w:color w:val="auto"/>
                <w:sz w:val="24"/>
                <w:highlight w:val="none"/>
              </w:rPr>
              <w:t>制造商</w:t>
            </w:r>
          </w:p>
        </w:tc>
        <w:tc>
          <w:tcPr>
            <w:tcW w:w="1100" w:type="dxa"/>
            <w:tcBorders>
              <w:top w:val="single" w:color="auto" w:sz="4" w:space="0"/>
              <w:left w:val="single" w:color="auto" w:sz="4" w:space="0"/>
              <w:bottom w:val="single" w:color="auto" w:sz="4" w:space="0"/>
              <w:right w:val="single" w:color="auto" w:sz="4" w:space="0"/>
            </w:tcBorders>
            <w:vAlign w:val="center"/>
          </w:tcPr>
          <w:p w14:paraId="4EA74E36">
            <w:pPr>
              <w:snapToGrid w:val="0"/>
              <w:spacing w:before="50" w:after="50"/>
              <w:jc w:val="center"/>
              <w:rPr>
                <w:rFonts w:hint="eastAsia" w:ascii="宋体" w:hAnsi="宋体" w:cs="宋体"/>
                <w:color w:val="auto"/>
                <w:sz w:val="24"/>
                <w:highlight w:val="none"/>
              </w:rPr>
            </w:pPr>
            <w:r>
              <w:rPr>
                <w:rFonts w:hint="eastAsia" w:ascii="宋体" w:hAnsi="宋体"/>
                <w:color w:val="auto"/>
                <w:sz w:val="24"/>
                <w:highlight w:val="none"/>
              </w:rPr>
              <w:t>原产地</w:t>
            </w:r>
          </w:p>
        </w:tc>
        <w:tc>
          <w:tcPr>
            <w:tcW w:w="1763" w:type="dxa"/>
            <w:tcBorders>
              <w:top w:val="single" w:color="auto" w:sz="4" w:space="0"/>
              <w:left w:val="single" w:color="auto" w:sz="4" w:space="0"/>
              <w:bottom w:val="single" w:color="auto" w:sz="4" w:space="0"/>
              <w:right w:val="single" w:color="auto" w:sz="4" w:space="0"/>
            </w:tcBorders>
            <w:vAlign w:val="center"/>
          </w:tcPr>
          <w:p w14:paraId="6AC015AC">
            <w:pPr>
              <w:snapToGrid w:val="0"/>
              <w:spacing w:before="50" w:after="50"/>
              <w:jc w:val="center"/>
              <w:rPr>
                <w:rFonts w:hint="eastAsia" w:ascii="宋体" w:hAnsi="宋体" w:cs="宋体"/>
                <w:color w:val="auto"/>
                <w:sz w:val="24"/>
                <w:highlight w:val="none"/>
              </w:rPr>
            </w:pPr>
            <w:r>
              <w:rPr>
                <w:rFonts w:hint="eastAsia" w:ascii="宋体" w:hAnsi="宋体"/>
                <w:color w:val="auto"/>
                <w:sz w:val="24"/>
                <w:highlight w:val="none"/>
              </w:rPr>
              <w:t>参数性能、指标及配置</w:t>
            </w:r>
          </w:p>
        </w:tc>
      </w:tr>
      <w:tr w14:paraId="44DC4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679" w:type="dxa"/>
            <w:tcBorders>
              <w:top w:val="single" w:color="auto" w:sz="4" w:space="0"/>
              <w:left w:val="single" w:color="auto" w:sz="4" w:space="0"/>
              <w:bottom w:val="single" w:color="auto" w:sz="4" w:space="0"/>
              <w:right w:val="single" w:color="auto" w:sz="4" w:space="0"/>
            </w:tcBorders>
            <w:vAlign w:val="center"/>
          </w:tcPr>
          <w:p w14:paraId="2BDE394B">
            <w:pPr>
              <w:snapToGrid w:val="0"/>
              <w:spacing w:before="50" w:after="50"/>
              <w:jc w:val="center"/>
              <w:rPr>
                <w:rFonts w:hint="eastAsia" w:ascii="宋体" w:hAnsi="宋体" w:cs="宋体"/>
                <w:color w:val="auto"/>
                <w:sz w:val="24"/>
                <w:highlight w:val="none"/>
              </w:rPr>
            </w:pPr>
          </w:p>
        </w:tc>
        <w:tc>
          <w:tcPr>
            <w:tcW w:w="1145" w:type="dxa"/>
            <w:tcBorders>
              <w:top w:val="single" w:color="auto" w:sz="4" w:space="0"/>
              <w:left w:val="single" w:color="auto" w:sz="4" w:space="0"/>
              <w:bottom w:val="single" w:color="auto" w:sz="4" w:space="0"/>
              <w:right w:val="single" w:color="auto" w:sz="4" w:space="0"/>
            </w:tcBorders>
            <w:vAlign w:val="center"/>
          </w:tcPr>
          <w:p w14:paraId="0B5BFA9C">
            <w:pPr>
              <w:snapToGrid w:val="0"/>
              <w:spacing w:before="50" w:after="50"/>
              <w:jc w:val="center"/>
              <w:rPr>
                <w:rFonts w:hint="eastAsia" w:ascii="宋体" w:hAnsi="宋体" w:cs="宋体"/>
                <w:color w:val="auto"/>
                <w:sz w:val="24"/>
                <w:highlight w:val="none"/>
              </w:rPr>
            </w:pPr>
          </w:p>
        </w:tc>
        <w:tc>
          <w:tcPr>
            <w:tcW w:w="1078" w:type="dxa"/>
            <w:tcBorders>
              <w:top w:val="single" w:color="auto" w:sz="4" w:space="0"/>
              <w:left w:val="single" w:color="auto" w:sz="4" w:space="0"/>
              <w:bottom w:val="single" w:color="auto" w:sz="4" w:space="0"/>
              <w:right w:val="single" w:color="auto" w:sz="4" w:space="0"/>
            </w:tcBorders>
            <w:vAlign w:val="center"/>
          </w:tcPr>
          <w:p w14:paraId="00AAE29F">
            <w:pPr>
              <w:snapToGrid w:val="0"/>
              <w:spacing w:before="50" w:after="50"/>
              <w:jc w:val="center"/>
              <w:rPr>
                <w:rFonts w:hint="eastAsia" w:ascii="宋体" w:hAnsi="宋体" w:cs="宋体"/>
                <w:color w:val="auto"/>
                <w:sz w:val="24"/>
                <w:highlight w:val="none"/>
              </w:rPr>
            </w:pPr>
          </w:p>
        </w:tc>
        <w:tc>
          <w:tcPr>
            <w:tcW w:w="1050" w:type="dxa"/>
            <w:tcBorders>
              <w:top w:val="single" w:color="auto" w:sz="4" w:space="0"/>
              <w:left w:val="single" w:color="auto" w:sz="4" w:space="0"/>
              <w:bottom w:val="single" w:color="auto" w:sz="4" w:space="0"/>
              <w:right w:val="single" w:color="auto" w:sz="4" w:space="0"/>
            </w:tcBorders>
          </w:tcPr>
          <w:p w14:paraId="217C8072">
            <w:pPr>
              <w:snapToGrid w:val="0"/>
              <w:spacing w:before="50" w:after="50"/>
              <w:jc w:val="center"/>
              <w:rPr>
                <w:rFonts w:hint="eastAsia" w:ascii="宋体" w:hAnsi="宋体" w:cs="宋体"/>
                <w:color w:val="auto"/>
                <w:sz w:val="24"/>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E8BDE1F">
            <w:pPr>
              <w:snapToGrid w:val="0"/>
              <w:spacing w:before="50" w:after="50"/>
              <w:jc w:val="center"/>
              <w:rPr>
                <w:rFonts w:hint="eastAsia" w:ascii="宋体" w:hAnsi="宋体" w:cs="宋体"/>
                <w:color w:val="auto"/>
                <w:sz w:val="24"/>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170775BC">
            <w:pPr>
              <w:snapToGrid w:val="0"/>
              <w:spacing w:before="50" w:after="50"/>
              <w:jc w:val="center"/>
              <w:rPr>
                <w:rFonts w:hint="eastAsia" w:ascii="宋体" w:hAnsi="宋体" w:cs="宋体"/>
                <w:color w:val="auto"/>
                <w:sz w:val="24"/>
                <w:highlight w:val="none"/>
              </w:rPr>
            </w:pPr>
          </w:p>
        </w:tc>
        <w:tc>
          <w:tcPr>
            <w:tcW w:w="1100" w:type="dxa"/>
            <w:tcBorders>
              <w:top w:val="single" w:color="auto" w:sz="4" w:space="0"/>
              <w:left w:val="single" w:color="auto" w:sz="4" w:space="0"/>
              <w:bottom w:val="single" w:color="auto" w:sz="4" w:space="0"/>
              <w:right w:val="single" w:color="auto" w:sz="4" w:space="0"/>
            </w:tcBorders>
          </w:tcPr>
          <w:p w14:paraId="638A8141">
            <w:pPr>
              <w:snapToGrid w:val="0"/>
              <w:spacing w:before="50" w:after="50"/>
              <w:jc w:val="center"/>
              <w:rPr>
                <w:rFonts w:hint="eastAsia" w:ascii="宋体" w:hAnsi="宋体" w:cs="宋体"/>
                <w:color w:val="auto"/>
                <w:sz w:val="24"/>
                <w:highlight w:val="none"/>
              </w:rPr>
            </w:pPr>
          </w:p>
        </w:tc>
        <w:tc>
          <w:tcPr>
            <w:tcW w:w="1763" w:type="dxa"/>
            <w:tcBorders>
              <w:top w:val="single" w:color="auto" w:sz="4" w:space="0"/>
              <w:left w:val="single" w:color="auto" w:sz="4" w:space="0"/>
              <w:bottom w:val="single" w:color="auto" w:sz="4" w:space="0"/>
              <w:right w:val="single" w:color="auto" w:sz="4" w:space="0"/>
            </w:tcBorders>
          </w:tcPr>
          <w:p w14:paraId="1F269951">
            <w:pPr>
              <w:snapToGrid w:val="0"/>
              <w:spacing w:before="50" w:after="50"/>
              <w:jc w:val="center"/>
              <w:rPr>
                <w:rFonts w:hint="eastAsia" w:ascii="宋体" w:hAnsi="宋体" w:cs="宋体"/>
                <w:color w:val="auto"/>
                <w:sz w:val="24"/>
                <w:highlight w:val="none"/>
              </w:rPr>
            </w:pPr>
          </w:p>
        </w:tc>
      </w:tr>
      <w:tr w14:paraId="749AF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79" w:type="dxa"/>
            <w:tcBorders>
              <w:top w:val="single" w:color="auto" w:sz="4" w:space="0"/>
              <w:left w:val="single" w:color="auto" w:sz="4" w:space="0"/>
              <w:bottom w:val="single" w:color="auto" w:sz="4" w:space="0"/>
              <w:right w:val="single" w:color="auto" w:sz="4" w:space="0"/>
            </w:tcBorders>
            <w:vAlign w:val="center"/>
          </w:tcPr>
          <w:p w14:paraId="4E403FBE">
            <w:pPr>
              <w:snapToGrid w:val="0"/>
              <w:spacing w:before="50" w:after="50"/>
              <w:jc w:val="center"/>
              <w:rPr>
                <w:rFonts w:hint="eastAsia" w:ascii="宋体" w:hAnsi="宋体" w:cs="宋体"/>
                <w:color w:val="auto"/>
                <w:sz w:val="24"/>
                <w:highlight w:val="none"/>
              </w:rPr>
            </w:pPr>
          </w:p>
        </w:tc>
        <w:tc>
          <w:tcPr>
            <w:tcW w:w="1145" w:type="dxa"/>
            <w:tcBorders>
              <w:top w:val="single" w:color="auto" w:sz="4" w:space="0"/>
              <w:left w:val="single" w:color="auto" w:sz="4" w:space="0"/>
              <w:bottom w:val="single" w:color="auto" w:sz="4" w:space="0"/>
              <w:right w:val="single" w:color="auto" w:sz="4" w:space="0"/>
            </w:tcBorders>
            <w:vAlign w:val="center"/>
          </w:tcPr>
          <w:p w14:paraId="60B06155">
            <w:pPr>
              <w:snapToGrid w:val="0"/>
              <w:spacing w:before="50" w:after="50"/>
              <w:jc w:val="center"/>
              <w:rPr>
                <w:rFonts w:hint="eastAsia" w:ascii="宋体" w:hAnsi="宋体" w:cs="宋体"/>
                <w:color w:val="auto"/>
                <w:sz w:val="24"/>
                <w:highlight w:val="none"/>
              </w:rPr>
            </w:pPr>
          </w:p>
        </w:tc>
        <w:tc>
          <w:tcPr>
            <w:tcW w:w="1078" w:type="dxa"/>
            <w:tcBorders>
              <w:top w:val="single" w:color="auto" w:sz="4" w:space="0"/>
              <w:left w:val="single" w:color="auto" w:sz="4" w:space="0"/>
              <w:bottom w:val="single" w:color="auto" w:sz="4" w:space="0"/>
              <w:right w:val="single" w:color="auto" w:sz="4" w:space="0"/>
            </w:tcBorders>
            <w:vAlign w:val="center"/>
          </w:tcPr>
          <w:p w14:paraId="0099360B">
            <w:pPr>
              <w:snapToGrid w:val="0"/>
              <w:spacing w:before="50" w:after="50"/>
              <w:jc w:val="center"/>
              <w:rPr>
                <w:rFonts w:hint="eastAsia" w:ascii="宋体" w:hAnsi="宋体" w:cs="宋体"/>
                <w:color w:val="auto"/>
                <w:sz w:val="24"/>
                <w:highlight w:val="none"/>
              </w:rPr>
            </w:pPr>
          </w:p>
        </w:tc>
        <w:tc>
          <w:tcPr>
            <w:tcW w:w="1050" w:type="dxa"/>
            <w:tcBorders>
              <w:top w:val="single" w:color="auto" w:sz="4" w:space="0"/>
              <w:left w:val="single" w:color="auto" w:sz="4" w:space="0"/>
              <w:bottom w:val="single" w:color="auto" w:sz="4" w:space="0"/>
              <w:right w:val="single" w:color="auto" w:sz="4" w:space="0"/>
            </w:tcBorders>
          </w:tcPr>
          <w:p w14:paraId="5BDABE86">
            <w:pPr>
              <w:snapToGrid w:val="0"/>
              <w:spacing w:before="50" w:after="50"/>
              <w:jc w:val="center"/>
              <w:rPr>
                <w:rFonts w:hint="eastAsia" w:ascii="宋体" w:hAnsi="宋体" w:cs="宋体"/>
                <w:color w:val="auto"/>
                <w:sz w:val="24"/>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39FCC8B">
            <w:pPr>
              <w:snapToGrid w:val="0"/>
              <w:spacing w:before="50" w:after="50"/>
              <w:jc w:val="center"/>
              <w:rPr>
                <w:rFonts w:hint="eastAsia" w:ascii="宋体" w:hAnsi="宋体" w:cs="宋体"/>
                <w:color w:val="auto"/>
                <w:sz w:val="24"/>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4AE5CCD0">
            <w:pPr>
              <w:snapToGrid w:val="0"/>
              <w:spacing w:before="50" w:after="50"/>
              <w:jc w:val="center"/>
              <w:rPr>
                <w:rFonts w:hint="eastAsia" w:ascii="宋体" w:hAnsi="宋体" w:cs="宋体"/>
                <w:color w:val="auto"/>
                <w:sz w:val="24"/>
                <w:highlight w:val="none"/>
              </w:rPr>
            </w:pPr>
          </w:p>
        </w:tc>
        <w:tc>
          <w:tcPr>
            <w:tcW w:w="1100" w:type="dxa"/>
            <w:tcBorders>
              <w:top w:val="single" w:color="auto" w:sz="4" w:space="0"/>
              <w:left w:val="single" w:color="auto" w:sz="4" w:space="0"/>
              <w:bottom w:val="single" w:color="auto" w:sz="4" w:space="0"/>
              <w:right w:val="single" w:color="auto" w:sz="4" w:space="0"/>
            </w:tcBorders>
          </w:tcPr>
          <w:p w14:paraId="0EBE0E52">
            <w:pPr>
              <w:snapToGrid w:val="0"/>
              <w:spacing w:before="50" w:after="50"/>
              <w:jc w:val="center"/>
              <w:rPr>
                <w:rFonts w:hint="eastAsia" w:ascii="宋体" w:hAnsi="宋体" w:cs="宋体"/>
                <w:color w:val="auto"/>
                <w:sz w:val="24"/>
                <w:highlight w:val="none"/>
              </w:rPr>
            </w:pPr>
          </w:p>
        </w:tc>
        <w:tc>
          <w:tcPr>
            <w:tcW w:w="1763" w:type="dxa"/>
            <w:tcBorders>
              <w:top w:val="single" w:color="auto" w:sz="4" w:space="0"/>
              <w:left w:val="single" w:color="auto" w:sz="4" w:space="0"/>
              <w:bottom w:val="single" w:color="auto" w:sz="4" w:space="0"/>
              <w:right w:val="single" w:color="auto" w:sz="4" w:space="0"/>
            </w:tcBorders>
          </w:tcPr>
          <w:p w14:paraId="752488AD">
            <w:pPr>
              <w:snapToGrid w:val="0"/>
              <w:spacing w:before="50" w:after="50"/>
              <w:jc w:val="center"/>
              <w:rPr>
                <w:rFonts w:hint="eastAsia" w:ascii="宋体" w:hAnsi="宋体" w:cs="宋体"/>
                <w:color w:val="auto"/>
                <w:sz w:val="24"/>
                <w:highlight w:val="none"/>
              </w:rPr>
            </w:pPr>
          </w:p>
        </w:tc>
      </w:tr>
      <w:tr w14:paraId="69E205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79" w:type="dxa"/>
            <w:tcBorders>
              <w:top w:val="single" w:color="auto" w:sz="4" w:space="0"/>
              <w:left w:val="single" w:color="auto" w:sz="4" w:space="0"/>
              <w:bottom w:val="single" w:color="auto" w:sz="4" w:space="0"/>
              <w:right w:val="single" w:color="auto" w:sz="4" w:space="0"/>
            </w:tcBorders>
            <w:vAlign w:val="center"/>
          </w:tcPr>
          <w:p w14:paraId="4F9B311F">
            <w:pPr>
              <w:snapToGrid w:val="0"/>
              <w:spacing w:before="50" w:after="50"/>
              <w:jc w:val="center"/>
              <w:rPr>
                <w:rFonts w:hint="eastAsia" w:ascii="宋体" w:hAnsi="宋体" w:cs="宋体"/>
                <w:color w:val="auto"/>
                <w:sz w:val="24"/>
                <w:highlight w:val="none"/>
              </w:rPr>
            </w:pPr>
          </w:p>
        </w:tc>
        <w:tc>
          <w:tcPr>
            <w:tcW w:w="1145" w:type="dxa"/>
            <w:tcBorders>
              <w:top w:val="single" w:color="auto" w:sz="4" w:space="0"/>
              <w:left w:val="single" w:color="auto" w:sz="4" w:space="0"/>
              <w:bottom w:val="single" w:color="auto" w:sz="4" w:space="0"/>
              <w:right w:val="single" w:color="auto" w:sz="4" w:space="0"/>
            </w:tcBorders>
            <w:vAlign w:val="center"/>
          </w:tcPr>
          <w:p w14:paraId="791BF39E">
            <w:pPr>
              <w:snapToGrid w:val="0"/>
              <w:spacing w:before="50" w:after="50"/>
              <w:jc w:val="center"/>
              <w:rPr>
                <w:rFonts w:hint="eastAsia" w:ascii="宋体" w:hAnsi="宋体" w:cs="宋体"/>
                <w:color w:val="auto"/>
                <w:sz w:val="24"/>
                <w:highlight w:val="none"/>
              </w:rPr>
            </w:pPr>
          </w:p>
        </w:tc>
        <w:tc>
          <w:tcPr>
            <w:tcW w:w="1078" w:type="dxa"/>
            <w:tcBorders>
              <w:top w:val="single" w:color="auto" w:sz="4" w:space="0"/>
              <w:left w:val="single" w:color="auto" w:sz="4" w:space="0"/>
              <w:bottom w:val="single" w:color="auto" w:sz="4" w:space="0"/>
              <w:right w:val="single" w:color="auto" w:sz="4" w:space="0"/>
            </w:tcBorders>
            <w:vAlign w:val="center"/>
          </w:tcPr>
          <w:p w14:paraId="5FBD6519">
            <w:pPr>
              <w:snapToGrid w:val="0"/>
              <w:spacing w:before="50" w:after="50"/>
              <w:jc w:val="center"/>
              <w:rPr>
                <w:rFonts w:hint="eastAsia" w:ascii="宋体" w:hAnsi="宋体" w:cs="宋体"/>
                <w:color w:val="auto"/>
                <w:sz w:val="24"/>
                <w:highlight w:val="none"/>
              </w:rPr>
            </w:pPr>
          </w:p>
        </w:tc>
        <w:tc>
          <w:tcPr>
            <w:tcW w:w="1050" w:type="dxa"/>
            <w:tcBorders>
              <w:top w:val="single" w:color="auto" w:sz="4" w:space="0"/>
              <w:left w:val="single" w:color="auto" w:sz="4" w:space="0"/>
              <w:bottom w:val="single" w:color="auto" w:sz="4" w:space="0"/>
              <w:right w:val="single" w:color="auto" w:sz="4" w:space="0"/>
            </w:tcBorders>
          </w:tcPr>
          <w:p w14:paraId="6070E173">
            <w:pPr>
              <w:snapToGrid w:val="0"/>
              <w:spacing w:before="50" w:after="50"/>
              <w:jc w:val="center"/>
              <w:rPr>
                <w:rFonts w:hint="eastAsia" w:ascii="宋体" w:hAnsi="宋体" w:cs="宋体"/>
                <w:color w:val="auto"/>
                <w:sz w:val="24"/>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7D4AA26">
            <w:pPr>
              <w:snapToGrid w:val="0"/>
              <w:spacing w:before="50" w:after="50"/>
              <w:jc w:val="center"/>
              <w:rPr>
                <w:rFonts w:hint="eastAsia" w:ascii="宋体" w:hAnsi="宋体" w:cs="宋体"/>
                <w:color w:val="auto"/>
                <w:sz w:val="24"/>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64AEF045">
            <w:pPr>
              <w:snapToGrid w:val="0"/>
              <w:spacing w:before="50" w:after="50"/>
              <w:jc w:val="center"/>
              <w:rPr>
                <w:rFonts w:hint="eastAsia" w:ascii="宋体" w:hAnsi="宋体" w:cs="宋体"/>
                <w:color w:val="auto"/>
                <w:sz w:val="24"/>
                <w:highlight w:val="none"/>
              </w:rPr>
            </w:pPr>
          </w:p>
        </w:tc>
        <w:tc>
          <w:tcPr>
            <w:tcW w:w="1100" w:type="dxa"/>
            <w:tcBorders>
              <w:top w:val="single" w:color="auto" w:sz="4" w:space="0"/>
              <w:left w:val="single" w:color="auto" w:sz="4" w:space="0"/>
              <w:bottom w:val="single" w:color="auto" w:sz="4" w:space="0"/>
              <w:right w:val="single" w:color="auto" w:sz="4" w:space="0"/>
            </w:tcBorders>
          </w:tcPr>
          <w:p w14:paraId="3DC81338">
            <w:pPr>
              <w:snapToGrid w:val="0"/>
              <w:spacing w:before="50" w:after="50"/>
              <w:jc w:val="center"/>
              <w:rPr>
                <w:rFonts w:hint="eastAsia" w:ascii="宋体" w:hAnsi="宋体" w:cs="宋体"/>
                <w:color w:val="auto"/>
                <w:sz w:val="24"/>
                <w:highlight w:val="none"/>
              </w:rPr>
            </w:pPr>
          </w:p>
        </w:tc>
        <w:tc>
          <w:tcPr>
            <w:tcW w:w="1763" w:type="dxa"/>
            <w:tcBorders>
              <w:top w:val="single" w:color="auto" w:sz="4" w:space="0"/>
              <w:left w:val="single" w:color="auto" w:sz="4" w:space="0"/>
              <w:bottom w:val="single" w:color="auto" w:sz="4" w:space="0"/>
              <w:right w:val="single" w:color="auto" w:sz="4" w:space="0"/>
            </w:tcBorders>
          </w:tcPr>
          <w:p w14:paraId="703E4948">
            <w:pPr>
              <w:snapToGrid w:val="0"/>
              <w:spacing w:before="50" w:after="50"/>
              <w:jc w:val="center"/>
              <w:rPr>
                <w:rFonts w:hint="eastAsia" w:ascii="宋体" w:hAnsi="宋体" w:cs="宋体"/>
                <w:color w:val="auto"/>
                <w:sz w:val="24"/>
                <w:highlight w:val="none"/>
              </w:rPr>
            </w:pPr>
          </w:p>
        </w:tc>
      </w:tr>
    </w:tbl>
    <w:p w14:paraId="2605A729">
      <w:pPr>
        <w:spacing w:line="360" w:lineRule="auto"/>
        <w:contextualSpacing/>
        <w:rPr>
          <w:rFonts w:hint="eastAsia" w:ascii="宋体" w:hAnsi="宋体" w:cs="宋体"/>
          <w:color w:val="auto"/>
          <w:sz w:val="24"/>
          <w:highlight w:val="none"/>
        </w:rPr>
      </w:pPr>
    </w:p>
    <w:p w14:paraId="7161237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备注：</w:t>
      </w:r>
    </w:p>
    <w:p w14:paraId="28F4612A">
      <w:pPr>
        <w:tabs>
          <w:tab w:val="left" w:pos="1065"/>
        </w:tabs>
        <w:adjustRightInd w:val="0"/>
        <w:spacing w:line="360" w:lineRule="auto"/>
        <w:contextualSpacing/>
        <w:rPr>
          <w:rFonts w:hint="eastAsia" w:ascii="宋体" w:hAnsi="宋体" w:cs="宋体"/>
          <w:color w:val="auto"/>
          <w:sz w:val="24"/>
          <w:highlight w:val="none"/>
        </w:rPr>
      </w:pPr>
      <w:r>
        <w:rPr>
          <w:rFonts w:hint="eastAsia" w:ascii="宋体" w:hAnsi="宋体" w:cs="宋体"/>
          <w:b/>
          <w:bCs/>
          <w:color w:val="auto"/>
          <w:sz w:val="24"/>
          <w:highlight w:val="none"/>
        </w:rPr>
        <w:t>以上货物配置清单中“货物名称、数量、单位、品牌、规格型号、生产厂家、产地、参数性能、指标及配置”必须如实填写完整，品牌、规格型号没有则填无。填写有缺漏的，响应文件按无效响应处理</w:t>
      </w:r>
      <w:r>
        <w:rPr>
          <w:rFonts w:hint="eastAsia" w:ascii="宋体" w:hAnsi="宋体" w:cs="宋体"/>
          <w:b/>
          <w:color w:val="auto"/>
          <w:sz w:val="24"/>
          <w:highlight w:val="none"/>
        </w:rPr>
        <w:t>。</w:t>
      </w:r>
      <w:r>
        <w:rPr>
          <w:rFonts w:hint="eastAsia" w:ascii="宋体" w:hAnsi="宋体" w:cs="宋体"/>
          <w:color w:val="auto"/>
          <w:sz w:val="24"/>
          <w:highlight w:val="none"/>
        </w:rPr>
        <w:t>货物名称、数量、单位、品牌等必须与“竞标报价表”一致，</w:t>
      </w:r>
      <w:r>
        <w:rPr>
          <w:rFonts w:hint="eastAsia" w:ascii="宋体" w:hAnsi="宋体" w:cs="宋体"/>
          <w:bCs/>
          <w:color w:val="auto"/>
          <w:sz w:val="24"/>
          <w:highlight w:val="none"/>
        </w:rPr>
        <w:t>否则响应文件按无效响应处理</w:t>
      </w:r>
      <w:r>
        <w:rPr>
          <w:rFonts w:hint="eastAsia" w:ascii="宋体" w:hAnsi="宋体" w:cs="宋体"/>
          <w:b w:val="0"/>
          <w:bCs/>
          <w:color w:val="auto"/>
          <w:sz w:val="24"/>
          <w:highlight w:val="none"/>
        </w:rPr>
        <w:t>。</w:t>
      </w:r>
      <w:r>
        <w:rPr>
          <w:rFonts w:hint="eastAsia" w:ascii="宋体" w:hAnsi="宋体" w:cs="宋体"/>
          <w:color w:val="auto"/>
          <w:sz w:val="24"/>
          <w:highlight w:val="none"/>
        </w:rPr>
        <w:tab/>
      </w:r>
    </w:p>
    <w:p w14:paraId="54E40695">
      <w:pPr>
        <w:adjustRightInd w:val="0"/>
        <w:spacing w:line="360" w:lineRule="auto"/>
        <w:contextualSpacing/>
        <w:jc w:val="left"/>
        <w:rPr>
          <w:rFonts w:hint="eastAsia" w:ascii="宋体" w:hAnsi="宋体" w:cs="宋体"/>
          <w:color w:val="auto"/>
          <w:sz w:val="24"/>
          <w:highlight w:val="none"/>
        </w:rPr>
      </w:pPr>
    </w:p>
    <w:p w14:paraId="268C666F">
      <w:pPr>
        <w:adjustRightInd w:val="0"/>
        <w:spacing w:line="360" w:lineRule="auto"/>
        <w:contextualSpacing/>
        <w:jc w:val="left"/>
        <w:rPr>
          <w:rFonts w:hint="eastAsia" w:ascii="宋体" w:hAnsi="宋体" w:cs="宋体"/>
          <w:color w:val="auto"/>
          <w:sz w:val="24"/>
          <w:highlight w:val="none"/>
        </w:rPr>
      </w:pPr>
    </w:p>
    <w:p w14:paraId="56EC0D39">
      <w:pPr>
        <w:adjustRightInd w:val="0"/>
        <w:spacing w:line="360" w:lineRule="auto"/>
        <w:contextualSpacing/>
        <w:jc w:val="left"/>
        <w:rPr>
          <w:rFonts w:hint="eastAsia" w:ascii="宋体" w:hAnsi="宋体" w:cs="宋体"/>
          <w:color w:val="auto"/>
          <w:sz w:val="24"/>
          <w:highlight w:val="none"/>
        </w:rPr>
      </w:pPr>
    </w:p>
    <w:p w14:paraId="6E06B6F7">
      <w:pPr>
        <w:spacing w:line="360" w:lineRule="auto"/>
        <w:ind w:firstLine="3240" w:firstLineChars="1350"/>
        <w:contextualSpacing/>
        <w:rPr>
          <w:rFonts w:hint="eastAsia"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lang w:val="en-US" w:eastAsia="zh-CN"/>
        </w:rPr>
        <w:t>名称</w:t>
      </w:r>
      <w:r>
        <w:rPr>
          <w:rFonts w:hint="eastAsia" w:ascii="宋体" w:hAnsi="宋体" w:cs="仿宋_GB2312"/>
          <w:color w:val="auto"/>
          <w:sz w:val="24"/>
          <w:highlight w:val="none"/>
        </w:rPr>
        <w:t>（电子签章）</w:t>
      </w:r>
      <w:r>
        <w:rPr>
          <w:rFonts w:hint="eastAsia" w:ascii="宋体" w:hAnsi="宋体" w:cs="宋体"/>
          <w:color w:val="auto"/>
          <w:sz w:val="24"/>
          <w:highlight w:val="none"/>
        </w:rPr>
        <w:t xml:space="preserve">：      </w:t>
      </w:r>
    </w:p>
    <w:p w14:paraId="71CF891D">
      <w:pPr>
        <w:spacing w:line="360" w:lineRule="auto"/>
        <w:ind w:firstLine="3240" w:firstLineChars="135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3B761F48">
      <w:pPr>
        <w:spacing w:line="360" w:lineRule="auto"/>
        <w:rPr>
          <w:rFonts w:hint="eastAsia" w:ascii="宋体" w:hAnsi="宋体" w:cs="宋体"/>
          <w:color w:val="auto"/>
          <w:szCs w:val="21"/>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其他文书、文件格式</w:t>
      </w:r>
    </w:p>
    <w:p w14:paraId="0ED80D8D">
      <w:pPr>
        <w:keepNext/>
        <w:keepLines/>
        <w:spacing w:before="260" w:after="260" w:line="416" w:lineRule="auto"/>
        <w:jc w:val="center"/>
        <w:rPr>
          <w:rFonts w:hint="eastAsia"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rPr>
        <w:t>关于符合本国产品标准的声明函</w:t>
      </w:r>
      <w:r>
        <w:rPr>
          <w:rFonts w:hint="eastAsia" w:ascii="宋体" w:hAnsi="宋体" w:eastAsia="宋体" w:cs="宋体"/>
          <w:color w:val="auto"/>
          <w:sz w:val="44"/>
          <w:szCs w:val="44"/>
          <w:highlight w:val="none"/>
          <w:lang w:eastAsia="zh-CN"/>
        </w:rPr>
        <w:t>（</w:t>
      </w:r>
      <w:r>
        <w:rPr>
          <w:rFonts w:hint="eastAsia" w:ascii="宋体" w:hAnsi="宋体" w:eastAsia="宋体" w:cs="宋体"/>
          <w:color w:val="auto"/>
          <w:sz w:val="44"/>
          <w:szCs w:val="44"/>
          <w:highlight w:val="none"/>
          <w:lang w:val="en-US" w:eastAsia="zh-CN"/>
        </w:rPr>
        <w:t>格式</w:t>
      </w:r>
      <w:r>
        <w:rPr>
          <w:rFonts w:hint="eastAsia" w:ascii="宋体" w:hAnsi="宋体" w:eastAsia="宋体" w:cs="宋体"/>
          <w:color w:val="auto"/>
          <w:sz w:val="44"/>
          <w:szCs w:val="44"/>
          <w:highlight w:val="none"/>
          <w:lang w:eastAsia="zh-CN"/>
        </w:rPr>
        <w:t>）</w:t>
      </w:r>
    </w:p>
    <w:p w14:paraId="077659F9">
      <w:pPr>
        <w:spacing w:line="360" w:lineRule="auto"/>
        <w:ind w:left="-426" w:right="142" w:firstLine="56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7E571B45">
      <w:pPr>
        <w:widowControl/>
        <w:shd w:val="clear" w:color="auto" w:fill="FFFFFF"/>
        <w:spacing w:before="30" w:after="30" w:line="360" w:lineRule="auto"/>
        <w:ind w:firstLine="21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w:t>
      </w:r>
      <w:r>
        <w:rPr>
          <w:rFonts w:hint="eastAsia" w:ascii="宋体" w:hAnsi="宋体" w:eastAsia="宋体" w:cs="宋体"/>
          <w:i/>
          <w:color w:val="auto"/>
          <w:kern w:val="2"/>
          <w:sz w:val="24"/>
          <w:szCs w:val="24"/>
          <w:highlight w:val="none"/>
          <w:shd w:val="clear" w:color="auto" w:fill="FFFFFF"/>
          <w:lang w:val="en-US" w:eastAsia="zh-CN" w:bidi="ar-SA"/>
        </w:rPr>
        <w:t>（产品名称1）</w:t>
      </w:r>
      <w:r>
        <w:rPr>
          <w:rFonts w:hint="eastAsia" w:ascii="宋体" w:hAnsi="宋体" w:eastAsia="宋体" w:cs="宋体"/>
          <w:i/>
          <w:color w:val="auto"/>
          <w:kern w:val="2"/>
          <w:sz w:val="24"/>
          <w:szCs w:val="24"/>
          <w:highlight w:val="none"/>
          <w:shd w:val="clear" w:color="auto" w:fill="FFFFFF"/>
          <w:vertAlign w:val="superscript"/>
          <w:lang w:val="en-US" w:eastAsia="zh-CN" w:bidi="ar-SA"/>
        </w:rPr>
        <w:t>1</w:t>
      </w:r>
      <w:r>
        <w:rPr>
          <w:rFonts w:hint="eastAsia" w:ascii="宋体" w:hAnsi="宋体" w:eastAsia="宋体" w:cs="宋体"/>
          <w:color w:val="auto"/>
          <w:kern w:val="0"/>
          <w:sz w:val="24"/>
          <w:szCs w:val="24"/>
          <w:highlight w:val="none"/>
          <w:shd w:val="clear" w:color="auto" w:fill="FFFFFF"/>
          <w:lang w:val="en-US" w:eastAsia="zh-CN" w:bidi="ar-SA"/>
        </w:rPr>
        <w:t>，生产厂为</w:t>
      </w:r>
      <w:r>
        <w:rPr>
          <w:rFonts w:hint="eastAsia" w:ascii="宋体" w:hAnsi="宋体" w:eastAsia="宋体" w:cs="宋体"/>
          <w:i/>
          <w:color w:val="auto"/>
          <w:kern w:val="2"/>
          <w:sz w:val="24"/>
          <w:szCs w:val="24"/>
          <w:highlight w:val="none"/>
          <w:shd w:val="clear" w:color="auto" w:fill="FFFFFF"/>
          <w:lang w:val="en-US" w:eastAsia="zh-CN" w:bidi="ar-SA"/>
        </w:rPr>
        <w:t>（厂名）</w:t>
      </w:r>
      <w:r>
        <w:rPr>
          <w:rFonts w:hint="eastAsia" w:ascii="宋体" w:hAnsi="宋体" w:eastAsia="宋体" w:cs="宋体"/>
          <w:i/>
          <w:color w:val="auto"/>
          <w:kern w:val="2"/>
          <w:sz w:val="24"/>
          <w:szCs w:val="24"/>
          <w:highlight w:val="none"/>
          <w:shd w:val="clear" w:color="auto" w:fill="FFFFFF"/>
          <w:vertAlign w:val="superscript"/>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，厂址为</w:t>
      </w:r>
      <w:r>
        <w:rPr>
          <w:rFonts w:hint="eastAsia" w:ascii="宋体" w:hAnsi="宋体" w:eastAsia="宋体" w:cs="宋体"/>
          <w:i/>
          <w:color w:val="auto"/>
          <w:kern w:val="2"/>
          <w:sz w:val="24"/>
          <w:szCs w:val="24"/>
          <w:highlight w:val="none"/>
          <w:shd w:val="clear" w:color="auto" w:fill="FFFFFF"/>
          <w:lang w:val="en-US" w:eastAsia="zh-CN" w:bidi="ar-SA"/>
        </w:rPr>
        <w:t>（生产厂址）</w:t>
      </w:r>
      <w:r>
        <w:rPr>
          <w:rFonts w:hint="eastAsia" w:ascii="宋体" w:hAnsi="宋体" w:eastAsia="宋体" w:cs="宋体"/>
          <w:color w:val="auto"/>
          <w:kern w:val="0"/>
          <w:sz w:val="24"/>
          <w:szCs w:val="24"/>
          <w:highlight w:val="none"/>
          <w:shd w:val="clear" w:color="auto" w:fill="FFFFFF"/>
          <w:lang w:val="en-US" w:eastAsia="zh-CN" w:bidi="ar-SA"/>
        </w:rPr>
        <w:t>。</w:t>
      </w:r>
      <w:r>
        <w:rPr>
          <w:rFonts w:hint="eastAsia" w:ascii="宋体" w:hAnsi="宋体" w:eastAsia="宋体" w:cs="宋体"/>
          <w:i/>
          <w:color w:val="auto"/>
          <w:kern w:val="2"/>
          <w:sz w:val="24"/>
          <w:szCs w:val="24"/>
          <w:highlight w:val="none"/>
          <w:shd w:val="clear" w:color="auto" w:fill="FFFFFF"/>
          <w:lang w:val="en-US" w:eastAsia="zh-CN" w:bidi="ar-SA"/>
        </w:rPr>
        <w:t>（产品名称1）</w:t>
      </w:r>
      <w:r>
        <w:rPr>
          <w:rFonts w:hint="eastAsia" w:ascii="宋体" w:hAnsi="宋体" w:eastAsia="宋体" w:cs="宋体"/>
          <w:color w:val="auto"/>
          <w:kern w:val="0"/>
          <w:sz w:val="24"/>
          <w:szCs w:val="24"/>
          <w:highlight w:val="none"/>
          <w:shd w:val="clear" w:color="auto" w:fill="FFFFFF"/>
          <w:lang w:val="en-US" w:eastAsia="zh-CN" w:bidi="ar-SA"/>
        </w:rPr>
        <w:t>的中国境内生产的组件成本占比≥</w:t>
      </w:r>
      <w:r>
        <w:rPr>
          <w:rFonts w:hint="eastAsia" w:ascii="宋体" w:hAnsi="宋体" w:eastAsia="宋体" w:cs="宋体"/>
          <w:i/>
          <w:color w:val="auto"/>
          <w:kern w:val="2"/>
          <w:sz w:val="24"/>
          <w:szCs w:val="24"/>
          <w:highlight w:val="none"/>
          <w:shd w:val="clear" w:color="auto" w:fill="FFFFFF"/>
          <w:lang w:val="en-US" w:eastAsia="zh-CN" w:bidi="ar-SA"/>
        </w:rPr>
        <w:t>（规定比例）</w:t>
      </w:r>
      <w:r>
        <w:rPr>
          <w:rFonts w:hint="eastAsia" w:ascii="宋体" w:hAnsi="宋体" w:eastAsia="宋体" w:cs="宋体"/>
          <w:i/>
          <w:color w:val="auto"/>
          <w:kern w:val="2"/>
          <w:sz w:val="24"/>
          <w:szCs w:val="24"/>
          <w:highlight w:val="none"/>
          <w:shd w:val="clear" w:color="auto" w:fill="FFFFFF"/>
          <w:vertAlign w:val="superscript"/>
          <w:lang w:val="en-US" w:eastAsia="zh-CN" w:bidi="ar-SA"/>
        </w:rPr>
        <w:t>3</w:t>
      </w:r>
      <w:r>
        <w:rPr>
          <w:rFonts w:hint="eastAsia" w:ascii="宋体" w:hAnsi="宋体" w:eastAsia="宋体" w:cs="宋体"/>
          <w:color w:val="auto"/>
          <w:kern w:val="0"/>
          <w:sz w:val="24"/>
          <w:szCs w:val="24"/>
          <w:highlight w:val="none"/>
          <w:shd w:val="clear" w:color="auto" w:fill="FFFFFF"/>
          <w:lang w:val="en-US" w:eastAsia="zh-CN" w:bidi="ar-SA"/>
        </w:rPr>
        <w:t>。</w:t>
      </w:r>
      <w:r>
        <w:rPr>
          <w:rFonts w:hint="eastAsia" w:ascii="宋体" w:hAnsi="宋体" w:eastAsia="宋体" w:cs="宋体"/>
          <w:i/>
          <w:color w:val="auto"/>
          <w:kern w:val="2"/>
          <w:sz w:val="24"/>
          <w:szCs w:val="24"/>
          <w:highlight w:val="none"/>
          <w:shd w:val="clear" w:color="auto" w:fill="FFFFFF"/>
          <w:lang w:val="en-US" w:eastAsia="zh-CN" w:bidi="ar-SA"/>
        </w:rPr>
        <w:t>（产品名称1）</w:t>
      </w:r>
      <w:r>
        <w:rPr>
          <w:rFonts w:hint="eastAsia" w:ascii="宋体" w:hAnsi="宋体" w:eastAsia="宋体" w:cs="宋体"/>
          <w:color w:val="auto"/>
          <w:kern w:val="0"/>
          <w:sz w:val="24"/>
          <w:szCs w:val="24"/>
          <w:highlight w:val="none"/>
          <w:shd w:val="clear" w:color="auto" w:fill="FFFFFF"/>
          <w:lang w:val="en-US" w:eastAsia="zh-CN" w:bidi="ar-SA"/>
        </w:rPr>
        <w:t>的</w:t>
      </w:r>
      <w:r>
        <w:rPr>
          <w:rFonts w:hint="eastAsia" w:ascii="宋体" w:hAnsi="宋体" w:eastAsia="宋体" w:cs="宋体"/>
          <w:i/>
          <w:color w:val="auto"/>
          <w:kern w:val="2"/>
          <w:sz w:val="24"/>
          <w:szCs w:val="24"/>
          <w:highlight w:val="none"/>
          <w:shd w:val="clear" w:color="auto" w:fill="FFFFFF"/>
          <w:lang w:val="en-US" w:eastAsia="zh-CN" w:bidi="ar-SA"/>
        </w:rPr>
        <w:t>（关键组件）</w:t>
      </w:r>
      <w:r>
        <w:rPr>
          <w:rFonts w:hint="eastAsia" w:ascii="宋体" w:hAnsi="宋体" w:eastAsia="宋体" w:cs="宋体"/>
          <w:i/>
          <w:color w:val="auto"/>
          <w:kern w:val="2"/>
          <w:sz w:val="24"/>
          <w:szCs w:val="24"/>
          <w:highlight w:val="none"/>
          <w:shd w:val="clear" w:color="auto" w:fill="FFFFFF"/>
          <w:vertAlign w:val="superscript"/>
          <w:lang w:val="en-US" w:eastAsia="zh-CN" w:bidi="ar-SA"/>
        </w:rPr>
        <w:t>4</w:t>
      </w:r>
      <w:r>
        <w:rPr>
          <w:rFonts w:hint="eastAsia" w:ascii="宋体" w:hAnsi="宋体" w:eastAsia="宋体" w:cs="宋体"/>
          <w:color w:val="auto"/>
          <w:kern w:val="0"/>
          <w:sz w:val="24"/>
          <w:szCs w:val="24"/>
          <w:highlight w:val="none"/>
          <w:shd w:val="clear" w:color="auto" w:fill="FFFFFF"/>
          <w:lang w:val="en-US" w:eastAsia="zh-CN" w:bidi="ar-SA"/>
        </w:rPr>
        <w:t>在中国境内生产。</w:t>
      </w:r>
      <w:r>
        <w:rPr>
          <w:rFonts w:hint="eastAsia" w:ascii="宋体" w:hAnsi="宋体" w:eastAsia="宋体" w:cs="宋体"/>
          <w:i/>
          <w:color w:val="auto"/>
          <w:kern w:val="2"/>
          <w:sz w:val="24"/>
          <w:szCs w:val="24"/>
          <w:highlight w:val="none"/>
          <w:shd w:val="clear" w:color="auto" w:fill="FFFFFF"/>
          <w:lang w:val="en-US" w:eastAsia="zh-CN" w:bidi="ar-SA"/>
        </w:rPr>
        <w:t>（产品名称1）</w:t>
      </w:r>
      <w:r>
        <w:rPr>
          <w:rFonts w:hint="eastAsia" w:ascii="宋体" w:hAnsi="宋体" w:eastAsia="宋体" w:cs="宋体"/>
          <w:color w:val="auto"/>
          <w:kern w:val="0"/>
          <w:sz w:val="24"/>
          <w:szCs w:val="24"/>
          <w:highlight w:val="none"/>
          <w:shd w:val="clear" w:color="auto" w:fill="FFFFFF"/>
          <w:lang w:val="en-US" w:eastAsia="zh-CN" w:bidi="ar-SA"/>
        </w:rPr>
        <w:t>的</w:t>
      </w:r>
      <w:r>
        <w:rPr>
          <w:rFonts w:hint="eastAsia" w:ascii="宋体" w:hAnsi="宋体" w:eastAsia="宋体" w:cs="宋体"/>
          <w:i/>
          <w:color w:val="auto"/>
          <w:kern w:val="2"/>
          <w:sz w:val="24"/>
          <w:szCs w:val="24"/>
          <w:highlight w:val="none"/>
          <w:shd w:val="clear" w:color="auto" w:fill="FFFFFF"/>
          <w:lang w:val="en-US" w:eastAsia="zh-CN" w:bidi="ar-SA"/>
        </w:rPr>
        <w:t>（关键工序）</w:t>
      </w:r>
      <w:r>
        <w:rPr>
          <w:rFonts w:hint="eastAsia" w:ascii="宋体" w:hAnsi="宋体" w:eastAsia="宋体" w:cs="宋体"/>
          <w:i/>
          <w:color w:val="auto"/>
          <w:kern w:val="2"/>
          <w:sz w:val="24"/>
          <w:szCs w:val="24"/>
          <w:highlight w:val="none"/>
          <w:shd w:val="clear" w:color="auto" w:fill="FFFFFF"/>
          <w:vertAlign w:val="superscript"/>
          <w:lang w:val="en-US" w:eastAsia="zh-CN" w:bidi="ar-SA"/>
        </w:rPr>
        <w:t>5</w:t>
      </w:r>
      <w:r>
        <w:rPr>
          <w:rFonts w:hint="eastAsia" w:ascii="宋体" w:hAnsi="宋体" w:eastAsia="宋体" w:cs="宋体"/>
          <w:color w:val="auto"/>
          <w:kern w:val="0"/>
          <w:sz w:val="24"/>
          <w:szCs w:val="24"/>
          <w:highlight w:val="none"/>
          <w:shd w:val="clear" w:color="auto" w:fill="FFFFFF"/>
          <w:lang w:val="en-US" w:eastAsia="zh-CN" w:bidi="ar-SA"/>
        </w:rPr>
        <w:t>在中国境内完成。</w:t>
      </w:r>
    </w:p>
    <w:p w14:paraId="51320CEC">
      <w:pPr>
        <w:widowControl/>
        <w:shd w:val="clear" w:color="auto" w:fill="FFFFFF"/>
        <w:spacing w:before="30" w:after="30" w:line="360" w:lineRule="auto"/>
        <w:ind w:firstLine="21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w:t>
      </w:r>
      <w:r>
        <w:rPr>
          <w:rFonts w:hint="eastAsia" w:ascii="宋体" w:hAnsi="宋体" w:eastAsia="宋体" w:cs="宋体"/>
          <w:i/>
          <w:color w:val="auto"/>
          <w:kern w:val="2"/>
          <w:sz w:val="24"/>
          <w:szCs w:val="24"/>
          <w:highlight w:val="none"/>
          <w:shd w:val="clear" w:color="auto" w:fill="FFFFFF"/>
          <w:lang w:val="en-US" w:eastAsia="zh-CN" w:bidi="ar-SA"/>
        </w:rPr>
        <w:t>（产品名称2）</w:t>
      </w:r>
      <w:r>
        <w:rPr>
          <w:rFonts w:hint="eastAsia" w:ascii="宋体" w:hAnsi="宋体" w:eastAsia="宋体" w:cs="宋体"/>
          <w:color w:val="auto"/>
          <w:kern w:val="0"/>
          <w:sz w:val="24"/>
          <w:szCs w:val="24"/>
          <w:highlight w:val="none"/>
          <w:shd w:val="clear" w:color="auto" w:fill="FFFFFF"/>
          <w:lang w:val="en-US" w:eastAsia="zh-CN" w:bidi="ar-SA"/>
        </w:rPr>
        <w:t>，生产厂为</w:t>
      </w:r>
      <w:r>
        <w:rPr>
          <w:rFonts w:hint="eastAsia" w:ascii="宋体" w:hAnsi="宋体" w:eastAsia="宋体" w:cs="宋体"/>
          <w:i/>
          <w:color w:val="auto"/>
          <w:kern w:val="2"/>
          <w:sz w:val="24"/>
          <w:szCs w:val="24"/>
          <w:highlight w:val="none"/>
          <w:shd w:val="clear" w:color="auto" w:fill="FFFFFF"/>
          <w:lang w:val="en-US" w:eastAsia="zh-CN" w:bidi="ar-SA"/>
        </w:rPr>
        <w:t>（厂名）</w:t>
      </w:r>
      <w:r>
        <w:rPr>
          <w:rFonts w:hint="eastAsia" w:ascii="宋体" w:hAnsi="宋体" w:eastAsia="宋体" w:cs="宋体"/>
          <w:color w:val="auto"/>
          <w:kern w:val="0"/>
          <w:sz w:val="24"/>
          <w:szCs w:val="24"/>
          <w:highlight w:val="none"/>
          <w:shd w:val="clear" w:color="auto" w:fill="FFFFFF"/>
          <w:lang w:val="en-US" w:eastAsia="zh-CN" w:bidi="ar-SA"/>
        </w:rPr>
        <w:t>，厂址为</w:t>
      </w:r>
      <w:r>
        <w:rPr>
          <w:rFonts w:hint="eastAsia" w:ascii="宋体" w:hAnsi="宋体" w:eastAsia="宋体" w:cs="宋体"/>
          <w:i/>
          <w:color w:val="auto"/>
          <w:kern w:val="2"/>
          <w:sz w:val="24"/>
          <w:szCs w:val="24"/>
          <w:highlight w:val="none"/>
          <w:shd w:val="clear" w:color="auto" w:fill="FFFFFF"/>
          <w:lang w:val="en-US" w:eastAsia="zh-CN" w:bidi="ar-SA"/>
        </w:rPr>
        <w:t>（生产厂址）</w:t>
      </w:r>
      <w:r>
        <w:rPr>
          <w:rFonts w:hint="eastAsia" w:ascii="宋体" w:hAnsi="宋体" w:eastAsia="宋体" w:cs="宋体"/>
          <w:color w:val="auto"/>
          <w:kern w:val="0"/>
          <w:sz w:val="24"/>
          <w:szCs w:val="24"/>
          <w:highlight w:val="none"/>
          <w:shd w:val="clear" w:color="auto" w:fill="FFFFFF"/>
          <w:lang w:val="en-US" w:eastAsia="zh-CN" w:bidi="ar-SA"/>
        </w:rPr>
        <w:t>。</w:t>
      </w:r>
      <w:r>
        <w:rPr>
          <w:rFonts w:hint="eastAsia" w:ascii="宋体" w:hAnsi="宋体" w:eastAsia="宋体" w:cs="宋体"/>
          <w:i/>
          <w:color w:val="auto"/>
          <w:kern w:val="2"/>
          <w:sz w:val="24"/>
          <w:szCs w:val="24"/>
          <w:highlight w:val="none"/>
          <w:shd w:val="clear" w:color="auto" w:fill="FFFFFF"/>
          <w:lang w:val="en-US" w:eastAsia="zh-CN" w:bidi="ar-SA"/>
        </w:rPr>
        <w:t>（产品名称2）</w:t>
      </w:r>
      <w:r>
        <w:rPr>
          <w:rFonts w:hint="eastAsia" w:ascii="宋体" w:hAnsi="宋体" w:eastAsia="宋体" w:cs="宋体"/>
          <w:color w:val="auto"/>
          <w:kern w:val="0"/>
          <w:sz w:val="24"/>
          <w:szCs w:val="24"/>
          <w:highlight w:val="none"/>
          <w:shd w:val="clear" w:color="auto" w:fill="FFFFFF"/>
          <w:lang w:val="en-US" w:eastAsia="zh-CN" w:bidi="ar-SA"/>
        </w:rPr>
        <w:t>的中国境内生产的组件成本占比≥</w:t>
      </w:r>
      <w:r>
        <w:rPr>
          <w:rFonts w:hint="eastAsia" w:ascii="宋体" w:hAnsi="宋体" w:eastAsia="宋体" w:cs="宋体"/>
          <w:i/>
          <w:color w:val="auto"/>
          <w:kern w:val="2"/>
          <w:sz w:val="24"/>
          <w:szCs w:val="24"/>
          <w:highlight w:val="none"/>
          <w:shd w:val="clear" w:color="auto" w:fill="FFFFFF"/>
          <w:lang w:val="en-US" w:eastAsia="zh-CN" w:bidi="ar-SA"/>
        </w:rPr>
        <w:t>（规定比例）</w:t>
      </w:r>
      <w:r>
        <w:rPr>
          <w:rFonts w:hint="eastAsia" w:ascii="宋体" w:hAnsi="宋体" w:eastAsia="宋体" w:cs="宋体"/>
          <w:color w:val="auto"/>
          <w:kern w:val="0"/>
          <w:sz w:val="24"/>
          <w:szCs w:val="24"/>
          <w:highlight w:val="none"/>
          <w:shd w:val="clear" w:color="auto" w:fill="FFFFFF"/>
          <w:lang w:val="en-US" w:eastAsia="zh-CN" w:bidi="ar-SA"/>
        </w:rPr>
        <w:t>。</w:t>
      </w:r>
      <w:r>
        <w:rPr>
          <w:rFonts w:hint="eastAsia" w:ascii="宋体" w:hAnsi="宋体" w:eastAsia="宋体" w:cs="宋体"/>
          <w:i/>
          <w:color w:val="auto"/>
          <w:kern w:val="2"/>
          <w:sz w:val="24"/>
          <w:szCs w:val="24"/>
          <w:highlight w:val="none"/>
          <w:shd w:val="clear" w:color="auto" w:fill="FFFFFF"/>
          <w:lang w:val="en-US" w:eastAsia="zh-CN" w:bidi="ar-SA"/>
        </w:rPr>
        <w:t>（产品名称2）</w:t>
      </w:r>
      <w:r>
        <w:rPr>
          <w:rFonts w:hint="eastAsia" w:ascii="宋体" w:hAnsi="宋体" w:eastAsia="宋体" w:cs="宋体"/>
          <w:color w:val="auto"/>
          <w:kern w:val="0"/>
          <w:sz w:val="24"/>
          <w:szCs w:val="24"/>
          <w:highlight w:val="none"/>
          <w:shd w:val="clear" w:color="auto" w:fill="FFFFFF"/>
          <w:lang w:val="en-US" w:eastAsia="zh-CN" w:bidi="ar-SA"/>
        </w:rPr>
        <w:t>的</w:t>
      </w:r>
      <w:r>
        <w:rPr>
          <w:rFonts w:hint="eastAsia" w:ascii="宋体" w:hAnsi="宋体" w:eastAsia="宋体" w:cs="宋体"/>
          <w:i/>
          <w:color w:val="auto"/>
          <w:kern w:val="2"/>
          <w:sz w:val="24"/>
          <w:szCs w:val="24"/>
          <w:highlight w:val="none"/>
          <w:shd w:val="clear" w:color="auto" w:fill="FFFFFF"/>
          <w:lang w:val="en-US" w:eastAsia="zh-CN" w:bidi="ar-SA"/>
        </w:rPr>
        <w:t>（关键组件）</w:t>
      </w:r>
      <w:r>
        <w:rPr>
          <w:rFonts w:hint="eastAsia" w:ascii="宋体" w:hAnsi="宋体" w:eastAsia="宋体" w:cs="宋体"/>
          <w:color w:val="auto"/>
          <w:kern w:val="0"/>
          <w:sz w:val="24"/>
          <w:szCs w:val="24"/>
          <w:highlight w:val="none"/>
          <w:shd w:val="clear" w:color="auto" w:fill="FFFFFF"/>
          <w:lang w:val="en-US" w:eastAsia="zh-CN" w:bidi="ar-SA"/>
        </w:rPr>
        <w:t>在中国境内生产。</w:t>
      </w:r>
      <w:r>
        <w:rPr>
          <w:rFonts w:hint="eastAsia" w:ascii="宋体" w:hAnsi="宋体" w:eastAsia="宋体" w:cs="宋体"/>
          <w:i/>
          <w:color w:val="auto"/>
          <w:kern w:val="2"/>
          <w:sz w:val="24"/>
          <w:szCs w:val="24"/>
          <w:highlight w:val="none"/>
          <w:shd w:val="clear" w:color="auto" w:fill="FFFFFF"/>
          <w:lang w:val="en-US" w:eastAsia="zh-CN" w:bidi="ar-SA"/>
        </w:rPr>
        <w:t>（产品名称2）</w:t>
      </w:r>
      <w:r>
        <w:rPr>
          <w:rFonts w:hint="eastAsia" w:ascii="宋体" w:hAnsi="宋体" w:eastAsia="宋体" w:cs="宋体"/>
          <w:color w:val="auto"/>
          <w:kern w:val="0"/>
          <w:sz w:val="24"/>
          <w:szCs w:val="24"/>
          <w:highlight w:val="none"/>
          <w:shd w:val="clear" w:color="auto" w:fill="FFFFFF"/>
          <w:lang w:val="en-US" w:eastAsia="zh-CN" w:bidi="ar-SA"/>
        </w:rPr>
        <w:t>的</w:t>
      </w:r>
      <w:r>
        <w:rPr>
          <w:rFonts w:hint="eastAsia" w:ascii="宋体" w:hAnsi="宋体" w:eastAsia="宋体" w:cs="宋体"/>
          <w:i/>
          <w:color w:val="auto"/>
          <w:kern w:val="2"/>
          <w:sz w:val="24"/>
          <w:szCs w:val="24"/>
          <w:highlight w:val="none"/>
          <w:shd w:val="clear" w:color="auto" w:fill="FFFFFF"/>
          <w:lang w:val="en-US" w:eastAsia="zh-CN" w:bidi="ar-SA"/>
        </w:rPr>
        <w:t>（关键工序）</w:t>
      </w:r>
      <w:r>
        <w:rPr>
          <w:rFonts w:hint="eastAsia" w:ascii="宋体" w:hAnsi="宋体" w:eastAsia="宋体" w:cs="宋体"/>
          <w:color w:val="auto"/>
          <w:kern w:val="0"/>
          <w:sz w:val="24"/>
          <w:szCs w:val="24"/>
          <w:highlight w:val="none"/>
          <w:shd w:val="clear" w:color="auto" w:fill="FFFFFF"/>
          <w:lang w:val="en-US" w:eastAsia="zh-CN" w:bidi="ar-SA"/>
        </w:rPr>
        <w:t>在中国境内完成。</w:t>
      </w:r>
    </w:p>
    <w:p w14:paraId="3604F542">
      <w:pPr>
        <w:spacing w:line="360" w:lineRule="auto"/>
        <w:ind w:left="-426" w:right="142" w:firstLine="888" w:firstLineChars="37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3D0A592B">
      <w:pPr>
        <w:spacing w:line="360" w:lineRule="auto"/>
        <w:ind w:left="-426" w:right="142" w:firstLine="56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本公司（单位）对上述声明内容的真实性负责。如有虚假，愿承担相应法律责任。</w:t>
      </w:r>
    </w:p>
    <w:p w14:paraId="1EE1EB57">
      <w:pPr>
        <w:spacing w:line="360" w:lineRule="auto"/>
        <w:ind w:left="3960" w:right="1808"/>
        <w:contextualSpacing/>
        <w:rPr>
          <w:rFonts w:hint="eastAsia" w:ascii="宋体" w:hAnsi="宋体" w:eastAsia="宋体" w:cs="宋体"/>
          <w:color w:val="auto"/>
          <w:sz w:val="24"/>
          <w:szCs w:val="24"/>
          <w:highlight w:val="none"/>
        </w:rPr>
      </w:pPr>
    </w:p>
    <w:p w14:paraId="3392420E">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6EEBA593">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068D5DD4">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lang w:val="zh-CN"/>
        </w:rPr>
      </w:pPr>
    </w:p>
    <w:p w14:paraId="3B647F2E">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1.产品如有型号，请在“产品名称”栏一并填写。</w:t>
      </w:r>
    </w:p>
    <w:p w14:paraId="2E66DF63">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2.生产厂名与厂址应与生产厂营业执照载明的相关信息保持一致。</w:t>
      </w:r>
    </w:p>
    <w:p w14:paraId="02A8E714">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3.该产品的中国境内生产的组件成本占比相关要求实施前，“规定比例”栏可不填，下同。</w:t>
      </w:r>
    </w:p>
    <w:p w14:paraId="121313A1">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4.该产品的关键组件要求实施前，“关键组件”栏可不填，下同。</w:t>
      </w:r>
    </w:p>
    <w:p w14:paraId="2DDA4AC6">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5.该产品的关键工序要求实施前，“关键工序”栏可不填，下同。</w:t>
      </w:r>
    </w:p>
    <w:p w14:paraId="79A38F26">
      <w:pPr>
        <w:autoSpaceDE w:val="0"/>
        <w:autoSpaceDN w:val="0"/>
        <w:spacing w:line="360" w:lineRule="auto"/>
        <w:rPr>
          <w:rFonts w:hint="eastAsia" w:ascii="宋体" w:hAnsi="宋体" w:eastAsia="宋体" w:cs="宋体"/>
          <w:color w:val="auto"/>
          <w:sz w:val="24"/>
          <w:szCs w:val="24"/>
          <w:highlight w:val="none"/>
        </w:rPr>
      </w:pPr>
    </w:p>
    <w:p w14:paraId="68030656">
      <w:pPr>
        <w:spacing w:line="360" w:lineRule="auto"/>
        <w:jc w:val="left"/>
        <w:rPr>
          <w:rFonts w:hint="eastAsia" w:ascii="宋体" w:hAnsi="宋体" w:cs="宋体"/>
          <w:color w:val="auto"/>
          <w:sz w:val="24"/>
          <w:szCs w:val="24"/>
          <w:highlight w:val="none"/>
        </w:rPr>
      </w:pPr>
      <w:r>
        <w:rPr>
          <w:rFonts w:hint="eastAsia" w:ascii="宋体" w:hAnsi="宋体" w:eastAsia="宋体" w:cs="宋体"/>
          <w:color w:val="auto"/>
          <w:sz w:val="24"/>
          <w:szCs w:val="24"/>
          <w:highlight w:val="none"/>
        </w:rPr>
        <w:t>注：请根据自己的真实情况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成交结果同时公告成交供应商提供的《声明函》或有关证明文件。</w:t>
      </w:r>
    </w:p>
    <w:p w14:paraId="1EC479BD">
      <w:pPr>
        <w:spacing w:line="360" w:lineRule="auto"/>
        <w:jc w:val="center"/>
        <w:rPr>
          <w:rFonts w:hint="eastAsia" w:ascii="宋体" w:hAnsi="宋体" w:cs="宋体"/>
          <w:color w:val="auto"/>
          <w:sz w:val="24"/>
          <w:szCs w:val="24"/>
          <w:highlight w:val="none"/>
        </w:rPr>
      </w:pPr>
    </w:p>
    <w:p w14:paraId="125E6AEC">
      <w:pPr>
        <w:keepNext/>
        <w:keepLines/>
        <w:spacing w:before="260" w:after="260" w:line="416" w:lineRule="auto"/>
        <w:jc w:val="center"/>
        <w:rPr>
          <w:rFonts w:hint="eastAsia" w:ascii="宋体" w:hAnsi="宋体" w:eastAsia="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eastAsia="宋体" w:cs="宋体"/>
          <w:color w:val="auto"/>
          <w:sz w:val="44"/>
          <w:szCs w:val="44"/>
          <w:highlight w:val="none"/>
        </w:rPr>
        <w:t>知识产权合规性声明</w:t>
      </w:r>
    </w:p>
    <w:p w14:paraId="46329F57">
      <w:pPr>
        <w:ind w:firstLine="600" w:firstLineChars="200"/>
        <w:rPr>
          <w:rFonts w:hint="eastAsia" w:ascii="宋体" w:hAnsi="宋体" w:cs="宋体"/>
          <w:color w:val="auto"/>
          <w:sz w:val="30"/>
          <w:szCs w:val="30"/>
          <w:highlight w:val="none"/>
        </w:rPr>
      </w:pPr>
    </w:p>
    <w:p w14:paraId="3B95F8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本企业（单位）自愿参与政府投资政府采购的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项目，在此郑重承诺：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6036C8DB">
      <w:pPr>
        <w:snapToGrid w:val="0"/>
        <w:spacing w:line="360" w:lineRule="auto"/>
        <w:ind w:left="5385" w:leftChars="1736" w:hanging="1739" w:hangingChars="825"/>
        <w:rPr>
          <w:rFonts w:hint="eastAsia" w:ascii="宋体" w:hAnsi="宋体" w:cs="宋体"/>
          <w:b/>
          <w:color w:val="auto"/>
          <w:szCs w:val="21"/>
          <w:highlight w:val="none"/>
        </w:rPr>
      </w:pPr>
    </w:p>
    <w:p w14:paraId="72A0A248">
      <w:pPr>
        <w:snapToGrid w:val="0"/>
        <w:spacing w:line="360" w:lineRule="auto"/>
        <w:ind w:left="5385" w:leftChars="1736" w:hanging="1739" w:hangingChars="825"/>
        <w:rPr>
          <w:rFonts w:hint="eastAsia" w:ascii="宋体" w:hAnsi="宋体" w:cs="宋体"/>
          <w:b/>
          <w:color w:val="auto"/>
          <w:szCs w:val="21"/>
          <w:highlight w:val="none"/>
        </w:rPr>
      </w:pPr>
    </w:p>
    <w:p w14:paraId="799936A1">
      <w:pPr>
        <w:snapToGrid w:val="0"/>
        <w:spacing w:line="360" w:lineRule="auto"/>
        <w:ind w:left="5385" w:leftChars="1736" w:hanging="1739" w:hangingChars="825"/>
        <w:rPr>
          <w:rFonts w:hint="eastAsia" w:ascii="宋体" w:hAnsi="宋体" w:cs="宋体"/>
          <w:b/>
          <w:color w:val="auto"/>
          <w:szCs w:val="21"/>
          <w:highlight w:val="none"/>
        </w:rPr>
      </w:pPr>
    </w:p>
    <w:p w14:paraId="136E1C04">
      <w:pPr>
        <w:snapToGrid w:val="0"/>
        <w:spacing w:line="360" w:lineRule="auto"/>
        <w:ind w:left="5385" w:leftChars="1736" w:hanging="1739" w:hangingChars="825"/>
        <w:rPr>
          <w:rFonts w:hint="eastAsia" w:ascii="宋体" w:hAnsi="宋体" w:cs="宋体"/>
          <w:b/>
          <w:color w:val="auto"/>
          <w:szCs w:val="21"/>
          <w:highlight w:val="none"/>
        </w:rPr>
      </w:pPr>
    </w:p>
    <w:p w14:paraId="7BB0A10E">
      <w:pPr>
        <w:snapToGrid w:val="0"/>
        <w:spacing w:line="360" w:lineRule="auto"/>
        <w:ind w:left="5378" w:leftChars="1736" w:hanging="1732" w:hangingChars="825"/>
        <w:rPr>
          <w:rFonts w:hint="eastAsia" w:ascii="宋体" w:hAnsi="宋体" w:cs="宋体"/>
          <w:color w:val="auto"/>
          <w:kern w:val="0"/>
          <w:szCs w:val="21"/>
          <w:highlight w:val="none"/>
        </w:rPr>
      </w:pPr>
      <w:r>
        <w:rPr>
          <w:rFonts w:hint="eastAsia" w:ascii="宋体" w:hAnsi="宋体" w:cs="宋体"/>
          <w:color w:val="auto"/>
          <w:kern w:val="0"/>
          <w:szCs w:val="21"/>
          <w:highlight w:val="none"/>
          <w:lang w:val="zh-CN"/>
        </w:rPr>
        <w:t>供应商名称(电子签章)：</w:t>
      </w:r>
    </w:p>
    <w:p w14:paraId="1B704901">
      <w:pPr>
        <w:snapToGrid w:val="0"/>
        <w:spacing w:line="360" w:lineRule="auto"/>
        <w:ind w:firstLine="4515" w:firstLineChars="215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日期</w:t>
      </w:r>
      <w:r>
        <w:rPr>
          <w:rFonts w:hint="eastAsia" w:ascii="宋体" w:hAnsi="宋体" w:cs="宋体"/>
          <w:color w:val="auto"/>
          <w:kern w:val="0"/>
          <w:szCs w:val="21"/>
          <w:highlight w:val="none"/>
        </w:rPr>
        <w:t xml:space="preserve">：  年  </w:t>
      </w:r>
      <w:r>
        <w:rPr>
          <w:rFonts w:hint="eastAsia" w:ascii="宋体" w:hAnsi="宋体" w:cs="宋体"/>
          <w:color w:val="auto"/>
          <w:kern w:val="0"/>
          <w:szCs w:val="21"/>
          <w:highlight w:val="none"/>
          <w:lang w:val="zh-CN"/>
        </w:rPr>
        <w:t>月</w:t>
      </w: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zh-CN"/>
        </w:rPr>
        <w:t>日</w:t>
      </w:r>
    </w:p>
    <w:p w14:paraId="5E9F7172">
      <w:pPr>
        <w:rPr>
          <w:rFonts w:hint="eastAsia" w:ascii="宋体" w:hAnsi="宋体" w:cs="宋体"/>
          <w:color w:val="auto"/>
          <w:sz w:val="44"/>
          <w:szCs w:val="44"/>
          <w:highlight w:val="none"/>
        </w:rPr>
      </w:pPr>
    </w:p>
    <w:p w14:paraId="689E7825">
      <w:pP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p>
    <w:p w14:paraId="67280087">
      <w:pPr>
        <w:spacing w:line="360" w:lineRule="auto"/>
        <w:jc w:val="center"/>
        <w:rPr>
          <w:rFonts w:hint="eastAsia" w:ascii="宋体" w:hAnsi="宋体" w:cs="宋体"/>
          <w:b/>
          <w:bCs/>
          <w:color w:val="auto"/>
          <w:sz w:val="32"/>
          <w:szCs w:val="32"/>
          <w:highlight w:val="none"/>
        </w:rPr>
      </w:pPr>
      <w:r>
        <w:rPr>
          <w:rFonts w:hint="eastAsia" w:ascii="宋体" w:hAnsi="宋体" w:cs="宋体"/>
          <w:color w:val="auto"/>
          <w:sz w:val="44"/>
          <w:szCs w:val="44"/>
          <w:highlight w:val="none"/>
        </w:rPr>
        <w:t>质疑函</w:t>
      </w:r>
      <w:r>
        <w:rPr>
          <w:rFonts w:hint="eastAsia" w:ascii="宋体" w:hAnsi="宋体" w:cs="宋体"/>
          <w:color w:val="auto"/>
          <w:sz w:val="28"/>
          <w:szCs w:val="28"/>
          <w:highlight w:val="none"/>
        </w:rPr>
        <w:t>（格式）</w:t>
      </w:r>
    </w:p>
    <w:p w14:paraId="18D51151">
      <w:pPr>
        <w:spacing w:line="360" w:lineRule="auto"/>
        <w:jc w:val="center"/>
        <w:rPr>
          <w:rFonts w:hint="eastAsia" w:ascii="宋体" w:hAnsi="宋体" w:cs="宋体"/>
          <w:b/>
          <w:bCs/>
          <w:color w:val="auto"/>
          <w:sz w:val="32"/>
          <w:szCs w:val="32"/>
          <w:highlight w:val="none"/>
        </w:rPr>
      </w:pPr>
    </w:p>
    <w:p w14:paraId="740AE8A5">
      <w:pPr>
        <w:pStyle w:val="14"/>
        <w:spacing w:line="360" w:lineRule="auto"/>
        <w:ind w:firstLine="482" w:firstLineChars="200"/>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68B7DEAD">
      <w:pPr>
        <w:pStyle w:val="14"/>
        <w:spacing w:line="360" w:lineRule="auto"/>
        <w:ind w:firstLine="480" w:firstLineChars="20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C063C7">
      <w:pPr>
        <w:pStyle w:val="14"/>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3F8F587">
      <w:pPr>
        <w:pStyle w:val="14"/>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1AB3BE9">
      <w:pPr>
        <w:pStyle w:val="14"/>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0E05F132">
      <w:pPr>
        <w:pStyle w:val="14"/>
        <w:spacing w:line="360" w:lineRule="auto"/>
        <w:ind w:firstLine="480" w:firstLineChars="20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ED81B27">
      <w:pPr>
        <w:pStyle w:val="14"/>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65E43B6">
      <w:pPr>
        <w:pStyle w:val="14"/>
        <w:spacing w:line="360" w:lineRule="auto"/>
        <w:ind w:firstLine="482" w:firstLineChars="200"/>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702D15D0">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2944EA21">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27E9F1E9">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78C00009">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42DE3D70">
      <w:pPr>
        <w:pStyle w:val="14"/>
        <w:spacing w:line="360" w:lineRule="auto"/>
        <w:ind w:firstLine="352" w:firstLineChars="147"/>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441A73EF">
      <w:pPr>
        <w:pStyle w:val="14"/>
        <w:spacing w:line="360" w:lineRule="auto"/>
        <w:ind w:firstLine="352" w:firstLineChars="147"/>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11154B47">
      <w:pPr>
        <w:pStyle w:val="14"/>
        <w:spacing w:line="360" w:lineRule="auto"/>
        <w:ind w:firstLine="352" w:firstLineChars="147"/>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2A527FE9">
      <w:pPr>
        <w:pStyle w:val="14"/>
        <w:spacing w:line="360" w:lineRule="auto"/>
        <w:ind w:firstLine="472" w:firstLineChars="196"/>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4BCA20C5">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5333546B">
      <w:pPr>
        <w:pStyle w:val="14"/>
        <w:spacing w:line="360" w:lineRule="auto"/>
        <w:ind w:firstLine="472" w:firstLineChars="197"/>
        <w:contextualSpacing/>
        <w:rPr>
          <w:rFonts w:hint="eastAsia" w:hAnsi="宋体" w:cs="宋体"/>
          <w:bCs/>
          <w:color w:val="auto"/>
          <w:sz w:val="24"/>
          <w:szCs w:val="24"/>
          <w:highlight w:val="none"/>
          <w:u w:val="singl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061A1FE">
      <w:pPr>
        <w:pStyle w:val="14"/>
        <w:spacing w:line="360" w:lineRule="auto"/>
        <w:ind w:firstLine="472" w:firstLineChars="197"/>
        <w:contextualSpacing/>
        <w:rPr>
          <w:rFonts w:hint="eastAsia" w:hAnsi="宋体" w:cs="宋体"/>
          <w:color w:val="auto"/>
          <w:sz w:val="24"/>
          <w:szCs w:val="24"/>
          <w:highlight w:val="none"/>
          <w:u w:val="singl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p>
    <w:p w14:paraId="40BF5FD6">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6627C663">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3B964044">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76337072">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5141E71A">
      <w:pPr>
        <w:pStyle w:val="14"/>
        <w:spacing w:line="360" w:lineRule="auto"/>
        <w:ind w:firstLine="352" w:firstLineChars="147"/>
        <w:contextualSpacing/>
        <w:rPr>
          <w:rFonts w:hint="eastAsia" w:hAnsi="宋体" w:cs="宋体"/>
          <w:color w:val="auto"/>
          <w:sz w:val="24"/>
          <w:szCs w:val="24"/>
          <w:highlight w:val="none"/>
        </w:rPr>
      </w:pPr>
    </w:p>
    <w:p w14:paraId="3D1B5661">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616F5F21">
      <w:pPr>
        <w:pStyle w:val="14"/>
        <w:spacing w:line="360" w:lineRule="auto"/>
        <w:ind w:firstLine="352" w:firstLineChars="147"/>
        <w:contextualSpacing/>
        <w:rPr>
          <w:rFonts w:hint="eastAsia" w:hAnsi="宋体" w:cs="宋体"/>
          <w:color w:val="auto"/>
          <w:sz w:val="24"/>
          <w:szCs w:val="24"/>
          <w:highlight w:val="none"/>
        </w:rPr>
      </w:pPr>
    </w:p>
    <w:p w14:paraId="1646B61C">
      <w:pPr>
        <w:pStyle w:val="14"/>
        <w:spacing w:line="360" w:lineRule="auto"/>
        <w:ind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日期：</w:t>
      </w:r>
    </w:p>
    <w:p w14:paraId="40948ED7">
      <w:pPr>
        <w:pStyle w:val="14"/>
        <w:spacing w:line="360" w:lineRule="auto"/>
        <w:contextualSpacing/>
        <w:rPr>
          <w:rFonts w:hint="eastAsia" w:hAnsi="宋体" w:cs="宋体"/>
          <w:b/>
          <w:color w:val="auto"/>
          <w:sz w:val="24"/>
          <w:szCs w:val="24"/>
          <w:highlight w:val="none"/>
        </w:rPr>
      </w:pPr>
    </w:p>
    <w:p w14:paraId="52E88D1B">
      <w:pPr>
        <w:pStyle w:val="14"/>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04D7A729">
      <w:pPr>
        <w:pStyle w:val="14"/>
        <w:spacing w:line="360" w:lineRule="auto"/>
        <w:ind w:firstLine="354" w:firstLineChars="147"/>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CBD57D5">
      <w:pPr>
        <w:pStyle w:val="14"/>
        <w:spacing w:line="360" w:lineRule="auto"/>
        <w:ind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34762BC">
      <w:pPr>
        <w:pStyle w:val="14"/>
        <w:spacing w:line="360" w:lineRule="auto"/>
        <w:ind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6D07650C">
      <w:pPr>
        <w:pStyle w:val="14"/>
        <w:spacing w:line="360" w:lineRule="auto"/>
        <w:ind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5676AD7">
      <w:pPr>
        <w:pStyle w:val="14"/>
        <w:spacing w:line="360" w:lineRule="auto"/>
        <w:ind w:firstLine="354" w:firstLineChars="147"/>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00098F64">
      <w:pPr>
        <w:pStyle w:val="14"/>
        <w:snapToGrid w:val="0"/>
        <w:spacing w:line="360" w:lineRule="auto"/>
        <w:rPr>
          <w:rFonts w:hint="eastAsia" w:hAnsi="宋体" w:cs="宋体"/>
          <w:b/>
          <w:color w:val="auto"/>
          <w:sz w:val="24"/>
          <w:szCs w:val="24"/>
          <w:highlight w:val="none"/>
        </w:rPr>
      </w:pPr>
    </w:p>
    <w:p w14:paraId="4D71DC76">
      <w:pPr>
        <w:spacing w:line="360" w:lineRule="auto"/>
        <w:rPr>
          <w:rFonts w:hint="eastAsia" w:ascii="宋体" w:hAnsi="宋体" w:cs="宋体"/>
          <w:color w:val="auto"/>
          <w:highlight w:val="none"/>
        </w:rPr>
      </w:pPr>
      <w:r>
        <w:rPr>
          <w:rFonts w:hint="eastAsia" w:ascii="宋体" w:hAnsi="宋体" w:cs="宋体"/>
          <w:color w:val="auto"/>
          <w:highlight w:val="none"/>
        </w:rPr>
        <w:br w:type="page"/>
      </w:r>
    </w:p>
    <w:p w14:paraId="3C028B02">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w:t>
      </w:r>
      <w:r>
        <w:rPr>
          <w:rFonts w:hint="eastAsia" w:ascii="宋体" w:hAnsi="宋体" w:cs="宋体"/>
          <w:color w:val="auto"/>
          <w:sz w:val="28"/>
          <w:szCs w:val="28"/>
          <w:highlight w:val="none"/>
        </w:rPr>
        <w:t>（格式）</w:t>
      </w:r>
    </w:p>
    <w:p w14:paraId="0688C63A">
      <w:pPr>
        <w:pStyle w:val="14"/>
        <w:snapToGrid w:val="0"/>
        <w:spacing w:line="360" w:lineRule="auto"/>
        <w:ind w:firstLine="482" w:firstLineChars="200"/>
        <w:rPr>
          <w:rFonts w:hint="eastAsia" w:hAnsi="宋体" w:cs="宋体"/>
          <w:b/>
          <w:bCs/>
          <w:color w:val="auto"/>
          <w:sz w:val="24"/>
          <w:szCs w:val="24"/>
          <w:highlight w:val="none"/>
        </w:rPr>
      </w:pPr>
    </w:p>
    <w:p w14:paraId="5DC3923F">
      <w:pPr>
        <w:pStyle w:val="14"/>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3F0CF10D">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D95E8F6">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9AF3FF9">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0B14DD03">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13EED16">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EF05517">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358907C">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C5D763C">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6E70605">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6192F049">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8E771CD">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91F2703">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1E0EEB44">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w:t>
      </w:r>
    </w:p>
    <w:p w14:paraId="4BC83EBA">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0C198D9C">
      <w:pPr>
        <w:pStyle w:val="14"/>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DF70442">
      <w:pPr>
        <w:pStyle w:val="14"/>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0892B2D">
      <w:pPr>
        <w:pStyle w:val="14"/>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559B1801">
      <w:pPr>
        <w:pStyle w:val="14"/>
        <w:spacing w:line="360" w:lineRule="auto"/>
        <w:ind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5AD3A45">
      <w:pPr>
        <w:pStyle w:val="14"/>
        <w:spacing w:line="360" w:lineRule="auto"/>
        <w:ind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0DBE34D">
      <w:pPr>
        <w:pStyle w:val="14"/>
        <w:spacing w:line="360" w:lineRule="auto"/>
        <w:ind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63441FE5">
      <w:pPr>
        <w:pStyle w:val="14"/>
        <w:spacing w:line="360" w:lineRule="auto"/>
        <w:ind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34E8775F">
      <w:pPr>
        <w:pStyle w:val="14"/>
        <w:spacing w:line="360" w:lineRule="auto"/>
        <w:ind w:firstLine="472" w:firstLineChars="197"/>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6DC3F1D4">
      <w:pPr>
        <w:pStyle w:val="14"/>
        <w:spacing w:line="360" w:lineRule="auto"/>
        <w:ind w:firstLine="472" w:firstLineChars="197"/>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1EE9862C">
      <w:pPr>
        <w:pStyle w:val="14"/>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0BDDE036">
      <w:pPr>
        <w:pStyle w:val="14"/>
        <w:spacing w:line="360" w:lineRule="auto"/>
        <w:ind w:left="479" w:leftChars="228" w:firstLine="60" w:firstLineChars="25"/>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26989E66">
      <w:pPr>
        <w:pStyle w:val="14"/>
        <w:spacing w:line="360" w:lineRule="auto"/>
        <w:ind w:firstLine="540" w:firstLineChars="225"/>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C16C4A5">
      <w:pPr>
        <w:pStyle w:val="14"/>
        <w:spacing w:line="360" w:lineRule="auto"/>
        <w:ind w:firstLine="540" w:firstLineChars="225"/>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205D2C93">
      <w:pPr>
        <w:pStyle w:val="14"/>
        <w:spacing w:line="360" w:lineRule="auto"/>
        <w:ind w:firstLine="540" w:firstLineChars="225"/>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1A50260A">
      <w:pPr>
        <w:pStyle w:val="14"/>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29C586FD">
      <w:pPr>
        <w:pStyle w:val="14"/>
        <w:spacing w:line="360" w:lineRule="auto"/>
        <w:ind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69930F93">
      <w:pPr>
        <w:pStyle w:val="14"/>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F80D552">
      <w:pPr>
        <w:pStyle w:val="14"/>
        <w:spacing w:line="360" w:lineRule="auto"/>
        <w:ind w:firstLine="472" w:firstLineChars="197"/>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A2B9BF1">
      <w:pPr>
        <w:pStyle w:val="14"/>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E4BE3BA">
      <w:pPr>
        <w:pStyle w:val="14"/>
        <w:spacing w:line="360" w:lineRule="auto"/>
        <w:ind w:firstLine="352" w:firstLineChars="147"/>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06E4BE74">
      <w:pPr>
        <w:pStyle w:val="14"/>
        <w:spacing w:line="360" w:lineRule="auto"/>
        <w:ind w:firstLine="472" w:firstLineChars="197"/>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5B136800">
      <w:pPr>
        <w:pStyle w:val="14"/>
        <w:spacing w:line="360" w:lineRule="auto"/>
        <w:ind w:firstLine="472" w:firstLineChars="197"/>
        <w:rPr>
          <w:rFonts w:hint="eastAsia" w:hAnsi="宋体" w:cs="宋体"/>
          <w:bCs/>
          <w:color w:val="auto"/>
          <w:sz w:val="24"/>
          <w:szCs w:val="24"/>
          <w:highlight w:val="none"/>
        </w:rPr>
      </w:pPr>
      <w:r>
        <w:rPr>
          <w:rFonts w:hint="eastAsia" w:hAnsi="宋体" w:cs="宋体"/>
          <w:bCs/>
          <w:color w:val="auto"/>
          <w:sz w:val="24"/>
          <w:szCs w:val="24"/>
          <w:highlight w:val="none"/>
        </w:rPr>
        <w:t>……</w:t>
      </w:r>
    </w:p>
    <w:p w14:paraId="03D22E3D">
      <w:pPr>
        <w:pStyle w:val="14"/>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336B89A1">
      <w:pPr>
        <w:pStyle w:val="14"/>
        <w:spacing w:line="360" w:lineRule="auto"/>
        <w:ind w:firstLine="472" w:firstLineChars="197"/>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3F5B4138">
      <w:pPr>
        <w:pStyle w:val="14"/>
        <w:spacing w:line="360" w:lineRule="auto"/>
        <w:ind w:firstLine="352" w:firstLineChars="147"/>
        <w:rPr>
          <w:rFonts w:hint="eastAsia" w:hAnsi="宋体" w:cs="宋体"/>
          <w:color w:val="auto"/>
          <w:sz w:val="24"/>
          <w:szCs w:val="24"/>
          <w:highlight w:val="none"/>
        </w:rPr>
      </w:pPr>
    </w:p>
    <w:p w14:paraId="3FEA01F6">
      <w:pPr>
        <w:pStyle w:val="14"/>
        <w:spacing w:line="360" w:lineRule="auto"/>
        <w:ind w:firstLine="472" w:firstLineChars="197"/>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183785E5">
      <w:pPr>
        <w:pStyle w:val="14"/>
        <w:spacing w:line="360" w:lineRule="auto"/>
        <w:ind w:firstLine="472" w:firstLineChars="197"/>
        <w:rPr>
          <w:rFonts w:hint="eastAsia" w:hAnsi="宋体" w:cs="宋体"/>
          <w:color w:val="auto"/>
          <w:sz w:val="24"/>
          <w:szCs w:val="24"/>
          <w:highlight w:val="none"/>
        </w:rPr>
      </w:pPr>
      <w:r>
        <w:rPr>
          <w:rFonts w:hint="eastAsia" w:hAnsi="宋体" w:cs="宋体"/>
          <w:color w:val="auto"/>
          <w:sz w:val="24"/>
          <w:szCs w:val="24"/>
          <w:highlight w:val="none"/>
        </w:rPr>
        <w:t>日期：</w:t>
      </w:r>
      <w:r>
        <w:rPr>
          <w:rFonts w:hint="eastAsia" w:hAnsi="宋体" w:cs="宋体"/>
          <w:bCs/>
          <w:color w:val="auto"/>
          <w:sz w:val="24"/>
          <w:szCs w:val="24"/>
          <w:highlight w:val="none"/>
        </w:rPr>
        <w:t xml:space="preserve">                                                             </w:t>
      </w:r>
    </w:p>
    <w:p w14:paraId="617E6A00">
      <w:pPr>
        <w:pStyle w:val="14"/>
        <w:snapToGrid w:val="0"/>
        <w:spacing w:line="360" w:lineRule="auto"/>
        <w:rPr>
          <w:rFonts w:hint="eastAsia" w:hAnsi="宋体" w:cs="宋体"/>
          <w:b/>
          <w:color w:val="auto"/>
          <w:sz w:val="24"/>
          <w:szCs w:val="24"/>
          <w:highlight w:val="none"/>
        </w:rPr>
      </w:pPr>
    </w:p>
    <w:p w14:paraId="25586D5D">
      <w:pPr>
        <w:pStyle w:val="14"/>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69714A1">
      <w:pPr>
        <w:pStyle w:val="14"/>
        <w:spacing w:line="360" w:lineRule="auto"/>
        <w:ind w:firstLine="354" w:firstLineChars="147"/>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06D4777D">
      <w:pPr>
        <w:pStyle w:val="14"/>
        <w:spacing w:line="360" w:lineRule="auto"/>
        <w:ind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0D10B96">
      <w:pPr>
        <w:pStyle w:val="14"/>
        <w:spacing w:line="360" w:lineRule="auto"/>
        <w:ind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46E28E8D">
      <w:pPr>
        <w:pStyle w:val="14"/>
        <w:spacing w:line="360" w:lineRule="auto"/>
        <w:ind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00DB2111">
      <w:pPr>
        <w:pStyle w:val="14"/>
        <w:spacing w:line="360" w:lineRule="auto"/>
        <w:ind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7D7A4B73">
      <w:pPr>
        <w:pStyle w:val="14"/>
        <w:spacing w:line="360" w:lineRule="auto"/>
        <w:ind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5BFB0426">
      <w:pPr>
        <w:rPr>
          <w:rFonts w:hint="eastAsia" w:ascii="宋体" w:hAnsi="宋体" w:cs="宋体"/>
          <w:color w:val="auto"/>
          <w:highlight w:val="none"/>
        </w:rPr>
      </w:pPr>
      <w:bookmarkStart w:id="42" w:name="_Toc74322013"/>
      <w:r>
        <w:rPr>
          <w:rFonts w:hint="eastAsia" w:ascii="宋体" w:hAnsi="宋体" w:cs="宋体"/>
          <w:color w:val="auto"/>
          <w:highlight w:val="none"/>
        </w:rPr>
        <w:br w:type="page"/>
      </w:r>
    </w:p>
    <w:p w14:paraId="3A94B3C0">
      <w:pPr>
        <w:pStyle w:val="2"/>
        <w:spacing w:before="0" w:after="0" w:line="360" w:lineRule="auto"/>
        <w:jc w:val="center"/>
        <w:rPr>
          <w:rFonts w:hint="eastAsia" w:ascii="宋体" w:hAnsi="宋体" w:eastAsia="宋体" w:cs="宋体"/>
          <w:color w:val="auto"/>
          <w:highlight w:val="none"/>
          <w:lang w:eastAsia="zh-CN"/>
        </w:rPr>
      </w:pPr>
      <w:bookmarkStart w:id="43" w:name="_Toc32223"/>
      <w:r>
        <w:rPr>
          <w:rFonts w:hint="eastAsia" w:ascii="宋体" w:hAnsi="宋体" w:cs="宋体"/>
          <w:color w:val="auto"/>
          <w:highlight w:val="none"/>
        </w:rPr>
        <w:t xml:space="preserve">第六章 </w:t>
      </w:r>
      <w:bookmarkEnd w:id="42"/>
      <w:bookmarkEnd w:id="43"/>
      <w:r>
        <w:rPr>
          <w:rFonts w:hint="eastAsia" w:ascii="宋体" w:hAnsi="宋体" w:cs="宋体"/>
          <w:color w:val="auto"/>
          <w:highlight w:val="none"/>
          <w:lang w:eastAsia="zh-CN"/>
        </w:rPr>
        <w:t>合同主要条款格式</w:t>
      </w:r>
    </w:p>
    <w:p w14:paraId="1D79659B">
      <w:pPr>
        <w:pStyle w:val="22"/>
        <w:widowControl/>
        <w:jc w:val="center"/>
        <w:rPr>
          <w:color w:val="auto"/>
          <w:highlight w:val="none"/>
        </w:rPr>
      </w:pPr>
      <w:r>
        <w:rPr>
          <w:rFonts w:hint="eastAsia" w:ascii="宋体" w:hAnsi="宋体" w:cs="宋体"/>
          <w:b/>
          <w:bCs/>
          <w:color w:val="auto"/>
          <w:sz w:val="32"/>
          <w:szCs w:val="32"/>
          <w:highlight w:val="none"/>
        </w:rPr>
        <w:t>《广西壮族自治区政府采购合同》</w:t>
      </w:r>
    </w:p>
    <w:p w14:paraId="4A0AFA5B">
      <w:pPr>
        <w:pStyle w:val="22"/>
        <w:widowControl/>
        <w:spacing w:line="400" w:lineRule="exact"/>
        <w:jc w:val="center"/>
        <w:rPr>
          <w:color w:val="auto"/>
          <w:highlight w:val="none"/>
        </w:rPr>
      </w:pPr>
      <w:r>
        <w:rPr>
          <w:rFonts w:hint="eastAsia" w:ascii="宋体" w:hAnsi="宋体" w:cs="宋体"/>
          <w:b/>
          <w:bCs/>
          <w:color w:val="auto"/>
          <w:sz w:val="32"/>
          <w:szCs w:val="32"/>
          <w:highlight w:val="none"/>
        </w:rPr>
        <w:t>文本</w:t>
      </w:r>
    </w:p>
    <w:p w14:paraId="0F3EAE9C">
      <w:pPr>
        <w:pStyle w:val="22"/>
        <w:widowControl/>
        <w:spacing w:line="400" w:lineRule="exact"/>
        <w:ind w:right="480" w:firstLine="5250"/>
        <w:rPr>
          <w:rFonts w:hint="eastAsia" w:ascii="宋体" w:hAnsi="宋体" w:cs="宋体"/>
          <w:color w:val="auto"/>
          <w:sz w:val="21"/>
          <w:szCs w:val="21"/>
          <w:highlight w:val="none"/>
        </w:rPr>
      </w:pPr>
      <w:r>
        <w:rPr>
          <w:rFonts w:hint="eastAsia" w:ascii="宋体" w:hAnsi="宋体" w:cs="宋体"/>
          <w:color w:val="auto"/>
          <w:sz w:val="21"/>
          <w:szCs w:val="21"/>
          <w:highlight w:val="none"/>
        </w:rPr>
        <w:t>合同编号：</w:t>
      </w:r>
    </w:p>
    <w:p w14:paraId="40CD2C8E">
      <w:pPr>
        <w:pStyle w:val="22"/>
        <w:widowControl/>
        <w:spacing w:line="400" w:lineRule="exact"/>
        <w:ind w:right="480" w:firstLine="5250"/>
        <w:rPr>
          <w:rFonts w:hint="eastAsia" w:ascii="宋体" w:hAnsi="宋体" w:cs="宋体"/>
          <w:color w:val="auto"/>
          <w:sz w:val="21"/>
          <w:szCs w:val="21"/>
          <w:highlight w:val="none"/>
        </w:rPr>
      </w:pPr>
    </w:p>
    <w:p w14:paraId="01B10480">
      <w:pPr>
        <w:pStyle w:val="22"/>
        <w:widowControl/>
        <w:spacing w:line="360" w:lineRule="atLeast"/>
        <w:rPr>
          <w:color w:val="auto"/>
          <w:highlight w:val="none"/>
        </w:rPr>
      </w:pPr>
      <w:r>
        <w:rPr>
          <w:rFonts w:hint="eastAsia" w:ascii="宋体" w:hAnsi="宋体" w:cs="宋体"/>
          <w:color w:val="auto"/>
          <w:sz w:val="21"/>
          <w:szCs w:val="21"/>
          <w:highlight w:val="none"/>
        </w:rPr>
        <w:t xml:space="preserve">采购人（甲方） </w:t>
      </w:r>
      <w:r>
        <w:rPr>
          <w:rFonts w:hint="eastAsia" w:ascii="宋体" w:hAnsi="宋体" w:cs="宋体"/>
          <w:color w:val="auto"/>
          <w:sz w:val="21"/>
          <w:szCs w:val="21"/>
          <w:highlight w:val="none"/>
          <w:u w:val="single"/>
        </w:rPr>
        <w:t xml:space="preserve">                  </w:t>
      </w:r>
      <w:r>
        <w:rPr>
          <w:rFonts w:hint="eastAsia" w:ascii="宋体" w:hAnsi="宋体" w:cs="宋体"/>
          <w:color w:val="auto"/>
          <w:spacing w:val="-20"/>
          <w:sz w:val="21"/>
          <w:szCs w:val="21"/>
          <w:highlight w:val="none"/>
        </w:rPr>
        <w:t xml:space="preserve">                             采 购 计 划 号</w:t>
      </w:r>
      <w:r>
        <w:rPr>
          <w:rFonts w:hint="eastAsia" w:ascii="宋体" w:hAnsi="宋体" w:cs="宋体"/>
          <w:color w:val="auto"/>
          <w:sz w:val="21"/>
          <w:szCs w:val="21"/>
          <w:highlight w:val="none"/>
          <w:u w:val="single"/>
        </w:rPr>
        <w:t xml:space="preserve">                 </w:t>
      </w:r>
    </w:p>
    <w:p w14:paraId="1C2460D0">
      <w:pPr>
        <w:pStyle w:val="22"/>
        <w:widowControl/>
        <w:spacing w:line="360" w:lineRule="atLeast"/>
        <w:rPr>
          <w:color w:val="auto"/>
          <w:highlight w:val="none"/>
        </w:rPr>
      </w:pPr>
      <w:r>
        <w:rPr>
          <w:rFonts w:hint="eastAsia" w:ascii="宋体" w:hAnsi="宋体" w:cs="宋体"/>
          <w:color w:val="auto"/>
          <w:sz w:val="21"/>
          <w:szCs w:val="21"/>
          <w:highlight w:val="none"/>
        </w:rPr>
        <w:t>供 应 商（乙方）</w:t>
      </w:r>
      <w:r>
        <w:rPr>
          <w:rFonts w:hint="eastAsia" w:ascii="宋体" w:hAnsi="宋体" w:cs="宋体"/>
          <w:color w:val="auto"/>
          <w:sz w:val="21"/>
          <w:szCs w:val="21"/>
          <w:highlight w:val="none"/>
          <w:u w:val="single"/>
        </w:rPr>
        <w:t xml:space="preserve">                  </w:t>
      </w:r>
      <w:r>
        <w:rPr>
          <w:rFonts w:hint="eastAsia" w:ascii="宋体" w:hAnsi="宋体" w:cs="宋体"/>
          <w:color w:val="auto"/>
          <w:spacing w:val="-20"/>
          <w:sz w:val="21"/>
          <w:szCs w:val="21"/>
          <w:highlight w:val="none"/>
        </w:rPr>
        <w:t xml:space="preserve">                            招  标 编 号</w:t>
      </w:r>
      <w:r>
        <w:rPr>
          <w:rFonts w:hint="eastAsia" w:ascii="宋体" w:hAnsi="宋体" w:cs="宋体"/>
          <w:color w:val="auto"/>
          <w:sz w:val="21"/>
          <w:szCs w:val="21"/>
          <w:highlight w:val="none"/>
          <w:u w:val="single"/>
        </w:rPr>
        <w:t xml:space="preserve">                 </w:t>
      </w:r>
    </w:p>
    <w:p w14:paraId="4CB4E418">
      <w:pPr>
        <w:pStyle w:val="22"/>
        <w:widowControl/>
        <w:spacing w:line="360" w:lineRule="atLeast"/>
        <w:rPr>
          <w:color w:val="auto"/>
          <w:highlight w:val="none"/>
        </w:rPr>
      </w:pPr>
      <w:r>
        <w:rPr>
          <w:rFonts w:hint="eastAsia" w:ascii="宋体" w:hAnsi="宋体" w:cs="宋体"/>
          <w:color w:val="auto"/>
          <w:sz w:val="21"/>
          <w:szCs w:val="21"/>
          <w:highlight w:val="none"/>
        </w:rPr>
        <w:t xml:space="preserve">签 订 地 点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签 订 时 间</w:t>
      </w:r>
      <w:r>
        <w:rPr>
          <w:rFonts w:hint="eastAsia" w:ascii="宋体" w:hAnsi="宋体" w:cs="宋体"/>
          <w:color w:val="auto"/>
          <w:sz w:val="21"/>
          <w:szCs w:val="21"/>
          <w:highlight w:val="none"/>
          <w:u w:val="single"/>
        </w:rPr>
        <w:t xml:space="preserve">                   </w:t>
      </w:r>
    </w:p>
    <w:p w14:paraId="21C2518F">
      <w:pPr>
        <w:pStyle w:val="22"/>
        <w:widowControl/>
        <w:spacing w:line="360" w:lineRule="atLeast"/>
        <w:rPr>
          <w:color w:val="auto"/>
          <w:highlight w:val="none"/>
        </w:rPr>
      </w:pPr>
      <w:r>
        <w:rPr>
          <w:rFonts w:hint="eastAsia" w:ascii="宋体" w:hAnsi="宋体" w:cs="宋体"/>
          <w:color w:val="auto"/>
          <w:sz w:val="21"/>
          <w:szCs w:val="21"/>
          <w:highlight w:val="none"/>
        </w:rPr>
        <w:t>本合同为中小企业预留合同：</w:t>
      </w:r>
      <w:r>
        <w:rPr>
          <w:rFonts w:hint="eastAsia" w:ascii="宋体" w:hAnsi="宋体" w:cs="宋体"/>
          <w:color w:val="auto"/>
          <w:sz w:val="21"/>
          <w:szCs w:val="21"/>
          <w:highlight w:val="none"/>
          <w:u w:val="single"/>
        </w:rPr>
        <w:t>（是/否）</w:t>
      </w:r>
      <w:r>
        <w:rPr>
          <w:rFonts w:hint="eastAsia" w:ascii="宋体" w:hAnsi="宋体" w:cs="宋体"/>
          <w:color w:val="auto"/>
          <w:sz w:val="21"/>
          <w:szCs w:val="21"/>
          <w:highlight w:val="none"/>
        </w:rPr>
        <w:t>。</w:t>
      </w:r>
    </w:p>
    <w:p w14:paraId="5F66B2CA">
      <w:pPr>
        <w:pStyle w:val="22"/>
        <w:widowControl/>
        <w:spacing w:line="360" w:lineRule="atLeast"/>
        <w:rPr>
          <w:color w:val="auto"/>
          <w:highlight w:val="none"/>
        </w:rPr>
      </w:pPr>
    </w:p>
    <w:p w14:paraId="2C1321D4">
      <w:pPr>
        <w:pStyle w:val="22"/>
        <w:widowControl/>
        <w:spacing w:line="360" w:lineRule="exact"/>
        <w:ind w:firstLine="420"/>
        <w:rPr>
          <w:color w:val="auto"/>
          <w:highlight w:val="none"/>
        </w:rPr>
      </w:pPr>
      <w:r>
        <w:rPr>
          <w:rFonts w:hint="eastAsia" w:ascii="宋体" w:hAnsi="宋体" w:cs="宋体"/>
          <w:color w:val="auto"/>
          <w:sz w:val="21"/>
          <w:szCs w:val="21"/>
          <w:highlight w:val="none"/>
        </w:rPr>
        <w:t>根据《中华人民共和国政府采购法》、《政府采购货物和服务招标投标管理办法》、《中华人民共和国民法典》等法律、法规规定，按照</w:t>
      </w:r>
      <w:r>
        <w:rPr>
          <w:rFonts w:hint="eastAsia" w:ascii="宋体" w:hAnsi="宋体" w:cs="宋体"/>
          <w:color w:val="auto"/>
          <w:sz w:val="21"/>
          <w:szCs w:val="21"/>
          <w:highlight w:val="none"/>
          <w:lang w:eastAsia="zh-CN"/>
        </w:rPr>
        <w:t>竞争性谈判文件</w:t>
      </w:r>
      <w:r>
        <w:rPr>
          <w:rFonts w:hint="eastAsia" w:ascii="宋体" w:hAnsi="宋体" w:cs="宋体"/>
          <w:color w:val="auto"/>
          <w:sz w:val="21"/>
          <w:szCs w:val="21"/>
          <w:highlight w:val="none"/>
        </w:rPr>
        <w:t>规定条款和乙方</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及其承诺，甲乙双方签订本合同。</w:t>
      </w:r>
    </w:p>
    <w:p w14:paraId="124A57D7">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第一条　合同标的</w:t>
      </w:r>
    </w:p>
    <w:p w14:paraId="2F1C4663">
      <w:pPr>
        <w:pStyle w:val="22"/>
        <w:widowControl/>
        <w:spacing w:line="360" w:lineRule="exact"/>
        <w:ind w:firstLine="420"/>
        <w:rPr>
          <w:color w:val="auto"/>
          <w:highlight w:val="none"/>
        </w:rPr>
      </w:pPr>
      <w:r>
        <w:rPr>
          <w:rFonts w:hint="eastAsia" w:ascii="宋体" w:hAnsi="宋体" w:cs="宋体"/>
          <w:color w:val="auto"/>
          <w:sz w:val="21"/>
          <w:szCs w:val="21"/>
          <w:highlight w:val="none"/>
        </w:rPr>
        <w:t>1.供货一览表</w:t>
      </w:r>
    </w:p>
    <w:tbl>
      <w:tblPr>
        <w:tblStyle w:val="27"/>
        <w:tblW w:w="4998" w:type="pct"/>
        <w:tblInd w:w="0" w:type="dxa"/>
        <w:tblLayout w:type="autofit"/>
        <w:tblCellMar>
          <w:top w:w="15" w:type="dxa"/>
          <w:left w:w="15" w:type="dxa"/>
          <w:bottom w:w="15" w:type="dxa"/>
          <w:right w:w="15" w:type="dxa"/>
        </w:tblCellMar>
      </w:tblPr>
      <w:tblGrid>
        <w:gridCol w:w="477"/>
        <w:gridCol w:w="1258"/>
        <w:gridCol w:w="1043"/>
        <w:gridCol w:w="1153"/>
        <w:gridCol w:w="823"/>
        <w:gridCol w:w="744"/>
        <w:gridCol w:w="1046"/>
        <w:gridCol w:w="748"/>
        <w:gridCol w:w="897"/>
        <w:gridCol w:w="1022"/>
      </w:tblGrid>
      <w:tr w14:paraId="49F7CEE8">
        <w:tblPrEx>
          <w:tblCellMar>
            <w:top w:w="15" w:type="dxa"/>
            <w:left w:w="15" w:type="dxa"/>
            <w:bottom w:w="15" w:type="dxa"/>
            <w:right w:w="15" w:type="dxa"/>
          </w:tblCellMar>
        </w:tblPrEx>
        <w:trPr>
          <w:trHeight w:val="547" w:hRule="atLeast"/>
        </w:trPr>
        <w:tc>
          <w:tcPr>
            <w:tcW w:w="259"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38494C2B">
            <w:pPr>
              <w:pStyle w:val="22"/>
              <w:widowControl/>
              <w:spacing w:line="300" w:lineRule="exact"/>
              <w:jc w:val="center"/>
              <w:rPr>
                <w:color w:val="auto"/>
                <w:highlight w:val="none"/>
              </w:rPr>
            </w:pPr>
            <w:r>
              <w:rPr>
                <w:rFonts w:hint="eastAsia" w:ascii="宋体" w:hAnsi="宋体" w:cs="宋体"/>
                <w:color w:val="auto"/>
                <w:sz w:val="21"/>
                <w:szCs w:val="21"/>
                <w:highlight w:val="none"/>
              </w:rPr>
              <w:t>序号</w:t>
            </w:r>
          </w:p>
        </w:tc>
        <w:tc>
          <w:tcPr>
            <w:tcW w:w="683"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4D6F356">
            <w:pPr>
              <w:pStyle w:val="22"/>
              <w:widowControl/>
              <w:spacing w:line="300" w:lineRule="exact"/>
              <w:jc w:val="center"/>
              <w:rPr>
                <w:color w:val="auto"/>
                <w:highlight w:val="none"/>
              </w:rPr>
            </w:pPr>
            <w:r>
              <w:rPr>
                <w:rFonts w:hint="eastAsia" w:ascii="宋体" w:hAnsi="宋体" w:cs="宋体"/>
                <w:color w:val="auto"/>
                <w:sz w:val="21"/>
                <w:szCs w:val="21"/>
                <w:highlight w:val="none"/>
              </w:rPr>
              <w:t>标的</w:t>
            </w:r>
          </w:p>
          <w:p w14:paraId="68E35F0B">
            <w:pPr>
              <w:pStyle w:val="22"/>
              <w:widowControl/>
              <w:spacing w:line="300" w:lineRule="exact"/>
              <w:jc w:val="center"/>
              <w:rPr>
                <w:color w:val="auto"/>
                <w:highlight w:val="none"/>
              </w:rPr>
            </w:pPr>
            <w:r>
              <w:rPr>
                <w:rFonts w:hint="eastAsia" w:ascii="宋体" w:hAnsi="宋体" w:cs="宋体"/>
                <w:color w:val="auto"/>
                <w:sz w:val="21"/>
                <w:szCs w:val="21"/>
                <w:highlight w:val="none"/>
              </w:rPr>
              <w:t>名称</w:t>
            </w:r>
          </w:p>
        </w:tc>
        <w:tc>
          <w:tcPr>
            <w:tcW w:w="56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37FEC777">
            <w:pPr>
              <w:pStyle w:val="22"/>
              <w:widowControl/>
              <w:spacing w:line="300" w:lineRule="exact"/>
              <w:jc w:val="center"/>
              <w:rPr>
                <w:color w:val="auto"/>
                <w:highlight w:val="none"/>
              </w:rPr>
            </w:pPr>
            <w:r>
              <w:rPr>
                <w:rFonts w:hint="eastAsia" w:ascii="宋体" w:hAnsi="宋体" w:cs="宋体"/>
                <w:color w:val="auto"/>
                <w:sz w:val="21"/>
                <w:szCs w:val="21"/>
                <w:highlight w:val="none"/>
              </w:rPr>
              <w:t>商标</w:t>
            </w:r>
          </w:p>
          <w:p w14:paraId="2130C79C">
            <w:pPr>
              <w:pStyle w:val="22"/>
              <w:widowControl/>
              <w:spacing w:line="300" w:lineRule="exact"/>
              <w:jc w:val="center"/>
              <w:rPr>
                <w:color w:val="auto"/>
                <w:highlight w:val="none"/>
              </w:rPr>
            </w:pPr>
            <w:r>
              <w:rPr>
                <w:rFonts w:hint="eastAsia" w:ascii="宋体" w:hAnsi="宋体" w:cs="宋体"/>
                <w:color w:val="auto"/>
                <w:sz w:val="21"/>
                <w:szCs w:val="21"/>
                <w:highlight w:val="none"/>
              </w:rPr>
              <w:t>品牌</w:t>
            </w:r>
          </w:p>
        </w:tc>
        <w:tc>
          <w:tcPr>
            <w:tcW w:w="62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793AE8E7">
            <w:pPr>
              <w:pStyle w:val="22"/>
              <w:widowControl/>
              <w:spacing w:line="300" w:lineRule="exact"/>
              <w:jc w:val="center"/>
              <w:rPr>
                <w:color w:val="auto"/>
                <w:highlight w:val="none"/>
              </w:rPr>
            </w:pPr>
            <w:r>
              <w:rPr>
                <w:rFonts w:hint="eastAsia" w:ascii="宋体" w:hAnsi="宋体" w:cs="宋体"/>
                <w:color w:val="auto"/>
                <w:sz w:val="21"/>
                <w:szCs w:val="21"/>
                <w:highlight w:val="none"/>
              </w:rPr>
              <w:t>型号</w:t>
            </w:r>
          </w:p>
          <w:p w14:paraId="6711928D">
            <w:pPr>
              <w:pStyle w:val="22"/>
              <w:widowControl/>
              <w:spacing w:line="300" w:lineRule="exact"/>
              <w:jc w:val="center"/>
              <w:rPr>
                <w:color w:val="auto"/>
                <w:highlight w:val="none"/>
              </w:rPr>
            </w:pPr>
            <w:r>
              <w:rPr>
                <w:rFonts w:hint="eastAsia" w:ascii="宋体" w:hAnsi="宋体" w:cs="宋体"/>
                <w:color w:val="auto"/>
                <w:sz w:val="21"/>
                <w:szCs w:val="21"/>
                <w:highlight w:val="none"/>
              </w:rPr>
              <w:t>参数</w:t>
            </w:r>
          </w:p>
        </w:tc>
        <w:tc>
          <w:tcPr>
            <w:tcW w:w="447"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1377F06">
            <w:pPr>
              <w:pStyle w:val="22"/>
              <w:widowControl/>
              <w:spacing w:line="300" w:lineRule="exact"/>
              <w:jc w:val="center"/>
              <w:rPr>
                <w:color w:val="auto"/>
                <w:highlight w:val="none"/>
              </w:rPr>
            </w:pPr>
            <w:r>
              <w:rPr>
                <w:rFonts w:hint="eastAsia" w:ascii="宋体" w:hAnsi="宋体" w:cs="宋体"/>
                <w:color w:val="auto"/>
                <w:sz w:val="21"/>
                <w:szCs w:val="21"/>
                <w:highlight w:val="none"/>
              </w:rPr>
              <w:t>生产</w:t>
            </w:r>
          </w:p>
          <w:p w14:paraId="3482C37A">
            <w:pPr>
              <w:pStyle w:val="22"/>
              <w:widowControl/>
              <w:spacing w:line="300" w:lineRule="exact"/>
              <w:jc w:val="center"/>
              <w:rPr>
                <w:color w:val="auto"/>
                <w:highlight w:val="none"/>
              </w:rPr>
            </w:pPr>
            <w:r>
              <w:rPr>
                <w:rFonts w:hint="eastAsia" w:ascii="宋体" w:hAnsi="宋体" w:cs="宋体"/>
                <w:color w:val="auto"/>
                <w:sz w:val="21"/>
                <w:szCs w:val="21"/>
                <w:highlight w:val="none"/>
              </w:rPr>
              <w:t>厂家</w:t>
            </w:r>
          </w:p>
        </w:tc>
        <w:tc>
          <w:tcPr>
            <w:tcW w:w="404"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AAB10A2">
            <w:pPr>
              <w:pStyle w:val="22"/>
              <w:widowControl/>
              <w:spacing w:line="300" w:lineRule="exact"/>
              <w:jc w:val="center"/>
              <w:rPr>
                <w:color w:val="auto"/>
                <w:highlight w:val="none"/>
              </w:rPr>
            </w:pPr>
            <w:r>
              <w:rPr>
                <w:rFonts w:hint="eastAsia" w:ascii="宋体" w:hAnsi="宋体" w:cs="宋体"/>
                <w:color w:val="auto"/>
                <w:sz w:val="21"/>
                <w:szCs w:val="21"/>
                <w:highlight w:val="none"/>
              </w:rPr>
              <w:t>产地</w:t>
            </w:r>
          </w:p>
        </w:tc>
        <w:tc>
          <w:tcPr>
            <w:tcW w:w="568"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BFD505D">
            <w:pPr>
              <w:pStyle w:val="22"/>
              <w:widowControl/>
              <w:spacing w:line="300" w:lineRule="exact"/>
              <w:jc w:val="center"/>
              <w:rPr>
                <w:color w:val="auto"/>
                <w:highlight w:val="none"/>
              </w:rPr>
            </w:pPr>
            <w:r>
              <w:rPr>
                <w:rFonts w:hint="eastAsia" w:ascii="宋体" w:hAnsi="宋体" w:cs="宋体"/>
                <w:color w:val="auto"/>
                <w:sz w:val="21"/>
                <w:szCs w:val="21"/>
                <w:highlight w:val="none"/>
              </w:rPr>
              <w:t>数 量</w:t>
            </w:r>
          </w:p>
        </w:tc>
        <w:tc>
          <w:tcPr>
            <w:tcW w:w="40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B491DC2">
            <w:pPr>
              <w:pStyle w:val="22"/>
              <w:widowControl/>
              <w:spacing w:line="300" w:lineRule="exact"/>
              <w:jc w:val="center"/>
              <w:rPr>
                <w:color w:val="auto"/>
                <w:highlight w:val="none"/>
              </w:rPr>
            </w:pPr>
            <w:r>
              <w:rPr>
                <w:rFonts w:hint="eastAsia" w:ascii="宋体" w:hAnsi="宋体" w:cs="宋体"/>
                <w:color w:val="auto"/>
                <w:sz w:val="21"/>
                <w:szCs w:val="21"/>
                <w:highlight w:val="none"/>
              </w:rPr>
              <w:t>单位</w:t>
            </w:r>
          </w:p>
        </w:tc>
        <w:tc>
          <w:tcPr>
            <w:tcW w:w="487"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318FB39">
            <w:pPr>
              <w:pStyle w:val="22"/>
              <w:widowControl/>
              <w:spacing w:line="300" w:lineRule="exact"/>
              <w:jc w:val="center"/>
              <w:rPr>
                <w:color w:val="auto"/>
                <w:highlight w:val="none"/>
              </w:rPr>
            </w:pPr>
            <w:r>
              <w:rPr>
                <w:rFonts w:hint="eastAsia" w:ascii="宋体" w:hAnsi="宋体" w:cs="宋体"/>
                <w:color w:val="auto"/>
                <w:sz w:val="21"/>
                <w:szCs w:val="21"/>
                <w:highlight w:val="none"/>
              </w:rPr>
              <w:t>单 价</w:t>
            </w:r>
          </w:p>
          <w:p w14:paraId="112D9903">
            <w:pPr>
              <w:pStyle w:val="22"/>
              <w:widowControl/>
              <w:spacing w:line="300" w:lineRule="exact"/>
              <w:jc w:val="center"/>
              <w:rPr>
                <w:color w:val="auto"/>
                <w:highlight w:val="none"/>
              </w:rPr>
            </w:pPr>
            <w:r>
              <w:rPr>
                <w:rFonts w:hint="eastAsia" w:ascii="宋体" w:hAnsi="宋体" w:cs="宋体"/>
                <w:color w:val="auto"/>
                <w:sz w:val="21"/>
                <w:szCs w:val="21"/>
                <w:highlight w:val="none"/>
              </w:rPr>
              <w:t>（元）</w:t>
            </w:r>
          </w:p>
        </w:tc>
        <w:tc>
          <w:tcPr>
            <w:tcW w:w="549"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3977A1D9">
            <w:pPr>
              <w:pStyle w:val="22"/>
              <w:widowControl/>
              <w:spacing w:line="300" w:lineRule="exact"/>
              <w:jc w:val="center"/>
              <w:rPr>
                <w:color w:val="auto"/>
                <w:highlight w:val="none"/>
              </w:rPr>
            </w:pPr>
            <w:r>
              <w:rPr>
                <w:rFonts w:hint="eastAsia" w:ascii="宋体" w:hAnsi="宋体" w:cs="宋体"/>
                <w:color w:val="auto"/>
                <w:sz w:val="21"/>
                <w:szCs w:val="21"/>
                <w:highlight w:val="none"/>
              </w:rPr>
              <w:t>金 额</w:t>
            </w:r>
          </w:p>
          <w:p w14:paraId="07DC6D1C">
            <w:pPr>
              <w:pStyle w:val="22"/>
              <w:widowControl/>
              <w:spacing w:line="300" w:lineRule="exact"/>
              <w:jc w:val="center"/>
              <w:rPr>
                <w:color w:val="auto"/>
                <w:highlight w:val="none"/>
              </w:rPr>
            </w:pPr>
            <w:r>
              <w:rPr>
                <w:rFonts w:hint="eastAsia" w:ascii="宋体" w:hAnsi="宋体" w:cs="宋体"/>
                <w:color w:val="auto"/>
                <w:sz w:val="21"/>
                <w:szCs w:val="21"/>
                <w:highlight w:val="none"/>
              </w:rPr>
              <w:t>（元）</w:t>
            </w:r>
          </w:p>
        </w:tc>
      </w:tr>
      <w:tr w14:paraId="50FE7C0D">
        <w:tblPrEx>
          <w:tblCellMar>
            <w:top w:w="15" w:type="dxa"/>
            <w:left w:w="15" w:type="dxa"/>
            <w:bottom w:w="15" w:type="dxa"/>
            <w:right w:w="15" w:type="dxa"/>
          </w:tblCellMar>
        </w:tblPrEx>
        <w:trPr>
          <w:trHeight w:val="161" w:hRule="atLeast"/>
        </w:trPr>
        <w:tc>
          <w:tcPr>
            <w:tcW w:w="259"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3DBE7D5C">
            <w:pPr>
              <w:pStyle w:val="22"/>
              <w:widowControl/>
              <w:spacing w:line="300" w:lineRule="exact"/>
              <w:jc w:val="center"/>
              <w:rPr>
                <w:color w:val="auto"/>
                <w:highlight w:val="none"/>
              </w:rPr>
            </w:pPr>
            <w:r>
              <w:rPr>
                <w:rFonts w:hint="eastAsia" w:ascii="宋体" w:hAnsi="宋体" w:cs="宋体"/>
                <w:color w:val="auto"/>
                <w:sz w:val="21"/>
                <w:szCs w:val="21"/>
                <w:highlight w:val="none"/>
              </w:rPr>
              <w:t>1</w:t>
            </w:r>
          </w:p>
        </w:tc>
        <w:tc>
          <w:tcPr>
            <w:tcW w:w="683"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7DF193F4">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6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E8CFFA6">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62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8FA178C">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47"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0D0CA2C8">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04"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3764B890">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68"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3D43846D">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0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7C5BBBBF">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87"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4A735D0">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49"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782FB804">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r>
      <w:tr w14:paraId="7363A5DF">
        <w:tblPrEx>
          <w:tblCellMar>
            <w:top w:w="15" w:type="dxa"/>
            <w:left w:w="15" w:type="dxa"/>
            <w:bottom w:w="15" w:type="dxa"/>
            <w:right w:w="15" w:type="dxa"/>
          </w:tblCellMar>
        </w:tblPrEx>
        <w:trPr>
          <w:trHeight w:val="192" w:hRule="atLeast"/>
        </w:trPr>
        <w:tc>
          <w:tcPr>
            <w:tcW w:w="259"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578AB6A">
            <w:pPr>
              <w:pStyle w:val="22"/>
              <w:widowControl/>
              <w:spacing w:line="300" w:lineRule="exact"/>
              <w:jc w:val="center"/>
              <w:rPr>
                <w:color w:val="auto"/>
                <w:highlight w:val="none"/>
              </w:rPr>
            </w:pPr>
            <w:r>
              <w:rPr>
                <w:rFonts w:hint="eastAsia" w:ascii="宋体" w:hAnsi="宋体" w:cs="宋体"/>
                <w:color w:val="auto"/>
                <w:sz w:val="21"/>
                <w:szCs w:val="21"/>
                <w:highlight w:val="none"/>
              </w:rPr>
              <w:t>2</w:t>
            </w:r>
          </w:p>
        </w:tc>
        <w:tc>
          <w:tcPr>
            <w:tcW w:w="683"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0491713">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6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36E9026">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62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C67BEC4">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47"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2F6537BC">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04"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495402CE">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68"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301BB112">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0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1F90A58D">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87"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AB9A8F2">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49"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4CAE84D">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r>
      <w:tr w14:paraId="6FBC501C">
        <w:tblPrEx>
          <w:tblCellMar>
            <w:top w:w="15" w:type="dxa"/>
            <w:left w:w="15" w:type="dxa"/>
            <w:bottom w:w="15" w:type="dxa"/>
            <w:right w:w="15" w:type="dxa"/>
          </w:tblCellMar>
        </w:tblPrEx>
        <w:trPr>
          <w:trHeight w:val="234" w:hRule="atLeast"/>
        </w:trPr>
        <w:tc>
          <w:tcPr>
            <w:tcW w:w="259"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9454A68">
            <w:pPr>
              <w:pStyle w:val="22"/>
              <w:widowControl/>
              <w:spacing w:line="300" w:lineRule="exact"/>
              <w:jc w:val="center"/>
              <w:rPr>
                <w:color w:val="auto"/>
                <w:highlight w:val="none"/>
              </w:rPr>
            </w:pPr>
            <w:r>
              <w:rPr>
                <w:rFonts w:hint="eastAsia" w:ascii="宋体" w:hAnsi="宋体" w:cs="宋体"/>
                <w:color w:val="auto"/>
                <w:sz w:val="21"/>
                <w:szCs w:val="21"/>
                <w:highlight w:val="none"/>
              </w:rPr>
              <w:t>3</w:t>
            </w:r>
          </w:p>
        </w:tc>
        <w:tc>
          <w:tcPr>
            <w:tcW w:w="683"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288C970">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6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DE7CF94">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62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D24E7D4">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47"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45458EA0">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04"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3BAA3A67">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68"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48B889AE">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06"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tcPr>
          <w:p w14:paraId="05A5232B">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487"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00AF5B5">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c>
          <w:tcPr>
            <w:tcW w:w="549"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829C6DC">
            <w:pPr>
              <w:pStyle w:val="22"/>
              <w:widowControl/>
              <w:spacing w:line="300" w:lineRule="exact"/>
              <w:jc w:val="center"/>
              <w:rPr>
                <w:color w:val="auto"/>
                <w:highlight w:val="none"/>
              </w:rPr>
            </w:pPr>
            <w:r>
              <w:rPr>
                <w:rFonts w:hint="eastAsia" w:ascii="宋体" w:hAnsi="宋体" w:cs="宋体"/>
                <w:color w:val="auto"/>
                <w:sz w:val="21"/>
                <w:szCs w:val="21"/>
                <w:highlight w:val="none"/>
              </w:rPr>
              <w:t> </w:t>
            </w:r>
          </w:p>
        </w:tc>
      </w:tr>
      <w:tr w14:paraId="168BF89F">
        <w:tblPrEx>
          <w:tblCellMar>
            <w:top w:w="15" w:type="dxa"/>
            <w:left w:w="15" w:type="dxa"/>
            <w:bottom w:w="15" w:type="dxa"/>
            <w:right w:w="15" w:type="dxa"/>
          </w:tblCellMar>
        </w:tblPrEx>
        <w:trPr>
          <w:trHeight w:val="181" w:hRule="atLeast"/>
        </w:trPr>
        <w:tc>
          <w:tcPr>
            <w:tcW w:w="5000" w:type="pct"/>
            <w:gridSpan w:val="10"/>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2D3D4A24">
            <w:pPr>
              <w:pStyle w:val="22"/>
              <w:widowControl/>
              <w:spacing w:line="300" w:lineRule="exact"/>
              <w:rPr>
                <w:color w:val="auto"/>
                <w:highlight w:val="none"/>
              </w:rPr>
            </w:pPr>
            <w:r>
              <w:rPr>
                <w:rFonts w:hint="eastAsia" w:ascii="宋体" w:hAnsi="宋体" w:cs="宋体"/>
                <w:color w:val="auto"/>
                <w:sz w:val="21"/>
                <w:szCs w:val="21"/>
                <w:highlight w:val="none"/>
              </w:rPr>
              <w:t xml:space="preserve">人民币合计金额（大写） （小写） </w:t>
            </w:r>
          </w:p>
        </w:tc>
      </w:tr>
    </w:tbl>
    <w:p w14:paraId="77C71FEA">
      <w:pPr>
        <w:pStyle w:val="22"/>
        <w:widowControl/>
        <w:spacing w:line="360" w:lineRule="exact"/>
        <w:ind w:firstLine="420"/>
        <w:rPr>
          <w:color w:val="auto"/>
          <w:highlight w:val="none"/>
        </w:rPr>
      </w:pPr>
      <w:r>
        <w:rPr>
          <w:rFonts w:hint="eastAsia" w:ascii="宋体" w:hAnsi="宋体" w:cs="宋体"/>
          <w:color w:val="auto"/>
          <w:sz w:val="21"/>
          <w:szCs w:val="21"/>
          <w:highlight w:val="none"/>
        </w:rPr>
        <w:t>2.合同合计金额包括产品价、运输费（含装卸费）、保险费、安装调试费、税费、培训费、产品检测费、产品质保期内维护等费用。如招</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对其另有规定的，从其规定。</w:t>
      </w:r>
    </w:p>
    <w:p w14:paraId="4174D9EC">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第二条　质量保证</w:t>
      </w:r>
    </w:p>
    <w:p w14:paraId="19AF4AAF">
      <w:pPr>
        <w:pStyle w:val="22"/>
        <w:widowControl/>
        <w:spacing w:line="360" w:lineRule="exact"/>
        <w:ind w:firstLine="420"/>
        <w:rPr>
          <w:color w:val="auto"/>
          <w:highlight w:val="none"/>
        </w:rPr>
      </w:pPr>
      <w:r>
        <w:rPr>
          <w:rFonts w:hint="eastAsia" w:ascii="宋体" w:hAnsi="宋体" w:cs="宋体"/>
          <w:color w:val="auto"/>
          <w:sz w:val="21"/>
          <w:szCs w:val="21"/>
          <w:highlight w:val="none"/>
        </w:rPr>
        <w:t>1.乙方所提供的货物型号、技术规格、技术参数等质量必须与</w:t>
      </w:r>
      <w:r>
        <w:rPr>
          <w:rFonts w:hint="eastAsia" w:ascii="宋体" w:hAnsi="宋体" w:cs="宋体"/>
          <w:color w:val="auto"/>
          <w:sz w:val="21"/>
          <w:szCs w:val="21"/>
          <w:highlight w:val="none"/>
          <w:lang w:eastAsia="zh-CN"/>
        </w:rPr>
        <w:t>竞争性谈判文件</w:t>
      </w:r>
      <w:r>
        <w:rPr>
          <w:rFonts w:hint="eastAsia" w:ascii="宋体" w:hAnsi="宋体" w:cs="宋体"/>
          <w:color w:val="auto"/>
          <w:sz w:val="21"/>
          <w:szCs w:val="21"/>
          <w:highlight w:val="none"/>
        </w:rPr>
        <w:t>和承诺相一致。乙方提供的节能和环保产品必须是列入政府采购品目清单的产品。</w:t>
      </w:r>
    </w:p>
    <w:p w14:paraId="05CE8477">
      <w:pPr>
        <w:pStyle w:val="22"/>
        <w:widowControl/>
        <w:spacing w:line="360" w:lineRule="exact"/>
        <w:ind w:firstLine="420"/>
        <w:rPr>
          <w:color w:val="auto"/>
          <w:highlight w:val="none"/>
        </w:rPr>
      </w:pPr>
      <w:r>
        <w:rPr>
          <w:rFonts w:hint="eastAsia" w:ascii="宋体" w:hAnsi="宋体" w:cs="宋体"/>
          <w:color w:val="auto"/>
          <w:sz w:val="21"/>
          <w:szCs w:val="21"/>
          <w:highlight w:val="none"/>
        </w:rPr>
        <w:t>2.乙方所提供的货物必须是全新、未使用的原装产品，且在正常安装、使用和保养条件下，其使用寿命期内各项指标均达到质量要求。</w:t>
      </w:r>
    </w:p>
    <w:p w14:paraId="3064A66C">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第三条　权利保证</w:t>
      </w:r>
    </w:p>
    <w:p w14:paraId="6AD968B0">
      <w:pPr>
        <w:pStyle w:val="22"/>
        <w:widowControl/>
        <w:spacing w:line="360" w:lineRule="exact"/>
        <w:ind w:firstLine="420"/>
        <w:rPr>
          <w:color w:val="auto"/>
          <w:highlight w:val="none"/>
        </w:rPr>
      </w:pPr>
      <w:r>
        <w:rPr>
          <w:rFonts w:hint="eastAsia" w:ascii="宋体" w:hAnsi="宋体" w:cs="宋体"/>
          <w:color w:val="auto"/>
          <w:sz w:val="21"/>
          <w:szCs w:val="21"/>
          <w:highlight w:val="none"/>
        </w:rPr>
        <w:t>1.乙方应保证所提供货物在使用时不会侵犯任何第三方的专利权、商标权、工业设计权或其他权利。</w:t>
      </w:r>
    </w:p>
    <w:p w14:paraId="0586FCD7">
      <w:pPr>
        <w:pStyle w:val="22"/>
        <w:widowControl/>
        <w:spacing w:line="360" w:lineRule="exact"/>
        <w:ind w:firstLine="420"/>
        <w:rPr>
          <w:color w:val="auto"/>
          <w:highlight w:val="none"/>
        </w:rPr>
      </w:pPr>
      <w:r>
        <w:rPr>
          <w:rFonts w:hint="eastAsia" w:ascii="宋体" w:hAnsi="宋体" w:cs="宋体"/>
          <w:color w:val="auto"/>
          <w:sz w:val="21"/>
          <w:szCs w:val="21"/>
          <w:highlight w:val="none"/>
        </w:rPr>
        <w:t>2.乙方应按</w:t>
      </w:r>
      <w:r>
        <w:rPr>
          <w:rFonts w:hint="eastAsia" w:ascii="宋体" w:hAnsi="宋体" w:cs="宋体"/>
          <w:color w:val="auto"/>
          <w:sz w:val="21"/>
          <w:szCs w:val="21"/>
          <w:highlight w:val="none"/>
          <w:lang w:eastAsia="zh-CN"/>
        </w:rPr>
        <w:t>竞争性谈判文件</w:t>
      </w:r>
      <w:r>
        <w:rPr>
          <w:rFonts w:hint="eastAsia" w:ascii="宋体" w:hAnsi="宋体" w:cs="宋体"/>
          <w:color w:val="auto"/>
          <w:sz w:val="21"/>
          <w:szCs w:val="21"/>
          <w:highlight w:val="none"/>
        </w:rPr>
        <w:t>规定的时间向甲方提供使用货物的有关技术资料。</w:t>
      </w:r>
    </w:p>
    <w:p w14:paraId="76784FE1">
      <w:pPr>
        <w:pStyle w:val="22"/>
        <w:widowControl/>
        <w:spacing w:line="360" w:lineRule="exact"/>
        <w:ind w:firstLine="420"/>
        <w:rPr>
          <w:color w:val="auto"/>
          <w:highlight w:val="none"/>
        </w:rPr>
      </w:pPr>
      <w:r>
        <w:rPr>
          <w:rFonts w:hint="eastAsia" w:ascii="宋体" w:hAnsi="宋体" w:cs="宋体"/>
          <w:color w:val="auto"/>
          <w:sz w:val="21"/>
          <w:szCs w:val="21"/>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8B619C3">
      <w:pPr>
        <w:pStyle w:val="22"/>
        <w:widowControl/>
        <w:spacing w:line="360" w:lineRule="exact"/>
        <w:ind w:firstLine="420"/>
        <w:rPr>
          <w:color w:val="auto"/>
          <w:highlight w:val="none"/>
        </w:rPr>
      </w:pPr>
      <w:r>
        <w:rPr>
          <w:rFonts w:hint="eastAsia" w:ascii="宋体" w:hAnsi="宋体" w:cs="宋体"/>
          <w:color w:val="auto"/>
          <w:sz w:val="21"/>
          <w:szCs w:val="21"/>
          <w:highlight w:val="none"/>
        </w:rPr>
        <w:t>4.乙方保证所交付的货物的所有权完全属于乙方且无任何抵押、质押、查封等产权瑕疵。</w:t>
      </w:r>
    </w:p>
    <w:p w14:paraId="6410475D">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第四条　包装和运输</w:t>
      </w:r>
    </w:p>
    <w:p w14:paraId="03CAA62F">
      <w:pPr>
        <w:pStyle w:val="22"/>
        <w:widowControl/>
        <w:spacing w:line="360" w:lineRule="exact"/>
        <w:ind w:firstLine="420"/>
        <w:rPr>
          <w:color w:val="auto"/>
          <w:highlight w:val="none"/>
        </w:rPr>
      </w:pPr>
      <w:r>
        <w:rPr>
          <w:rFonts w:hint="eastAsia" w:ascii="宋体" w:hAnsi="宋体" w:cs="宋体"/>
          <w:color w:val="auto"/>
          <w:sz w:val="21"/>
          <w:szCs w:val="21"/>
          <w:highlight w:val="none"/>
        </w:rPr>
        <w:t>1.乙方提供的货物均应按招、</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要求的包装材料、包装标准、包装方式进行包装，每一包装单元内应附详细的装箱单和质量合格证。</w:t>
      </w:r>
    </w:p>
    <w:p w14:paraId="3DA9238B">
      <w:pPr>
        <w:pStyle w:val="22"/>
        <w:widowControl/>
        <w:spacing w:line="360" w:lineRule="exact"/>
        <w:ind w:firstLine="420"/>
        <w:rPr>
          <w:color w:val="auto"/>
          <w:highlight w:val="none"/>
        </w:rPr>
      </w:pPr>
      <w:r>
        <w:rPr>
          <w:rFonts w:hint="eastAsia" w:ascii="宋体" w:hAnsi="宋体" w:cs="宋体"/>
          <w:color w:val="auto"/>
          <w:sz w:val="21"/>
          <w:szCs w:val="21"/>
          <w:highlight w:val="none"/>
        </w:rPr>
        <w:t>2.货物的运输方式：</w:t>
      </w:r>
      <w:r>
        <w:rPr>
          <w:rFonts w:hint="eastAsia" w:ascii="宋体" w:hAnsi="宋体" w:cs="宋体"/>
          <w:color w:val="auto"/>
          <w:sz w:val="21"/>
          <w:szCs w:val="21"/>
          <w:highlight w:val="none"/>
          <w:u w:val="single"/>
        </w:rPr>
        <w:t>乙方自定</w:t>
      </w:r>
      <w:r>
        <w:rPr>
          <w:rFonts w:hint="eastAsia" w:ascii="宋体" w:hAnsi="宋体" w:cs="宋体"/>
          <w:color w:val="auto"/>
          <w:sz w:val="21"/>
          <w:szCs w:val="21"/>
          <w:highlight w:val="none"/>
        </w:rPr>
        <w:t>。</w:t>
      </w:r>
    </w:p>
    <w:p w14:paraId="33778594">
      <w:pPr>
        <w:pStyle w:val="22"/>
        <w:widowControl/>
        <w:spacing w:line="360" w:lineRule="exact"/>
        <w:ind w:firstLine="420"/>
        <w:rPr>
          <w:color w:val="auto"/>
          <w:highlight w:val="none"/>
        </w:rPr>
      </w:pPr>
      <w:r>
        <w:rPr>
          <w:rFonts w:hint="eastAsia" w:ascii="宋体" w:hAnsi="宋体" w:cs="宋体"/>
          <w:color w:val="auto"/>
          <w:sz w:val="21"/>
          <w:szCs w:val="21"/>
          <w:highlight w:val="none"/>
        </w:rPr>
        <w:t>3.乙方负责货物运输，货物运输合理损耗及计算方法：</w:t>
      </w:r>
      <w:r>
        <w:rPr>
          <w:rFonts w:hint="eastAsia" w:ascii="宋体" w:hAnsi="宋体" w:cs="宋体"/>
          <w:color w:val="auto"/>
          <w:sz w:val="21"/>
          <w:szCs w:val="21"/>
          <w:highlight w:val="none"/>
          <w:u w:val="single"/>
        </w:rPr>
        <w:t>本项目合同不接受损耗</w:t>
      </w:r>
      <w:r>
        <w:rPr>
          <w:rFonts w:hint="eastAsia" w:ascii="宋体" w:hAnsi="宋体" w:cs="宋体"/>
          <w:color w:val="auto"/>
          <w:sz w:val="21"/>
          <w:szCs w:val="21"/>
          <w:highlight w:val="none"/>
        </w:rPr>
        <w:t>。</w:t>
      </w:r>
    </w:p>
    <w:p w14:paraId="7C0F3993">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第五条　交付和验收</w:t>
      </w:r>
    </w:p>
    <w:p w14:paraId="4C3B79AC">
      <w:pPr>
        <w:pStyle w:val="22"/>
        <w:widowControl/>
        <w:spacing w:line="360" w:lineRule="exact"/>
        <w:ind w:firstLine="420"/>
        <w:rPr>
          <w:color w:val="auto"/>
          <w:highlight w:val="none"/>
        </w:rPr>
      </w:pPr>
      <w:r>
        <w:rPr>
          <w:rFonts w:hint="eastAsia" w:ascii="宋体" w:hAnsi="宋体" w:cs="宋体"/>
          <w:color w:val="auto"/>
          <w:sz w:val="21"/>
          <w:szCs w:val="21"/>
          <w:highlight w:val="none"/>
        </w:rPr>
        <w:t>1.交货时间：</w:t>
      </w:r>
      <w:r>
        <w:rPr>
          <w:rFonts w:hint="eastAsia" w:ascii="宋体" w:hAnsi="宋体" w:cs="宋体"/>
          <w:color w:val="auto"/>
          <w:sz w:val="21"/>
          <w:szCs w:val="21"/>
          <w:highlight w:val="none"/>
          <w:u w:val="single"/>
        </w:rPr>
        <w:t>按乙方</w:t>
      </w:r>
      <w:r>
        <w:rPr>
          <w:rFonts w:hint="eastAsia" w:ascii="宋体" w:hAnsi="宋体" w:cs="宋体"/>
          <w:color w:val="auto"/>
          <w:sz w:val="21"/>
          <w:szCs w:val="21"/>
          <w:highlight w:val="none"/>
          <w:u w:val="single"/>
          <w:lang w:eastAsia="zh-CN"/>
        </w:rPr>
        <w:t>响应文件</w:t>
      </w:r>
      <w:r>
        <w:rPr>
          <w:rFonts w:hint="eastAsia" w:ascii="宋体" w:hAnsi="宋体" w:cs="宋体"/>
          <w:color w:val="auto"/>
          <w:sz w:val="21"/>
          <w:szCs w:val="21"/>
          <w:highlight w:val="none"/>
          <w:u w:val="single"/>
        </w:rPr>
        <w:t>中所承诺的时间</w:t>
      </w:r>
      <w:r>
        <w:rPr>
          <w:rFonts w:hint="eastAsia" w:ascii="宋体" w:hAnsi="宋体" w:cs="宋体"/>
          <w:color w:val="auto"/>
          <w:sz w:val="21"/>
          <w:szCs w:val="21"/>
          <w:highlight w:val="none"/>
        </w:rPr>
        <w:t>；交付地点：</w:t>
      </w:r>
      <w:r>
        <w:rPr>
          <w:rFonts w:hint="eastAsia" w:ascii="宋体" w:hAnsi="宋体" w:cs="宋体"/>
          <w:color w:val="auto"/>
          <w:sz w:val="21"/>
          <w:szCs w:val="21"/>
          <w:highlight w:val="none"/>
          <w:u w:val="single"/>
        </w:rPr>
        <w:t>甲方指定地点</w:t>
      </w:r>
      <w:r>
        <w:rPr>
          <w:rFonts w:hint="eastAsia" w:ascii="宋体" w:hAnsi="宋体" w:cs="宋体"/>
          <w:color w:val="auto"/>
          <w:sz w:val="21"/>
          <w:szCs w:val="21"/>
          <w:highlight w:val="none"/>
        </w:rPr>
        <w:t>。</w:t>
      </w:r>
    </w:p>
    <w:p w14:paraId="25BD24C2">
      <w:pPr>
        <w:pStyle w:val="22"/>
        <w:widowControl/>
        <w:spacing w:line="360" w:lineRule="exact"/>
        <w:ind w:firstLine="420"/>
        <w:rPr>
          <w:color w:val="auto"/>
          <w:highlight w:val="none"/>
        </w:rPr>
      </w:pPr>
      <w:r>
        <w:rPr>
          <w:rFonts w:hint="eastAsia" w:ascii="宋体" w:hAnsi="宋体" w:cs="宋体"/>
          <w:color w:val="auto"/>
          <w:sz w:val="21"/>
          <w:szCs w:val="21"/>
          <w:highlight w:val="none"/>
        </w:rPr>
        <w:t>2.乙方提供不符合招、</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和本合同规定的货物，甲方有权拒绝接受。</w:t>
      </w:r>
    </w:p>
    <w:p w14:paraId="288F4C09">
      <w:pPr>
        <w:pStyle w:val="22"/>
        <w:widowControl/>
        <w:spacing w:line="360" w:lineRule="exact"/>
        <w:ind w:firstLine="420"/>
        <w:rPr>
          <w:color w:val="auto"/>
          <w:highlight w:val="none"/>
        </w:rPr>
      </w:pPr>
      <w:r>
        <w:rPr>
          <w:rFonts w:hint="eastAsia" w:ascii="宋体" w:hAnsi="宋体" w:cs="宋体"/>
          <w:color w:val="auto"/>
          <w:sz w:val="21"/>
          <w:szCs w:val="21"/>
          <w:highlight w:val="none"/>
        </w:rPr>
        <w:t>3.乙方应将所提供货物的装箱清单、用户手册、原厂保修卡、随机资料、工具和备品、备件等交付给甲方，如有缺失应及时补齐，否则视为逾期交货。</w:t>
      </w:r>
    </w:p>
    <w:p w14:paraId="4A1AC92C">
      <w:pPr>
        <w:pStyle w:val="22"/>
        <w:widowControl/>
        <w:spacing w:line="360" w:lineRule="exact"/>
        <w:ind w:firstLine="420"/>
        <w:rPr>
          <w:color w:val="auto"/>
          <w:highlight w:val="none"/>
        </w:rPr>
      </w:pPr>
      <w:r>
        <w:rPr>
          <w:rFonts w:hint="eastAsia" w:ascii="宋体" w:hAnsi="宋体" w:cs="宋体"/>
          <w:color w:val="auto"/>
          <w:sz w:val="21"/>
          <w:szCs w:val="21"/>
          <w:highlight w:val="none"/>
        </w:rPr>
        <w:t>4.甲方应当在到货并安装、调试完后七个工作日内进行最终验收。如因甲方原因暂时不能安装、调试的货物，经双方签字确认后可视同验收合格。验收合格后由甲乙双方签署货物验收单并加盖采购单位公章，甲乙双方各执一份。</w:t>
      </w:r>
    </w:p>
    <w:p w14:paraId="583DE750">
      <w:pPr>
        <w:pStyle w:val="22"/>
        <w:widowControl/>
        <w:spacing w:line="360" w:lineRule="exact"/>
        <w:ind w:firstLine="420"/>
        <w:rPr>
          <w:color w:val="auto"/>
          <w:highlight w:val="none"/>
        </w:rPr>
      </w:pPr>
      <w:r>
        <w:rPr>
          <w:rFonts w:hint="eastAsia" w:ascii="宋体" w:hAnsi="宋体" w:cs="宋体"/>
          <w:color w:val="auto"/>
          <w:sz w:val="21"/>
          <w:szCs w:val="21"/>
          <w:highlight w:val="none"/>
        </w:rPr>
        <w:t>5.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3C0FC0C2">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第六条　安装和培训</w:t>
      </w:r>
    </w:p>
    <w:p w14:paraId="19E7317E">
      <w:pPr>
        <w:pStyle w:val="22"/>
        <w:widowControl/>
        <w:spacing w:line="360" w:lineRule="exact"/>
        <w:ind w:firstLine="420"/>
        <w:rPr>
          <w:color w:val="auto"/>
          <w:highlight w:val="none"/>
        </w:rPr>
      </w:pPr>
      <w:r>
        <w:rPr>
          <w:rFonts w:hint="eastAsia" w:ascii="宋体" w:hAnsi="宋体" w:cs="宋体"/>
          <w:color w:val="auto"/>
          <w:sz w:val="21"/>
          <w:szCs w:val="21"/>
          <w:highlight w:val="none"/>
        </w:rPr>
        <w:t>1.甲方应提供必要安装条件（如场地、电源、水源等）。</w:t>
      </w:r>
    </w:p>
    <w:p w14:paraId="6F5779E9">
      <w:pPr>
        <w:pStyle w:val="22"/>
        <w:widowControl/>
        <w:spacing w:line="360" w:lineRule="exact"/>
        <w:ind w:firstLine="420"/>
        <w:rPr>
          <w:color w:val="auto"/>
          <w:highlight w:val="none"/>
        </w:rPr>
      </w:pPr>
      <w:r>
        <w:rPr>
          <w:rFonts w:hint="eastAsia" w:ascii="宋体" w:hAnsi="宋体" w:cs="宋体"/>
          <w:color w:val="auto"/>
          <w:sz w:val="21"/>
          <w:szCs w:val="21"/>
          <w:highlight w:val="none"/>
        </w:rPr>
        <w:t>2.乙方负责甲方有关人员的培训。培训时间、地点：</w:t>
      </w:r>
      <w:r>
        <w:rPr>
          <w:rFonts w:hint="eastAsia" w:ascii="宋体" w:hAnsi="宋体" w:cs="宋体"/>
          <w:color w:val="auto"/>
          <w:sz w:val="21"/>
          <w:szCs w:val="21"/>
          <w:highlight w:val="none"/>
          <w:u w:val="single"/>
        </w:rPr>
        <w:t>由甲方决定。</w:t>
      </w:r>
    </w:p>
    <w:p w14:paraId="5C7844AC">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第七条 售后服务、质保期</w:t>
      </w:r>
    </w:p>
    <w:p w14:paraId="01440581">
      <w:pPr>
        <w:pStyle w:val="22"/>
        <w:widowControl/>
        <w:spacing w:line="360" w:lineRule="exact"/>
        <w:ind w:firstLine="420"/>
        <w:rPr>
          <w:color w:val="auto"/>
          <w:highlight w:val="none"/>
        </w:rPr>
      </w:pPr>
      <w:r>
        <w:rPr>
          <w:rFonts w:hint="eastAsia" w:ascii="宋体" w:hAnsi="宋体" w:cs="宋体"/>
          <w:color w:val="auto"/>
          <w:sz w:val="21"/>
          <w:szCs w:val="21"/>
          <w:highlight w:val="none"/>
        </w:rPr>
        <w:t>1.乙方应按照国家有关法律法规和“三包”规定以及招、</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和本合同附件，为甲方提供售后服务。</w:t>
      </w:r>
    </w:p>
    <w:p w14:paraId="61E94049">
      <w:pPr>
        <w:pStyle w:val="22"/>
        <w:widowControl/>
        <w:spacing w:line="360" w:lineRule="exact"/>
        <w:ind w:firstLine="420"/>
        <w:rPr>
          <w:color w:val="auto"/>
          <w:highlight w:val="none"/>
        </w:rPr>
      </w:pPr>
      <w:r>
        <w:rPr>
          <w:rFonts w:hint="eastAsia" w:ascii="宋体" w:hAnsi="宋体" w:cs="宋体"/>
          <w:color w:val="auto"/>
          <w:sz w:val="21"/>
          <w:szCs w:val="21"/>
          <w:highlight w:val="none"/>
        </w:rPr>
        <w:t>2.货物质保期：</w:t>
      </w:r>
      <w:r>
        <w:rPr>
          <w:rFonts w:hint="eastAsia" w:ascii="宋体" w:hAnsi="宋体" w:cs="宋体"/>
          <w:color w:val="auto"/>
          <w:sz w:val="21"/>
          <w:szCs w:val="21"/>
          <w:highlight w:val="none"/>
          <w:u w:val="single"/>
        </w:rPr>
        <w:t>按乙方</w:t>
      </w:r>
      <w:r>
        <w:rPr>
          <w:rFonts w:hint="eastAsia" w:ascii="宋体" w:hAnsi="宋体" w:cs="宋体"/>
          <w:color w:val="auto"/>
          <w:sz w:val="21"/>
          <w:szCs w:val="21"/>
          <w:highlight w:val="none"/>
          <w:u w:val="single"/>
          <w:lang w:val="en-US" w:eastAsia="zh-CN"/>
        </w:rPr>
        <w:t>响应文件</w:t>
      </w:r>
      <w:r>
        <w:rPr>
          <w:rFonts w:hint="eastAsia" w:ascii="宋体" w:hAnsi="宋体" w:cs="宋体"/>
          <w:color w:val="auto"/>
          <w:sz w:val="21"/>
          <w:szCs w:val="21"/>
          <w:highlight w:val="none"/>
          <w:u w:val="single"/>
        </w:rPr>
        <w:t>承诺。</w:t>
      </w:r>
    </w:p>
    <w:p w14:paraId="53777850">
      <w:pPr>
        <w:pStyle w:val="22"/>
        <w:widowControl/>
        <w:spacing w:line="360" w:lineRule="exact"/>
        <w:ind w:firstLine="420"/>
        <w:rPr>
          <w:color w:val="auto"/>
          <w:highlight w:val="none"/>
        </w:rPr>
      </w:pPr>
      <w:r>
        <w:rPr>
          <w:rFonts w:hint="eastAsia" w:ascii="宋体" w:hAnsi="宋体" w:cs="宋体"/>
          <w:color w:val="auto"/>
          <w:sz w:val="21"/>
          <w:szCs w:val="21"/>
          <w:highlight w:val="none"/>
        </w:rPr>
        <w:t>3.乙方提供的服务承诺和售后服务及质保期责任等其它具体约定事项。（见合同附件）</w:t>
      </w:r>
    </w:p>
    <w:p w14:paraId="56C0D072">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第八条　付款方式</w:t>
      </w:r>
    </w:p>
    <w:p w14:paraId="76879195">
      <w:pPr>
        <w:pStyle w:val="22"/>
        <w:widowControl/>
        <w:spacing w:line="360" w:lineRule="exact"/>
        <w:ind w:firstLine="420"/>
        <w:rPr>
          <w:color w:val="auto"/>
          <w:highlight w:val="none"/>
        </w:rPr>
      </w:pPr>
      <w:r>
        <w:rPr>
          <w:rFonts w:hint="eastAsia" w:ascii="宋体" w:hAnsi="宋体" w:cs="宋体"/>
          <w:color w:val="auto"/>
          <w:sz w:val="21"/>
          <w:szCs w:val="21"/>
          <w:highlight w:val="none"/>
        </w:rPr>
        <w:t>1.当采购数量与实际使用数量不一致时，乙方应根据实际使用量供货，合同的最终结算金额按实际使用量乘以</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单价进行计算。</w:t>
      </w:r>
    </w:p>
    <w:p w14:paraId="60106EE4">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2.付款方式：</w:t>
      </w:r>
    </w:p>
    <w:p w14:paraId="11B42B02">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合同签订后10个工作日内，甲方按合同金额的30%向</w:t>
      </w:r>
      <w:r>
        <w:rPr>
          <w:rFonts w:hint="eastAsia" w:ascii="宋体" w:hAnsi="宋体" w:cs="宋体"/>
          <w:color w:val="auto"/>
          <w:sz w:val="21"/>
          <w:szCs w:val="21"/>
          <w:highlight w:val="none"/>
        </w:rPr>
        <w:t>乙方</w:t>
      </w:r>
      <w:r>
        <w:rPr>
          <w:rFonts w:hint="eastAsia" w:ascii="宋体" w:hAnsi="宋体" w:cs="宋体"/>
          <w:color w:val="auto"/>
          <w:szCs w:val="21"/>
          <w:highlight w:val="none"/>
        </w:rPr>
        <w:t>支付预付款；货到安装调试完成后</w:t>
      </w:r>
      <w:r>
        <w:rPr>
          <w:rFonts w:ascii="宋体" w:hAnsi="宋体" w:cs="宋体"/>
          <w:color w:val="auto"/>
          <w:szCs w:val="21"/>
          <w:highlight w:val="none"/>
        </w:rPr>
        <w:t>5个工作日</w:t>
      </w:r>
      <w:r>
        <w:rPr>
          <w:rFonts w:hint="eastAsia" w:ascii="宋体" w:hAnsi="宋体" w:cs="宋体"/>
          <w:color w:val="auto"/>
          <w:szCs w:val="21"/>
          <w:highlight w:val="none"/>
        </w:rPr>
        <w:t>内，甲方按合同</w:t>
      </w:r>
      <w:r>
        <w:rPr>
          <w:rFonts w:ascii="宋体" w:hAnsi="宋体" w:cs="宋体"/>
          <w:color w:val="auto"/>
          <w:szCs w:val="21"/>
          <w:highlight w:val="none"/>
        </w:rPr>
        <w:t>总款的</w:t>
      </w:r>
      <w:r>
        <w:rPr>
          <w:rFonts w:hint="eastAsia" w:ascii="宋体" w:hAnsi="宋体" w:cs="宋体"/>
          <w:color w:val="auto"/>
          <w:szCs w:val="21"/>
          <w:highlight w:val="none"/>
        </w:rPr>
        <w:t>3</w:t>
      </w:r>
      <w:r>
        <w:rPr>
          <w:rFonts w:ascii="宋体" w:hAnsi="宋体" w:cs="宋体"/>
          <w:color w:val="auto"/>
          <w:szCs w:val="21"/>
          <w:highlight w:val="none"/>
        </w:rPr>
        <w:t>0%</w:t>
      </w:r>
      <w:r>
        <w:rPr>
          <w:rFonts w:hint="eastAsia" w:ascii="宋体" w:hAnsi="宋体" w:cs="宋体"/>
          <w:color w:val="auto"/>
          <w:szCs w:val="21"/>
          <w:highlight w:val="none"/>
        </w:rPr>
        <w:t>向</w:t>
      </w:r>
      <w:r>
        <w:rPr>
          <w:rFonts w:hint="eastAsia" w:ascii="宋体" w:hAnsi="宋体" w:cs="宋体"/>
          <w:color w:val="auto"/>
          <w:sz w:val="21"/>
          <w:szCs w:val="21"/>
          <w:highlight w:val="none"/>
        </w:rPr>
        <w:t>乙方</w:t>
      </w:r>
      <w:r>
        <w:rPr>
          <w:rFonts w:hint="eastAsia" w:ascii="宋体" w:hAnsi="宋体" w:cs="宋体"/>
          <w:color w:val="auto"/>
          <w:szCs w:val="21"/>
          <w:highlight w:val="none"/>
        </w:rPr>
        <w:t>支付进度款，</w:t>
      </w:r>
      <w:r>
        <w:rPr>
          <w:rFonts w:ascii="宋体" w:hAnsi="宋体" w:cs="宋体"/>
          <w:color w:val="auto"/>
          <w:szCs w:val="21"/>
          <w:highlight w:val="none"/>
        </w:rPr>
        <w:t>本期支付完成后，</w:t>
      </w:r>
      <w:r>
        <w:rPr>
          <w:rFonts w:hint="eastAsia" w:ascii="宋体" w:hAnsi="宋体" w:cs="宋体"/>
          <w:color w:val="auto"/>
          <w:szCs w:val="21"/>
          <w:highlight w:val="none"/>
        </w:rPr>
        <w:t>甲方</w:t>
      </w:r>
      <w:r>
        <w:rPr>
          <w:rFonts w:ascii="宋体" w:hAnsi="宋体" w:cs="宋体"/>
          <w:color w:val="auto"/>
          <w:szCs w:val="21"/>
          <w:highlight w:val="none"/>
        </w:rPr>
        <w:t>累计支付总额为合同总价的</w:t>
      </w:r>
      <w:r>
        <w:rPr>
          <w:rFonts w:hint="eastAsia" w:ascii="宋体" w:hAnsi="宋体" w:cs="宋体"/>
          <w:color w:val="auto"/>
          <w:szCs w:val="21"/>
          <w:highlight w:val="none"/>
        </w:rPr>
        <w:t>6</w:t>
      </w:r>
      <w:r>
        <w:rPr>
          <w:rFonts w:ascii="宋体" w:hAnsi="宋体" w:cs="宋体"/>
          <w:color w:val="auto"/>
          <w:szCs w:val="21"/>
          <w:highlight w:val="none"/>
        </w:rPr>
        <w:t>0%</w:t>
      </w:r>
      <w:r>
        <w:rPr>
          <w:rFonts w:hint="eastAsia" w:ascii="宋体" w:hAnsi="宋体" w:cs="宋体"/>
          <w:color w:val="auto"/>
          <w:szCs w:val="21"/>
          <w:highlight w:val="none"/>
        </w:rPr>
        <w:t>；验收合格后10个工作日甲方向</w:t>
      </w:r>
      <w:r>
        <w:rPr>
          <w:rFonts w:hint="eastAsia" w:ascii="宋体" w:hAnsi="宋体" w:cs="宋体"/>
          <w:color w:val="auto"/>
          <w:sz w:val="21"/>
          <w:szCs w:val="21"/>
          <w:highlight w:val="none"/>
        </w:rPr>
        <w:t>乙方</w:t>
      </w:r>
      <w:r>
        <w:rPr>
          <w:rFonts w:hint="eastAsia" w:ascii="宋体" w:hAnsi="宋体" w:cs="宋体"/>
          <w:color w:val="auto"/>
          <w:szCs w:val="21"/>
          <w:highlight w:val="none"/>
        </w:rPr>
        <w:t>支付合同金额的40%尾款，</w:t>
      </w:r>
      <w:r>
        <w:rPr>
          <w:rFonts w:ascii="宋体" w:hAnsi="宋体" w:cs="宋体"/>
          <w:color w:val="auto"/>
          <w:szCs w:val="21"/>
          <w:highlight w:val="none"/>
        </w:rPr>
        <w:t>本期支付完成后，</w:t>
      </w:r>
      <w:r>
        <w:rPr>
          <w:rFonts w:hint="eastAsia" w:ascii="宋体" w:hAnsi="宋体" w:cs="宋体"/>
          <w:color w:val="auto"/>
          <w:szCs w:val="21"/>
          <w:highlight w:val="none"/>
        </w:rPr>
        <w:t>甲方</w:t>
      </w:r>
      <w:r>
        <w:rPr>
          <w:rFonts w:ascii="宋体" w:hAnsi="宋体" w:cs="宋体"/>
          <w:color w:val="auto"/>
          <w:szCs w:val="21"/>
          <w:highlight w:val="none"/>
        </w:rPr>
        <w:t>累计支付总额为合同总价的</w:t>
      </w:r>
      <w:r>
        <w:rPr>
          <w:rFonts w:hint="eastAsia" w:ascii="宋体" w:hAnsi="宋体" w:cs="宋体"/>
          <w:color w:val="auto"/>
          <w:szCs w:val="21"/>
          <w:highlight w:val="none"/>
        </w:rPr>
        <w:t>10</w:t>
      </w:r>
      <w:r>
        <w:rPr>
          <w:rFonts w:ascii="宋体" w:hAnsi="宋体" w:cs="宋体"/>
          <w:color w:val="auto"/>
          <w:szCs w:val="21"/>
          <w:highlight w:val="none"/>
        </w:rPr>
        <w:t>0%</w:t>
      </w:r>
      <w:r>
        <w:rPr>
          <w:rFonts w:hint="eastAsia" w:ascii="宋体" w:hAnsi="宋体" w:cs="宋体"/>
          <w:color w:val="auto"/>
          <w:szCs w:val="21"/>
          <w:highlight w:val="none"/>
        </w:rPr>
        <w:t>。每次甲方付款前，乙方应向甲方开具等额有效的增值税专用发票，甲方未收到合格有效发票的，有权不予支付相应款项直至乙方提供合格发票，并不承担延迟付款责任。</w:t>
      </w:r>
    </w:p>
    <w:p w14:paraId="42076EF8">
      <w:pPr>
        <w:pStyle w:val="22"/>
        <w:widowControl/>
        <w:spacing w:line="360" w:lineRule="exact"/>
        <w:ind w:left="-59" w:leftChars="-28" w:firstLine="515"/>
        <w:rPr>
          <w:color w:val="auto"/>
          <w:highlight w:val="none"/>
        </w:rPr>
      </w:pPr>
      <w:r>
        <w:rPr>
          <w:rFonts w:hint="eastAsia" w:ascii="宋体" w:hAnsi="宋体" w:cs="宋体"/>
          <w:b/>
          <w:bCs/>
          <w:color w:val="auto"/>
          <w:sz w:val="21"/>
          <w:szCs w:val="21"/>
          <w:highlight w:val="none"/>
        </w:rPr>
        <w:t>第九条　履约保证金</w:t>
      </w:r>
    </w:p>
    <w:p w14:paraId="7D808463">
      <w:pPr>
        <w:autoSpaceDE w:val="0"/>
        <w:autoSpaceDN w:val="0"/>
        <w:snapToGrid w:val="0"/>
        <w:spacing w:line="360" w:lineRule="exact"/>
        <w:ind w:firstLine="420" w:firstLineChars="200"/>
        <w:textAlignment w:val="bottom"/>
        <w:rPr>
          <w:rFonts w:hint="eastAsia" w:ascii="宋体" w:hAnsi="宋体" w:cs="宋体"/>
          <w:color w:val="auto"/>
          <w:szCs w:val="21"/>
          <w:highlight w:val="none"/>
          <w:u w:val="single"/>
        </w:rPr>
      </w:pPr>
      <w:r>
        <w:rPr>
          <w:rFonts w:hint="eastAsia" w:ascii="宋体" w:hAnsi="宋体" w:cs="宋体"/>
          <w:color w:val="auto"/>
          <w:szCs w:val="21"/>
          <w:highlight w:val="none"/>
          <w:u w:val="single"/>
        </w:rPr>
        <w:t>履约保证金金额：按</w:t>
      </w:r>
      <w:r>
        <w:rPr>
          <w:rFonts w:hint="eastAsia" w:ascii="宋体" w:hAnsi="宋体" w:cs="宋体"/>
          <w:color w:val="auto"/>
          <w:szCs w:val="21"/>
          <w:highlight w:val="none"/>
          <w:u w:val="single"/>
          <w:lang w:eastAsia="zh-CN"/>
        </w:rPr>
        <w:t>成交</w:t>
      </w:r>
      <w:r>
        <w:rPr>
          <w:rFonts w:hint="eastAsia" w:ascii="宋体" w:hAnsi="宋体" w:cs="宋体"/>
          <w:color w:val="auto"/>
          <w:szCs w:val="21"/>
          <w:highlight w:val="none"/>
          <w:u w:val="single"/>
        </w:rPr>
        <w:t>金额的</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%交纳。由</w:t>
      </w:r>
      <w:r>
        <w:rPr>
          <w:rFonts w:hint="eastAsia" w:ascii="宋体" w:hAnsi="宋体" w:cs="宋体"/>
          <w:color w:val="auto"/>
          <w:sz w:val="21"/>
          <w:szCs w:val="21"/>
          <w:highlight w:val="none"/>
        </w:rPr>
        <w:t>乙方</w:t>
      </w:r>
      <w:r>
        <w:rPr>
          <w:rFonts w:hint="eastAsia" w:ascii="宋体" w:hAnsi="宋体" w:cs="宋体"/>
          <w:color w:val="auto"/>
          <w:szCs w:val="21"/>
          <w:highlight w:val="none"/>
          <w:u w:val="single"/>
        </w:rPr>
        <w:t>在签订合同前按规定的金额直接缴入</w:t>
      </w:r>
      <w:r>
        <w:rPr>
          <w:rFonts w:hint="eastAsia" w:ascii="宋体" w:hAnsi="宋体" w:cs="宋体"/>
          <w:color w:val="auto"/>
          <w:szCs w:val="21"/>
          <w:highlight w:val="none"/>
        </w:rPr>
        <w:t>甲方</w:t>
      </w:r>
      <w:r>
        <w:rPr>
          <w:rFonts w:hint="eastAsia" w:ascii="宋体" w:hAnsi="宋体" w:cs="宋体"/>
          <w:color w:val="auto"/>
          <w:szCs w:val="21"/>
          <w:highlight w:val="none"/>
          <w:u w:val="single"/>
        </w:rPr>
        <w:t>账户。否则，不予办理签订合同。</w:t>
      </w:r>
    </w:p>
    <w:p w14:paraId="3030F800">
      <w:pPr>
        <w:autoSpaceDE w:val="0"/>
        <w:autoSpaceDN w:val="0"/>
        <w:snapToGrid w:val="0"/>
        <w:spacing w:line="360" w:lineRule="exact"/>
        <w:ind w:firstLine="420" w:firstLineChars="200"/>
        <w:textAlignment w:val="bottom"/>
        <w:rPr>
          <w:rFonts w:hint="eastAsia" w:ascii="宋体" w:hAnsi="宋体" w:cs="宋体"/>
          <w:color w:val="auto"/>
          <w:szCs w:val="21"/>
          <w:highlight w:val="none"/>
          <w:u w:val="single"/>
        </w:rPr>
      </w:pPr>
      <w:r>
        <w:rPr>
          <w:rFonts w:hint="eastAsia" w:ascii="宋体" w:hAnsi="宋体" w:cs="宋体"/>
          <w:color w:val="auto"/>
          <w:szCs w:val="21"/>
          <w:highlight w:val="none"/>
          <w:u w:val="single"/>
        </w:rPr>
        <w:t>履约保证金退付方式、时间及条件：在全部货物完成交付并验收合格后</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由</w:t>
      </w:r>
      <w:r>
        <w:rPr>
          <w:rFonts w:hint="eastAsia" w:ascii="宋体" w:hAnsi="宋体" w:cs="宋体"/>
          <w:color w:val="auto"/>
          <w:sz w:val="21"/>
          <w:szCs w:val="21"/>
          <w:highlight w:val="none"/>
        </w:rPr>
        <w:t>乙方</w:t>
      </w:r>
      <w:r>
        <w:rPr>
          <w:rFonts w:hint="eastAsia" w:ascii="宋体" w:hAnsi="宋体" w:cs="宋体"/>
          <w:color w:val="auto"/>
          <w:szCs w:val="21"/>
          <w:highlight w:val="none"/>
          <w:u w:val="single"/>
        </w:rPr>
        <w:t>向履约保证金收取单位提供《采购项目合同验收书》、《采购项目履约保证金退付意见书》，保证金收取单位在收到合格材料后，根据</w:t>
      </w:r>
      <w:r>
        <w:rPr>
          <w:rFonts w:hint="eastAsia" w:ascii="宋体" w:hAnsi="宋体" w:cs="宋体"/>
          <w:color w:val="auto"/>
          <w:sz w:val="21"/>
          <w:szCs w:val="21"/>
          <w:highlight w:val="none"/>
        </w:rPr>
        <w:t>乙方</w:t>
      </w:r>
      <w:r>
        <w:rPr>
          <w:rFonts w:hint="eastAsia" w:ascii="宋体" w:hAnsi="宋体" w:cs="宋体"/>
          <w:color w:val="auto"/>
          <w:szCs w:val="21"/>
          <w:highlight w:val="none"/>
          <w:u w:val="single"/>
        </w:rPr>
        <w:t>相关违约处罚扣款后的实际数额在</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个工作日内办理退还手续（不计利息）。若采购内容质保期各不相同的，也可按金额比例分次退付。</w:t>
      </w:r>
    </w:p>
    <w:p w14:paraId="46C0B955">
      <w:pPr>
        <w:autoSpaceDE w:val="0"/>
        <w:autoSpaceDN w:val="0"/>
        <w:snapToGrid w:val="0"/>
        <w:spacing w:line="360" w:lineRule="exact"/>
        <w:ind w:firstLine="420" w:firstLineChars="200"/>
        <w:textAlignment w:val="bottom"/>
        <w:rPr>
          <w:rFonts w:hint="eastAsia" w:ascii="宋体" w:hAnsi="宋体" w:cs="宋体"/>
          <w:color w:val="auto"/>
          <w:szCs w:val="21"/>
          <w:highlight w:val="none"/>
          <w:u w:val="single"/>
        </w:rPr>
      </w:pPr>
      <w:r>
        <w:rPr>
          <w:rFonts w:hint="eastAsia" w:ascii="宋体" w:hAnsi="宋体" w:cs="宋体"/>
          <w:color w:val="auto"/>
          <w:szCs w:val="21"/>
          <w:highlight w:val="none"/>
          <w:u w:val="single"/>
        </w:rPr>
        <w:t>乙方采用保函形式缴纳履约保证金的，该保函需载明：</w:t>
      </w:r>
    </w:p>
    <w:p w14:paraId="6D4C4ECD">
      <w:pPr>
        <w:autoSpaceDE w:val="0"/>
        <w:autoSpaceDN w:val="0"/>
        <w:snapToGrid w:val="0"/>
        <w:spacing w:line="360" w:lineRule="exact"/>
        <w:ind w:firstLine="630" w:firstLineChars="300"/>
        <w:textAlignment w:val="bottom"/>
        <w:rPr>
          <w:rFonts w:hint="eastAsia" w:ascii="宋体" w:hAnsi="宋体" w:cs="宋体"/>
          <w:color w:val="auto"/>
          <w:szCs w:val="21"/>
          <w:highlight w:val="none"/>
          <w:u w:val="single"/>
        </w:rPr>
      </w:pPr>
      <w:r>
        <w:rPr>
          <w:rFonts w:hint="eastAsia" w:ascii="宋体" w:hAnsi="宋体" w:cs="宋体"/>
          <w:color w:val="auto"/>
          <w:szCs w:val="21"/>
          <w:highlight w:val="none"/>
          <w:u w:val="single"/>
        </w:rPr>
        <w:t>（1）见索即付；</w:t>
      </w:r>
    </w:p>
    <w:p w14:paraId="00353C27">
      <w:pPr>
        <w:autoSpaceDE w:val="0"/>
        <w:autoSpaceDN w:val="0"/>
        <w:snapToGrid w:val="0"/>
        <w:spacing w:line="360" w:lineRule="exact"/>
        <w:ind w:firstLine="630" w:firstLineChars="300"/>
        <w:textAlignment w:val="bottom"/>
        <w:rPr>
          <w:rFonts w:hint="eastAsia" w:ascii="宋体" w:hAnsi="宋体" w:cs="宋体"/>
          <w:color w:val="auto"/>
          <w:szCs w:val="21"/>
          <w:highlight w:val="none"/>
          <w:u w:val="single"/>
        </w:rPr>
      </w:pPr>
      <w:r>
        <w:rPr>
          <w:rFonts w:hint="eastAsia" w:ascii="宋体" w:hAnsi="宋体" w:cs="宋体"/>
          <w:color w:val="auto"/>
          <w:szCs w:val="21"/>
          <w:highlight w:val="none"/>
          <w:u w:val="single"/>
        </w:rPr>
        <w:t>（2）收到</w:t>
      </w:r>
      <w:r>
        <w:rPr>
          <w:rFonts w:hint="eastAsia" w:ascii="宋体" w:hAnsi="宋体" w:cs="宋体"/>
          <w:color w:val="auto"/>
          <w:szCs w:val="21"/>
          <w:highlight w:val="none"/>
        </w:rPr>
        <w:t>甲方</w:t>
      </w:r>
      <w:r>
        <w:rPr>
          <w:rFonts w:hint="eastAsia" w:ascii="宋体" w:hAnsi="宋体" w:cs="宋体"/>
          <w:color w:val="auto"/>
          <w:szCs w:val="21"/>
          <w:highlight w:val="none"/>
          <w:u w:val="single"/>
        </w:rPr>
        <w:t>法定代表人或授权委托代理人签字确认并加盖公章的书面索赔通知后即应不争辩、不挑剔、不可撤销地向采购人支付索赔款，直至最高担保金额。（如乙方提供的保函未载明前述内容的，甲方可直接拒收该保函，乙方应以银行转账或其他能切实发挥履约担保作用的方式提供履约保证金）。</w:t>
      </w:r>
    </w:p>
    <w:p w14:paraId="13EBEE16">
      <w:pPr>
        <w:pStyle w:val="22"/>
        <w:widowControl/>
        <w:spacing w:line="360" w:lineRule="exact"/>
        <w:ind w:left="-61" w:firstLine="514"/>
        <w:rPr>
          <w:color w:val="auto"/>
          <w:highlight w:val="none"/>
        </w:rPr>
      </w:pPr>
      <w:r>
        <w:rPr>
          <w:rFonts w:hint="eastAsia" w:ascii="宋体" w:hAnsi="宋体" w:cs="宋体"/>
          <w:b/>
          <w:bCs/>
          <w:color w:val="auto"/>
          <w:sz w:val="21"/>
          <w:szCs w:val="21"/>
          <w:highlight w:val="none"/>
        </w:rPr>
        <w:t>第十条 税费</w:t>
      </w:r>
    </w:p>
    <w:p w14:paraId="5B59C970">
      <w:pPr>
        <w:pStyle w:val="22"/>
        <w:widowControl/>
        <w:spacing w:line="360" w:lineRule="exact"/>
        <w:ind w:firstLine="420"/>
        <w:rPr>
          <w:color w:val="auto"/>
          <w:highlight w:val="none"/>
        </w:rPr>
      </w:pPr>
      <w:r>
        <w:rPr>
          <w:rFonts w:hint="eastAsia" w:ascii="宋体" w:hAnsi="宋体" w:cs="宋体"/>
          <w:color w:val="auto"/>
          <w:sz w:val="21"/>
          <w:szCs w:val="21"/>
          <w:highlight w:val="none"/>
        </w:rPr>
        <w:t>本合同执行中相关的一切税费均由乙方负担。</w:t>
      </w:r>
    </w:p>
    <w:p w14:paraId="58542F93">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第十一条 质量保证及售后服务</w:t>
      </w:r>
    </w:p>
    <w:p w14:paraId="3C62CD09">
      <w:pPr>
        <w:pStyle w:val="22"/>
        <w:widowControl/>
        <w:spacing w:line="360" w:lineRule="exact"/>
        <w:ind w:firstLine="480"/>
        <w:rPr>
          <w:color w:val="auto"/>
          <w:highlight w:val="none"/>
        </w:rPr>
      </w:pPr>
      <w:r>
        <w:rPr>
          <w:rFonts w:hint="eastAsia" w:ascii="宋体" w:hAnsi="宋体" w:cs="宋体"/>
          <w:color w:val="auto"/>
          <w:sz w:val="21"/>
          <w:szCs w:val="21"/>
          <w:highlight w:val="none"/>
        </w:rPr>
        <w:t>1.乙方应按</w:t>
      </w:r>
      <w:r>
        <w:rPr>
          <w:rFonts w:hint="eastAsia" w:ascii="宋体" w:hAnsi="宋体" w:cs="宋体"/>
          <w:color w:val="auto"/>
          <w:sz w:val="21"/>
          <w:szCs w:val="21"/>
          <w:highlight w:val="none"/>
          <w:lang w:eastAsia="zh-CN"/>
        </w:rPr>
        <w:t>竞争性谈判文件</w:t>
      </w:r>
      <w:r>
        <w:rPr>
          <w:rFonts w:hint="eastAsia" w:ascii="宋体" w:hAnsi="宋体" w:cs="宋体"/>
          <w:color w:val="auto"/>
          <w:sz w:val="21"/>
          <w:szCs w:val="21"/>
          <w:highlight w:val="none"/>
        </w:rPr>
        <w:t>规定的货物性能、技术要求、质量标准向甲方提供未经使用的全新产品。乙方提供货物的质保期按交货最终验收合格之日起计（期限按乙方承诺，但是不得低于国家相关标准）。如因甲方原因暂时不能安装、调试视同验收合格的货物，质保期从安装、调试完成之日起计算，或者从项目整体最终验收之日起质保期满后再延长1年，以先到时间为准。在质保期内因货物本身的质量问题发生故障，乙方应负责免费修理和更换零部件。对达不到技术要求者，根据实际情况，经双方协商，可按以下办法处理：</w:t>
      </w:r>
    </w:p>
    <w:p w14:paraId="65F4E2A9">
      <w:pPr>
        <w:pStyle w:val="22"/>
        <w:widowControl/>
        <w:spacing w:line="360" w:lineRule="exact"/>
        <w:ind w:firstLine="480"/>
        <w:rPr>
          <w:color w:val="auto"/>
          <w:highlight w:val="none"/>
        </w:rPr>
      </w:pPr>
      <w:r>
        <w:rPr>
          <w:rFonts w:hint="eastAsia" w:ascii="宋体" w:hAnsi="宋体" w:cs="宋体"/>
          <w:color w:val="auto"/>
          <w:sz w:val="21"/>
          <w:szCs w:val="21"/>
          <w:highlight w:val="none"/>
        </w:rPr>
        <w:t>⑴更换：由乙方承担所发生的全部费用。</w:t>
      </w:r>
    </w:p>
    <w:p w14:paraId="5421A3E5">
      <w:pPr>
        <w:pStyle w:val="22"/>
        <w:widowControl/>
        <w:spacing w:line="360" w:lineRule="exact"/>
        <w:ind w:firstLine="480"/>
        <w:rPr>
          <w:color w:val="auto"/>
          <w:highlight w:val="none"/>
        </w:rPr>
      </w:pPr>
      <w:r>
        <w:rPr>
          <w:rFonts w:hint="eastAsia" w:ascii="宋体" w:hAnsi="宋体" w:cs="宋体"/>
          <w:color w:val="auto"/>
          <w:sz w:val="21"/>
          <w:szCs w:val="21"/>
          <w:highlight w:val="none"/>
        </w:rPr>
        <w:t>⑵贬值处理：由甲乙双方合议定价。</w:t>
      </w:r>
    </w:p>
    <w:p w14:paraId="41DB8703">
      <w:pPr>
        <w:pStyle w:val="22"/>
        <w:widowControl/>
        <w:spacing w:line="360" w:lineRule="exact"/>
        <w:ind w:firstLine="480"/>
        <w:rPr>
          <w:color w:val="auto"/>
          <w:highlight w:val="none"/>
        </w:rPr>
      </w:pPr>
      <w:r>
        <w:rPr>
          <w:rFonts w:hint="eastAsia" w:ascii="宋体" w:hAnsi="宋体" w:cs="宋体"/>
          <w:color w:val="auto"/>
          <w:sz w:val="21"/>
          <w:szCs w:val="21"/>
          <w:highlight w:val="none"/>
        </w:rPr>
        <w:t>⑶退货处理：乙方应退还甲方支付的合同款，同时应承担该货物的直接费用（运输、保险、检验、货款利息及银行手续费等）。</w:t>
      </w:r>
    </w:p>
    <w:p w14:paraId="15F0DBC7">
      <w:pPr>
        <w:pStyle w:val="22"/>
        <w:widowControl/>
        <w:spacing w:line="360" w:lineRule="exact"/>
        <w:ind w:firstLine="480"/>
        <w:rPr>
          <w:color w:val="auto"/>
          <w:highlight w:val="none"/>
        </w:rPr>
      </w:pPr>
      <w:r>
        <w:rPr>
          <w:rFonts w:hint="eastAsia" w:ascii="宋体" w:hAnsi="宋体" w:cs="宋体"/>
          <w:color w:val="auto"/>
          <w:sz w:val="21"/>
          <w:szCs w:val="21"/>
          <w:highlight w:val="none"/>
        </w:rPr>
        <w:t>2.如在使用过程中发生质量问题，乙方在接到甲方通知后在</w:t>
      </w:r>
      <w:r>
        <w:rPr>
          <w:rFonts w:hint="eastAsia" w:ascii="宋体" w:hAnsi="宋体" w:cs="宋体"/>
          <w:color w:val="auto"/>
          <w:sz w:val="21"/>
          <w:szCs w:val="21"/>
          <w:highlight w:val="none"/>
          <w:u w:val="single"/>
        </w:rPr>
        <w:t xml:space="preserve"> 按乙方</w:t>
      </w:r>
      <w:r>
        <w:rPr>
          <w:rFonts w:hint="eastAsia" w:ascii="宋体" w:hAnsi="宋体" w:cs="宋体"/>
          <w:color w:val="auto"/>
          <w:sz w:val="21"/>
          <w:szCs w:val="21"/>
          <w:highlight w:val="none"/>
          <w:u w:val="single"/>
          <w:lang w:eastAsia="zh-CN"/>
        </w:rPr>
        <w:t>响应文件</w:t>
      </w:r>
      <w:r>
        <w:rPr>
          <w:rFonts w:hint="eastAsia" w:ascii="宋体" w:hAnsi="宋体" w:cs="宋体"/>
          <w:color w:val="auto"/>
          <w:sz w:val="21"/>
          <w:szCs w:val="21"/>
          <w:highlight w:val="none"/>
          <w:u w:val="single"/>
        </w:rPr>
        <w:t xml:space="preserve">承诺 </w:t>
      </w:r>
      <w:r>
        <w:rPr>
          <w:rFonts w:hint="eastAsia" w:ascii="宋体" w:hAnsi="宋体" w:cs="宋体"/>
          <w:color w:val="auto"/>
          <w:sz w:val="21"/>
          <w:szCs w:val="21"/>
          <w:highlight w:val="none"/>
        </w:rPr>
        <w:t>小时响应。</w:t>
      </w:r>
    </w:p>
    <w:p w14:paraId="6475039A">
      <w:pPr>
        <w:pStyle w:val="22"/>
        <w:widowControl/>
        <w:spacing w:line="360" w:lineRule="exact"/>
        <w:ind w:firstLine="480"/>
        <w:rPr>
          <w:color w:val="auto"/>
          <w:highlight w:val="none"/>
        </w:rPr>
      </w:pPr>
      <w:r>
        <w:rPr>
          <w:rFonts w:hint="eastAsia" w:ascii="宋体" w:hAnsi="宋体" w:cs="宋体"/>
          <w:color w:val="auto"/>
          <w:sz w:val="21"/>
          <w:szCs w:val="21"/>
          <w:highlight w:val="none"/>
        </w:rPr>
        <w:t>3.在质保期内，乙方应对货物出现的质量及安全问题负责处理解决并承担一切费用。</w:t>
      </w:r>
    </w:p>
    <w:p w14:paraId="652BF183">
      <w:pPr>
        <w:pStyle w:val="22"/>
        <w:widowControl/>
        <w:spacing w:line="360" w:lineRule="exact"/>
        <w:ind w:firstLine="480"/>
        <w:rPr>
          <w:color w:val="auto"/>
          <w:highlight w:val="none"/>
        </w:rPr>
      </w:pPr>
      <w:r>
        <w:rPr>
          <w:rFonts w:hint="eastAsia" w:ascii="宋体" w:hAnsi="宋体" w:cs="宋体"/>
          <w:color w:val="auto"/>
          <w:sz w:val="21"/>
          <w:szCs w:val="21"/>
          <w:highlight w:val="none"/>
        </w:rPr>
        <w:t>4.上述的货物因人为因素出现的故障不在免费保修范围内。超过质保期的机器设备的维修按乙方</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承诺实行。</w:t>
      </w:r>
    </w:p>
    <w:p w14:paraId="4BCB8CBF">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第十二条 货物包装、发运及运输</w:t>
      </w:r>
    </w:p>
    <w:p w14:paraId="73994E5E">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1.乙方应在货物发运前对其进行满足运输距离、防潮、防震、防锈和防破损装卸等要求包装，以保证货物安全运达甲方指定地点。</w:t>
      </w:r>
    </w:p>
    <w:p w14:paraId="096892E0">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2.使用说明书、质量检验证明书、随配附件和工具以及清单一并附于货物内。</w:t>
      </w:r>
    </w:p>
    <w:p w14:paraId="37E64070">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3.乙方在货物发运手续办理完毕后二十四小时内或货到甲方四十八小时前通知甲方，以准备接货。</w:t>
      </w:r>
    </w:p>
    <w:p w14:paraId="64B9C176">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4.货物在交付甲方前发生的风险均由乙方负责。</w:t>
      </w:r>
    </w:p>
    <w:p w14:paraId="1E483140">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5.货物在规定的交付期限内由乙方送达甲方指定的地点并初步验收合格后视为交付，乙方同时需通知甲方货物已送达。</w:t>
      </w:r>
    </w:p>
    <w:p w14:paraId="7230E54E">
      <w:pPr>
        <w:pStyle w:val="22"/>
        <w:widowControl/>
        <w:spacing w:before="120" w:after="120" w:line="360" w:lineRule="exact"/>
        <w:ind w:firstLine="420"/>
        <w:rPr>
          <w:color w:val="auto"/>
          <w:highlight w:val="none"/>
        </w:rPr>
      </w:pPr>
      <w:r>
        <w:rPr>
          <w:rFonts w:hint="eastAsia" w:ascii="宋体" w:hAnsi="宋体" w:cs="宋体"/>
          <w:b/>
          <w:bCs/>
          <w:color w:val="auto"/>
          <w:sz w:val="21"/>
          <w:szCs w:val="21"/>
          <w:highlight w:val="none"/>
        </w:rPr>
        <w:t>第十三条 交货及验收要求</w:t>
      </w:r>
    </w:p>
    <w:p w14:paraId="1ACD8BFF">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1.甲方对乙方提交的货物依据</w:t>
      </w:r>
      <w:r>
        <w:rPr>
          <w:rFonts w:hint="eastAsia" w:ascii="宋体" w:hAnsi="宋体" w:cs="宋体"/>
          <w:color w:val="auto"/>
          <w:sz w:val="21"/>
          <w:szCs w:val="21"/>
          <w:highlight w:val="none"/>
          <w:lang w:eastAsia="zh-CN"/>
        </w:rPr>
        <w:t>竞争性谈判文件</w:t>
      </w:r>
      <w:r>
        <w:rPr>
          <w:rFonts w:hint="eastAsia" w:ascii="宋体" w:hAnsi="宋体" w:cs="宋体"/>
          <w:color w:val="auto"/>
          <w:sz w:val="21"/>
          <w:szCs w:val="21"/>
          <w:highlight w:val="none"/>
        </w:rPr>
        <w:t>上的技术规格要求和国家有关质量标准进行现场初步验收，外观、说明书符合</w:t>
      </w:r>
      <w:r>
        <w:rPr>
          <w:rFonts w:hint="eastAsia" w:ascii="宋体" w:hAnsi="宋体" w:cs="宋体"/>
          <w:color w:val="auto"/>
          <w:sz w:val="21"/>
          <w:szCs w:val="21"/>
          <w:highlight w:val="none"/>
          <w:lang w:eastAsia="zh-CN"/>
        </w:rPr>
        <w:t>竞争性谈判文件</w:t>
      </w:r>
      <w:r>
        <w:rPr>
          <w:rFonts w:hint="eastAsia" w:ascii="宋体" w:hAnsi="宋体" w:cs="宋体"/>
          <w:color w:val="auto"/>
          <w:sz w:val="21"/>
          <w:szCs w:val="21"/>
          <w:highlight w:val="none"/>
        </w:rPr>
        <w:t>技术要求的，给予签收，初步验收不合格的不予签收。初步验收合格后，甲方应当在安装、调试完后七个工作日内进行最终验收。</w:t>
      </w:r>
    </w:p>
    <w:p w14:paraId="674D5E41">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2.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16A4198F">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3.甲方对乙方提供的货物在使用前进行调试时，乙方需负责安装并培训甲方的使用操作人员，并协助甲方一起调试，直到符合技术要求，甲方才做最终验收。</w:t>
      </w:r>
    </w:p>
    <w:p w14:paraId="60B2AEC3">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4.对技术复杂的货物，甲方应请国家认可的专业检测机构参与初步验收及最终验收，并由其出具质量检测报告。</w:t>
      </w:r>
    </w:p>
    <w:p w14:paraId="4AB2E7D6">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 xml:space="preserve">5. 最终验收时乙方必须在现场，验收完毕后作出验收结果报告（验收书）。 </w:t>
      </w:r>
    </w:p>
    <w:p w14:paraId="72DFA205">
      <w:pPr>
        <w:pStyle w:val="22"/>
        <w:widowControl/>
        <w:spacing w:before="120" w:after="120" w:line="360" w:lineRule="exact"/>
        <w:ind w:firstLine="420"/>
        <w:rPr>
          <w:color w:val="auto"/>
          <w:highlight w:val="none"/>
        </w:rPr>
      </w:pPr>
      <w:r>
        <w:rPr>
          <w:rFonts w:hint="eastAsia" w:ascii="宋体" w:hAnsi="宋体" w:cs="宋体"/>
          <w:color w:val="auto"/>
          <w:sz w:val="21"/>
          <w:szCs w:val="21"/>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1D57D1F8">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第十四条　违约责任</w:t>
      </w:r>
    </w:p>
    <w:p w14:paraId="39A69743">
      <w:pPr>
        <w:pStyle w:val="22"/>
        <w:widowControl/>
        <w:spacing w:line="360" w:lineRule="exact"/>
        <w:ind w:firstLine="420"/>
        <w:rPr>
          <w:color w:val="auto"/>
          <w:highlight w:val="none"/>
        </w:rPr>
      </w:pPr>
      <w:r>
        <w:rPr>
          <w:rFonts w:hint="eastAsia" w:ascii="宋体" w:hAnsi="宋体" w:cs="宋体"/>
          <w:color w:val="auto"/>
          <w:sz w:val="21"/>
          <w:szCs w:val="21"/>
          <w:highlight w:val="none"/>
        </w:rPr>
        <w:t>1.乙方所提供的货物规格、技术标准、材料等质量不合格的，应及时更换，更换不及时的按逾期交货处罚；因质量问题甲方不同意接收的或特殊情况甲方同意接收的，乙方应向甲方支付违约货款额</w:t>
      </w:r>
      <w:r>
        <w:rPr>
          <w:rFonts w:hint="eastAsia" w:ascii="宋体" w:hAnsi="宋体" w:cs="宋体"/>
          <w:color w:val="auto"/>
          <w:sz w:val="21"/>
          <w:szCs w:val="21"/>
          <w:highlight w:val="none"/>
          <w:u w:val="single"/>
        </w:rPr>
        <w:t xml:space="preserve"> 5 </w:t>
      </w:r>
      <w:r>
        <w:rPr>
          <w:rFonts w:hint="eastAsia" w:ascii="宋体" w:hAnsi="宋体" w:cs="宋体"/>
          <w:color w:val="auto"/>
          <w:sz w:val="21"/>
          <w:szCs w:val="21"/>
          <w:highlight w:val="none"/>
        </w:rPr>
        <w:t xml:space="preserve">%违约金并赔偿甲方经济损失。 </w:t>
      </w:r>
    </w:p>
    <w:p w14:paraId="6E8643AF">
      <w:pPr>
        <w:pStyle w:val="22"/>
        <w:widowControl/>
        <w:spacing w:line="360" w:lineRule="exact"/>
        <w:ind w:firstLine="420"/>
        <w:rPr>
          <w:color w:val="auto"/>
          <w:highlight w:val="none"/>
        </w:rPr>
      </w:pPr>
      <w:r>
        <w:rPr>
          <w:rFonts w:hint="eastAsia" w:ascii="宋体" w:hAnsi="宋体" w:cs="宋体"/>
          <w:color w:val="auto"/>
          <w:sz w:val="21"/>
          <w:szCs w:val="21"/>
          <w:highlight w:val="none"/>
        </w:rPr>
        <w:t>2.乙方提供的货物如侵犯了第三方合法权益而引发的任何纠纷或诉讼，均由乙方负责交涉并承担全部责任。</w:t>
      </w:r>
    </w:p>
    <w:p w14:paraId="6B8ADB7A">
      <w:pPr>
        <w:pStyle w:val="22"/>
        <w:widowControl/>
        <w:spacing w:line="360" w:lineRule="exact"/>
        <w:ind w:firstLine="420"/>
        <w:rPr>
          <w:color w:val="auto"/>
          <w:highlight w:val="none"/>
        </w:rPr>
      </w:pPr>
      <w:r>
        <w:rPr>
          <w:rFonts w:hint="eastAsia" w:ascii="宋体" w:hAnsi="宋体" w:cs="宋体"/>
          <w:color w:val="auto"/>
          <w:sz w:val="21"/>
          <w:szCs w:val="21"/>
          <w:highlight w:val="none"/>
        </w:rPr>
        <w:t>3.因包装、运输引起的货物损坏，按质量不合格处罚。</w:t>
      </w:r>
    </w:p>
    <w:p w14:paraId="4464FA6F">
      <w:pPr>
        <w:pStyle w:val="22"/>
        <w:widowControl/>
        <w:spacing w:line="360" w:lineRule="exact"/>
        <w:ind w:firstLine="420"/>
        <w:rPr>
          <w:color w:val="auto"/>
          <w:highlight w:val="none"/>
        </w:rPr>
      </w:pPr>
      <w:r>
        <w:rPr>
          <w:rFonts w:hint="eastAsia" w:ascii="宋体" w:hAnsi="宋体" w:cs="宋体"/>
          <w:color w:val="auto"/>
          <w:sz w:val="21"/>
          <w:szCs w:val="21"/>
          <w:highlight w:val="none"/>
        </w:rPr>
        <w:t>4.甲方无故延期接收货物、乙方逾期交货的，每天向对方偿付违约货款额</w:t>
      </w:r>
      <w:r>
        <w:rPr>
          <w:rFonts w:hint="eastAsia" w:ascii="宋体" w:hAnsi="宋体" w:cs="宋体"/>
          <w:color w:val="auto"/>
          <w:sz w:val="21"/>
          <w:szCs w:val="21"/>
          <w:highlight w:val="none"/>
          <w:u w:val="single"/>
        </w:rPr>
        <w:t xml:space="preserve"> 5 </w:t>
      </w:r>
      <w:r>
        <w:rPr>
          <w:rFonts w:hint="eastAsia" w:ascii="宋体" w:hAnsi="宋体" w:cs="宋体"/>
          <w:color w:val="auto"/>
          <w:sz w:val="21"/>
          <w:szCs w:val="21"/>
          <w:highlight w:val="none"/>
        </w:rPr>
        <w:t>‰违约金，超过</w:t>
      </w:r>
      <w:r>
        <w:rPr>
          <w:rFonts w:hint="eastAsia" w:ascii="宋体" w:hAnsi="宋体" w:cs="宋体"/>
          <w:color w:val="auto"/>
          <w:sz w:val="21"/>
          <w:szCs w:val="21"/>
          <w:highlight w:val="none"/>
          <w:u w:val="single"/>
        </w:rPr>
        <w:t xml:space="preserve"> 10 </w:t>
      </w:r>
      <w:r>
        <w:rPr>
          <w:rFonts w:hint="eastAsia" w:ascii="宋体" w:hAnsi="宋体" w:cs="宋体"/>
          <w:color w:val="auto"/>
          <w:sz w:val="21"/>
          <w:szCs w:val="21"/>
          <w:highlight w:val="none"/>
        </w:rPr>
        <w:t>天对方有权解除合同，违约方承担因此给对方造成经济损失；甲方延期付货款的，每天向乙方偿付延期货款额</w:t>
      </w:r>
      <w:r>
        <w:rPr>
          <w:rFonts w:hint="eastAsia" w:ascii="宋体" w:hAnsi="宋体" w:cs="宋体"/>
          <w:color w:val="auto"/>
          <w:sz w:val="21"/>
          <w:szCs w:val="21"/>
          <w:highlight w:val="none"/>
          <w:u w:val="single"/>
        </w:rPr>
        <w:t xml:space="preserve"> 5 </w:t>
      </w:r>
      <w:r>
        <w:rPr>
          <w:rFonts w:hint="eastAsia" w:ascii="宋体" w:hAnsi="宋体" w:cs="宋体"/>
          <w:color w:val="auto"/>
          <w:sz w:val="21"/>
          <w:szCs w:val="21"/>
          <w:highlight w:val="none"/>
        </w:rPr>
        <w:t>‰违约金。</w:t>
      </w:r>
    </w:p>
    <w:p w14:paraId="5E9E77DD">
      <w:pPr>
        <w:pStyle w:val="22"/>
        <w:widowControl/>
        <w:spacing w:line="360" w:lineRule="exact"/>
        <w:ind w:firstLine="420"/>
        <w:rPr>
          <w:color w:val="auto"/>
          <w:highlight w:val="none"/>
        </w:rPr>
      </w:pPr>
      <w:r>
        <w:rPr>
          <w:rFonts w:hint="eastAsia" w:ascii="宋体" w:hAnsi="宋体" w:cs="宋体"/>
          <w:color w:val="auto"/>
          <w:sz w:val="21"/>
          <w:szCs w:val="21"/>
          <w:highlight w:val="none"/>
        </w:rPr>
        <w:t>5.乙方未按本合同和</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中规定的服务承诺提供售后服务的，乙方应按本合同合计金额5%向甲方支付违约金。</w:t>
      </w:r>
    </w:p>
    <w:p w14:paraId="6421E0CA">
      <w:pPr>
        <w:pStyle w:val="22"/>
        <w:widowControl/>
        <w:spacing w:line="360" w:lineRule="exact"/>
        <w:ind w:firstLine="420"/>
        <w:rPr>
          <w:color w:val="auto"/>
          <w:highlight w:val="none"/>
        </w:rPr>
      </w:pPr>
      <w:r>
        <w:rPr>
          <w:rFonts w:hint="eastAsia" w:ascii="宋体" w:hAnsi="宋体" w:cs="宋体"/>
          <w:color w:val="auto"/>
          <w:sz w:val="21"/>
          <w:szCs w:val="21"/>
          <w:highlight w:val="none"/>
        </w:rPr>
        <w:t>6.乙方提供的货物在质保期内，因设计、工艺或材料的缺陷和其它质量原因造成的问题，由乙方负责修复，如无法修复的乙方负责更换全新货物，或者按合同价向甲方赔偿经济损失。</w:t>
      </w:r>
    </w:p>
    <w:p w14:paraId="6DB05D70">
      <w:pPr>
        <w:pStyle w:val="22"/>
        <w:widowControl/>
        <w:spacing w:line="360" w:lineRule="exact"/>
        <w:ind w:firstLine="420"/>
        <w:rPr>
          <w:color w:val="auto"/>
          <w:highlight w:val="none"/>
        </w:rPr>
      </w:pPr>
      <w:r>
        <w:rPr>
          <w:rFonts w:hint="eastAsia" w:ascii="宋体" w:hAnsi="宋体" w:cs="宋体"/>
          <w:color w:val="auto"/>
          <w:sz w:val="21"/>
          <w:szCs w:val="21"/>
          <w:highlight w:val="none"/>
        </w:rPr>
        <w:t>7.其它违约行为按违约货款额</w:t>
      </w:r>
      <w:r>
        <w:rPr>
          <w:rFonts w:hint="eastAsia" w:ascii="宋体" w:hAnsi="宋体" w:cs="宋体"/>
          <w:color w:val="auto"/>
          <w:sz w:val="21"/>
          <w:szCs w:val="21"/>
          <w:highlight w:val="none"/>
          <w:u w:val="single"/>
        </w:rPr>
        <w:t xml:space="preserve"> 5 </w:t>
      </w:r>
      <w:r>
        <w:rPr>
          <w:rFonts w:hint="eastAsia" w:ascii="宋体" w:hAnsi="宋体" w:cs="宋体"/>
          <w:color w:val="auto"/>
          <w:sz w:val="21"/>
          <w:szCs w:val="21"/>
          <w:highlight w:val="none"/>
        </w:rPr>
        <w:t>%收取违约金并赔偿经济损失。</w:t>
      </w:r>
    </w:p>
    <w:p w14:paraId="1B53C70F">
      <w:pPr>
        <w:pStyle w:val="22"/>
        <w:widowControl/>
        <w:spacing w:line="360" w:lineRule="exact"/>
        <w:ind w:firstLine="420"/>
        <w:rPr>
          <w:color w:val="auto"/>
          <w:highlight w:val="none"/>
        </w:rPr>
      </w:pPr>
      <w:r>
        <w:rPr>
          <w:rFonts w:hint="eastAsia" w:ascii="宋体" w:hAnsi="宋体" w:cs="宋体"/>
          <w:color w:val="auto"/>
          <w:sz w:val="21"/>
          <w:szCs w:val="21"/>
          <w:highlight w:val="none"/>
        </w:rPr>
        <w:t>8.上述违约金支付合计不应超过合同金额的20%。</w:t>
      </w:r>
    </w:p>
    <w:p w14:paraId="5300CF72">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第十五条 不可抗力事件处理</w:t>
      </w:r>
    </w:p>
    <w:p w14:paraId="65788B54">
      <w:pPr>
        <w:pStyle w:val="22"/>
        <w:widowControl/>
        <w:spacing w:line="360" w:lineRule="exact"/>
        <w:ind w:firstLine="420"/>
        <w:rPr>
          <w:color w:val="auto"/>
          <w:highlight w:val="none"/>
        </w:rPr>
      </w:pPr>
      <w:r>
        <w:rPr>
          <w:rFonts w:hint="eastAsia" w:ascii="宋体" w:hAnsi="宋体" w:cs="宋体"/>
          <w:color w:val="auto"/>
          <w:sz w:val="21"/>
          <w:szCs w:val="21"/>
          <w:highlight w:val="none"/>
        </w:rPr>
        <w:t>1.在合同有效期内，任何一方因不可抗力事件导致不能履行合同，则合同履行期可延长，其延长期与不可抗力影响期相同。</w:t>
      </w:r>
    </w:p>
    <w:p w14:paraId="73F7B98E">
      <w:pPr>
        <w:pStyle w:val="22"/>
        <w:widowControl/>
        <w:spacing w:line="360" w:lineRule="exact"/>
        <w:ind w:firstLine="420"/>
        <w:rPr>
          <w:color w:val="auto"/>
          <w:highlight w:val="none"/>
        </w:rPr>
      </w:pPr>
      <w:r>
        <w:rPr>
          <w:rFonts w:hint="eastAsia" w:ascii="宋体" w:hAnsi="宋体" w:cs="宋体"/>
          <w:color w:val="auto"/>
          <w:sz w:val="21"/>
          <w:szCs w:val="21"/>
          <w:highlight w:val="none"/>
        </w:rPr>
        <w:t>2.不可抗力事件发生后，应立即通知对方，并寄送有关权威机构出具的证明。</w:t>
      </w:r>
    </w:p>
    <w:p w14:paraId="32C1FAAD">
      <w:pPr>
        <w:pStyle w:val="22"/>
        <w:widowControl/>
        <w:spacing w:line="360" w:lineRule="exact"/>
        <w:ind w:firstLine="420"/>
        <w:rPr>
          <w:color w:val="auto"/>
          <w:highlight w:val="none"/>
        </w:rPr>
      </w:pPr>
      <w:r>
        <w:rPr>
          <w:rFonts w:hint="eastAsia" w:ascii="宋体" w:hAnsi="宋体" w:cs="宋体"/>
          <w:color w:val="auto"/>
          <w:sz w:val="21"/>
          <w:szCs w:val="21"/>
          <w:highlight w:val="none"/>
        </w:rPr>
        <w:t>3.不可抗力事件延续120天以上，双方应通过友好协商，确定是否继续履行合同。</w:t>
      </w:r>
    </w:p>
    <w:p w14:paraId="79CE0383">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第十六条 合同争议解决</w:t>
      </w:r>
    </w:p>
    <w:p w14:paraId="3CBE9678">
      <w:pPr>
        <w:pStyle w:val="22"/>
        <w:widowControl/>
        <w:spacing w:line="360" w:lineRule="exact"/>
        <w:ind w:firstLine="420"/>
        <w:rPr>
          <w:color w:val="auto"/>
          <w:highlight w:val="none"/>
        </w:rPr>
      </w:pPr>
      <w:r>
        <w:rPr>
          <w:rFonts w:hint="eastAsia" w:ascii="宋体" w:hAnsi="宋体" w:cs="宋体"/>
          <w:color w:val="auto"/>
          <w:sz w:val="21"/>
          <w:szCs w:val="21"/>
          <w:highlight w:val="none"/>
        </w:rPr>
        <w:t>1.因货物质量问题发生争议的，应邀请国家认可的质量检测机构按照国家标准对货物质量进行鉴定。货物符合国家标准的，鉴定费由甲方承担；货物不符合国家标准的，鉴定费由乙方承担。</w:t>
      </w:r>
    </w:p>
    <w:p w14:paraId="5751B5D4">
      <w:pPr>
        <w:pStyle w:val="22"/>
        <w:widowControl/>
        <w:spacing w:line="360" w:lineRule="exact"/>
        <w:ind w:firstLine="420"/>
        <w:rPr>
          <w:color w:val="auto"/>
          <w:highlight w:val="none"/>
        </w:rPr>
      </w:pPr>
      <w:r>
        <w:rPr>
          <w:rFonts w:hint="eastAsia" w:ascii="宋体" w:hAnsi="宋体" w:cs="宋体"/>
          <w:color w:val="auto"/>
          <w:sz w:val="21"/>
          <w:szCs w:val="21"/>
          <w:highlight w:val="none"/>
        </w:rPr>
        <w:t>2.因履行本合同引起的或与本合同有关的争议，甲乙双方应首先通过友好协商解决，如果协商不能解决，可向甲方所在地人民法院提起诉讼。</w:t>
      </w:r>
    </w:p>
    <w:p w14:paraId="6A112FA4">
      <w:pPr>
        <w:pStyle w:val="22"/>
        <w:widowControl/>
        <w:spacing w:line="360" w:lineRule="exact"/>
        <w:ind w:firstLine="420"/>
        <w:rPr>
          <w:color w:val="auto"/>
          <w:highlight w:val="none"/>
        </w:rPr>
      </w:pPr>
      <w:r>
        <w:rPr>
          <w:rFonts w:hint="eastAsia" w:ascii="宋体" w:hAnsi="宋体" w:cs="宋体"/>
          <w:color w:val="auto"/>
          <w:sz w:val="21"/>
          <w:szCs w:val="21"/>
          <w:highlight w:val="none"/>
        </w:rPr>
        <w:t>3.诉讼期间，本合同继续履行。</w:t>
      </w:r>
    </w:p>
    <w:p w14:paraId="7547F6D8">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第十七条 合同生效及其它</w:t>
      </w:r>
    </w:p>
    <w:p w14:paraId="519F19BC">
      <w:pPr>
        <w:pStyle w:val="22"/>
        <w:widowControl/>
        <w:spacing w:line="360" w:lineRule="exact"/>
        <w:ind w:firstLine="420"/>
        <w:rPr>
          <w:color w:val="auto"/>
          <w:highlight w:val="none"/>
        </w:rPr>
      </w:pPr>
      <w:r>
        <w:rPr>
          <w:rFonts w:hint="eastAsia" w:ascii="宋体" w:hAnsi="宋体" w:cs="宋体"/>
          <w:color w:val="auto"/>
          <w:sz w:val="21"/>
          <w:szCs w:val="21"/>
          <w:highlight w:val="none"/>
        </w:rPr>
        <w:t>1.本合同履行期限为：</w:t>
      </w:r>
      <w:r>
        <w:rPr>
          <w:rFonts w:hint="eastAsia" w:ascii="宋体" w:hAnsi="宋体" w:cs="宋体"/>
          <w:color w:val="auto"/>
          <w:sz w:val="21"/>
          <w:szCs w:val="21"/>
          <w:highlight w:val="none"/>
          <w:u w:val="single"/>
        </w:rPr>
        <w:t>按照本合同约定</w:t>
      </w:r>
      <w:r>
        <w:rPr>
          <w:rFonts w:hint="eastAsia" w:ascii="宋体" w:hAnsi="宋体" w:cs="宋体"/>
          <w:color w:val="auto"/>
          <w:sz w:val="21"/>
          <w:szCs w:val="21"/>
          <w:highlight w:val="none"/>
        </w:rPr>
        <w:t>；合同履行地点为：</w:t>
      </w:r>
      <w:r>
        <w:rPr>
          <w:rFonts w:hint="eastAsia" w:ascii="宋体" w:hAnsi="宋体" w:cs="宋体"/>
          <w:color w:val="auto"/>
          <w:sz w:val="21"/>
          <w:szCs w:val="21"/>
          <w:highlight w:val="none"/>
          <w:u w:val="single"/>
        </w:rPr>
        <w:t>广西南宁市</w:t>
      </w:r>
      <w:r>
        <w:rPr>
          <w:rFonts w:hint="eastAsia" w:ascii="宋体" w:hAnsi="宋体" w:cs="宋体"/>
          <w:color w:val="auto"/>
          <w:sz w:val="21"/>
          <w:szCs w:val="21"/>
          <w:highlight w:val="none"/>
        </w:rPr>
        <w:t>；合同履行的方式：</w:t>
      </w:r>
      <w:r>
        <w:rPr>
          <w:rFonts w:hint="eastAsia" w:ascii="宋体" w:hAnsi="宋体" w:cs="宋体"/>
          <w:color w:val="auto"/>
          <w:sz w:val="21"/>
          <w:szCs w:val="21"/>
          <w:highlight w:val="none"/>
          <w:u w:val="single"/>
        </w:rPr>
        <w:t>按照本合同约定</w:t>
      </w:r>
      <w:r>
        <w:rPr>
          <w:rFonts w:hint="eastAsia" w:ascii="宋体" w:hAnsi="宋体" w:cs="宋体"/>
          <w:color w:val="auto"/>
          <w:sz w:val="21"/>
          <w:szCs w:val="21"/>
          <w:highlight w:val="none"/>
        </w:rPr>
        <w:t>。</w:t>
      </w:r>
    </w:p>
    <w:p w14:paraId="31AB32FD">
      <w:pPr>
        <w:pStyle w:val="22"/>
        <w:widowControl/>
        <w:spacing w:line="360" w:lineRule="exact"/>
        <w:ind w:firstLine="420"/>
        <w:rPr>
          <w:color w:val="auto"/>
          <w:highlight w:val="none"/>
        </w:rPr>
      </w:pPr>
      <w:r>
        <w:rPr>
          <w:rFonts w:hint="eastAsia" w:ascii="宋体" w:hAnsi="宋体" w:cs="宋体"/>
          <w:color w:val="auto"/>
          <w:sz w:val="21"/>
          <w:szCs w:val="21"/>
          <w:highlight w:val="none"/>
        </w:rPr>
        <w:t>2.合同经双方法定代表人或委托代理人签字并加盖单位公章后生效。</w:t>
      </w:r>
    </w:p>
    <w:p w14:paraId="61A2F65F">
      <w:pPr>
        <w:pStyle w:val="22"/>
        <w:widowControl/>
        <w:spacing w:line="360" w:lineRule="exact"/>
        <w:ind w:firstLine="420"/>
        <w:rPr>
          <w:color w:val="auto"/>
          <w:highlight w:val="none"/>
        </w:rPr>
      </w:pPr>
      <w:r>
        <w:rPr>
          <w:rFonts w:hint="eastAsia" w:ascii="宋体" w:hAnsi="宋体" w:cs="宋体"/>
          <w:color w:val="auto"/>
          <w:sz w:val="21"/>
          <w:szCs w:val="21"/>
          <w:highlight w:val="none"/>
        </w:rPr>
        <w:t>3.合同执行中涉及采购资金和采购内容修改或补充的，须经财政部门审批，并签书面补充协议报财政部门备案，方可作为主合同不可分割的一部分。</w:t>
      </w:r>
    </w:p>
    <w:p w14:paraId="35BA0635">
      <w:pPr>
        <w:pStyle w:val="22"/>
        <w:widowControl/>
        <w:spacing w:line="360" w:lineRule="exact"/>
        <w:ind w:firstLine="420"/>
        <w:rPr>
          <w:color w:val="auto"/>
          <w:highlight w:val="none"/>
        </w:rPr>
      </w:pPr>
      <w:r>
        <w:rPr>
          <w:rFonts w:hint="eastAsia" w:ascii="宋体" w:hAnsi="宋体" w:cs="宋体"/>
          <w:color w:val="auto"/>
          <w:sz w:val="21"/>
          <w:szCs w:val="21"/>
          <w:highlight w:val="none"/>
        </w:rPr>
        <w:t>4.本合同未尽事宜，遵照《中华人民共和国民法典》有关条文执行。</w:t>
      </w:r>
    </w:p>
    <w:p w14:paraId="2CCEAFBA">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第十八条　合同的变更、终止与转让</w:t>
      </w:r>
    </w:p>
    <w:p w14:paraId="46A78038">
      <w:pPr>
        <w:pStyle w:val="22"/>
        <w:widowControl/>
        <w:spacing w:line="360" w:lineRule="exact"/>
        <w:ind w:firstLine="420"/>
        <w:rPr>
          <w:color w:val="auto"/>
          <w:highlight w:val="none"/>
        </w:rPr>
      </w:pPr>
      <w:r>
        <w:rPr>
          <w:rFonts w:hint="eastAsia" w:ascii="宋体" w:hAnsi="宋体" w:cs="宋体"/>
          <w:color w:val="auto"/>
          <w:sz w:val="21"/>
          <w:szCs w:val="21"/>
          <w:highlight w:val="none"/>
        </w:rPr>
        <w:t>1. 除《中华人民共和国政府采购法》第五十条规定的情形外，本合同一经签订，甲乙双方不得擅自变更、中止或终止。</w:t>
      </w:r>
    </w:p>
    <w:p w14:paraId="6390BBE2">
      <w:pPr>
        <w:pStyle w:val="22"/>
        <w:widowControl/>
        <w:spacing w:line="360" w:lineRule="exact"/>
        <w:ind w:firstLine="420"/>
        <w:rPr>
          <w:color w:val="auto"/>
          <w:highlight w:val="none"/>
        </w:rPr>
      </w:pPr>
      <w:r>
        <w:rPr>
          <w:rFonts w:hint="eastAsia" w:ascii="宋体" w:hAnsi="宋体" w:cs="宋体"/>
          <w:color w:val="auto"/>
          <w:sz w:val="21"/>
          <w:szCs w:val="21"/>
          <w:highlight w:val="none"/>
        </w:rPr>
        <w:t>2.未经甲方书面同意，乙方不得擅自转让（无进口资格的乙方委托进口货物除外）其应履行的合同义务。</w:t>
      </w:r>
    </w:p>
    <w:p w14:paraId="6C88E598">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第十九条　签订本合同依据</w:t>
      </w:r>
    </w:p>
    <w:p w14:paraId="1F5EF441">
      <w:pPr>
        <w:pStyle w:val="22"/>
        <w:widowControl/>
        <w:spacing w:line="360" w:lineRule="exact"/>
        <w:ind w:firstLine="420"/>
        <w:rPr>
          <w:color w:val="auto"/>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竞争性谈判文件</w:t>
      </w:r>
      <w:r>
        <w:rPr>
          <w:rFonts w:hint="eastAsia" w:ascii="宋体" w:hAnsi="宋体" w:cs="宋体"/>
          <w:color w:val="auto"/>
          <w:sz w:val="21"/>
          <w:szCs w:val="21"/>
          <w:highlight w:val="none"/>
        </w:rPr>
        <w:t>；</w:t>
      </w:r>
    </w:p>
    <w:p w14:paraId="78A7F8E7">
      <w:pPr>
        <w:pStyle w:val="22"/>
        <w:widowControl/>
        <w:spacing w:line="360" w:lineRule="exact"/>
        <w:ind w:firstLine="420"/>
        <w:rPr>
          <w:color w:val="auto"/>
          <w:highlight w:val="none"/>
        </w:rPr>
      </w:pPr>
      <w:r>
        <w:rPr>
          <w:rFonts w:hint="eastAsia" w:ascii="宋体" w:hAnsi="宋体" w:cs="宋体"/>
          <w:color w:val="auto"/>
          <w:sz w:val="21"/>
          <w:szCs w:val="21"/>
          <w:highlight w:val="none"/>
        </w:rPr>
        <w:t>2.乙方提供的</w:t>
      </w:r>
      <w:r>
        <w:rPr>
          <w:rFonts w:hint="eastAsia" w:ascii="宋体" w:hAnsi="宋体" w:cs="宋体"/>
          <w:color w:val="auto"/>
          <w:sz w:val="21"/>
          <w:szCs w:val="21"/>
          <w:highlight w:val="none"/>
          <w:lang w:eastAsia="zh-CN"/>
        </w:rPr>
        <w:t>响应文件</w:t>
      </w:r>
      <w:r>
        <w:rPr>
          <w:rFonts w:hint="eastAsia" w:ascii="宋体" w:hAnsi="宋体" w:cs="宋体"/>
          <w:color w:val="auto"/>
          <w:sz w:val="21"/>
          <w:szCs w:val="21"/>
          <w:highlight w:val="none"/>
        </w:rPr>
        <w:t>；</w:t>
      </w:r>
    </w:p>
    <w:p w14:paraId="23D3088E">
      <w:pPr>
        <w:pStyle w:val="22"/>
        <w:widowControl/>
        <w:spacing w:line="360" w:lineRule="exact"/>
        <w:ind w:firstLine="420"/>
        <w:rPr>
          <w:color w:val="auto"/>
          <w:highlight w:val="none"/>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US" w:eastAsia="zh-CN"/>
        </w:rPr>
        <w:t>竞</w:t>
      </w:r>
      <w:r>
        <w:rPr>
          <w:rFonts w:hint="eastAsia" w:ascii="宋体" w:hAnsi="宋体" w:cs="宋体"/>
          <w:color w:val="auto"/>
          <w:sz w:val="21"/>
          <w:szCs w:val="21"/>
          <w:highlight w:val="none"/>
        </w:rPr>
        <w:t>标</w:t>
      </w:r>
      <w:r>
        <w:rPr>
          <w:rFonts w:hint="eastAsia" w:ascii="宋体" w:hAnsi="宋体" w:cs="宋体"/>
          <w:color w:val="auto"/>
          <w:sz w:val="21"/>
          <w:szCs w:val="21"/>
          <w:highlight w:val="none"/>
          <w:lang w:val="en-US" w:eastAsia="zh-CN"/>
        </w:rPr>
        <w:t>声明</w:t>
      </w:r>
      <w:r>
        <w:rPr>
          <w:rFonts w:hint="eastAsia" w:ascii="宋体" w:hAnsi="宋体" w:cs="宋体"/>
          <w:color w:val="auto"/>
          <w:sz w:val="21"/>
          <w:szCs w:val="21"/>
          <w:highlight w:val="none"/>
        </w:rPr>
        <w:t>；</w:t>
      </w:r>
    </w:p>
    <w:p w14:paraId="57FAB9A2">
      <w:pPr>
        <w:pStyle w:val="22"/>
        <w:widowControl/>
        <w:spacing w:line="360" w:lineRule="exact"/>
        <w:ind w:firstLine="42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val="en-US" w:eastAsia="zh-CN"/>
        </w:rPr>
        <w:t>售后服务</w:t>
      </w:r>
      <w:r>
        <w:rPr>
          <w:rFonts w:hint="eastAsia" w:ascii="宋体" w:hAnsi="宋体" w:cs="宋体"/>
          <w:color w:val="auto"/>
          <w:sz w:val="21"/>
          <w:szCs w:val="21"/>
          <w:highlight w:val="none"/>
        </w:rPr>
        <w:t>承诺</w:t>
      </w:r>
      <w:r>
        <w:rPr>
          <w:rFonts w:hint="eastAsia" w:ascii="宋体" w:hAnsi="宋体" w:cs="宋体"/>
          <w:color w:val="auto"/>
          <w:sz w:val="21"/>
          <w:szCs w:val="21"/>
          <w:highlight w:val="none"/>
          <w:lang w:eastAsia="zh-CN"/>
        </w:rPr>
        <w:t>；</w:t>
      </w:r>
    </w:p>
    <w:p w14:paraId="3F50C907">
      <w:pPr>
        <w:pStyle w:val="22"/>
        <w:widowControl/>
        <w:spacing w:line="360" w:lineRule="exact"/>
        <w:ind w:firstLine="420"/>
        <w:rPr>
          <w:color w:val="auto"/>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通知书。</w:t>
      </w:r>
    </w:p>
    <w:p w14:paraId="5D331EFE">
      <w:pPr>
        <w:pStyle w:val="22"/>
        <w:widowControl/>
        <w:spacing w:line="360" w:lineRule="exact"/>
        <w:ind w:firstLine="420"/>
        <w:rPr>
          <w:color w:val="auto"/>
          <w:highlight w:val="none"/>
        </w:rPr>
      </w:pPr>
      <w:r>
        <w:rPr>
          <w:rFonts w:hint="eastAsia" w:ascii="宋体" w:hAnsi="宋体" w:cs="宋体"/>
          <w:b/>
          <w:bCs/>
          <w:color w:val="auto"/>
          <w:sz w:val="21"/>
          <w:szCs w:val="21"/>
          <w:highlight w:val="none"/>
        </w:rPr>
        <w:t>第二十条　</w:t>
      </w:r>
      <w:r>
        <w:rPr>
          <w:rFonts w:hint="eastAsia" w:ascii="宋体" w:hAnsi="宋体" w:cs="宋体"/>
          <w:color w:val="auto"/>
          <w:sz w:val="21"/>
          <w:szCs w:val="21"/>
          <w:highlight w:val="none"/>
        </w:rPr>
        <w:t>本合同一式六份，具有同等法律效力，甲方二份（其中一份采用活页装订），乙方二份，政府采购监管部门及采购代理机构各一份。</w:t>
      </w:r>
    </w:p>
    <w:tbl>
      <w:tblPr>
        <w:tblStyle w:val="27"/>
        <w:tblW w:w="4934" w:type="pct"/>
        <w:tblInd w:w="0" w:type="dxa"/>
        <w:tblLayout w:type="autofit"/>
        <w:tblCellMar>
          <w:top w:w="15" w:type="dxa"/>
          <w:left w:w="15" w:type="dxa"/>
          <w:bottom w:w="15" w:type="dxa"/>
          <w:right w:w="15" w:type="dxa"/>
        </w:tblCellMar>
      </w:tblPr>
      <w:tblGrid>
        <w:gridCol w:w="4546"/>
        <w:gridCol w:w="4547"/>
      </w:tblGrid>
      <w:tr w14:paraId="3567DF8A">
        <w:tblPrEx>
          <w:tblCellMar>
            <w:top w:w="15" w:type="dxa"/>
            <w:left w:w="15" w:type="dxa"/>
            <w:bottom w:w="15" w:type="dxa"/>
            <w:right w:w="15" w:type="dxa"/>
          </w:tblCellMar>
        </w:tblPrEx>
        <w:trPr>
          <w:trHeight w:val="1558"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64223D0">
            <w:pPr>
              <w:pStyle w:val="22"/>
              <w:widowControl/>
              <w:spacing w:line="400" w:lineRule="exact"/>
              <w:rPr>
                <w:color w:val="auto"/>
                <w:highlight w:val="none"/>
              </w:rPr>
            </w:pPr>
            <w:r>
              <w:rPr>
                <w:rFonts w:hint="eastAsia" w:ascii="宋体" w:hAnsi="宋体" w:cs="宋体"/>
                <w:color w:val="auto"/>
                <w:sz w:val="21"/>
                <w:szCs w:val="21"/>
                <w:highlight w:val="none"/>
              </w:rPr>
              <w:t xml:space="preserve">甲方（章） </w:t>
            </w:r>
          </w:p>
          <w:p w14:paraId="0D0D683D">
            <w:pPr>
              <w:pStyle w:val="22"/>
              <w:widowControl/>
              <w:spacing w:line="400" w:lineRule="exact"/>
              <w:rPr>
                <w:rFonts w:hint="eastAsia" w:ascii="宋体" w:hAnsi="宋体" w:cs="宋体"/>
                <w:color w:val="auto"/>
                <w:sz w:val="21"/>
                <w:szCs w:val="21"/>
                <w:highlight w:val="none"/>
              </w:rPr>
            </w:pPr>
          </w:p>
          <w:p w14:paraId="7B1E923D">
            <w:pPr>
              <w:pStyle w:val="22"/>
              <w:widowControl/>
              <w:spacing w:line="400" w:lineRule="exact"/>
              <w:ind w:firstLine="945"/>
              <w:jc w:val="center"/>
              <w:rPr>
                <w:color w:val="auto"/>
                <w:highlight w:val="none"/>
              </w:rPr>
            </w:pPr>
            <w:r>
              <w:rPr>
                <w:rFonts w:hint="eastAsia" w:ascii="宋体" w:hAnsi="宋体" w:cs="宋体"/>
                <w:color w:val="auto"/>
                <w:sz w:val="21"/>
                <w:szCs w:val="21"/>
                <w:highlight w:val="none"/>
              </w:rPr>
              <w:t>年 月 日</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72208782">
            <w:pPr>
              <w:pStyle w:val="22"/>
              <w:widowControl/>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乙方（章） </w:t>
            </w:r>
          </w:p>
          <w:p w14:paraId="0706567C">
            <w:pPr>
              <w:pStyle w:val="22"/>
              <w:widowControl/>
              <w:spacing w:line="400" w:lineRule="exact"/>
              <w:rPr>
                <w:rFonts w:hint="eastAsia" w:ascii="宋体" w:hAnsi="宋体" w:cs="宋体"/>
                <w:color w:val="auto"/>
                <w:sz w:val="21"/>
                <w:szCs w:val="21"/>
                <w:highlight w:val="none"/>
              </w:rPr>
            </w:pPr>
          </w:p>
          <w:p w14:paraId="16E3FABA">
            <w:pPr>
              <w:pStyle w:val="22"/>
              <w:widowControl/>
              <w:spacing w:line="400" w:lineRule="exact"/>
              <w:jc w:val="right"/>
              <w:rPr>
                <w:color w:val="auto"/>
                <w:highlight w:val="none"/>
              </w:rPr>
            </w:pPr>
            <w:r>
              <w:rPr>
                <w:rFonts w:hint="eastAsia" w:ascii="宋体" w:hAnsi="宋体" w:cs="宋体"/>
                <w:color w:val="auto"/>
                <w:sz w:val="21"/>
                <w:szCs w:val="21"/>
                <w:highlight w:val="none"/>
              </w:rPr>
              <w:t>年 月 日</w:t>
            </w:r>
          </w:p>
        </w:tc>
      </w:tr>
      <w:tr w14:paraId="0BCED433">
        <w:tblPrEx>
          <w:tblCellMar>
            <w:top w:w="15" w:type="dxa"/>
            <w:left w:w="15" w:type="dxa"/>
            <w:bottom w:w="15" w:type="dxa"/>
            <w:right w:w="15" w:type="dxa"/>
          </w:tblCellMar>
        </w:tblPrEx>
        <w:trPr>
          <w:trHeight w:val="90"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2827737B">
            <w:pPr>
              <w:pStyle w:val="22"/>
              <w:widowControl/>
              <w:spacing w:line="400" w:lineRule="exact"/>
              <w:rPr>
                <w:color w:val="auto"/>
                <w:highlight w:val="none"/>
              </w:rPr>
            </w:pPr>
            <w:r>
              <w:rPr>
                <w:rFonts w:hint="eastAsia" w:ascii="宋体" w:hAnsi="宋体" w:cs="宋体"/>
                <w:color w:val="auto"/>
                <w:sz w:val="21"/>
                <w:szCs w:val="21"/>
                <w:highlight w:val="none"/>
              </w:rPr>
              <w:t>单位地址：</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601F37F">
            <w:pPr>
              <w:pStyle w:val="22"/>
              <w:widowControl/>
              <w:spacing w:line="400" w:lineRule="exact"/>
              <w:rPr>
                <w:color w:val="auto"/>
                <w:highlight w:val="none"/>
              </w:rPr>
            </w:pPr>
            <w:r>
              <w:rPr>
                <w:rFonts w:hint="eastAsia" w:ascii="宋体" w:hAnsi="宋体" w:cs="宋体"/>
                <w:color w:val="auto"/>
                <w:sz w:val="21"/>
                <w:szCs w:val="21"/>
                <w:highlight w:val="none"/>
              </w:rPr>
              <w:t>单位地址：</w:t>
            </w:r>
          </w:p>
        </w:tc>
      </w:tr>
      <w:tr w14:paraId="2FF2D4CD">
        <w:tblPrEx>
          <w:tblCellMar>
            <w:top w:w="15" w:type="dxa"/>
            <w:left w:w="15" w:type="dxa"/>
            <w:bottom w:w="15" w:type="dxa"/>
            <w:right w:w="15" w:type="dxa"/>
          </w:tblCellMar>
        </w:tblPrEx>
        <w:trPr>
          <w:trHeight w:val="514"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FA3DC4E">
            <w:pPr>
              <w:pStyle w:val="22"/>
              <w:widowControl/>
              <w:spacing w:line="400" w:lineRule="exact"/>
              <w:rPr>
                <w:color w:val="auto"/>
                <w:highlight w:val="none"/>
              </w:rPr>
            </w:pPr>
            <w:r>
              <w:rPr>
                <w:rFonts w:hint="eastAsia" w:ascii="宋体" w:hAnsi="宋体" w:cs="宋体"/>
                <w:color w:val="auto"/>
                <w:sz w:val="21"/>
                <w:szCs w:val="21"/>
                <w:highlight w:val="none"/>
              </w:rPr>
              <w:t>法定代表人：</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9D0E619">
            <w:pPr>
              <w:pStyle w:val="22"/>
              <w:widowControl/>
              <w:spacing w:line="400" w:lineRule="exact"/>
              <w:rPr>
                <w:color w:val="auto"/>
                <w:highlight w:val="none"/>
              </w:rPr>
            </w:pPr>
            <w:r>
              <w:rPr>
                <w:rFonts w:hint="eastAsia" w:ascii="宋体" w:hAnsi="宋体" w:cs="宋体"/>
                <w:color w:val="auto"/>
                <w:sz w:val="21"/>
                <w:szCs w:val="21"/>
                <w:highlight w:val="none"/>
              </w:rPr>
              <w:t>法定代表人（负责人或自然人）：</w:t>
            </w:r>
          </w:p>
        </w:tc>
      </w:tr>
      <w:tr w14:paraId="3E9698A2">
        <w:tblPrEx>
          <w:tblCellMar>
            <w:top w:w="15" w:type="dxa"/>
            <w:left w:w="15" w:type="dxa"/>
            <w:bottom w:w="15" w:type="dxa"/>
            <w:right w:w="15" w:type="dxa"/>
          </w:tblCellMar>
        </w:tblPrEx>
        <w:trPr>
          <w:trHeight w:val="514"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72DCF263">
            <w:pPr>
              <w:pStyle w:val="22"/>
              <w:widowControl/>
              <w:spacing w:line="400" w:lineRule="exact"/>
              <w:rPr>
                <w:color w:val="auto"/>
                <w:highlight w:val="none"/>
              </w:rPr>
            </w:pPr>
            <w:r>
              <w:rPr>
                <w:rFonts w:hint="eastAsia" w:ascii="宋体" w:hAnsi="宋体" w:cs="宋体"/>
                <w:color w:val="auto"/>
                <w:sz w:val="21"/>
                <w:szCs w:val="21"/>
                <w:highlight w:val="none"/>
              </w:rPr>
              <w:t>委托代理人：</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19ACA54">
            <w:pPr>
              <w:pStyle w:val="22"/>
              <w:widowControl/>
              <w:spacing w:line="400" w:lineRule="exact"/>
              <w:rPr>
                <w:color w:val="auto"/>
                <w:highlight w:val="none"/>
              </w:rPr>
            </w:pPr>
            <w:r>
              <w:rPr>
                <w:rFonts w:hint="eastAsia" w:ascii="宋体" w:hAnsi="宋体" w:cs="宋体"/>
                <w:color w:val="auto"/>
                <w:sz w:val="21"/>
                <w:szCs w:val="21"/>
                <w:highlight w:val="none"/>
              </w:rPr>
              <w:t>委托代理人</w:t>
            </w:r>
          </w:p>
        </w:tc>
      </w:tr>
      <w:tr w14:paraId="128983DE">
        <w:tblPrEx>
          <w:tblCellMar>
            <w:top w:w="15" w:type="dxa"/>
            <w:left w:w="15" w:type="dxa"/>
            <w:bottom w:w="15" w:type="dxa"/>
            <w:right w:w="15" w:type="dxa"/>
          </w:tblCellMar>
        </w:tblPrEx>
        <w:trPr>
          <w:trHeight w:val="514"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7283DCF">
            <w:pPr>
              <w:pStyle w:val="22"/>
              <w:widowControl/>
              <w:spacing w:line="400" w:lineRule="exact"/>
              <w:rPr>
                <w:color w:val="auto"/>
                <w:highlight w:val="none"/>
              </w:rPr>
            </w:pPr>
            <w:r>
              <w:rPr>
                <w:rFonts w:hint="eastAsia" w:ascii="宋体" w:hAnsi="宋体" w:cs="宋体"/>
                <w:color w:val="auto"/>
                <w:sz w:val="21"/>
                <w:szCs w:val="21"/>
                <w:highlight w:val="none"/>
              </w:rPr>
              <w:t>电话：</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5E1B68A">
            <w:pPr>
              <w:pStyle w:val="22"/>
              <w:widowControl/>
              <w:spacing w:line="400" w:lineRule="exact"/>
              <w:rPr>
                <w:color w:val="auto"/>
                <w:highlight w:val="none"/>
              </w:rPr>
            </w:pPr>
            <w:r>
              <w:rPr>
                <w:rFonts w:hint="eastAsia" w:ascii="宋体" w:hAnsi="宋体" w:cs="宋体"/>
                <w:color w:val="auto"/>
                <w:sz w:val="21"/>
                <w:szCs w:val="21"/>
                <w:highlight w:val="none"/>
              </w:rPr>
              <w:t>电话：</w:t>
            </w:r>
          </w:p>
        </w:tc>
      </w:tr>
      <w:tr w14:paraId="591E6E03">
        <w:tblPrEx>
          <w:tblCellMar>
            <w:top w:w="15" w:type="dxa"/>
            <w:left w:w="15" w:type="dxa"/>
            <w:bottom w:w="15" w:type="dxa"/>
            <w:right w:w="15" w:type="dxa"/>
          </w:tblCellMar>
        </w:tblPrEx>
        <w:trPr>
          <w:trHeight w:val="514"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B4D9254">
            <w:pPr>
              <w:pStyle w:val="22"/>
              <w:widowControl/>
              <w:spacing w:line="400" w:lineRule="exact"/>
              <w:rPr>
                <w:color w:val="auto"/>
                <w:highlight w:val="none"/>
              </w:rPr>
            </w:pPr>
            <w:r>
              <w:rPr>
                <w:rFonts w:hint="eastAsia" w:ascii="宋体" w:hAnsi="宋体" w:cs="宋体"/>
                <w:color w:val="auto"/>
                <w:sz w:val="21"/>
                <w:szCs w:val="21"/>
                <w:highlight w:val="none"/>
              </w:rPr>
              <w:t>电子邮箱：</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38E4B09F">
            <w:pPr>
              <w:pStyle w:val="22"/>
              <w:widowControl/>
              <w:spacing w:line="400" w:lineRule="exact"/>
              <w:rPr>
                <w:color w:val="auto"/>
                <w:highlight w:val="none"/>
              </w:rPr>
            </w:pPr>
            <w:r>
              <w:rPr>
                <w:rFonts w:hint="eastAsia" w:ascii="宋体" w:hAnsi="宋体" w:cs="宋体"/>
                <w:color w:val="auto"/>
                <w:sz w:val="21"/>
                <w:szCs w:val="21"/>
                <w:highlight w:val="none"/>
              </w:rPr>
              <w:t>电子邮箱：</w:t>
            </w:r>
          </w:p>
        </w:tc>
      </w:tr>
      <w:tr w14:paraId="6B51C6B0">
        <w:tblPrEx>
          <w:tblCellMar>
            <w:top w:w="15" w:type="dxa"/>
            <w:left w:w="15" w:type="dxa"/>
            <w:bottom w:w="15" w:type="dxa"/>
            <w:right w:w="15" w:type="dxa"/>
          </w:tblCellMar>
        </w:tblPrEx>
        <w:trPr>
          <w:trHeight w:val="514"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34B14732">
            <w:pPr>
              <w:pStyle w:val="22"/>
              <w:widowControl/>
              <w:spacing w:line="400" w:lineRule="exact"/>
              <w:rPr>
                <w:color w:val="auto"/>
                <w:highlight w:val="none"/>
              </w:rPr>
            </w:pPr>
            <w:r>
              <w:rPr>
                <w:rFonts w:hint="eastAsia" w:ascii="宋体" w:hAnsi="宋体" w:cs="宋体"/>
                <w:color w:val="auto"/>
                <w:sz w:val="21"/>
                <w:szCs w:val="21"/>
                <w:highlight w:val="none"/>
              </w:rPr>
              <w:t>开户银行：</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651DEE3">
            <w:pPr>
              <w:pStyle w:val="22"/>
              <w:widowControl/>
              <w:spacing w:line="400" w:lineRule="exact"/>
              <w:rPr>
                <w:color w:val="auto"/>
                <w:highlight w:val="none"/>
              </w:rPr>
            </w:pPr>
            <w:r>
              <w:rPr>
                <w:rFonts w:hint="eastAsia" w:ascii="宋体" w:hAnsi="宋体" w:cs="宋体"/>
                <w:color w:val="auto"/>
                <w:sz w:val="21"/>
                <w:szCs w:val="21"/>
                <w:highlight w:val="none"/>
              </w:rPr>
              <w:t>开户银行：</w:t>
            </w:r>
          </w:p>
        </w:tc>
      </w:tr>
      <w:tr w14:paraId="6DF22AA1">
        <w:tblPrEx>
          <w:tblCellMar>
            <w:top w:w="15" w:type="dxa"/>
            <w:left w:w="15" w:type="dxa"/>
            <w:bottom w:w="15" w:type="dxa"/>
            <w:right w:w="15" w:type="dxa"/>
          </w:tblCellMar>
        </w:tblPrEx>
        <w:trPr>
          <w:trHeight w:val="514"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26AB523">
            <w:pPr>
              <w:pStyle w:val="22"/>
              <w:widowControl/>
              <w:spacing w:line="400" w:lineRule="exact"/>
              <w:rPr>
                <w:color w:val="auto"/>
                <w:highlight w:val="none"/>
              </w:rPr>
            </w:pPr>
            <w:r>
              <w:rPr>
                <w:rFonts w:hint="eastAsia" w:ascii="宋体" w:hAnsi="宋体" w:cs="宋体"/>
                <w:color w:val="auto"/>
                <w:sz w:val="21"/>
                <w:szCs w:val="21"/>
                <w:highlight w:val="none"/>
              </w:rPr>
              <w:t>账号：</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CDD6A1E">
            <w:pPr>
              <w:pStyle w:val="22"/>
              <w:widowControl/>
              <w:spacing w:line="400" w:lineRule="exact"/>
              <w:rPr>
                <w:color w:val="auto"/>
                <w:highlight w:val="none"/>
              </w:rPr>
            </w:pPr>
            <w:r>
              <w:rPr>
                <w:rFonts w:hint="eastAsia" w:ascii="宋体" w:hAnsi="宋体" w:cs="宋体"/>
                <w:color w:val="auto"/>
                <w:sz w:val="21"/>
                <w:szCs w:val="21"/>
                <w:highlight w:val="none"/>
              </w:rPr>
              <w:t>账号：</w:t>
            </w:r>
          </w:p>
        </w:tc>
      </w:tr>
      <w:tr w14:paraId="3441879D">
        <w:tblPrEx>
          <w:tblCellMar>
            <w:top w:w="15" w:type="dxa"/>
            <w:left w:w="15" w:type="dxa"/>
            <w:bottom w:w="15" w:type="dxa"/>
            <w:right w:w="15" w:type="dxa"/>
          </w:tblCellMar>
        </w:tblPrEx>
        <w:trPr>
          <w:trHeight w:val="402"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7DD3095F">
            <w:pPr>
              <w:pStyle w:val="22"/>
              <w:widowControl/>
              <w:rPr>
                <w:color w:val="auto"/>
                <w:highlight w:val="none"/>
              </w:rPr>
            </w:pPr>
            <w:r>
              <w:rPr>
                <w:rFonts w:hint="eastAsia" w:ascii="宋体" w:hAnsi="宋体" w:cs="宋体"/>
                <w:color w:val="auto"/>
                <w:sz w:val="21"/>
                <w:szCs w:val="21"/>
                <w:highlight w:val="none"/>
              </w:rPr>
              <w:t>纳税人识别号或统一社会信用代码：</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70232DB">
            <w:pPr>
              <w:pStyle w:val="22"/>
              <w:widowControl/>
              <w:rPr>
                <w:color w:val="auto"/>
                <w:highlight w:val="none"/>
              </w:rPr>
            </w:pPr>
            <w:r>
              <w:rPr>
                <w:rFonts w:hint="eastAsia" w:ascii="宋体" w:hAnsi="宋体" w:cs="宋体"/>
                <w:color w:val="auto"/>
                <w:sz w:val="21"/>
                <w:szCs w:val="21"/>
                <w:highlight w:val="none"/>
              </w:rPr>
              <w:t>纳税人识别号或统一社会信用代码：</w:t>
            </w:r>
          </w:p>
        </w:tc>
      </w:tr>
      <w:tr w14:paraId="2291B73E">
        <w:tblPrEx>
          <w:tblCellMar>
            <w:top w:w="15" w:type="dxa"/>
            <w:left w:w="15" w:type="dxa"/>
            <w:bottom w:w="15" w:type="dxa"/>
            <w:right w:w="15" w:type="dxa"/>
          </w:tblCellMar>
        </w:tblPrEx>
        <w:trPr>
          <w:trHeight w:val="514"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F7F956C">
            <w:pPr>
              <w:pStyle w:val="22"/>
              <w:widowControl/>
              <w:spacing w:line="400" w:lineRule="exact"/>
              <w:rPr>
                <w:color w:val="auto"/>
                <w:highlight w:val="none"/>
              </w:rPr>
            </w:pPr>
            <w:r>
              <w:rPr>
                <w:rFonts w:hint="eastAsia" w:ascii="宋体" w:hAnsi="宋体" w:cs="宋体"/>
                <w:color w:val="auto"/>
                <w:sz w:val="21"/>
                <w:szCs w:val="21"/>
                <w:highlight w:val="none"/>
              </w:rPr>
              <w:t>邮政编码：</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55563E2">
            <w:pPr>
              <w:pStyle w:val="22"/>
              <w:widowControl/>
              <w:spacing w:line="400" w:lineRule="exact"/>
              <w:rPr>
                <w:color w:val="auto"/>
                <w:highlight w:val="none"/>
              </w:rPr>
            </w:pPr>
            <w:r>
              <w:rPr>
                <w:rFonts w:hint="eastAsia" w:ascii="宋体" w:hAnsi="宋体" w:cs="宋体"/>
                <w:color w:val="auto"/>
                <w:sz w:val="21"/>
                <w:szCs w:val="21"/>
                <w:highlight w:val="none"/>
              </w:rPr>
              <w:t>邮政编码：</w:t>
            </w:r>
          </w:p>
        </w:tc>
      </w:tr>
      <w:tr w14:paraId="18A1270E">
        <w:tblPrEx>
          <w:tblCellMar>
            <w:top w:w="15" w:type="dxa"/>
            <w:left w:w="15" w:type="dxa"/>
            <w:bottom w:w="15" w:type="dxa"/>
            <w:right w:w="15" w:type="dxa"/>
          </w:tblCellMar>
        </w:tblPrEx>
        <w:trPr>
          <w:trHeight w:val="521" w:hRule="atLeast"/>
        </w:trPr>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4274A63">
            <w:pPr>
              <w:pStyle w:val="22"/>
              <w:widowControl/>
              <w:spacing w:line="400" w:lineRule="exact"/>
              <w:rPr>
                <w:color w:val="auto"/>
                <w:highlight w:val="none"/>
              </w:rPr>
            </w:pPr>
            <w:r>
              <w:rPr>
                <w:rFonts w:hint="eastAsia" w:ascii="宋体" w:hAnsi="宋体" w:cs="宋体"/>
                <w:color w:val="auto"/>
                <w:sz w:val="21"/>
                <w:szCs w:val="21"/>
                <w:highlight w:val="none"/>
              </w:rPr>
              <w:t>经办人：</w:t>
            </w:r>
          </w:p>
        </w:tc>
        <w:tc>
          <w:tcPr>
            <w:tcW w:w="2500" w:type="pc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EB7BA70">
            <w:pPr>
              <w:pStyle w:val="22"/>
              <w:widowControl/>
              <w:spacing w:line="400" w:lineRule="exact"/>
              <w:rPr>
                <w:color w:val="auto"/>
                <w:highlight w:val="none"/>
              </w:rPr>
            </w:pPr>
            <w:r>
              <w:rPr>
                <w:rFonts w:hint="eastAsia" w:ascii="宋体" w:hAnsi="宋体" w:cs="宋体"/>
                <w:color w:val="auto"/>
                <w:sz w:val="21"/>
                <w:szCs w:val="21"/>
                <w:highlight w:val="none"/>
              </w:rPr>
              <w:t>经办人及手机码：</w:t>
            </w:r>
          </w:p>
        </w:tc>
      </w:tr>
    </w:tbl>
    <w:p w14:paraId="69E1B6AA">
      <w:pPr>
        <w:snapToGrid w:val="0"/>
        <w:spacing w:line="360" w:lineRule="auto"/>
        <w:rPr>
          <w:rFonts w:hint="eastAsia" w:ascii="宋体" w:hAnsi="宋体" w:cs="宋体"/>
          <w:color w:val="auto"/>
          <w:sz w:val="24"/>
          <w:highlight w:val="none"/>
        </w:rPr>
      </w:pPr>
    </w:p>
    <w:sectPr>
      <w:footerReference r:id="rId11" w:type="first"/>
      <w:footerReference r:id="rId10" w:type="default"/>
      <w:pgSz w:w="11905" w:h="16838"/>
      <w:pgMar w:top="1417" w:right="1417" w:bottom="1417" w:left="1417" w:header="850" w:footer="992" w:gutter="0"/>
      <w:cols w:space="720" w:num="1"/>
      <w:titlePg/>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D8AE4E8-1113-4919-AE80-5F9EE59BABB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1AF544F9-1778-4B18-9431-EAEADC8D3E2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86BFD7E-E192-49D9-BB0D-427A5BEB98D3}"/>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24FAB2E9-C5D7-470A-A0A3-4B4557E00E7B}"/>
  </w:font>
  <w:font w:name="华文楷体">
    <w:panose1 w:val="02010600040101010101"/>
    <w:charset w:val="86"/>
    <w:family w:val="auto"/>
    <w:pitch w:val="default"/>
    <w:sig w:usb0="00000287" w:usb1="080F0000" w:usb2="00000000" w:usb3="00000000" w:csb0="0004009F" w:csb1="DFD70000"/>
  </w:font>
  <w:font w:name="Arial Unicode MS">
    <w:panose1 w:val="020B0604020202020204"/>
    <w:charset w:val="86"/>
    <w:family w:val="roman"/>
    <w:pitch w:val="default"/>
    <w:sig w:usb0="F7FFAEFF" w:usb1="F9DFFFFF" w:usb2="0000007F" w:usb3="00000000" w:csb0="203F01FF" w:csb1="DFFF0000"/>
    <w:embedRegular r:id="rId5" w:fontKey="{DB58891C-16F9-4745-ACDD-66A61CB77EE7}"/>
  </w:font>
  <w:font w:name="Tahoma">
    <w:panose1 w:val="020B0604030504040204"/>
    <w:charset w:val="00"/>
    <w:family w:val="swiss"/>
    <w:pitch w:val="default"/>
    <w:sig w:usb0="E1002EFF" w:usb1="C000605B" w:usb2="00000029" w:usb3="00000000" w:csb0="200101FF" w:csb1="20280000"/>
  </w:font>
  <w:font w:name="方正书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embedRegular r:id="rId6" w:fontKey="{27BD1E5D-0316-499C-988E-43D769962216}"/>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embedRegular r:id="rId7" w:fontKey="{31631E61-C473-4568-A82C-1D6355014704}"/>
  </w:font>
  <w:font w:name="方正小标宋简体">
    <w:panose1 w:val="02000000000000000000"/>
    <w:charset w:val="86"/>
    <w:family w:val="auto"/>
    <w:pitch w:val="default"/>
    <w:sig w:usb0="00000001" w:usb1="08000000" w:usb2="00000000" w:usb3="00000000" w:csb0="00040000" w:csb1="00000000"/>
    <w:embedRegular r:id="rId8" w:fontKey="{4A4D0735-B606-4315-BA32-6CC6C419F534}"/>
  </w:font>
  <w:font w:name="WPSEMBED1">
    <w:panose1 w:val="02010609030101010101"/>
    <w:charset w:val="86"/>
    <w:family w:val="auto"/>
    <w:pitch w:val="default"/>
    <w:sig w:usb0="00000001" w:usb1="080E0000" w:usb2="00000000" w:usb3="00000000" w:csb0="00040000" w:csb1="00000000"/>
  </w:font>
  <w:font w:name="WPSEMBED2">
    <w:panose1 w:val="020B0604020202020204"/>
    <w:charset w:val="86"/>
    <w:family w:val="auto"/>
    <w:pitch w:val="default"/>
    <w:sig w:usb0="F7FFAEFF" w:usb1="F9DFFFFF" w:usb2="0000007F" w:usb3="00000000" w:csb0="203F01FF" w:csb1="DFFF0000"/>
  </w:font>
  <w:font w:name="WPSEMBED3">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774CC">
    <w:pPr>
      <w:pStyle w:val="18"/>
      <w:framePr w:wrap="around" w:vAnchor="text" w:hAnchor="margin" w:xAlign="center" w:y="1"/>
      <w:jc w:val="center"/>
      <w:rPr>
        <w:rStyle w:val="31"/>
      </w:rPr>
    </w:pPr>
    <w:r>
      <w:fldChar w:fldCharType="begin"/>
    </w:r>
    <w:r>
      <w:rPr>
        <w:rStyle w:val="31"/>
      </w:rPr>
      <w:instrText xml:space="preserve">PAGE  </w:instrText>
    </w:r>
    <w:r>
      <w:fldChar w:fldCharType="separate"/>
    </w:r>
    <w:r>
      <w:rPr>
        <w:rStyle w:val="31"/>
      </w:rPr>
      <w:t>27</w:t>
    </w:r>
    <w:r>
      <w:fldChar w:fldCharType="end"/>
    </w:r>
  </w:p>
  <w:p w14:paraId="1EB09821">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73D2A">
    <w:pPr>
      <w:pStyle w:val="18"/>
      <w:framePr w:wrap="around" w:vAnchor="text" w:hAnchor="margin" w:xAlign="center" w:y="1"/>
      <w:rPr>
        <w:rStyle w:val="31"/>
      </w:rPr>
    </w:pPr>
    <w:r>
      <w:fldChar w:fldCharType="begin"/>
    </w:r>
    <w:r>
      <w:rPr>
        <w:rStyle w:val="31"/>
      </w:rPr>
      <w:instrText xml:space="preserve">PAGE  </w:instrText>
    </w:r>
    <w:r>
      <w:fldChar w:fldCharType="separate"/>
    </w:r>
    <w:r>
      <w:rPr>
        <w:rStyle w:val="31"/>
      </w:rPr>
      <w:t>1</w:t>
    </w:r>
    <w:r>
      <w:fldChar w:fldCharType="end"/>
    </w:r>
  </w:p>
  <w:p w14:paraId="3CDF99C2">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BA697">
    <w:pPr>
      <w:pStyle w:val="18"/>
      <w:jc w:val="center"/>
    </w:pPr>
    <w:r>
      <w:fldChar w:fldCharType="begin"/>
    </w:r>
    <w:r>
      <w:instrText xml:space="preserve"> PAGE   \* MERGEFORMAT </w:instrText>
    </w:r>
    <w:r>
      <w:fldChar w:fldCharType="separate"/>
    </w:r>
    <w:r>
      <w:rPr>
        <w:lang w:val="zh-CN"/>
      </w:rPr>
      <w:t>28</w:t>
    </w:r>
    <w:r>
      <w:fldChar w:fldCharType="end"/>
    </w:r>
  </w:p>
  <w:p w14:paraId="6F24FC38">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3410A">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D3107">
                          <w:pPr>
                            <w:pStyle w:val="1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73D3107">
                    <w:pPr>
                      <w:pStyle w:val="1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36BDE">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1F004">
                          <w:pPr>
                            <w:pStyle w:val="1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A1F004">
                    <w:pPr>
                      <w:pStyle w:val="1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E2DF2">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675F95">
                          <w:pPr>
                            <w:pStyle w:val="18"/>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u4xfsUBAACQ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JiPVAP/2ELFw7iehjlBTMRxUZjQtVdqEP+856+lH2v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M7uMX7FAQAAkAMAAA4AAAAAAAAAAQAgAAAAHgEAAGRycy9lMm9Eb2MueG1s&#10;UEsFBgAAAAAGAAYAWQEAAFUFAAAAAA==&#10;">
              <v:fill on="f" focussize="0,0"/>
              <v:stroke on="f"/>
              <v:imagedata o:title=""/>
              <o:lock v:ext="edit" aspectratio="f"/>
              <v:textbox inset="0mm,0mm,0mm,0mm" style="mso-fit-shape-to-text:t;">
                <w:txbxContent>
                  <w:p w14:paraId="0B675F95">
                    <w:pPr>
                      <w:pStyle w:val="18"/>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B414E">
    <w:pPr>
      <w:pStyle w:val="19"/>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07E98">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4DBAB">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ODg2ZGY0YzJhZGM4ZTBiOTg1ZTA2N2MwOWZmZDMifQ=="/>
  </w:docVars>
  <w:rsids>
    <w:rsidRoot w:val="00F34B14"/>
    <w:rsid w:val="00000672"/>
    <w:rsid w:val="00001799"/>
    <w:rsid w:val="000022D9"/>
    <w:rsid w:val="00002D29"/>
    <w:rsid w:val="000040C5"/>
    <w:rsid w:val="00004A8A"/>
    <w:rsid w:val="0000574C"/>
    <w:rsid w:val="00005B07"/>
    <w:rsid w:val="00005E55"/>
    <w:rsid w:val="00005FDF"/>
    <w:rsid w:val="00006586"/>
    <w:rsid w:val="000065BA"/>
    <w:rsid w:val="0001045D"/>
    <w:rsid w:val="00010D39"/>
    <w:rsid w:val="000112BB"/>
    <w:rsid w:val="0001149B"/>
    <w:rsid w:val="0001172C"/>
    <w:rsid w:val="00012854"/>
    <w:rsid w:val="00012EA6"/>
    <w:rsid w:val="000139DC"/>
    <w:rsid w:val="00013D8C"/>
    <w:rsid w:val="00013DFE"/>
    <w:rsid w:val="00013F03"/>
    <w:rsid w:val="000141EA"/>
    <w:rsid w:val="00014385"/>
    <w:rsid w:val="000159F6"/>
    <w:rsid w:val="00016960"/>
    <w:rsid w:val="00017396"/>
    <w:rsid w:val="000177DB"/>
    <w:rsid w:val="00020227"/>
    <w:rsid w:val="000203E4"/>
    <w:rsid w:val="00020455"/>
    <w:rsid w:val="00022731"/>
    <w:rsid w:val="00022792"/>
    <w:rsid w:val="000242CE"/>
    <w:rsid w:val="00025382"/>
    <w:rsid w:val="00025636"/>
    <w:rsid w:val="00025E36"/>
    <w:rsid w:val="00026627"/>
    <w:rsid w:val="00026886"/>
    <w:rsid w:val="00030496"/>
    <w:rsid w:val="000329E0"/>
    <w:rsid w:val="000333A0"/>
    <w:rsid w:val="000352E9"/>
    <w:rsid w:val="00036A07"/>
    <w:rsid w:val="00036E33"/>
    <w:rsid w:val="00037363"/>
    <w:rsid w:val="00037E2D"/>
    <w:rsid w:val="00040571"/>
    <w:rsid w:val="0004156E"/>
    <w:rsid w:val="00041597"/>
    <w:rsid w:val="0004440C"/>
    <w:rsid w:val="00044AD7"/>
    <w:rsid w:val="00045880"/>
    <w:rsid w:val="000462CB"/>
    <w:rsid w:val="00046B5E"/>
    <w:rsid w:val="0004783A"/>
    <w:rsid w:val="00050968"/>
    <w:rsid w:val="000509D9"/>
    <w:rsid w:val="0005398D"/>
    <w:rsid w:val="000552A6"/>
    <w:rsid w:val="00055D41"/>
    <w:rsid w:val="000569C7"/>
    <w:rsid w:val="00057CEC"/>
    <w:rsid w:val="00060DCE"/>
    <w:rsid w:val="00061A5A"/>
    <w:rsid w:val="000623B4"/>
    <w:rsid w:val="000634A7"/>
    <w:rsid w:val="00063E85"/>
    <w:rsid w:val="00063F81"/>
    <w:rsid w:val="00064847"/>
    <w:rsid w:val="0006484B"/>
    <w:rsid w:val="000673E2"/>
    <w:rsid w:val="000703B6"/>
    <w:rsid w:val="000711E4"/>
    <w:rsid w:val="000719F9"/>
    <w:rsid w:val="0007228C"/>
    <w:rsid w:val="000722D1"/>
    <w:rsid w:val="00072AED"/>
    <w:rsid w:val="00072C34"/>
    <w:rsid w:val="00073F47"/>
    <w:rsid w:val="00075B7E"/>
    <w:rsid w:val="00077C70"/>
    <w:rsid w:val="00080B57"/>
    <w:rsid w:val="00081BA3"/>
    <w:rsid w:val="00081D2E"/>
    <w:rsid w:val="0008267B"/>
    <w:rsid w:val="00082D02"/>
    <w:rsid w:val="000833E9"/>
    <w:rsid w:val="00083B91"/>
    <w:rsid w:val="0008520B"/>
    <w:rsid w:val="000871B8"/>
    <w:rsid w:val="00087DB6"/>
    <w:rsid w:val="000913BE"/>
    <w:rsid w:val="000918F8"/>
    <w:rsid w:val="00092442"/>
    <w:rsid w:val="00094183"/>
    <w:rsid w:val="00095233"/>
    <w:rsid w:val="0009588E"/>
    <w:rsid w:val="000959EE"/>
    <w:rsid w:val="00095B51"/>
    <w:rsid w:val="00097DA0"/>
    <w:rsid w:val="000A0D6B"/>
    <w:rsid w:val="000A1389"/>
    <w:rsid w:val="000A166E"/>
    <w:rsid w:val="000A2B0E"/>
    <w:rsid w:val="000A398F"/>
    <w:rsid w:val="000A509C"/>
    <w:rsid w:val="000A5516"/>
    <w:rsid w:val="000A6007"/>
    <w:rsid w:val="000A65A6"/>
    <w:rsid w:val="000A7275"/>
    <w:rsid w:val="000A7A12"/>
    <w:rsid w:val="000A7CA5"/>
    <w:rsid w:val="000B039A"/>
    <w:rsid w:val="000B1801"/>
    <w:rsid w:val="000B1D0C"/>
    <w:rsid w:val="000B2D03"/>
    <w:rsid w:val="000B3815"/>
    <w:rsid w:val="000B3C7B"/>
    <w:rsid w:val="000B6C95"/>
    <w:rsid w:val="000C0C58"/>
    <w:rsid w:val="000C1679"/>
    <w:rsid w:val="000C2F89"/>
    <w:rsid w:val="000C30BB"/>
    <w:rsid w:val="000C366E"/>
    <w:rsid w:val="000C3B94"/>
    <w:rsid w:val="000C4635"/>
    <w:rsid w:val="000C548E"/>
    <w:rsid w:val="000C5698"/>
    <w:rsid w:val="000C6DE4"/>
    <w:rsid w:val="000C716B"/>
    <w:rsid w:val="000C7C12"/>
    <w:rsid w:val="000D01EB"/>
    <w:rsid w:val="000D056E"/>
    <w:rsid w:val="000D0675"/>
    <w:rsid w:val="000D0A89"/>
    <w:rsid w:val="000D1389"/>
    <w:rsid w:val="000D1798"/>
    <w:rsid w:val="000D1A2A"/>
    <w:rsid w:val="000D2626"/>
    <w:rsid w:val="000D2B7D"/>
    <w:rsid w:val="000D3A1F"/>
    <w:rsid w:val="000D4A06"/>
    <w:rsid w:val="000D73DD"/>
    <w:rsid w:val="000D7D9B"/>
    <w:rsid w:val="000E18E2"/>
    <w:rsid w:val="000E28AB"/>
    <w:rsid w:val="000E28C1"/>
    <w:rsid w:val="000E2E3E"/>
    <w:rsid w:val="000E33C5"/>
    <w:rsid w:val="000E3583"/>
    <w:rsid w:val="000E3AF0"/>
    <w:rsid w:val="000E3D53"/>
    <w:rsid w:val="000E4E04"/>
    <w:rsid w:val="000E684C"/>
    <w:rsid w:val="000E6EC9"/>
    <w:rsid w:val="000E70B4"/>
    <w:rsid w:val="000F0742"/>
    <w:rsid w:val="000F3281"/>
    <w:rsid w:val="000F3733"/>
    <w:rsid w:val="000F4D88"/>
    <w:rsid w:val="000F64AA"/>
    <w:rsid w:val="000F7AF4"/>
    <w:rsid w:val="000F7C33"/>
    <w:rsid w:val="000F7F0C"/>
    <w:rsid w:val="00100246"/>
    <w:rsid w:val="001004D6"/>
    <w:rsid w:val="00100D90"/>
    <w:rsid w:val="00102ECA"/>
    <w:rsid w:val="00103918"/>
    <w:rsid w:val="00104889"/>
    <w:rsid w:val="00104897"/>
    <w:rsid w:val="00104D7E"/>
    <w:rsid w:val="00104EDE"/>
    <w:rsid w:val="00105AA1"/>
    <w:rsid w:val="00106BEE"/>
    <w:rsid w:val="00110339"/>
    <w:rsid w:val="00110C92"/>
    <w:rsid w:val="00113134"/>
    <w:rsid w:val="00113AC0"/>
    <w:rsid w:val="00114851"/>
    <w:rsid w:val="00115E11"/>
    <w:rsid w:val="00115F56"/>
    <w:rsid w:val="00117CBD"/>
    <w:rsid w:val="0012006A"/>
    <w:rsid w:val="00120990"/>
    <w:rsid w:val="001217B5"/>
    <w:rsid w:val="00121979"/>
    <w:rsid w:val="00122064"/>
    <w:rsid w:val="00123B26"/>
    <w:rsid w:val="00125004"/>
    <w:rsid w:val="001263B8"/>
    <w:rsid w:val="00126763"/>
    <w:rsid w:val="00130217"/>
    <w:rsid w:val="00130783"/>
    <w:rsid w:val="00130990"/>
    <w:rsid w:val="001312CB"/>
    <w:rsid w:val="00132B47"/>
    <w:rsid w:val="00132E64"/>
    <w:rsid w:val="001351CB"/>
    <w:rsid w:val="001359A2"/>
    <w:rsid w:val="00135E37"/>
    <w:rsid w:val="00136020"/>
    <w:rsid w:val="00136445"/>
    <w:rsid w:val="00140132"/>
    <w:rsid w:val="00141C9C"/>
    <w:rsid w:val="00142668"/>
    <w:rsid w:val="001434BE"/>
    <w:rsid w:val="00144275"/>
    <w:rsid w:val="0014479F"/>
    <w:rsid w:val="001452B4"/>
    <w:rsid w:val="00146EC6"/>
    <w:rsid w:val="001478D2"/>
    <w:rsid w:val="00151C48"/>
    <w:rsid w:val="00152A87"/>
    <w:rsid w:val="00154486"/>
    <w:rsid w:val="00154663"/>
    <w:rsid w:val="00156D0E"/>
    <w:rsid w:val="00156DD9"/>
    <w:rsid w:val="0016086E"/>
    <w:rsid w:val="00160D0C"/>
    <w:rsid w:val="00161172"/>
    <w:rsid w:val="0016139E"/>
    <w:rsid w:val="00161E65"/>
    <w:rsid w:val="00162597"/>
    <w:rsid w:val="001629AF"/>
    <w:rsid w:val="0016428A"/>
    <w:rsid w:val="001647C9"/>
    <w:rsid w:val="00164837"/>
    <w:rsid w:val="001661A3"/>
    <w:rsid w:val="0016782B"/>
    <w:rsid w:val="00170B05"/>
    <w:rsid w:val="00173256"/>
    <w:rsid w:val="001733E1"/>
    <w:rsid w:val="00173F74"/>
    <w:rsid w:val="00175086"/>
    <w:rsid w:val="00175BA6"/>
    <w:rsid w:val="0017617F"/>
    <w:rsid w:val="00176CA7"/>
    <w:rsid w:val="001778C5"/>
    <w:rsid w:val="00177E56"/>
    <w:rsid w:val="00177F0A"/>
    <w:rsid w:val="00185617"/>
    <w:rsid w:val="00186ADE"/>
    <w:rsid w:val="00187F35"/>
    <w:rsid w:val="00190131"/>
    <w:rsid w:val="0019171E"/>
    <w:rsid w:val="0019220F"/>
    <w:rsid w:val="001928B1"/>
    <w:rsid w:val="00194ED5"/>
    <w:rsid w:val="00195424"/>
    <w:rsid w:val="001955FF"/>
    <w:rsid w:val="00197EDD"/>
    <w:rsid w:val="00197F70"/>
    <w:rsid w:val="001A02B3"/>
    <w:rsid w:val="001A0322"/>
    <w:rsid w:val="001A04BB"/>
    <w:rsid w:val="001A08D0"/>
    <w:rsid w:val="001A14B1"/>
    <w:rsid w:val="001A1B39"/>
    <w:rsid w:val="001A2492"/>
    <w:rsid w:val="001A2E69"/>
    <w:rsid w:val="001A3C34"/>
    <w:rsid w:val="001A3EDE"/>
    <w:rsid w:val="001A4222"/>
    <w:rsid w:val="001A50EA"/>
    <w:rsid w:val="001A5E24"/>
    <w:rsid w:val="001A6D8B"/>
    <w:rsid w:val="001B079E"/>
    <w:rsid w:val="001B0CDA"/>
    <w:rsid w:val="001B0E26"/>
    <w:rsid w:val="001B125A"/>
    <w:rsid w:val="001B1EBA"/>
    <w:rsid w:val="001B2142"/>
    <w:rsid w:val="001B26CF"/>
    <w:rsid w:val="001B2F2B"/>
    <w:rsid w:val="001B327A"/>
    <w:rsid w:val="001B35DE"/>
    <w:rsid w:val="001B3A13"/>
    <w:rsid w:val="001B59FF"/>
    <w:rsid w:val="001B636D"/>
    <w:rsid w:val="001B65D7"/>
    <w:rsid w:val="001B6752"/>
    <w:rsid w:val="001B6768"/>
    <w:rsid w:val="001B6F1F"/>
    <w:rsid w:val="001B7ECC"/>
    <w:rsid w:val="001C25A7"/>
    <w:rsid w:val="001C318C"/>
    <w:rsid w:val="001C38B0"/>
    <w:rsid w:val="001C4287"/>
    <w:rsid w:val="001C4479"/>
    <w:rsid w:val="001C76B7"/>
    <w:rsid w:val="001C76FB"/>
    <w:rsid w:val="001D1165"/>
    <w:rsid w:val="001D2764"/>
    <w:rsid w:val="001D324F"/>
    <w:rsid w:val="001D3697"/>
    <w:rsid w:val="001D51DE"/>
    <w:rsid w:val="001D540E"/>
    <w:rsid w:val="001D58A1"/>
    <w:rsid w:val="001D5A8A"/>
    <w:rsid w:val="001D735E"/>
    <w:rsid w:val="001D73C8"/>
    <w:rsid w:val="001D74D4"/>
    <w:rsid w:val="001D756D"/>
    <w:rsid w:val="001D778C"/>
    <w:rsid w:val="001D7E1F"/>
    <w:rsid w:val="001E0756"/>
    <w:rsid w:val="001E0A8D"/>
    <w:rsid w:val="001E0FFB"/>
    <w:rsid w:val="001E129E"/>
    <w:rsid w:val="001E1F33"/>
    <w:rsid w:val="001E2B9F"/>
    <w:rsid w:val="001E30C0"/>
    <w:rsid w:val="001E3221"/>
    <w:rsid w:val="001E4A8D"/>
    <w:rsid w:val="001E5A94"/>
    <w:rsid w:val="001E7648"/>
    <w:rsid w:val="001F127B"/>
    <w:rsid w:val="001F15A8"/>
    <w:rsid w:val="001F2A2E"/>
    <w:rsid w:val="001F3B72"/>
    <w:rsid w:val="001F3C63"/>
    <w:rsid w:val="001F43D4"/>
    <w:rsid w:val="001F4460"/>
    <w:rsid w:val="001F5DAF"/>
    <w:rsid w:val="001F637C"/>
    <w:rsid w:val="001F6B6C"/>
    <w:rsid w:val="001F711A"/>
    <w:rsid w:val="001F75B0"/>
    <w:rsid w:val="001F7686"/>
    <w:rsid w:val="0020035F"/>
    <w:rsid w:val="00200CE5"/>
    <w:rsid w:val="002014DB"/>
    <w:rsid w:val="00201E12"/>
    <w:rsid w:val="00202AEC"/>
    <w:rsid w:val="002031E2"/>
    <w:rsid w:val="002033B5"/>
    <w:rsid w:val="0020382C"/>
    <w:rsid w:val="0020437A"/>
    <w:rsid w:val="00204B5F"/>
    <w:rsid w:val="0020532C"/>
    <w:rsid w:val="00205D23"/>
    <w:rsid w:val="0021064F"/>
    <w:rsid w:val="002114C7"/>
    <w:rsid w:val="00212756"/>
    <w:rsid w:val="0021302C"/>
    <w:rsid w:val="00213045"/>
    <w:rsid w:val="00213483"/>
    <w:rsid w:val="00213B1C"/>
    <w:rsid w:val="00214202"/>
    <w:rsid w:val="002146F3"/>
    <w:rsid w:val="002148E3"/>
    <w:rsid w:val="00215373"/>
    <w:rsid w:val="0021552D"/>
    <w:rsid w:val="002156AE"/>
    <w:rsid w:val="002177BD"/>
    <w:rsid w:val="00217861"/>
    <w:rsid w:val="0022054D"/>
    <w:rsid w:val="00220949"/>
    <w:rsid w:val="002225FA"/>
    <w:rsid w:val="0022413B"/>
    <w:rsid w:val="00224DE1"/>
    <w:rsid w:val="002255B2"/>
    <w:rsid w:val="00225664"/>
    <w:rsid w:val="002269DC"/>
    <w:rsid w:val="00227F2D"/>
    <w:rsid w:val="00231851"/>
    <w:rsid w:val="002319FB"/>
    <w:rsid w:val="00231B89"/>
    <w:rsid w:val="00231B8E"/>
    <w:rsid w:val="002355BE"/>
    <w:rsid w:val="00236D82"/>
    <w:rsid w:val="00236DE9"/>
    <w:rsid w:val="00237D5A"/>
    <w:rsid w:val="00241300"/>
    <w:rsid w:val="00241D3C"/>
    <w:rsid w:val="002439AB"/>
    <w:rsid w:val="002450D5"/>
    <w:rsid w:val="00245587"/>
    <w:rsid w:val="00245F2B"/>
    <w:rsid w:val="00246F95"/>
    <w:rsid w:val="00247676"/>
    <w:rsid w:val="00247F3A"/>
    <w:rsid w:val="00250122"/>
    <w:rsid w:val="00250755"/>
    <w:rsid w:val="00250AE3"/>
    <w:rsid w:val="00251C4A"/>
    <w:rsid w:val="0025271C"/>
    <w:rsid w:val="00252A91"/>
    <w:rsid w:val="00252C5C"/>
    <w:rsid w:val="002533CD"/>
    <w:rsid w:val="002544C1"/>
    <w:rsid w:val="00254EAB"/>
    <w:rsid w:val="002557AF"/>
    <w:rsid w:val="00256474"/>
    <w:rsid w:val="002566B1"/>
    <w:rsid w:val="002575E3"/>
    <w:rsid w:val="002603C1"/>
    <w:rsid w:val="002609A1"/>
    <w:rsid w:val="002612B1"/>
    <w:rsid w:val="0026327C"/>
    <w:rsid w:val="00265600"/>
    <w:rsid w:val="00266165"/>
    <w:rsid w:val="0026782A"/>
    <w:rsid w:val="0027125E"/>
    <w:rsid w:val="00271767"/>
    <w:rsid w:val="002718BF"/>
    <w:rsid w:val="002719C1"/>
    <w:rsid w:val="00272293"/>
    <w:rsid w:val="002723C8"/>
    <w:rsid w:val="00273CBE"/>
    <w:rsid w:val="00277594"/>
    <w:rsid w:val="00280240"/>
    <w:rsid w:val="002802D7"/>
    <w:rsid w:val="0028232C"/>
    <w:rsid w:val="002827F1"/>
    <w:rsid w:val="00282EC3"/>
    <w:rsid w:val="002835B0"/>
    <w:rsid w:val="0028407E"/>
    <w:rsid w:val="0028410F"/>
    <w:rsid w:val="002854BF"/>
    <w:rsid w:val="00286603"/>
    <w:rsid w:val="00286A98"/>
    <w:rsid w:val="00286FB5"/>
    <w:rsid w:val="00287763"/>
    <w:rsid w:val="00290606"/>
    <w:rsid w:val="00290F9D"/>
    <w:rsid w:val="002918A7"/>
    <w:rsid w:val="00291D6D"/>
    <w:rsid w:val="00291FF1"/>
    <w:rsid w:val="002923F6"/>
    <w:rsid w:val="00293361"/>
    <w:rsid w:val="00294AE8"/>
    <w:rsid w:val="00295287"/>
    <w:rsid w:val="002952B1"/>
    <w:rsid w:val="00295D11"/>
    <w:rsid w:val="00295FA0"/>
    <w:rsid w:val="00297626"/>
    <w:rsid w:val="00297A7A"/>
    <w:rsid w:val="002A0620"/>
    <w:rsid w:val="002A0C3A"/>
    <w:rsid w:val="002A1130"/>
    <w:rsid w:val="002A14D3"/>
    <w:rsid w:val="002A1880"/>
    <w:rsid w:val="002A1D47"/>
    <w:rsid w:val="002A23B7"/>
    <w:rsid w:val="002A3A57"/>
    <w:rsid w:val="002A6D22"/>
    <w:rsid w:val="002A6DEF"/>
    <w:rsid w:val="002A7411"/>
    <w:rsid w:val="002A7C24"/>
    <w:rsid w:val="002B013E"/>
    <w:rsid w:val="002B058D"/>
    <w:rsid w:val="002B0C16"/>
    <w:rsid w:val="002B11C9"/>
    <w:rsid w:val="002B169E"/>
    <w:rsid w:val="002B2621"/>
    <w:rsid w:val="002B2AC5"/>
    <w:rsid w:val="002B3528"/>
    <w:rsid w:val="002B3539"/>
    <w:rsid w:val="002B3B2B"/>
    <w:rsid w:val="002B6D17"/>
    <w:rsid w:val="002B6E71"/>
    <w:rsid w:val="002B7169"/>
    <w:rsid w:val="002C0C1C"/>
    <w:rsid w:val="002C0F5A"/>
    <w:rsid w:val="002C184E"/>
    <w:rsid w:val="002C28F5"/>
    <w:rsid w:val="002C54C2"/>
    <w:rsid w:val="002C5D34"/>
    <w:rsid w:val="002C5EA7"/>
    <w:rsid w:val="002C661A"/>
    <w:rsid w:val="002C7C6E"/>
    <w:rsid w:val="002D0AF5"/>
    <w:rsid w:val="002D1C54"/>
    <w:rsid w:val="002D1FAA"/>
    <w:rsid w:val="002D2231"/>
    <w:rsid w:val="002D25FC"/>
    <w:rsid w:val="002D318B"/>
    <w:rsid w:val="002D3380"/>
    <w:rsid w:val="002D44D6"/>
    <w:rsid w:val="002D4925"/>
    <w:rsid w:val="002D4AC6"/>
    <w:rsid w:val="002D5C7B"/>
    <w:rsid w:val="002D6DFC"/>
    <w:rsid w:val="002D7648"/>
    <w:rsid w:val="002D7909"/>
    <w:rsid w:val="002D7AB7"/>
    <w:rsid w:val="002E109C"/>
    <w:rsid w:val="002E115E"/>
    <w:rsid w:val="002E1439"/>
    <w:rsid w:val="002E193E"/>
    <w:rsid w:val="002E1D76"/>
    <w:rsid w:val="002E243C"/>
    <w:rsid w:val="002E26C4"/>
    <w:rsid w:val="002E33E9"/>
    <w:rsid w:val="002E4B37"/>
    <w:rsid w:val="002E4BF9"/>
    <w:rsid w:val="002E6F5B"/>
    <w:rsid w:val="002F16DD"/>
    <w:rsid w:val="002F199D"/>
    <w:rsid w:val="002F23B2"/>
    <w:rsid w:val="002F2558"/>
    <w:rsid w:val="002F4084"/>
    <w:rsid w:val="002F4672"/>
    <w:rsid w:val="002F4A08"/>
    <w:rsid w:val="002F4ADB"/>
    <w:rsid w:val="002F531E"/>
    <w:rsid w:val="002F5ACC"/>
    <w:rsid w:val="002F6C2C"/>
    <w:rsid w:val="002F704B"/>
    <w:rsid w:val="002F72C3"/>
    <w:rsid w:val="002F768C"/>
    <w:rsid w:val="002F7D1E"/>
    <w:rsid w:val="00301839"/>
    <w:rsid w:val="0030273B"/>
    <w:rsid w:val="00302929"/>
    <w:rsid w:val="00302F0F"/>
    <w:rsid w:val="00303243"/>
    <w:rsid w:val="00303BCC"/>
    <w:rsid w:val="00303F2B"/>
    <w:rsid w:val="00303F8D"/>
    <w:rsid w:val="00304541"/>
    <w:rsid w:val="00304580"/>
    <w:rsid w:val="0030586A"/>
    <w:rsid w:val="003074C5"/>
    <w:rsid w:val="00307A3C"/>
    <w:rsid w:val="00307FA4"/>
    <w:rsid w:val="00310CC1"/>
    <w:rsid w:val="00313026"/>
    <w:rsid w:val="00313213"/>
    <w:rsid w:val="0031421F"/>
    <w:rsid w:val="00314B31"/>
    <w:rsid w:val="00314B36"/>
    <w:rsid w:val="00315158"/>
    <w:rsid w:val="00315346"/>
    <w:rsid w:val="00315A65"/>
    <w:rsid w:val="00316E85"/>
    <w:rsid w:val="00317BA7"/>
    <w:rsid w:val="00320BE2"/>
    <w:rsid w:val="00321886"/>
    <w:rsid w:val="00321902"/>
    <w:rsid w:val="00323694"/>
    <w:rsid w:val="00324D63"/>
    <w:rsid w:val="003255AF"/>
    <w:rsid w:val="003256EB"/>
    <w:rsid w:val="003259DB"/>
    <w:rsid w:val="00325F20"/>
    <w:rsid w:val="00326039"/>
    <w:rsid w:val="003267F2"/>
    <w:rsid w:val="003300EA"/>
    <w:rsid w:val="00331A48"/>
    <w:rsid w:val="003330C9"/>
    <w:rsid w:val="0033364C"/>
    <w:rsid w:val="00334415"/>
    <w:rsid w:val="00335460"/>
    <w:rsid w:val="0033691E"/>
    <w:rsid w:val="00336CCB"/>
    <w:rsid w:val="0033745F"/>
    <w:rsid w:val="00337631"/>
    <w:rsid w:val="00337F44"/>
    <w:rsid w:val="003401AC"/>
    <w:rsid w:val="003411D1"/>
    <w:rsid w:val="003416BA"/>
    <w:rsid w:val="00341BD6"/>
    <w:rsid w:val="00342A8A"/>
    <w:rsid w:val="00342F99"/>
    <w:rsid w:val="0034339D"/>
    <w:rsid w:val="00344726"/>
    <w:rsid w:val="003454A4"/>
    <w:rsid w:val="00350E6C"/>
    <w:rsid w:val="003518A6"/>
    <w:rsid w:val="00351E7F"/>
    <w:rsid w:val="003526FD"/>
    <w:rsid w:val="00352953"/>
    <w:rsid w:val="00354062"/>
    <w:rsid w:val="003542B0"/>
    <w:rsid w:val="00355C0D"/>
    <w:rsid w:val="0035622C"/>
    <w:rsid w:val="003566A9"/>
    <w:rsid w:val="00356988"/>
    <w:rsid w:val="00356B20"/>
    <w:rsid w:val="00357128"/>
    <w:rsid w:val="0035755E"/>
    <w:rsid w:val="00357A80"/>
    <w:rsid w:val="00361B8B"/>
    <w:rsid w:val="00363F39"/>
    <w:rsid w:val="00364AB0"/>
    <w:rsid w:val="003664B8"/>
    <w:rsid w:val="003667B0"/>
    <w:rsid w:val="003667DD"/>
    <w:rsid w:val="00366842"/>
    <w:rsid w:val="00366B48"/>
    <w:rsid w:val="00367764"/>
    <w:rsid w:val="00367DFD"/>
    <w:rsid w:val="00370316"/>
    <w:rsid w:val="00370DC7"/>
    <w:rsid w:val="0037156C"/>
    <w:rsid w:val="00371CBD"/>
    <w:rsid w:val="00373CBE"/>
    <w:rsid w:val="003740CC"/>
    <w:rsid w:val="0037435E"/>
    <w:rsid w:val="00374E79"/>
    <w:rsid w:val="00375388"/>
    <w:rsid w:val="00375FB9"/>
    <w:rsid w:val="00376851"/>
    <w:rsid w:val="00376FA2"/>
    <w:rsid w:val="00377A3B"/>
    <w:rsid w:val="00377E3C"/>
    <w:rsid w:val="00380B5C"/>
    <w:rsid w:val="00380BBE"/>
    <w:rsid w:val="00381D70"/>
    <w:rsid w:val="00382128"/>
    <w:rsid w:val="0038235E"/>
    <w:rsid w:val="003829D0"/>
    <w:rsid w:val="00382FBA"/>
    <w:rsid w:val="0038444F"/>
    <w:rsid w:val="00384E83"/>
    <w:rsid w:val="00385C34"/>
    <w:rsid w:val="00387051"/>
    <w:rsid w:val="00387ECF"/>
    <w:rsid w:val="0039021B"/>
    <w:rsid w:val="00390429"/>
    <w:rsid w:val="0039327C"/>
    <w:rsid w:val="003933A2"/>
    <w:rsid w:val="0039366C"/>
    <w:rsid w:val="003938F3"/>
    <w:rsid w:val="00393C4B"/>
    <w:rsid w:val="00393EC8"/>
    <w:rsid w:val="00395E42"/>
    <w:rsid w:val="00396052"/>
    <w:rsid w:val="00396A2D"/>
    <w:rsid w:val="00396FC3"/>
    <w:rsid w:val="003A1A94"/>
    <w:rsid w:val="003A204E"/>
    <w:rsid w:val="003A2D25"/>
    <w:rsid w:val="003A4DDB"/>
    <w:rsid w:val="003A60E7"/>
    <w:rsid w:val="003B07DF"/>
    <w:rsid w:val="003B0B6A"/>
    <w:rsid w:val="003B0F79"/>
    <w:rsid w:val="003B29CF"/>
    <w:rsid w:val="003B54DF"/>
    <w:rsid w:val="003B6659"/>
    <w:rsid w:val="003B7733"/>
    <w:rsid w:val="003C0166"/>
    <w:rsid w:val="003C21AA"/>
    <w:rsid w:val="003C2B79"/>
    <w:rsid w:val="003C350C"/>
    <w:rsid w:val="003C3903"/>
    <w:rsid w:val="003C3BA0"/>
    <w:rsid w:val="003C4580"/>
    <w:rsid w:val="003C52D8"/>
    <w:rsid w:val="003C5C5E"/>
    <w:rsid w:val="003C6746"/>
    <w:rsid w:val="003C7133"/>
    <w:rsid w:val="003C7555"/>
    <w:rsid w:val="003C7898"/>
    <w:rsid w:val="003D0FF5"/>
    <w:rsid w:val="003D2D1B"/>
    <w:rsid w:val="003D30AB"/>
    <w:rsid w:val="003D3D94"/>
    <w:rsid w:val="003D48C7"/>
    <w:rsid w:val="003D4C08"/>
    <w:rsid w:val="003D51ED"/>
    <w:rsid w:val="003D7CE8"/>
    <w:rsid w:val="003E1032"/>
    <w:rsid w:val="003E1904"/>
    <w:rsid w:val="003E285E"/>
    <w:rsid w:val="003E3300"/>
    <w:rsid w:val="003E5B89"/>
    <w:rsid w:val="003E6340"/>
    <w:rsid w:val="003E65AC"/>
    <w:rsid w:val="003E6E24"/>
    <w:rsid w:val="003E72B9"/>
    <w:rsid w:val="003E755C"/>
    <w:rsid w:val="003E7ED4"/>
    <w:rsid w:val="003F0E52"/>
    <w:rsid w:val="003F0EF2"/>
    <w:rsid w:val="003F0F6B"/>
    <w:rsid w:val="003F1F40"/>
    <w:rsid w:val="003F1FE3"/>
    <w:rsid w:val="003F3865"/>
    <w:rsid w:val="003F3A0A"/>
    <w:rsid w:val="003F4632"/>
    <w:rsid w:val="003F47BA"/>
    <w:rsid w:val="003F5DA1"/>
    <w:rsid w:val="003F6617"/>
    <w:rsid w:val="0040063B"/>
    <w:rsid w:val="00401070"/>
    <w:rsid w:val="00401483"/>
    <w:rsid w:val="00402332"/>
    <w:rsid w:val="004025C2"/>
    <w:rsid w:val="00403E55"/>
    <w:rsid w:val="00404532"/>
    <w:rsid w:val="00404681"/>
    <w:rsid w:val="0040496D"/>
    <w:rsid w:val="00405010"/>
    <w:rsid w:val="0040595A"/>
    <w:rsid w:val="00406923"/>
    <w:rsid w:val="0040713A"/>
    <w:rsid w:val="0040763D"/>
    <w:rsid w:val="004105B0"/>
    <w:rsid w:val="00410EC5"/>
    <w:rsid w:val="00411B1F"/>
    <w:rsid w:val="004133A8"/>
    <w:rsid w:val="00413821"/>
    <w:rsid w:val="00413D43"/>
    <w:rsid w:val="004141A3"/>
    <w:rsid w:val="00414909"/>
    <w:rsid w:val="00415E66"/>
    <w:rsid w:val="00416112"/>
    <w:rsid w:val="00416DF0"/>
    <w:rsid w:val="00417AE0"/>
    <w:rsid w:val="00417BAA"/>
    <w:rsid w:val="00420BA9"/>
    <w:rsid w:val="00420D7A"/>
    <w:rsid w:val="00420D9E"/>
    <w:rsid w:val="004223DE"/>
    <w:rsid w:val="0042293E"/>
    <w:rsid w:val="00422A10"/>
    <w:rsid w:val="00424D17"/>
    <w:rsid w:val="00425DFD"/>
    <w:rsid w:val="004263A3"/>
    <w:rsid w:val="00427713"/>
    <w:rsid w:val="00427CCC"/>
    <w:rsid w:val="00427DB8"/>
    <w:rsid w:val="0043013A"/>
    <w:rsid w:val="00430421"/>
    <w:rsid w:val="00430B4F"/>
    <w:rsid w:val="004314B1"/>
    <w:rsid w:val="00431AD0"/>
    <w:rsid w:val="00431E65"/>
    <w:rsid w:val="00432589"/>
    <w:rsid w:val="00432A94"/>
    <w:rsid w:val="00433827"/>
    <w:rsid w:val="00435041"/>
    <w:rsid w:val="004360C8"/>
    <w:rsid w:val="0044006B"/>
    <w:rsid w:val="0044033F"/>
    <w:rsid w:val="00440630"/>
    <w:rsid w:val="00441123"/>
    <w:rsid w:val="0044127B"/>
    <w:rsid w:val="00442095"/>
    <w:rsid w:val="00442965"/>
    <w:rsid w:val="00444157"/>
    <w:rsid w:val="0044417C"/>
    <w:rsid w:val="00444DB3"/>
    <w:rsid w:val="004452B9"/>
    <w:rsid w:val="00445A2F"/>
    <w:rsid w:val="00446328"/>
    <w:rsid w:val="00446341"/>
    <w:rsid w:val="0044684E"/>
    <w:rsid w:val="004479CA"/>
    <w:rsid w:val="004503A4"/>
    <w:rsid w:val="00450555"/>
    <w:rsid w:val="00450DC6"/>
    <w:rsid w:val="004516A5"/>
    <w:rsid w:val="004535AE"/>
    <w:rsid w:val="00453C42"/>
    <w:rsid w:val="0045463A"/>
    <w:rsid w:val="00454AC9"/>
    <w:rsid w:val="004554A3"/>
    <w:rsid w:val="00455A6E"/>
    <w:rsid w:val="004569CD"/>
    <w:rsid w:val="00456F2B"/>
    <w:rsid w:val="004578EB"/>
    <w:rsid w:val="00460303"/>
    <w:rsid w:val="00460697"/>
    <w:rsid w:val="004609AB"/>
    <w:rsid w:val="0046247F"/>
    <w:rsid w:val="00462593"/>
    <w:rsid w:val="00465EEF"/>
    <w:rsid w:val="00466D03"/>
    <w:rsid w:val="0046711B"/>
    <w:rsid w:val="00467312"/>
    <w:rsid w:val="00471156"/>
    <w:rsid w:val="00472429"/>
    <w:rsid w:val="004725E5"/>
    <w:rsid w:val="004726FE"/>
    <w:rsid w:val="00472751"/>
    <w:rsid w:val="00473128"/>
    <w:rsid w:val="0047470A"/>
    <w:rsid w:val="00475078"/>
    <w:rsid w:val="00475226"/>
    <w:rsid w:val="004779A0"/>
    <w:rsid w:val="004808E3"/>
    <w:rsid w:val="0048097D"/>
    <w:rsid w:val="00481016"/>
    <w:rsid w:val="004814C8"/>
    <w:rsid w:val="004814D3"/>
    <w:rsid w:val="0048204C"/>
    <w:rsid w:val="004821BB"/>
    <w:rsid w:val="00482233"/>
    <w:rsid w:val="004826FE"/>
    <w:rsid w:val="004827D5"/>
    <w:rsid w:val="004830C9"/>
    <w:rsid w:val="00483347"/>
    <w:rsid w:val="00483D06"/>
    <w:rsid w:val="00483E2E"/>
    <w:rsid w:val="00484B69"/>
    <w:rsid w:val="00485406"/>
    <w:rsid w:val="0048590F"/>
    <w:rsid w:val="004867A5"/>
    <w:rsid w:val="00486D60"/>
    <w:rsid w:val="00487C87"/>
    <w:rsid w:val="00492A25"/>
    <w:rsid w:val="0049474A"/>
    <w:rsid w:val="004951C8"/>
    <w:rsid w:val="00496350"/>
    <w:rsid w:val="00496F91"/>
    <w:rsid w:val="00497274"/>
    <w:rsid w:val="0049797C"/>
    <w:rsid w:val="00497C2C"/>
    <w:rsid w:val="00497E9D"/>
    <w:rsid w:val="004A036E"/>
    <w:rsid w:val="004A1405"/>
    <w:rsid w:val="004A1FC6"/>
    <w:rsid w:val="004A3C03"/>
    <w:rsid w:val="004A3DB7"/>
    <w:rsid w:val="004A3FB3"/>
    <w:rsid w:val="004A5088"/>
    <w:rsid w:val="004A5255"/>
    <w:rsid w:val="004A6097"/>
    <w:rsid w:val="004A6CB0"/>
    <w:rsid w:val="004A70FF"/>
    <w:rsid w:val="004B1B84"/>
    <w:rsid w:val="004B29AC"/>
    <w:rsid w:val="004B35DF"/>
    <w:rsid w:val="004B3627"/>
    <w:rsid w:val="004B3F3A"/>
    <w:rsid w:val="004B4779"/>
    <w:rsid w:val="004B4922"/>
    <w:rsid w:val="004B57DF"/>
    <w:rsid w:val="004C0238"/>
    <w:rsid w:val="004C03A0"/>
    <w:rsid w:val="004C2138"/>
    <w:rsid w:val="004C2ED0"/>
    <w:rsid w:val="004C32D4"/>
    <w:rsid w:val="004C3940"/>
    <w:rsid w:val="004C51FD"/>
    <w:rsid w:val="004C65A8"/>
    <w:rsid w:val="004C786C"/>
    <w:rsid w:val="004C7963"/>
    <w:rsid w:val="004D2314"/>
    <w:rsid w:val="004D2F63"/>
    <w:rsid w:val="004D35BA"/>
    <w:rsid w:val="004D45B8"/>
    <w:rsid w:val="004D4701"/>
    <w:rsid w:val="004D47C7"/>
    <w:rsid w:val="004D618D"/>
    <w:rsid w:val="004D6202"/>
    <w:rsid w:val="004D62A9"/>
    <w:rsid w:val="004D6FC3"/>
    <w:rsid w:val="004D7476"/>
    <w:rsid w:val="004E0306"/>
    <w:rsid w:val="004E0572"/>
    <w:rsid w:val="004E25A8"/>
    <w:rsid w:val="004E2AA0"/>
    <w:rsid w:val="004E3930"/>
    <w:rsid w:val="004E3ED9"/>
    <w:rsid w:val="004E5866"/>
    <w:rsid w:val="004E6097"/>
    <w:rsid w:val="004E61EF"/>
    <w:rsid w:val="004E6772"/>
    <w:rsid w:val="004E76A7"/>
    <w:rsid w:val="004E7736"/>
    <w:rsid w:val="004E7B03"/>
    <w:rsid w:val="004F0064"/>
    <w:rsid w:val="004F06AC"/>
    <w:rsid w:val="004F1AE6"/>
    <w:rsid w:val="004F243F"/>
    <w:rsid w:val="004F3E0C"/>
    <w:rsid w:val="004F6929"/>
    <w:rsid w:val="004F6A2D"/>
    <w:rsid w:val="004F7160"/>
    <w:rsid w:val="00500258"/>
    <w:rsid w:val="0050175E"/>
    <w:rsid w:val="00501A99"/>
    <w:rsid w:val="00502CF3"/>
    <w:rsid w:val="00503180"/>
    <w:rsid w:val="0050417C"/>
    <w:rsid w:val="00505450"/>
    <w:rsid w:val="005100B7"/>
    <w:rsid w:val="00510D10"/>
    <w:rsid w:val="005111C2"/>
    <w:rsid w:val="005113C9"/>
    <w:rsid w:val="0051280C"/>
    <w:rsid w:val="00512842"/>
    <w:rsid w:val="005128BE"/>
    <w:rsid w:val="00512B7B"/>
    <w:rsid w:val="00512E6C"/>
    <w:rsid w:val="0051356F"/>
    <w:rsid w:val="00513E7C"/>
    <w:rsid w:val="005140BB"/>
    <w:rsid w:val="005143C2"/>
    <w:rsid w:val="00514FD9"/>
    <w:rsid w:val="0051518F"/>
    <w:rsid w:val="0051608F"/>
    <w:rsid w:val="005165E9"/>
    <w:rsid w:val="005210F7"/>
    <w:rsid w:val="00521753"/>
    <w:rsid w:val="00521A44"/>
    <w:rsid w:val="00521D16"/>
    <w:rsid w:val="005222BE"/>
    <w:rsid w:val="005224EE"/>
    <w:rsid w:val="00523BB1"/>
    <w:rsid w:val="0052451A"/>
    <w:rsid w:val="00524737"/>
    <w:rsid w:val="005253E7"/>
    <w:rsid w:val="005258DF"/>
    <w:rsid w:val="00526265"/>
    <w:rsid w:val="0052652D"/>
    <w:rsid w:val="0052655D"/>
    <w:rsid w:val="005265E0"/>
    <w:rsid w:val="00526930"/>
    <w:rsid w:val="00526BC3"/>
    <w:rsid w:val="00530F9E"/>
    <w:rsid w:val="00531A72"/>
    <w:rsid w:val="0053274E"/>
    <w:rsid w:val="0053358A"/>
    <w:rsid w:val="00534668"/>
    <w:rsid w:val="00534D38"/>
    <w:rsid w:val="00534DDD"/>
    <w:rsid w:val="00535291"/>
    <w:rsid w:val="00535A94"/>
    <w:rsid w:val="00537874"/>
    <w:rsid w:val="00537909"/>
    <w:rsid w:val="00540204"/>
    <w:rsid w:val="00540578"/>
    <w:rsid w:val="005407D2"/>
    <w:rsid w:val="00540808"/>
    <w:rsid w:val="0054080E"/>
    <w:rsid w:val="005408B4"/>
    <w:rsid w:val="00540EA1"/>
    <w:rsid w:val="0054358E"/>
    <w:rsid w:val="00543AF4"/>
    <w:rsid w:val="00544191"/>
    <w:rsid w:val="00544F39"/>
    <w:rsid w:val="00547EFB"/>
    <w:rsid w:val="005531DF"/>
    <w:rsid w:val="00553874"/>
    <w:rsid w:val="00553ACC"/>
    <w:rsid w:val="00554AD8"/>
    <w:rsid w:val="00554F78"/>
    <w:rsid w:val="005556A5"/>
    <w:rsid w:val="005561F0"/>
    <w:rsid w:val="00556BF7"/>
    <w:rsid w:val="00560838"/>
    <w:rsid w:val="00560DB5"/>
    <w:rsid w:val="00562149"/>
    <w:rsid w:val="005630D8"/>
    <w:rsid w:val="00563FFD"/>
    <w:rsid w:val="00565855"/>
    <w:rsid w:val="005677CE"/>
    <w:rsid w:val="00567B5D"/>
    <w:rsid w:val="00570445"/>
    <w:rsid w:val="00572E9A"/>
    <w:rsid w:val="00573733"/>
    <w:rsid w:val="005739F5"/>
    <w:rsid w:val="00574554"/>
    <w:rsid w:val="00576089"/>
    <w:rsid w:val="005764B1"/>
    <w:rsid w:val="00576A0D"/>
    <w:rsid w:val="00576A56"/>
    <w:rsid w:val="00576D06"/>
    <w:rsid w:val="005777CA"/>
    <w:rsid w:val="005779E4"/>
    <w:rsid w:val="00580AC5"/>
    <w:rsid w:val="005815E5"/>
    <w:rsid w:val="0058289C"/>
    <w:rsid w:val="00582C35"/>
    <w:rsid w:val="00582DC6"/>
    <w:rsid w:val="005836C7"/>
    <w:rsid w:val="0058408E"/>
    <w:rsid w:val="00585374"/>
    <w:rsid w:val="005876DF"/>
    <w:rsid w:val="0058789A"/>
    <w:rsid w:val="00590B77"/>
    <w:rsid w:val="005913A3"/>
    <w:rsid w:val="00591DCD"/>
    <w:rsid w:val="00594A7B"/>
    <w:rsid w:val="00594AFA"/>
    <w:rsid w:val="0059580E"/>
    <w:rsid w:val="00596A6F"/>
    <w:rsid w:val="005976E1"/>
    <w:rsid w:val="005A0541"/>
    <w:rsid w:val="005A0D64"/>
    <w:rsid w:val="005A1525"/>
    <w:rsid w:val="005A1EC3"/>
    <w:rsid w:val="005A252B"/>
    <w:rsid w:val="005A2A71"/>
    <w:rsid w:val="005A3204"/>
    <w:rsid w:val="005A32B6"/>
    <w:rsid w:val="005A3341"/>
    <w:rsid w:val="005A46EC"/>
    <w:rsid w:val="005A4847"/>
    <w:rsid w:val="005A494F"/>
    <w:rsid w:val="005B0160"/>
    <w:rsid w:val="005B0185"/>
    <w:rsid w:val="005B07EC"/>
    <w:rsid w:val="005B09D8"/>
    <w:rsid w:val="005B24F3"/>
    <w:rsid w:val="005B2B11"/>
    <w:rsid w:val="005B2E00"/>
    <w:rsid w:val="005B370E"/>
    <w:rsid w:val="005B4DA3"/>
    <w:rsid w:val="005B5B71"/>
    <w:rsid w:val="005B5BEE"/>
    <w:rsid w:val="005B7784"/>
    <w:rsid w:val="005B77D2"/>
    <w:rsid w:val="005C019B"/>
    <w:rsid w:val="005C144E"/>
    <w:rsid w:val="005C1625"/>
    <w:rsid w:val="005C2D0A"/>
    <w:rsid w:val="005C30F5"/>
    <w:rsid w:val="005C357E"/>
    <w:rsid w:val="005C3604"/>
    <w:rsid w:val="005C51A5"/>
    <w:rsid w:val="005C557A"/>
    <w:rsid w:val="005C5A03"/>
    <w:rsid w:val="005C61DD"/>
    <w:rsid w:val="005C6438"/>
    <w:rsid w:val="005C6B8B"/>
    <w:rsid w:val="005D02E3"/>
    <w:rsid w:val="005D1F34"/>
    <w:rsid w:val="005D2529"/>
    <w:rsid w:val="005D25BF"/>
    <w:rsid w:val="005D2C1F"/>
    <w:rsid w:val="005D34B2"/>
    <w:rsid w:val="005D3B54"/>
    <w:rsid w:val="005D40CD"/>
    <w:rsid w:val="005D6B59"/>
    <w:rsid w:val="005D7037"/>
    <w:rsid w:val="005E03E4"/>
    <w:rsid w:val="005E0454"/>
    <w:rsid w:val="005E171D"/>
    <w:rsid w:val="005E34C2"/>
    <w:rsid w:val="005E35C6"/>
    <w:rsid w:val="005E5099"/>
    <w:rsid w:val="005E5B01"/>
    <w:rsid w:val="005E7933"/>
    <w:rsid w:val="005E7E0B"/>
    <w:rsid w:val="005F009E"/>
    <w:rsid w:val="005F080C"/>
    <w:rsid w:val="005F0A88"/>
    <w:rsid w:val="005F0DF1"/>
    <w:rsid w:val="005F1516"/>
    <w:rsid w:val="005F229E"/>
    <w:rsid w:val="005F2564"/>
    <w:rsid w:val="005F3822"/>
    <w:rsid w:val="005F3E0B"/>
    <w:rsid w:val="005F4D16"/>
    <w:rsid w:val="005F4E52"/>
    <w:rsid w:val="005F5967"/>
    <w:rsid w:val="005F77C8"/>
    <w:rsid w:val="0060058E"/>
    <w:rsid w:val="00602A3C"/>
    <w:rsid w:val="00602EA4"/>
    <w:rsid w:val="00603EFD"/>
    <w:rsid w:val="006041DF"/>
    <w:rsid w:val="0060475B"/>
    <w:rsid w:val="00604FB6"/>
    <w:rsid w:val="00605387"/>
    <w:rsid w:val="00606302"/>
    <w:rsid w:val="006072EF"/>
    <w:rsid w:val="006076FD"/>
    <w:rsid w:val="00607BA3"/>
    <w:rsid w:val="0061143F"/>
    <w:rsid w:val="006114D8"/>
    <w:rsid w:val="00611585"/>
    <w:rsid w:val="00612931"/>
    <w:rsid w:val="00613601"/>
    <w:rsid w:val="00613791"/>
    <w:rsid w:val="00613AAB"/>
    <w:rsid w:val="006148C7"/>
    <w:rsid w:val="006150D6"/>
    <w:rsid w:val="00617EEE"/>
    <w:rsid w:val="006210FE"/>
    <w:rsid w:val="00622811"/>
    <w:rsid w:val="00622894"/>
    <w:rsid w:val="00622BB7"/>
    <w:rsid w:val="00622F3B"/>
    <w:rsid w:val="00623389"/>
    <w:rsid w:val="0062352A"/>
    <w:rsid w:val="00625E45"/>
    <w:rsid w:val="006265C4"/>
    <w:rsid w:val="00627383"/>
    <w:rsid w:val="00627733"/>
    <w:rsid w:val="006301BB"/>
    <w:rsid w:val="00632605"/>
    <w:rsid w:val="00633F8D"/>
    <w:rsid w:val="006341EF"/>
    <w:rsid w:val="00634BED"/>
    <w:rsid w:val="00635A4A"/>
    <w:rsid w:val="00635F1C"/>
    <w:rsid w:val="00635FB9"/>
    <w:rsid w:val="00637774"/>
    <w:rsid w:val="0064024C"/>
    <w:rsid w:val="00640291"/>
    <w:rsid w:val="00641FAC"/>
    <w:rsid w:val="006432A5"/>
    <w:rsid w:val="00643664"/>
    <w:rsid w:val="00643CAA"/>
    <w:rsid w:val="0064448B"/>
    <w:rsid w:val="00652137"/>
    <w:rsid w:val="00652680"/>
    <w:rsid w:val="00652A09"/>
    <w:rsid w:val="006530A1"/>
    <w:rsid w:val="0065371D"/>
    <w:rsid w:val="00653CDE"/>
    <w:rsid w:val="006540B4"/>
    <w:rsid w:val="0065636A"/>
    <w:rsid w:val="00656C3C"/>
    <w:rsid w:val="00657003"/>
    <w:rsid w:val="00657126"/>
    <w:rsid w:val="006572C1"/>
    <w:rsid w:val="00660238"/>
    <w:rsid w:val="006602EF"/>
    <w:rsid w:val="00661277"/>
    <w:rsid w:val="006616FE"/>
    <w:rsid w:val="00661717"/>
    <w:rsid w:val="006619D1"/>
    <w:rsid w:val="006628AD"/>
    <w:rsid w:val="00663FEA"/>
    <w:rsid w:val="00664253"/>
    <w:rsid w:val="00664803"/>
    <w:rsid w:val="006661A4"/>
    <w:rsid w:val="006670E0"/>
    <w:rsid w:val="00667532"/>
    <w:rsid w:val="006704FD"/>
    <w:rsid w:val="00670F3A"/>
    <w:rsid w:val="006715E6"/>
    <w:rsid w:val="0067294B"/>
    <w:rsid w:val="00673AA4"/>
    <w:rsid w:val="00674187"/>
    <w:rsid w:val="0067508F"/>
    <w:rsid w:val="00675349"/>
    <w:rsid w:val="00675E7E"/>
    <w:rsid w:val="006768BE"/>
    <w:rsid w:val="0068051E"/>
    <w:rsid w:val="00680B9D"/>
    <w:rsid w:val="00681F13"/>
    <w:rsid w:val="0068231C"/>
    <w:rsid w:val="00682344"/>
    <w:rsid w:val="00682E78"/>
    <w:rsid w:val="00682F28"/>
    <w:rsid w:val="00684842"/>
    <w:rsid w:val="00685BD6"/>
    <w:rsid w:val="006878A6"/>
    <w:rsid w:val="00690437"/>
    <w:rsid w:val="00690E65"/>
    <w:rsid w:val="0069188E"/>
    <w:rsid w:val="00691974"/>
    <w:rsid w:val="00691A3F"/>
    <w:rsid w:val="00692CE6"/>
    <w:rsid w:val="00693B6C"/>
    <w:rsid w:val="006942AE"/>
    <w:rsid w:val="0069483C"/>
    <w:rsid w:val="00695421"/>
    <w:rsid w:val="00695AE4"/>
    <w:rsid w:val="00696D4B"/>
    <w:rsid w:val="00697BD3"/>
    <w:rsid w:val="00697DFA"/>
    <w:rsid w:val="006A10F3"/>
    <w:rsid w:val="006A16D5"/>
    <w:rsid w:val="006A1772"/>
    <w:rsid w:val="006A1780"/>
    <w:rsid w:val="006A25A5"/>
    <w:rsid w:val="006A2790"/>
    <w:rsid w:val="006A3CEC"/>
    <w:rsid w:val="006A3F75"/>
    <w:rsid w:val="006A4838"/>
    <w:rsid w:val="006A4FB3"/>
    <w:rsid w:val="006A5A3E"/>
    <w:rsid w:val="006A6CA7"/>
    <w:rsid w:val="006A703E"/>
    <w:rsid w:val="006A7BE3"/>
    <w:rsid w:val="006B01D1"/>
    <w:rsid w:val="006B16EA"/>
    <w:rsid w:val="006B1780"/>
    <w:rsid w:val="006B224E"/>
    <w:rsid w:val="006B362D"/>
    <w:rsid w:val="006B376E"/>
    <w:rsid w:val="006B3BDA"/>
    <w:rsid w:val="006B4589"/>
    <w:rsid w:val="006B6805"/>
    <w:rsid w:val="006B6BBE"/>
    <w:rsid w:val="006B6DE0"/>
    <w:rsid w:val="006B7D5F"/>
    <w:rsid w:val="006C0FCC"/>
    <w:rsid w:val="006C2D83"/>
    <w:rsid w:val="006C32F4"/>
    <w:rsid w:val="006C3382"/>
    <w:rsid w:val="006C3C54"/>
    <w:rsid w:val="006C40F4"/>
    <w:rsid w:val="006C427B"/>
    <w:rsid w:val="006C4F9F"/>
    <w:rsid w:val="006C5778"/>
    <w:rsid w:val="006C61AB"/>
    <w:rsid w:val="006C650D"/>
    <w:rsid w:val="006C686A"/>
    <w:rsid w:val="006C748D"/>
    <w:rsid w:val="006D0C1D"/>
    <w:rsid w:val="006D0CE1"/>
    <w:rsid w:val="006D2004"/>
    <w:rsid w:val="006D2A8C"/>
    <w:rsid w:val="006D2E9D"/>
    <w:rsid w:val="006D32EB"/>
    <w:rsid w:val="006D4C1E"/>
    <w:rsid w:val="006D4C42"/>
    <w:rsid w:val="006D5809"/>
    <w:rsid w:val="006D630A"/>
    <w:rsid w:val="006D668D"/>
    <w:rsid w:val="006D7363"/>
    <w:rsid w:val="006D74F2"/>
    <w:rsid w:val="006E04C8"/>
    <w:rsid w:val="006E061F"/>
    <w:rsid w:val="006E0712"/>
    <w:rsid w:val="006E0754"/>
    <w:rsid w:val="006E2668"/>
    <w:rsid w:val="006E2D39"/>
    <w:rsid w:val="006E32B0"/>
    <w:rsid w:val="006E36D8"/>
    <w:rsid w:val="006E396A"/>
    <w:rsid w:val="006E3A73"/>
    <w:rsid w:val="006E5DD8"/>
    <w:rsid w:val="006E5EA1"/>
    <w:rsid w:val="006E7ABC"/>
    <w:rsid w:val="006F0760"/>
    <w:rsid w:val="006F0FF1"/>
    <w:rsid w:val="006F11E2"/>
    <w:rsid w:val="006F12F5"/>
    <w:rsid w:val="006F2574"/>
    <w:rsid w:val="006F3231"/>
    <w:rsid w:val="006F3582"/>
    <w:rsid w:val="006F3DE3"/>
    <w:rsid w:val="006F4C05"/>
    <w:rsid w:val="006F511F"/>
    <w:rsid w:val="006F61D8"/>
    <w:rsid w:val="006F62B7"/>
    <w:rsid w:val="006F70BC"/>
    <w:rsid w:val="006F713A"/>
    <w:rsid w:val="006F76BF"/>
    <w:rsid w:val="00705161"/>
    <w:rsid w:val="007066A4"/>
    <w:rsid w:val="00706F37"/>
    <w:rsid w:val="00707D09"/>
    <w:rsid w:val="00710760"/>
    <w:rsid w:val="0071209F"/>
    <w:rsid w:val="007125A2"/>
    <w:rsid w:val="00713F79"/>
    <w:rsid w:val="007148A8"/>
    <w:rsid w:val="00715A9B"/>
    <w:rsid w:val="00716C9F"/>
    <w:rsid w:val="007171E0"/>
    <w:rsid w:val="00717C40"/>
    <w:rsid w:val="0072033C"/>
    <w:rsid w:val="00720B1B"/>
    <w:rsid w:val="00721062"/>
    <w:rsid w:val="00721E5D"/>
    <w:rsid w:val="007229D4"/>
    <w:rsid w:val="007230F8"/>
    <w:rsid w:val="007233F4"/>
    <w:rsid w:val="00723646"/>
    <w:rsid w:val="00724044"/>
    <w:rsid w:val="007244E1"/>
    <w:rsid w:val="007248D3"/>
    <w:rsid w:val="00725137"/>
    <w:rsid w:val="007263ED"/>
    <w:rsid w:val="0072653B"/>
    <w:rsid w:val="00726C9E"/>
    <w:rsid w:val="00727A43"/>
    <w:rsid w:val="00727FF2"/>
    <w:rsid w:val="007323E0"/>
    <w:rsid w:val="007324ED"/>
    <w:rsid w:val="00733791"/>
    <w:rsid w:val="00733857"/>
    <w:rsid w:val="00733DE2"/>
    <w:rsid w:val="007346E7"/>
    <w:rsid w:val="007352EA"/>
    <w:rsid w:val="00736032"/>
    <w:rsid w:val="007364E5"/>
    <w:rsid w:val="0073792F"/>
    <w:rsid w:val="00737C48"/>
    <w:rsid w:val="007409CA"/>
    <w:rsid w:val="00740DA6"/>
    <w:rsid w:val="00741A0E"/>
    <w:rsid w:val="00741D1E"/>
    <w:rsid w:val="00741EE2"/>
    <w:rsid w:val="00742367"/>
    <w:rsid w:val="00742EAA"/>
    <w:rsid w:val="00743818"/>
    <w:rsid w:val="007439E2"/>
    <w:rsid w:val="00743E9C"/>
    <w:rsid w:val="007441FB"/>
    <w:rsid w:val="00744517"/>
    <w:rsid w:val="00744810"/>
    <w:rsid w:val="00747079"/>
    <w:rsid w:val="00747DD4"/>
    <w:rsid w:val="00747DE2"/>
    <w:rsid w:val="007504BF"/>
    <w:rsid w:val="007506CD"/>
    <w:rsid w:val="007525DB"/>
    <w:rsid w:val="0075267F"/>
    <w:rsid w:val="007526EC"/>
    <w:rsid w:val="0075310C"/>
    <w:rsid w:val="00753347"/>
    <w:rsid w:val="00753C48"/>
    <w:rsid w:val="007545C1"/>
    <w:rsid w:val="00754C97"/>
    <w:rsid w:val="00754FE4"/>
    <w:rsid w:val="00755538"/>
    <w:rsid w:val="00756236"/>
    <w:rsid w:val="00756271"/>
    <w:rsid w:val="00756521"/>
    <w:rsid w:val="00756AB7"/>
    <w:rsid w:val="00760477"/>
    <w:rsid w:val="00761AF4"/>
    <w:rsid w:val="00762071"/>
    <w:rsid w:val="007623FB"/>
    <w:rsid w:val="0076376A"/>
    <w:rsid w:val="0076500F"/>
    <w:rsid w:val="0076504E"/>
    <w:rsid w:val="00765D24"/>
    <w:rsid w:val="00765E6A"/>
    <w:rsid w:val="007664E0"/>
    <w:rsid w:val="00767EA0"/>
    <w:rsid w:val="0077068F"/>
    <w:rsid w:val="007711EA"/>
    <w:rsid w:val="00771870"/>
    <w:rsid w:val="0077408D"/>
    <w:rsid w:val="007741CF"/>
    <w:rsid w:val="00774270"/>
    <w:rsid w:val="00775679"/>
    <w:rsid w:val="00775803"/>
    <w:rsid w:val="00777B32"/>
    <w:rsid w:val="0078051E"/>
    <w:rsid w:val="00781FDD"/>
    <w:rsid w:val="00782A9F"/>
    <w:rsid w:val="0078508A"/>
    <w:rsid w:val="00786D5C"/>
    <w:rsid w:val="00786E96"/>
    <w:rsid w:val="00787F93"/>
    <w:rsid w:val="007907CA"/>
    <w:rsid w:val="00791170"/>
    <w:rsid w:val="00791E6D"/>
    <w:rsid w:val="007928DC"/>
    <w:rsid w:val="00792E53"/>
    <w:rsid w:val="007933DF"/>
    <w:rsid w:val="007939CC"/>
    <w:rsid w:val="00796FB8"/>
    <w:rsid w:val="007A11C2"/>
    <w:rsid w:val="007A2367"/>
    <w:rsid w:val="007A41BF"/>
    <w:rsid w:val="007A490A"/>
    <w:rsid w:val="007A581D"/>
    <w:rsid w:val="007A7B95"/>
    <w:rsid w:val="007B0297"/>
    <w:rsid w:val="007B0F53"/>
    <w:rsid w:val="007B1DD8"/>
    <w:rsid w:val="007B21AE"/>
    <w:rsid w:val="007B2570"/>
    <w:rsid w:val="007B3113"/>
    <w:rsid w:val="007B3304"/>
    <w:rsid w:val="007B332B"/>
    <w:rsid w:val="007B394D"/>
    <w:rsid w:val="007B53FA"/>
    <w:rsid w:val="007B6423"/>
    <w:rsid w:val="007B7490"/>
    <w:rsid w:val="007B774A"/>
    <w:rsid w:val="007C0525"/>
    <w:rsid w:val="007C0B56"/>
    <w:rsid w:val="007C13F7"/>
    <w:rsid w:val="007C218D"/>
    <w:rsid w:val="007C2D28"/>
    <w:rsid w:val="007C3E22"/>
    <w:rsid w:val="007C67C6"/>
    <w:rsid w:val="007C707A"/>
    <w:rsid w:val="007C7E59"/>
    <w:rsid w:val="007D0A39"/>
    <w:rsid w:val="007D0B91"/>
    <w:rsid w:val="007D1452"/>
    <w:rsid w:val="007D1E29"/>
    <w:rsid w:val="007D460C"/>
    <w:rsid w:val="007D484A"/>
    <w:rsid w:val="007D4AD3"/>
    <w:rsid w:val="007D4C8D"/>
    <w:rsid w:val="007D5D19"/>
    <w:rsid w:val="007D5FDC"/>
    <w:rsid w:val="007D6D68"/>
    <w:rsid w:val="007E01DA"/>
    <w:rsid w:val="007E0ADB"/>
    <w:rsid w:val="007E1603"/>
    <w:rsid w:val="007E2E85"/>
    <w:rsid w:val="007E32DA"/>
    <w:rsid w:val="007E3FFB"/>
    <w:rsid w:val="007E4998"/>
    <w:rsid w:val="007E4A9C"/>
    <w:rsid w:val="007E4B2B"/>
    <w:rsid w:val="007E6914"/>
    <w:rsid w:val="007E7F78"/>
    <w:rsid w:val="007F0C8B"/>
    <w:rsid w:val="007F1517"/>
    <w:rsid w:val="007F1D44"/>
    <w:rsid w:val="007F23A5"/>
    <w:rsid w:val="007F2C13"/>
    <w:rsid w:val="007F2CEC"/>
    <w:rsid w:val="007F4949"/>
    <w:rsid w:val="007F55DE"/>
    <w:rsid w:val="007F5605"/>
    <w:rsid w:val="007F6147"/>
    <w:rsid w:val="007F78FF"/>
    <w:rsid w:val="00800F6C"/>
    <w:rsid w:val="008025BE"/>
    <w:rsid w:val="00804C86"/>
    <w:rsid w:val="008051FC"/>
    <w:rsid w:val="008055A9"/>
    <w:rsid w:val="008070EB"/>
    <w:rsid w:val="00807376"/>
    <w:rsid w:val="00810B0E"/>
    <w:rsid w:val="00810E8E"/>
    <w:rsid w:val="0081142D"/>
    <w:rsid w:val="00812462"/>
    <w:rsid w:val="008126E2"/>
    <w:rsid w:val="0081481D"/>
    <w:rsid w:val="00814BE8"/>
    <w:rsid w:val="00814F6E"/>
    <w:rsid w:val="00815B84"/>
    <w:rsid w:val="00821A3D"/>
    <w:rsid w:val="00821B06"/>
    <w:rsid w:val="00822037"/>
    <w:rsid w:val="00822634"/>
    <w:rsid w:val="00823FC6"/>
    <w:rsid w:val="00823FFC"/>
    <w:rsid w:val="00824811"/>
    <w:rsid w:val="00825C74"/>
    <w:rsid w:val="00826AB9"/>
    <w:rsid w:val="00826E0E"/>
    <w:rsid w:val="0082731F"/>
    <w:rsid w:val="00827D11"/>
    <w:rsid w:val="00827E0F"/>
    <w:rsid w:val="00827F6E"/>
    <w:rsid w:val="00831758"/>
    <w:rsid w:val="00831977"/>
    <w:rsid w:val="0083279F"/>
    <w:rsid w:val="00833B7F"/>
    <w:rsid w:val="00834906"/>
    <w:rsid w:val="00836075"/>
    <w:rsid w:val="00836417"/>
    <w:rsid w:val="008377F7"/>
    <w:rsid w:val="008411F9"/>
    <w:rsid w:val="008413AB"/>
    <w:rsid w:val="00842D10"/>
    <w:rsid w:val="0084322B"/>
    <w:rsid w:val="00843B93"/>
    <w:rsid w:val="00843F81"/>
    <w:rsid w:val="00844087"/>
    <w:rsid w:val="0084519E"/>
    <w:rsid w:val="00846370"/>
    <w:rsid w:val="00847C2B"/>
    <w:rsid w:val="00851A7C"/>
    <w:rsid w:val="00852438"/>
    <w:rsid w:val="0085270D"/>
    <w:rsid w:val="008532BF"/>
    <w:rsid w:val="00853BF4"/>
    <w:rsid w:val="00854294"/>
    <w:rsid w:val="008555FB"/>
    <w:rsid w:val="0085788B"/>
    <w:rsid w:val="00857941"/>
    <w:rsid w:val="00857A9E"/>
    <w:rsid w:val="00857DE2"/>
    <w:rsid w:val="0086150C"/>
    <w:rsid w:val="00863E7D"/>
    <w:rsid w:val="0086407F"/>
    <w:rsid w:val="00864548"/>
    <w:rsid w:val="00864E79"/>
    <w:rsid w:val="00866111"/>
    <w:rsid w:val="0086661F"/>
    <w:rsid w:val="00866A0D"/>
    <w:rsid w:val="00866DB5"/>
    <w:rsid w:val="0086784E"/>
    <w:rsid w:val="00867AF1"/>
    <w:rsid w:val="008720B3"/>
    <w:rsid w:val="00872118"/>
    <w:rsid w:val="008727CE"/>
    <w:rsid w:val="00872827"/>
    <w:rsid w:val="00872A32"/>
    <w:rsid w:val="00874ECA"/>
    <w:rsid w:val="00875D0E"/>
    <w:rsid w:val="00876EAE"/>
    <w:rsid w:val="00880F95"/>
    <w:rsid w:val="00882B44"/>
    <w:rsid w:val="00882FE5"/>
    <w:rsid w:val="00886138"/>
    <w:rsid w:val="00886E66"/>
    <w:rsid w:val="008871B0"/>
    <w:rsid w:val="008912F5"/>
    <w:rsid w:val="008915A7"/>
    <w:rsid w:val="0089217C"/>
    <w:rsid w:val="008928A1"/>
    <w:rsid w:val="00893671"/>
    <w:rsid w:val="00895838"/>
    <w:rsid w:val="00895A72"/>
    <w:rsid w:val="00895CDF"/>
    <w:rsid w:val="008968C7"/>
    <w:rsid w:val="00896AFD"/>
    <w:rsid w:val="00897A55"/>
    <w:rsid w:val="008A0FC9"/>
    <w:rsid w:val="008A1956"/>
    <w:rsid w:val="008A40D3"/>
    <w:rsid w:val="008A469C"/>
    <w:rsid w:val="008A484A"/>
    <w:rsid w:val="008A5877"/>
    <w:rsid w:val="008A6539"/>
    <w:rsid w:val="008A701C"/>
    <w:rsid w:val="008B05DD"/>
    <w:rsid w:val="008B17E8"/>
    <w:rsid w:val="008B266C"/>
    <w:rsid w:val="008B2D03"/>
    <w:rsid w:val="008B2E7C"/>
    <w:rsid w:val="008B42AB"/>
    <w:rsid w:val="008B45A7"/>
    <w:rsid w:val="008B4A70"/>
    <w:rsid w:val="008B502F"/>
    <w:rsid w:val="008B5142"/>
    <w:rsid w:val="008B67CB"/>
    <w:rsid w:val="008B6A63"/>
    <w:rsid w:val="008B6AFE"/>
    <w:rsid w:val="008B6B83"/>
    <w:rsid w:val="008B7034"/>
    <w:rsid w:val="008B7227"/>
    <w:rsid w:val="008C191C"/>
    <w:rsid w:val="008C1DA4"/>
    <w:rsid w:val="008C2CD5"/>
    <w:rsid w:val="008C2E29"/>
    <w:rsid w:val="008C32B7"/>
    <w:rsid w:val="008C360C"/>
    <w:rsid w:val="008C3618"/>
    <w:rsid w:val="008C3F20"/>
    <w:rsid w:val="008C43AD"/>
    <w:rsid w:val="008C59FB"/>
    <w:rsid w:val="008C6687"/>
    <w:rsid w:val="008C68F0"/>
    <w:rsid w:val="008C6F92"/>
    <w:rsid w:val="008C731F"/>
    <w:rsid w:val="008C74D9"/>
    <w:rsid w:val="008C79C3"/>
    <w:rsid w:val="008C7A47"/>
    <w:rsid w:val="008D0170"/>
    <w:rsid w:val="008D1052"/>
    <w:rsid w:val="008D124C"/>
    <w:rsid w:val="008D1983"/>
    <w:rsid w:val="008D1BB3"/>
    <w:rsid w:val="008D1C32"/>
    <w:rsid w:val="008D22AE"/>
    <w:rsid w:val="008D234A"/>
    <w:rsid w:val="008D238C"/>
    <w:rsid w:val="008D566C"/>
    <w:rsid w:val="008D58D9"/>
    <w:rsid w:val="008D64F5"/>
    <w:rsid w:val="008D66EA"/>
    <w:rsid w:val="008D6E59"/>
    <w:rsid w:val="008D7155"/>
    <w:rsid w:val="008D7DE4"/>
    <w:rsid w:val="008E09B3"/>
    <w:rsid w:val="008E141A"/>
    <w:rsid w:val="008E1A44"/>
    <w:rsid w:val="008E28E6"/>
    <w:rsid w:val="008E2B60"/>
    <w:rsid w:val="008E3232"/>
    <w:rsid w:val="008E3674"/>
    <w:rsid w:val="008E3B6C"/>
    <w:rsid w:val="008E41A8"/>
    <w:rsid w:val="008E688C"/>
    <w:rsid w:val="008E68BB"/>
    <w:rsid w:val="008E6C9B"/>
    <w:rsid w:val="008E77D4"/>
    <w:rsid w:val="008F0981"/>
    <w:rsid w:val="008F0AFD"/>
    <w:rsid w:val="008F17B2"/>
    <w:rsid w:val="008F28EE"/>
    <w:rsid w:val="008F357B"/>
    <w:rsid w:val="008F44CA"/>
    <w:rsid w:val="008F49B9"/>
    <w:rsid w:val="008F49D3"/>
    <w:rsid w:val="008F5081"/>
    <w:rsid w:val="008F6519"/>
    <w:rsid w:val="008F68DC"/>
    <w:rsid w:val="008F7012"/>
    <w:rsid w:val="008F7B17"/>
    <w:rsid w:val="00900042"/>
    <w:rsid w:val="0090034B"/>
    <w:rsid w:val="00902623"/>
    <w:rsid w:val="00902890"/>
    <w:rsid w:val="00904BE4"/>
    <w:rsid w:val="0090504A"/>
    <w:rsid w:val="00905D7E"/>
    <w:rsid w:val="009063B7"/>
    <w:rsid w:val="00907037"/>
    <w:rsid w:val="0091160A"/>
    <w:rsid w:val="00912838"/>
    <w:rsid w:val="00913258"/>
    <w:rsid w:val="00913883"/>
    <w:rsid w:val="0091564D"/>
    <w:rsid w:val="009156DA"/>
    <w:rsid w:val="00916BC5"/>
    <w:rsid w:val="0091726A"/>
    <w:rsid w:val="00920184"/>
    <w:rsid w:val="00920EA4"/>
    <w:rsid w:val="00921792"/>
    <w:rsid w:val="00921BEA"/>
    <w:rsid w:val="00923998"/>
    <w:rsid w:val="00923DB4"/>
    <w:rsid w:val="0092430E"/>
    <w:rsid w:val="0092625F"/>
    <w:rsid w:val="009268A9"/>
    <w:rsid w:val="00927B37"/>
    <w:rsid w:val="009301B2"/>
    <w:rsid w:val="0093065F"/>
    <w:rsid w:val="00931215"/>
    <w:rsid w:val="009313DD"/>
    <w:rsid w:val="00931BDE"/>
    <w:rsid w:val="009321B1"/>
    <w:rsid w:val="00932ED7"/>
    <w:rsid w:val="0093357E"/>
    <w:rsid w:val="0093422D"/>
    <w:rsid w:val="00934DD7"/>
    <w:rsid w:val="009369A9"/>
    <w:rsid w:val="00936CF7"/>
    <w:rsid w:val="00937201"/>
    <w:rsid w:val="0093734A"/>
    <w:rsid w:val="00937783"/>
    <w:rsid w:val="009377C3"/>
    <w:rsid w:val="00937D89"/>
    <w:rsid w:val="00940515"/>
    <w:rsid w:val="0094059D"/>
    <w:rsid w:val="009409B4"/>
    <w:rsid w:val="00940FE1"/>
    <w:rsid w:val="00942306"/>
    <w:rsid w:val="009424B8"/>
    <w:rsid w:val="009433A4"/>
    <w:rsid w:val="0094435B"/>
    <w:rsid w:val="00944668"/>
    <w:rsid w:val="00944DC6"/>
    <w:rsid w:val="0094537D"/>
    <w:rsid w:val="0094573F"/>
    <w:rsid w:val="009458B0"/>
    <w:rsid w:val="00945B52"/>
    <w:rsid w:val="00945DC0"/>
    <w:rsid w:val="00945F05"/>
    <w:rsid w:val="00946348"/>
    <w:rsid w:val="009471AD"/>
    <w:rsid w:val="009478A2"/>
    <w:rsid w:val="0095053B"/>
    <w:rsid w:val="0095074A"/>
    <w:rsid w:val="009512AB"/>
    <w:rsid w:val="00952DE9"/>
    <w:rsid w:val="00955643"/>
    <w:rsid w:val="00955FBB"/>
    <w:rsid w:val="0095694B"/>
    <w:rsid w:val="00956BD5"/>
    <w:rsid w:val="009574BB"/>
    <w:rsid w:val="009577B5"/>
    <w:rsid w:val="009608E6"/>
    <w:rsid w:val="009609E4"/>
    <w:rsid w:val="00961779"/>
    <w:rsid w:val="00962D00"/>
    <w:rsid w:val="00962EB1"/>
    <w:rsid w:val="0096612A"/>
    <w:rsid w:val="00966522"/>
    <w:rsid w:val="00967D3F"/>
    <w:rsid w:val="00967E78"/>
    <w:rsid w:val="00970D7E"/>
    <w:rsid w:val="00970F18"/>
    <w:rsid w:val="00971CF1"/>
    <w:rsid w:val="009721E9"/>
    <w:rsid w:val="00972A58"/>
    <w:rsid w:val="00973772"/>
    <w:rsid w:val="0097451E"/>
    <w:rsid w:val="00975E1E"/>
    <w:rsid w:val="00975E70"/>
    <w:rsid w:val="00977B8F"/>
    <w:rsid w:val="00977CD6"/>
    <w:rsid w:val="00981D18"/>
    <w:rsid w:val="00982481"/>
    <w:rsid w:val="00982D26"/>
    <w:rsid w:val="0098330E"/>
    <w:rsid w:val="009849E9"/>
    <w:rsid w:val="00987812"/>
    <w:rsid w:val="00990225"/>
    <w:rsid w:val="00990DF5"/>
    <w:rsid w:val="00991622"/>
    <w:rsid w:val="0099244B"/>
    <w:rsid w:val="009947B6"/>
    <w:rsid w:val="00995150"/>
    <w:rsid w:val="009957F3"/>
    <w:rsid w:val="00995D67"/>
    <w:rsid w:val="009970BF"/>
    <w:rsid w:val="009A013B"/>
    <w:rsid w:val="009A02F4"/>
    <w:rsid w:val="009A1F12"/>
    <w:rsid w:val="009A23FC"/>
    <w:rsid w:val="009A2494"/>
    <w:rsid w:val="009A26CA"/>
    <w:rsid w:val="009A36F2"/>
    <w:rsid w:val="009A47CC"/>
    <w:rsid w:val="009A5749"/>
    <w:rsid w:val="009A57D0"/>
    <w:rsid w:val="009A6559"/>
    <w:rsid w:val="009A68FC"/>
    <w:rsid w:val="009A7514"/>
    <w:rsid w:val="009A7E7A"/>
    <w:rsid w:val="009B1584"/>
    <w:rsid w:val="009B2469"/>
    <w:rsid w:val="009B2D70"/>
    <w:rsid w:val="009B314F"/>
    <w:rsid w:val="009B439C"/>
    <w:rsid w:val="009B4A6C"/>
    <w:rsid w:val="009B5777"/>
    <w:rsid w:val="009B5779"/>
    <w:rsid w:val="009B6753"/>
    <w:rsid w:val="009B6A26"/>
    <w:rsid w:val="009C079D"/>
    <w:rsid w:val="009C0D70"/>
    <w:rsid w:val="009C13D1"/>
    <w:rsid w:val="009C2913"/>
    <w:rsid w:val="009C3008"/>
    <w:rsid w:val="009C365F"/>
    <w:rsid w:val="009C5AFE"/>
    <w:rsid w:val="009C6606"/>
    <w:rsid w:val="009C6CE5"/>
    <w:rsid w:val="009C6D50"/>
    <w:rsid w:val="009C7547"/>
    <w:rsid w:val="009D1678"/>
    <w:rsid w:val="009D1693"/>
    <w:rsid w:val="009D1C49"/>
    <w:rsid w:val="009D2721"/>
    <w:rsid w:val="009D2F60"/>
    <w:rsid w:val="009D338C"/>
    <w:rsid w:val="009D3D0D"/>
    <w:rsid w:val="009D4944"/>
    <w:rsid w:val="009D5BAC"/>
    <w:rsid w:val="009D64BD"/>
    <w:rsid w:val="009D7B2F"/>
    <w:rsid w:val="009D7B6C"/>
    <w:rsid w:val="009D7F83"/>
    <w:rsid w:val="009E0D0A"/>
    <w:rsid w:val="009E0D1A"/>
    <w:rsid w:val="009E153F"/>
    <w:rsid w:val="009E2D6C"/>
    <w:rsid w:val="009E388B"/>
    <w:rsid w:val="009E393E"/>
    <w:rsid w:val="009E444E"/>
    <w:rsid w:val="009E4968"/>
    <w:rsid w:val="009E663C"/>
    <w:rsid w:val="009E6BB1"/>
    <w:rsid w:val="009F0092"/>
    <w:rsid w:val="009F0CD9"/>
    <w:rsid w:val="009F1A79"/>
    <w:rsid w:val="009F1F57"/>
    <w:rsid w:val="009F2E26"/>
    <w:rsid w:val="009F4FCF"/>
    <w:rsid w:val="009F5DE2"/>
    <w:rsid w:val="009F65F4"/>
    <w:rsid w:val="009F676B"/>
    <w:rsid w:val="00A004DF"/>
    <w:rsid w:val="00A00D29"/>
    <w:rsid w:val="00A00FD5"/>
    <w:rsid w:val="00A019A8"/>
    <w:rsid w:val="00A01B03"/>
    <w:rsid w:val="00A02C66"/>
    <w:rsid w:val="00A03861"/>
    <w:rsid w:val="00A0464C"/>
    <w:rsid w:val="00A054E0"/>
    <w:rsid w:val="00A0663F"/>
    <w:rsid w:val="00A066CE"/>
    <w:rsid w:val="00A0740B"/>
    <w:rsid w:val="00A07427"/>
    <w:rsid w:val="00A075A9"/>
    <w:rsid w:val="00A077E2"/>
    <w:rsid w:val="00A1080F"/>
    <w:rsid w:val="00A11042"/>
    <w:rsid w:val="00A133D8"/>
    <w:rsid w:val="00A14E97"/>
    <w:rsid w:val="00A20069"/>
    <w:rsid w:val="00A20280"/>
    <w:rsid w:val="00A2244D"/>
    <w:rsid w:val="00A2253D"/>
    <w:rsid w:val="00A22AEC"/>
    <w:rsid w:val="00A2418A"/>
    <w:rsid w:val="00A247B8"/>
    <w:rsid w:val="00A24D39"/>
    <w:rsid w:val="00A24D8F"/>
    <w:rsid w:val="00A25B8B"/>
    <w:rsid w:val="00A269C3"/>
    <w:rsid w:val="00A26ECA"/>
    <w:rsid w:val="00A27374"/>
    <w:rsid w:val="00A309F1"/>
    <w:rsid w:val="00A317A5"/>
    <w:rsid w:val="00A324C1"/>
    <w:rsid w:val="00A337DB"/>
    <w:rsid w:val="00A3467F"/>
    <w:rsid w:val="00A3551A"/>
    <w:rsid w:val="00A373F4"/>
    <w:rsid w:val="00A376E8"/>
    <w:rsid w:val="00A37E69"/>
    <w:rsid w:val="00A37F8E"/>
    <w:rsid w:val="00A41737"/>
    <w:rsid w:val="00A42B8F"/>
    <w:rsid w:val="00A43254"/>
    <w:rsid w:val="00A43896"/>
    <w:rsid w:val="00A43A26"/>
    <w:rsid w:val="00A447A0"/>
    <w:rsid w:val="00A459F5"/>
    <w:rsid w:val="00A45FC0"/>
    <w:rsid w:val="00A46B32"/>
    <w:rsid w:val="00A478D2"/>
    <w:rsid w:val="00A47ECC"/>
    <w:rsid w:val="00A5008C"/>
    <w:rsid w:val="00A50171"/>
    <w:rsid w:val="00A5102E"/>
    <w:rsid w:val="00A51083"/>
    <w:rsid w:val="00A5132E"/>
    <w:rsid w:val="00A51533"/>
    <w:rsid w:val="00A51A4D"/>
    <w:rsid w:val="00A51E68"/>
    <w:rsid w:val="00A52F3B"/>
    <w:rsid w:val="00A531D4"/>
    <w:rsid w:val="00A55ACD"/>
    <w:rsid w:val="00A55CFA"/>
    <w:rsid w:val="00A575B8"/>
    <w:rsid w:val="00A647B1"/>
    <w:rsid w:val="00A64DEF"/>
    <w:rsid w:val="00A64F9E"/>
    <w:rsid w:val="00A65E4E"/>
    <w:rsid w:val="00A665DF"/>
    <w:rsid w:val="00A67F1B"/>
    <w:rsid w:val="00A67FCC"/>
    <w:rsid w:val="00A709F3"/>
    <w:rsid w:val="00A716DC"/>
    <w:rsid w:val="00A720AF"/>
    <w:rsid w:val="00A7217B"/>
    <w:rsid w:val="00A7293E"/>
    <w:rsid w:val="00A72EE4"/>
    <w:rsid w:val="00A73067"/>
    <w:rsid w:val="00A737C4"/>
    <w:rsid w:val="00A739A6"/>
    <w:rsid w:val="00A73C3B"/>
    <w:rsid w:val="00A75EF9"/>
    <w:rsid w:val="00A7627C"/>
    <w:rsid w:val="00A76BC9"/>
    <w:rsid w:val="00A77566"/>
    <w:rsid w:val="00A77956"/>
    <w:rsid w:val="00A80563"/>
    <w:rsid w:val="00A8311C"/>
    <w:rsid w:val="00A84BC8"/>
    <w:rsid w:val="00A84C5F"/>
    <w:rsid w:val="00A85D91"/>
    <w:rsid w:val="00A86973"/>
    <w:rsid w:val="00A8721F"/>
    <w:rsid w:val="00A8740B"/>
    <w:rsid w:val="00A87519"/>
    <w:rsid w:val="00A905A2"/>
    <w:rsid w:val="00A9246D"/>
    <w:rsid w:val="00A93644"/>
    <w:rsid w:val="00A93BD0"/>
    <w:rsid w:val="00A944A1"/>
    <w:rsid w:val="00A95D69"/>
    <w:rsid w:val="00A975A4"/>
    <w:rsid w:val="00A977B3"/>
    <w:rsid w:val="00A97DC8"/>
    <w:rsid w:val="00AA1418"/>
    <w:rsid w:val="00AA2001"/>
    <w:rsid w:val="00AA2B5C"/>
    <w:rsid w:val="00AA4E59"/>
    <w:rsid w:val="00AA5328"/>
    <w:rsid w:val="00AA5393"/>
    <w:rsid w:val="00AA63D4"/>
    <w:rsid w:val="00AA6767"/>
    <w:rsid w:val="00AA790B"/>
    <w:rsid w:val="00AB03FD"/>
    <w:rsid w:val="00AB1412"/>
    <w:rsid w:val="00AB38CB"/>
    <w:rsid w:val="00AB3BEC"/>
    <w:rsid w:val="00AB44E4"/>
    <w:rsid w:val="00AB4AEB"/>
    <w:rsid w:val="00AB5352"/>
    <w:rsid w:val="00AB56AE"/>
    <w:rsid w:val="00AB62D5"/>
    <w:rsid w:val="00AB65B5"/>
    <w:rsid w:val="00AB6DCD"/>
    <w:rsid w:val="00AB6EE0"/>
    <w:rsid w:val="00AB7579"/>
    <w:rsid w:val="00AC2DFD"/>
    <w:rsid w:val="00AC352D"/>
    <w:rsid w:val="00AC40B7"/>
    <w:rsid w:val="00AC5122"/>
    <w:rsid w:val="00AC531F"/>
    <w:rsid w:val="00AC6121"/>
    <w:rsid w:val="00AC626D"/>
    <w:rsid w:val="00AC6CB1"/>
    <w:rsid w:val="00AC79DA"/>
    <w:rsid w:val="00AD0091"/>
    <w:rsid w:val="00AD0843"/>
    <w:rsid w:val="00AD23D8"/>
    <w:rsid w:val="00AD23EF"/>
    <w:rsid w:val="00AD307B"/>
    <w:rsid w:val="00AD31F9"/>
    <w:rsid w:val="00AD41B3"/>
    <w:rsid w:val="00AD4B31"/>
    <w:rsid w:val="00AD4C48"/>
    <w:rsid w:val="00AD57AF"/>
    <w:rsid w:val="00AD6267"/>
    <w:rsid w:val="00AD7317"/>
    <w:rsid w:val="00AD754C"/>
    <w:rsid w:val="00AE01A8"/>
    <w:rsid w:val="00AE069F"/>
    <w:rsid w:val="00AE0789"/>
    <w:rsid w:val="00AE0CBD"/>
    <w:rsid w:val="00AE123A"/>
    <w:rsid w:val="00AE1A1E"/>
    <w:rsid w:val="00AE2591"/>
    <w:rsid w:val="00AE28A7"/>
    <w:rsid w:val="00AE33A6"/>
    <w:rsid w:val="00AE3715"/>
    <w:rsid w:val="00AE3729"/>
    <w:rsid w:val="00AE55B2"/>
    <w:rsid w:val="00AE5C6A"/>
    <w:rsid w:val="00AE65F7"/>
    <w:rsid w:val="00AE7280"/>
    <w:rsid w:val="00AF033A"/>
    <w:rsid w:val="00AF1699"/>
    <w:rsid w:val="00AF3896"/>
    <w:rsid w:val="00AF3CEE"/>
    <w:rsid w:val="00AF5706"/>
    <w:rsid w:val="00AF6C33"/>
    <w:rsid w:val="00B0098A"/>
    <w:rsid w:val="00B00A5F"/>
    <w:rsid w:val="00B0225F"/>
    <w:rsid w:val="00B029B8"/>
    <w:rsid w:val="00B02F60"/>
    <w:rsid w:val="00B032B8"/>
    <w:rsid w:val="00B04B46"/>
    <w:rsid w:val="00B05050"/>
    <w:rsid w:val="00B0534D"/>
    <w:rsid w:val="00B06368"/>
    <w:rsid w:val="00B06FC6"/>
    <w:rsid w:val="00B07163"/>
    <w:rsid w:val="00B07429"/>
    <w:rsid w:val="00B11847"/>
    <w:rsid w:val="00B12FE6"/>
    <w:rsid w:val="00B1303F"/>
    <w:rsid w:val="00B1364A"/>
    <w:rsid w:val="00B13D3C"/>
    <w:rsid w:val="00B1525C"/>
    <w:rsid w:val="00B16715"/>
    <w:rsid w:val="00B17910"/>
    <w:rsid w:val="00B2041B"/>
    <w:rsid w:val="00B20F18"/>
    <w:rsid w:val="00B21516"/>
    <w:rsid w:val="00B22CE0"/>
    <w:rsid w:val="00B23738"/>
    <w:rsid w:val="00B23BEF"/>
    <w:rsid w:val="00B247BB"/>
    <w:rsid w:val="00B25C11"/>
    <w:rsid w:val="00B25EDF"/>
    <w:rsid w:val="00B25EE6"/>
    <w:rsid w:val="00B27BC0"/>
    <w:rsid w:val="00B3115A"/>
    <w:rsid w:val="00B31A5C"/>
    <w:rsid w:val="00B33C19"/>
    <w:rsid w:val="00B33F84"/>
    <w:rsid w:val="00B34861"/>
    <w:rsid w:val="00B363BD"/>
    <w:rsid w:val="00B36844"/>
    <w:rsid w:val="00B369F7"/>
    <w:rsid w:val="00B36A99"/>
    <w:rsid w:val="00B37537"/>
    <w:rsid w:val="00B41B81"/>
    <w:rsid w:val="00B42980"/>
    <w:rsid w:val="00B434B2"/>
    <w:rsid w:val="00B434C7"/>
    <w:rsid w:val="00B43580"/>
    <w:rsid w:val="00B43D45"/>
    <w:rsid w:val="00B44771"/>
    <w:rsid w:val="00B4650E"/>
    <w:rsid w:val="00B468F2"/>
    <w:rsid w:val="00B46B45"/>
    <w:rsid w:val="00B46D3D"/>
    <w:rsid w:val="00B46F6B"/>
    <w:rsid w:val="00B47286"/>
    <w:rsid w:val="00B47894"/>
    <w:rsid w:val="00B47DDE"/>
    <w:rsid w:val="00B50234"/>
    <w:rsid w:val="00B51BF4"/>
    <w:rsid w:val="00B51F4B"/>
    <w:rsid w:val="00B52C68"/>
    <w:rsid w:val="00B542FE"/>
    <w:rsid w:val="00B55A1B"/>
    <w:rsid w:val="00B561DB"/>
    <w:rsid w:val="00B57494"/>
    <w:rsid w:val="00B61DCE"/>
    <w:rsid w:val="00B62188"/>
    <w:rsid w:val="00B62467"/>
    <w:rsid w:val="00B62F79"/>
    <w:rsid w:val="00B62F82"/>
    <w:rsid w:val="00B648FA"/>
    <w:rsid w:val="00B662FF"/>
    <w:rsid w:val="00B72C80"/>
    <w:rsid w:val="00B72D39"/>
    <w:rsid w:val="00B730B4"/>
    <w:rsid w:val="00B74340"/>
    <w:rsid w:val="00B744E0"/>
    <w:rsid w:val="00B7481A"/>
    <w:rsid w:val="00B74F2F"/>
    <w:rsid w:val="00B756FB"/>
    <w:rsid w:val="00B762CA"/>
    <w:rsid w:val="00B76409"/>
    <w:rsid w:val="00B769BC"/>
    <w:rsid w:val="00B77349"/>
    <w:rsid w:val="00B7761E"/>
    <w:rsid w:val="00B80A37"/>
    <w:rsid w:val="00B80A3D"/>
    <w:rsid w:val="00B823E0"/>
    <w:rsid w:val="00B82B78"/>
    <w:rsid w:val="00B84662"/>
    <w:rsid w:val="00B85402"/>
    <w:rsid w:val="00B864A3"/>
    <w:rsid w:val="00B86C2A"/>
    <w:rsid w:val="00B877F1"/>
    <w:rsid w:val="00B902A5"/>
    <w:rsid w:val="00B90420"/>
    <w:rsid w:val="00B913E4"/>
    <w:rsid w:val="00B91DB9"/>
    <w:rsid w:val="00B93EFE"/>
    <w:rsid w:val="00B94956"/>
    <w:rsid w:val="00B94C7F"/>
    <w:rsid w:val="00B956B5"/>
    <w:rsid w:val="00B95C3A"/>
    <w:rsid w:val="00B95FCE"/>
    <w:rsid w:val="00BA0D44"/>
    <w:rsid w:val="00BA0E26"/>
    <w:rsid w:val="00BA31BF"/>
    <w:rsid w:val="00BA3EBF"/>
    <w:rsid w:val="00BA43FC"/>
    <w:rsid w:val="00BA478B"/>
    <w:rsid w:val="00BA5224"/>
    <w:rsid w:val="00BA7B27"/>
    <w:rsid w:val="00BA7E3B"/>
    <w:rsid w:val="00BB079C"/>
    <w:rsid w:val="00BB2B56"/>
    <w:rsid w:val="00BB39C1"/>
    <w:rsid w:val="00BB4901"/>
    <w:rsid w:val="00BB5D16"/>
    <w:rsid w:val="00BB6180"/>
    <w:rsid w:val="00BB69E6"/>
    <w:rsid w:val="00BB7D2A"/>
    <w:rsid w:val="00BC1B7A"/>
    <w:rsid w:val="00BC2BC7"/>
    <w:rsid w:val="00BC2C17"/>
    <w:rsid w:val="00BC3ACD"/>
    <w:rsid w:val="00BC3C33"/>
    <w:rsid w:val="00BC66D7"/>
    <w:rsid w:val="00BC6E73"/>
    <w:rsid w:val="00BD0014"/>
    <w:rsid w:val="00BD01D8"/>
    <w:rsid w:val="00BD0CBE"/>
    <w:rsid w:val="00BD2512"/>
    <w:rsid w:val="00BD255F"/>
    <w:rsid w:val="00BD383D"/>
    <w:rsid w:val="00BD4236"/>
    <w:rsid w:val="00BD575B"/>
    <w:rsid w:val="00BD5CCA"/>
    <w:rsid w:val="00BD5CD4"/>
    <w:rsid w:val="00BD6652"/>
    <w:rsid w:val="00BD6EF9"/>
    <w:rsid w:val="00BD77DD"/>
    <w:rsid w:val="00BE0ACB"/>
    <w:rsid w:val="00BE1A90"/>
    <w:rsid w:val="00BE1C7C"/>
    <w:rsid w:val="00BE24DC"/>
    <w:rsid w:val="00BE3537"/>
    <w:rsid w:val="00BE360F"/>
    <w:rsid w:val="00BE50FD"/>
    <w:rsid w:val="00BE51CA"/>
    <w:rsid w:val="00BE5E5A"/>
    <w:rsid w:val="00BE6D47"/>
    <w:rsid w:val="00BE7032"/>
    <w:rsid w:val="00BE7330"/>
    <w:rsid w:val="00BF01C5"/>
    <w:rsid w:val="00BF066A"/>
    <w:rsid w:val="00BF361C"/>
    <w:rsid w:val="00BF4342"/>
    <w:rsid w:val="00BF5050"/>
    <w:rsid w:val="00BF5422"/>
    <w:rsid w:val="00BF54CF"/>
    <w:rsid w:val="00BF59B1"/>
    <w:rsid w:val="00BF6A78"/>
    <w:rsid w:val="00BF6E19"/>
    <w:rsid w:val="00BF79B4"/>
    <w:rsid w:val="00C01427"/>
    <w:rsid w:val="00C016A1"/>
    <w:rsid w:val="00C04C49"/>
    <w:rsid w:val="00C0508D"/>
    <w:rsid w:val="00C0577B"/>
    <w:rsid w:val="00C058AF"/>
    <w:rsid w:val="00C11AAA"/>
    <w:rsid w:val="00C124C1"/>
    <w:rsid w:val="00C128AE"/>
    <w:rsid w:val="00C1300C"/>
    <w:rsid w:val="00C136D6"/>
    <w:rsid w:val="00C13D5B"/>
    <w:rsid w:val="00C16047"/>
    <w:rsid w:val="00C17412"/>
    <w:rsid w:val="00C17AE2"/>
    <w:rsid w:val="00C20F27"/>
    <w:rsid w:val="00C214D1"/>
    <w:rsid w:val="00C215CF"/>
    <w:rsid w:val="00C223F8"/>
    <w:rsid w:val="00C2244B"/>
    <w:rsid w:val="00C22B0D"/>
    <w:rsid w:val="00C22F55"/>
    <w:rsid w:val="00C240C1"/>
    <w:rsid w:val="00C250D0"/>
    <w:rsid w:val="00C252AC"/>
    <w:rsid w:val="00C255AB"/>
    <w:rsid w:val="00C27214"/>
    <w:rsid w:val="00C27597"/>
    <w:rsid w:val="00C30382"/>
    <w:rsid w:val="00C30D6F"/>
    <w:rsid w:val="00C31063"/>
    <w:rsid w:val="00C31B7E"/>
    <w:rsid w:val="00C3242A"/>
    <w:rsid w:val="00C32AE2"/>
    <w:rsid w:val="00C33201"/>
    <w:rsid w:val="00C332C4"/>
    <w:rsid w:val="00C33C3C"/>
    <w:rsid w:val="00C34DAD"/>
    <w:rsid w:val="00C35857"/>
    <w:rsid w:val="00C360B3"/>
    <w:rsid w:val="00C3679B"/>
    <w:rsid w:val="00C37027"/>
    <w:rsid w:val="00C3778D"/>
    <w:rsid w:val="00C405A3"/>
    <w:rsid w:val="00C42752"/>
    <w:rsid w:val="00C42973"/>
    <w:rsid w:val="00C44F9C"/>
    <w:rsid w:val="00C4730E"/>
    <w:rsid w:val="00C47ED3"/>
    <w:rsid w:val="00C5019C"/>
    <w:rsid w:val="00C5034F"/>
    <w:rsid w:val="00C52479"/>
    <w:rsid w:val="00C5291F"/>
    <w:rsid w:val="00C52C59"/>
    <w:rsid w:val="00C5349E"/>
    <w:rsid w:val="00C5354B"/>
    <w:rsid w:val="00C54467"/>
    <w:rsid w:val="00C54D3D"/>
    <w:rsid w:val="00C55116"/>
    <w:rsid w:val="00C55A30"/>
    <w:rsid w:val="00C57C58"/>
    <w:rsid w:val="00C6028F"/>
    <w:rsid w:val="00C608F1"/>
    <w:rsid w:val="00C631E1"/>
    <w:rsid w:val="00C638D8"/>
    <w:rsid w:val="00C63C84"/>
    <w:rsid w:val="00C63D26"/>
    <w:rsid w:val="00C641EB"/>
    <w:rsid w:val="00C65053"/>
    <w:rsid w:val="00C65BD9"/>
    <w:rsid w:val="00C66061"/>
    <w:rsid w:val="00C66F69"/>
    <w:rsid w:val="00C67223"/>
    <w:rsid w:val="00C67CFF"/>
    <w:rsid w:val="00C707B8"/>
    <w:rsid w:val="00C7084B"/>
    <w:rsid w:val="00C71C15"/>
    <w:rsid w:val="00C71F3D"/>
    <w:rsid w:val="00C72F53"/>
    <w:rsid w:val="00C74035"/>
    <w:rsid w:val="00C76FF4"/>
    <w:rsid w:val="00C77818"/>
    <w:rsid w:val="00C77AE3"/>
    <w:rsid w:val="00C8063F"/>
    <w:rsid w:val="00C81549"/>
    <w:rsid w:val="00C829A1"/>
    <w:rsid w:val="00C83B36"/>
    <w:rsid w:val="00C84F8A"/>
    <w:rsid w:val="00C85209"/>
    <w:rsid w:val="00C8618F"/>
    <w:rsid w:val="00C90372"/>
    <w:rsid w:val="00C9041F"/>
    <w:rsid w:val="00C9138F"/>
    <w:rsid w:val="00C91A45"/>
    <w:rsid w:val="00C91ED2"/>
    <w:rsid w:val="00C91FB4"/>
    <w:rsid w:val="00C95745"/>
    <w:rsid w:val="00C962E3"/>
    <w:rsid w:val="00C965BD"/>
    <w:rsid w:val="00C97997"/>
    <w:rsid w:val="00CA08FE"/>
    <w:rsid w:val="00CA0FAC"/>
    <w:rsid w:val="00CA25C0"/>
    <w:rsid w:val="00CA2697"/>
    <w:rsid w:val="00CA3451"/>
    <w:rsid w:val="00CA4948"/>
    <w:rsid w:val="00CA52F9"/>
    <w:rsid w:val="00CA568B"/>
    <w:rsid w:val="00CA74D4"/>
    <w:rsid w:val="00CA7500"/>
    <w:rsid w:val="00CB1239"/>
    <w:rsid w:val="00CB178B"/>
    <w:rsid w:val="00CB19FE"/>
    <w:rsid w:val="00CB23C2"/>
    <w:rsid w:val="00CB304C"/>
    <w:rsid w:val="00CB53E8"/>
    <w:rsid w:val="00CB593E"/>
    <w:rsid w:val="00CB594A"/>
    <w:rsid w:val="00CB5CB2"/>
    <w:rsid w:val="00CB6979"/>
    <w:rsid w:val="00CB74EC"/>
    <w:rsid w:val="00CC0A3D"/>
    <w:rsid w:val="00CC2373"/>
    <w:rsid w:val="00CC3C6A"/>
    <w:rsid w:val="00CC3D24"/>
    <w:rsid w:val="00CC3F91"/>
    <w:rsid w:val="00CC4B0A"/>
    <w:rsid w:val="00CC544A"/>
    <w:rsid w:val="00CC57EA"/>
    <w:rsid w:val="00CC5954"/>
    <w:rsid w:val="00CC6C4E"/>
    <w:rsid w:val="00CD05A2"/>
    <w:rsid w:val="00CD19DA"/>
    <w:rsid w:val="00CD29D4"/>
    <w:rsid w:val="00CD38F5"/>
    <w:rsid w:val="00CD3ABE"/>
    <w:rsid w:val="00CD400F"/>
    <w:rsid w:val="00CD437E"/>
    <w:rsid w:val="00CD5A89"/>
    <w:rsid w:val="00CD5DAD"/>
    <w:rsid w:val="00CD72C5"/>
    <w:rsid w:val="00CD77A2"/>
    <w:rsid w:val="00CD79A7"/>
    <w:rsid w:val="00CE0789"/>
    <w:rsid w:val="00CE1A03"/>
    <w:rsid w:val="00CE2346"/>
    <w:rsid w:val="00CE3529"/>
    <w:rsid w:val="00CE35C8"/>
    <w:rsid w:val="00CE3962"/>
    <w:rsid w:val="00CE5105"/>
    <w:rsid w:val="00CE56BD"/>
    <w:rsid w:val="00CE5EC0"/>
    <w:rsid w:val="00CE6F9F"/>
    <w:rsid w:val="00CE773B"/>
    <w:rsid w:val="00CE781A"/>
    <w:rsid w:val="00CE7B3A"/>
    <w:rsid w:val="00CF10D4"/>
    <w:rsid w:val="00CF1D74"/>
    <w:rsid w:val="00CF2BE2"/>
    <w:rsid w:val="00CF55F9"/>
    <w:rsid w:val="00CF56F1"/>
    <w:rsid w:val="00CF71A6"/>
    <w:rsid w:val="00CF7495"/>
    <w:rsid w:val="00CF7671"/>
    <w:rsid w:val="00D01CF9"/>
    <w:rsid w:val="00D0334D"/>
    <w:rsid w:val="00D0374D"/>
    <w:rsid w:val="00D05A76"/>
    <w:rsid w:val="00D07F1D"/>
    <w:rsid w:val="00D10558"/>
    <w:rsid w:val="00D1203E"/>
    <w:rsid w:val="00D13E70"/>
    <w:rsid w:val="00D140B5"/>
    <w:rsid w:val="00D16C58"/>
    <w:rsid w:val="00D17019"/>
    <w:rsid w:val="00D170C1"/>
    <w:rsid w:val="00D21168"/>
    <w:rsid w:val="00D235C8"/>
    <w:rsid w:val="00D2438C"/>
    <w:rsid w:val="00D25DFA"/>
    <w:rsid w:val="00D26C3F"/>
    <w:rsid w:val="00D27185"/>
    <w:rsid w:val="00D27C40"/>
    <w:rsid w:val="00D31E78"/>
    <w:rsid w:val="00D32B84"/>
    <w:rsid w:val="00D337AE"/>
    <w:rsid w:val="00D33AB3"/>
    <w:rsid w:val="00D33F24"/>
    <w:rsid w:val="00D346B7"/>
    <w:rsid w:val="00D346B8"/>
    <w:rsid w:val="00D35AC8"/>
    <w:rsid w:val="00D35D34"/>
    <w:rsid w:val="00D36F87"/>
    <w:rsid w:val="00D37E4E"/>
    <w:rsid w:val="00D42E6C"/>
    <w:rsid w:val="00D43218"/>
    <w:rsid w:val="00D43B80"/>
    <w:rsid w:val="00D44236"/>
    <w:rsid w:val="00D45B1E"/>
    <w:rsid w:val="00D45BA4"/>
    <w:rsid w:val="00D46CA8"/>
    <w:rsid w:val="00D46E77"/>
    <w:rsid w:val="00D471AF"/>
    <w:rsid w:val="00D4724F"/>
    <w:rsid w:val="00D50519"/>
    <w:rsid w:val="00D516A5"/>
    <w:rsid w:val="00D5264C"/>
    <w:rsid w:val="00D5289A"/>
    <w:rsid w:val="00D537FE"/>
    <w:rsid w:val="00D538F0"/>
    <w:rsid w:val="00D54A6A"/>
    <w:rsid w:val="00D54BF8"/>
    <w:rsid w:val="00D54D7C"/>
    <w:rsid w:val="00D55951"/>
    <w:rsid w:val="00D56316"/>
    <w:rsid w:val="00D572BE"/>
    <w:rsid w:val="00D57EB6"/>
    <w:rsid w:val="00D60ED7"/>
    <w:rsid w:val="00D63586"/>
    <w:rsid w:val="00D664BF"/>
    <w:rsid w:val="00D66D8B"/>
    <w:rsid w:val="00D72A1C"/>
    <w:rsid w:val="00D73580"/>
    <w:rsid w:val="00D73802"/>
    <w:rsid w:val="00D73868"/>
    <w:rsid w:val="00D73C2C"/>
    <w:rsid w:val="00D73D52"/>
    <w:rsid w:val="00D742A0"/>
    <w:rsid w:val="00D745E7"/>
    <w:rsid w:val="00D77495"/>
    <w:rsid w:val="00D774ED"/>
    <w:rsid w:val="00D7778F"/>
    <w:rsid w:val="00D777F6"/>
    <w:rsid w:val="00D77F88"/>
    <w:rsid w:val="00D8044C"/>
    <w:rsid w:val="00D81EAA"/>
    <w:rsid w:val="00D8259F"/>
    <w:rsid w:val="00D825F2"/>
    <w:rsid w:val="00D828B1"/>
    <w:rsid w:val="00D84461"/>
    <w:rsid w:val="00D84F27"/>
    <w:rsid w:val="00D850D4"/>
    <w:rsid w:val="00D862D1"/>
    <w:rsid w:val="00D873C6"/>
    <w:rsid w:val="00D91027"/>
    <w:rsid w:val="00D937E0"/>
    <w:rsid w:val="00D94C7D"/>
    <w:rsid w:val="00D94CA4"/>
    <w:rsid w:val="00D94FB4"/>
    <w:rsid w:val="00D95E99"/>
    <w:rsid w:val="00DA098C"/>
    <w:rsid w:val="00DA1A3A"/>
    <w:rsid w:val="00DA2A3B"/>
    <w:rsid w:val="00DA2C65"/>
    <w:rsid w:val="00DA395D"/>
    <w:rsid w:val="00DA44EB"/>
    <w:rsid w:val="00DB16B8"/>
    <w:rsid w:val="00DB1D52"/>
    <w:rsid w:val="00DB1F62"/>
    <w:rsid w:val="00DB2E03"/>
    <w:rsid w:val="00DB3742"/>
    <w:rsid w:val="00DB3F4B"/>
    <w:rsid w:val="00DB61A4"/>
    <w:rsid w:val="00DB67C1"/>
    <w:rsid w:val="00DB70CD"/>
    <w:rsid w:val="00DB70F4"/>
    <w:rsid w:val="00DC1056"/>
    <w:rsid w:val="00DC16DA"/>
    <w:rsid w:val="00DC211E"/>
    <w:rsid w:val="00DC21D8"/>
    <w:rsid w:val="00DC2369"/>
    <w:rsid w:val="00DC282A"/>
    <w:rsid w:val="00DC34DC"/>
    <w:rsid w:val="00DC3CC6"/>
    <w:rsid w:val="00DC514A"/>
    <w:rsid w:val="00DC64EC"/>
    <w:rsid w:val="00DC67B1"/>
    <w:rsid w:val="00DC7833"/>
    <w:rsid w:val="00DD132B"/>
    <w:rsid w:val="00DD1725"/>
    <w:rsid w:val="00DD20D2"/>
    <w:rsid w:val="00DD21B9"/>
    <w:rsid w:val="00DD2427"/>
    <w:rsid w:val="00DD2A18"/>
    <w:rsid w:val="00DD377A"/>
    <w:rsid w:val="00DD5AB3"/>
    <w:rsid w:val="00DD5B1A"/>
    <w:rsid w:val="00DD61E8"/>
    <w:rsid w:val="00DD62C0"/>
    <w:rsid w:val="00DD7859"/>
    <w:rsid w:val="00DE03AC"/>
    <w:rsid w:val="00DE0A1D"/>
    <w:rsid w:val="00DE15B2"/>
    <w:rsid w:val="00DE1826"/>
    <w:rsid w:val="00DE1A9A"/>
    <w:rsid w:val="00DE2494"/>
    <w:rsid w:val="00DE3D2C"/>
    <w:rsid w:val="00DE43D0"/>
    <w:rsid w:val="00DE5E82"/>
    <w:rsid w:val="00DE5FA6"/>
    <w:rsid w:val="00DE6494"/>
    <w:rsid w:val="00DE6AA1"/>
    <w:rsid w:val="00DE6C57"/>
    <w:rsid w:val="00DE74D7"/>
    <w:rsid w:val="00DE7DCC"/>
    <w:rsid w:val="00DE7EF7"/>
    <w:rsid w:val="00DF1185"/>
    <w:rsid w:val="00DF1299"/>
    <w:rsid w:val="00DF164F"/>
    <w:rsid w:val="00DF1A70"/>
    <w:rsid w:val="00DF23A8"/>
    <w:rsid w:val="00DF2F27"/>
    <w:rsid w:val="00DF6CCC"/>
    <w:rsid w:val="00DF6D0C"/>
    <w:rsid w:val="00DF6F64"/>
    <w:rsid w:val="00DF721E"/>
    <w:rsid w:val="00DF7C87"/>
    <w:rsid w:val="00E009B0"/>
    <w:rsid w:val="00E0345F"/>
    <w:rsid w:val="00E03D5C"/>
    <w:rsid w:val="00E043AC"/>
    <w:rsid w:val="00E043E9"/>
    <w:rsid w:val="00E046A9"/>
    <w:rsid w:val="00E04C0F"/>
    <w:rsid w:val="00E0570B"/>
    <w:rsid w:val="00E057B2"/>
    <w:rsid w:val="00E05996"/>
    <w:rsid w:val="00E10B87"/>
    <w:rsid w:val="00E1478B"/>
    <w:rsid w:val="00E14FAC"/>
    <w:rsid w:val="00E15007"/>
    <w:rsid w:val="00E16EC7"/>
    <w:rsid w:val="00E1714F"/>
    <w:rsid w:val="00E2026B"/>
    <w:rsid w:val="00E21576"/>
    <w:rsid w:val="00E219CE"/>
    <w:rsid w:val="00E21CAB"/>
    <w:rsid w:val="00E23961"/>
    <w:rsid w:val="00E24071"/>
    <w:rsid w:val="00E24EBC"/>
    <w:rsid w:val="00E2522C"/>
    <w:rsid w:val="00E2599B"/>
    <w:rsid w:val="00E27383"/>
    <w:rsid w:val="00E2793D"/>
    <w:rsid w:val="00E31AFA"/>
    <w:rsid w:val="00E3203D"/>
    <w:rsid w:val="00E324EE"/>
    <w:rsid w:val="00E34296"/>
    <w:rsid w:val="00E359FF"/>
    <w:rsid w:val="00E36AA7"/>
    <w:rsid w:val="00E36E39"/>
    <w:rsid w:val="00E36F0C"/>
    <w:rsid w:val="00E405F1"/>
    <w:rsid w:val="00E43054"/>
    <w:rsid w:val="00E434C4"/>
    <w:rsid w:val="00E44FE4"/>
    <w:rsid w:val="00E45D30"/>
    <w:rsid w:val="00E46013"/>
    <w:rsid w:val="00E4654B"/>
    <w:rsid w:val="00E477C3"/>
    <w:rsid w:val="00E5048D"/>
    <w:rsid w:val="00E50AC4"/>
    <w:rsid w:val="00E50E2C"/>
    <w:rsid w:val="00E51077"/>
    <w:rsid w:val="00E5132D"/>
    <w:rsid w:val="00E51741"/>
    <w:rsid w:val="00E51E16"/>
    <w:rsid w:val="00E52151"/>
    <w:rsid w:val="00E53730"/>
    <w:rsid w:val="00E53C46"/>
    <w:rsid w:val="00E54511"/>
    <w:rsid w:val="00E55DC3"/>
    <w:rsid w:val="00E57577"/>
    <w:rsid w:val="00E601DE"/>
    <w:rsid w:val="00E62043"/>
    <w:rsid w:val="00E626B9"/>
    <w:rsid w:val="00E627C9"/>
    <w:rsid w:val="00E630F3"/>
    <w:rsid w:val="00E650E0"/>
    <w:rsid w:val="00E65198"/>
    <w:rsid w:val="00E664FB"/>
    <w:rsid w:val="00E66F0D"/>
    <w:rsid w:val="00E672F9"/>
    <w:rsid w:val="00E67345"/>
    <w:rsid w:val="00E70615"/>
    <w:rsid w:val="00E71A5E"/>
    <w:rsid w:val="00E7207B"/>
    <w:rsid w:val="00E7347A"/>
    <w:rsid w:val="00E75325"/>
    <w:rsid w:val="00E759FB"/>
    <w:rsid w:val="00E75A47"/>
    <w:rsid w:val="00E75D8C"/>
    <w:rsid w:val="00E77771"/>
    <w:rsid w:val="00E777F2"/>
    <w:rsid w:val="00E779ED"/>
    <w:rsid w:val="00E802C9"/>
    <w:rsid w:val="00E80EDD"/>
    <w:rsid w:val="00E80F0A"/>
    <w:rsid w:val="00E81A6A"/>
    <w:rsid w:val="00E8291B"/>
    <w:rsid w:val="00E8395F"/>
    <w:rsid w:val="00E83C24"/>
    <w:rsid w:val="00E8473F"/>
    <w:rsid w:val="00E84DD1"/>
    <w:rsid w:val="00E85E41"/>
    <w:rsid w:val="00E85EA1"/>
    <w:rsid w:val="00E91044"/>
    <w:rsid w:val="00E910D3"/>
    <w:rsid w:val="00E923CF"/>
    <w:rsid w:val="00E9335F"/>
    <w:rsid w:val="00E95111"/>
    <w:rsid w:val="00E9760C"/>
    <w:rsid w:val="00EA061E"/>
    <w:rsid w:val="00EA14C8"/>
    <w:rsid w:val="00EA19D3"/>
    <w:rsid w:val="00EA6649"/>
    <w:rsid w:val="00EB05D0"/>
    <w:rsid w:val="00EB07C5"/>
    <w:rsid w:val="00EB1D49"/>
    <w:rsid w:val="00EB42DD"/>
    <w:rsid w:val="00EB559F"/>
    <w:rsid w:val="00EB5F3D"/>
    <w:rsid w:val="00EB6EC2"/>
    <w:rsid w:val="00EC1CEB"/>
    <w:rsid w:val="00EC21A7"/>
    <w:rsid w:val="00EC268C"/>
    <w:rsid w:val="00EC3747"/>
    <w:rsid w:val="00EC3753"/>
    <w:rsid w:val="00EC3CB8"/>
    <w:rsid w:val="00EC3D46"/>
    <w:rsid w:val="00EC4E71"/>
    <w:rsid w:val="00EC6667"/>
    <w:rsid w:val="00EC783E"/>
    <w:rsid w:val="00ED0365"/>
    <w:rsid w:val="00ED0865"/>
    <w:rsid w:val="00ED094F"/>
    <w:rsid w:val="00ED16B6"/>
    <w:rsid w:val="00ED1C60"/>
    <w:rsid w:val="00ED2EB9"/>
    <w:rsid w:val="00ED4469"/>
    <w:rsid w:val="00ED5F23"/>
    <w:rsid w:val="00ED675F"/>
    <w:rsid w:val="00ED6DC0"/>
    <w:rsid w:val="00ED79CE"/>
    <w:rsid w:val="00ED7A7A"/>
    <w:rsid w:val="00EE038C"/>
    <w:rsid w:val="00EE040B"/>
    <w:rsid w:val="00EE47C5"/>
    <w:rsid w:val="00EE490C"/>
    <w:rsid w:val="00EE613B"/>
    <w:rsid w:val="00EE7E17"/>
    <w:rsid w:val="00EF2C8E"/>
    <w:rsid w:val="00EF37AB"/>
    <w:rsid w:val="00EF3A0D"/>
    <w:rsid w:val="00EF3CEB"/>
    <w:rsid w:val="00EF41A8"/>
    <w:rsid w:val="00EF44FB"/>
    <w:rsid w:val="00EF4D3C"/>
    <w:rsid w:val="00EF51CA"/>
    <w:rsid w:val="00EF5554"/>
    <w:rsid w:val="00EF5AD8"/>
    <w:rsid w:val="00EF5D2F"/>
    <w:rsid w:val="00EF63F5"/>
    <w:rsid w:val="00EF6758"/>
    <w:rsid w:val="00EF6B90"/>
    <w:rsid w:val="00EF70AE"/>
    <w:rsid w:val="00EF79F7"/>
    <w:rsid w:val="00F00418"/>
    <w:rsid w:val="00F006C0"/>
    <w:rsid w:val="00F009BB"/>
    <w:rsid w:val="00F019AA"/>
    <w:rsid w:val="00F0267E"/>
    <w:rsid w:val="00F02686"/>
    <w:rsid w:val="00F03D99"/>
    <w:rsid w:val="00F0459B"/>
    <w:rsid w:val="00F04E15"/>
    <w:rsid w:val="00F05DF3"/>
    <w:rsid w:val="00F0641B"/>
    <w:rsid w:val="00F069EA"/>
    <w:rsid w:val="00F07B6E"/>
    <w:rsid w:val="00F07DF8"/>
    <w:rsid w:val="00F11461"/>
    <w:rsid w:val="00F11675"/>
    <w:rsid w:val="00F1182D"/>
    <w:rsid w:val="00F12557"/>
    <w:rsid w:val="00F13A8F"/>
    <w:rsid w:val="00F144F8"/>
    <w:rsid w:val="00F14DF8"/>
    <w:rsid w:val="00F164A3"/>
    <w:rsid w:val="00F17AD9"/>
    <w:rsid w:val="00F17F74"/>
    <w:rsid w:val="00F202C2"/>
    <w:rsid w:val="00F209D5"/>
    <w:rsid w:val="00F22756"/>
    <w:rsid w:val="00F23890"/>
    <w:rsid w:val="00F23B05"/>
    <w:rsid w:val="00F2447A"/>
    <w:rsid w:val="00F24638"/>
    <w:rsid w:val="00F2504D"/>
    <w:rsid w:val="00F2637F"/>
    <w:rsid w:val="00F263A8"/>
    <w:rsid w:val="00F268F7"/>
    <w:rsid w:val="00F3053D"/>
    <w:rsid w:val="00F30BDB"/>
    <w:rsid w:val="00F30CF8"/>
    <w:rsid w:val="00F31633"/>
    <w:rsid w:val="00F31EDF"/>
    <w:rsid w:val="00F32CDE"/>
    <w:rsid w:val="00F32D4C"/>
    <w:rsid w:val="00F34811"/>
    <w:rsid w:val="00F34B14"/>
    <w:rsid w:val="00F36A6A"/>
    <w:rsid w:val="00F40101"/>
    <w:rsid w:val="00F404F7"/>
    <w:rsid w:val="00F40CCA"/>
    <w:rsid w:val="00F41521"/>
    <w:rsid w:val="00F42D97"/>
    <w:rsid w:val="00F43F09"/>
    <w:rsid w:val="00F45A72"/>
    <w:rsid w:val="00F46723"/>
    <w:rsid w:val="00F46EB9"/>
    <w:rsid w:val="00F50016"/>
    <w:rsid w:val="00F50647"/>
    <w:rsid w:val="00F5118A"/>
    <w:rsid w:val="00F5165C"/>
    <w:rsid w:val="00F51A21"/>
    <w:rsid w:val="00F5276E"/>
    <w:rsid w:val="00F529F9"/>
    <w:rsid w:val="00F52E9F"/>
    <w:rsid w:val="00F53304"/>
    <w:rsid w:val="00F53D37"/>
    <w:rsid w:val="00F53D40"/>
    <w:rsid w:val="00F545ED"/>
    <w:rsid w:val="00F5687F"/>
    <w:rsid w:val="00F5727D"/>
    <w:rsid w:val="00F575C7"/>
    <w:rsid w:val="00F60305"/>
    <w:rsid w:val="00F61B12"/>
    <w:rsid w:val="00F620C5"/>
    <w:rsid w:val="00F62398"/>
    <w:rsid w:val="00F626C5"/>
    <w:rsid w:val="00F631E8"/>
    <w:rsid w:val="00F63223"/>
    <w:rsid w:val="00F63264"/>
    <w:rsid w:val="00F6379E"/>
    <w:rsid w:val="00F676EC"/>
    <w:rsid w:val="00F70320"/>
    <w:rsid w:val="00F70799"/>
    <w:rsid w:val="00F70906"/>
    <w:rsid w:val="00F70A8B"/>
    <w:rsid w:val="00F724FB"/>
    <w:rsid w:val="00F72578"/>
    <w:rsid w:val="00F72A26"/>
    <w:rsid w:val="00F733C3"/>
    <w:rsid w:val="00F756DD"/>
    <w:rsid w:val="00F75DB3"/>
    <w:rsid w:val="00F77C37"/>
    <w:rsid w:val="00F80047"/>
    <w:rsid w:val="00F8104D"/>
    <w:rsid w:val="00F81587"/>
    <w:rsid w:val="00F82571"/>
    <w:rsid w:val="00F85258"/>
    <w:rsid w:val="00F85B72"/>
    <w:rsid w:val="00F8766F"/>
    <w:rsid w:val="00F9104C"/>
    <w:rsid w:val="00F91082"/>
    <w:rsid w:val="00F91A9A"/>
    <w:rsid w:val="00F93ABB"/>
    <w:rsid w:val="00F94D79"/>
    <w:rsid w:val="00F975D3"/>
    <w:rsid w:val="00FA118A"/>
    <w:rsid w:val="00FA11CD"/>
    <w:rsid w:val="00FA31C7"/>
    <w:rsid w:val="00FA472D"/>
    <w:rsid w:val="00FA7254"/>
    <w:rsid w:val="00FB0214"/>
    <w:rsid w:val="00FB080C"/>
    <w:rsid w:val="00FB18F6"/>
    <w:rsid w:val="00FB2A52"/>
    <w:rsid w:val="00FB2F13"/>
    <w:rsid w:val="00FB6232"/>
    <w:rsid w:val="00FB6E19"/>
    <w:rsid w:val="00FB71F6"/>
    <w:rsid w:val="00FC0016"/>
    <w:rsid w:val="00FC1483"/>
    <w:rsid w:val="00FC1C47"/>
    <w:rsid w:val="00FC2EF2"/>
    <w:rsid w:val="00FC39ED"/>
    <w:rsid w:val="00FC4419"/>
    <w:rsid w:val="00FC47E2"/>
    <w:rsid w:val="00FC4AA5"/>
    <w:rsid w:val="00FC5148"/>
    <w:rsid w:val="00FC6590"/>
    <w:rsid w:val="00FC7523"/>
    <w:rsid w:val="00FC75AC"/>
    <w:rsid w:val="00FC75CB"/>
    <w:rsid w:val="00FD01BF"/>
    <w:rsid w:val="00FD0525"/>
    <w:rsid w:val="00FD0D4F"/>
    <w:rsid w:val="00FD297D"/>
    <w:rsid w:val="00FD2D13"/>
    <w:rsid w:val="00FD3D26"/>
    <w:rsid w:val="00FD4789"/>
    <w:rsid w:val="00FD6071"/>
    <w:rsid w:val="00FE0794"/>
    <w:rsid w:val="00FE1041"/>
    <w:rsid w:val="00FE24CB"/>
    <w:rsid w:val="00FE3166"/>
    <w:rsid w:val="00FE3320"/>
    <w:rsid w:val="00FE3473"/>
    <w:rsid w:val="00FE353B"/>
    <w:rsid w:val="00FE4049"/>
    <w:rsid w:val="00FE4794"/>
    <w:rsid w:val="00FE5DF7"/>
    <w:rsid w:val="00FE5F72"/>
    <w:rsid w:val="00FE7B6B"/>
    <w:rsid w:val="00FF0231"/>
    <w:rsid w:val="00FF1C9B"/>
    <w:rsid w:val="00FF1D49"/>
    <w:rsid w:val="00FF2562"/>
    <w:rsid w:val="00FF2CE1"/>
    <w:rsid w:val="00FF3A41"/>
    <w:rsid w:val="00FF3E5B"/>
    <w:rsid w:val="00FF52BE"/>
    <w:rsid w:val="00FF544F"/>
    <w:rsid w:val="00FF57E4"/>
    <w:rsid w:val="00FF78E5"/>
    <w:rsid w:val="010205CE"/>
    <w:rsid w:val="012810B4"/>
    <w:rsid w:val="013D4038"/>
    <w:rsid w:val="01BA035A"/>
    <w:rsid w:val="01D24B39"/>
    <w:rsid w:val="01DF6ED8"/>
    <w:rsid w:val="01F152B2"/>
    <w:rsid w:val="01F21D93"/>
    <w:rsid w:val="020B07BA"/>
    <w:rsid w:val="021A5B1F"/>
    <w:rsid w:val="02441A54"/>
    <w:rsid w:val="02511F9D"/>
    <w:rsid w:val="025A5C68"/>
    <w:rsid w:val="02661E94"/>
    <w:rsid w:val="02963F39"/>
    <w:rsid w:val="02994018"/>
    <w:rsid w:val="02AB4E64"/>
    <w:rsid w:val="02B04EBD"/>
    <w:rsid w:val="02BA6BA7"/>
    <w:rsid w:val="02C41B42"/>
    <w:rsid w:val="03056ED3"/>
    <w:rsid w:val="03081343"/>
    <w:rsid w:val="032633D2"/>
    <w:rsid w:val="03277567"/>
    <w:rsid w:val="0334104D"/>
    <w:rsid w:val="034E5B8A"/>
    <w:rsid w:val="03707DFB"/>
    <w:rsid w:val="03846A61"/>
    <w:rsid w:val="038B1487"/>
    <w:rsid w:val="03A314B8"/>
    <w:rsid w:val="03B31109"/>
    <w:rsid w:val="03B9583F"/>
    <w:rsid w:val="03D82B98"/>
    <w:rsid w:val="03F83E8B"/>
    <w:rsid w:val="04363AE8"/>
    <w:rsid w:val="04430370"/>
    <w:rsid w:val="04475252"/>
    <w:rsid w:val="0482288A"/>
    <w:rsid w:val="04825AB3"/>
    <w:rsid w:val="05237BC9"/>
    <w:rsid w:val="05340028"/>
    <w:rsid w:val="0543511B"/>
    <w:rsid w:val="05B257EC"/>
    <w:rsid w:val="05C45A46"/>
    <w:rsid w:val="05DD246D"/>
    <w:rsid w:val="05E91F4B"/>
    <w:rsid w:val="060A6FDB"/>
    <w:rsid w:val="063A4E1E"/>
    <w:rsid w:val="065F48C0"/>
    <w:rsid w:val="06615D22"/>
    <w:rsid w:val="06893F6A"/>
    <w:rsid w:val="06986394"/>
    <w:rsid w:val="069D7125"/>
    <w:rsid w:val="06AE10AC"/>
    <w:rsid w:val="06B60965"/>
    <w:rsid w:val="06D23BAB"/>
    <w:rsid w:val="06FA0DFD"/>
    <w:rsid w:val="0721282E"/>
    <w:rsid w:val="0766770C"/>
    <w:rsid w:val="077741FC"/>
    <w:rsid w:val="07AB1DBE"/>
    <w:rsid w:val="07B54D24"/>
    <w:rsid w:val="07B72767"/>
    <w:rsid w:val="07CD206E"/>
    <w:rsid w:val="0806421B"/>
    <w:rsid w:val="08077E72"/>
    <w:rsid w:val="084A5DB4"/>
    <w:rsid w:val="087C2A57"/>
    <w:rsid w:val="08955281"/>
    <w:rsid w:val="08BD33F4"/>
    <w:rsid w:val="08C571E9"/>
    <w:rsid w:val="09297778"/>
    <w:rsid w:val="092D2DAF"/>
    <w:rsid w:val="09577FFA"/>
    <w:rsid w:val="095D4850"/>
    <w:rsid w:val="095E716A"/>
    <w:rsid w:val="09880942"/>
    <w:rsid w:val="099C619C"/>
    <w:rsid w:val="09AB1EA0"/>
    <w:rsid w:val="09B82C1A"/>
    <w:rsid w:val="09BE2640"/>
    <w:rsid w:val="09C63218"/>
    <w:rsid w:val="09CC2AAC"/>
    <w:rsid w:val="09D75426"/>
    <w:rsid w:val="09D820EE"/>
    <w:rsid w:val="09DB3168"/>
    <w:rsid w:val="09F12FD9"/>
    <w:rsid w:val="0A1E12A6"/>
    <w:rsid w:val="0A375EC4"/>
    <w:rsid w:val="0A4F3B4B"/>
    <w:rsid w:val="0A502BA4"/>
    <w:rsid w:val="0A652D3E"/>
    <w:rsid w:val="0A84735B"/>
    <w:rsid w:val="0A9B6453"/>
    <w:rsid w:val="0AA230F4"/>
    <w:rsid w:val="0AAC68B2"/>
    <w:rsid w:val="0ABD0ABF"/>
    <w:rsid w:val="0AC27FD5"/>
    <w:rsid w:val="0ADD4CBE"/>
    <w:rsid w:val="0B0A4571"/>
    <w:rsid w:val="0B260562"/>
    <w:rsid w:val="0B2621C1"/>
    <w:rsid w:val="0B325009"/>
    <w:rsid w:val="0B3A48F0"/>
    <w:rsid w:val="0B4207BB"/>
    <w:rsid w:val="0B512406"/>
    <w:rsid w:val="0B513434"/>
    <w:rsid w:val="0B624309"/>
    <w:rsid w:val="0B700387"/>
    <w:rsid w:val="0B79593B"/>
    <w:rsid w:val="0B971310"/>
    <w:rsid w:val="0B9C6927"/>
    <w:rsid w:val="0BAC0D3E"/>
    <w:rsid w:val="0BB91287"/>
    <w:rsid w:val="0BD240F7"/>
    <w:rsid w:val="0BDE6F3F"/>
    <w:rsid w:val="0BE300B2"/>
    <w:rsid w:val="0BF64F69"/>
    <w:rsid w:val="0C0118B6"/>
    <w:rsid w:val="0C1B3CF0"/>
    <w:rsid w:val="0C324B95"/>
    <w:rsid w:val="0C3C5A14"/>
    <w:rsid w:val="0C5C56D6"/>
    <w:rsid w:val="0C92213C"/>
    <w:rsid w:val="0C9D7720"/>
    <w:rsid w:val="0CBA2804"/>
    <w:rsid w:val="0CBA59CB"/>
    <w:rsid w:val="0CFE2CC9"/>
    <w:rsid w:val="0D0553E2"/>
    <w:rsid w:val="0D114E52"/>
    <w:rsid w:val="0D156991"/>
    <w:rsid w:val="0D29243C"/>
    <w:rsid w:val="0D3B1B72"/>
    <w:rsid w:val="0D3F3AC0"/>
    <w:rsid w:val="0D4F221D"/>
    <w:rsid w:val="0D5C3E53"/>
    <w:rsid w:val="0D84032B"/>
    <w:rsid w:val="0D964BD9"/>
    <w:rsid w:val="0DCE6B40"/>
    <w:rsid w:val="0E0A5DCA"/>
    <w:rsid w:val="0E0B38F0"/>
    <w:rsid w:val="0E0C0298"/>
    <w:rsid w:val="0E121122"/>
    <w:rsid w:val="0E2545D0"/>
    <w:rsid w:val="0E2F289C"/>
    <w:rsid w:val="0E417312"/>
    <w:rsid w:val="0E6A6868"/>
    <w:rsid w:val="0E811E04"/>
    <w:rsid w:val="0E94215D"/>
    <w:rsid w:val="0EA32166"/>
    <w:rsid w:val="0EBB698C"/>
    <w:rsid w:val="0F011985"/>
    <w:rsid w:val="0F424345"/>
    <w:rsid w:val="0F442972"/>
    <w:rsid w:val="0F4F4353"/>
    <w:rsid w:val="0F6F50C4"/>
    <w:rsid w:val="0F8120BC"/>
    <w:rsid w:val="0F831E7F"/>
    <w:rsid w:val="0F8A14C0"/>
    <w:rsid w:val="0F9F66D1"/>
    <w:rsid w:val="0FDC6CEF"/>
    <w:rsid w:val="0FE95EB3"/>
    <w:rsid w:val="0FF7237E"/>
    <w:rsid w:val="10066A65"/>
    <w:rsid w:val="101456E8"/>
    <w:rsid w:val="10394744"/>
    <w:rsid w:val="107240FA"/>
    <w:rsid w:val="10A27F31"/>
    <w:rsid w:val="10A62DB5"/>
    <w:rsid w:val="10AD0C8E"/>
    <w:rsid w:val="10CA487C"/>
    <w:rsid w:val="10D26947"/>
    <w:rsid w:val="10D97CD5"/>
    <w:rsid w:val="10E9492B"/>
    <w:rsid w:val="110A25AF"/>
    <w:rsid w:val="11140D0D"/>
    <w:rsid w:val="112847B9"/>
    <w:rsid w:val="11583F4F"/>
    <w:rsid w:val="11763776"/>
    <w:rsid w:val="118615AE"/>
    <w:rsid w:val="11927058"/>
    <w:rsid w:val="11B81FE1"/>
    <w:rsid w:val="11BE0614"/>
    <w:rsid w:val="11DF1C58"/>
    <w:rsid w:val="12096398"/>
    <w:rsid w:val="12113C68"/>
    <w:rsid w:val="12133FB0"/>
    <w:rsid w:val="12176643"/>
    <w:rsid w:val="1226635E"/>
    <w:rsid w:val="12377B27"/>
    <w:rsid w:val="124675EC"/>
    <w:rsid w:val="1247096F"/>
    <w:rsid w:val="124C0EFF"/>
    <w:rsid w:val="124E0CD4"/>
    <w:rsid w:val="12510966"/>
    <w:rsid w:val="129C545E"/>
    <w:rsid w:val="12A055F5"/>
    <w:rsid w:val="12A5223C"/>
    <w:rsid w:val="12A604D9"/>
    <w:rsid w:val="12B502CE"/>
    <w:rsid w:val="12B5207C"/>
    <w:rsid w:val="12B75DF4"/>
    <w:rsid w:val="12DE0F5A"/>
    <w:rsid w:val="12F80997"/>
    <w:rsid w:val="13063CBF"/>
    <w:rsid w:val="130C25E4"/>
    <w:rsid w:val="130D4243"/>
    <w:rsid w:val="13123F1B"/>
    <w:rsid w:val="13160A9B"/>
    <w:rsid w:val="132A2A6A"/>
    <w:rsid w:val="1387148A"/>
    <w:rsid w:val="13AF4F03"/>
    <w:rsid w:val="13D21C0B"/>
    <w:rsid w:val="13E02B99"/>
    <w:rsid w:val="14134EBE"/>
    <w:rsid w:val="14276C86"/>
    <w:rsid w:val="145E6EE8"/>
    <w:rsid w:val="14736E66"/>
    <w:rsid w:val="148937C0"/>
    <w:rsid w:val="149B6AC2"/>
    <w:rsid w:val="15194B44"/>
    <w:rsid w:val="15264037"/>
    <w:rsid w:val="15293653"/>
    <w:rsid w:val="1534169A"/>
    <w:rsid w:val="1544624E"/>
    <w:rsid w:val="15576C06"/>
    <w:rsid w:val="156758B0"/>
    <w:rsid w:val="15746899"/>
    <w:rsid w:val="15804BC3"/>
    <w:rsid w:val="15C03E03"/>
    <w:rsid w:val="15F25BD1"/>
    <w:rsid w:val="16255EE4"/>
    <w:rsid w:val="162A25EB"/>
    <w:rsid w:val="16537E62"/>
    <w:rsid w:val="16550C87"/>
    <w:rsid w:val="1662251B"/>
    <w:rsid w:val="167209B0"/>
    <w:rsid w:val="168129A1"/>
    <w:rsid w:val="16964761"/>
    <w:rsid w:val="16C6727A"/>
    <w:rsid w:val="16FD2A55"/>
    <w:rsid w:val="17021A9A"/>
    <w:rsid w:val="17366761"/>
    <w:rsid w:val="17494CC2"/>
    <w:rsid w:val="176F3141"/>
    <w:rsid w:val="177601B4"/>
    <w:rsid w:val="177C01F0"/>
    <w:rsid w:val="177D33DA"/>
    <w:rsid w:val="179A543D"/>
    <w:rsid w:val="179A7DA5"/>
    <w:rsid w:val="17B34838"/>
    <w:rsid w:val="17BD20FF"/>
    <w:rsid w:val="17BE151B"/>
    <w:rsid w:val="17CE6630"/>
    <w:rsid w:val="17DC2678"/>
    <w:rsid w:val="17ED732A"/>
    <w:rsid w:val="17EF7DDE"/>
    <w:rsid w:val="180C273E"/>
    <w:rsid w:val="18371EB1"/>
    <w:rsid w:val="18613EFB"/>
    <w:rsid w:val="187F1162"/>
    <w:rsid w:val="18972950"/>
    <w:rsid w:val="18A137CE"/>
    <w:rsid w:val="18E42933"/>
    <w:rsid w:val="18F57676"/>
    <w:rsid w:val="19304EC9"/>
    <w:rsid w:val="193974CA"/>
    <w:rsid w:val="193F7EBE"/>
    <w:rsid w:val="195E6FCA"/>
    <w:rsid w:val="19820BA0"/>
    <w:rsid w:val="19B337B9"/>
    <w:rsid w:val="19C3155D"/>
    <w:rsid w:val="19F11E15"/>
    <w:rsid w:val="1A2A311F"/>
    <w:rsid w:val="1A3E23ED"/>
    <w:rsid w:val="1A50725A"/>
    <w:rsid w:val="1A516B2E"/>
    <w:rsid w:val="1A576908"/>
    <w:rsid w:val="1A7C6B62"/>
    <w:rsid w:val="1AAB50C6"/>
    <w:rsid w:val="1AF10E18"/>
    <w:rsid w:val="1AFA16D5"/>
    <w:rsid w:val="1B001672"/>
    <w:rsid w:val="1B1867CC"/>
    <w:rsid w:val="1B300BF6"/>
    <w:rsid w:val="1B302BE8"/>
    <w:rsid w:val="1B374044"/>
    <w:rsid w:val="1B375D24"/>
    <w:rsid w:val="1B4F19F8"/>
    <w:rsid w:val="1B545074"/>
    <w:rsid w:val="1B636B19"/>
    <w:rsid w:val="1B701328"/>
    <w:rsid w:val="1B74720F"/>
    <w:rsid w:val="1B7E3953"/>
    <w:rsid w:val="1B93673A"/>
    <w:rsid w:val="1B9E2247"/>
    <w:rsid w:val="1BA64C58"/>
    <w:rsid w:val="1BC72B5D"/>
    <w:rsid w:val="1BD92184"/>
    <w:rsid w:val="1C5170A2"/>
    <w:rsid w:val="1C5D7A0C"/>
    <w:rsid w:val="1C700326"/>
    <w:rsid w:val="1C790F60"/>
    <w:rsid w:val="1CC17F9B"/>
    <w:rsid w:val="1CC23D13"/>
    <w:rsid w:val="1CD22153"/>
    <w:rsid w:val="1CDF1601"/>
    <w:rsid w:val="1CF06AD2"/>
    <w:rsid w:val="1D0B55C8"/>
    <w:rsid w:val="1D1F34C2"/>
    <w:rsid w:val="1D23361F"/>
    <w:rsid w:val="1D275FCD"/>
    <w:rsid w:val="1D28001A"/>
    <w:rsid w:val="1D2D3883"/>
    <w:rsid w:val="1D4061A8"/>
    <w:rsid w:val="1DAC3DFD"/>
    <w:rsid w:val="1DC45B4A"/>
    <w:rsid w:val="1DC8750C"/>
    <w:rsid w:val="1DDF4451"/>
    <w:rsid w:val="1DF24184"/>
    <w:rsid w:val="1E087E4C"/>
    <w:rsid w:val="1E4A2E9F"/>
    <w:rsid w:val="1E805C34"/>
    <w:rsid w:val="1E8D7D16"/>
    <w:rsid w:val="1E9B4F4B"/>
    <w:rsid w:val="1EAE3DE3"/>
    <w:rsid w:val="1EEE0DF0"/>
    <w:rsid w:val="1EEE23EF"/>
    <w:rsid w:val="1EF44203"/>
    <w:rsid w:val="1F063325"/>
    <w:rsid w:val="1F0B7BF4"/>
    <w:rsid w:val="1F925C1F"/>
    <w:rsid w:val="1FA2402F"/>
    <w:rsid w:val="1FAE057F"/>
    <w:rsid w:val="1FBC5DF5"/>
    <w:rsid w:val="1FC55574"/>
    <w:rsid w:val="1FF266BE"/>
    <w:rsid w:val="202B38C5"/>
    <w:rsid w:val="203D099C"/>
    <w:rsid w:val="20621A95"/>
    <w:rsid w:val="20631369"/>
    <w:rsid w:val="20781442"/>
    <w:rsid w:val="20D44015"/>
    <w:rsid w:val="20D83B05"/>
    <w:rsid w:val="20E5426E"/>
    <w:rsid w:val="213113CB"/>
    <w:rsid w:val="215238B8"/>
    <w:rsid w:val="216A7D10"/>
    <w:rsid w:val="216B3F37"/>
    <w:rsid w:val="21700193"/>
    <w:rsid w:val="217355DC"/>
    <w:rsid w:val="2181419D"/>
    <w:rsid w:val="219914E7"/>
    <w:rsid w:val="21B75183"/>
    <w:rsid w:val="21B83F86"/>
    <w:rsid w:val="21E55E66"/>
    <w:rsid w:val="21F41C74"/>
    <w:rsid w:val="21F953A4"/>
    <w:rsid w:val="220B3A67"/>
    <w:rsid w:val="221178A8"/>
    <w:rsid w:val="221213CF"/>
    <w:rsid w:val="22327A92"/>
    <w:rsid w:val="224551CB"/>
    <w:rsid w:val="22501E48"/>
    <w:rsid w:val="229121BE"/>
    <w:rsid w:val="22965435"/>
    <w:rsid w:val="22A024AD"/>
    <w:rsid w:val="22BD6F35"/>
    <w:rsid w:val="22E36792"/>
    <w:rsid w:val="23052BAC"/>
    <w:rsid w:val="230E6909"/>
    <w:rsid w:val="231D53A2"/>
    <w:rsid w:val="23216D47"/>
    <w:rsid w:val="23231232"/>
    <w:rsid w:val="23304F70"/>
    <w:rsid w:val="23344045"/>
    <w:rsid w:val="233C71F2"/>
    <w:rsid w:val="2360370C"/>
    <w:rsid w:val="239C5EE6"/>
    <w:rsid w:val="239D4B92"/>
    <w:rsid w:val="23A200FC"/>
    <w:rsid w:val="23A91FE1"/>
    <w:rsid w:val="23B7504C"/>
    <w:rsid w:val="23B87C1E"/>
    <w:rsid w:val="23D36806"/>
    <w:rsid w:val="23EE3640"/>
    <w:rsid w:val="24003A9F"/>
    <w:rsid w:val="24165275"/>
    <w:rsid w:val="241D1393"/>
    <w:rsid w:val="245513DF"/>
    <w:rsid w:val="24571307"/>
    <w:rsid w:val="24A00DDE"/>
    <w:rsid w:val="24B30B11"/>
    <w:rsid w:val="24BA2984"/>
    <w:rsid w:val="24BE74B6"/>
    <w:rsid w:val="25084ECB"/>
    <w:rsid w:val="25126E09"/>
    <w:rsid w:val="25246333"/>
    <w:rsid w:val="25A44EB7"/>
    <w:rsid w:val="25A93CC2"/>
    <w:rsid w:val="25AF726C"/>
    <w:rsid w:val="25C14636"/>
    <w:rsid w:val="261A34AD"/>
    <w:rsid w:val="26431A21"/>
    <w:rsid w:val="26446DE3"/>
    <w:rsid w:val="264D165B"/>
    <w:rsid w:val="265F3538"/>
    <w:rsid w:val="2661634B"/>
    <w:rsid w:val="267529CF"/>
    <w:rsid w:val="26835926"/>
    <w:rsid w:val="26C32B62"/>
    <w:rsid w:val="26CD1617"/>
    <w:rsid w:val="26D7699F"/>
    <w:rsid w:val="26E2795F"/>
    <w:rsid w:val="26F763D8"/>
    <w:rsid w:val="270A6B1F"/>
    <w:rsid w:val="27143ED1"/>
    <w:rsid w:val="27174C5C"/>
    <w:rsid w:val="27234AD7"/>
    <w:rsid w:val="272C03B2"/>
    <w:rsid w:val="274A5E17"/>
    <w:rsid w:val="276C144B"/>
    <w:rsid w:val="279A2132"/>
    <w:rsid w:val="27BF77CD"/>
    <w:rsid w:val="27FC5B08"/>
    <w:rsid w:val="284303FE"/>
    <w:rsid w:val="28447CD2"/>
    <w:rsid w:val="284D08E4"/>
    <w:rsid w:val="28645998"/>
    <w:rsid w:val="28B2405D"/>
    <w:rsid w:val="28BA2ED0"/>
    <w:rsid w:val="28BE12C2"/>
    <w:rsid w:val="28C92E4A"/>
    <w:rsid w:val="28D56A50"/>
    <w:rsid w:val="28EF40E2"/>
    <w:rsid w:val="2912495F"/>
    <w:rsid w:val="2920316B"/>
    <w:rsid w:val="29286A82"/>
    <w:rsid w:val="29345F99"/>
    <w:rsid w:val="29380BC5"/>
    <w:rsid w:val="29531C35"/>
    <w:rsid w:val="295E4DC4"/>
    <w:rsid w:val="29695805"/>
    <w:rsid w:val="296C7275"/>
    <w:rsid w:val="29A0362E"/>
    <w:rsid w:val="29BA46F0"/>
    <w:rsid w:val="29D76564"/>
    <w:rsid w:val="29E17ECF"/>
    <w:rsid w:val="29EA6AD9"/>
    <w:rsid w:val="2A2D3BAD"/>
    <w:rsid w:val="2A336250"/>
    <w:rsid w:val="2A3A11DE"/>
    <w:rsid w:val="2A4915D0"/>
    <w:rsid w:val="2A5A691B"/>
    <w:rsid w:val="2A6C24DF"/>
    <w:rsid w:val="2A703001"/>
    <w:rsid w:val="2AAE5148"/>
    <w:rsid w:val="2AC777F8"/>
    <w:rsid w:val="2ADC66A8"/>
    <w:rsid w:val="2B09065E"/>
    <w:rsid w:val="2B193B25"/>
    <w:rsid w:val="2B237433"/>
    <w:rsid w:val="2B774624"/>
    <w:rsid w:val="2BA256DD"/>
    <w:rsid w:val="2BE0538D"/>
    <w:rsid w:val="2BE20C96"/>
    <w:rsid w:val="2C6941AB"/>
    <w:rsid w:val="2C7A72BE"/>
    <w:rsid w:val="2C8D1C48"/>
    <w:rsid w:val="2CA62D0A"/>
    <w:rsid w:val="2CBF3DCB"/>
    <w:rsid w:val="2CD561B7"/>
    <w:rsid w:val="2CE1294E"/>
    <w:rsid w:val="2D326235"/>
    <w:rsid w:val="2D493819"/>
    <w:rsid w:val="2D5409B8"/>
    <w:rsid w:val="2D6A3D37"/>
    <w:rsid w:val="2D6D7CCB"/>
    <w:rsid w:val="2D6E3D0B"/>
    <w:rsid w:val="2D710239"/>
    <w:rsid w:val="2D916B25"/>
    <w:rsid w:val="2D9B1CDC"/>
    <w:rsid w:val="2DB63420"/>
    <w:rsid w:val="2DC15E91"/>
    <w:rsid w:val="2DC21DC5"/>
    <w:rsid w:val="2E2B44BD"/>
    <w:rsid w:val="2E3777C8"/>
    <w:rsid w:val="2E3A195C"/>
    <w:rsid w:val="2E4805E5"/>
    <w:rsid w:val="2E5B7A26"/>
    <w:rsid w:val="2E7B3E63"/>
    <w:rsid w:val="2ED578D6"/>
    <w:rsid w:val="2EEB5D26"/>
    <w:rsid w:val="2EF97512"/>
    <w:rsid w:val="2F013AAD"/>
    <w:rsid w:val="2F082C66"/>
    <w:rsid w:val="2F0D7070"/>
    <w:rsid w:val="2F401D3C"/>
    <w:rsid w:val="2F436F36"/>
    <w:rsid w:val="2F5051AF"/>
    <w:rsid w:val="2F6173BC"/>
    <w:rsid w:val="2F70241B"/>
    <w:rsid w:val="2F9F469B"/>
    <w:rsid w:val="2FA95C88"/>
    <w:rsid w:val="2FAD2601"/>
    <w:rsid w:val="2FE02959"/>
    <w:rsid w:val="2FE057DD"/>
    <w:rsid w:val="30006BD5"/>
    <w:rsid w:val="3041370F"/>
    <w:rsid w:val="304C1E1A"/>
    <w:rsid w:val="306B6744"/>
    <w:rsid w:val="306D3573"/>
    <w:rsid w:val="30877D3C"/>
    <w:rsid w:val="308A5EDA"/>
    <w:rsid w:val="308D3B08"/>
    <w:rsid w:val="30B31E99"/>
    <w:rsid w:val="30CA2A6F"/>
    <w:rsid w:val="30E16A06"/>
    <w:rsid w:val="30F06C49"/>
    <w:rsid w:val="31010E56"/>
    <w:rsid w:val="310821E5"/>
    <w:rsid w:val="31083A05"/>
    <w:rsid w:val="311A4DFB"/>
    <w:rsid w:val="315F16D9"/>
    <w:rsid w:val="31693D78"/>
    <w:rsid w:val="3180356E"/>
    <w:rsid w:val="318849C2"/>
    <w:rsid w:val="31B14D9A"/>
    <w:rsid w:val="31F14A27"/>
    <w:rsid w:val="31FC7390"/>
    <w:rsid w:val="322D560C"/>
    <w:rsid w:val="32453A27"/>
    <w:rsid w:val="3263064A"/>
    <w:rsid w:val="32653151"/>
    <w:rsid w:val="32943604"/>
    <w:rsid w:val="32AC0C06"/>
    <w:rsid w:val="32B83797"/>
    <w:rsid w:val="32BD0DAD"/>
    <w:rsid w:val="32F245D6"/>
    <w:rsid w:val="32F9396B"/>
    <w:rsid w:val="32FA495D"/>
    <w:rsid w:val="330318EB"/>
    <w:rsid w:val="336E3E55"/>
    <w:rsid w:val="33707BCD"/>
    <w:rsid w:val="33957634"/>
    <w:rsid w:val="33D90F0B"/>
    <w:rsid w:val="33FA1CBC"/>
    <w:rsid w:val="340F73E6"/>
    <w:rsid w:val="342866FA"/>
    <w:rsid w:val="342F7A89"/>
    <w:rsid w:val="34675474"/>
    <w:rsid w:val="347231D3"/>
    <w:rsid w:val="34847621"/>
    <w:rsid w:val="349D6F1D"/>
    <w:rsid w:val="34A2025B"/>
    <w:rsid w:val="34B55802"/>
    <w:rsid w:val="34BB30CA"/>
    <w:rsid w:val="34CA3F9D"/>
    <w:rsid w:val="34D643A8"/>
    <w:rsid w:val="34D81ECE"/>
    <w:rsid w:val="34E07900"/>
    <w:rsid w:val="35304278"/>
    <w:rsid w:val="3537750C"/>
    <w:rsid w:val="3537798C"/>
    <w:rsid w:val="354C16F7"/>
    <w:rsid w:val="357F7ED5"/>
    <w:rsid w:val="358636D8"/>
    <w:rsid w:val="358E0337"/>
    <w:rsid w:val="35902FF5"/>
    <w:rsid w:val="3597364C"/>
    <w:rsid w:val="359C2EFC"/>
    <w:rsid w:val="35A136FA"/>
    <w:rsid w:val="35C13FC9"/>
    <w:rsid w:val="361B6516"/>
    <w:rsid w:val="36232E50"/>
    <w:rsid w:val="362E6D87"/>
    <w:rsid w:val="36363350"/>
    <w:rsid w:val="364257B6"/>
    <w:rsid w:val="36637DA1"/>
    <w:rsid w:val="367B3D86"/>
    <w:rsid w:val="36814164"/>
    <w:rsid w:val="36985DB9"/>
    <w:rsid w:val="36BB3856"/>
    <w:rsid w:val="36E27034"/>
    <w:rsid w:val="36F648A8"/>
    <w:rsid w:val="36F834D1"/>
    <w:rsid w:val="36FE366C"/>
    <w:rsid w:val="373A6E70"/>
    <w:rsid w:val="373D32F2"/>
    <w:rsid w:val="374264D3"/>
    <w:rsid w:val="377111BB"/>
    <w:rsid w:val="377A3B84"/>
    <w:rsid w:val="37A0799D"/>
    <w:rsid w:val="37B05A15"/>
    <w:rsid w:val="37C1661D"/>
    <w:rsid w:val="37DB7874"/>
    <w:rsid w:val="37E961A0"/>
    <w:rsid w:val="37EA5922"/>
    <w:rsid w:val="37F05781"/>
    <w:rsid w:val="37F24111"/>
    <w:rsid w:val="3809405A"/>
    <w:rsid w:val="38265969"/>
    <w:rsid w:val="38276B93"/>
    <w:rsid w:val="38325D99"/>
    <w:rsid w:val="38564832"/>
    <w:rsid w:val="385D55D5"/>
    <w:rsid w:val="3885411B"/>
    <w:rsid w:val="388E7E0D"/>
    <w:rsid w:val="388F7B77"/>
    <w:rsid w:val="389323B3"/>
    <w:rsid w:val="389425B0"/>
    <w:rsid w:val="38A071A7"/>
    <w:rsid w:val="38A33F3F"/>
    <w:rsid w:val="38B22A36"/>
    <w:rsid w:val="38F60180"/>
    <w:rsid w:val="38FA68B7"/>
    <w:rsid w:val="390414E4"/>
    <w:rsid w:val="39225E0E"/>
    <w:rsid w:val="39447B32"/>
    <w:rsid w:val="396E4BAF"/>
    <w:rsid w:val="39C742BF"/>
    <w:rsid w:val="3A033549"/>
    <w:rsid w:val="3A064841"/>
    <w:rsid w:val="3A0B64A7"/>
    <w:rsid w:val="3A4A48F1"/>
    <w:rsid w:val="3A7038BB"/>
    <w:rsid w:val="3A7D4EEB"/>
    <w:rsid w:val="3A8F74D3"/>
    <w:rsid w:val="3AA36ADA"/>
    <w:rsid w:val="3AEF571B"/>
    <w:rsid w:val="3AF74C02"/>
    <w:rsid w:val="3B0A6B5A"/>
    <w:rsid w:val="3B181A85"/>
    <w:rsid w:val="3B5225F7"/>
    <w:rsid w:val="3B8A7538"/>
    <w:rsid w:val="3BC6658C"/>
    <w:rsid w:val="3BCB0097"/>
    <w:rsid w:val="3BCD4AC2"/>
    <w:rsid w:val="3BD27A91"/>
    <w:rsid w:val="3BE9676F"/>
    <w:rsid w:val="3BFA097C"/>
    <w:rsid w:val="3C0059A5"/>
    <w:rsid w:val="3C0C3B45"/>
    <w:rsid w:val="3C134E78"/>
    <w:rsid w:val="3C2E5C5A"/>
    <w:rsid w:val="3C301B5F"/>
    <w:rsid w:val="3C4D4F50"/>
    <w:rsid w:val="3C5067EE"/>
    <w:rsid w:val="3C552351"/>
    <w:rsid w:val="3C7B7D0F"/>
    <w:rsid w:val="3C801BC8"/>
    <w:rsid w:val="3C81109D"/>
    <w:rsid w:val="3CA56B3A"/>
    <w:rsid w:val="3CAB1AFC"/>
    <w:rsid w:val="3CC16C1A"/>
    <w:rsid w:val="3CCD7DE2"/>
    <w:rsid w:val="3D05582A"/>
    <w:rsid w:val="3D110527"/>
    <w:rsid w:val="3D1E4B3E"/>
    <w:rsid w:val="3D2955AA"/>
    <w:rsid w:val="3D2E55CE"/>
    <w:rsid w:val="3D3103CE"/>
    <w:rsid w:val="3D390582"/>
    <w:rsid w:val="3D4A2287"/>
    <w:rsid w:val="3D9848F1"/>
    <w:rsid w:val="3DA80CEA"/>
    <w:rsid w:val="3DB3072A"/>
    <w:rsid w:val="3DBD39D2"/>
    <w:rsid w:val="3DC512D0"/>
    <w:rsid w:val="3DD1570D"/>
    <w:rsid w:val="3DEC628A"/>
    <w:rsid w:val="3DF31B27"/>
    <w:rsid w:val="3DF6345D"/>
    <w:rsid w:val="3E375EB7"/>
    <w:rsid w:val="3E4B647E"/>
    <w:rsid w:val="3EBD711C"/>
    <w:rsid w:val="3EDF240F"/>
    <w:rsid w:val="3EE13701"/>
    <w:rsid w:val="3EEB27A2"/>
    <w:rsid w:val="3EFA9C1A"/>
    <w:rsid w:val="3F0A35CC"/>
    <w:rsid w:val="3F1A4BB3"/>
    <w:rsid w:val="3F4F7231"/>
    <w:rsid w:val="3F6D3035"/>
    <w:rsid w:val="3F6F2358"/>
    <w:rsid w:val="3F8006C4"/>
    <w:rsid w:val="3F890995"/>
    <w:rsid w:val="3FC03C8B"/>
    <w:rsid w:val="3FCF3ECE"/>
    <w:rsid w:val="40192BA6"/>
    <w:rsid w:val="40271248"/>
    <w:rsid w:val="402B1A4C"/>
    <w:rsid w:val="402C54AA"/>
    <w:rsid w:val="404D0826"/>
    <w:rsid w:val="40520309"/>
    <w:rsid w:val="40980764"/>
    <w:rsid w:val="409C1193"/>
    <w:rsid w:val="40E045E4"/>
    <w:rsid w:val="40E907ED"/>
    <w:rsid w:val="40F93B6F"/>
    <w:rsid w:val="41151DB4"/>
    <w:rsid w:val="41287D39"/>
    <w:rsid w:val="412F10C8"/>
    <w:rsid w:val="414D127D"/>
    <w:rsid w:val="41941738"/>
    <w:rsid w:val="41A30F3F"/>
    <w:rsid w:val="41D34149"/>
    <w:rsid w:val="42114C71"/>
    <w:rsid w:val="42550A18"/>
    <w:rsid w:val="425600A9"/>
    <w:rsid w:val="42AA2C85"/>
    <w:rsid w:val="42B02E2F"/>
    <w:rsid w:val="42B42116"/>
    <w:rsid w:val="42B616E6"/>
    <w:rsid w:val="42CD2946"/>
    <w:rsid w:val="42D114D2"/>
    <w:rsid w:val="42EE5221"/>
    <w:rsid w:val="42F473A1"/>
    <w:rsid w:val="43176403"/>
    <w:rsid w:val="431C305F"/>
    <w:rsid w:val="432D04A7"/>
    <w:rsid w:val="43350518"/>
    <w:rsid w:val="43633DC5"/>
    <w:rsid w:val="436A288B"/>
    <w:rsid w:val="438D11C0"/>
    <w:rsid w:val="43A15B81"/>
    <w:rsid w:val="43D61CCF"/>
    <w:rsid w:val="4413477E"/>
    <w:rsid w:val="44143136"/>
    <w:rsid w:val="441E62C0"/>
    <w:rsid w:val="44267767"/>
    <w:rsid w:val="44274ACD"/>
    <w:rsid w:val="442B2D6C"/>
    <w:rsid w:val="4437604C"/>
    <w:rsid w:val="443D58AA"/>
    <w:rsid w:val="445B0426"/>
    <w:rsid w:val="445B49B1"/>
    <w:rsid w:val="447F5EC2"/>
    <w:rsid w:val="44832A4B"/>
    <w:rsid w:val="44901E7E"/>
    <w:rsid w:val="44BB27AC"/>
    <w:rsid w:val="44BB7F99"/>
    <w:rsid w:val="44F410E1"/>
    <w:rsid w:val="451965D3"/>
    <w:rsid w:val="455235D7"/>
    <w:rsid w:val="45811C7C"/>
    <w:rsid w:val="45AA78B4"/>
    <w:rsid w:val="45B61DB8"/>
    <w:rsid w:val="45C10B75"/>
    <w:rsid w:val="45C1250B"/>
    <w:rsid w:val="45D756FD"/>
    <w:rsid w:val="461A0599"/>
    <w:rsid w:val="46276812"/>
    <w:rsid w:val="462D194E"/>
    <w:rsid w:val="46582E6F"/>
    <w:rsid w:val="466F61DE"/>
    <w:rsid w:val="46704FD2"/>
    <w:rsid w:val="46713F31"/>
    <w:rsid w:val="468B3EFB"/>
    <w:rsid w:val="46A14816"/>
    <w:rsid w:val="46F851C7"/>
    <w:rsid w:val="46F9547C"/>
    <w:rsid w:val="470A6193"/>
    <w:rsid w:val="471A0124"/>
    <w:rsid w:val="471C3E9C"/>
    <w:rsid w:val="471D34DB"/>
    <w:rsid w:val="473867FC"/>
    <w:rsid w:val="473A4323"/>
    <w:rsid w:val="477261B2"/>
    <w:rsid w:val="478038B4"/>
    <w:rsid w:val="478B45C3"/>
    <w:rsid w:val="47997CE8"/>
    <w:rsid w:val="47A85730"/>
    <w:rsid w:val="47AA339A"/>
    <w:rsid w:val="47B7493F"/>
    <w:rsid w:val="47C021EF"/>
    <w:rsid w:val="47D76CDD"/>
    <w:rsid w:val="47DC4F5C"/>
    <w:rsid w:val="47E36A6B"/>
    <w:rsid w:val="47FE35A2"/>
    <w:rsid w:val="4800556C"/>
    <w:rsid w:val="486E697A"/>
    <w:rsid w:val="487D05E9"/>
    <w:rsid w:val="488E5A52"/>
    <w:rsid w:val="489F59CF"/>
    <w:rsid w:val="48A04659"/>
    <w:rsid w:val="48B40671"/>
    <w:rsid w:val="48D2126E"/>
    <w:rsid w:val="48F427AC"/>
    <w:rsid w:val="49651A5B"/>
    <w:rsid w:val="4977185E"/>
    <w:rsid w:val="499B5738"/>
    <w:rsid w:val="499F244D"/>
    <w:rsid w:val="49E634D1"/>
    <w:rsid w:val="49EF5981"/>
    <w:rsid w:val="4A271A87"/>
    <w:rsid w:val="4A4245A7"/>
    <w:rsid w:val="4A4A18C2"/>
    <w:rsid w:val="4A62606A"/>
    <w:rsid w:val="4A742920"/>
    <w:rsid w:val="4A763E59"/>
    <w:rsid w:val="4A8F58C2"/>
    <w:rsid w:val="4A9014FC"/>
    <w:rsid w:val="4A9D3546"/>
    <w:rsid w:val="4AAF6DD6"/>
    <w:rsid w:val="4ABE43DB"/>
    <w:rsid w:val="4ADE0E90"/>
    <w:rsid w:val="4AF07E3D"/>
    <w:rsid w:val="4AF96BC7"/>
    <w:rsid w:val="4B225D19"/>
    <w:rsid w:val="4B3A6458"/>
    <w:rsid w:val="4B5F0424"/>
    <w:rsid w:val="4B702839"/>
    <w:rsid w:val="4B7C7AC6"/>
    <w:rsid w:val="4B842132"/>
    <w:rsid w:val="4BA97CC9"/>
    <w:rsid w:val="4BBC7E1A"/>
    <w:rsid w:val="4BCF3BD3"/>
    <w:rsid w:val="4BFB4050"/>
    <w:rsid w:val="4C00513D"/>
    <w:rsid w:val="4C0523A8"/>
    <w:rsid w:val="4C3452F7"/>
    <w:rsid w:val="4CEF36E2"/>
    <w:rsid w:val="4CF3569F"/>
    <w:rsid w:val="4CFA088B"/>
    <w:rsid w:val="4CFB3355"/>
    <w:rsid w:val="4D1B0752"/>
    <w:rsid w:val="4D3B1120"/>
    <w:rsid w:val="4D5054C2"/>
    <w:rsid w:val="4D5356ED"/>
    <w:rsid w:val="4D7A1D09"/>
    <w:rsid w:val="4D7B4C51"/>
    <w:rsid w:val="4DA60964"/>
    <w:rsid w:val="4DA939EE"/>
    <w:rsid w:val="4DAF4CC1"/>
    <w:rsid w:val="4DB9405C"/>
    <w:rsid w:val="4DC112FA"/>
    <w:rsid w:val="4DD43DBB"/>
    <w:rsid w:val="4DE658F0"/>
    <w:rsid w:val="4DE7232B"/>
    <w:rsid w:val="4E0062C6"/>
    <w:rsid w:val="4E317D3C"/>
    <w:rsid w:val="4E393C65"/>
    <w:rsid w:val="4E676345"/>
    <w:rsid w:val="4E8422D7"/>
    <w:rsid w:val="4E880069"/>
    <w:rsid w:val="4E8F31A6"/>
    <w:rsid w:val="4E93713A"/>
    <w:rsid w:val="4EAD5D22"/>
    <w:rsid w:val="4EE911C5"/>
    <w:rsid w:val="4EF474AD"/>
    <w:rsid w:val="4EFA0F67"/>
    <w:rsid w:val="4EFD45B3"/>
    <w:rsid w:val="4EFF657E"/>
    <w:rsid w:val="4F0A0A7E"/>
    <w:rsid w:val="4F265C5D"/>
    <w:rsid w:val="4F372FFB"/>
    <w:rsid w:val="4F4641AC"/>
    <w:rsid w:val="4F686F20"/>
    <w:rsid w:val="4F825E05"/>
    <w:rsid w:val="4FA76FA4"/>
    <w:rsid w:val="4FB7743D"/>
    <w:rsid w:val="4FE63299"/>
    <w:rsid w:val="4FF82FCD"/>
    <w:rsid w:val="50000824"/>
    <w:rsid w:val="5044725D"/>
    <w:rsid w:val="50546455"/>
    <w:rsid w:val="50780018"/>
    <w:rsid w:val="50A45085"/>
    <w:rsid w:val="50E517A3"/>
    <w:rsid w:val="513F391C"/>
    <w:rsid w:val="51445375"/>
    <w:rsid w:val="51564E44"/>
    <w:rsid w:val="5162147A"/>
    <w:rsid w:val="51745057"/>
    <w:rsid w:val="51782617"/>
    <w:rsid w:val="51880C4A"/>
    <w:rsid w:val="519805C3"/>
    <w:rsid w:val="51F16B62"/>
    <w:rsid w:val="52282C57"/>
    <w:rsid w:val="522C42BE"/>
    <w:rsid w:val="52304CA0"/>
    <w:rsid w:val="52377DDC"/>
    <w:rsid w:val="524C4A61"/>
    <w:rsid w:val="52535FC8"/>
    <w:rsid w:val="52C10D75"/>
    <w:rsid w:val="531843CB"/>
    <w:rsid w:val="53361B76"/>
    <w:rsid w:val="533E1F52"/>
    <w:rsid w:val="534F1156"/>
    <w:rsid w:val="53616A05"/>
    <w:rsid w:val="536229FA"/>
    <w:rsid w:val="53666EF5"/>
    <w:rsid w:val="537F4F5B"/>
    <w:rsid w:val="53C125EB"/>
    <w:rsid w:val="53D9755D"/>
    <w:rsid w:val="540A45C4"/>
    <w:rsid w:val="541418AD"/>
    <w:rsid w:val="54237BE0"/>
    <w:rsid w:val="543C16DA"/>
    <w:rsid w:val="544607AB"/>
    <w:rsid w:val="545A6004"/>
    <w:rsid w:val="547E1BC3"/>
    <w:rsid w:val="549F63FA"/>
    <w:rsid w:val="54C0055D"/>
    <w:rsid w:val="54C53DC5"/>
    <w:rsid w:val="550C4BD7"/>
    <w:rsid w:val="550F5041"/>
    <w:rsid w:val="55341652"/>
    <w:rsid w:val="55543CB7"/>
    <w:rsid w:val="55572986"/>
    <w:rsid w:val="558A46C7"/>
    <w:rsid w:val="558C6691"/>
    <w:rsid w:val="55A14ACC"/>
    <w:rsid w:val="55A55461"/>
    <w:rsid w:val="55C66E05"/>
    <w:rsid w:val="55DB4F23"/>
    <w:rsid w:val="55E41853"/>
    <w:rsid w:val="560223C7"/>
    <w:rsid w:val="56261658"/>
    <w:rsid w:val="562B20BF"/>
    <w:rsid w:val="5682112F"/>
    <w:rsid w:val="56836E03"/>
    <w:rsid w:val="56A33C92"/>
    <w:rsid w:val="56D04C17"/>
    <w:rsid w:val="56DE6564"/>
    <w:rsid w:val="56F15089"/>
    <w:rsid w:val="5722129D"/>
    <w:rsid w:val="574D3BFE"/>
    <w:rsid w:val="578C0BCA"/>
    <w:rsid w:val="57995095"/>
    <w:rsid w:val="57BB34E2"/>
    <w:rsid w:val="57C50B65"/>
    <w:rsid w:val="57C5488B"/>
    <w:rsid w:val="58065D6B"/>
    <w:rsid w:val="586B2293"/>
    <w:rsid w:val="587F6039"/>
    <w:rsid w:val="5884764A"/>
    <w:rsid w:val="58DA6581"/>
    <w:rsid w:val="58E33AE8"/>
    <w:rsid w:val="58ED7447"/>
    <w:rsid w:val="59374B66"/>
    <w:rsid w:val="59465EAB"/>
    <w:rsid w:val="598A70BE"/>
    <w:rsid w:val="59995821"/>
    <w:rsid w:val="59AA0193"/>
    <w:rsid w:val="59DC376F"/>
    <w:rsid w:val="59EF3692"/>
    <w:rsid w:val="5A3D4CF5"/>
    <w:rsid w:val="5A504131"/>
    <w:rsid w:val="5A542191"/>
    <w:rsid w:val="5A5C0D28"/>
    <w:rsid w:val="5A957D93"/>
    <w:rsid w:val="5A9B6BFF"/>
    <w:rsid w:val="5AB6741F"/>
    <w:rsid w:val="5AC5005A"/>
    <w:rsid w:val="5AFD311B"/>
    <w:rsid w:val="5B253381"/>
    <w:rsid w:val="5B2A3961"/>
    <w:rsid w:val="5B341533"/>
    <w:rsid w:val="5B3760D9"/>
    <w:rsid w:val="5B613DE5"/>
    <w:rsid w:val="5B791466"/>
    <w:rsid w:val="5B8322E4"/>
    <w:rsid w:val="5B86261A"/>
    <w:rsid w:val="5B924F7D"/>
    <w:rsid w:val="5B9F6428"/>
    <w:rsid w:val="5BDF6DAF"/>
    <w:rsid w:val="5BE014E5"/>
    <w:rsid w:val="5BEC1326"/>
    <w:rsid w:val="5BEC760C"/>
    <w:rsid w:val="5C317F92"/>
    <w:rsid w:val="5C341831"/>
    <w:rsid w:val="5C403052"/>
    <w:rsid w:val="5C4A614D"/>
    <w:rsid w:val="5C55644D"/>
    <w:rsid w:val="5C563555"/>
    <w:rsid w:val="5C763BF7"/>
    <w:rsid w:val="5C8C2513"/>
    <w:rsid w:val="5C8D7BE5"/>
    <w:rsid w:val="5CAC3E06"/>
    <w:rsid w:val="5CF71875"/>
    <w:rsid w:val="5D270429"/>
    <w:rsid w:val="5D2F6B56"/>
    <w:rsid w:val="5D525F29"/>
    <w:rsid w:val="5D5757D7"/>
    <w:rsid w:val="5D83481E"/>
    <w:rsid w:val="5D9A3817"/>
    <w:rsid w:val="5DF50B4C"/>
    <w:rsid w:val="5E0F1953"/>
    <w:rsid w:val="5E1436C8"/>
    <w:rsid w:val="5E1B2389"/>
    <w:rsid w:val="5E20206C"/>
    <w:rsid w:val="5E5B408C"/>
    <w:rsid w:val="5E6B7484"/>
    <w:rsid w:val="5EAD3EDC"/>
    <w:rsid w:val="5EC1512D"/>
    <w:rsid w:val="5ED966C9"/>
    <w:rsid w:val="5F12674D"/>
    <w:rsid w:val="5F775CBC"/>
    <w:rsid w:val="5F7C32D2"/>
    <w:rsid w:val="5F80710D"/>
    <w:rsid w:val="5F9C0CF0"/>
    <w:rsid w:val="5FDF74DA"/>
    <w:rsid w:val="5FE1582B"/>
    <w:rsid w:val="5FE737A5"/>
    <w:rsid w:val="5FF4730D"/>
    <w:rsid w:val="60244399"/>
    <w:rsid w:val="60545FFD"/>
    <w:rsid w:val="606007BB"/>
    <w:rsid w:val="606F1F8C"/>
    <w:rsid w:val="60746DB9"/>
    <w:rsid w:val="60771CEC"/>
    <w:rsid w:val="609B59DA"/>
    <w:rsid w:val="60A7347D"/>
    <w:rsid w:val="60AC7BE7"/>
    <w:rsid w:val="60AC7F66"/>
    <w:rsid w:val="60BB0A7A"/>
    <w:rsid w:val="60D604FA"/>
    <w:rsid w:val="61325BA8"/>
    <w:rsid w:val="614B5652"/>
    <w:rsid w:val="615223E9"/>
    <w:rsid w:val="615D5386"/>
    <w:rsid w:val="618835DC"/>
    <w:rsid w:val="61AA6976"/>
    <w:rsid w:val="61BF10D9"/>
    <w:rsid w:val="61CD6FCB"/>
    <w:rsid w:val="61DB02E6"/>
    <w:rsid w:val="61F96E5C"/>
    <w:rsid w:val="6200468F"/>
    <w:rsid w:val="621C232F"/>
    <w:rsid w:val="624532D2"/>
    <w:rsid w:val="624F048C"/>
    <w:rsid w:val="625E13B5"/>
    <w:rsid w:val="62620EA5"/>
    <w:rsid w:val="626F35C2"/>
    <w:rsid w:val="62734942"/>
    <w:rsid w:val="628470D7"/>
    <w:rsid w:val="628F5A13"/>
    <w:rsid w:val="629F7BDB"/>
    <w:rsid w:val="62A3501A"/>
    <w:rsid w:val="62CA0A19"/>
    <w:rsid w:val="62CA2245"/>
    <w:rsid w:val="62D41C4B"/>
    <w:rsid w:val="62D97E19"/>
    <w:rsid w:val="62E73159"/>
    <w:rsid w:val="631928DF"/>
    <w:rsid w:val="632C5287"/>
    <w:rsid w:val="635F53E5"/>
    <w:rsid w:val="63A13A48"/>
    <w:rsid w:val="63CD1564"/>
    <w:rsid w:val="63D07307"/>
    <w:rsid w:val="63F21DB5"/>
    <w:rsid w:val="63F233EE"/>
    <w:rsid w:val="640C7C21"/>
    <w:rsid w:val="643F6F38"/>
    <w:rsid w:val="6449418A"/>
    <w:rsid w:val="64673622"/>
    <w:rsid w:val="646C3BCE"/>
    <w:rsid w:val="648235A3"/>
    <w:rsid w:val="6483791E"/>
    <w:rsid w:val="64C85B2C"/>
    <w:rsid w:val="64E45EF7"/>
    <w:rsid w:val="65365CB0"/>
    <w:rsid w:val="653B3C30"/>
    <w:rsid w:val="655A9E13"/>
    <w:rsid w:val="657A7624"/>
    <w:rsid w:val="65893B33"/>
    <w:rsid w:val="65954D77"/>
    <w:rsid w:val="65C80B4E"/>
    <w:rsid w:val="65CB050C"/>
    <w:rsid w:val="65CB0B10"/>
    <w:rsid w:val="65DA0D53"/>
    <w:rsid w:val="660811AF"/>
    <w:rsid w:val="6609788A"/>
    <w:rsid w:val="66482160"/>
    <w:rsid w:val="6659436D"/>
    <w:rsid w:val="669334F7"/>
    <w:rsid w:val="669D148A"/>
    <w:rsid w:val="66A575B3"/>
    <w:rsid w:val="66A57729"/>
    <w:rsid w:val="66AB26EF"/>
    <w:rsid w:val="66B171A8"/>
    <w:rsid w:val="66CA526B"/>
    <w:rsid w:val="66ED4AB6"/>
    <w:rsid w:val="6707201B"/>
    <w:rsid w:val="670F748C"/>
    <w:rsid w:val="671B068E"/>
    <w:rsid w:val="6736338C"/>
    <w:rsid w:val="673B3A73"/>
    <w:rsid w:val="677435B2"/>
    <w:rsid w:val="677B0314"/>
    <w:rsid w:val="677D41D7"/>
    <w:rsid w:val="67BF6452"/>
    <w:rsid w:val="67D13936"/>
    <w:rsid w:val="67EF75F1"/>
    <w:rsid w:val="67FC0756"/>
    <w:rsid w:val="681C5653"/>
    <w:rsid w:val="681C76FB"/>
    <w:rsid w:val="68213EFD"/>
    <w:rsid w:val="684704A6"/>
    <w:rsid w:val="68774BE5"/>
    <w:rsid w:val="687F5BE1"/>
    <w:rsid w:val="68A11FFC"/>
    <w:rsid w:val="68A51AEC"/>
    <w:rsid w:val="68B87030"/>
    <w:rsid w:val="68B964BB"/>
    <w:rsid w:val="68DA7C5F"/>
    <w:rsid w:val="68E51EE8"/>
    <w:rsid w:val="690A5154"/>
    <w:rsid w:val="690B56C7"/>
    <w:rsid w:val="69124F16"/>
    <w:rsid w:val="695D23C7"/>
    <w:rsid w:val="695E2FC1"/>
    <w:rsid w:val="6988604A"/>
    <w:rsid w:val="69985153"/>
    <w:rsid w:val="69A430D5"/>
    <w:rsid w:val="69AA3132"/>
    <w:rsid w:val="69AB24E3"/>
    <w:rsid w:val="69AC7038"/>
    <w:rsid w:val="69C64B0E"/>
    <w:rsid w:val="69C8652E"/>
    <w:rsid w:val="69CD5C14"/>
    <w:rsid w:val="69CF0D33"/>
    <w:rsid w:val="6A1567FD"/>
    <w:rsid w:val="6A1A49CC"/>
    <w:rsid w:val="6A246A40"/>
    <w:rsid w:val="6A3824EC"/>
    <w:rsid w:val="6A40107D"/>
    <w:rsid w:val="6A4C35FF"/>
    <w:rsid w:val="6A6A52B1"/>
    <w:rsid w:val="6AAD2EDA"/>
    <w:rsid w:val="6AB24495"/>
    <w:rsid w:val="6AE242BC"/>
    <w:rsid w:val="6AE777BB"/>
    <w:rsid w:val="6B333B14"/>
    <w:rsid w:val="6B4605FE"/>
    <w:rsid w:val="6B483A41"/>
    <w:rsid w:val="6B5C6C3D"/>
    <w:rsid w:val="6B9946B3"/>
    <w:rsid w:val="6BAD0265"/>
    <w:rsid w:val="6BB169FA"/>
    <w:rsid w:val="6BBD539F"/>
    <w:rsid w:val="6BD61A33"/>
    <w:rsid w:val="6BF303C7"/>
    <w:rsid w:val="6C236739"/>
    <w:rsid w:val="6C272818"/>
    <w:rsid w:val="6C310D11"/>
    <w:rsid w:val="6C502C63"/>
    <w:rsid w:val="6C562B79"/>
    <w:rsid w:val="6C7C7008"/>
    <w:rsid w:val="6C8859AD"/>
    <w:rsid w:val="6C8D4D71"/>
    <w:rsid w:val="6C921AAA"/>
    <w:rsid w:val="6C9360FF"/>
    <w:rsid w:val="6C9A7B97"/>
    <w:rsid w:val="6CA83959"/>
    <w:rsid w:val="6CB26586"/>
    <w:rsid w:val="6CE626D3"/>
    <w:rsid w:val="6CEA21C3"/>
    <w:rsid w:val="6CFE17CB"/>
    <w:rsid w:val="6D0E5CC9"/>
    <w:rsid w:val="6D1837C6"/>
    <w:rsid w:val="6D392803"/>
    <w:rsid w:val="6D5E04BB"/>
    <w:rsid w:val="6D62619B"/>
    <w:rsid w:val="6D9D7236"/>
    <w:rsid w:val="6DA02882"/>
    <w:rsid w:val="6DA06D26"/>
    <w:rsid w:val="6DB3115C"/>
    <w:rsid w:val="6DB747DD"/>
    <w:rsid w:val="6DE76850"/>
    <w:rsid w:val="6DF1132F"/>
    <w:rsid w:val="6DFB26A5"/>
    <w:rsid w:val="6E11552E"/>
    <w:rsid w:val="6E282AC7"/>
    <w:rsid w:val="6E336FB7"/>
    <w:rsid w:val="6E3919C5"/>
    <w:rsid w:val="6E3B7F3B"/>
    <w:rsid w:val="6E8B52E0"/>
    <w:rsid w:val="6E8C1058"/>
    <w:rsid w:val="6E92488A"/>
    <w:rsid w:val="6E9A1018"/>
    <w:rsid w:val="6EB62B22"/>
    <w:rsid w:val="6EBA7973"/>
    <w:rsid w:val="6F0D15DF"/>
    <w:rsid w:val="6F120ED8"/>
    <w:rsid w:val="6F3E2352"/>
    <w:rsid w:val="6F51637B"/>
    <w:rsid w:val="6F5B73A8"/>
    <w:rsid w:val="6F796663"/>
    <w:rsid w:val="6FB20BD4"/>
    <w:rsid w:val="6FBA59BE"/>
    <w:rsid w:val="6FBD390F"/>
    <w:rsid w:val="6FC84A52"/>
    <w:rsid w:val="6FCD1928"/>
    <w:rsid w:val="70296B3E"/>
    <w:rsid w:val="70611204"/>
    <w:rsid w:val="70673B2B"/>
    <w:rsid w:val="706F7C02"/>
    <w:rsid w:val="70730722"/>
    <w:rsid w:val="709E467F"/>
    <w:rsid w:val="709F5073"/>
    <w:rsid w:val="70A72347"/>
    <w:rsid w:val="70B67D12"/>
    <w:rsid w:val="70C7235B"/>
    <w:rsid w:val="70F17BCE"/>
    <w:rsid w:val="70F460C9"/>
    <w:rsid w:val="70FA674D"/>
    <w:rsid w:val="71097E4D"/>
    <w:rsid w:val="710C022E"/>
    <w:rsid w:val="712B2DAA"/>
    <w:rsid w:val="713779A1"/>
    <w:rsid w:val="71496BE6"/>
    <w:rsid w:val="715B1366"/>
    <w:rsid w:val="71645191"/>
    <w:rsid w:val="71683B17"/>
    <w:rsid w:val="7173590B"/>
    <w:rsid w:val="71922C19"/>
    <w:rsid w:val="71B12FD2"/>
    <w:rsid w:val="71BF1DD8"/>
    <w:rsid w:val="71E73175"/>
    <w:rsid w:val="72255A4C"/>
    <w:rsid w:val="7234593E"/>
    <w:rsid w:val="726447C6"/>
    <w:rsid w:val="726B5B54"/>
    <w:rsid w:val="7281275E"/>
    <w:rsid w:val="72982A06"/>
    <w:rsid w:val="72983CD3"/>
    <w:rsid w:val="72B82D9A"/>
    <w:rsid w:val="72EF4CB6"/>
    <w:rsid w:val="73036065"/>
    <w:rsid w:val="730E4732"/>
    <w:rsid w:val="73140E6B"/>
    <w:rsid w:val="731463F3"/>
    <w:rsid w:val="731B07B0"/>
    <w:rsid w:val="733F329F"/>
    <w:rsid w:val="734D7008"/>
    <w:rsid w:val="739365B8"/>
    <w:rsid w:val="73A429A0"/>
    <w:rsid w:val="73C87AD4"/>
    <w:rsid w:val="74095063"/>
    <w:rsid w:val="74317870"/>
    <w:rsid w:val="743B2F14"/>
    <w:rsid w:val="744228E5"/>
    <w:rsid w:val="746A24BE"/>
    <w:rsid w:val="746F2FAE"/>
    <w:rsid w:val="749F1040"/>
    <w:rsid w:val="74AE06FF"/>
    <w:rsid w:val="74B63523"/>
    <w:rsid w:val="74C74B98"/>
    <w:rsid w:val="74FA2C30"/>
    <w:rsid w:val="752B15CB"/>
    <w:rsid w:val="752E3028"/>
    <w:rsid w:val="75376F90"/>
    <w:rsid w:val="75385A96"/>
    <w:rsid w:val="753D4E5A"/>
    <w:rsid w:val="757A4300"/>
    <w:rsid w:val="758B2F82"/>
    <w:rsid w:val="758E60B7"/>
    <w:rsid w:val="758F1B5A"/>
    <w:rsid w:val="75AF5D58"/>
    <w:rsid w:val="75CD24B3"/>
    <w:rsid w:val="75F5118C"/>
    <w:rsid w:val="75FB63B4"/>
    <w:rsid w:val="760A5684"/>
    <w:rsid w:val="76250197"/>
    <w:rsid w:val="762B73A9"/>
    <w:rsid w:val="762D7581"/>
    <w:rsid w:val="767D5622"/>
    <w:rsid w:val="76AA0DF7"/>
    <w:rsid w:val="76BC49EB"/>
    <w:rsid w:val="76C17AC3"/>
    <w:rsid w:val="76C43A85"/>
    <w:rsid w:val="76D67314"/>
    <w:rsid w:val="76E4467C"/>
    <w:rsid w:val="76EE465E"/>
    <w:rsid w:val="77000DA2"/>
    <w:rsid w:val="770164D0"/>
    <w:rsid w:val="771F2A69"/>
    <w:rsid w:val="77216056"/>
    <w:rsid w:val="778B0C65"/>
    <w:rsid w:val="779E42D6"/>
    <w:rsid w:val="77D53A70"/>
    <w:rsid w:val="77E15E2D"/>
    <w:rsid w:val="78054355"/>
    <w:rsid w:val="781E69D1"/>
    <w:rsid w:val="78340059"/>
    <w:rsid w:val="783B5F93"/>
    <w:rsid w:val="78632E2A"/>
    <w:rsid w:val="786F15B1"/>
    <w:rsid w:val="786F730B"/>
    <w:rsid w:val="78872FBC"/>
    <w:rsid w:val="78EF46BD"/>
    <w:rsid w:val="78F41CD4"/>
    <w:rsid w:val="7904460D"/>
    <w:rsid w:val="791B3838"/>
    <w:rsid w:val="791D28CA"/>
    <w:rsid w:val="792C2B1A"/>
    <w:rsid w:val="794815FC"/>
    <w:rsid w:val="79BE1CAB"/>
    <w:rsid w:val="79CB0C87"/>
    <w:rsid w:val="79E24762"/>
    <w:rsid w:val="79F9737C"/>
    <w:rsid w:val="7A1D150C"/>
    <w:rsid w:val="7A24483B"/>
    <w:rsid w:val="7A480529"/>
    <w:rsid w:val="7A9D399F"/>
    <w:rsid w:val="7AB45BBF"/>
    <w:rsid w:val="7AC215D4"/>
    <w:rsid w:val="7AC74A3B"/>
    <w:rsid w:val="7ADD0453"/>
    <w:rsid w:val="7AF07139"/>
    <w:rsid w:val="7AF46346"/>
    <w:rsid w:val="7AFB388F"/>
    <w:rsid w:val="7AFE0DFE"/>
    <w:rsid w:val="7B0F5EBF"/>
    <w:rsid w:val="7B130FB9"/>
    <w:rsid w:val="7B1A151B"/>
    <w:rsid w:val="7B387FAA"/>
    <w:rsid w:val="7B3A4316"/>
    <w:rsid w:val="7B615D46"/>
    <w:rsid w:val="7B694BFB"/>
    <w:rsid w:val="7B6969A9"/>
    <w:rsid w:val="7B760DE1"/>
    <w:rsid w:val="7B796A32"/>
    <w:rsid w:val="7B875081"/>
    <w:rsid w:val="7BB43953"/>
    <w:rsid w:val="7BB7369F"/>
    <w:rsid w:val="7BC71922"/>
    <w:rsid w:val="7BDC1648"/>
    <w:rsid w:val="7BDE0625"/>
    <w:rsid w:val="7BF64EDE"/>
    <w:rsid w:val="7C3E5009"/>
    <w:rsid w:val="7C400C1E"/>
    <w:rsid w:val="7C56328E"/>
    <w:rsid w:val="7C5855FB"/>
    <w:rsid w:val="7C6C6CCE"/>
    <w:rsid w:val="7C773348"/>
    <w:rsid w:val="7C8C564B"/>
    <w:rsid w:val="7C975798"/>
    <w:rsid w:val="7CB0484C"/>
    <w:rsid w:val="7CE4728C"/>
    <w:rsid w:val="7D102F1A"/>
    <w:rsid w:val="7D422E99"/>
    <w:rsid w:val="7D4662EA"/>
    <w:rsid w:val="7D5D078F"/>
    <w:rsid w:val="7D7B6E68"/>
    <w:rsid w:val="7D8E0949"/>
    <w:rsid w:val="7D944F65"/>
    <w:rsid w:val="7DA737B9"/>
    <w:rsid w:val="7DC0487A"/>
    <w:rsid w:val="7DD11708"/>
    <w:rsid w:val="7DD83ECB"/>
    <w:rsid w:val="7DDC59EE"/>
    <w:rsid w:val="7DE06CCB"/>
    <w:rsid w:val="7DF46F4A"/>
    <w:rsid w:val="7E24505B"/>
    <w:rsid w:val="7E3D4C74"/>
    <w:rsid w:val="7E4801D5"/>
    <w:rsid w:val="7E694FAA"/>
    <w:rsid w:val="7E6D1CA3"/>
    <w:rsid w:val="7E7540FA"/>
    <w:rsid w:val="7EA07FAB"/>
    <w:rsid w:val="7EAB1087"/>
    <w:rsid w:val="7EBC46EA"/>
    <w:rsid w:val="7EBE04EE"/>
    <w:rsid w:val="7EC167BD"/>
    <w:rsid w:val="7EEF5417"/>
    <w:rsid w:val="7EF50554"/>
    <w:rsid w:val="7F1D6E36"/>
    <w:rsid w:val="7F587460"/>
    <w:rsid w:val="7F7345D6"/>
    <w:rsid w:val="7F8B2C9C"/>
    <w:rsid w:val="7F9B559F"/>
    <w:rsid w:val="7FA04963"/>
    <w:rsid w:val="7FAE5C4F"/>
    <w:rsid w:val="7FC70A79"/>
    <w:rsid w:val="7FCA72CB"/>
    <w:rsid w:val="7FCB062D"/>
    <w:rsid w:val="7FF07699"/>
    <w:rsid w:val="7FF82C26"/>
    <w:rsid w:val="EF6DC4F0"/>
    <w:rsid w:val="FFF6D5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autoRedefine/>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autoRedefine/>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5">
    <w:name w:val="heading 5"/>
    <w:basedOn w:val="1"/>
    <w:next w:val="6"/>
    <w:link w:val="39"/>
    <w:autoRedefine/>
    <w:qFormat/>
    <w:uiPriority w:val="9"/>
    <w:pPr>
      <w:keepNext/>
      <w:keepLines/>
      <w:spacing w:before="280" w:after="290" w:line="376" w:lineRule="auto"/>
      <w:outlineLvl w:val="4"/>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8">
    <w:name w:val="annotation text"/>
    <w:basedOn w:val="1"/>
    <w:link w:val="40"/>
    <w:autoRedefine/>
    <w:qFormat/>
    <w:uiPriority w:val="0"/>
    <w:pPr>
      <w:jc w:val="left"/>
    </w:pPr>
  </w:style>
  <w:style w:type="paragraph" w:styleId="9">
    <w:name w:val="Body Text 3"/>
    <w:basedOn w:val="1"/>
    <w:link w:val="41"/>
    <w:autoRedefine/>
    <w:unhideWhenUsed/>
    <w:qFormat/>
    <w:uiPriority w:val="99"/>
    <w:pPr>
      <w:spacing w:after="120"/>
    </w:pPr>
    <w:rPr>
      <w:sz w:val="16"/>
      <w:szCs w:val="16"/>
    </w:rPr>
  </w:style>
  <w:style w:type="paragraph" w:styleId="10">
    <w:name w:val="Body Text"/>
    <w:basedOn w:val="1"/>
    <w:link w:val="42"/>
    <w:autoRedefine/>
    <w:unhideWhenUsed/>
    <w:qFormat/>
    <w:uiPriority w:val="0"/>
    <w:pPr>
      <w:spacing w:after="120"/>
    </w:pPr>
  </w:style>
  <w:style w:type="paragraph" w:styleId="11">
    <w:name w:val="Body Text Indent"/>
    <w:basedOn w:val="1"/>
    <w:link w:val="43"/>
    <w:autoRedefine/>
    <w:qFormat/>
    <w:uiPriority w:val="0"/>
    <w:pPr>
      <w:ind w:firstLine="830" w:firstLineChars="352"/>
    </w:pPr>
    <w:rPr>
      <w:rFonts w:ascii="仿宋_GB2312" w:eastAsia="仿宋_GB2312"/>
      <w:kern w:val="0"/>
      <w:sz w:val="32"/>
      <w:szCs w:val="20"/>
    </w:rPr>
  </w:style>
  <w:style w:type="paragraph" w:styleId="12">
    <w:name w:val="List 2"/>
    <w:basedOn w:val="1"/>
    <w:autoRedefine/>
    <w:unhideWhenUsed/>
    <w:qFormat/>
    <w:uiPriority w:val="99"/>
    <w:pPr>
      <w:ind w:left="100" w:leftChars="200" w:hanging="200" w:hangingChars="200"/>
      <w:contextualSpacing/>
    </w:pPr>
  </w:style>
  <w:style w:type="paragraph" w:styleId="13">
    <w:name w:val="Block Text"/>
    <w:basedOn w:val="1"/>
    <w:autoRedefine/>
    <w:qFormat/>
    <w:uiPriority w:val="0"/>
    <w:pPr>
      <w:tabs>
        <w:tab w:val="left" w:pos="1440"/>
      </w:tabs>
      <w:spacing w:after="100"/>
      <w:ind w:left="3600" w:right="-288" w:hanging="2880"/>
    </w:pPr>
    <w:rPr>
      <w:snapToGrid w:val="0"/>
      <w:kern w:val="0"/>
      <w:sz w:val="22"/>
      <w:szCs w:val="20"/>
      <w:lang w:eastAsia="en-US"/>
    </w:rPr>
  </w:style>
  <w:style w:type="paragraph" w:styleId="14">
    <w:name w:val="Plain Text"/>
    <w:basedOn w:val="1"/>
    <w:next w:val="15"/>
    <w:link w:val="44"/>
    <w:autoRedefine/>
    <w:qFormat/>
    <w:uiPriority w:val="0"/>
    <w:rPr>
      <w:rFonts w:ascii="宋体" w:hAnsi="Courier New"/>
      <w:kern w:val="0"/>
      <w:sz w:val="20"/>
      <w:szCs w:val="21"/>
    </w:rPr>
  </w:style>
  <w:style w:type="paragraph" w:styleId="15">
    <w:name w:val="toc 1"/>
    <w:basedOn w:val="1"/>
    <w:next w:val="1"/>
    <w:autoRedefine/>
    <w:unhideWhenUsed/>
    <w:qFormat/>
    <w:uiPriority w:val="39"/>
  </w:style>
  <w:style w:type="paragraph" w:styleId="16">
    <w:name w:val="Date"/>
    <w:basedOn w:val="1"/>
    <w:next w:val="1"/>
    <w:link w:val="45"/>
    <w:autoRedefine/>
    <w:unhideWhenUsed/>
    <w:qFormat/>
    <w:uiPriority w:val="99"/>
    <w:pPr>
      <w:ind w:left="100" w:leftChars="2500"/>
    </w:pPr>
  </w:style>
  <w:style w:type="paragraph" w:styleId="17">
    <w:name w:val="Balloon Text"/>
    <w:basedOn w:val="1"/>
    <w:autoRedefine/>
    <w:semiHidden/>
    <w:qFormat/>
    <w:uiPriority w:val="0"/>
    <w:rPr>
      <w:sz w:val="18"/>
      <w:szCs w:val="18"/>
    </w:rPr>
  </w:style>
  <w:style w:type="paragraph" w:styleId="18">
    <w:name w:val="footer"/>
    <w:basedOn w:val="1"/>
    <w:link w:val="46"/>
    <w:autoRedefine/>
    <w:unhideWhenUsed/>
    <w:qFormat/>
    <w:uiPriority w:val="99"/>
    <w:pPr>
      <w:tabs>
        <w:tab w:val="center" w:pos="4153"/>
        <w:tab w:val="right" w:pos="8306"/>
      </w:tabs>
      <w:snapToGrid w:val="0"/>
      <w:jc w:val="left"/>
    </w:pPr>
    <w:rPr>
      <w:kern w:val="0"/>
      <w:sz w:val="18"/>
      <w:szCs w:val="18"/>
    </w:rPr>
  </w:style>
  <w:style w:type="paragraph" w:styleId="19">
    <w:name w:val="header"/>
    <w:basedOn w:val="1"/>
    <w:link w:val="47"/>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2"/>
    <w:basedOn w:val="1"/>
    <w:next w:val="1"/>
    <w:autoRedefine/>
    <w:unhideWhenUsed/>
    <w:qFormat/>
    <w:uiPriority w:val="39"/>
    <w:pPr>
      <w:tabs>
        <w:tab w:val="right" w:leader="dot" w:pos="8296"/>
      </w:tabs>
      <w:ind w:left="420" w:leftChars="200"/>
    </w:pPr>
  </w:style>
  <w:style w:type="paragraph" w:styleId="21">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kern w:val="0"/>
      <w:sz w:val="24"/>
    </w:rPr>
  </w:style>
  <w:style w:type="paragraph" w:styleId="22">
    <w:name w:val="Normal (Web)"/>
    <w:basedOn w:val="1"/>
    <w:autoRedefine/>
    <w:unhideWhenUsed/>
    <w:qFormat/>
    <w:uiPriority w:val="99"/>
    <w:rPr>
      <w:rFonts w:ascii="Calibri" w:hAnsi="Calibri"/>
      <w:kern w:val="0"/>
      <w:sz w:val="24"/>
    </w:rPr>
  </w:style>
  <w:style w:type="paragraph" w:styleId="23">
    <w:name w:val="index 1"/>
    <w:basedOn w:val="1"/>
    <w:next w:val="1"/>
    <w:autoRedefine/>
    <w:semiHidden/>
    <w:qFormat/>
    <w:uiPriority w:val="0"/>
    <w:pPr>
      <w:spacing w:line="400" w:lineRule="exact"/>
      <w:ind w:firstLine="420" w:firstLineChars="200"/>
    </w:pPr>
    <w:rPr>
      <w:rFonts w:ascii="宋体" w:hAnsi="Courier New"/>
      <w:b/>
      <w:szCs w:val="20"/>
    </w:rPr>
  </w:style>
  <w:style w:type="paragraph" w:styleId="24">
    <w:name w:val="annotation subject"/>
    <w:basedOn w:val="8"/>
    <w:next w:val="8"/>
    <w:link w:val="48"/>
    <w:autoRedefine/>
    <w:qFormat/>
    <w:uiPriority w:val="99"/>
    <w:rPr>
      <w:b/>
      <w:bCs/>
    </w:rPr>
  </w:style>
  <w:style w:type="paragraph" w:styleId="25">
    <w:name w:val="Body Text First Indent"/>
    <w:basedOn w:val="10"/>
    <w:next w:val="1"/>
    <w:autoRedefine/>
    <w:qFormat/>
    <w:uiPriority w:val="0"/>
    <w:pPr>
      <w:ind w:firstLine="420" w:firstLineChars="100"/>
    </w:pPr>
  </w:style>
  <w:style w:type="paragraph" w:styleId="26">
    <w:name w:val="Body Text First Indent 2"/>
    <w:basedOn w:val="11"/>
    <w:next w:val="1"/>
    <w:autoRedefine/>
    <w:qFormat/>
    <w:uiPriority w:val="0"/>
    <w:pPr>
      <w:spacing w:after="120"/>
      <w:ind w:left="420" w:leftChars="200" w:firstLine="420" w:firstLineChars="200"/>
    </w:pPr>
    <w:rPr>
      <w:szCs w:val="24"/>
    </w:rPr>
  </w:style>
  <w:style w:type="table" w:styleId="28">
    <w:name w:val="Table Grid"/>
    <w:basedOn w:val="27"/>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Strong"/>
    <w:basedOn w:val="29"/>
    <w:qFormat/>
    <w:uiPriority w:val="22"/>
    <w:rPr>
      <w:b/>
    </w:rPr>
  </w:style>
  <w:style w:type="character" w:styleId="31">
    <w:name w:val="page number"/>
    <w:autoRedefine/>
    <w:qFormat/>
    <w:uiPriority w:val="0"/>
  </w:style>
  <w:style w:type="character" w:styleId="32">
    <w:name w:val="Hyperlink"/>
    <w:autoRedefine/>
    <w:unhideWhenUsed/>
    <w:qFormat/>
    <w:uiPriority w:val="99"/>
    <w:rPr>
      <w:color w:val="0000FF"/>
      <w:u w:val="single"/>
    </w:rPr>
  </w:style>
  <w:style w:type="character" w:styleId="33">
    <w:name w:val="annotation reference"/>
    <w:basedOn w:val="29"/>
    <w:autoRedefine/>
    <w:qFormat/>
    <w:uiPriority w:val="0"/>
    <w:rPr>
      <w:sz w:val="21"/>
      <w:szCs w:val="21"/>
    </w:rPr>
  </w:style>
  <w:style w:type="paragraph" w:customStyle="1" w:styleId="3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5">
    <w:name w:val="正文1"/>
    <w:basedOn w:val="14"/>
    <w:next w:val="1"/>
    <w:autoRedefine/>
    <w:qFormat/>
    <w:uiPriority w:val="0"/>
    <w:pPr>
      <w:tabs>
        <w:tab w:val="left" w:pos="426"/>
      </w:tabs>
      <w:jc w:val="center"/>
      <w:textAlignment w:val="baseline"/>
    </w:pPr>
    <w:rPr>
      <w:rFonts w:ascii="Arial Unicode MS" w:hAnsi="Arial Unicode MS" w:eastAsia="Arial Unicode MS"/>
      <w:b/>
      <w:bCs/>
      <w:kern w:val="2"/>
      <w:sz w:val="32"/>
      <w:szCs w:val="32"/>
    </w:rPr>
  </w:style>
  <w:style w:type="character" w:customStyle="1" w:styleId="36">
    <w:name w:val="标题 2 字符"/>
    <w:link w:val="3"/>
    <w:autoRedefine/>
    <w:qFormat/>
    <w:uiPriority w:val="9"/>
    <w:rPr>
      <w:rFonts w:ascii="Cambria" w:hAnsi="Cambria" w:eastAsia="宋体" w:cs="Times New Roman"/>
      <w:b/>
      <w:bCs/>
      <w:kern w:val="2"/>
      <w:sz w:val="32"/>
      <w:szCs w:val="32"/>
    </w:rPr>
  </w:style>
  <w:style w:type="paragraph" w:customStyle="1" w:styleId="37">
    <w:name w:val="无间隔1"/>
    <w:autoRedefine/>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38">
    <w:name w:val="标题 1 字符1"/>
    <w:link w:val="2"/>
    <w:autoRedefine/>
    <w:qFormat/>
    <w:uiPriority w:val="0"/>
    <w:rPr>
      <w:b/>
      <w:bCs/>
      <w:kern w:val="44"/>
      <w:sz w:val="44"/>
      <w:szCs w:val="44"/>
    </w:rPr>
  </w:style>
  <w:style w:type="character" w:customStyle="1" w:styleId="39">
    <w:name w:val="标题 5 字符"/>
    <w:link w:val="5"/>
    <w:autoRedefine/>
    <w:semiHidden/>
    <w:qFormat/>
    <w:uiPriority w:val="9"/>
    <w:rPr>
      <w:rFonts w:ascii="Times New Roman" w:hAnsi="Times New Roman"/>
      <w:b/>
      <w:bCs/>
      <w:kern w:val="2"/>
      <w:sz w:val="28"/>
      <w:szCs w:val="28"/>
    </w:rPr>
  </w:style>
  <w:style w:type="character" w:customStyle="1" w:styleId="40">
    <w:name w:val="批注文字 字符"/>
    <w:link w:val="8"/>
    <w:autoRedefine/>
    <w:qFormat/>
    <w:uiPriority w:val="0"/>
    <w:rPr>
      <w:rFonts w:ascii="Times New Roman" w:hAnsi="Times New Roman"/>
      <w:kern w:val="2"/>
      <w:sz w:val="21"/>
      <w:szCs w:val="24"/>
    </w:rPr>
  </w:style>
  <w:style w:type="character" w:customStyle="1" w:styleId="41">
    <w:name w:val="正文文本 3 字符"/>
    <w:link w:val="9"/>
    <w:autoRedefine/>
    <w:semiHidden/>
    <w:qFormat/>
    <w:uiPriority w:val="99"/>
    <w:rPr>
      <w:rFonts w:ascii="Times New Roman" w:hAnsi="Times New Roman"/>
      <w:kern w:val="2"/>
      <w:sz w:val="16"/>
      <w:szCs w:val="16"/>
    </w:rPr>
  </w:style>
  <w:style w:type="character" w:customStyle="1" w:styleId="42">
    <w:name w:val="正文文本 字符"/>
    <w:link w:val="10"/>
    <w:autoRedefine/>
    <w:qFormat/>
    <w:uiPriority w:val="0"/>
    <w:rPr>
      <w:rFonts w:ascii="Times New Roman" w:hAnsi="Times New Roman"/>
      <w:kern w:val="2"/>
      <w:sz w:val="21"/>
      <w:szCs w:val="24"/>
    </w:rPr>
  </w:style>
  <w:style w:type="character" w:customStyle="1" w:styleId="43">
    <w:name w:val="正文文本缩进 字符"/>
    <w:link w:val="11"/>
    <w:autoRedefine/>
    <w:qFormat/>
    <w:uiPriority w:val="0"/>
    <w:rPr>
      <w:rFonts w:ascii="仿宋_GB2312" w:hAnsi="Times New Roman" w:eastAsia="仿宋_GB2312" w:cs="Times New Roman"/>
      <w:sz w:val="32"/>
      <w:szCs w:val="20"/>
    </w:rPr>
  </w:style>
  <w:style w:type="character" w:customStyle="1" w:styleId="44">
    <w:name w:val="纯文本 字符"/>
    <w:link w:val="14"/>
    <w:autoRedefine/>
    <w:qFormat/>
    <w:uiPriority w:val="0"/>
    <w:rPr>
      <w:rFonts w:ascii="宋体" w:hAnsi="Courier New" w:eastAsia="宋体" w:cs="Courier New"/>
      <w:szCs w:val="21"/>
    </w:rPr>
  </w:style>
  <w:style w:type="character" w:customStyle="1" w:styleId="45">
    <w:name w:val="日期 字符"/>
    <w:link w:val="16"/>
    <w:autoRedefine/>
    <w:semiHidden/>
    <w:qFormat/>
    <w:uiPriority w:val="99"/>
    <w:rPr>
      <w:rFonts w:ascii="Times New Roman" w:hAnsi="Times New Roman"/>
      <w:kern w:val="2"/>
      <w:sz w:val="21"/>
      <w:szCs w:val="24"/>
    </w:rPr>
  </w:style>
  <w:style w:type="character" w:customStyle="1" w:styleId="46">
    <w:name w:val="页脚 字符"/>
    <w:link w:val="18"/>
    <w:autoRedefine/>
    <w:qFormat/>
    <w:uiPriority w:val="99"/>
    <w:rPr>
      <w:sz w:val="18"/>
      <w:szCs w:val="18"/>
    </w:rPr>
  </w:style>
  <w:style w:type="character" w:customStyle="1" w:styleId="47">
    <w:name w:val="页眉 字符"/>
    <w:link w:val="19"/>
    <w:autoRedefine/>
    <w:qFormat/>
    <w:uiPriority w:val="99"/>
    <w:rPr>
      <w:sz w:val="18"/>
      <w:szCs w:val="18"/>
    </w:rPr>
  </w:style>
  <w:style w:type="character" w:customStyle="1" w:styleId="48">
    <w:name w:val="批注主题 字符"/>
    <w:link w:val="24"/>
    <w:autoRedefine/>
    <w:qFormat/>
    <w:uiPriority w:val="99"/>
    <w:rPr>
      <w:rFonts w:ascii="Times New Roman" w:hAnsi="Times New Roman"/>
      <w:b/>
      <w:bCs/>
      <w:kern w:val="2"/>
      <w:sz w:val="21"/>
      <w:szCs w:val="24"/>
    </w:rPr>
  </w:style>
  <w:style w:type="character" w:customStyle="1" w:styleId="49">
    <w:name w:val="正文文本缩进 字符1"/>
    <w:autoRedefine/>
    <w:qFormat/>
    <w:uiPriority w:val="0"/>
    <w:rPr>
      <w:rFonts w:ascii="仿宋_GB2312" w:hAnsi="Times New Roman" w:eastAsia="仿宋_GB2312" w:cs="Times New Roman"/>
      <w:sz w:val="32"/>
      <w:szCs w:val="20"/>
    </w:rPr>
  </w:style>
  <w:style w:type="character" w:customStyle="1" w:styleId="50">
    <w:name w:val="apple-style-span"/>
    <w:autoRedefine/>
    <w:qFormat/>
    <w:uiPriority w:val="0"/>
  </w:style>
  <w:style w:type="character" w:customStyle="1" w:styleId="51">
    <w:name w:val="标题 1 字符"/>
    <w:autoRedefine/>
    <w:qFormat/>
    <w:uiPriority w:val="9"/>
    <w:rPr>
      <w:b/>
      <w:bCs/>
      <w:kern w:val="44"/>
      <w:sz w:val="44"/>
      <w:szCs w:val="44"/>
    </w:rPr>
  </w:style>
  <w:style w:type="character" w:customStyle="1" w:styleId="52">
    <w:name w:val="textcontents"/>
    <w:autoRedefine/>
    <w:qFormat/>
    <w:uiPriority w:val="0"/>
  </w:style>
  <w:style w:type="character" w:customStyle="1" w:styleId="53">
    <w:name w:val="纯文本 字符1"/>
    <w:autoRedefine/>
    <w:qFormat/>
    <w:uiPriority w:val="0"/>
    <w:rPr>
      <w:rFonts w:ascii="宋体" w:hAnsi="Courier New"/>
    </w:rPr>
  </w:style>
  <w:style w:type="character" w:customStyle="1" w:styleId="54">
    <w:name w:val="批注文字 字符1"/>
    <w:autoRedefine/>
    <w:qFormat/>
    <w:uiPriority w:val="0"/>
    <w:rPr>
      <w:kern w:val="2"/>
      <w:sz w:val="21"/>
      <w:szCs w:val="24"/>
    </w:rPr>
  </w:style>
  <w:style w:type="character" w:customStyle="1" w:styleId="55">
    <w:name w:val="纯文本 字符2"/>
    <w:autoRedefine/>
    <w:qFormat/>
    <w:uiPriority w:val="0"/>
    <w:rPr>
      <w:rFonts w:ascii="宋体" w:hAnsi="Courier New" w:eastAsia="宋体" w:cs="Courier New"/>
      <w:szCs w:val="21"/>
    </w:rPr>
  </w:style>
  <w:style w:type="character" w:customStyle="1" w:styleId="56">
    <w:name w:val="页脚 Char"/>
    <w:autoRedefine/>
    <w:qFormat/>
    <w:uiPriority w:val="99"/>
    <w:rPr>
      <w:lang w:eastAsia="zh-CN"/>
    </w:rPr>
  </w:style>
  <w:style w:type="paragraph" w:customStyle="1" w:styleId="57">
    <w:name w:val="默认段落字体 Para Char Char Char Char Char Char Char Char Char1 Char Char Char Char"/>
    <w:basedOn w:val="1"/>
    <w:autoRedefine/>
    <w:qFormat/>
    <w:uiPriority w:val="0"/>
    <w:rPr>
      <w:rFonts w:ascii="Tahoma" w:hAnsi="Tahoma"/>
      <w:sz w:val="24"/>
      <w:szCs w:val="20"/>
    </w:rPr>
  </w:style>
  <w:style w:type="paragraph" w:customStyle="1" w:styleId="58">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59">
    <w:name w:val="列出段落1"/>
    <w:basedOn w:val="1"/>
    <w:autoRedefine/>
    <w:qFormat/>
    <w:uiPriority w:val="34"/>
    <w:pPr>
      <w:ind w:firstLine="420" w:firstLineChars="200"/>
    </w:pPr>
  </w:style>
  <w:style w:type="paragraph" w:customStyle="1" w:styleId="60">
    <w:name w:val="Table Paragraph"/>
    <w:basedOn w:val="1"/>
    <w:autoRedefine/>
    <w:qFormat/>
    <w:uiPriority w:val="1"/>
    <w:pPr>
      <w:jc w:val="left"/>
    </w:pPr>
    <w:rPr>
      <w:rFonts w:ascii="Calibri" w:hAnsi="Calibri"/>
      <w:kern w:val="0"/>
      <w:sz w:val="22"/>
      <w:szCs w:val="22"/>
      <w:lang w:eastAsia="en-US"/>
    </w:rPr>
  </w:style>
  <w:style w:type="character" w:customStyle="1" w:styleId="61">
    <w:name w:val="批注文字 Char1"/>
    <w:autoRedefine/>
    <w:qFormat/>
    <w:uiPriority w:val="0"/>
    <w:rPr>
      <w:rFonts w:ascii="Times New Roman" w:hAnsi="Times New Roman"/>
      <w:kern w:val="2"/>
      <w:sz w:val="21"/>
      <w:szCs w:val="24"/>
    </w:rPr>
  </w:style>
  <w:style w:type="character" w:customStyle="1" w:styleId="62">
    <w:name w:val="批注文字 字符2"/>
    <w:autoRedefine/>
    <w:qFormat/>
    <w:uiPriority w:val="0"/>
    <w:rPr>
      <w:rFonts w:ascii="Times New Roman" w:hAnsi="Times New Roman"/>
      <w:kern w:val="2"/>
      <w:sz w:val="21"/>
      <w:szCs w:val="24"/>
    </w:rPr>
  </w:style>
  <w:style w:type="character" w:customStyle="1" w:styleId="63">
    <w:name w:val="正文文本 (26) + 间距 0 pt"/>
    <w:autoRedefine/>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4">
    <w:name w:val="纯文本 Char1"/>
    <w:autoRedefine/>
    <w:qFormat/>
    <w:uiPriority w:val="0"/>
    <w:rPr>
      <w:rFonts w:ascii="宋体" w:hAnsi="Courier New" w:eastAsia="宋体" w:cs="Courier New"/>
      <w:szCs w:val="21"/>
    </w:rPr>
  </w:style>
  <w:style w:type="character" w:customStyle="1" w:styleId="65">
    <w:name w:val="批注文字 Char2"/>
    <w:autoRedefine/>
    <w:qFormat/>
    <w:uiPriority w:val="0"/>
    <w:rPr>
      <w:rFonts w:ascii="Times New Roman" w:hAnsi="Times New Roman"/>
      <w:kern w:val="2"/>
      <w:sz w:val="21"/>
      <w:szCs w:val="24"/>
    </w:rPr>
  </w:style>
  <w:style w:type="character" w:customStyle="1" w:styleId="66">
    <w:name w:val="font11"/>
    <w:basedOn w:val="29"/>
    <w:autoRedefine/>
    <w:qFormat/>
    <w:uiPriority w:val="0"/>
    <w:rPr>
      <w:rFonts w:hint="eastAsia" w:ascii="宋体" w:hAnsi="宋体" w:eastAsia="宋体" w:cs="宋体"/>
      <w:color w:val="000000"/>
      <w:sz w:val="20"/>
      <w:szCs w:val="20"/>
      <w:u w:val="none"/>
    </w:rPr>
  </w:style>
  <w:style w:type="character" w:customStyle="1" w:styleId="67">
    <w:name w:val="font41"/>
    <w:autoRedefine/>
    <w:qFormat/>
    <w:uiPriority w:val="0"/>
    <w:rPr>
      <w:rFonts w:ascii="宋体" w:hAnsi="宋体" w:eastAsia="宋体" w:cs="宋体"/>
      <w:color w:val="000000"/>
      <w:sz w:val="20"/>
      <w:szCs w:val="20"/>
      <w:u w:val="none"/>
    </w:rPr>
  </w:style>
  <w:style w:type="character" w:customStyle="1" w:styleId="68">
    <w:name w:val="font31"/>
    <w:autoRedefine/>
    <w:qFormat/>
    <w:uiPriority w:val="0"/>
    <w:rPr>
      <w:rFonts w:ascii="方正书宋_GBK" w:hAnsi="方正书宋_GBK" w:eastAsia="方正书宋_GBK" w:cs="方正书宋_GBK"/>
      <w:color w:val="000000"/>
      <w:sz w:val="21"/>
      <w:szCs w:val="21"/>
      <w:u w:val="none"/>
    </w:rPr>
  </w:style>
  <w:style w:type="character" w:customStyle="1" w:styleId="69">
    <w:name w:val="font61"/>
    <w:basedOn w:val="29"/>
    <w:autoRedefine/>
    <w:qFormat/>
    <w:uiPriority w:val="0"/>
    <w:rPr>
      <w:rFonts w:hint="default" w:ascii="Times New Roman" w:hAnsi="Times New Roman" w:cs="Times New Roman"/>
      <w:color w:val="000000"/>
      <w:sz w:val="21"/>
      <w:szCs w:val="21"/>
      <w:u w:val="none"/>
    </w:rPr>
  </w:style>
  <w:style w:type="character" w:customStyle="1" w:styleId="70">
    <w:name w:val="font71"/>
    <w:basedOn w:val="29"/>
    <w:autoRedefine/>
    <w:qFormat/>
    <w:uiPriority w:val="0"/>
    <w:rPr>
      <w:rFonts w:hint="eastAsia" w:ascii="宋体" w:hAnsi="宋体" w:eastAsia="宋体" w:cs="宋体"/>
      <w:b/>
      <w:bCs/>
      <w:color w:val="000000"/>
      <w:sz w:val="18"/>
      <w:szCs w:val="18"/>
      <w:u w:val="none"/>
    </w:rPr>
  </w:style>
  <w:style w:type="character" w:customStyle="1" w:styleId="71">
    <w:name w:val="font81"/>
    <w:basedOn w:val="29"/>
    <w:autoRedefine/>
    <w:qFormat/>
    <w:uiPriority w:val="0"/>
    <w:rPr>
      <w:rFonts w:hint="eastAsia" w:ascii="宋体" w:hAnsi="宋体" w:eastAsia="宋体" w:cs="宋体"/>
      <w:color w:val="000000"/>
      <w:sz w:val="18"/>
      <w:szCs w:val="18"/>
      <w:u w:val="none"/>
    </w:rPr>
  </w:style>
  <w:style w:type="character" w:customStyle="1" w:styleId="72">
    <w:name w:val="font01"/>
    <w:basedOn w:val="29"/>
    <w:autoRedefine/>
    <w:qFormat/>
    <w:uiPriority w:val="0"/>
    <w:rPr>
      <w:rFonts w:hint="default" w:ascii="Arial" w:hAnsi="Arial" w:cs="Arial"/>
      <w:color w:val="000000"/>
      <w:sz w:val="18"/>
      <w:szCs w:val="18"/>
      <w:u w:val="none"/>
    </w:rPr>
  </w:style>
  <w:style w:type="character" w:customStyle="1" w:styleId="73">
    <w:name w:val="font91"/>
    <w:basedOn w:val="29"/>
    <w:autoRedefine/>
    <w:qFormat/>
    <w:uiPriority w:val="0"/>
    <w:rPr>
      <w:rFonts w:hint="eastAsia" w:ascii="宋体" w:hAnsi="宋体" w:eastAsia="宋体" w:cs="宋体"/>
      <w:color w:val="000000"/>
      <w:sz w:val="18"/>
      <w:szCs w:val="18"/>
      <w:u w:val="none"/>
    </w:rPr>
  </w:style>
  <w:style w:type="character" w:customStyle="1" w:styleId="74">
    <w:name w:val="font51"/>
    <w:autoRedefine/>
    <w:qFormat/>
    <w:uiPriority w:val="0"/>
    <w:rPr>
      <w:rFonts w:hint="default" w:ascii="Times New Roman" w:hAnsi="Times New Roman" w:cs="Times New Roman"/>
      <w:b/>
      <w:color w:val="000000"/>
      <w:sz w:val="18"/>
      <w:szCs w:val="18"/>
      <w:u w:val="none"/>
    </w:rPr>
  </w:style>
  <w:style w:type="paragraph" w:styleId="75">
    <w:name w:val="List Paragraph"/>
    <w:basedOn w:val="1"/>
    <w:autoRedefine/>
    <w:qFormat/>
    <w:uiPriority w:val="34"/>
    <w:pPr>
      <w:ind w:firstLine="420" w:firstLineChars="200"/>
    </w:pPr>
  </w:style>
  <w:style w:type="paragraph" w:customStyle="1" w:styleId="76">
    <w:name w:val="Default"/>
    <w:autoRedefine/>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77">
    <w:name w:val="Title1"/>
    <w:basedOn w:val="1"/>
    <w:next w:val="1"/>
    <w:autoRedefine/>
    <w:qFormat/>
    <w:uiPriority w:val="0"/>
    <w:pPr>
      <w:jc w:val="center"/>
      <w:outlineLvl w:val="0"/>
    </w:pPr>
    <w:rPr>
      <w:rFonts w:ascii="Calibri Light" w:hAnsi="Calibri Light" w:eastAsia="Arial Unicode MS"/>
      <w:b/>
    </w:rPr>
  </w:style>
  <w:style w:type="character" w:customStyle="1" w:styleId="78">
    <w:name w:val="15"/>
    <w:autoRedefine/>
    <w:qFormat/>
    <w:uiPriority w:val="0"/>
    <w:rPr>
      <w:rFonts w:hint="default" w:ascii="Times New Roman" w:hAnsi="Times New Roman" w:eastAsia="宋体" w:cs="Times New Roman"/>
      <w:color w:val="0000FF"/>
      <w:u w:val="single"/>
    </w:rPr>
  </w:style>
  <w:style w:type="paragraph" w:customStyle="1" w:styleId="79">
    <w:name w:val="Char Char Char3"/>
    <w:basedOn w:val="1"/>
    <w:autoRedefine/>
    <w:qFormat/>
    <w:uiPriority w:val="0"/>
    <w:pPr>
      <w:widowControl/>
      <w:spacing w:after="160" w:line="240" w:lineRule="exact"/>
      <w:jc w:val="left"/>
    </w:pPr>
    <w:rPr>
      <w:rFonts w:ascii="Verdana" w:hAnsi="Verdana"/>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KWZB;</Company>
  <Pages>88</Pages>
  <Words>7356</Words>
  <Characters>7996</Characters>
  <Lines>2076</Lines>
  <Paragraphs>2063</Paragraphs>
  <TotalTime>132</TotalTime>
  <ScaleCrop>false</ScaleCrop>
  <LinksUpToDate>false</LinksUpToDate>
  <CharactersWithSpaces>8142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2025-11-17T08:28:00Z</dcterms:created>
  <dc:creator>KWZB</dc:creator>
  <cp:lastModifiedBy>LLLLL</cp:lastModifiedBy>
  <cp:lastPrinted>2025-11-28T02:00:00Z</cp:lastPrinted>
  <dcterms:modified xsi:type="dcterms:W3CDTF">2026-07-21T07:47:01Z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1FCEC64630CA418A82ABCBBE009E66F8_13</vt:lpwstr>
  </property>
  <property fmtid="{D5CDD505-2E9C-101B-9397-08002B2CF9AE}" pid="4" name="KSOTemplateDocerSaveRecord">
    <vt:lpwstr>eyJoZGlkIjoiNDEwODg2ZGY0YzJhZGM4ZTBiOTg1ZTA2N2MwOWZmZDMiLCJ1c2VySWQiOiI0OTg4NzYzNjgifQ==</vt:lpwstr>
  </property>
</Properties>
</file>