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hint="eastAsia" w:ascii="宋体" w:hAnsi="宋体" w:cs="宋体"/>
          <w:color w:val="auto"/>
          <w:sz w:val="72"/>
          <w:szCs w:val="72"/>
        </w:rPr>
      </w:pPr>
      <w:r>
        <w:rPr>
          <w:rFonts w:hint="eastAsia" w:ascii="宋体" w:hAnsi="宋体" w:cs="宋体"/>
          <w:color w:val="auto"/>
          <w:sz w:val="72"/>
          <w:szCs w:val="72"/>
        </w:rPr>
        <w:t>广西科联招标中心有限公司</w:t>
      </w:r>
    </w:p>
    <w:p>
      <w:pPr>
        <w:spacing w:before="120" w:beforeLines="50" w:line="360" w:lineRule="auto"/>
        <w:jc w:val="center"/>
        <w:rPr>
          <w:rFonts w:hint="eastAsia" w:ascii="宋体" w:hAnsi="宋体" w:cs="宋体"/>
          <w:b/>
          <w:color w:val="auto"/>
          <w:sz w:val="48"/>
          <w:szCs w:val="48"/>
        </w:rPr>
      </w:pPr>
    </w:p>
    <w:p>
      <w:pPr>
        <w:spacing w:before="120" w:beforeLines="50" w:line="360" w:lineRule="auto"/>
        <w:jc w:val="center"/>
        <w:rPr>
          <w:rFonts w:hint="eastAsia" w:ascii="宋体" w:hAnsi="宋体" w:cs="宋体"/>
          <w:b/>
          <w:color w:val="auto"/>
          <w:sz w:val="48"/>
          <w:szCs w:val="48"/>
        </w:rPr>
      </w:pPr>
    </w:p>
    <w:p>
      <w:pPr>
        <w:snapToGrid w:val="0"/>
        <w:spacing w:before="120" w:beforeLines="50" w:line="360" w:lineRule="auto"/>
        <w:jc w:val="center"/>
        <w:rPr>
          <w:rFonts w:hint="eastAsia" w:ascii="宋体" w:hAnsi="宋体" w:cs="宋体"/>
          <w:color w:val="auto"/>
          <w:sz w:val="72"/>
          <w:szCs w:val="72"/>
        </w:rPr>
      </w:pPr>
      <w:r>
        <w:rPr>
          <w:rFonts w:hint="eastAsia" w:ascii="宋体" w:hAnsi="宋体" w:cs="宋体"/>
          <w:color w:val="auto"/>
          <w:sz w:val="72"/>
          <w:szCs w:val="72"/>
        </w:rPr>
        <w:t>招 标 文 件</w:t>
      </w:r>
    </w:p>
    <w:p>
      <w:pPr>
        <w:snapToGrid w:val="0"/>
        <w:spacing w:before="120" w:beforeLines="50" w:line="360" w:lineRule="auto"/>
        <w:jc w:val="center"/>
        <w:rPr>
          <w:rFonts w:hint="eastAsia" w:ascii="宋体" w:hAnsi="宋体" w:cs="宋体"/>
          <w:color w:val="auto"/>
          <w:sz w:val="30"/>
          <w:szCs w:val="72"/>
        </w:rPr>
      </w:pPr>
      <w:r>
        <w:rPr>
          <w:rFonts w:hint="eastAsia" w:ascii="宋体" w:hAnsi="宋体" w:cs="宋体"/>
          <w:color w:val="auto"/>
          <w:sz w:val="30"/>
          <w:szCs w:val="72"/>
        </w:rPr>
        <w:t>（全流程电子化评标）</w:t>
      </w:r>
    </w:p>
    <w:p>
      <w:pPr>
        <w:snapToGrid w:val="0"/>
        <w:spacing w:before="120" w:beforeLines="50" w:line="360" w:lineRule="auto"/>
        <w:rPr>
          <w:rFonts w:hint="eastAsia" w:ascii="宋体" w:hAnsi="宋体" w:cs="宋体"/>
          <w:color w:val="auto"/>
          <w:sz w:val="30"/>
          <w:szCs w:val="72"/>
        </w:rPr>
      </w:pPr>
    </w:p>
    <w:p>
      <w:pPr>
        <w:pStyle w:val="14"/>
        <w:snapToGrid w:val="0"/>
        <w:spacing w:before="50" w:after="120" w:line="360" w:lineRule="auto"/>
        <w:jc w:val="center"/>
        <w:rPr>
          <w:rFonts w:hint="eastAsia" w:hAnsi="宋体" w:cs="宋体"/>
          <w:b/>
          <w:bCs/>
          <w:color w:val="auto"/>
          <w:sz w:val="30"/>
          <w:szCs w:val="30"/>
        </w:rPr>
      </w:pPr>
      <w:r>
        <w:rPr>
          <w:rFonts w:hint="eastAsia" w:hAnsi="宋体" w:cs="宋体"/>
          <w:b/>
          <w:bCs/>
          <w:color w:val="auto"/>
          <w:sz w:val="30"/>
          <w:szCs w:val="30"/>
        </w:rPr>
        <w:t>项目</w:t>
      </w:r>
      <w:r>
        <w:rPr>
          <w:rFonts w:hint="eastAsia" w:hAnsi="宋体" w:cs="宋体"/>
          <w:b/>
          <w:bCs/>
          <w:color w:val="auto"/>
          <w:w w:val="95"/>
          <w:sz w:val="30"/>
          <w:szCs w:val="30"/>
        </w:rPr>
        <w:t>名称</w:t>
      </w:r>
      <w:r>
        <w:rPr>
          <w:rFonts w:hint="eastAsia" w:hAnsi="宋体" w:cs="宋体"/>
          <w:b/>
          <w:bCs/>
          <w:color w:val="auto"/>
          <w:sz w:val="30"/>
          <w:szCs w:val="30"/>
        </w:rPr>
        <w:t>：广西医科大学武鸣校区教学设施采购项目</w:t>
      </w:r>
    </w:p>
    <w:p>
      <w:pPr>
        <w:snapToGrid w:val="0"/>
        <w:spacing w:before="120" w:beforeLines="50" w:line="360" w:lineRule="auto"/>
        <w:jc w:val="center"/>
        <w:rPr>
          <w:rFonts w:hint="eastAsia" w:ascii="宋体" w:hAnsi="宋体" w:eastAsia="宋体" w:cs="宋体"/>
          <w:b/>
          <w:color w:val="auto"/>
          <w:sz w:val="30"/>
          <w:szCs w:val="48"/>
          <w:lang w:eastAsia="zh-CN"/>
        </w:rPr>
      </w:pPr>
      <w:r>
        <w:rPr>
          <w:rFonts w:hint="eastAsia" w:ascii="宋体" w:hAnsi="宋体" w:cs="宋体"/>
          <w:b/>
          <w:bCs/>
          <w:color w:val="auto"/>
          <w:w w:val="95"/>
          <w:sz w:val="30"/>
          <w:szCs w:val="30"/>
        </w:rPr>
        <w:t>项目</w:t>
      </w:r>
      <w:r>
        <w:rPr>
          <w:rFonts w:hint="eastAsia" w:ascii="宋体" w:hAnsi="宋体" w:cs="宋体"/>
          <w:b/>
          <w:bCs/>
          <w:color w:val="auto"/>
          <w:sz w:val="30"/>
          <w:szCs w:val="30"/>
        </w:rPr>
        <w:t>编号</w:t>
      </w:r>
      <w:r>
        <w:rPr>
          <w:rFonts w:hint="eastAsia" w:ascii="宋体" w:hAnsi="宋体" w:cs="宋体"/>
          <w:b/>
          <w:bCs/>
          <w:color w:val="auto"/>
          <w:w w:val="95"/>
          <w:sz w:val="30"/>
          <w:szCs w:val="30"/>
        </w:rPr>
        <w:t>：</w:t>
      </w:r>
      <w:r>
        <w:rPr>
          <w:rFonts w:hint="eastAsia" w:ascii="宋体" w:hAnsi="宋体" w:cs="宋体"/>
          <w:b/>
          <w:bCs/>
          <w:color w:val="auto"/>
          <w:w w:val="95"/>
          <w:sz w:val="30"/>
          <w:szCs w:val="30"/>
          <w:lang w:eastAsia="zh-CN"/>
        </w:rPr>
        <w:t>GXZC2026-G1-001714-GXKL</w:t>
      </w:r>
    </w:p>
    <w:p>
      <w:pPr>
        <w:pStyle w:val="14"/>
        <w:snapToGrid w:val="0"/>
        <w:spacing w:before="50" w:after="120" w:line="360" w:lineRule="auto"/>
        <w:ind w:firstLine="1125" w:firstLineChars="393"/>
        <w:rPr>
          <w:rFonts w:hint="eastAsia" w:hAnsi="宋体" w:cs="宋体"/>
          <w:b/>
          <w:bCs/>
          <w:color w:val="auto"/>
          <w:w w:val="95"/>
          <w:sz w:val="30"/>
          <w:szCs w:val="30"/>
        </w:rPr>
      </w:pPr>
    </w:p>
    <w:p>
      <w:pPr>
        <w:pStyle w:val="14"/>
        <w:snapToGrid w:val="0"/>
        <w:spacing w:before="50" w:after="120" w:line="360" w:lineRule="auto"/>
        <w:ind w:firstLine="1125" w:firstLineChars="393"/>
        <w:rPr>
          <w:rFonts w:hint="eastAsia" w:hAnsi="宋体" w:cs="宋体"/>
          <w:b/>
          <w:bCs/>
          <w:color w:val="auto"/>
          <w:w w:val="95"/>
          <w:sz w:val="30"/>
          <w:szCs w:val="30"/>
        </w:rPr>
      </w:pPr>
    </w:p>
    <w:p>
      <w:pPr>
        <w:pStyle w:val="14"/>
        <w:snapToGrid w:val="0"/>
        <w:spacing w:before="50" w:after="120" w:line="360" w:lineRule="auto"/>
        <w:ind w:firstLine="1125" w:firstLineChars="393"/>
        <w:rPr>
          <w:rFonts w:hint="eastAsia" w:hAnsi="宋体" w:cs="宋体"/>
          <w:b/>
          <w:bCs/>
          <w:color w:val="auto"/>
          <w:w w:val="95"/>
          <w:sz w:val="30"/>
          <w:szCs w:val="30"/>
        </w:rPr>
      </w:pPr>
    </w:p>
    <w:p>
      <w:pPr>
        <w:pStyle w:val="14"/>
        <w:snapToGrid w:val="0"/>
        <w:spacing w:before="50" w:after="120" w:line="360" w:lineRule="auto"/>
        <w:ind w:firstLine="2289" w:firstLineChars="800"/>
        <w:rPr>
          <w:rFonts w:hint="eastAsia" w:hAnsi="宋体" w:cs="宋体"/>
          <w:b/>
          <w:bCs/>
          <w:color w:val="auto"/>
          <w:w w:val="95"/>
          <w:sz w:val="30"/>
          <w:szCs w:val="30"/>
        </w:rPr>
      </w:pPr>
      <w:r>
        <w:rPr>
          <w:rFonts w:hint="eastAsia" w:hAnsi="宋体" w:cs="宋体"/>
          <w:b/>
          <w:bCs/>
          <w:color w:val="auto"/>
          <w:w w:val="95"/>
          <w:sz w:val="30"/>
          <w:szCs w:val="30"/>
        </w:rPr>
        <w:t>采购人：</w:t>
      </w:r>
      <w:r>
        <w:rPr>
          <w:rFonts w:hint="eastAsia" w:hAnsi="宋体" w:cs="宋体"/>
          <w:b/>
          <w:bCs/>
          <w:color w:val="auto"/>
          <w:sz w:val="30"/>
          <w:szCs w:val="30"/>
        </w:rPr>
        <w:t>广西医科大学</w:t>
      </w:r>
    </w:p>
    <w:p>
      <w:pPr>
        <w:pStyle w:val="14"/>
        <w:snapToGrid w:val="0"/>
        <w:spacing w:before="50" w:after="120" w:line="360" w:lineRule="auto"/>
        <w:ind w:firstLine="2289" w:firstLineChars="800"/>
        <w:rPr>
          <w:rFonts w:hint="eastAsia" w:hAnsi="宋体" w:cs="宋体"/>
          <w:b/>
          <w:bCs/>
          <w:color w:val="auto"/>
          <w:w w:val="95"/>
          <w:sz w:val="30"/>
          <w:szCs w:val="30"/>
        </w:rPr>
      </w:pPr>
      <w:r>
        <w:rPr>
          <w:rFonts w:hint="eastAsia" w:hAnsi="宋体" w:cs="宋体"/>
          <w:b/>
          <w:bCs/>
          <w:color w:val="auto"/>
          <w:w w:val="95"/>
          <w:sz w:val="30"/>
          <w:szCs w:val="30"/>
        </w:rPr>
        <w:t>采购代理机构：</w:t>
      </w:r>
      <w:bookmarkStart w:id="0" w:name="PO_3000001867_PM031"/>
      <w:r>
        <w:rPr>
          <w:rFonts w:hint="eastAsia" w:hAnsi="宋体" w:cs="宋体"/>
          <w:b/>
          <w:bCs/>
          <w:color w:val="auto"/>
          <w:w w:val="95"/>
          <w:sz w:val="30"/>
          <w:szCs w:val="30"/>
        </w:rPr>
        <w:t>广西科联招标中心有限公司</w:t>
      </w:r>
      <w:bookmarkEnd w:id="0"/>
    </w:p>
    <w:p>
      <w:pPr>
        <w:rPr>
          <w:rFonts w:hint="eastAsia" w:ascii="宋体" w:hAnsi="宋体" w:cs="宋体"/>
          <w:b/>
          <w:bCs/>
          <w:color w:val="auto"/>
          <w:w w:val="95"/>
          <w:sz w:val="30"/>
          <w:szCs w:val="30"/>
        </w:rPr>
      </w:pPr>
    </w:p>
    <w:p>
      <w:pPr>
        <w:pStyle w:val="11"/>
        <w:jc w:val="center"/>
        <w:rPr>
          <w:color w:val="auto"/>
        </w:rPr>
      </w:pPr>
      <w:r>
        <w:rPr>
          <w:rFonts w:hint="eastAsia" w:ascii="宋体" w:hAnsi="宋体" w:cs="宋体"/>
          <w:b/>
          <w:bCs/>
          <w:color w:val="auto"/>
          <w:w w:val="95"/>
          <w:sz w:val="30"/>
          <w:szCs w:val="30"/>
        </w:rPr>
        <w:t>2026年</w:t>
      </w:r>
      <w:r>
        <w:rPr>
          <w:rFonts w:hint="eastAsia" w:ascii="宋体" w:hAnsi="宋体" w:cs="宋体"/>
          <w:b/>
          <w:bCs/>
          <w:color w:val="auto"/>
          <w:w w:val="95"/>
          <w:sz w:val="30"/>
          <w:szCs w:val="30"/>
          <w:lang w:val="en-US" w:eastAsia="zh-CN"/>
        </w:rPr>
        <w:t>6</w:t>
      </w:r>
      <w:r>
        <w:rPr>
          <w:rFonts w:hint="eastAsia" w:ascii="宋体" w:hAnsi="宋体" w:cs="宋体"/>
          <w:b/>
          <w:bCs/>
          <w:color w:val="auto"/>
          <w:w w:val="95"/>
          <w:sz w:val="30"/>
          <w:szCs w:val="30"/>
        </w:rPr>
        <w:t>月</w:t>
      </w:r>
    </w:p>
    <w:p>
      <w:pPr>
        <w:pStyle w:val="14"/>
        <w:snapToGrid w:val="0"/>
        <w:spacing w:before="50" w:after="120" w:line="360" w:lineRule="auto"/>
        <w:ind w:firstLine="841" w:firstLineChars="294"/>
        <w:rPr>
          <w:rFonts w:hint="eastAsia" w:hAnsi="宋体" w:cs="宋体"/>
          <w:b/>
          <w:bCs/>
          <w:color w:val="auto"/>
          <w:w w:val="95"/>
          <w:sz w:val="30"/>
          <w:szCs w:val="30"/>
        </w:rPr>
      </w:pPr>
      <w:r>
        <w:rPr>
          <w:rFonts w:hint="eastAsia" w:hAnsi="宋体" w:cs="宋体"/>
          <w:b/>
          <w:bCs/>
          <w:color w:val="auto"/>
          <w:w w:val="95"/>
          <w:sz w:val="30"/>
          <w:szCs w:val="30"/>
        </w:rPr>
        <w:t xml:space="preserve">                   </w:t>
      </w:r>
    </w:p>
    <w:p>
      <w:pPr>
        <w:widowControl/>
        <w:spacing w:line="360" w:lineRule="auto"/>
        <w:jc w:val="left"/>
        <w:rPr>
          <w:rFonts w:hint="eastAsia" w:ascii="宋体" w:hAnsi="宋体" w:cs="宋体"/>
          <w:b/>
          <w:bCs/>
          <w:color w:val="auto"/>
          <w:w w:val="95"/>
          <w:sz w:val="30"/>
          <w:szCs w:val="30"/>
        </w:rPr>
        <w:sectPr>
          <w:pgSz w:w="11906" w:h="16838"/>
          <w:pgMar w:top="1134" w:right="1134" w:bottom="1134" w:left="1134" w:header="851" w:footer="851" w:gutter="0"/>
          <w:cols w:space="720" w:num="1"/>
          <w:docGrid w:linePitch="312" w:charSpace="0"/>
        </w:sectPr>
      </w:pPr>
    </w:p>
    <w:p>
      <w:pPr>
        <w:pStyle w:val="14"/>
        <w:snapToGrid w:val="0"/>
        <w:spacing w:before="50" w:after="120" w:line="360" w:lineRule="auto"/>
        <w:ind w:firstLine="617" w:firstLineChars="294"/>
        <w:rPr>
          <w:rFonts w:hint="eastAsia" w:hAnsi="宋体" w:cs="宋体"/>
          <w:color w:val="auto"/>
        </w:rPr>
      </w:pPr>
    </w:p>
    <w:p>
      <w:pPr>
        <w:pStyle w:val="14"/>
        <w:jc w:val="center"/>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rPr>
        <w:t>目     录</w:t>
      </w:r>
    </w:p>
    <w:p>
      <w:pPr>
        <w:rPr>
          <w:color w:val="auto"/>
        </w:rPr>
      </w:pPr>
    </w:p>
    <w:p>
      <w:pPr>
        <w:pStyle w:val="19"/>
        <w:tabs>
          <w:tab w:val="right" w:leader="dot" w:pos="9638"/>
        </w:tabs>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TOC \o "1-1" \h \u </w:instrText>
      </w:r>
      <w:r>
        <w:rPr>
          <w:rFonts w:hint="eastAsia" w:ascii="仿宋_GB2312" w:hAnsi="仿宋_GB2312" w:eastAsia="仿宋_GB2312" w:cs="仿宋_GB2312"/>
          <w:b w:val="0"/>
          <w:bCs w:val="0"/>
          <w:color w:val="auto"/>
          <w:sz w:val="32"/>
          <w:szCs w:val="32"/>
        </w:rPr>
        <w:fldChar w:fldCharType="separate"/>
      </w:r>
      <w:r>
        <w:rPr>
          <w:color w:val="auto"/>
        </w:rPr>
        <w:fldChar w:fldCharType="begin"/>
      </w:r>
      <w:r>
        <w:rPr>
          <w:color w:val="auto"/>
        </w:rPr>
        <w:instrText xml:space="preserve"> HYPERLINK \l "_Toc18386" </w:instrText>
      </w:r>
      <w:r>
        <w:rPr>
          <w:color w:val="auto"/>
        </w:rPr>
        <w:fldChar w:fldCharType="separate"/>
      </w:r>
      <w:r>
        <w:rPr>
          <w:rFonts w:hint="eastAsia" w:ascii="仿宋_GB2312" w:hAnsi="仿宋_GB2312" w:eastAsia="仿宋_GB2312" w:cs="仿宋_GB2312"/>
          <w:b w:val="0"/>
          <w:bCs w:val="0"/>
          <w:color w:val="auto"/>
          <w:sz w:val="32"/>
          <w:szCs w:val="32"/>
        </w:rPr>
        <w:t>第一章  招标公告</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_Toc18386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1</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"_Toc21791" </w:instrText>
      </w:r>
      <w:r>
        <w:rPr>
          <w:color w:val="auto"/>
        </w:rPr>
        <w:fldChar w:fldCharType="separate"/>
      </w:r>
      <w:r>
        <w:rPr>
          <w:rFonts w:hint="eastAsia" w:ascii="仿宋_GB2312" w:hAnsi="仿宋_GB2312" w:eastAsia="仿宋_GB2312" w:cs="仿宋_GB2312"/>
          <w:b w:val="0"/>
          <w:bCs w:val="0"/>
          <w:color w:val="auto"/>
          <w:sz w:val="32"/>
          <w:szCs w:val="32"/>
        </w:rPr>
        <w:t>第二章  采购需求</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_Toc21791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6</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"_Toc10316" </w:instrText>
      </w:r>
      <w:r>
        <w:rPr>
          <w:color w:val="auto"/>
        </w:rPr>
        <w:fldChar w:fldCharType="separate"/>
      </w:r>
      <w:r>
        <w:rPr>
          <w:rFonts w:hint="eastAsia" w:ascii="仿宋_GB2312" w:hAnsi="仿宋_GB2312" w:eastAsia="仿宋_GB2312" w:cs="仿宋_GB2312"/>
          <w:b w:val="0"/>
          <w:bCs w:val="0"/>
          <w:color w:val="auto"/>
          <w:sz w:val="32"/>
          <w:szCs w:val="32"/>
        </w:rPr>
        <w:t>第三章  投标人须知</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_Toc10316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149</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"_Toc28215" </w:instrText>
      </w:r>
      <w:r>
        <w:rPr>
          <w:color w:val="auto"/>
        </w:rPr>
        <w:fldChar w:fldCharType="separate"/>
      </w:r>
      <w:r>
        <w:rPr>
          <w:rFonts w:hint="eastAsia" w:ascii="仿宋_GB2312" w:hAnsi="仿宋_GB2312" w:eastAsia="仿宋_GB2312" w:cs="仿宋_GB2312"/>
          <w:b w:val="0"/>
          <w:bCs w:val="0"/>
          <w:color w:val="auto"/>
          <w:sz w:val="32"/>
          <w:szCs w:val="32"/>
        </w:rPr>
        <w:t>第四章  评标方法和评标标准</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_Toc28215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178</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"_Toc3087" </w:instrText>
      </w:r>
      <w:r>
        <w:rPr>
          <w:color w:val="auto"/>
        </w:rPr>
        <w:fldChar w:fldCharType="separate"/>
      </w:r>
      <w:r>
        <w:rPr>
          <w:rFonts w:hint="eastAsia" w:ascii="仿宋_GB2312" w:hAnsi="仿宋_GB2312" w:eastAsia="仿宋_GB2312" w:cs="仿宋_GB2312"/>
          <w:b w:val="0"/>
          <w:bCs w:val="0"/>
          <w:color w:val="auto"/>
          <w:sz w:val="32"/>
          <w:szCs w:val="32"/>
        </w:rPr>
        <w:t>第五章  拟签订的合同文本</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_Toc3087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196</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"_Toc6639" </w:instrText>
      </w:r>
      <w:r>
        <w:rPr>
          <w:color w:val="auto"/>
        </w:rPr>
        <w:fldChar w:fldCharType="separate"/>
      </w:r>
      <w:r>
        <w:rPr>
          <w:rFonts w:hint="eastAsia" w:ascii="仿宋_GB2312" w:hAnsi="仿宋_GB2312" w:eastAsia="仿宋_GB2312" w:cs="仿宋_GB2312"/>
          <w:b w:val="0"/>
          <w:bCs w:val="0"/>
          <w:color w:val="auto"/>
          <w:sz w:val="32"/>
          <w:szCs w:val="32"/>
        </w:rPr>
        <w:t>第六章  投标文件格式</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PAGEREF _Toc6639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207</w:t>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fldChar w:fldCharType="end"/>
      </w:r>
    </w:p>
    <w:p>
      <w:pPr>
        <w:pStyle w:val="19"/>
        <w:tabs>
          <w:tab w:val="right" w:leader="dot" w:pos="9638"/>
        </w:tabs>
        <w:rPr>
          <w:rFonts w:hint="eastAsia" w:ascii="仿宋_GB2312" w:hAnsi="仿宋_GB2312" w:eastAsia="仿宋_GB2312" w:cs="仿宋_GB2312"/>
          <w:b w:val="0"/>
          <w:bCs w:val="0"/>
          <w:color w:val="auto"/>
          <w:sz w:val="32"/>
          <w:szCs w:val="32"/>
        </w:rPr>
      </w:pPr>
      <w:r>
        <w:rPr>
          <w:color w:val="auto"/>
        </w:rPr>
        <w:fldChar w:fldCharType="begin"/>
      </w:r>
      <w:r>
        <w:rPr>
          <w:color w:val="auto"/>
        </w:rPr>
        <w:instrText xml:space="preserve"> HYPERLINK \l "_Toc22405" </w:instrText>
      </w:r>
      <w:r>
        <w:rPr>
          <w:color w:val="auto"/>
        </w:rPr>
        <w:fldChar w:fldCharType="separate"/>
      </w:r>
      <w:r>
        <w:rPr>
          <w:rFonts w:hint="eastAsia" w:ascii="仿宋_GB2312" w:hAnsi="仿宋_GB2312" w:eastAsia="仿宋_GB2312" w:cs="仿宋_GB2312"/>
          <w:b w:val="0"/>
          <w:bCs w:val="0"/>
          <w:color w:val="auto"/>
          <w:sz w:val="32"/>
          <w:szCs w:val="32"/>
        </w:rPr>
        <w:t>第七章  质疑、投诉材料格式</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rPr>
        <w:t>85</w:t>
      </w:r>
    </w:p>
    <w:p>
      <w:pPr>
        <w:pStyle w:val="14"/>
        <w:jc w:val="center"/>
        <w:rPr>
          <w:rFonts w:hint="eastAsia" w:hAnsi="宋体" w:cs="宋体"/>
          <w:color w:val="auto"/>
        </w:rPr>
      </w:pPr>
      <w:r>
        <w:rPr>
          <w:rFonts w:hint="eastAsia" w:ascii="仿宋_GB2312" w:hAnsi="仿宋_GB2312" w:eastAsia="仿宋_GB2312" w:cs="仿宋_GB2312"/>
          <w:color w:val="auto"/>
          <w:sz w:val="32"/>
          <w:szCs w:val="32"/>
        </w:rPr>
        <w:fldChar w:fldCharType="end"/>
      </w:r>
      <w:r>
        <w:rPr>
          <w:rFonts w:hint="eastAsia" w:hAnsi="宋体" w:cs="宋体"/>
          <w:color w:val="auto"/>
        </w:rPr>
        <w:tab/>
      </w:r>
      <w:bookmarkStart w:id="1" w:name="_Toc532545041"/>
    </w:p>
    <w:p>
      <w:pPr>
        <w:pStyle w:val="14"/>
        <w:jc w:val="center"/>
        <w:outlineLvl w:val="0"/>
        <w:rPr>
          <w:rFonts w:hint="eastAsia" w:hAnsi="宋体" w:cs="宋体"/>
          <w:b/>
          <w:color w:val="auto"/>
          <w:sz w:val="36"/>
        </w:rPr>
        <w:sectPr>
          <w:footerReference r:id="rId5" w:type="default"/>
          <w:pgSz w:w="11906" w:h="16838"/>
          <w:pgMar w:top="1134" w:right="1020" w:bottom="1020" w:left="1134" w:header="720" w:footer="720" w:gutter="0"/>
          <w:cols w:space="720" w:num="1"/>
          <w:docGrid w:type="lines" w:linePitch="331" w:charSpace="0"/>
        </w:sectPr>
      </w:pPr>
      <w:bookmarkStart w:id="2" w:name="_Toc14935"/>
      <w:bookmarkStart w:id="3" w:name="_Toc12135"/>
      <w:bookmarkStart w:id="4" w:name="_Toc22419"/>
      <w:bookmarkStart w:id="5" w:name="_Toc539"/>
      <w:bookmarkStart w:id="6" w:name="_Toc23304"/>
      <w:bookmarkStart w:id="7" w:name="_Toc19710"/>
      <w:bookmarkStart w:id="8" w:name="_Toc18386"/>
      <w:bookmarkStart w:id="9" w:name="_Toc2182"/>
      <w:bookmarkStart w:id="10" w:name="_Toc11023"/>
      <w:bookmarkStart w:id="11" w:name="_Toc20152"/>
    </w:p>
    <w:p>
      <w:pPr>
        <w:pStyle w:val="14"/>
        <w:jc w:val="center"/>
        <w:outlineLvl w:val="0"/>
        <w:rPr>
          <w:rFonts w:hint="eastAsia" w:hAnsi="宋体" w:cs="宋体"/>
          <w:b/>
          <w:color w:val="auto"/>
          <w:sz w:val="36"/>
        </w:rPr>
      </w:pPr>
      <w:r>
        <w:rPr>
          <w:rFonts w:hint="eastAsia" w:hAnsi="宋体" w:cs="宋体"/>
          <w:b/>
          <w:color w:val="auto"/>
          <w:sz w:val="36"/>
        </w:rPr>
        <w:t>第一章  招标公告</w:t>
      </w:r>
      <w:bookmarkEnd w:id="1"/>
      <w:bookmarkEnd w:id="2"/>
      <w:bookmarkEnd w:id="3"/>
      <w:bookmarkEnd w:id="4"/>
      <w:bookmarkEnd w:id="5"/>
      <w:bookmarkEnd w:id="6"/>
      <w:bookmarkEnd w:id="7"/>
      <w:bookmarkEnd w:id="8"/>
      <w:bookmarkEnd w:id="9"/>
      <w:bookmarkEnd w:id="10"/>
      <w:bookmarkEnd w:id="11"/>
    </w:p>
    <w:p>
      <w:pPr>
        <w:pStyle w:val="14"/>
        <w:jc w:val="center"/>
        <w:rPr>
          <w:rFonts w:hint="eastAsia" w:hAnsi="宋体" w:cs="宋体"/>
          <w:b/>
          <w:bCs/>
          <w:color w:val="auto"/>
          <w:sz w:val="32"/>
          <w:szCs w:val="32"/>
        </w:rPr>
      </w:pPr>
      <w:r>
        <w:rPr>
          <w:rFonts w:hint="eastAsia" w:hAnsi="宋体" w:cs="宋体"/>
          <w:b/>
          <w:bCs/>
          <w:color w:val="auto"/>
          <w:sz w:val="32"/>
          <w:szCs w:val="32"/>
        </w:rPr>
        <w:t>广西科联招标中心有限公司</w:t>
      </w:r>
    </w:p>
    <w:p>
      <w:pPr>
        <w:pStyle w:val="14"/>
        <w:jc w:val="center"/>
        <w:rPr>
          <w:rFonts w:hint="eastAsia" w:hAnsi="宋体" w:cs="宋体"/>
          <w:b/>
          <w:bCs/>
          <w:color w:val="auto"/>
          <w:sz w:val="32"/>
          <w:szCs w:val="32"/>
        </w:rPr>
      </w:pPr>
      <w:bookmarkStart w:id="12" w:name="OLE_LINK12"/>
      <w:r>
        <w:rPr>
          <w:rFonts w:hint="eastAsia" w:hAnsi="宋体" w:cs="宋体"/>
          <w:b/>
          <w:bCs/>
          <w:color w:val="auto"/>
          <w:sz w:val="32"/>
          <w:szCs w:val="32"/>
        </w:rPr>
        <w:t>广西医科大学武鸣校区教学设施采购项目</w:t>
      </w:r>
    </w:p>
    <w:bookmarkEnd w:id="12"/>
    <w:p>
      <w:pPr>
        <w:pStyle w:val="14"/>
        <w:jc w:val="center"/>
        <w:rPr>
          <w:rFonts w:hint="eastAsia" w:hAnsi="宋体" w:cs="宋体"/>
          <w:b/>
          <w:bCs/>
          <w:color w:val="auto"/>
          <w:sz w:val="32"/>
          <w:szCs w:val="32"/>
        </w:rPr>
      </w:pPr>
      <w:r>
        <w:rPr>
          <w:rFonts w:hint="eastAsia" w:hAnsi="宋体" w:cs="宋体"/>
          <w:b/>
          <w:bCs/>
          <w:color w:val="auto"/>
          <w:sz w:val="32"/>
          <w:szCs w:val="32"/>
        </w:rPr>
        <w:t>（</w:t>
      </w:r>
      <w:r>
        <w:rPr>
          <w:rFonts w:hint="eastAsia" w:hAnsi="宋体" w:cs="宋体"/>
          <w:b/>
          <w:bCs/>
          <w:color w:val="auto"/>
          <w:sz w:val="32"/>
          <w:szCs w:val="32"/>
          <w:lang w:eastAsia="zh-CN"/>
        </w:rPr>
        <w:t>GXZC2026-G1-001714-GXKL</w:t>
      </w:r>
      <w:r>
        <w:rPr>
          <w:rFonts w:hint="eastAsia" w:hAnsi="宋体" w:cs="宋体"/>
          <w:b/>
          <w:bCs/>
          <w:color w:val="auto"/>
          <w:sz w:val="32"/>
          <w:szCs w:val="32"/>
        </w:rPr>
        <w:t>）</w:t>
      </w:r>
    </w:p>
    <w:p>
      <w:pPr>
        <w:pStyle w:val="14"/>
        <w:jc w:val="center"/>
        <w:rPr>
          <w:rFonts w:hint="eastAsia" w:hAnsi="宋体" w:cs="宋体"/>
          <w:b/>
          <w:bCs/>
          <w:color w:val="auto"/>
          <w:sz w:val="30"/>
          <w:szCs w:val="30"/>
        </w:rPr>
      </w:pPr>
      <w:r>
        <w:rPr>
          <w:rFonts w:hint="eastAsia" w:hAnsi="宋体" w:cs="宋体"/>
          <w:b/>
          <w:bCs/>
          <w:color w:val="auto"/>
          <w:sz w:val="32"/>
          <w:szCs w:val="32"/>
        </w:rPr>
        <w:t>招标公告</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bookmarkStart w:id="13" w:name="OLE_LINK51"/>
      <w:r>
        <w:rPr>
          <w:rFonts w:hint="eastAsia" w:ascii="宋体" w:hAnsi="宋体" w:cs="宋体"/>
          <w:color w:val="auto"/>
          <w:szCs w:val="21"/>
        </w:rPr>
        <w:t>项目概况</w:t>
      </w:r>
    </w:p>
    <w:p>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b/>
          <w:bCs/>
          <w:color w:val="auto"/>
          <w:szCs w:val="21"/>
        </w:rPr>
      </w:pPr>
      <w:r>
        <w:rPr>
          <w:rFonts w:hint="eastAsia" w:ascii="宋体" w:hAnsi="宋体" w:cs="宋体"/>
          <w:color w:val="auto"/>
          <w:szCs w:val="21"/>
          <w:u w:val="single"/>
        </w:rPr>
        <w:t>广西医科大学武鸣校区教学设施采购项目</w:t>
      </w:r>
      <w:r>
        <w:rPr>
          <w:rFonts w:hint="eastAsia" w:ascii="宋体" w:hAnsi="宋体" w:cs="宋体"/>
          <w:color w:val="auto"/>
          <w:szCs w:val="21"/>
        </w:rPr>
        <w:t>招标项目的潜在投标人应在</w:t>
      </w:r>
      <w:r>
        <w:rPr>
          <w:rFonts w:hint="eastAsia" w:ascii="宋体" w:hAnsi="宋体" w:cs="宋体"/>
          <w:color w:val="auto"/>
          <w:szCs w:val="21"/>
          <w:u w:val="single"/>
        </w:rPr>
        <w:t>广西政府采购云平台（https://www.gcy.zfcg.gxzf.gov.cn/）</w:t>
      </w:r>
      <w:r>
        <w:rPr>
          <w:rFonts w:hint="eastAsia" w:ascii="宋体" w:hAnsi="宋体" w:cs="宋体"/>
          <w:color w:val="auto"/>
          <w:szCs w:val="21"/>
        </w:rPr>
        <w:t>获取招标文件，并于</w:t>
      </w:r>
      <w:bookmarkStart w:id="14" w:name="PO_3000001867_PM015"/>
      <w:r>
        <w:rPr>
          <w:rFonts w:hint="eastAsia" w:ascii="宋体" w:hAnsi="宋体" w:cs="宋体"/>
          <w:color w:val="auto"/>
          <w:szCs w:val="21"/>
          <w:u w:val="single"/>
        </w:rPr>
        <w:t>2026年</w:t>
      </w:r>
      <w:r>
        <w:rPr>
          <w:rFonts w:hint="eastAsia" w:ascii="宋体" w:hAnsi="宋体" w:cs="宋体"/>
          <w:color w:val="auto"/>
          <w:szCs w:val="21"/>
          <w:u w:val="single"/>
          <w:lang w:val="en-US" w:eastAsia="zh-CN"/>
        </w:rPr>
        <w:t>7</w:t>
      </w:r>
      <w:r>
        <w:rPr>
          <w:rFonts w:hint="eastAsia" w:ascii="宋体" w:hAnsi="宋体" w:cs="宋体"/>
          <w:color w:val="auto"/>
          <w:szCs w:val="21"/>
          <w:u w:val="single"/>
        </w:rPr>
        <w:t>月</w:t>
      </w:r>
      <w:r>
        <w:rPr>
          <w:rFonts w:hint="eastAsia" w:ascii="宋体" w:hAnsi="宋体" w:cs="宋体"/>
          <w:color w:val="auto"/>
          <w:szCs w:val="21"/>
          <w:u w:val="single"/>
          <w:lang w:val="en-US" w:eastAsia="zh-CN"/>
        </w:rPr>
        <w:t>21</w:t>
      </w:r>
      <w:r>
        <w:rPr>
          <w:rFonts w:hint="eastAsia" w:ascii="宋体" w:hAnsi="宋体" w:cs="宋体"/>
          <w:color w:val="auto"/>
          <w:szCs w:val="21"/>
          <w:u w:val="single"/>
        </w:rPr>
        <w:t>日</w:t>
      </w:r>
      <w:r>
        <w:rPr>
          <w:rFonts w:hint="eastAsia" w:ascii="宋体" w:hAnsi="宋体" w:cs="宋体"/>
          <w:bCs/>
          <w:color w:val="auto"/>
          <w:szCs w:val="21"/>
          <w:u w:val="single"/>
        </w:rPr>
        <w:t>09:30</w:t>
      </w:r>
      <w:bookmarkEnd w:id="14"/>
      <w:r>
        <w:rPr>
          <w:rFonts w:hint="eastAsia" w:ascii="宋体" w:hAnsi="宋体" w:cs="宋体"/>
          <w:bCs/>
          <w:color w:val="auto"/>
          <w:szCs w:val="21"/>
          <w:u w:val="single"/>
        </w:rPr>
        <w:t>（北京时间）</w:t>
      </w:r>
      <w:r>
        <w:rPr>
          <w:rFonts w:hint="eastAsia" w:ascii="宋体" w:hAnsi="宋体" w:cs="宋体"/>
          <w:bCs/>
          <w:color w:val="auto"/>
          <w:szCs w:val="21"/>
        </w:rPr>
        <w:t>前</w:t>
      </w:r>
      <w:r>
        <w:rPr>
          <w:rFonts w:hint="eastAsia" w:ascii="宋体" w:hAnsi="宋体" w:cs="宋体"/>
          <w:color w:val="auto"/>
          <w:szCs w:val="21"/>
        </w:rPr>
        <w:t>提交文件。</w:t>
      </w:r>
      <w:bookmarkStart w:id="15" w:name="_Toc28359079"/>
      <w:bookmarkStart w:id="16" w:name="_Toc28359002"/>
      <w:bookmarkStart w:id="17" w:name="_Toc35393790"/>
      <w:bookmarkStart w:id="18" w:name="_Toc35393621"/>
      <w:bookmarkStart w:id="19" w:name="_Hlk24379207"/>
    </w:p>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r>
        <w:rPr>
          <w:rFonts w:hint="eastAsia" w:ascii="宋体" w:hAnsi="宋体" w:cs="宋体"/>
          <w:b/>
          <w:bCs/>
          <w:color w:val="auto"/>
          <w:szCs w:val="21"/>
        </w:rPr>
        <w:t>一、项目基本情况</w:t>
      </w:r>
      <w:bookmarkEnd w:id="15"/>
      <w:bookmarkEnd w:id="16"/>
      <w:bookmarkEnd w:id="17"/>
      <w:bookmarkEnd w:id="18"/>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rPr>
        <w:t>项目编号：</w:t>
      </w:r>
      <w:bookmarkStart w:id="20" w:name="PO_3000001867_PM001_1"/>
      <w:r>
        <w:rPr>
          <w:rFonts w:hint="eastAsia" w:ascii="宋体" w:hAnsi="宋体" w:cs="宋体"/>
          <w:color w:val="auto"/>
          <w:szCs w:val="21"/>
          <w:lang w:eastAsia="zh-CN"/>
        </w:rPr>
        <w:t>GXZC2026-G1-001714-GXKL</w:t>
      </w:r>
    </w:p>
    <w:bookmarkEnd w:id="20"/>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r>
        <w:rPr>
          <w:rFonts w:hint="eastAsia" w:ascii="宋体" w:hAnsi="宋体" w:cs="宋体"/>
          <w:color w:val="auto"/>
          <w:szCs w:val="21"/>
        </w:rPr>
        <w:t>项目名称：广西医科大学武鸣校区教学设施采购项目</w:t>
      </w:r>
    </w:p>
    <w:bookmarkEnd w:id="19"/>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bookmarkStart w:id="21" w:name="_Toc35393791"/>
      <w:bookmarkStart w:id="22" w:name="_Toc28359003"/>
      <w:bookmarkStart w:id="23" w:name="_Toc28359080"/>
      <w:bookmarkStart w:id="24" w:name="_Toc35393622"/>
      <w:r>
        <w:rPr>
          <w:rFonts w:hint="eastAsia" w:ascii="宋体" w:hAnsi="宋体" w:cs="宋体"/>
          <w:color w:val="auto"/>
          <w:szCs w:val="21"/>
        </w:rPr>
        <w:t>预算总金额（元）：5180663.21</w:t>
      </w:r>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r>
        <w:rPr>
          <w:rFonts w:hint="eastAsia" w:ascii="宋体" w:hAnsi="宋体" w:cs="宋体"/>
          <w:color w:val="auto"/>
          <w:szCs w:val="21"/>
        </w:rPr>
        <w:t>采购需求：</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2" w:firstLineChars="300"/>
        <w:textAlignment w:val="auto"/>
        <w:rPr>
          <w:rFonts w:hint="eastAsia"/>
          <w:b/>
          <w:bCs/>
          <w:color w:val="auto"/>
          <w:sz w:val="21"/>
          <w:szCs w:val="21"/>
        </w:rPr>
      </w:pPr>
      <w:r>
        <w:rPr>
          <w:rFonts w:hint="eastAsia"/>
          <w:b/>
          <w:bCs/>
          <w:color w:val="auto"/>
          <w:sz w:val="21"/>
          <w:szCs w:val="21"/>
        </w:rPr>
        <w:t>标项一</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标项名称：广西医科大学武鸣校区教学设施采购项目（一）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数量：94</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预算金额（元）：</w:t>
      </w:r>
      <w:r>
        <w:rPr>
          <w:color w:val="auto"/>
        </w:rPr>
        <w:t xml:space="preserve"> </w:t>
      </w:r>
      <w:r>
        <w:rPr>
          <w:rFonts w:hint="eastAsia"/>
          <w:color w:val="auto"/>
          <w:sz w:val="21"/>
          <w:szCs w:val="21"/>
        </w:rPr>
        <w:t>2371437.18 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简要规格描述或项目基本概况介绍、用途：平衡调整式净化解剖台12台，音响系统3套，移动式微方导流净化系统1个，不锈钢水池（4人位）3套，外排除臭设备1台，外排除臭设备2台，不锈钢立式导流装置8个，组合式净化排风机组1台，组合式净化排风机组2台，全控净化高能离子发生装置3套，无影智控层流罩12个，顶送式送风罩20个，屋顶式空调机组1台，高静压风管送风式分体空调机组2套，实验室空气传感系统3套，语音交互版智慧物联核心监控系统3套，智慧终端控制器3台，Ai数字人智能交互控制平台1台，静压式消声模块6个，风机软启动变频器3个，风管3项，总控电柜1个。详见本公告附件。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最高限价（如有）：2371437.18元</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lang w:bidi="ar"/>
        </w:rPr>
      </w:pPr>
      <w:r>
        <w:rPr>
          <w:rFonts w:hint="eastAsia"/>
          <w:color w:val="auto"/>
          <w:sz w:val="21"/>
          <w:szCs w:val="21"/>
          <w:lang w:eastAsia="zh-CN"/>
        </w:rPr>
        <w:t>合同履行期限</w:t>
      </w:r>
      <w:r>
        <w:rPr>
          <w:rFonts w:hint="eastAsia"/>
          <w:color w:val="auto"/>
          <w:sz w:val="21"/>
          <w:szCs w:val="21"/>
        </w:rPr>
        <w:t>：自</w:t>
      </w:r>
      <w:r>
        <w:rPr>
          <w:rFonts w:hint="eastAsia"/>
          <w:color w:val="auto"/>
          <w:sz w:val="21"/>
          <w:szCs w:val="21"/>
          <w:lang w:bidi="ar"/>
        </w:rPr>
        <w:t>合同签订之日起45个工作日内将货物运至采购人指定地点，并完成安装调试。</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本标项（否）接受联合体投标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备注：无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2" w:firstLineChars="300"/>
        <w:textAlignment w:val="auto"/>
        <w:rPr>
          <w:rFonts w:hint="eastAsia"/>
          <w:b/>
          <w:bCs/>
          <w:color w:val="auto"/>
          <w:sz w:val="21"/>
          <w:szCs w:val="21"/>
        </w:rPr>
      </w:pPr>
      <w:r>
        <w:rPr>
          <w:rFonts w:hint="eastAsia"/>
          <w:b/>
          <w:bCs/>
          <w:color w:val="auto"/>
          <w:sz w:val="21"/>
          <w:szCs w:val="21"/>
        </w:rPr>
        <w:t>标项二</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标项名称：广西医科大学武鸣校区教学设施采购项目（二）</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数量：86</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预算金额（元）：</w:t>
      </w:r>
      <w:r>
        <w:rPr>
          <w:color w:val="auto"/>
        </w:rPr>
        <w:t xml:space="preserve"> </w:t>
      </w:r>
      <w:r>
        <w:rPr>
          <w:rFonts w:hint="eastAsia"/>
          <w:color w:val="auto"/>
          <w:sz w:val="21"/>
          <w:szCs w:val="21"/>
        </w:rPr>
        <w:t>1252502.14 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简要规格描述或项目基本概况介绍、用途：教学互动系统（学生）1套，多媒体智能控制系统1套，机能学实验系统2套，生物机能实验系统6台，智能热板仪14台，紫外分光光度计2台，集智还原系统 60套。详见本公告附件。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最高限价（如有）：1252502.14元</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lang w:bidi="ar"/>
        </w:rPr>
      </w:pPr>
      <w:r>
        <w:rPr>
          <w:rFonts w:hint="eastAsia"/>
          <w:color w:val="auto"/>
          <w:sz w:val="21"/>
          <w:szCs w:val="21"/>
          <w:lang w:eastAsia="zh-CN"/>
        </w:rPr>
        <w:t>合同履行期限</w:t>
      </w:r>
      <w:r>
        <w:rPr>
          <w:rFonts w:hint="eastAsia"/>
          <w:color w:val="auto"/>
          <w:sz w:val="21"/>
          <w:szCs w:val="21"/>
        </w:rPr>
        <w:t>：自</w:t>
      </w:r>
      <w:r>
        <w:rPr>
          <w:rFonts w:hint="eastAsia"/>
          <w:color w:val="auto"/>
          <w:sz w:val="21"/>
          <w:szCs w:val="21"/>
          <w:lang w:bidi="ar"/>
        </w:rPr>
        <w:t>合同签订之日起30个工作日内将货物运至采购人指定地点，并完成安装调试。</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本标项（否）接受联合体投标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备注：无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2" w:firstLineChars="300"/>
        <w:textAlignment w:val="auto"/>
        <w:rPr>
          <w:rFonts w:hint="eastAsia"/>
          <w:b/>
          <w:bCs/>
          <w:color w:val="auto"/>
          <w:sz w:val="21"/>
          <w:szCs w:val="21"/>
        </w:rPr>
      </w:pPr>
      <w:r>
        <w:rPr>
          <w:rFonts w:hint="eastAsia"/>
          <w:b/>
          <w:bCs/>
          <w:color w:val="auto"/>
          <w:sz w:val="21"/>
          <w:szCs w:val="21"/>
        </w:rPr>
        <w:t>标项三</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标项名称：广西医科大学武鸣校区教学设施采购项目（三）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数量：97</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预算金额（元）：</w:t>
      </w:r>
      <w:r>
        <w:rPr>
          <w:color w:val="auto"/>
        </w:rPr>
        <w:t xml:space="preserve"> </w:t>
      </w:r>
      <w:r>
        <w:rPr>
          <w:rFonts w:hint="eastAsia"/>
          <w:color w:val="auto"/>
          <w:sz w:val="21"/>
          <w:szCs w:val="21"/>
        </w:rPr>
        <w:t>293307.22 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简要规格描述或项目基本概况介绍、用途：全钢通风柜7台，可见分光光度计28台，1.5ml高速离心机2台，水浴锅2台，功放2台，电动投影幕布2台，冰箱2台，音箱2台，不锈钢器具推车4辆，电热恒温水浴箱4台，直排风通风系统1套，冰箱1台，冰柜1台，超净工作台1台，低速台式离心机2台，掌上离心机1台，电泳槽2台，电泳仪1台，多用脱色摇床1台，酶标仪(固定波长)1台，生化培养箱1台，试剂运送车1辆，微波炉1台，小型混匀器1台，电动投影幕布2个，音箱12个，功放6台，一拖四无线麦克风4套，设备机柜2台。详见本公告附件。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最高限价（如有）：293307.22元</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lang w:bidi="ar"/>
        </w:rPr>
      </w:pPr>
      <w:r>
        <w:rPr>
          <w:rFonts w:hint="eastAsia"/>
          <w:color w:val="auto"/>
          <w:sz w:val="21"/>
          <w:szCs w:val="21"/>
          <w:lang w:eastAsia="zh-CN"/>
        </w:rPr>
        <w:t>合同履行期限</w:t>
      </w:r>
      <w:r>
        <w:rPr>
          <w:rFonts w:hint="eastAsia"/>
          <w:color w:val="auto"/>
          <w:sz w:val="21"/>
          <w:szCs w:val="21"/>
        </w:rPr>
        <w:t>：自</w:t>
      </w:r>
      <w:r>
        <w:rPr>
          <w:rFonts w:hint="eastAsia"/>
          <w:color w:val="auto"/>
          <w:sz w:val="21"/>
          <w:szCs w:val="21"/>
          <w:lang w:bidi="ar"/>
        </w:rPr>
        <w:t>合同签订之日起30个工作日内将货物运至采购人指定地点，并完成安装调试。</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本标项（否）接受联合体投标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备注：无</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2" w:firstLineChars="300"/>
        <w:textAlignment w:val="auto"/>
        <w:rPr>
          <w:rFonts w:hint="eastAsia"/>
          <w:b/>
          <w:bCs/>
          <w:color w:val="auto"/>
          <w:sz w:val="21"/>
          <w:szCs w:val="21"/>
        </w:rPr>
      </w:pPr>
      <w:r>
        <w:rPr>
          <w:rFonts w:hint="eastAsia"/>
          <w:b/>
          <w:bCs/>
          <w:color w:val="auto"/>
          <w:sz w:val="21"/>
          <w:szCs w:val="21"/>
        </w:rPr>
        <w:t>标项四</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标项名称：广西医科大学武鸣校区教学设施采购项目（四）</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数量：291</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预算金额（元）：</w:t>
      </w:r>
      <w:r>
        <w:rPr>
          <w:color w:val="auto"/>
        </w:rPr>
        <w:t xml:space="preserve"> </w:t>
      </w:r>
      <w:r>
        <w:rPr>
          <w:rFonts w:hint="eastAsia"/>
          <w:color w:val="auto"/>
          <w:sz w:val="21"/>
          <w:szCs w:val="21"/>
        </w:rPr>
        <w:t>1263416.67</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简要规格描述或项目基本概况介绍、用途：双屏软件系统3套，移动支架16个，智慧教学系统3套，分组研讨教学系统16套，无线麦克风3套，吊装麦克风7只，液晶控制面板3台，一体化超融合终端3台，音箱6对，4K录播一体机3台，4K高清录播系统3套，智能分析主机3台，图像跟踪系统3套，4K超高清摄像机15台，智能中控屏3台，跟踪半球6台，时序电源控制器3台，无线AP3台，交换机3台，机柜3套，AI教学管理平台应用系统1套，AI智能行为分析管理平台1套，应用系统终端1台，导播键盘2台，专业音箱350W6只，专业音箱150W10只，支架16只，抑制器3台，会议音频综合管理平台软件1套，专业功放13台，专业功放23台，话筒3套，无线手持话筒3套，话筒呼叫控制嵌入软件3套，话筒天线3套，调音台3台，音频处理器3台，机柜3套，网络中控主机2台，网络中控系统逻辑处理内嵌软件2套，控制器2台，中控控制终端2台，交换机2台，电源管理器3台，智慧显示终端6台，LED平板灯88盏，一拖二机组6套，空调机组2台。详见本公告附件。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最高限价（如有）：1263416.67元</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lang w:eastAsia="zh-CN"/>
        </w:rPr>
        <w:t>合同履行期限</w:t>
      </w:r>
      <w:r>
        <w:rPr>
          <w:rFonts w:hint="eastAsia"/>
          <w:color w:val="auto"/>
          <w:sz w:val="21"/>
          <w:szCs w:val="21"/>
        </w:rPr>
        <w:t>：自</w:t>
      </w:r>
      <w:r>
        <w:rPr>
          <w:rFonts w:hint="eastAsia"/>
          <w:color w:val="auto"/>
          <w:sz w:val="21"/>
          <w:szCs w:val="21"/>
          <w:lang w:bidi="ar"/>
        </w:rPr>
        <w:t>合同签订之日起30个工作日内将货物运至采购人指定地点，并完成安装调试</w:t>
      </w:r>
      <w:r>
        <w:rPr>
          <w:rFonts w:hint="eastAsia"/>
          <w:color w:val="auto"/>
          <w:sz w:val="21"/>
          <w:szCs w:val="21"/>
        </w:rPr>
        <w:t>。</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本标项（否）接受联合体投标 </w:t>
      </w:r>
    </w:p>
    <w:p>
      <w:pPr>
        <w:pStyle w:val="23"/>
        <w:keepNext w:val="0"/>
        <w:keepLines w:val="0"/>
        <w:pageBreakBefore w:val="0"/>
        <w:kinsoku/>
        <w:wordWrap/>
        <w:overflowPunct/>
        <w:topLinePunct w:val="0"/>
        <w:autoSpaceDE/>
        <w:autoSpaceDN/>
        <w:bidi w:val="0"/>
        <w:adjustRightInd/>
        <w:spacing w:before="0" w:beforeAutospacing="0" w:after="0" w:afterAutospacing="0" w:line="440" w:lineRule="atLeast"/>
        <w:ind w:firstLine="630" w:firstLineChars="300"/>
        <w:textAlignment w:val="auto"/>
        <w:rPr>
          <w:rFonts w:hint="eastAsia"/>
          <w:color w:val="auto"/>
          <w:sz w:val="21"/>
          <w:szCs w:val="21"/>
        </w:rPr>
      </w:pPr>
      <w:r>
        <w:rPr>
          <w:rFonts w:hint="eastAsia"/>
          <w:color w:val="auto"/>
          <w:sz w:val="21"/>
          <w:szCs w:val="21"/>
        </w:rPr>
        <w:t>备注：无  </w:t>
      </w:r>
    </w:p>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r>
        <w:rPr>
          <w:rFonts w:hint="eastAsia" w:ascii="宋体" w:hAnsi="宋体" w:cs="宋体"/>
          <w:b/>
          <w:bCs/>
          <w:color w:val="auto"/>
          <w:szCs w:val="21"/>
        </w:rPr>
        <w:t>二、申请人的资格要求：</w:t>
      </w:r>
      <w:bookmarkEnd w:id="21"/>
      <w:bookmarkEnd w:id="22"/>
      <w:bookmarkEnd w:id="23"/>
      <w:bookmarkEnd w:id="24"/>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bookmarkStart w:id="25" w:name="_Hlk51746371"/>
      <w:bookmarkStart w:id="26" w:name="_Toc28359081"/>
      <w:bookmarkStart w:id="27" w:name="_Toc28359004"/>
      <w:r>
        <w:rPr>
          <w:rFonts w:hint="eastAsia" w:ascii="宋体" w:hAnsi="宋体" w:cs="宋体"/>
          <w:color w:val="auto"/>
          <w:szCs w:val="21"/>
        </w:rPr>
        <w:t>1.满足《中华人民共和国政府采购法》第二十二条规定；</w:t>
      </w:r>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u w:val="single"/>
        </w:rPr>
      </w:pPr>
      <w:r>
        <w:rPr>
          <w:rFonts w:hint="eastAsia" w:ascii="宋体" w:hAnsi="宋体" w:cs="宋体"/>
          <w:color w:val="auto"/>
          <w:szCs w:val="21"/>
        </w:rPr>
        <w:t>2.落实政府采购政策需满足的资格要求：无</w:t>
      </w:r>
    </w:p>
    <w:bookmarkEnd w:id="25"/>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r>
        <w:rPr>
          <w:rFonts w:hint="eastAsia" w:ascii="宋体" w:hAnsi="宋体" w:cs="宋体"/>
          <w:color w:val="auto"/>
          <w:szCs w:val="21"/>
        </w:rPr>
        <w:t>3.本项目的特定资格要求：</w:t>
      </w:r>
      <w:bookmarkStart w:id="28" w:name="OLE_LINK26"/>
      <w:r>
        <w:rPr>
          <w:rFonts w:hint="eastAsia" w:ascii="宋体" w:hAnsi="宋体" w:cs="宋体"/>
          <w:color w:val="auto"/>
          <w:szCs w:val="21"/>
        </w:rPr>
        <w:t>无。</w:t>
      </w:r>
    </w:p>
    <w:bookmarkEnd w:id="28"/>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bookmarkStart w:id="29" w:name="_Toc35393623"/>
      <w:bookmarkStart w:id="30" w:name="_Toc35393792"/>
      <w:r>
        <w:rPr>
          <w:rFonts w:hint="eastAsia" w:ascii="宋体" w:hAnsi="宋体" w:cs="宋体"/>
          <w:b/>
          <w:bCs/>
          <w:color w:val="auto"/>
          <w:szCs w:val="21"/>
        </w:rPr>
        <w:t>三、获取招标文件</w:t>
      </w:r>
      <w:bookmarkEnd w:id="26"/>
      <w:bookmarkEnd w:id="27"/>
      <w:bookmarkEnd w:id="29"/>
      <w:bookmarkEnd w:id="30"/>
    </w:p>
    <w:p>
      <w:pPr>
        <w:keepNext w:val="0"/>
        <w:keepLines w:val="0"/>
        <w:pageBreakBefore w:val="0"/>
        <w:kinsoku/>
        <w:wordWrap/>
        <w:overflowPunct/>
        <w:topLinePunct w:val="0"/>
        <w:autoSpaceDE/>
        <w:autoSpaceDN/>
        <w:bidi w:val="0"/>
        <w:adjustRightInd/>
        <w:spacing w:after="0" w:line="440" w:lineRule="atLeast"/>
        <w:ind w:firstLine="540"/>
        <w:textAlignment w:val="auto"/>
        <w:rPr>
          <w:rFonts w:hint="eastAsia" w:ascii="宋体" w:hAnsi="宋体" w:cs="宋体"/>
          <w:color w:val="auto"/>
          <w:szCs w:val="21"/>
        </w:rPr>
      </w:pPr>
      <w:bookmarkStart w:id="31" w:name="_Toc28359082"/>
      <w:bookmarkStart w:id="32" w:name="_Toc28359005"/>
      <w:bookmarkStart w:id="33" w:name="_Toc35393624"/>
      <w:bookmarkStart w:id="34" w:name="_Toc35393793"/>
      <w:r>
        <w:rPr>
          <w:rFonts w:hint="eastAsia" w:ascii="宋体" w:hAnsi="宋体" w:cs="宋体"/>
          <w:color w:val="auto"/>
          <w:szCs w:val="21"/>
        </w:rPr>
        <w:t>时间：</w:t>
      </w:r>
      <w:r>
        <w:rPr>
          <w:rFonts w:hint="eastAsia" w:ascii="宋体" w:hAnsi="宋体" w:cs="宋体"/>
          <w:bCs/>
          <w:color w:val="auto"/>
          <w:kern w:val="0"/>
          <w:szCs w:val="21"/>
          <w:u w:val="single"/>
        </w:rPr>
        <w:t>2026年</w:t>
      </w:r>
      <w:r>
        <w:rPr>
          <w:rFonts w:hint="eastAsia" w:ascii="宋体" w:hAnsi="宋体" w:cs="宋体"/>
          <w:bCs/>
          <w:color w:val="auto"/>
          <w:kern w:val="0"/>
          <w:szCs w:val="21"/>
          <w:u w:val="single"/>
          <w:lang w:val="en-US" w:eastAsia="zh-CN"/>
        </w:rPr>
        <w:t>6</w:t>
      </w:r>
      <w:r>
        <w:rPr>
          <w:rFonts w:hint="eastAsia" w:ascii="宋体" w:hAnsi="宋体" w:cs="宋体"/>
          <w:bCs/>
          <w:color w:val="auto"/>
          <w:kern w:val="0"/>
          <w:szCs w:val="21"/>
          <w:u w:val="single"/>
        </w:rPr>
        <w:t>月</w:t>
      </w:r>
      <w:r>
        <w:rPr>
          <w:rFonts w:hint="eastAsia" w:ascii="宋体" w:hAnsi="宋体" w:cs="宋体"/>
          <w:bCs/>
          <w:color w:val="auto"/>
          <w:kern w:val="0"/>
          <w:szCs w:val="21"/>
          <w:u w:val="single"/>
          <w:lang w:val="en-US" w:eastAsia="zh-CN"/>
        </w:rPr>
        <w:t>29</w:t>
      </w:r>
      <w:r>
        <w:rPr>
          <w:rFonts w:hint="eastAsia" w:ascii="宋体" w:hAnsi="宋体" w:cs="宋体"/>
          <w:bCs/>
          <w:color w:val="auto"/>
          <w:kern w:val="0"/>
          <w:szCs w:val="21"/>
          <w:u w:val="single"/>
        </w:rPr>
        <w:t>日</w:t>
      </w:r>
      <w:r>
        <w:rPr>
          <w:rFonts w:hint="eastAsia" w:ascii="宋体" w:hAnsi="宋体" w:cs="宋体"/>
          <w:bCs/>
          <w:color w:val="auto"/>
          <w:kern w:val="0"/>
          <w:szCs w:val="21"/>
        </w:rPr>
        <w:t>至</w:t>
      </w:r>
      <w:r>
        <w:rPr>
          <w:rFonts w:hint="eastAsia" w:ascii="宋体" w:hAnsi="宋体" w:cs="宋体"/>
          <w:bCs/>
          <w:color w:val="auto"/>
          <w:kern w:val="0"/>
          <w:szCs w:val="21"/>
          <w:u w:val="single"/>
        </w:rPr>
        <w:t>2026年</w:t>
      </w:r>
      <w:r>
        <w:rPr>
          <w:rFonts w:hint="eastAsia" w:ascii="宋体" w:hAnsi="宋体" w:cs="宋体"/>
          <w:bCs/>
          <w:color w:val="auto"/>
          <w:kern w:val="0"/>
          <w:szCs w:val="21"/>
          <w:u w:val="single"/>
          <w:lang w:val="en-US" w:eastAsia="zh-CN"/>
        </w:rPr>
        <w:t>7</w:t>
      </w:r>
      <w:r>
        <w:rPr>
          <w:rFonts w:hint="eastAsia" w:ascii="宋体" w:hAnsi="宋体" w:cs="宋体"/>
          <w:bCs/>
          <w:color w:val="auto"/>
          <w:kern w:val="0"/>
          <w:szCs w:val="21"/>
          <w:u w:val="single"/>
        </w:rPr>
        <w:t>月</w:t>
      </w:r>
      <w:r>
        <w:rPr>
          <w:rFonts w:hint="eastAsia" w:ascii="宋体" w:hAnsi="宋体" w:cs="宋体"/>
          <w:bCs/>
          <w:color w:val="auto"/>
          <w:kern w:val="0"/>
          <w:szCs w:val="21"/>
          <w:u w:val="single"/>
          <w:lang w:val="en-US" w:eastAsia="zh-CN"/>
        </w:rPr>
        <w:t>6</w:t>
      </w:r>
      <w:r>
        <w:rPr>
          <w:rFonts w:hint="eastAsia" w:ascii="宋体" w:hAnsi="宋体" w:cs="宋体"/>
          <w:bCs/>
          <w:color w:val="auto"/>
          <w:kern w:val="0"/>
          <w:szCs w:val="21"/>
          <w:u w:val="single"/>
        </w:rPr>
        <w:t>日</w:t>
      </w:r>
      <w:r>
        <w:rPr>
          <w:rFonts w:hint="eastAsia" w:ascii="宋体" w:hAnsi="宋体" w:cs="宋体"/>
          <w:bCs/>
          <w:color w:val="auto"/>
          <w:kern w:val="0"/>
          <w:szCs w:val="21"/>
        </w:rPr>
        <w:t>，每天上午</w:t>
      </w:r>
      <w:r>
        <w:rPr>
          <w:rFonts w:hint="eastAsia" w:ascii="宋体" w:hAnsi="宋体" w:cs="宋体"/>
          <w:bCs/>
          <w:color w:val="auto"/>
          <w:kern w:val="0"/>
          <w:szCs w:val="21"/>
          <w:u w:val="single"/>
        </w:rPr>
        <w:t>00：00</w:t>
      </w:r>
      <w:r>
        <w:rPr>
          <w:rFonts w:hint="eastAsia" w:ascii="宋体" w:hAnsi="宋体" w:cs="宋体"/>
          <w:bCs/>
          <w:color w:val="auto"/>
          <w:kern w:val="0"/>
          <w:szCs w:val="21"/>
        </w:rPr>
        <w:t>至</w:t>
      </w:r>
      <w:r>
        <w:rPr>
          <w:rFonts w:hint="eastAsia" w:ascii="宋体" w:hAnsi="宋体" w:cs="宋体"/>
          <w:bCs/>
          <w:color w:val="auto"/>
          <w:kern w:val="0"/>
          <w:szCs w:val="21"/>
          <w:u w:val="single"/>
        </w:rPr>
        <w:t>12:00</w:t>
      </w:r>
      <w:r>
        <w:rPr>
          <w:rFonts w:hint="eastAsia" w:ascii="宋体" w:hAnsi="宋体" w:cs="宋体"/>
          <w:bCs/>
          <w:color w:val="auto"/>
          <w:kern w:val="0"/>
          <w:szCs w:val="21"/>
        </w:rPr>
        <w:t>，下午</w:t>
      </w:r>
      <w:r>
        <w:rPr>
          <w:rFonts w:hint="eastAsia" w:ascii="宋体" w:hAnsi="宋体" w:cs="宋体"/>
          <w:bCs/>
          <w:color w:val="auto"/>
          <w:kern w:val="0"/>
          <w:szCs w:val="21"/>
          <w:u w:val="single"/>
        </w:rPr>
        <w:t>12:00</w:t>
      </w:r>
      <w:r>
        <w:rPr>
          <w:rFonts w:hint="eastAsia" w:ascii="宋体" w:hAnsi="宋体" w:cs="宋体"/>
          <w:bCs/>
          <w:color w:val="auto"/>
          <w:kern w:val="0"/>
          <w:szCs w:val="21"/>
        </w:rPr>
        <w:t>至</w:t>
      </w:r>
      <w:r>
        <w:rPr>
          <w:rFonts w:hint="eastAsia" w:ascii="宋体" w:hAnsi="宋体" w:cs="宋体"/>
          <w:bCs/>
          <w:color w:val="auto"/>
          <w:kern w:val="0"/>
          <w:szCs w:val="21"/>
          <w:u w:val="single"/>
        </w:rPr>
        <w:t>23:59</w:t>
      </w:r>
      <w:r>
        <w:rPr>
          <w:rFonts w:hint="eastAsia" w:ascii="宋体" w:hAnsi="宋体" w:cs="宋体"/>
          <w:bCs/>
          <w:color w:val="auto"/>
          <w:kern w:val="0"/>
          <w:szCs w:val="21"/>
        </w:rPr>
        <w:t>（北京时间，法定节假日除外）</w:t>
      </w:r>
      <w:r>
        <w:rPr>
          <w:rFonts w:hint="eastAsia" w:ascii="宋体" w:hAnsi="宋体" w:cs="宋体"/>
          <w:color w:val="auto"/>
          <w:szCs w:val="21"/>
        </w:rPr>
        <w:t>。</w:t>
      </w:r>
    </w:p>
    <w:p>
      <w:pPr>
        <w:pStyle w:val="11"/>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r>
        <w:rPr>
          <w:rFonts w:hint="eastAsia" w:ascii="宋体" w:hAnsi="宋体" w:cs="宋体"/>
          <w:color w:val="auto"/>
          <w:szCs w:val="21"/>
        </w:rPr>
        <w:t>地点：</w:t>
      </w:r>
      <w:bookmarkStart w:id="35" w:name="OLE_LINK4"/>
      <w:bookmarkStart w:id="36" w:name="OLE_LINK18"/>
      <w:r>
        <w:rPr>
          <w:rFonts w:hint="eastAsia" w:ascii="宋体" w:hAnsi="宋体" w:cs="宋体"/>
          <w:color w:val="auto"/>
          <w:szCs w:val="21"/>
        </w:rPr>
        <w:t>广西政府采购云平台（</w:t>
      </w:r>
      <w:r>
        <w:rPr>
          <w:rStyle w:val="29"/>
          <w:rFonts w:hint="eastAsia" w:ascii="宋体" w:hAnsi="宋体" w:cs="宋体"/>
          <w:b w:val="0"/>
          <w:bCs w:val="0"/>
          <w:color w:val="auto"/>
          <w:szCs w:val="21"/>
        </w:rPr>
        <w:t>https://www.gcy.zfcg.gxzf.gov.cn/</w:t>
      </w:r>
      <w:r>
        <w:rPr>
          <w:rFonts w:hint="eastAsia" w:ascii="宋体" w:hAnsi="宋体" w:cs="宋体"/>
          <w:color w:val="auto"/>
          <w:szCs w:val="21"/>
        </w:rPr>
        <w:t>）</w:t>
      </w:r>
      <w:bookmarkEnd w:id="35"/>
    </w:p>
    <w:bookmarkEnd w:id="36"/>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b/>
          <w:bCs/>
          <w:color w:val="auto"/>
          <w:szCs w:val="21"/>
        </w:rPr>
      </w:pPr>
      <w:r>
        <w:rPr>
          <w:rFonts w:hint="eastAsia" w:ascii="宋体" w:hAnsi="宋体" w:cs="宋体"/>
          <w:color w:val="auto"/>
          <w:szCs w:val="21"/>
        </w:rPr>
        <w:t>方式：</w:t>
      </w:r>
      <w:bookmarkStart w:id="37" w:name="OLE_LINK19"/>
      <w:r>
        <w:rPr>
          <w:rFonts w:hint="eastAsia" w:ascii="宋体" w:hAnsi="宋体" w:cs="宋体"/>
          <w:color w:val="auto"/>
          <w:szCs w:val="21"/>
        </w:rPr>
        <w:t>网上下载。本项目不发放纸质文件，潜在投标人可自行在广西政府采购云平台（</w:t>
      </w:r>
      <w:r>
        <w:rPr>
          <w:rStyle w:val="29"/>
          <w:rFonts w:hint="eastAsia" w:ascii="宋体" w:hAnsi="宋体" w:cs="宋体"/>
          <w:b w:val="0"/>
          <w:bCs w:val="0"/>
          <w:color w:val="auto"/>
          <w:szCs w:val="21"/>
        </w:rPr>
        <w:t>https://www.gcy.zfcg.gxzf.gov.cn/</w:t>
      </w:r>
      <w:r>
        <w:rPr>
          <w:rFonts w:hint="eastAsia" w:ascii="宋体" w:hAnsi="宋体" w:cs="宋体"/>
          <w:color w:val="auto"/>
          <w:szCs w:val="21"/>
        </w:rPr>
        <w:t>）下载招标文件（操作路径：登录广西政府采购云平台-项目采购-获取采购文件-找到本项目-点击“申请获取采购文件”），电子投标文件制作需要基于广西政府采购云平台获取的招标文件编制。</w:t>
      </w:r>
    </w:p>
    <w:bookmarkEnd w:id="37"/>
    <w:p>
      <w:pPr>
        <w:keepNext w:val="0"/>
        <w:keepLines w:val="0"/>
        <w:pageBreakBefore w:val="0"/>
        <w:kinsoku/>
        <w:wordWrap/>
        <w:overflowPunct/>
        <w:topLinePunct w:val="0"/>
        <w:autoSpaceDE/>
        <w:autoSpaceDN/>
        <w:bidi w:val="0"/>
        <w:adjustRightInd/>
        <w:snapToGrid w:val="0"/>
        <w:spacing w:after="0" w:line="440" w:lineRule="atLeast"/>
        <w:ind w:firstLine="472" w:firstLineChars="225"/>
        <w:textAlignment w:val="auto"/>
        <w:rPr>
          <w:rFonts w:hint="eastAsia" w:ascii="宋体" w:hAnsi="宋体" w:cs="宋体"/>
          <w:color w:val="auto"/>
          <w:szCs w:val="21"/>
        </w:rPr>
      </w:pPr>
      <w:r>
        <w:rPr>
          <w:rFonts w:hint="eastAsia" w:ascii="宋体" w:hAnsi="宋体" w:cs="宋体"/>
          <w:color w:val="auto"/>
          <w:szCs w:val="21"/>
        </w:rPr>
        <w:t>售价：人民币0元。</w:t>
      </w:r>
    </w:p>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r>
        <w:rPr>
          <w:rFonts w:hint="eastAsia" w:ascii="宋体" w:hAnsi="宋体" w:cs="宋体"/>
          <w:b/>
          <w:bCs/>
          <w:color w:val="auto"/>
          <w:szCs w:val="21"/>
        </w:rPr>
        <w:t>四、提交投标文件</w:t>
      </w:r>
      <w:bookmarkEnd w:id="31"/>
      <w:bookmarkEnd w:id="32"/>
      <w:r>
        <w:rPr>
          <w:rFonts w:hint="eastAsia" w:ascii="宋体" w:hAnsi="宋体" w:cs="宋体"/>
          <w:b/>
          <w:bCs/>
          <w:color w:val="auto"/>
          <w:szCs w:val="21"/>
        </w:rPr>
        <w:t>截止时间、开标时间和地点</w:t>
      </w:r>
      <w:bookmarkEnd w:id="33"/>
      <w:bookmarkEnd w:id="34"/>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u w:val="single"/>
        </w:rPr>
      </w:pPr>
      <w:r>
        <w:rPr>
          <w:rFonts w:hint="eastAsia" w:ascii="宋体" w:hAnsi="宋体" w:cs="宋体"/>
          <w:bCs/>
          <w:color w:val="auto"/>
          <w:szCs w:val="21"/>
        </w:rPr>
        <w:t>1.提交投标文件截止时间和开标时间：</w:t>
      </w:r>
      <w:bookmarkStart w:id="38" w:name="PO_3000001867_PM015_1"/>
      <w:r>
        <w:rPr>
          <w:rFonts w:hint="eastAsia" w:ascii="宋体" w:hAnsi="宋体" w:cs="宋体"/>
          <w:bCs/>
          <w:color w:val="auto"/>
          <w:szCs w:val="21"/>
          <w:u w:val="single"/>
        </w:rPr>
        <w:t>2026年</w:t>
      </w:r>
      <w:r>
        <w:rPr>
          <w:rFonts w:hint="eastAsia" w:ascii="宋体" w:hAnsi="宋体" w:cs="宋体"/>
          <w:bCs/>
          <w:color w:val="auto"/>
          <w:szCs w:val="21"/>
          <w:u w:val="single"/>
          <w:lang w:val="en-US" w:eastAsia="zh-CN"/>
        </w:rPr>
        <w:t>7</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21</w:t>
      </w:r>
      <w:r>
        <w:rPr>
          <w:rFonts w:hint="eastAsia" w:ascii="宋体" w:hAnsi="宋体" w:cs="宋体"/>
          <w:bCs/>
          <w:color w:val="auto"/>
          <w:szCs w:val="21"/>
          <w:u w:val="single"/>
        </w:rPr>
        <w:t>日09:30</w:t>
      </w:r>
      <w:r>
        <w:rPr>
          <w:rFonts w:hint="eastAsia" w:ascii="宋体" w:hAnsi="宋体" w:cs="宋体"/>
          <w:bCs/>
          <w:color w:val="auto"/>
          <w:szCs w:val="21"/>
        </w:rPr>
        <w:t>（北京时间）</w:t>
      </w:r>
      <w:bookmarkEnd w:id="38"/>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szCs w:val="21"/>
        </w:rPr>
      </w:pPr>
      <w:r>
        <w:rPr>
          <w:rFonts w:hint="eastAsia" w:ascii="宋体" w:hAnsi="宋体" w:cs="宋体"/>
          <w:color w:val="auto"/>
          <w:szCs w:val="21"/>
        </w:rPr>
        <w:t>2.提交投标文件和开标地点：</w:t>
      </w:r>
      <w:bookmarkStart w:id="39" w:name="OLE_LINK20"/>
      <w:r>
        <w:rPr>
          <w:rFonts w:hint="eastAsia" w:ascii="宋体" w:hAnsi="宋体" w:cs="宋体"/>
          <w:color w:val="auto"/>
          <w:szCs w:val="21"/>
        </w:rPr>
        <w:t>广西政府采购云平台（</w:t>
      </w:r>
      <w:r>
        <w:rPr>
          <w:rStyle w:val="29"/>
          <w:rFonts w:hint="eastAsia" w:ascii="宋体" w:hAnsi="宋体" w:cs="宋体"/>
          <w:b w:val="0"/>
          <w:bCs w:val="0"/>
          <w:color w:val="auto"/>
          <w:szCs w:val="21"/>
        </w:rPr>
        <w:t>https://www.gcy.zfcg.gxzf.gov.cn/</w:t>
      </w:r>
      <w:r>
        <w:rPr>
          <w:rFonts w:hint="eastAsia" w:ascii="宋体" w:hAnsi="宋体" w:cs="宋体"/>
          <w:color w:val="auto"/>
          <w:szCs w:val="21"/>
        </w:rPr>
        <w:t>）</w:t>
      </w:r>
    </w:p>
    <w:bookmarkEnd w:id="39"/>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bookmarkStart w:id="40" w:name="_Toc28359084"/>
      <w:bookmarkStart w:id="41" w:name="_Toc35393625"/>
      <w:bookmarkStart w:id="42" w:name="_Toc35393794"/>
      <w:bookmarkStart w:id="43" w:name="_Toc28359007"/>
      <w:r>
        <w:rPr>
          <w:rFonts w:hint="eastAsia" w:ascii="宋体" w:hAnsi="宋体" w:cs="宋体"/>
          <w:b/>
          <w:bCs/>
          <w:color w:val="auto"/>
          <w:szCs w:val="21"/>
        </w:rPr>
        <w:t>五、公告期限</w:t>
      </w:r>
      <w:bookmarkEnd w:id="40"/>
      <w:bookmarkEnd w:id="41"/>
      <w:bookmarkEnd w:id="42"/>
      <w:bookmarkEnd w:id="43"/>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bookmarkStart w:id="44" w:name="_Toc35393795"/>
      <w:bookmarkStart w:id="45" w:name="_Toc35393626"/>
      <w:r>
        <w:rPr>
          <w:rFonts w:hint="eastAsia" w:ascii="宋体" w:hAnsi="宋体" w:cs="宋体"/>
          <w:b/>
          <w:bCs/>
          <w:color w:val="auto"/>
          <w:szCs w:val="21"/>
        </w:rPr>
        <w:t>六、其他补充事宜</w:t>
      </w:r>
      <w:bookmarkEnd w:id="44"/>
      <w:bookmarkEnd w:id="45"/>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kern w:val="0"/>
          <w:szCs w:val="21"/>
        </w:rPr>
      </w:pPr>
      <w:bookmarkStart w:id="46" w:name="OLE_LINK11"/>
      <w:r>
        <w:rPr>
          <w:rFonts w:hint="eastAsia" w:ascii="宋体" w:hAnsi="宋体" w:cs="宋体"/>
          <w:color w:val="auto"/>
          <w:kern w:val="0"/>
          <w:szCs w:val="21"/>
        </w:rPr>
        <w:t>1.投标保证金：</w:t>
      </w:r>
    </w:p>
    <w:p>
      <w:pPr>
        <w:keepNext w:val="0"/>
        <w:keepLines w:val="0"/>
        <w:pageBreakBefore w:val="0"/>
        <w:kinsoku/>
        <w:wordWrap/>
        <w:overflowPunct/>
        <w:topLinePunct w:val="0"/>
        <w:autoSpaceDE/>
        <w:autoSpaceDN/>
        <w:bidi w:val="0"/>
        <w:adjustRightInd/>
        <w:spacing w:after="0" w:line="440" w:lineRule="atLeast"/>
        <w:ind w:firstLine="843" w:firstLineChars="400"/>
        <w:textAlignment w:val="auto"/>
        <w:rPr>
          <w:rFonts w:hint="eastAsia" w:ascii="宋体" w:hAnsi="宋体" w:cs="宋体"/>
          <w:b/>
          <w:bCs/>
          <w:color w:val="auto"/>
          <w:szCs w:val="21"/>
        </w:rPr>
      </w:pPr>
      <w:r>
        <w:rPr>
          <w:rFonts w:hint="eastAsia" w:ascii="宋体" w:hAnsi="宋体" w:cs="宋体"/>
          <w:b/>
          <w:bCs/>
          <w:color w:val="auto"/>
          <w:szCs w:val="21"/>
        </w:rPr>
        <w:t>本项目需要缴</w:t>
      </w:r>
      <w:r>
        <w:rPr>
          <w:rFonts w:hint="eastAsia" w:ascii="宋体" w:hAnsi="宋体" w:cs="宋体"/>
          <w:b/>
          <w:bCs/>
          <w:color w:val="auto"/>
          <w:kern w:val="0"/>
          <w:szCs w:val="21"/>
        </w:rPr>
        <w:t>纳</w:t>
      </w:r>
      <w:r>
        <w:rPr>
          <w:rFonts w:hint="eastAsia" w:ascii="宋体" w:hAnsi="宋体" w:cs="宋体"/>
          <w:b/>
          <w:bCs/>
          <w:color w:val="auto"/>
          <w:szCs w:val="21"/>
        </w:rPr>
        <w:t>投标保证金，相关要求：</w:t>
      </w:r>
    </w:p>
    <w:p>
      <w:pPr>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cs="宋体"/>
          <w:b/>
          <w:bCs/>
          <w:i/>
          <w:iCs/>
          <w:color w:val="auto"/>
          <w:kern w:val="0"/>
          <w:szCs w:val="21"/>
        </w:rPr>
      </w:pPr>
      <w:r>
        <w:rPr>
          <w:rFonts w:hint="eastAsia" w:ascii="宋体" w:hAnsi="宋体" w:cs="宋体"/>
          <w:color w:val="auto"/>
          <w:kern w:val="0"/>
          <w:szCs w:val="21"/>
        </w:rPr>
        <w:t>投标保证金金额：标项一：23000元；标项二：12500元；标项三：2900元；标项四：12</w:t>
      </w:r>
      <w:r>
        <w:rPr>
          <w:rFonts w:hint="eastAsia" w:ascii="宋体" w:hAnsi="宋体" w:cs="宋体"/>
          <w:color w:val="auto"/>
          <w:kern w:val="0"/>
          <w:szCs w:val="21"/>
          <w:lang w:val="en-US" w:eastAsia="zh-CN"/>
        </w:rPr>
        <w:t>6</w:t>
      </w:r>
      <w:r>
        <w:rPr>
          <w:rFonts w:hint="eastAsia" w:ascii="宋体" w:hAnsi="宋体" w:cs="宋体"/>
          <w:color w:val="auto"/>
          <w:kern w:val="0"/>
          <w:szCs w:val="21"/>
        </w:rPr>
        <w:t>00元。</w:t>
      </w:r>
    </w:p>
    <w:p>
      <w:pPr>
        <w:pStyle w:val="44"/>
        <w:keepNext w:val="0"/>
        <w:keepLines w:val="0"/>
        <w:pageBreakBefore w:val="0"/>
        <w:kinsoku/>
        <w:wordWrap/>
        <w:overflowPunct/>
        <w:topLinePunct w:val="0"/>
        <w:autoSpaceDE/>
        <w:autoSpaceDN/>
        <w:bidi w:val="0"/>
        <w:adjustRightInd/>
        <w:spacing w:after="0" w:line="440" w:lineRule="atLeast"/>
        <w:ind w:left="495"/>
        <w:textAlignment w:val="auto"/>
        <w:rPr>
          <w:rFonts w:hint="eastAsia" w:ascii="宋体" w:hAnsi="宋体" w:cs="宋体"/>
          <w:color w:val="auto"/>
          <w:kern w:val="0"/>
          <w:szCs w:val="21"/>
        </w:rPr>
      </w:pPr>
      <w:r>
        <w:rPr>
          <w:rFonts w:hint="eastAsia" w:ascii="宋体" w:hAnsi="宋体" w:cs="宋体"/>
          <w:color w:val="auto"/>
          <w:kern w:val="0"/>
          <w:szCs w:val="21"/>
        </w:rPr>
        <w:t>投标保证金的缴纳方式：以银行转账、支票、汇票、本票或者金融机构、担保机构出具的保函等非现金形式提交。采用银行转账方式的，在投标截止时间前交至采购代理机构指定账户并且到账。缴纳投标保证金指定账户的信息：</w:t>
      </w:r>
    </w:p>
    <w:p>
      <w:pPr>
        <w:pStyle w:val="44"/>
        <w:keepNext w:val="0"/>
        <w:keepLines w:val="0"/>
        <w:pageBreakBefore w:val="0"/>
        <w:kinsoku/>
        <w:wordWrap/>
        <w:overflowPunct/>
        <w:topLinePunct w:val="0"/>
        <w:autoSpaceDE/>
        <w:autoSpaceDN/>
        <w:bidi w:val="0"/>
        <w:adjustRightInd/>
        <w:spacing w:after="0" w:line="440" w:lineRule="atLeast"/>
        <w:ind w:left="495"/>
        <w:textAlignment w:val="auto"/>
        <w:rPr>
          <w:rFonts w:hint="eastAsia" w:ascii="宋体" w:hAnsi="宋体" w:cs="宋体"/>
          <w:color w:val="auto"/>
          <w:kern w:val="0"/>
          <w:szCs w:val="21"/>
        </w:rPr>
      </w:pPr>
      <w:r>
        <w:rPr>
          <w:rFonts w:hint="eastAsia" w:ascii="宋体" w:hAnsi="宋体" w:cs="宋体"/>
          <w:color w:val="auto"/>
          <w:kern w:val="0"/>
          <w:szCs w:val="21"/>
        </w:rPr>
        <w:t>开户银行：招商银行南宁市金浦路支行</w:t>
      </w:r>
    </w:p>
    <w:p>
      <w:pPr>
        <w:pStyle w:val="44"/>
        <w:keepNext w:val="0"/>
        <w:keepLines w:val="0"/>
        <w:pageBreakBefore w:val="0"/>
        <w:kinsoku/>
        <w:wordWrap/>
        <w:overflowPunct/>
        <w:topLinePunct w:val="0"/>
        <w:autoSpaceDE/>
        <w:autoSpaceDN/>
        <w:bidi w:val="0"/>
        <w:adjustRightInd/>
        <w:spacing w:after="0" w:line="440" w:lineRule="atLeast"/>
        <w:ind w:left="495"/>
        <w:textAlignment w:val="auto"/>
        <w:rPr>
          <w:rFonts w:hint="eastAsia" w:ascii="宋体" w:hAnsi="宋体" w:cs="宋体"/>
          <w:color w:val="auto"/>
          <w:kern w:val="0"/>
          <w:szCs w:val="21"/>
        </w:rPr>
      </w:pPr>
      <w:r>
        <w:rPr>
          <w:rFonts w:hint="eastAsia" w:ascii="宋体" w:hAnsi="宋体" w:cs="宋体"/>
          <w:color w:val="auto"/>
          <w:kern w:val="0"/>
          <w:szCs w:val="21"/>
        </w:rPr>
        <w:t>开户名称：广西科联招标中心有限公司</w:t>
      </w:r>
    </w:p>
    <w:p>
      <w:pPr>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标项一：银行账号：7719011969103330000000536</w:t>
      </w:r>
    </w:p>
    <w:p>
      <w:pPr>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标项二：银行账号：7719011969103330000000537</w:t>
      </w:r>
    </w:p>
    <w:p>
      <w:pPr>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标项三：银行账号：7719011969103330000000538</w:t>
      </w:r>
    </w:p>
    <w:p>
      <w:pPr>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标项四：银行账号：7719011969103330000000539</w:t>
      </w:r>
    </w:p>
    <w:p>
      <w:pPr>
        <w:pStyle w:val="44"/>
        <w:keepNext w:val="0"/>
        <w:keepLines w:val="0"/>
        <w:pageBreakBefore w:val="0"/>
        <w:kinsoku/>
        <w:wordWrap/>
        <w:overflowPunct/>
        <w:topLinePunct w:val="0"/>
        <w:autoSpaceDE/>
        <w:autoSpaceDN/>
        <w:bidi w:val="0"/>
        <w:adjustRightInd/>
        <w:spacing w:after="0" w:line="440" w:lineRule="atLeast"/>
        <w:ind w:firstLine="840" w:firstLineChars="400"/>
        <w:textAlignment w:val="auto"/>
        <w:rPr>
          <w:rFonts w:hint="eastAsia" w:ascii="宋体" w:hAnsi="宋体" w:cs="宋体"/>
          <w:color w:val="auto"/>
          <w:szCs w:val="21"/>
        </w:rPr>
      </w:pPr>
      <w:r>
        <w:rPr>
          <w:rFonts w:hint="eastAsia" w:ascii="宋体" w:hAnsi="宋体" w:cs="宋体"/>
          <w:color w:val="auto"/>
          <w:kern w:val="0"/>
          <w:szCs w:val="21"/>
        </w:rPr>
        <w:t>采用支票、汇票、本票或者保函等方式的，</w:t>
      </w:r>
      <w:r>
        <w:rPr>
          <w:rFonts w:hint="eastAsia" w:ascii="宋体" w:hAnsi="宋体" w:cs="宋体"/>
          <w:color w:val="auto"/>
          <w:szCs w:val="21"/>
        </w:rPr>
        <w:t>投标人必须</w:t>
      </w:r>
      <w:r>
        <w:rPr>
          <w:rFonts w:hint="eastAsia" w:ascii="宋体" w:hAnsi="宋体" w:cs="宋体"/>
          <w:color w:val="auto"/>
          <w:kern w:val="0"/>
          <w:szCs w:val="21"/>
        </w:rPr>
        <w:t>在投标截止时间前</w:t>
      </w:r>
      <w:r>
        <w:rPr>
          <w:rFonts w:hint="eastAsia" w:ascii="宋体" w:hAnsi="宋体" w:cs="宋体"/>
          <w:color w:val="auto"/>
          <w:szCs w:val="21"/>
        </w:rPr>
        <w:t>将支票、汇票、本票或者金融、担保机构出具的保函（</w:t>
      </w:r>
      <w:r>
        <w:rPr>
          <w:rFonts w:hint="eastAsia" w:ascii="宋体" w:hAnsi="宋体" w:cs="宋体"/>
          <w:color w:val="auto"/>
          <w:kern w:val="0"/>
          <w:szCs w:val="21"/>
        </w:rPr>
        <w:t>电子保函除外</w:t>
      </w:r>
      <w:r>
        <w:rPr>
          <w:rFonts w:hint="eastAsia" w:ascii="宋体" w:hAnsi="宋体" w:cs="宋体"/>
          <w:color w:val="auto"/>
          <w:szCs w:val="21"/>
        </w:rPr>
        <w:t>）等原件提交给采购代理机构</w:t>
      </w:r>
      <w:r>
        <w:rPr>
          <w:rFonts w:hint="eastAsia" w:ascii="宋体" w:hAnsi="宋体" w:cs="宋体"/>
          <w:color w:val="auto"/>
          <w:kern w:val="0"/>
          <w:szCs w:val="21"/>
        </w:rPr>
        <w:t>。</w:t>
      </w:r>
      <w:r>
        <w:rPr>
          <w:rFonts w:hint="eastAsia" w:ascii="宋体" w:hAnsi="宋体" w:cs="宋体"/>
          <w:b/>
          <w:bCs/>
          <w:color w:val="auto"/>
          <w:kern w:val="0"/>
          <w:szCs w:val="21"/>
        </w:rPr>
        <w:t>否则视为无效投标保证金</w:t>
      </w:r>
      <w:r>
        <w:rPr>
          <w:rFonts w:hint="eastAsia" w:ascii="宋体" w:hAnsi="宋体" w:cs="宋体"/>
          <w:color w:val="auto"/>
          <w:kern w:val="0"/>
          <w:szCs w:val="21"/>
        </w:rPr>
        <w:t>。</w:t>
      </w:r>
    </w:p>
    <w:p>
      <w:pPr>
        <w:keepNext w:val="0"/>
        <w:keepLines w:val="0"/>
        <w:pageBreakBefore w:val="0"/>
        <w:kinsoku/>
        <w:wordWrap/>
        <w:overflowPunct/>
        <w:topLinePunct w:val="0"/>
        <w:autoSpaceDE/>
        <w:autoSpaceDN/>
        <w:bidi w:val="0"/>
        <w:adjustRightInd/>
        <w:spacing w:after="0" w:line="440" w:lineRule="atLeast"/>
        <w:ind w:firstLine="315" w:firstLineChars="150"/>
        <w:textAlignment w:val="auto"/>
        <w:rPr>
          <w:rFonts w:hint="eastAsia" w:ascii="宋体" w:hAnsi="宋体" w:cs="宋体"/>
          <w:color w:val="auto"/>
          <w:kern w:val="0"/>
          <w:szCs w:val="21"/>
        </w:rPr>
      </w:pPr>
      <w:bookmarkStart w:id="47" w:name="_Hlk37429595"/>
      <w:bookmarkStart w:id="48" w:name="_Hlk37429585"/>
      <w:r>
        <w:rPr>
          <w:rFonts w:hint="eastAsia" w:ascii="宋体" w:hAnsi="宋体" w:cs="宋体"/>
          <w:color w:val="auto"/>
          <w:kern w:val="0"/>
          <w:szCs w:val="21"/>
        </w:rPr>
        <w:t>2.网上查询地址</w:t>
      </w:r>
    </w:p>
    <w:bookmarkEnd w:id="47"/>
    <w:bookmarkEnd w:id="48"/>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kern w:val="0"/>
          <w:szCs w:val="21"/>
        </w:rPr>
      </w:pPr>
      <w:bookmarkStart w:id="49" w:name="_Hlk37429674"/>
      <w:r>
        <w:rPr>
          <w:rFonts w:hint="eastAsia" w:ascii="宋体" w:hAnsi="宋体" w:cs="宋体"/>
          <w:color w:val="auto"/>
          <w:szCs w:val="21"/>
        </w:rPr>
        <w:t>http://www.ccgp.gov.cn/（中国政府采购网）、http://www.ccgp-guangxi.gov.cn/</w:t>
      </w:r>
      <w:r>
        <w:rPr>
          <w:rFonts w:hint="eastAsia" w:ascii="宋体" w:hAnsi="宋体" w:cs="宋体"/>
          <w:color w:val="auto"/>
          <w:kern w:val="0"/>
          <w:szCs w:val="21"/>
        </w:rPr>
        <w:t xml:space="preserve"> (中国政府采购网广西分网)、http://gxggzy.gxzf.gov.cn/（广西壮族自治区公共资源交易中心）</w:t>
      </w:r>
    </w:p>
    <w:p>
      <w:pPr>
        <w:keepNext w:val="0"/>
        <w:keepLines w:val="0"/>
        <w:pageBreakBefore w:val="0"/>
        <w:kinsoku/>
        <w:wordWrap/>
        <w:overflowPunct/>
        <w:topLinePunct w:val="0"/>
        <w:autoSpaceDE/>
        <w:autoSpaceDN/>
        <w:bidi w:val="0"/>
        <w:adjustRightInd/>
        <w:spacing w:after="0" w:line="440" w:lineRule="atLeast"/>
        <w:ind w:firstLine="315" w:firstLineChars="150"/>
        <w:textAlignment w:val="auto"/>
        <w:rPr>
          <w:rFonts w:hint="eastAsia" w:ascii="宋体" w:hAnsi="宋体" w:cs="宋体"/>
          <w:color w:val="auto"/>
          <w:kern w:val="0"/>
          <w:szCs w:val="21"/>
        </w:rPr>
      </w:pPr>
      <w:r>
        <w:rPr>
          <w:rFonts w:hint="eastAsia" w:ascii="宋体" w:hAnsi="宋体" w:cs="宋体"/>
          <w:color w:val="auto"/>
          <w:szCs w:val="21"/>
        </w:rPr>
        <w:t>3.</w:t>
      </w:r>
      <w:r>
        <w:rPr>
          <w:rFonts w:hint="eastAsia" w:ascii="宋体" w:hAnsi="宋体" w:cs="宋体"/>
          <w:color w:val="auto"/>
          <w:kern w:val="0"/>
          <w:szCs w:val="21"/>
        </w:rPr>
        <w:t>本项目需要落实的政府采购政策：</w:t>
      </w:r>
      <w:bookmarkStart w:id="50" w:name="PO_3000001867_PM023"/>
    </w:p>
    <w:bookmarkEnd w:id="50"/>
    <w:p>
      <w:pPr>
        <w:keepNext w:val="0"/>
        <w:keepLines w:val="0"/>
        <w:pageBreakBefore w:val="0"/>
        <w:kinsoku/>
        <w:wordWrap/>
        <w:overflowPunct/>
        <w:topLinePunct w:val="0"/>
        <w:autoSpaceDE/>
        <w:autoSpaceDN/>
        <w:bidi w:val="0"/>
        <w:adjustRightInd/>
        <w:spacing w:after="0" w:line="440" w:lineRule="atLeast"/>
        <w:ind w:firstLine="735" w:firstLineChars="350"/>
        <w:textAlignment w:val="auto"/>
        <w:rPr>
          <w:rFonts w:hint="eastAsia" w:ascii="宋体" w:hAnsi="宋体" w:cs="宋体"/>
          <w:color w:val="auto"/>
          <w:kern w:val="0"/>
          <w:szCs w:val="21"/>
        </w:rPr>
      </w:pPr>
      <w:r>
        <w:rPr>
          <w:rFonts w:hint="eastAsia" w:ascii="宋体" w:hAnsi="宋体" w:cs="宋体"/>
          <w:color w:val="auto"/>
          <w:kern w:val="0"/>
          <w:szCs w:val="21"/>
        </w:rPr>
        <w:t>（1）政府采购促进中小企业发展。</w:t>
      </w:r>
    </w:p>
    <w:p>
      <w:pPr>
        <w:keepNext w:val="0"/>
        <w:keepLines w:val="0"/>
        <w:pageBreakBefore w:val="0"/>
        <w:kinsoku/>
        <w:wordWrap/>
        <w:overflowPunct/>
        <w:topLinePunct w:val="0"/>
        <w:autoSpaceDE/>
        <w:autoSpaceDN/>
        <w:bidi w:val="0"/>
        <w:adjustRightInd/>
        <w:spacing w:after="0" w:line="440" w:lineRule="atLeast"/>
        <w:ind w:firstLine="735" w:firstLineChars="350"/>
        <w:textAlignment w:val="auto"/>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pPr>
        <w:keepNext w:val="0"/>
        <w:keepLines w:val="0"/>
        <w:pageBreakBefore w:val="0"/>
        <w:kinsoku/>
        <w:wordWrap/>
        <w:overflowPunct/>
        <w:topLinePunct w:val="0"/>
        <w:autoSpaceDE/>
        <w:autoSpaceDN/>
        <w:bidi w:val="0"/>
        <w:adjustRightInd/>
        <w:spacing w:after="0" w:line="440" w:lineRule="atLeast"/>
        <w:ind w:firstLine="735" w:firstLineChars="350"/>
        <w:textAlignment w:val="auto"/>
        <w:rPr>
          <w:rFonts w:hint="eastAsia"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pPr>
        <w:keepNext w:val="0"/>
        <w:keepLines w:val="0"/>
        <w:pageBreakBefore w:val="0"/>
        <w:kinsoku/>
        <w:wordWrap/>
        <w:overflowPunct/>
        <w:topLinePunct w:val="0"/>
        <w:autoSpaceDE/>
        <w:autoSpaceDN/>
        <w:bidi w:val="0"/>
        <w:adjustRightInd/>
        <w:spacing w:after="0" w:line="440" w:lineRule="atLeast"/>
        <w:ind w:firstLine="735" w:firstLineChars="350"/>
        <w:textAlignment w:val="auto"/>
        <w:rPr>
          <w:rFonts w:hint="eastAsia" w:ascii="宋体" w:hAnsi="宋体" w:cs="宋体"/>
          <w:color w:val="auto"/>
          <w:kern w:val="0"/>
          <w:szCs w:val="21"/>
        </w:rPr>
      </w:pPr>
      <w:r>
        <w:rPr>
          <w:rFonts w:hint="eastAsia" w:ascii="宋体" w:hAnsi="宋体" w:cs="宋体"/>
          <w:color w:val="auto"/>
          <w:kern w:val="0"/>
          <w:szCs w:val="21"/>
        </w:rPr>
        <w:t>（4）政府采购促进残疾人就业政策。</w:t>
      </w:r>
    </w:p>
    <w:p>
      <w:pPr>
        <w:keepNext w:val="0"/>
        <w:keepLines w:val="0"/>
        <w:pageBreakBefore w:val="0"/>
        <w:kinsoku/>
        <w:wordWrap/>
        <w:overflowPunct/>
        <w:topLinePunct w:val="0"/>
        <w:autoSpaceDE/>
        <w:autoSpaceDN/>
        <w:bidi w:val="0"/>
        <w:adjustRightInd/>
        <w:spacing w:after="0" w:line="440" w:lineRule="atLeast"/>
        <w:ind w:firstLine="735" w:firstLineChars="350"/>
        <w:textAlignment w:val="auto"/>
        <w:rPr>
          <w:rFonts w:hint="eastAsia" w:ascii="宋体" w:hAnsi="宋体" w:cs="宋体"/>
          <w:color w:val="auto"/>
          <w:kern w:val="0"/>
          <w:szCs w:val="21"/>
        </w:rPr>
      </w:pPr>
      <w:r>
        <w:rPr>
          <w:rFonts w:hint="eastAsia" w:ascii="宋体" w:hAnsi="宋体" w:cs="宋体"/>
          <w:color w:val="auto"/>
          <w:kern w:val="0"/>
          <w:szCs w:val="21"/>
        </w:rPr>
        <w:t>（5）政府采购支持监狱企业发展。</w:t>
      </w:r>
    </w:p>
    <w:p>
      <w:pPr>
        <w:keepNext w:val="0"/>
        <w:keepLines w:val="0"/>
        <w:pageBreakBefore w:val="0"/>
        <w:kinsoku/>
        <w:wordWrap/>
        <w:overflowPunct/>
        <w:topLinePunct w:val="0"/>
        <w:autoSpaceDE/>
        <w:autoSpaceDN/>
        <w:bidi w:val="0"/>
        <w:adjustRightInd/>
        <w:spacing w:after="0" w:line="440" w:lineRule="atLeast"/>
        <w:ind w:firstLine="735" w:firstLineChars="350"/>
        <w:jc w:val="left"/>
        <w:textAlignment w:val="auto"/>
        <w:rPr>
          <w:rFonts w:hint="eastAsia" w:ascii="宋体" w:hAnsi="宋体" w:cs="宋体"/>
          <w:color w:val="auto"/>
          <w:kern w:val="0"/>
          <w:szCs w:val="21"/>
        </w:rPr>
      </w:pPr>
      <w:r>
        <w:rPr>
          <w:rFonts w:hint="eastAsia" w:ascii="宋体" w:hAnsi="宋体" w:cs="宋体"/>
          <w:color w:val="auto"/>
          <w:kern w:val="0"/>
          <w:szCs w:val="21"/>
        </w:rPr>
        <w:t>（6）在政府采购中实施本国产品标准及相关政策。</w:t>
      </w:r>
    </w:p>
    <w:p>
      <w:pPr>
        <w:keepNext w:val="0"/>
        <w:keepLines w:val="0"/>
        <w:pageBreakBefore w:val="0"/>
        <w:kinsoku/>
        <w:wordWrap/>
        <w:overflowPunct/>
        <w:topLinePunct w:val="0"/>
        <w:autoSpaceDE/>
        <w:autoSpaceDN/>
        <w:bidi w:val="0"/>
        <w:adjustRightInd/>
        <w:snapToGrid w:val="0"/>
        <w:spacing w:after="0" w:line="440" w:lineRule="atLeas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kern w:val="0"/>
          <w:szCs w:val="21"/>
        </w:rPr>
      </w:pPr>
      <w:r>
        <w:rPr>
          <w:rFonts w:hint="eastAsia" w:ascii="宋体" w:hAnsi="宋体" w:cs="宋体"/>
          <w:color w:val="auto"/>
          <w:szCs w:val="21"/>
        </w:rPr>
        <w:t>5.对在“信用中国”网站(https://www.creditchina.gov.cn/) 、中国政府采购网(http://www.ccgp.gov.cn/)被列入失信被执行人、重大税收违法失信主体、政府采购严重违法失信行为记录名单及其他不符合《中华人民共和国政府采购法》第二十二条规定条件的供应商，不得参与政府采购活动。</w:t>
      </w:r>
    </w:p>
    <w:bookmarkEnd w:id="49"/>
    <w:p>
      <w:pPr>
        <w:keepNext w:val="0"/>
        <w:keepLines w:val="0"/>
        <w:pageBreakBefore w:val="0"/>
        <w:kinsoku/>
        <w:wordWrap/>
        <w:overflowPunct/>
        <w:topLinePunct w:val="0"/>
        <w:autoSpaceDE/>
        <w:autoSpaceDN/>
        <w:bidi w:val="0"/>
        <w:adjustRightInd/>
        <w:spacing w:after="0" w:line="440" w:lineRule="atLeast"/>
        <w:ind w:firstLine="422" w:firstLineChars="200"/>
        <w:textAlignment w:val="auto"/>
        <w:rPr>
          <w:rFonts w:hint="eastAsia" w:ascii="宋体" w:hAnsi="宋体" w:cs="宋体"/>
          <w:b/>
          <w:bCs/>
          <w:color w:val="auto"/>
          <w:kern w:val="0"/>
          <w:szCs w:val="21"/>
        </w:rPr>
      </w:pPr>
      <w:r>
        <w:rPr>
          <w:rFonts w:hint="eastAsia" w:ascii="宋体" w:hAnsi="宋体" w:cs="宋体"/>
          <w:b/>
          <w:bCs/>
          <w:color w:val="auto"/>
          <w:szCs w:val="21"/>
        </w:rPr>
        <w:t>6.在线投标的有关说明</w:t>
      </w:r>
      <w:r>
        <w:rPr>
          <w:rFonts w:hint="eastAsia" w:ascii="宋体" w:hAnsi="宋体" w:cs="宋体"/>
          <w:b/>
          <w:bCs/>
          <w:color w:val="auto"/>
          <w:kern w:val="0"/>
          <w:szCs w:val="21"/>
        </w:rPr>
        <w:t>：</w:t>
      </w:r>
    </w:p>
    <w:p>
      <w:pPr>
        <w:keepNext w:val="0"/>
        <w:keepLines w:val="0"/>
        <w:pageBreakBefore w:val="0"/>
        <w:widowControl/>
        <w:kinsoku/>
        <w:wordWrap/>
        <w:overflowPunct/>
        <w:topLinePunct w:val="0"/>
        <w:autoSpaceDE/>
        <w:autoSpaceDN/>
        <w:bidi w:val="0"/>
        <w:adjustRightInd/>
        <w:spacing w:after="0" w:line="440" w:lineRule="atLeas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1）投标文件提交方式：本项目为全流程电子化项目，通过广西政府采购云平台（https://www.gcy.zfcg.gxzf.gov.cn/）实行在线电子投标，供应商应先安装广西政府采购云平台新版客户端（新版客户端下载路径：广西政府采购网（访问地址http://zfcg.gxzf.gov.cn/）—办事指南—下载专区），并按照本项目招标文件和广西政府采购云平台的要求编制、加密后在投标截止时间前通过网络上传至广西政府采购云平台，</w:t>
      </w:r>
      <w:r>
        <w:rPr>
          <w:rFonts w:hint="eastAsia" w:ascii="宋体" w:hAnsi="宋体" w:cs="宋体"/>
          <w:b/>
          <w:color w:val="auto"/>
          <w:szCs w:val="21"/>
        </w:rPr>
        <w:t>投标人在广西政府采购云平台提交电子版投标文件时，请填写参加远程开标活动经办人联系方式</w:t>
      </w:r>
      <w:r>
        <w:rPr>
          <w:rFonts w:hint="eastAsia" w:ascii="宋体" w:hAnsi="宋体" w:cs="宋体"/>
          <w:color w:val="auto"/>
          <w:szCs w:val="21"/>
        </w:rPr>
        <w:t>。</w:t>
      </w:r>
    </w:p>
    <w:p>
      <w:pPr>
        <w:keepNext w:val="0"/>
        <w:keepLines w:val="0"/>
        <w:pageBreakBefore w:val="0"/>
        <w:widowControl/>
        <w:kinsoku/>
        <w:wordWrap/>
        <w:overflowPunct/>
        <w:topLinePunct w:val="0"/>
        <w:autoSpaceDE/>
        <w:autoSpaceDN/>
        <w:bidi w:val="0"/>
        <w:adjustRightInd/>
        <w:spacing w:after="0" w:line="440" w:lineRule="atLeas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（2）未进行网上注册并办理数字证书（CA认证）的供应商将无法参与本项目政府采购活动，潜在投标人应当在投标截止时间前，完成电子交易平台上的CA数字证书办理及投标文件的提交。</w:t>
      </w:r>
    </w:p>
    <w:p>
      <w:pPr>
        <w:keepNext w:val="0"/>
        <w:keepLines w:val="0"/>
        <w:pageBreakBefore w:val="0"/>
        <w:widowControl/>
        <w:kinsoku/>
        <w:wordWrap/>
        <w:overflowPunct/>
        <w:topLinePunct w:val="0"/>
        <w:autoSpaceDE/>
        <w:autoSpaceDN/>
        <w:bidi w:val="0"/>
        <w:adjustRightInd/>
        <w:spacing w:after="0" w:line="440" w:lineRule="atLeas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（3）为确保网上操作合法、有效和安全，请投标人确保在电子投标过程中能够对相关数据电文进行加密和使用电子签章，妥善保管CA数字证书并使用有效的CA数字证书参与整个招标活动。</w:t>
      </w:r>
    </w:p>
    <w:p>
      <w:pPr>
        <w:keepNext w:val="0"/>
        <w:keepLines w:val="0"/>
        <w:pageBreakBefore w:val="0"/>
        <w:kinsoku/>
        <w:wordWrap/>
        <w:overflowPunct/>
        <w:topLinePunct w:val="0"/>
        <w:autoSpaceDE/>
        <w:autoSpaceDN/>
        <w:bidi w:val="0"/>
        <w:adjustRightInd/>
        <w:spacing w:after="0" w:line="440" w:lineRule="atLeast"/>
        <w:ind w:firstLine="422" w:firstLineChars="200"/>
        <w:textAlignment w:val="auto"/>
        <w:rPr>
          <w:rFonts w:hint="eastAsia" w:ascii="宋体" w:hAnsi="宋体" w:cs="宋体"/>
          <w:bCs/>
          <w:color w:val="auto"/>
          <w:szCs w:val="21"/>
          <w:u w:val="single"/>
        </w:rPr>
      </w:pPr>
      <w:r>
        <w:rPr>
          <w:rFonts w:hint="eastAsia" w:ascii="宋体" w:hAnsi="宋体" w:cs="宋体"/>
          <w:b/>
          <w:color w:val="auto"/>
          <w:szCs w:val="21"/>
          <w:u w:val="single"/>
        </w:rPr>
        <w:t>注：投标人应当在投标截止时间前完成电子版投标文件的上传、提交，投标截止时间前可以补充、修改或者撤回投标文件。补充或者修改投标文件的，应当先行撤回原文件，补充、修改后重新上传、提交。投标截止时间前未完成上传、提交的，视为撤回投标文件。投标截止时间以后上传提交的投标文件广西政府采购云平台将予以拒收。</w:t>
      </w:r>
    </w:p>
    <w:p>
      <w:pPr>
        <w:keepNext w:val="0"/>
        <w:keepLines w:val="0"/>
        <w:pageBreakBefore w:val="0"/>
        <w:kinsoku/>
        <w:wordWrap/>
        <w:overflowPunct/>
        <w:topLinePunct w:val="0"/>
        <w:autoSpaceDE/>
        <w:autoSpaceDN/>
        <w:bidi w:val="0"/>
        <w:adjustRightInd/>
        <w:snapToGrid w:val="0"/>
        <w:spacing w:after="0" w:line="440" w:lineRule="atLeast"/>
        <w:ind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（4）CA证书在线解密：投标人投标时，需携带制作投标文件时用来加密的有效数字证书（CA认证）登录</w:t>
      </w:r>
      <w:r>
        <w:rPr>
          <w:rFonts w:hint="eastAsia" w:ascii="宋体" w:hAnsi="宋体" w:cs="宋体"/>
          <w:color w:val="auto"/>
          <w:szCs w:val="21"/>
        </w:rPr>
        <w:t>广西政府采购云平台</w:t>
      </w:r>
      <w:r>
        <w:rPr>
          <w:rFonts w:hint="eastAsia" w:ascii="宋体" w:hAnsi="宋体" w:cs="宋体"/>
          <w:color w:val="auto"/>
          <w:kern w:val="0"/>
          <w:szCs w:val="21"/>
        </w:rPr>
        <w:t>电子开标大厅现场按规定时间对加密的投标文件进行解密。</w:t>
      </w:r>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（5）若对项目采购电子交易系统操作有疑问，可登录</w:t>
      </w:r>
      <w:r>
        <w:rPr>
          <w:rFonts w:hint="eastAsia" w:ascii="宋体" w:hAnsi="宋体" w:cs="宋体"/>
          <w:color w:val="auto"/>
          <w:szCs w:val="21"/>
        </w:rPr>
        <w:t>广西政府采购云平台（https://www.gcy.zfcg.gxzf.gov.cn/）</w:t>
      </w:r>
      <w:r>
        <w:rPr>
          <w:rFonts w:hint="eastAsia" w:ascii="宋体" w:hAnsi="宋体" w:cs="宋体"/>
          <w:color w:val="auto"/>
          <w:kern w:val="0"/>
          <w:szCs w:val="21"/>
        </w:rPr>
        <w:t>，点击右侧咨询小采，获取采小蜜智能服务管家帮助，或拨打</w:t>
      </w:r>
      <w:r>
        <w:rPr>
          <w:rFonts w:hint="eastAsia" w:ascii="宋体" w:hAnsi="宋体" w:cs="宋体"/>
          <w:color w:val="auto"/>
          <w:szCs w:val="21"/>
        </w:rPr>
        <w:t>广西政府采购云平台</w:t>
      </w:r>
      <w:r>
        <w:rPr>
          <w:rFonts w:hint="eastAsia" w:ascii="宋体" w:hAnsi="宋体" w:cs="宋体"/>
          <w:color w:val="auto"/>
          <w:kern w:val="0"/>
          <w:szCs w:val="21"/>
        </w:rPr>
        <w:t>服务热线95763获取热线服务帮助。</w:t>
      </w:r>
    </w:p>
    <w:p>
      <w:pPr>
        <w:keepNext w:val="0"/>
        <w:keepLines w:val="0"/>
        <w:pageBreakBefore w:val="0"/>
        <w:kinsoku/>
        <w:wordWrap/>
        <w:overflowPunct/>
        <w:topLinePunct w:val="0"/>
        <w:autoSpaceDE/>
        <w:autoSpaceDN/>
        <w:bidi w:val="0"/>
        <w:adjustRightInd/>
        <w:spacing w:after="0" w:line="440" w:lineRule="atLeast"/>
        <w:ind w:firstLine="420" w:firstLineChars="200"/>
        <w:textAlignment w:val="auto"/>
        <w:rPr>
          <w:rFonts w:hint="eastAsia" w:ascii="宋体" w:hAnsi="宋体" w:cs="宋体"/>
          <w:b/>
          <w:bCs/>
          <w:color w:val="auto"/>
          <w:szCs w:val="21"/>
        </w:rPr>
      </w:pPr>
      <w:bookmarkStart w:id="51" w:name="_Toc35393796"/>
      <w:bookmarkStart w:id="52" w:name="_Toc35393627"/>
      <w:bookmarkStart w:id="53" w:name="_Toc28359085"/>
      <w:bookmarkStart w:id="54" w:name="_Toc28359008"/>
      <w:r>
        <w:rPr>
          <w:rFonts w:hint="eastAsia" w:ascii="宋体" w:hAnsi="宋体" w:cs="宋体"/>
          <w:color w:val="auto"/>
          <w:kern w:val="0"/>
          <w:szCs w:val="21"/>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Cs w:val="21"/>
        </w:rPr>
        <w:t>授权委托书、法人营业执照及分支机构营业执照的扫描件</w:t>
      </w:r>
      <w:r>
        <w:rPr>
          <w:rFonts w:hint="eastAsia" w:ascii="宋体" w:hAnsi="宋体" w:cs="宋体"/>
          <w:color w:val="auto"/>
          <w:kern w:val="0"/>
          <w:szCs w:val="21"/>
        </w:rPr>
        <w:t>。</w:t>
      </w:r>
    </w:p>
    <w:bookmarkEnd w:id="46"/>
    <w:p>
      <w:pPr>
        <w:keepNext w:val="0"/>
        <w:keepLines w:val="0"/>
        <w:pageBreakBefore w:val="0"/>
        <w:kinsoku/>
        <w:wordWrap/>
        <w:overflowPunct/>
        <w:topLinePunct w:val="0"/>
        <w:autoSpaceDE/>
        <w:autoSpaceDN/>
        <w:bidi w:val="0"/>
        <w:adjustRightInd/>
        <w:spacing w:after="0" w:line="440" w:lineRule="atLeast"/>
        <w:textAlignment w:val="auto"/>
        <w:rPr>
          <w:rFonts w:hint="eastAsia" w:ascii="宋体" w:hAnsi="宋体" w:cs="宋体"/>
          <w:b/>
          <w:bCs/>
          <w:color w:val="auto"/>
          <w:szCs w:val="21"/>
        </w:rPr>
      </w:pPr>
      <w:r>
        <w:rPr>
          <w:rFonts w:hint="eastAsia" w:ascii="宋体" w:hAnsi="宋体" w:cs="宋体"/>
          <w:b/>
          <w:bCs/>
          <w:color w:val="auto"/>
          <w:szCs w:val="21"/>
        </w:rPr>
        <w:t>七、对本次招标提出询问，请按以下方式联系。</w:t>
      </w:r>
      <w:bookmarkEnd w:id="51"/>
      <w:bookmarkEnd w:id="52"/>
      <w:bookmarkEnd w:id="53"/>
      <w:bookmarkEnd w:id="54"/>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1.采购人信息</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名  称：广西医科大学</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地  址：广西南宁市青秀区双拥路22号</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 xml:space="preserve">联系人：黄敏；联系电话：0771-5358884      </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2.采购代理机构信息</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名称：</w:t>
      </w:r>
      <w:bookmarkStart w:id="55" w:name="PO_3000001867_PM031_1"/>
      <w:r>
        <w:rPr>
          <w:rFonts w:hint="eastAsia" w:ascii="宋体" w:hAnsi="宋体" w:cs="宋体"/>
          <w:color w:val="auto"/>
          <w:szCs w:val="21"/>
        </w:rPr>
        <w:t>广西科联招标中心有限公司</w:t>
      </w:r>
      <w:bookmarkEnd w:id="55"/>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地址：</w:t>
      </w:r>
      <w:bookmarkStart w:id="56" w:name="PO_3000001867_PM035"/>
      <w:r>
        <w:rPr>
          <w:rFonts w:hint="eastAsia" w:ascii="宋体" w:hAnsi="宋体" w:cs="宋体"/>
          <w:color w:val="auto"/>
          <w:szCs w:val="21"/>
        </w:rPr>
        <w:t>广西南宁市大学东路170号</w:t>
      </w:r>
      <w:bookmarkEnd w:id="56"/>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联系方式：0771-2273830</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3.项目联系方式</w:t>
      </w:r>
    </w:p>
    <w:p>
      <w:pPr>
        <w:keepNext w:val="0"/>
        <w:keepLines w:val="0"/>
        <w:pageBreakBefore w:val="0"/>
        <w:kinsoku/>
        <w:wordWrap/>
        <w:overflowPunct/>
        <w:topLinePunct w:val="0"/>
        <w:autoSpaceDE/>
        <w:autoSpaceDN/>
        <w:bidi w:val="0"/>
        <w:adjustRightInd/>
        <w:spacing w:after="0" w:line="440" w:lineRule="atLeast"/>
        <w:ind w:firstLine="630" w:firstLineChars="300"/>
        <w:jc w:val="left"/>
        <w:textAlignment w:val="auto"/>
        <w:rPr>
          <w:rFonts w:hint="eastAsia" w:ascii="宋体" w:hAnsi="宋体" w:cs="宋体"/>
          <w:color w:val="auto"/>
          <w:szCs w:val="21"/>
        </w:rPr>
      </w:pPr>
      <w:r>
        <w:rPr>
          <w:rFonts w:hint="eastAsia" w:ascii="宋体" w:hAnsi="宋体" w:cs="宋体"/>
          <w:color w:val="auto"/>
          <w:szCs w:val="21"/>
        </w:rPr>
        <w:t>项目联系人：胡政</w:t>
      </w:r>
      <w:r>
        <w:rPr>
          <w:rFonts w:hint="eastAsia" w:ascii="宋体" w:hAnsi="宋体" w:cs="宋体"/>
          <w:color w:val="auto"/>
          <w:szCs w:val="21"/>
        </w:rPr>
        <w:tab/>
      </w:r>
    </w:p>
    <w:p>
      <w:pPr>
        <w:keepNext w:val="0"/>
        <w:keepLines w:val="0"/>
        <w:pageBreakBefore w:val="0"/>
        <w:kinsoku/>
        <w:wordWrap/>
        <w:overflowPunct/>
        <w:topLinePunct w:val="0"/>
        <w:autoSpaceDE/>
        <w:autoSpaceDN/>
        <w:bidi w:val="0"/>
        <w:adjustRightInd/>
        <w:spacing w:after="0" w:line="440" w:lineRule="atLeast"/>
        <w:ind w:firstLine="630" w:firstLineChars="300"/>
        <w:textAlignment w:val="auto"/>
        <w:rPr>
          <w:rFonts w:hint="eastAsia" w:ascii="宋体" w:hAnsi="宋体" w:cs="宋体"/>
          <w:color w:val="auto"/>
          <w:szCs w:val="21"/>
        </w:rPr>
      </w:pPr>
      <w:r>
        <w:rPr>
          <w:rFonts w:hint="eastAsia" w:ascii="宋体" w:hAnsi="宋体" w:cs="宋体"/>
          <w:color w:val="auto"/>
          <w:szCs w:val="21"/>
        </w:rPr>
        <w:t>电话：13878865984/0771-2273830</w:t>
      </w:r>
      <w:bookmarkEnd w:id="13"/>
    </w:p>
    <w:p>
      <w:pPr>
        <w:spacing w:line="360" w:lineRule="auto"/>
        <w:jc w:val="left"/>
        <w:rPr>
          <w:rFonts w:hint="eastAsia" w:ascii="宋体" w:hAnsi="宋体" w:cs="宋体"/>
          <w:color w:val="auto"/>
          <w:szCs w:val="21"/>
        </w:rPr>
      </w:pPr>
    </w:p>
    <w:p>
      <w:pPr>
        <w:pStyle w:val="14"/>
        <w:jc w:val="center"/>
        <w:outlineLvl w:val="0"/>
        <w:rPr>
          <w:rFonts w:hint="eastAsia" w:hAnsi="宋体" w:cs="宋体"/>
          <w:b/>
          <w:color w:val="auto"/>
          <w:sz w:val="36"/>
        </w:rPr>
      </w:pPr>
      <w:r>
        <w:rPr>
          <w:rFonts w:hint="eastAsia" w:hAnsi="宋体" w:cs="宋体"/>
          <w:color w:val="auto"/>
          <w:szCs w:val="21"/>
        </w:rPr>
        <w:br w:type="page"/>
      </w:r>
      <w:bookmarkStart w:id="57" w:name="_Toc532545042"/>
      <w:bookmarkStart w:id="58" w:name="_Toc23540"/>
      <w:bookmarkStart w:id="59" w:name="_Toc10599"/>
      <w:bookmarkStart w:id="60" w:name="_Toc5131"/>
      <w:bookmarkStart w:id="61" w:name="_Toc15135"/>
      <w:bookmarkStart w:id="62" w:name="_Toc32271"/>
      <w:bookmarkStart w:id="63" w:name="_Toc12160"/>
      <w:bookmarkStart w:id="64" w:name="_Toc4656"/>
      <w:bookmarkStart w:id="65" w:name="_Toc10157"/>
      <w:bookmarkStart w:id="66" w:name="_Toc28626"/>
      <w:bookmarkStart w:id="67" w:name="_Toc22518"/>
      <w:bookmarkStart w:id="68" w:name="_Toc21791"/>
      <w:bookmarkStart w:id="69" w:name="OLE_LINK42"/>
      <w:r>
        <w:rPr>
          <w:rFonts w:hint="eastAsia" w:hAnsi="宋体" w:cs="宋体"/>
          <w:b/>
          <w:color w:val="auto"/>
          <w:sz w:val="36"/>
        </w:rPr>
        <w:t xml:space="preserve">第二章  </w:t>
      </w:r>
      <w:bookmarkEnd w:id="57"/>
      <w:bookmarkStart w:id="70" w:name="OLE_LINK36"/>
      <w:r>
        <w:rPr>
          <w:rFonts w:hint="eastAsia" w:hAnsi="宋体" w:cs="宋体"/>
          <w:b/>
          <w:color w:val="auto"/>
          <w:sz w:val="36"/>
        </w:rPr>
        <w:t>采购需求</w:t>
      </w:r>
      <w:bookmarkEnd w:id="58"/>
      <w:bookmarkEnd w:id="59"/>
      <w:bookmarkEnd w:id="60"/>
      <w:bookmarkEnd w:id="61"/>
      <w:bookmarkEnd w:id="62"/>
      <w:bookmarkEnd w:id="63"/>
      <w:bookmarkEnd w:id="64"/>
      <w:bookmarkEnd w:id="65"/>
      <w:bookmarkEnd w:id="66"/>
      <w:bookmarkEnd w:id="67"/>
      <w:bookmarkEnd w:id="68"/>
    </w:p>
    <w:bookmarkEnd w:id="69"/>
    <w:p>
      <w:pPr>
        <w:adjustRightInd w:val="0"/>
        <w:spacing w:line="340" w:lineRule="exact"/>
        <w:rPr>
          <w:rFonts w:hint="eastAsia" w:ascii="宋体" w:hAnsi="宋体" w:cs="宋体"/>
          <w:b/>
          <w:color w:val="auto"/>
          <w:szCs w:val="21"/>
        </w:rPr>
      </w:pPr>
      <w:r>
        <w:rPr>
          <w:rFonts w:hint="eastAsia" w:ascii="宋体" w:hAnsi="宋体" w:cs="宋体"/>
          <w:b/>
          <w:color w:val="auto"/>
          <w:szCs w:val="21"/>
        </w:rPr>
        <w:t>说明：</w:t>
      </w:r>
    </w:p>
    <w:p>
      <w:pPr>
        <w:spacing w:line="360" w:lineRule="auto"/>
        <w:ind w:firstLine="420" w:firstLineChars="200"/>
        <w:jc w:val="left"/>
        <w:rPr>
          <w:rFonts w:hint="eastAsia" w:ascii="宋体" w:hAnsi="宋体" w:cs="宋体"/>
          <w:i/>
          <w:iCs/>
          <w:color w:val="auto"/>
          <w:szCs w:val="21"/>
        </w:rPr>
      </w:pPr>
      <w:r>
        <w:rPr>
          <w:rFonts w:hint="eastAsia" w:ascii="宋体" w:hAnsi="宋体" w:cs="宋体"/>
          <w:color w:val="auto"/>
        </w:rPr>
        <w:t>1. 为落实政府采购政策需满足的要求</w:t>
      </w:r>
    </w:p>
    <w:p>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pP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cs="宋体"/>
          <w:b/>
          <w:bCs/>
          <w:color w:val="auto"/>
          <w:szCs w:val="21"/>
        </w:rPr>
        <w:t>投标人的投标货物必须使用政府强制采购的节能产品，投标人必须在投标文件中提供所投标产品有效期内的节能产品认证证书复印件（加盖投标人公章），否则投标文件作无效处理</w:t>
      </w:r>
      <w:r>
        <w:rPr>
          <w:rFonts w:hint="eastAsia" w:ascii="宋体" w:hAnsi="宋体" w:cs="宋体"/>
          <w:color w:val="auto"/>
          <w:szCs w:val="21"/>
        </w:rPr>
        <w:t>。如本项目包含的货物属于品目清单内非标注“★”的产品时，应优先采购，具体详见“第四章 评标方法和评标标准”。</w:t>
      </w:r>
    </w:p>
    <w:p>
      <w:pP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2.采购需求中带“</w:t>
      </w:r>
      <w:bookmarkStart w:id="71" w:name="OLE_LINK21"/>
      <w:r>
        <w:rPr>
          <w:rFonts w:hint="eastAsia" w:ascii="宋体" w:hAnsi="宋体" w:cs="宋体"/>
          <w:color w:val="auto"/>
          <w:szCs w:val="21"/>
        </w:rPr>
        <w:t>▲</w:t>
      </w:r>
      <w:bookmarkEnd w:id="71"/>
      <w:r>
        <w:rPr>
          <w:rFonts w:hint="eastAsia" w:ascii="宋体" w:hAnsi="宋体" w:cs="宋体"/>
          <w:color w:val="auto"/>
          <w:szCs w:val="21"/>
        </w:rPr>
        <w:t>”的条款为实质性条款，不满足作无效响应处理。“</w:t>
      </w:r>
      <w:r>
        <w:rPr>
          <w:rFonts w:hint="eastAsia" w:ascii="宋体" w:hAnsi="宋体" w:cs="宋体"/>
          <w:color w:val="auto"/>
          <w:kern w:val="0"/>
          <w:szCs w:val="21"/>
          <w:lang w:bidi="ar"/>
        </w:rPr>
        <w:t>●</w:t>
      </w:r>
      <w:r>
        <w:rPr>
          <w:rFonts w:hint="eastAsia" w:ascii="宋体" w:hAnsi="宋体" w:cs="宋体"/>
          <w:color w:val="auto"/>
          <w:szCs w:val="21"/>
        </w:rPr>
        <w:t>”条款为重要技术参数及配置条款。</w:t>
      </w:r>
    </w:p>
    <w:p>
      <w:pP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3.采购需求中出现的品牌、型号或者制造商仅起参考作用，不属于指定品牌、型号或者制造商的情形。投标人可参照或者选用其他相当的品牌、型号或者制造商替代，但选用的投标产品技术参数及配置必须满足采购要求。</w:t>
      </w:r>
    </w:p>
    <w:p>
      <w:pPr>
        <w:spacing w:line="360" w:lineRule="auto"/>
        <w:ind w:firstLine="424" w:firstLineChars="202"/>
        <w:jc w:val="left"/>
        <w:rPr>
          <w:rFonts w:hint="eastAsia" w:ascii="宋体" w:hAnsi="宋体" w:cs="宋体"/>
          <w:color w:val="auto"/>
        </w:rPr>
      </w:pPr>
      <w:r>
        <w:rPr>
          <w:rFonts w:hint="eastAsia" w:ascii="宋体" w:hAnsi="宋体" w:cs="宋体"/>
          <w:color w:val="auto"/>
          <w:szCs w:val="21"/>
        </w:rPr>
        <w:t>4.投标人必须对投标文件中提供的证明材料和资质文件真实性负责，如出现虚假应标情况，投标人除了应接受有关部门的处罚外，还应依据《中华人民共和国民法典》的相关条款来进行赔偿。</w:t>
      </w:r>
    </w:p>
    <w:p>
      <w:pPr>
        <w:tabs>
          <w:tab w:val="left" w:pos="180"/>
          <w:tab w:val="left" w:pos="1620"/>
        </w:tabs>
        <w:spacing w:line="460" w:lineRule="exact"/>
        <w:ind w:firstLine="420" w:firstLineChars="200"/>
        <w:jc w:val="left"/>
        <w:rPr>
          <w:rFonts w:hint="eastAsia" w:ascii="宋体" w:hAnsi="宋体" w:cs="宋体"/>
          <w:color w:val="auto"/>
        </w:rPr>
      </w:pPr>
      <w:r>
        <w:rPr>
          <w:rFonts w:hint="eastAsia" w:ascii="宋体" w:hAnsi="宋体" w:cs="宋体"/>
          <w:color w:val="auto"/>
        </w:rPr>
        <w:t>5.投标人应对投标内容所涉及的专利承担法律责任，并负责保护采购人的利益不受任何损害。一切由于文字、商标、技术和软件专利授权引起的法律裁决、诉讼和赔偿费用均由中标人负责。</w:t>
      </w:r>
    </w:p>
    <w:p>
      <w:pPr>
        <w:tabs>
          <w:tab w:val="left" w:pos="180"/>
          <w:tab w:val="left" w:pos="1620"/>
        </w:tabs>
        <w:spacing w:line="460" w:lineRule="exact"/>
        <w:ind w:firstLine="420" w:firstLineChars="200"/>
        <w:jc w:val="left"/>
        <w:rPr>
          <w:rFonts w:hint="eastAsia" w:ascii="宋体" w:hAnsi="宋体" w:cs="宋体"/>
          <w:color w:val="auto"/>
        </w:rPr>
      </w:pPr>
      <w:r>
        <w:rPr>
          <w:rFonts w:hint="eastAsia" w:ascii="宋体" w:hAnsi="宋体" w:cs="宋体"/>
          <w:color w:val="auto"/>
        </w:rPr>
        <w:t>6.本项目所有采购标的对应的中小企业划分标准所属行业</w:t>
      </w:r>
      <w:r>
        <w:rPr>
          <w:rFonts w:hint="eastAsia" w:ascii="宋体" w:hAnsi="宋体" w:cs="宋体"/>
          <w:color w:val="auto"/>
          <w:lang w:eastAsia="zh-CN"/>
        </w:rPr>
        <w:t>名称</w:t>
      </w:r>
      <w:r>
        <w:rPr>
          <w:rFonts w:hint="eastAsia" w:ascii="宋体" w:hAnsi="宋体" w:cs="宋体"/>
          <w:color w:val="auto"/>
        </w:rPr>
        <w:t>：详见采购需求一览表</w:t>
      </w:r>
    </w:p>
    <w:p>
      <w:pPr>
        <w:tabs>
          <w:tab w:val="left" w:pos="180"/>
          <w:tab w:val="left" w:pos="1620"/>
        </w:tabs>
        <w:spacing w:line="460" w:lineRule="exact"/>
        <w:ind w:firstLine="420" w:firstLineChars="200"/>
        <w:jc w:val="left"/>
        <w:rPr>
          <w:rFonts w:hint="eastAsia" w:ascii="宋体" w:hAnsi="宋体" w:cs="宋体"/>
          <w:color w:val="auto"/>
        </w:rPr>
      </w:pPr>
    </w:p>
    <w:p>
      <w:pPr>
        <w:tabs>
          <w:tab w:val="left" w:pos="180"/>
          <w:tab w:val="left" w:pos="1620"/>
        </w:tabs>
        <w:spacing w:line="460" w:lineRule="exact"/>
        <w:jc w:val="left"/>
        <w:rPr>
          <w:rFonts w:hint="eastAsia" w:ascii="宋体" w:hAnsi="宋体" w:cs="宋体"/>
          <w:color w:val="auto"/>
        </w:rPr>
      </w:pPr>
      <w:r>
        <w:rPr>
          <w:rFonts w:hint="eastAsia" w:ascii="宋体" w:hAnsi="宋体" w:cs="宋体"/>
          <w:color w:val="auto"/>
        </w:rPr>
        <w:br w:type="page"/>
      </w:r>
    </w:p>
    <w:bookmarkEnd w:id="70"/>
    <w:p>
      <w:pPr>
        <w:outlineLvl w:val="0"/>
        <w:rPr>
          <w:rFonts w:hint="eastAsia" w:ascii="宋体" w:hAnsi="宋体" w:cs="宋体"/>
          <w:b/>
          <w:bCs/>
          <w:color w:val="auto"/>
          <w:sz w:val="24"/>
        </w:rPr>
      </w:pPr>
      <w:r>
        <w:rPr>
          <w:rFonts w:hint="eastAsia" w:ascii="宋体" w:hAnsi="宋体" w:cs="宋体"/>
          <w:b/>
          <w:bCs/>
          <w:color w:val="auto"/>
          <w:sz w:val="24"/>
        </w:rPr>
        <w:t>标项一</w:t>
      </w:r>
    </w:p>
    <w:tbl>
      <w:tblPr>
        <w:tblStyle w:val="26"/>
        <w:tblW w:w="97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500"/>
        <w:gridCol w:w="700"/>
        <w:gridCol w:w="750"/>
        <w:gridCol w:w="641"/>
        <w:gridCol w:w="4050"/>
        <w:gridCol w:w="823"/>
        <w:gridCol w:w="941"/>
        <w:gridCol w:w="8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59"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需求一览表</w:t>
            </w:r>
          </w:p>
        </w:tc>
        <w:tc>
          <w:tcPr>
            <w:tcW w:w="50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标的名称</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w:t>
            </w:r>
          </w:p>
        </w:tc>
        <w:tc>
          <w:tcPr>
            <w:tcW w:w="6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单位</w:t>
            </w:r>
          </w:p>
        </w:tc>
        <w:tc>
          <w:tcPr>
            <w:tcW w:w="4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技术参数及配置</w:t>
            </w:r>
          </w:p>
        </w:tc>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分项预算（元）</w:t>
            </w:r>
          </w:p>
        </w:tc>
        <w:tc>
          <w:tcPr>
            <w:tcW w:w="9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分项预算合计（元）</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中小企业划分标准所属行业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5"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平衡调整式净化解剖台</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一、主要技术参数：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1.解剖台规格：</w:t>
            </w:r>
            <w:r>
              <w:rPr>
                <w:rFonts w:hint="eastAsia" w:ascii="宋体" w:hAnsi="宋体" w:cs="宋体"/>
                <w:color w:val="auto"/>
                <w:kern w:val="0"/>
                <w:sz w:val="21"/>
                <w:szCs w:val="21"/>
                <w:lang w:val="en-US" w:eastAsia="zh-CN" w:bidi="ar"/>
              </w:rPr>
              <w:t>2160*790*890mm（±30mm）</w:t>
            </w:r>
            <w:r>
              <w:rPr>
                <w:rFonts w:hint="eastAsia" w:ascii="宋体" w:hAnsi="宋体" w:eastAsia="宋体" w:cs="宋体"/>
                <w:color w:val="auto"/>
                <w:kern w:val="0"/>
                <w:sz w:val="21"/>
                <w:szCs w:val="21"/>
                <w:lang w:bidi="ar"/>
              </w:rPr>
              <w:t xml:space="preserve">；内箱体尺寸：1920*600*420mm（±30mm）；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2.工作电压：AC220V/50Hz；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3.有效容积:≥400L；承载重量：≥150kg；</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4.排风量：≥2000</w:t>
            </w:r>
            <w:r>
              <w:rPr>
                <w:rFonts w:hint="eastAsia" w:ascii="宋体" w:hAnsi="宋体" w:cs="宋体"/>
                <w:color w:val="auto"/>
                <w:kern w:val="0"/>
                <w:sz w:val="21"/>
                <w:szCs w:val="21"/>
                <w:lang w:val="en-US" w:eastAsia="zh-CN" w:bidi="ar"/>
              </w:rPr>
              <w:t>m³</w:t>
            </w:r>
            <w:r>
              <w:rPr>
                <w:rFonts w:hint="eastAsia" w:ascii="宋体" w:hAnsi="宋体" w:eastAsia="宋体" w:cs="宋体"/>
                <w:color w:val="auto"/>
                <w:kern w:val="0"/>
                <w:sz w:val="21"/>
                <w:szCs w:val="21"/>
                <w:lang w:bidi="ar"/>
              </w:rPr>
              <w:t>/h；平台升降有效行程：≥480mm；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5.控制方式：电动+手动+APP远程+本地触摸屏；带浸泡、防霉；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6.材料:国标304不锈钢。</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二.功能要求：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1.具有浸泡、保存、解剖操作和学生课桌多重功能；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2.解剖台内置可升降不锈钢平台，操作台板厚度≥1.2mm；精加工，耐腐蚀，易清洗；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3.解剖台具有断电保护功能；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4.盖子部分：采用厚度≥1.2mm的SUS304不锈钢。解剖台单开台面，</w:t>
            </w:r>
            <w:r>
              <w:rPr>
                <w:rFonts w:hint="eastAsia" w:ascii="宋体" w:hAnsi="宋体" w:cs="宋体"/>
                <w:color w:val="auto"/>
                <w:kern w:val="0"/>
                <w:sz w:val="21"/>
                <w:szCs w:val="21"/>
                <w:lang w:val="en-US" w:eastAsia="zh-CN" w:bidi="ar"/>
              </w:rPr>
              <w:t>打</w:t>
            </w:r>
            <w:r>
              <w:rPr>
                <w:rFonts w:hint="eastAsia" w:ascii="宋体" w:hAnsi="宋体" w:eastAsia="宋体" w:cs="宋体"/>
                <w:color w:val="auto"/>
                <w:kern w:val="0"/>
                <w:sz w:val="21"/>
                <w:szCs w:val="21"/>
                <w:lang w:bidi="ar"/>
              </w:rPr>
              <w:t>开解剖台时台面垂直悬挂；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5.箱体部分：箱体部分采用厚度≥1.2mm的SUS304不锈钢材料冲压成形。放满尸体保存液后，箱体不发生变形。箱体底部采用加强支撑设计，箱体稳固；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控制方式：升降采用手动控制及电动控制，通过不少于24点位的可编程PLC进行逻辑控制、Modbus+485通讯协议实现本地智慧物联与远程APP联动控制。①电动控制，时间小于1min，涡轮涡杆传动平行升降，台面升降高度不小于500mm。②手动控制，在断电情况下可以进行手动升降操作，不影响解剖台使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升降方式：解剖台升降采用蜗轮蜗杆传动形式；传动装置采用隐藏式安装；操作台面可以在任意位置升降和固定，通过双排轮减速系统平稳带动四组升降模块，采用不少于两组不锈钢单环摆臂，承托操作台面平稳升降；组合控制键具备使用模式和搬运模式抬高解剖台操作面板，使用模式升降高度为：≥400mm，搬运模式升降高度为：≥500mm，可至摆臂垂直位置的≥120°，并且可实现与标本推车台面互换，可与尸体冷藏柜台板对接更换；升降控制可采用手动、电动升降，</w:t>
            </w:r>
            <w:r>
              <w:rPr>
                <w:rFonts w:hint="eastAsia" w:ascii="宋体" w:hAnsi="宋体" w:eastAsia="宋体" w:cs="宋体"/>
                <w:color w:val="auto"/>
                <w:sz w:val="21"/>
                <w:szCs w:val="21"/>
              </w:rPr>
              <w:t>能接入序号16标的语音交互版智慧物联核心监控系统和序号18标的Ai数字人智能交互控制平台，可控制解剖台升降</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8.净化部分：解剖台具有净化防霉功能，采用气流慢循环匀风系统，对解剖台内的标本进行24小时防霉净化处理，采用高频电离防霉技术，防止标本长霉，净化效率达到90%以上；</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9.排风功能：具有解剖台内箱体下排风和解剖台周边360°侧排风功能；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10.开盖感应系统：解剖台盖子关闭时，自动锁定升降功能，避免误操作导致标本损坏；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11.学生安全锁功能：</w:t>
            </w:r>
            <w:r>
              <w:rPr>
                <w:rFonts w:hint="eastAsia" w:ascii="宋体" w:hAnsi="宋体" w:eastAsia="宋体" w:cs="宋体"/>
                <w:color w:val="auto"/>
                <w:sz w:val="21"/>
                <w:szCs w:val="21"/>
              </w:rPr>
              <w:t>能接入序号16标的语音交互版智慧物联核心监控系统和序号18标的Ai数字人智能交互控制平台，</w:t>
            </w:r>
            <w:r>
              <w:rPr>
                <w:rFonts w:hint="eastAsia" w:ascii="宋体" w:hAnsi="宋体" w:eastAsia="宋体" w:cs="宋体"/>
                <w:color w:val="auto"/>
                <w:kern w:val="0"/>
                <w:sz w:val="21"/>
                <w:szCs w:val="21"/>
                <w:lang w:bidi="ar"/>
              </w:rPr>
              <w:t>设置解剖台的操作权限，避免学生误操作；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12.解剖台下方预留福尔马林废液处理模块，</w:t>
            </w:r>
            <w:r>
              <w:rPr>
                <w:rFonts w:hint="eastAsia" w:ascii="宋体" w:hAnsi="宋体" w:eastAsia="宋体" w:cs="宋体"/>
                <w:color w:val="auto"/>
                <w:sz w:val="21"/>
                <w:szCs w:val="21"/>
              </w:rPr>
              <w:t>预留有物理接口</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●13.配备智控感应反馈装置,并能与</w:t>
            </w:r>
            <w:r>
              <w:rPr>
                <w:rFonts w:hint="eastAsia" w:ascii="宋体" w:hAnsi="宋体" w:eastAsia="宋体" w:cs="宋体"/>
                <w:color w:val="auto"/>
                <w:sz w:val="21"/>
                <w:szCs w:val="21"/>
              </w:rPr>
              <w:t>序号16标的语音交互版智慧物联核心监控系统和序号18标的Ai数字人智能交互控制平台</w:t>
            </w:r>
            <w:r>
              <w:rPr>
                <w:rFonts w:hint="eastAsia" w:ascii="宋体" w:hAnsi="宋体" w:eastAsia="宋体" w:cs="宋体"/>
                <w:color w:val="auto"/>
                <w:kern w:val="0"/>
                <w:sz w:val="21"/>
                <w:szCs w:val="21"/>
                <w:lang w:bidi="ar"/>
              </w:rPr>
              <w:t>联动，能显示解剖台的使用情况，可以远程控制解剖台升降；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14.箱体下方有泄流模块，方便排出残液，同时不被标本碎屑堵塞；</w:t>
            </w:r>
          </w:p>
          <w:p>
            <w:pPr>
              <w:keepNext w:val="0"/>
              <w:keepLines w:val="0"/>
              <w:pageBreakBefore w:val="0"/>
              <w:kinsoku/>
              <w:wordWrap/>
              <w:overflowPunct/>
              <w:topLinePunct w:val="0"/>
              <w:autoSpaceDE/>
              <w:autoSpaceDN/>
              <w:bidi w:val="0"/>
              <w:adjustRightInd/>
              <w:spacing w:after="0" w:line="440" w:lineRule="atLeast"/>
              <w:rPr>
                <w:rFonts w:hint="eastAsia"/>
                <w:color w:val="auto"/>
                <w:lang w:eastAsia="zh-CN"/>
              </w:rPr>
            </w:pPr>
            <w:r>
              <w:rPr>
                <w:rFonts w:hint="eastAsia" w:ascii="宋体" w:hAnsi="宋体" w:eastAsia="宋体" w:cs="宋体"/>
                <w:color w:val="auto"/>
                <w:sz w:val="21"/>
                <w:szCs w:val="21"/>
              </w:rPr>
              <w:t>15.解剖台配套部署解剖标本 AI 学习评测</w:t>
            </w:r>
            <w:r>
              <w:rPr>
                <w:rFonts w:hint="eastAsia" w:ascii="宋体" w:hAnsi="宋体" w:cs="宋体"/>
                <w:color w:val="auto"/>
                <w:sz w:val="21"/>
                <w:szCs w:val="21"/>
                <w:lang w:val="en-US" w:eastAsia="zh-CN"/>
              </w:rPr>
              <w:t>系统</w:t>
            </w:r>
            <w:r>
              <w:rPr>
                <w:rFonts w:hint="eastAsia" w:ascii="宋体" w:hAnsi="宋体" w:eastAsia="宋体" w:cs="宋体"/>
                <w:color w:val="auto"/>
                <w:sz w:val="21"/>
                <w:szCs w:val="21"/>
              </w:rPr>
              <w:t>，为人体解剖学实验课提供全流程学习辅助、智能化测评及教学管理支持。系统后台需</w:t>
            </w:r>
            <w:r>
              <w:rPr>
                <w:rFonts w:hint="eastAsia" w:ascii="宋体" w:hAnsi="宋体" w:cs="宋体"/>
                <w:color w:val="auto"/>
                <w:sz w:val="21"/>
                <w:szCs w:val="21"/>
                <w:lang w:val="en-US" w:eastAsia="zh-CN"/>
              </w:rPr>
              <w:t>适配</w:t>
            </w:r>
            <w:r>
              <w:rPr>
                <w:rFonts w:hint="eastAsia" w:ascii="宋体" w:hAnsi="宋体" w:eastAsia="宋体" w:cs="宋体"/>
                <w:color w:val="auto"/>
                <w:sz w:val="21"/>
                <w:szCs w:val="21"/>
              </w:rPr>
              <w:t xml:space="preserve"> Windows、MacOS 等桌面操作系统， PC 端运行稳定、无卡顿；前端应用需适配 iOS、Android 、鸿蒙移动操作系统，满足多终端使用需求</w:t>
            </w:r>
            <w:r>
              <w:rPr>
                <w:rFonts w:hint="eastAsia" w:ascii="宋体" w:hAnsi="宋体" w:eastAsia="宋体" w:cs="宋体"/>
                <w:color w:val="auto"/>
                <w:kern w:val="0"/>
                <w:sz w:val="21"/>
                <w:szCs w:val="21"/>
                <w:lang w:bidi="ar"/>
              </w:rPr>
              <w:t>；</w:t>
            </w:r>
            <w:r>
              <w:rPr>
                <w:rFonts w:hint="eastAsia"/>
                <w:color w:val="auto"/>
                <w:lang w:val="en-US" w:eastAsia="zh-CN"/>
              </w:rPr>
              <w:t>每个解剖台配置一个</w:t>
            </w:r>
            <w:r>
              <w:rPr>
                <w:rFonts w:hint="eastAsia"/>
                <w:color w:val="auto"/>
                <w:lang w:eastAsia="zh-CN"/>
              </w:rPr>
              <w:t>可拆卸</w:t>
            </w:r>
            <w:r>
              <w:rPr>
                <w:rFonts w:hint="eastAsia"/>
                <w:color w:val="auto"/>
                <w:lang w:val="en-US" w:eastAsia="zh-CN"/>
              </w:rPr>
              <w:t>专用</w:t>
            </w:r>
            <w:r>
              <w:rPr>
                <w:rFonts w:hint="eastAsia"/>
                <w:color w:val="auto"/>
                <w:lang w:eastAsia="zh-CN"/>
              </w:rPr>
              <w:t>平板，</w:t>
            </w:r>
            <w:r>
              <w:rPr>
                <w:rFonts w:hint="eastAsia"/>
                <w:color w:val="auto"/>
                <w:lang w:val="en-US" w:eastAsia="zh-CN"/>
              </w:rPr>
              <w:t>作为设备</w:t>
            </w:r>
            <w:r>
              <w:rPr>
                <w:rFonts w:hint="eastAsia"/>
                <w:color w:val="auto"/>
                <w:lang w:eastAsia="zh-CN"/>
              </w:rPr>
              <w:t>专属显示控制终端，</w:t>
            </w:r>
            <w:r>
              <w:rPr>
                <w:rFonts w:hint="eastAsia"/>
                <w:color w:val="auto"/>
                <w:lang w:val="en-US" w:eastAsia="zh-CN"/>
              </w:rPr>
              <w:t>配套充电基座，</w:t>
            </w:r>
            <w:r>
              <w:rPr>
                <w:rFonts w:hint="eastAsia"/>
                <w:color w:val="auto"/>
                <w:lang w:eastAsia="zh-CN"/>
              </w:rPr>
              <w:t>可单独取出</w:t>
            </w:r>
            <w:r>
              <w:rPr>
                <w:rFonts w:hint="eastAsia"/>
                <w:color w:val="auto"/>
                <w:lang w:val="en-US" w:eastAsia="zh-CN"/>
              </w:rPr>
              <w:t>使用</w:t>
            </w:r>
            <w:r>
              <w:rPr>
                <w:rFonts w:hint="eastAsia"/>
                <w:color w:val="auto"/>
                <w:lang w:eastAsia="zh-CN"/>
              </w:rPr>
              <w:t>，使用完毕放回基座自动充电。</w:t>
            </w:r>
            <w:r>
              <w:rPr>
                <w:rFonts w:hint="eastAsia"/>
                <w:color w:val="auto"/>
                <w:lang w:val="en-US" w:eastAsia="zh-CN"/>
              </w:rPr>
              <w:t>平板可</w:t>
            </w:r>
            <w:r>
              <w:rPr>
                <w:rFonts w:hint="eastAsia"/>
                <w:color w:val="auto"/>
                <w:lang w:eastAsia="zh-CN"/>
              </w:rPr>
              <w:t>用于拍摄标本开展解剖学习、结构识别、线上测评；</w:t>
            </w:r>
            <w:r>
              <w:rPr>
                <w:rFonts w:hint="eastAsia"/>
                <w:color w:val="auto"/>
                <w:lang w:val="en-US" w:eastAsia="zh-CN"/>
              </w:rPr>
              <w:t>同时可用于</w:t>
            </w:r>
            <w:r>
              <w:rPr>
                <w:rFonts w:hint="eastAsia"/>
                <w:color w:val="auto"/>
                <w:lang w:eastAsia="zh-CN"/>
              </w:rPr>
              <w:t>控制解剖台开盖、关盖、台面升降等设备操作</w:t>
            </w:r>
            <w:r>
              <w:rPr>
                <w:rFonts w:hint="eastAsia" w:ascii="宋体" w:hAnsi="宋体" w:eastAsia="宋体" w:cs="宋体"/>
                <w:color w:val="auto"/>
                <w:kern w:val="0"/>
                <w:sz w:val="21"/>
                <w:szCs w:val="21"/>
                <w:lang w:bidi="ar"/>
              </w:rPr>
              <w:t>；</w:t>
            </w:r>
          </w:p>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w:t>
            </w:r>
            <w:r>
              <w:rPr>
                <w:rFonts w:hint="eastAsia" w:ascii="宋体" w:hAnsi="宋体" w:eastAsia="宋体" w:cs="宋体"/>
                <w:color w:val="auto"/>
                <w:sz w:val="21"/>
                <w:szCs w:val="21"/>
              </w:rPr>
              <w:t>16.系统需涵盖自我学习、实验报告、章节测试、期末考试四大核心模块。其中，章节测试与期末考试模块需具备人体解剖学标本结构考试的 AI 智能处理能力：学生完成解剖台操作台面上的标本对应结构拍照后，系统可自动识别标本结构、匹配考试内容，并可实现全流程自动阅卷，无需人工干预</w:t>
            </w:r>
            <w:r>
              <w:rPr>
                <w:rFonts w:hint="eastAsia" w:ascii="宋体" w:hAnsi="宋体" w:eastAsia="宋体" w:cs="宋体"/>
                <w:color w:val="auto"/>
                <w:sz w:val="21"/>
                <w:szCs w:val="21"/>
                <w:lang w:eastAsia="zh-CN"/>
              </w:rPr>
              <w:t>；</w:t>
            </w:r>
          </w:p>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w:t>
            </w:r>
            <w:r>
              <w:rPr>
                <w:rFonts w:hint="eastAsia" w:ascii="宋体" w:hAnsi="宋体" w:eastAsia="宋体" w:cs="宋体"/>
                <w:color w:val="auto"/>
                <w:sz w:val="21"/>
                <w:szCs w:val="21"/>
              </w:rPr>
              <w:t>17.实验报告协同制作功能：支持学生在实验课上以小组为单位，实时收集实验数据与资料，并可结合外部参考资料进行内容剪辑、整合，并完成小组实验报告制作；报告提交后，教师可在系统内直接对小组整体成绩进行评价，同时支持组长在系统中预设小组内各成员的成绩权重，系统将根据预设权重自动计算并生成每位成员的个人成绩</w:t>
            </w:r>
            <w:r>
              <w:rPr>
                <w:rFonts w:hint="eastAsia" w:ascii="宋体" w:hAnsi="宋体" w:eastAsia="宋体" w:cs="宋体"/>
                <w:color w:val="auto"/>
                <w:sz w:val="21"/>
                <w:szCs w:val="21"/>
                <w:lang w:eastAsia="zh-CN"/>
              </w:rPr>
              <w:t>；</w:t>
            </w:r>
          </w:p>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w:t>
            </w:r>
            <w:r>
              <w:rPr>
                <w:rFonts w:hint="eastAsia" w:ascii="宋体" w:hAnsi="宋体" w:eastAsia="宋体" w:cs="宋体"/>
                <w:color w:val="auto"/>
                <w:sz w:val="21"/>
                <w:szCs w:val="21"/>
              </w:rPr>
              <w:t>18.随堂测验 AI 实时判分，支持在解剖实验课中，实时识别解剖台内放置的实物标本；学生需在规定时间内，结合当堂课教学内容对实物标本进行扫描、拍照，并按题目要求标记标本结构，完成答题后，系统后台 AI 可立即对答题结果进行分析、判分，实时反馈测验成绩，教师、学生可查看教学、学习情况</w:t>
            </w:r>
            <w:r>
              <w:rPr>
                <w:rFonts w:hint="eastAsia" w:ascii="宋体" w:hAnsi="宋体" w:eastAsia="宋体" w:cs="宋体"/>
                <w:color w:val="auto"/>
                <w:sz w:val="21"/>
                <w:szCs w:val="21"/>
                <w:lang w:eastAsia="zh-CN"/>
              </w:rPr>
              <w:t>；</w:t>
            </w:r>
          </w:p>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w:t>
            </w:r>
            <w:r>
              <w:rPr>
                <w:rFonts w:hint="eastAsia" w:ascii="宋体" w:hAnsi="宋体" w:eastAsia="宋体" w:cs="宋体"/>
                <w:color w:val="auto"/>
                <w:sz w:val="21"/>
                <w:szCs w:val="21"/>
              </w:rPr>
              <w:t>19.课后虚拟拍照复习，学生课后可通过系统启动虚拟拍照模式，可随机调取拍照好的标本图片做题，学生基于标本照片完成结构标记、答题后，AI 将自动阅卷并实时给出判分结果</w:t>
            </w:r>
            <w:r>
              <w:rPr>
                <w:rFonts w:hint="eastAsia" w:ascii="宋体" w:hAnsi="宋体" w:eastAsia="宋体" w:cs="宋体"/>
                <w:color w:val="auto"/>
                <w:sz w:val="21"/>
                <w:szCs w:val="21"/>
                <w:lang w:eastAsia="zh-CN"/>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w:t>
            </w:r>
            <w:r>
              <w:rPr>
                <w:rFonts w:hint="eastAsia" w:ascii="宋体" w:hAnsi="宋体" w:eastAsia="宋体" w:cs="宋体"/>
                <w:color w:val="auto"/>
                <w:sz w:val="21"/>
                <w:szCs w:val="21"/>
              </w:rPr>
              <w:t>期末标本考试智能化部署，可在解剖台内布置实物标本，可将每张解剖台设为独立考试区域；系统可通过 AI 算法从题库中现场抽取考试题目，可随机分配独立考题、考题不重复；可全流程自动化出题、阅卷。</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39428.21</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473138.52</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音响系统</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1.音频处理器</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1.1 主机CPU核心数量≥4个，运行嵌入式正版操作系统</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1.2 支持≥2路RJ45网口音频输入；支持≥6路凤凰端子差分输入，其中≥4路支持48V幻象电源供电；支持≥2路凤凰端子差分输出，支持≥2路凤凰端子功放输出</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1.3 功率放大器的输出功率2*150W（±10%）</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1.4 采样率≥48KHz；频率响应范围为100Hz~20KHz；总谐波失真≤0.1%；信噪比≥100dB</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1.5 支持自动反馈抑制算法，可抑制声反馈啸叫，声反馈增益≥18dB，支持≥5个等级的反馈抑制强度调节</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1.6 支持低时延AI降噪技术，既可对教室内的空调、电风扇等稳态噪声进行抑制，也可对板书声、走路声、桌椅声等瞬态噪声进行抑制，不进行扩声输出，降噪幅度≥30dB</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1.7 支持鹅颈麦、无线麦与吊麦自动切换。</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2.扩声音响</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2.1 音箱采用≥2个喇叭单元，其中1个≥6"中低音喇叭单元，</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个≥1"高音喇叭单元</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 额定功率 30W（±10%）</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 xml:space="preserve"> 最大功率 60W（±10%）。</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3.拾音麦克风</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3.1 麦克风采用线阵列设计，内置≥6个传感器单元</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3.2 麦克风无需额外适配器供电，能够通过网线实现麦克风供电、音频信号传输</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3.3 麦克风采用≥2个网口进行模拟音频信号传输，配以强驱动输出电路，实现强抗干扰能力</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3.4 麦克风拾音距离≥6米。</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4.无线麦克风和接收器</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4.1 麦克风支持≥1个Pogo pin接口，支持通过Pogo pin接口进行充电</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4.2 整机标配至少两个无线麦克风，支持多个麦克风同时工作</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4.3 麦克风支持≥2种断开连接方式，可通过麦克风放入充电仓自动断开连接、关机自动断开连接。</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设备用于医学院解剖实验室教学环境，要求通过音频处理器、扩声音响及拾音麦克风等设备的协同工作，构建清晰、稳定的实验教学语音扩声环境，满足解剖实验课程中教师讲解、学生听讲及师生互动等教学场景的音频需求。系统具备声反馈抑制、AI降噪及多麦克风自动切换等功能，可有效保障实验教学过程中语音传输的清晰度与稳定性。</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7181.61</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21544.83</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移动式微方导流净化系统</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1.规格：</w:t>
            </w:r>
            <w:r>
              <w:rPr>
                <w:rFonts w:hint="eastAsia" w:ascii="宋体" w:hAnsi="宋体" w:cs="宋体"/>
                <w:color w:val="auto"/>
                <w:kern w:val="0"/>
                <w:sz w:val="21"/>
                <w:szCs w:val="21"/>
                <w:lang w:val="en-US" w:eastAsia="zh-CN" w:bidi="ar"/>
              </w:rPr>
              <w:t>240×240×260</w:t>
            </w:r>
            <w:r>
              <w:rPr>
                <w:rFonts w:hint="eastAsia" w:ascii="宋体" w:hAnsi="宋体" w:eastAsia="宋体" w:cs="宋体"/>
                <w:color w:val="auto"/>
                <w:kern w:val="0"/>
                <w:sz w:val="21"/>
                <w:szCs w:val="21"/>
                <w:lang w:bidi="ar"/>
              </w:rPr>
              <w:t>mm（±30mm）；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sz w:val="21"/>
                <w:szCs w:val="21"/>
              </w:rPr>
              <w:t>2.依据《消毒技术规范》（2002版）技术规范，设备运行≤2小时，现场自然菌的消亡率≥90.00%</w:t>
            </w:r>
            <w:r>
              <w:rPr>
                <w:rFonts w:hint="eastAsia" w:ascii="宋体" w:hAnsi="宋体" w:eastAsia="宋体" w:cs="宋体"/>
                <w:color w:val="auto"/>
                <w:kern w:val="0"/>
                <w:sz w:val="21"/>
                <w:szCs w:val="21"/>
                <w:lang w:bidi="ar"/>
              </w:rPr>
              <w:t>；</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3.左右配置 2 台离子设备，尺寸：180×40mm（±30mm），双层电离装置，离子设备可拆卸。设备自带传感系统和检测功能，根据室内污染程度进行自动调整状态和启停；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4.设备顶部含智能触发装置和安全模块，尺寸：210mm×210mm（±30mm），安全模块四角固定，带自保护功能，可单独拆卸。当安全模块打开，系统自动关闭。安装四套半封闭式减震保护系统；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5.设备内置控制台，包含通风排除模块、维护警告复位模块、通风状态模块、风量调节模块；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6.内置自动计算器（8000H），当需要更换主机时自动警示；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7.设备内置风机，安装不锈钢层流疏导孔，自渗透式循环方式净化。</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17628.21</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17628.21</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不锈钢水池（4人位）</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1.规格：长2400mm*宽600mm*高780mm（±10mm）；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2.材质：国标304不锈钢板材，厚度≥1.2mm；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3.配4个洗手位，中间静音处理，确保洗手时水花不外溅；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4.配4个鹅颈型水龙头，采用脚踏式控制开关；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5.采用304提笼下水器，能防止标本碎屑等堵塞下水管；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6.下水器与下水管采用环保，耐腐PP材料；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7.水池下方预留风道位置，表面安装风口。</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6206.10 </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18618.3</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外排除臭设备</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1.废气处理量≥18000m³/h；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2.采用国标304不锈钢箱体；</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3.除恶臭：能去除挥发性有机物（VOC），无机物，硫化氢，甲醛，氨气，硫醇类等主要污染物，以及各种恶臭味；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4.无需添加任何物质：只需要设置相应的排风管道和排风动力，使恶臭气体通过本设备进行脱臭分解净化，无需添加任何物质参与化学反应；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5.适应性强：可适应高浓度，大气量，不同恶臭气体物质的脱臭净化处理，可每天 24 小时连续工作，运行稳定可靠；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6.运行成本低：本设备无任何机械动作，无噪音，无需专人管理和日常维护，设备能耗低，设备风阻极低&lt;50pa。</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98694.95</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98694.95</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外排除臭设备</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1.废气处理量≥15000m³/h；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2.采用国标304不锈钢箱体；</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3.除恶臭：能去除挥发性有机物（VOC），无机物，硫化氢，甲醛，氨气，硫醇类等主要污染物，以及各种恶臭味；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4.无需添加任何物质：只需要设置相应的排风管道和排风动力，使恶臭气体通过本设备进行脱臭分解净化，无需添加任何物质参与化学反应；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5.适应性强：可适应高浓度，大气量，不同恶臭气体物质的脱臭净化处理，可每天 24 小时连续工作，运行稳定可靠；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6.运行成本低：本设备无任何机械动作，无噪音，无需专人管理和日常维护，设备能耗低，设备风阻极低&lt;50pa。</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89429.95</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178859.9</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不锈钢立式导流装置</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1.规格：≥400*200mm；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2.材质：SUS304 不锈钢制作，排风口安装在立柱下端，采用一体化模压成型均匀分布，可根据净化程度调整气流速度。对通风系统进行多点式平衡调整。</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6786.37</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54290.96</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组合式净化排风机组</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1.卧式排风机组：风量Q≥18000m3/h；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2.增加全效纳米晶体净化层，高频循环净化，强度≥95%，水分≤5%。内置自动增氧模式层和智能空气测控器。反应段前段带多点自平衡负压引流系统；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3.内含静压混流装置，可减少涡流旋流、减少风噪；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w:t>
            </w:r>
            <w:r>
              <w:rPr>
                <w:rFonts w:hint="eastAsia" w:ascii="宋体" w:hAnsi="宋体" w:eastAsia="宋体" w:cs="宋体"/>
                <w:color w:val="auto"/>
                <w:sz w:val="21"/>
                <w:szCs w:val="21"/>
              </w:rPr>
              <w:t>具备标准的数字化控制接口，能接入序号16标的语音交互版智慧物联核心监控系统进行数据级集成，实现远程开启、关闭设备，可实现风速无级调节</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隔热断冷桥设计：柜式风机，采用难燃型聚氨酯发泡保温材料隔热板保温壁板，扣封型空气处理机组箱体内部的所有金属都通过聚氨酯发泡和经过特别设计的断冷桥复合材料与金属隔断，杜绝了箱体冷桥；机组框架及壁板之间粘贴保温密封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6.风机可变频，包含安装所需基础、设备安装及调试等所需配套。</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34467.25</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34467.25</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组合式净化排风机组</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1.卧式排风机组：风量Q≥15000m3/h；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2.增加全效纳米晶体净化层，高频循环净化，强度≥95%，水分≤5%。内置自动增氧模式层和智能空气测控器。反应段前段带多点自平衡负压引流系统；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3.内含静压混流装置，有效减少涡流旋流，减少风噪；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4.具备标准的数字化控制接口，能接入序号16标的语音交互版智慧物联核心监控系统进行数据级集成，实现远程开启、关闭设备，可实现风速无级调节；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隔热断冷桥设计：柜式风机，采用难燃型聚氨酯发泡保温材料隔热板保温壁板，扣封型空气处理机组箱体内部的所有金属都通过聚氨酯发泡和经过特别设计的断冷桥复合材料与金属隔断，杜绝了箱体冷桥；机组框架及壁板之间粘贴保温密封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6.风机可变频，包含安装所需基础、设备安装及调试等所需配套。</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27927.25</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55854.5</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10</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全控净化高能离子发生装置</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离子主机安装于新风管道中，离子释放单元与空气流向和风管采用垂直安装方式，确保送风通过电离模块表面，充分接触并完全反应，最大程度激发离子活性。通过室内送风末端送入实验室，具有主动捕捉有害气体，全覆盖净化的特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设备利用空气进行介质壁垒放电，产生双离子及高能粒子以及连锁生成的OH自由基，包括正离子水合物、超氧基阴离子等，其中OH自由基以及高能粒子具有强氧化性和高能分解能力，能够打开VOC、甲醛、二甲苯、烷类、硫化氢、氨等分子化学键，将其分解成二氧化碳、水及碳化合物，起到净化空气的作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3.设备运行中，离子簇碰撞产生电击，能够破坏微生物，如细菌、病毒等的细胞结构并使其丧失活性，起到消杀作用；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4.设备尺寸：260*350*200mm（±30mm）；其中底座尺寸：260*160*200mm（±30mm）；离子释放单元尺寸：长度190mm（±30mm），直径45mm（±10mm），每套设备含不少于4台离子释放单元，功率：≤55W。设备使用寿命不小于10年；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5.电压：AC220V±10V，50±10Hz；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6.设备采用金属底座，防腐喷涂，离子发生装置固定于绝缘透明模块上，内部能显示①电子变压器；②控制主板；③内部线路；</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w:t>
            </w:r>
            <w:r>
              <w:rPr>
                <w:rFonts w:hint="eastAsia" w:ascii="宋体" w:hAnsi="宋体" w:eastAsia="宋体" w:cs="宋体"/>
                <w:color w:val="auto"/>
                <w:sz w:val="21"/>
                <w:szCs w:val="21"/>
              </w:rPr>
              <w:t>设备运行≤30分钟后，臭氧浓度≤</w:t>
            </w:r>
            <w:r>
              <w:rPr>
                <w:rFonts w:hint="eastAsia" w:ascii="宋体" w:hAnsi="宋体" w:cs="宋体"/>
                <w:color w:val="auto"/>
                <w:sz w:val="21"/>
                <w:szCs w:val="21"/>
                <w:lang w:val="en-US" w:eastAsia="zh-CN"/>
              </w:rPr>
              <w:t>0.10</w:t>
            </w:r>
            <w:r>
              <w:rPr>
                <w:rFonts w:hint="eastAsia" w:ascii="宋体" w:hAnsi="宋体" w:eastAsia="宋体" w:cs="宋体"/>
                <w:color w:val="auto"/>
                <w:sz w:val="21"/>
                <w:szCs w:val="21"/>
              </w:rPr>
              <w:t>mg/m³，甲醛浓度≤0.08mg/m³。设备的甲醛净化效率≥95%</w:t>
            </w:r>
            <w:r>
              <w:rPr>
                <w:rFonts w:hint="eastAsia" w:ascii="宋体" w:hAnsi="宋体" w:eastAsia="宋体" w:cs="宋体"/>
                <w:color w:val="auto"/>
                <w:kern w:val="0"/>
                <w:sz w:val="21"/>
                <w:szCs w:val="21"/>
                <w:lang w:bidi="ar"/>
              </w:rPr>
              <w:t>；</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8.底座背部有设备把手，背部具有开关切换键和电源插座，并有≥6组串联信号接口和≥4组串联警报接口，设备便携式安装，方便维护保养；</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8.底座背部有设备把手，背部具有开关切换键和电源插座，并有≥6组串联信号接口和≥4组串联警报接口，设备便携式安装，方便维护保养；</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9.离子释放单元采用螺纹护套安装，具有安全牢固的接地装置，确保安全和稳定性；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10.节能优化技术由变频模块起主导作用，结合系统结构设计，达到最优节能效果。变频技术能有效控制离子净化模块的运行效率，有效控制能耗，并保证净化效果，使得净化效果更优异；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11.设备具有过流保护功能，具有温控保护功能；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12.工作环境温度和湿度的适用范围大，温度在摄氏-30℃~55℃之间，湿度在30%~98%，能符合本项目自然环境下使用，无须保温保湿，操作管理及维护简便，只需每半年清洗和检查，无需专人管理。</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96908.54</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290725.62</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无影智控层流罩</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1.设备尺寸：2190*1000mm（±10mm）；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2.无影式智控层流布气装置包含双模式无影照明系统、智慧物联智控模式和层流系统；双模式无影照明系统包含普通照明和无影照明两个模块；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双模式无影照明系统：到达解剖台操作台面的照明光束呈倒锥形分布，以避免眼睛疲劳。其中普通照明、无影照明、紫外辐射及蓝光危害、解剖台中心照度和边缘照度、无影率、无影照明系统灯珠要求等都需要满足解剖教学要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3.1层流布气装置上的普通照明40W，电压24V，显色指数≥82，光通量≥500流明；</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3.2层流布气装置上的无影照明320W，电压24V，显色指数≥90，光通量≥1600流明；</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●3.3</w:t>
            </w:r>
            <w:r>
              <w:rPr>
                <w:rFonts w:hint="eastAsia" w:ascii="宋体" w:hAnsi="宋体" w:eastAsia="宋体" w:cs="宋体"/>
                <w:color w:val="auto"/>
                <w:sz w:val="21"/>
                <w:szCs w:val="21"/>
              </w:rPr>
              <w:t>层流布气装置上的照明，在灯具处于额定电压正常工作状态下，距光源出光面≤200 mm处测得的蓝光危害等级不得超过RG1级</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3.4光束未受任何遮挡时，解剖台的中心照度（距照明下1200mm，右侧边缘500mm处）大于6500lx；</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3.5解剖台操作区域内，解剖台面边缘（里侧中间）照度不小于3300lx；</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3.6无影智控层流罩无影效果：①无影率：单遮板剩余照度≥50%；②无影率：双遮板剩余照度≥65%；③无影率：深腔剩余照度≥90%；④无影率：单遮板深腔底部剩余照度≥50%；⑤无影率：双遮板深腔底部剩余照度≥70%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3.7 双模式无影照明系统照明深腔底部时保持可见。</w:t>
            </w:r>
          </w:p>
          <w:p>
            <w:pPr>
              <w:keepNext w:val="0"/>
              <w:keepLines w:val="0"/>
              <w:pageBreakBefore w:val="0"/>
              <w:widowControl/>
              <w:kinsoku/>
              <w:wordWrap/>
              <w:overflowPunct/>
              <w:topLinePunct w:val="0"/>
              <w:autoSpaceDE/>
              <w:autoSpaceDN/>
              <w:bidi w:val="0"/>
              <w:adjustRightInd/>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智控模式：采用智慧物联智控模式，普通照明和无影照明可分开独立控制，实现本地端控制和远程端控制双模式控制方式。本地端控制模式：结合解剖台内置的本地端智能云控系统，控制无影层流罩的无影照明的开关、亮度的调节，可以实现0-100%灵活无极调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5.远程端控制模式：智慧物联远程端可远程实时监控和控制无影照明的开关、亮度的调节。实现无线和无极遥控调光，可采用无线调光，可以实现0-100%灵活无极调光；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微孔层流系统：采用多形态孔状组合均匀分布，内置导流装置，使新风均匀传输并送入实验室。采用圆孔和槽孔相结合的方式，圆孔采用直径≥5mm，槽孔采用直径≥3*20mm。整体层流孔数≥2600，结构应满足层流要求。</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21101.74</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253220.88</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顶送式送风罩</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规格：600*600*300mm（±30mm），铝合金材质。</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1012.00 </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20240</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13</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屋顶式空调机组</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1.全新风，Q≥12000m3/h,制冷量≥110kw，制热量≥110kw；</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2.机外静压：600Pa，N≈28KW；</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3.电源：380，50HZ；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4.过滤精度2um/过滤效率：≥90％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5.过滤阻损Pa：初阻≤100Pa,终阻≤1000Pa；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6.内置自动增氧模式层和智能空气测控器。反应段前段带多点自平衡负压引流系统；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7.内含静压混流装置，减少涡流旋流，减少风噪；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8.变频控制与序号16标的语音交互版智慧物联核心监控系统连接，可远程开启关闭，无极变速；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隔热断冷桥设计：柜式风机，采用难燃型聚氨酯发泡保温材料隔热板保温壁板，扣封型空气处理机组箱体内部的所有金属都通过聚氨酯发泡和经过断冷桥复合材料与金属隔断，杜绝了箱体冷桥；机组框架及壁板之间粘贴保温密封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消声模块，利用消声器内衬消音纤维片，外壳采用镀锌钢板，内壳采用微孔板，对低频及部分中频起消声作用。有效减低噪音，公板法兰安装方式。静压式消声模块安装。设备支架制作、安装；支吊架除锈、刷油按规范；</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▲11.本产品属于强制节能产品，投标时投标文件必须提供所投产品的节能产品认证证书复印件，否则投标无效。</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119079.25</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119079.25</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高静压风管送风式分体空调机组</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1.全新风，Q≥9000m3/h,制冷量≥100.5kw，制热量≥105kw；</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2.机外静压：300Pa，N≈28KW；</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3.电源：380，50HZ；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4.过滤精度2um/过滤效率：≥90％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5.过滤阻损Pa：初阻≤100Pa,终阻≤1000Pa；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6.内置自动增氧模式层和智能空气测控器。反应段前段带多点自平衡负压引流系统；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7.内含静压混流装置，减少涡流旋流，减少风噪；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8.变频控制与序号16标的语音交互版智慧物联核心监控系统连接，可远程开启关闭，无极变速；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隔热断冷桥设计：柜式风机，采用难燃型聚氨酯发泡保温材料隔热板保温壁板，扣封型空气处理机组箱体内部的所有金属都通过聚氨酯发泡和经过断冷桥复合材料与金属隔断，杜绝了箱体冷桥；机组框架及壁板之间粘贴保温密封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消声模块，利用消声器内衬消音纤维片，外壳采用镀锌钢板，内壳采用微孔板，对低频及部分中频起消声作用。有效减低噪音，公板法兰安装方式。静压式消声模块安装。设备支架制作、安装；支吊架除锈、刷油按规范；</w:t>
            </w:r>
          </w:p>
          <w:p>
            <w:pPr>
              <w:keepNext w:val="0"/>
              <w:keepLines w:val="0"/>
              <w:pageBreakBefore w:val="0"/>
              <w:widowControl/>
              <w:numPr>
                <w:ilvl w:val="255"/>
                <w:numId w:val="0"/>
              </w:numPr>
              <w:kinsoku/>
              <w:wordWrap/>
              <w:overflowPunct/>
              <w:topLinePunct w:val="0"/>
              <w:autoSpaceDE/>
              <w:autoSpaceDN/>
              <w:bidi w:val="0"/>
              <w:adjustRightInd/>
              <w:spacing w:after="0" w:line="440" w:lineRule="atLeas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11.</w:t>
            </w:r>
            <w:r>
              <w:rPr>
                <w:rFonts w:hint="eastAsia" w:ascii="宋体" w:hAnsi="宋体" w:eastAsia="宋体" w:cs="宋体"/>
                <w:color w:val="auto"/>
                <w:kern w:val="0"/>
                <w:sz w:val="21"/>
                <w:szCs w:val="21"/>
                <w:shd w:val="clear" w:color="auto" w:fill="FFFFFF"/>
                <w:lang w:bidi="ar"/>
              </w:rPr>
              <w:t>本产品属于强制节能产品，投标时投标文件必须提供所投产品的节能产品认证证书复印件，否则投标无效。</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98202.58</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196405.16</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实验室空气传感系统</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t>臭氧浓度变送器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1.1测量范围：4-20mA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1.2电源：24V，50HZ；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1.3测量精度：≥0.1%；</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1.4模拟信号输出，双继电器信号输出，RS485 信号。可兼容各种控制报警器、PLC、DCS等控制系统。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t>风速变送器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2.1交流供电：最大值≥150mA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2.2直流供电：最小值≤90mA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2.3风速范围：0 -15m/s；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2.4输出信号：0 -10V -1mA；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2.5具有单体调整测试和系统联调功能；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3、空气质量变送器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3.1自动跟踪零点、满量程、温度补偿；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3.2具有防高浓度气体冲击的自动保护功能；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t>温湿度变送器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4.1 DC24V供电；</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4.2 LED数码管温湿度显示；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4.3不少于2路（4-20mA/0-10V ）12位AD模拟量输出；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4.4模拟输出量：4-20mA/0-10V；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4.5温度范围：-40℃到120℃；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4.6湿度范围：0-100%RH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4.7温度精度：±0.3℃；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4.8湿度精度：±2.0%RH；</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4.9防护等级不低于IP67；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t>可定制高浓度甲醛系统，具备抗干扰能力，可定制传感器接入点，接入序号16标的语音交互版智慧物联核心监控系统和序号17标的智慧终端控制器。</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21188.96</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63566.88</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16</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语音交互版智慧物联核心监控系统</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语音交互版智慧物联核心监控系统（带APP综合教学管理系统）</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1.智慧物联核心监控系统采用LED触摸式控制，尺寸≥</w:t>
            </w:r>
            <w:r>
              <w:rPr>
                <w:rFonts w:hint="eastAsia" w:ascii="宋体" w:hAnsi="宋体" w:cs="宋体"/>
                <w:color w:val="auto"/>
                <w:kern w:val="0"/>
                <w:sz w:val="21"/>
                <w:szCs w:val="21"/>
                <w:lang w:val="en-US" w:eastAsia="zh-CN" w:bidi="ar"/>
              </w:rPr>
              <w:t>160*250mm</w:t>
            </w:r>
            <w:r>
              <w:rPr>
                <w:rFonts w:hint="eastAsia" w:ascii="宋体" w:hAnsi="宋体" w:eastAsia="宋体" w:cs="宋体"/>
                <w:color w:val="auto"/>
                <w:kern w:val="0"/>
                <w:sz w:val="21"/>
                <w:szCs w:val="21"/>
                <w:lang w:bidi="ar"/>
              </w:rPr>
              <w:t>，所有数据集中到一个控制器上；</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2.智慧物联LED触摸式本地端控制功能：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智慧物联核心监控系统显示：①空气质量（比如：优良差）②甲醛浓度③离子浓度④环境温度和环境湿度⑤调节风速：可手动从0%调整到100%调节⑥显示当前风速值(m/s)⑦当前模式：手动和自动模式⑧上课模式和下课模式⑨排风（开和关）、新风（开和关）、离子（开和关）、空调（开和关）、层流照明系统（开和关）、解剖台设备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分级菜单有解剖实验室环境检测系统、通风净化系统、预约定时、运行监测、解剖台控制、报警管理等控制模块。界面三维显示解剖实验室和解剖台场景，软件动态模拟层流布气罩、解剖台和上送下排净化效果；</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2.3屏保界面包括：①风速值②室内温湿度值③甲醛浓度值④日期时间⑤空气质量⑥上课下课一键控制；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2.4环境监测界面包括：①离子浓度②甲醛浓度③温度和湿度④风速⑤空气质量等级⑥净化效率⑦上课下课一键控制；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2.5通风净化界面包括：①空调的开关②空调温度预设③空调制冷制热调节④手自动切换⑤风速调节⑥新风和排风（开和关）⑦离子（开和关）⑧层流照明（开和关）⑨讲台电源（开和关）⑩时间一键控制（比如：上课下课时间）；</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2.6预约定时界面包括：①预约场景设定②定时开和关③控制模式选择④星期选择⑤开始与结束时间设定⑥上课下课一键控制；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2.7运行监测界面包括：①空调运行参数显示②新风变频器运行监测③排风变频器运行监测④时间一键控制（比如：上课下课时间）；</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2.8解剖台控制界面包括：①解剖台编号显示②解剖台状态显示③设备锁（开和关）④解剖台上升控制⑤解剖台停止控制⑥解剖台下降控制⑦时间一键控制（比如：上课下课时间）；</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2.9报警管理界面包括：①当前报警内容显示②所有报警记录显示③上课下课一键控制</w:t>
            </w:r>
            <w:r>
              <w:rPr>
                <w:rFonts w:hint="eastAsia" w:ascii="宋体" w:hAnsi="宋体" w:eastAsia="宋体" w:cs="宋体"/>
                <w:color w:val="auto"/>
                <w:sz w:val="21"/>
                <w:szCs w:val="21"/>
                <w:lang w:eastAsia="zh-CN"/>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2.10智慧物联本地端可以控制解剖台升降，在行程范围内任意位置启停；可以设置学生安全锁权限，避免学生误操作；通过解剖台感应系统实时调整净化频率；</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2.11智慧物联本地端有AI语音交互功能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，可以通过语音唤醒控制功能，对新风、排风、空调、离子等进行开启和关闭，AI语音可以针对指令进行控制并语音告知实施情况。</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48254.14</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144762.42</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pacing w:val="-12"/>
                <w:kern w:val="0"/>
                <w:sz w:val="21"/>
                <w:szCs w:val="21"/>
              </w:rPr>
              <w:t>软件和信息技术服</w:t>
            </w:r>
            <w:r>
              <w:rPr>
                <w:rFonts w:hint="eastAsia" w:ascii="宋体" w:hAnsi="宋体" w:eastAsia="宋体" w:cs="宋体"/>
                <w:color w:val="auto"/>
                <w:kern w:val="0"/>
                <w:sz w:val="21"/>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智慧终端控制器</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1.DC24V 输出： 24V,±8%，Max500mA ，具有过电流保护；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2.工作环境温度：-10℃~60℃ 存储温度：-20℃~70℃；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3.工作环境湿度： 5%~95%（无结露）；</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4.支持WiFi通讯和以太网联网方式，3路串口通讯，支持VPN下载；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5.12点输入(含2点100KHz），8点继电器输出：标配USB下载口和2个串口及以太网；支持物联网通讯扩展；支持1块BD扩展，支持8块模块扩展； 220VAC电源输入；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6.Miscro USB ：支持下载，在线监控；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7.RS232/RS485 ：2个，RS232/485可任意选择，串口通讯，波特率：4800~921600Bps；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8.以太网：1 个，Modbus Tcp Slave；</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9.4路模拟量输入模块，模拟量扩展模块。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10.支持2点AI输入，2点AO输出，专用右侧模拟量扩展模块；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11.支持物联网模块、支持边缘计算、免电源下载、远程下载与配置、隐藏式BD模块接口。</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26435.53</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79306.59</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18</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Ai数字人智能交互控制平台</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1.空气品质远程控制功能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1.1空气净化管理模块，可显示和控制①空气质量（优良差）②甲醛浓度③离子浓度④环境温度和环境湿度⑤调节风速：可手动从0%调整到 100%调节⑥显示当前风速值（m/s)⑦当前模式：手动和自动模式⑧排风（开和关）、新风（开和关）、离子（开和关）、空调（开和关）、照明系统（开和关）</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1.2管理模块，APP 具有操作日志和定时预约设备功能。①界面上体现设置定时，并能设置设备开启时间段，精确到具体日期和时间。②有全天开启和全天关闭功能。外网接入点由校方提供;</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APP内置AI数字人形象。用户可通过语音或文本输入，与数字人进行智能对话。系统具备动态分析与决策能力，能够理解上下文，结合用户需求与环境状态（如光线、设备状态）进行智能判断；能主动推理，可提供个性化建议；实时交互并联动时控制系统可做出反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3.智慧云台硬件：屏幕≥10英寸；分辨率不低于2560x1600；运行内存不低于8G；机身内存不小于128G；有多连点控制单元，操作台可移动式智能控制，无需固定。</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4526.53</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4526.53</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19</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静压式消声模块</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1.利用消声器内衬消音纤维片，外壳采用镀锌钢板，内壳采用微孔板，对低频及部分中频起有效的消声作用；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2.可有效减低噪音，公板法兰安装方式；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3.静压式消声模块制作及安装；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4.设备支架制作、安装；支吊架除锈、刷油按规范；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5.国标防火B1级，橡塑保温棉。</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2217.18</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13303.08</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风机软启动变频器</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1.输出频率0.1～400Hz，可设定的V/F曲线及矢量控制，自动转矩提升与自动滑差补偿功能；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2.功率范围：30-35kW，输出频率0.1～400Hz，可设定的V/F曲线及矢量控制，自动转矩提升与自动滑差补偿功能</w:t>
            </w:r>
            <w:r>
              <w:rPr>
                <w:rFonts w:hint="eastAsia" w:ascii="宋体" w:hAnsi="宋体" w:cs="宋体"/>
                <w:color w:val="auto"/>
                <w:kern w:val="0"/>
                <w:sz w:val="21"/>
                <w:szCs w:val="21"/>
                <w:lang w:eastAsia="zh-CN" w:bidi="ar"/>
              </w:rPr>
              <w:t>。</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5575.43</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16726.29</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风管</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风管安装及配套（含法兰、阀门、保温，线材安装等）</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1.新风风管、排风风管的制作和安装；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2.所有风管采用矩形风管，厚度δ0.6～1.2mm，周长 2500mm 以下；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3.镀锌材质预制成型或现场制作，法兰连接或承插链接；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4.风管具有防腐性，内壁光滑，风管、管件制作、安装；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5.风管、法兰、法兰加固框、支吊架除锈、刷油按规范要求；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w:t>
            </w:r>
            <w:r>
              <w:rPr>
                <w:rFonts w:hint="eastAsia" w:ascii="宋体" w:hAnsi="宋体" w:eastAsia="宋体" w:cs="宋体"/>
                <w:color w:val="auto"/>
                <w:sz w:val="21"/>
                <w:szCs w:val="21"/>
              </w:rPr>
              <w:t>覆盖本次项目施工的解剖实验室1（约213㎡）、解剖实验室2（约185㎡）、解剖实验室3（约181㎡）内的新风管道和排风管道</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7.国标防火B1级，20mm橡塑保温棉；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8.含配套70度防火阀、MD电动调节阀、手动阀；</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9.含通排风净化系统强电、弱电电气布线，布管，安装满足相关标准；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10.通排风净化系统安装所需电缆、桥架、信号线等电线、线管材料、其他配套辅材及安装，国标（不含系统总电源线）；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11.软连接：铆接，共板法兰，硅胶防火布，厚度≥0.5mm（新排风机接口用）。</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67455.26</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202365.78</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22</w:t>
            </w:r>
          </w:p>
        </w:tc>
        <w:tc>
          <w:tcPr>
            <w:tcW w:w="7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总控电柜</w:t>
            </w:r>
          </w:p>
        </w:tc>
        <w:tc>
          <w:tcPr>
            <w:tcW w:w="7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41" w:type="dxa"/>
            <w:tcBorders>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4050"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1.总控电柜柜体采用防护等级不低于 IP44 的镀锌钢板制成，钢板厚度 ≥ 1.2mm。柜体结构应稳固，并符合国标电气柜体制造标准；</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r>
              <w:rPr>
                <w:rFonts w:hint="eastAsia" w:ascii="宋体" w:hAnsi="宋体" w:eastAsia="宋体" w:cs="宋体"/>
                <w:color w:val="auto"/>
                <w:kern w:val="0"/>
                <w:sz w:val="21"/>
                <w:szCs w:val="21"/>
                <w:lang w:val="en-US" w:eastAsia="zh-CN" w:bidi="ar"/>
              </w:rPr>
              <w:t>中标供应商须根据整体项目、实施环境的实质需求对总控电柜二次回路设计、元件选型、安装与调试，对配置电柜内的电气元件如属于必须具备国家强制性CCC证书的，验收时必须提供电柜内电气元件国家强制性CCC证书，否则视为验收不合格。主回路应配置具备三相电流平衡监测及过载保护功能的电动机保护器或同等功能的综合保护装置</w:t>
            </w:r>
            <w:r>
              <w:rPr>
                <w:rFonts w:hint="eastAsia" w:ascii="宋体" w:hAnsi="宋体" w:eastAsia="宋体" w:cs="宋体"/>
                <w:color w:val="auto"/>
                <w:kern w:val="0"/>
                <w:sz w:val="21"/>
                <w:szCs w:val="21"/>
                <w:lang w:bidi="ar"/>
              </w:rPr>
              <w:t>；</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3.总控电柜应预留与空气质量控制器进行信号连接的标准化接口（如：预留无源干接点或配置标准通信模块），以实现远程启停控制。柜内为排风机、新风机箱等后端设备分别配置独立的控制回路与保护单元；</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4.系统总电源进线由采购人提供至总控电柜进线端子。</w:t>
            </w:r>
          </w:p>
        </w:tc>
        <w:tc>
          <w:tcPr>
            <w:tcW w:w="823"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14111.28</w:t>
            </w:r>
          </w:p>
        </w:tc>
        <w:tc>
          <w:tcPr>
            <w:tcW w:w="941" w:type="dxa"/>
            <w:tcBorders>
              <w:left w:val="single" w:color="auto" w:sz="4" w:space="0"/>
              <w:bottom w:val="single" w:color="000000" w:sz="8"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14111.28</w:t>
            </w:r>
          </w:p>
        </w:tc>
        <w:tc>
          <w:tcPr>
            <w:tcW w:w="883" w:type="dxa"/>
            <w:tcBorders>
              <w:left w:val="single" w:color="auto" w:sz="4" w:space="0"/>
              <w:bottom w:val="single" w:color="000000" w:sz="8"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b/>
                <w:color w:val="auto"/>
                <w:sz w:val="21"/>
                <w:szCs w:val="21"/>
              </w:rPr>
              <w:t>商务条款</w:t>
            </w:r>
          </w:p>
        </w:tc>
        <w:tc>
          <w:tcPr>
            <w:tcW w:w="9288" w:type="dxa"/>
            <w:gridSpan w:val="8"/>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b/>
                <w:bCs/>
                <w:color w:val="auto"/>
                <w:kern w:val="0"/>
                <w:sz w:val="21"/>
                <w:szCs w:val="21"/>
                <w:lang w:bidi="ar"/>
              </w:rPr>
              <w:t>1.合同签订要求</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（1）中标人自中标通知书发出之日起25日内与采购人签订合同。</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（2）中标人不得将项目转包，如发现有转包行为，采购人有权按中标候选人推荐顺序确定中标人，也可以重新组织采购。</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2.交付要求</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（1）交付时间：自合同签订之日起45个工作日内将货物运至采购人指定地点，并完成安装调试。</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（2）交付地点：广西医科大学武鸣校区，采购人指定地点。</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中标人提供不符合合同规定的货物/服务，采购人有权拒绝接受。中标人应根据货物不同的特性和要求采取防潮、防雨、防锈、防震、防腐等保护措施，以保证货物安全无损地到达采购人指定地点，中标人应承担因包装不当导致交付的合同标的物受损的责任。</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安装调试：中标人负责在采购人指定的时间内，按照要求完成货物的安装调试。中标人应严格遵守安全法律法规，采取安全保障措施，保证人员安全。因中标人原因造成的人员伤亡和财产损失，均由中标人承担。</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（5）中标人应将所提供货物的装箱清单、用户手册、原厂保修卡、随机资料、工具和备品、备件等一并进行交付，如有缺失应及时补齐，否则视为逾期交货。</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3.验收方法及要求</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（1）中标人按要求完成交付后，应以书面形式正式向采购人递交验收申请书，采购人收到验收申请书后，按照采购人单位规定流程组织项目验收。</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验收内容应按照合同内容逐项进行验收，包括但不限于全部设备、产品、型号、规格、数量、外型、外观、包装及资料、文件（如装箱单、保修单、随箱介质等）/各项服务等里程碑的交付物，所提供的货物/服务是否符合本合同要求，如符合，则认为验收合格，采购人应在验收单上签字确认；如不符合，双方均有权向相关部门申请鉴定，鉴定费由中标人承担，验收结果以采购人签署的验收证明为准。</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（3）在验收过程中发现中标人有违约问题，暂缓资金结算，待违约问题解决后，方可办理资金结算事宜，在此期间，采购人不承担逾期付款责任。</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color w:val="auto"/>
                <w:kern w:val="0"/>
                <w:sz w:val="21"/>
                <w:szCs w:val="21"/>
                <w:lang w:bidi="ar"/>
              </w:rPr>
              <w:t>（4）</w:t>
            </w:r>
            <w:r>
              <w:rPr>
                <w:rFonts w:hint="eastAsia" w:ascii="宋体" w:hAnsi="宋体" w:eastAsia="宋体" w:cs="宋体"/>
                <w:color w:val="auto"/>
                <w:sz w:val="21"/>
                <w:szCs w:val="21"/>
              </w:rPr>
              <w:t>如国家法律法规对产品有强制性认证的要求，中标供应商验收时提交产品有效的强制性认证证明材料</w:t>
            </w:r>
            <w:r>
              <w:rPr>
                <w:rFonts w:hint="eastAsia" w:ascii="宋体" w:hAnsi="宋体" w:eastAsia="宋体" w:cs="宋体"/>
                <w:color w:val="auto"/>
                <w:kern w:val="0"/>
                <w:sz w:val="21"/>
                <w:szCs w:val="21"/>
                <w:lang w:bidi="ar"/>
              </w:rPr>
              <w:t>（技术要求中有特别要求的按特别要求）</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4.培训要求</w:t>
            </w:r>
          </w:p>
          <w:p>
            <w:pPr>
              <w:keepNext w:val="0"/>
              <w:keepLines w:val="0"/>
              <w:pageBreakBefore w:val="0"/>
              <w:widowControl/>
              <w:kinsoku/>
              <w:wordWrap/>
              <w:overflowPunct/>
              <w:topLinePunct w:val="0"/>
              <w:autoSpaceDE/>
              <w:autoSpaceDN/>
              <w:bidi w:val="0"/>
              <w:adjustRightInd/>
              <w:spacing w:after="0" w:line="440" w:lineRule="atLeast"/>
              <w:ind w:firstLine="210" w:firstLineChars="100"/>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提供设备使用相关技术的培训；培训不少于5天。</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b/>
                <w:bCs/>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b/>
                <w:bCs/>
                <w:color w:val="auto"/>
                <w:kern w:val="0"/>
                <w:sz w:val="21"/>
                <w:szCs w:val="21"/>
                <w:lang w:bidi="ar"/>
              </w:rPr>
              <w:t>5.支付要求</w:t>
            </w:r>
          </w:p>
          <w:p>
            <w:pPr>
              <w:widowControl/>
              <w:snapToGrid w:val="0"/>
              <w:spacing w:after="0" w:line="400" w:lineRule="exact"/>
              <w:ind w:firstLine="420" w:firstLineChars="200"/>
              <w:jc w:val="left"/>
              <w:rPr>
                <w:rFonts w:hint="eastAsia" w:ascii="宋体" w:hAnsi="宋体" w:eastAsia="宋体" w:cs="宋体"/>
                <w:color w:val="auto"/>
                <w:sz w:val="21"/>
                <w:szCs w:val="21"/>
              </w:rPr>
            </w:pPr>
            <w:r>
              <w:rPr>
                <w:rFonts w:hint="eastAsia" w:ascii="宋体" w:hAnsi="宋体" w:cs="宋体"/>
                <w:color w:val="auto"/>
                <w:szCs w:val="21"/>
              </w:rPr>
              <w:t>自签订合同之日起十个工作日内，采购人支付合同款总额30%作为预付款，货物交付并验收合格，中标人提供相应金额真实、合法、有效的正式发票后，采购人十个工作日内支付剩余款项。</w:t>
            </w:r>
            <w:r>
              <w:rPr>
                <w:rFonts w:hint="eastAsia" w:ascii="宋体" w:hAnsi="宋体"/>
                <w:color w:val="auto"/>
                <w:szCs w:val="21"/>
              </w:rPr>
              <w:t>【乙方应提供货款全额的发票（货物采购须开具增值税专用发票）】。</w:t>
            </w:r>
          </w:p>
          <w:p>
            <w:pPr>
              <w:widowControl/>
              <w:snapToGrid w:val="0"/>
              <w:spacing w:after="0" w:line="400" w:lineRule="exact"/>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6.售后服务要求</w:t>
            </w:r>
          </w:p>
          <w:p>
            <w:pPr>
              <w:keepNext w:val="0"/>
              <w:keepLines w:val="0"/>
              <w:pageBreakBefore w:val="0"/>
              <w:tabs>
                <w:tab w:val="center" w:pos="4680"/>
                <w:tab w:val="right" w:pos="9360"/>
              </w:tabs>
              <w:kinsoku/>
              <w:wordWrap/>
              <w:overflowPunct/>
              <w:topLinePunct w:val="0"/>
              <w:autoSpaceDE/>
              <w:autoSpaceDN/>
              <w:bidi w:val="0"/>
              <w:adjustRightInd/>
              <w:snapToGrid w:val="0"/>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1）按国家有关产品“三包”规定执行“三包”，质保不少于5年（技术要求中有特别要求的按特别要求）。自设备验收合格并能正常使用之日算起。如投标文件中提供产品生产厂家对质保期的承诺，与投标人承诺不一致的，以生产厂家承诺为准</w:t>
            </w:r>
            <w:r>
              <w:rPr>
                <w:rFonts w:hint="eastAsia" w:ascii="宋体" w:hAnsi="宋体" w:eastAsia="宋体" w:cs="宋体"/>
                <w:color w:val="auto"/>
                <w:sz w:val="21"/>
                <w:szCs w:val="21"/>
              </w:rPr>
              <w:t>。</w:t>
            </w:r>
          </w:p>
          <w:p>
            <w:pPr>
              <w:keepNext w:val="0"/>
              <w:keepLines w:val="0"/>
              <w:pageBreakBefore w:val="0"/>
              <w:tabs>
                <w:tab w:val="center" w:pos="4680"/>
                <w:tab w:val="right" w:pos="9360"/>
              </w:tabs>
              <w:kinsoku/>
              <w:wordWrap/>
              <w:overflowPunct/>
              <w:topLinePunct w:val="0"/>
              <w:autoSpaceDE/>
              <w:autoSpaceDN/>
              <w:bidi w:val="0"/>
              <w:adjustRightInd/>
              <w:snapToGrid w:val="0"/>
              <w:spacing w:after="0" w:line="440" w:lineRule="atLeast"/>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r>
              <w:rPr>
                <w:rFonts w:hint="eastAsia" w:ascii="宋体" w:hAnsi="宋体" w:eastAsia="宋体" w:cs="宋体"/>
                <w:color w:val="auto"/>
                <w:sz w:val="21"/>
                <w:szCs w:val="21"/>
              </w:rPr>
              <w:t>质保期内，中标人负责更换所有设备维修配件，更换的零配件为原厂全新零配件。</w:t>
            </w:r>
          </w:p>
          <w:p>
            <w:pPr>
              <w:keepNext w:val="0"/>
              <w:keepLines w:val="0"/>
              <w:pageBreakBefore w:val="0"/>
              <w:widowControl/>
              <w:kinsoku/>
              <w:wordWrap/>
              <w:overflowPunct/>
              <w:topLinePunct w:val="0"/>
              <w:autoSpaceDE/>
              <w:autoSpaceDN/>
              <w:bidi w:val="0"/>
              <w:adjustRightInd/>
              <w:spacing w:after="0" w:line="440" w:lineRule="atLeas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w:t>
            </w:r>
            <w:r>
              <w:rPr>
                <w:rFonts w:hint="eastAsia" w:ascii="宋体" w:hAnsi="宋体" w:eastAsia="宋体" w:cs="宋体"/>
                <w:color w:val="auto"/>
                <w:sz w:val="21"/>
                <w:szCs w:val="21"/>
              </w:rPr>
              <w:t>在接到电话通知后，4小时内做出响应，24小时内到达维修现场。一般问题应在48小时内解决，重大问题或其它无法迅速解决的问题应在一周内解决，若出现问题无法解决，二个工作日内提供与原设备技术参数要求相同或高于原设备技术参数要求的备用产品，以保证采购人的正常工作。</w:t>
            </w:r>
          </w:p>
          <w:p>
            <w:pPr>
              <w:keepNext w:val="0"/>
              <w:keepLines w:val="0"/>
              <w:pageBreakBefore w:val="0"/>
              <w:tabs>
                <w:tab w:val="center" w:pos="4153"/>
                <w:tab w:val="right" w:pos="8306"/>
              </w:tabs>
              <w:kinsoku/>
              <w:wordWrap/>
              <w:overflowPunct/>
              <w:topLinePunct w:val="0"/>
              <w:autoSpaceDE/>
              <w:autoSpaceDN/>
              <w:bidi w:val="0"/>
              <w:adjustRightInd/>
              <w:snapToGrid w:val="0"/>
              <w:spacing w:after="0" w:line="440" w:lineRule="atLeast"/>
              <w:jc w:val="left"/>
              <w:rPr>
                <w:rFonts w:hint="eastAsia" w:ascii="宋体" w:hAnsi="宋体" w:eastAsia="宋体" w:cs="宋体"/>
                <w:b/>
                <w:bCs/>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b/>
                <w:bCs/>
                <w:color w:val="auto"/>
                <w:kern w:val="0"/>
                <w:sz w:val="21"/>
                <w:szCs w:val="21"/>
                <w:lang w:bidi="ar"/>
              </w:rPr>
              <w:t>7.报价要求</w:t>
            </w:r>
          </w:p>
          <w:p>
            <w:pPr>
              <w:keepNext w:val="0"/>
              <w:keepLines w:val="0"/>
              <w:pageBreakBefore w:val="0"/>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after="0" w:line="440" w:lineRule="atLeast"/>
              <w:jc w:val="center"/>
              <w:rPr>
                <w:rFonts w:hint="eastAsia" w:ascii="宋体" w:hAnsi="宋体" w:eastAsia="宋体" w:cs="宋体"/>
                <w:b/>
                <w:color w:val="auto"/>
                <w:sz w:val="21"/>
                <w:szCs w:val="21"/>
              </w:rPr>
            </w:pPr>
            <w:r>
              <w:rPr>
                <w:rFonts w:hint="eastAsia" w:ascii="宋体" w:hAnsi="宋体" w:eastAsia="宋体" w:cs="宋体"/>
                <w:b/>
                <w:bCs/>
                <w:color w:val="auto"/>
                <w:sz w:val="21"/>
                <w:szCs w:val="21"/>
              </w:rPr>
              <w:t>其他说明</w:t>
            </w:r>
          </w:p>
        </w:tc>
        <w:tc>
          <w:tcPr>
            <w:tcW w:w="9288" w:type="dxa"/>
            <w:gridSpan w:val="8"/>
            <w:tcBorders>
              <w:top w:val="single" w:color="auto" w:sz="4" w:space="0"/>
              <w:left w:val="single" w:color="auto" w:sz="4" w:space="0"/>
              <w:bottom w:val="single" w:color="auto" w:sz="4" w:space="0"/>
              <w:right w:val="single" w:color="auto" w:sz="4" w:space="0"/>
            </w:tcBorders>
          </w:tcPr>
          <w:p>
            <w:pPr>
              <w:keepNext w:val="0"/>
              <w:keepLines w:val="0"/>
              <w:pageBreakBefore w:val="0"/>
              <w:widowControl/>
              <w:tabs>
                <w:tab w:val="left" w:pos="180"/>
                <w:tab w:val="left" w:pos="1620"/>
              </w:tabs>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1.进口产品说明：本项目货物不接受进口产品（即通过中国海关报关验放进入中国境内且产自关境外的产品）参与投标，如有进口产品参与投标的作无效标处理。</w:t>
            </w:r>
          </w:p>
          <w:p>
            <w:pPr>
              <w:keepNext w:val="0"/>
              <w:keepLines w:val="0"/>
              <w:pageBreakBefore w:val="0"/>
              <w:widowControl/>
              <w:tabs>
                <w:tab w:val="left" w:pos="180"/>
                <w:tab w:val="left" w:pos="1620"/>
              </w:tabs>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2.核心产品：本分标的核心产品为“需求一览表”中第</w:t>
            </w:r>
            <w:r>
              <w:rPr>
                <w:rFonts w:hint="eastAsia" w:ascii="宋体" w:hAnsi="宋体" w:eastAsia="宋体" w:cs="宋体"/>
                <w:color w:val="auto"/>
                <w:sz w:val="21"/>
                <w:szCs w:val="21"/>
                <w:u w:val="single"/>
              </w:rPr>
              <w:t xml:space="preserve"> 11 </w:t>
            </w:r>
            <w:r>
              <w:rPr>
                <w:rFonts w:hint="eastAsia" w:ascii="宋体" w:hAnsi="宋体" w:eastAsia="宋体" w:cs="宋体"/>
                <w:color w:val="auto"/>
                <w:sz w:val="21"/>
                <w:szCs w:val="21"/>
              </w:rPr>
              <w:t>项标的产品：</w:t>
            </w:r>
            <w:r>
              <w:rPr>
                <w:rFonts w:hint="eastAsia" w:ascii="宋体" w:hAnsi="宋体" w:eastAsia="宋体" w:cs="宋体"/>
                <w:color w:val="auto"/>
                <w:sz w:val="21"/>
                <w:szCs w:val="21"/>
                <w:u w:val="single"/>
              </w:rPr>
              <w:t xml:space="preserve">无影智控层流罩 </w:t>
            </w:r>
            <w:r>
              <w:rPr>
                <w:rFonts w:hint="eastAsia" w:ascii="宋体" w:hAnsi="宋体" w:eastAsia="宋体" w:cs="宋体"/>
                <w:color w:val="auto"/>
                <w:sz w:val="21"/>
                <w:szCs w:val="21"/>
              </w:rPr>
              <w:t>。</w:t>
            </w:r>
          </w:p>
          <w:p>
            <w:pPr>
              <w:keepNext w:val="0"/>
              <w:keepLines w:val="0"/>
              <w:pageBreakBefore w:val="0"/>
              <w:widowControl/>
              <w:tabs>
                <w:tab w:val="left" w:pos="180"/>
                <w:tab w:val="left" w:pos="1620"/>
              </w:tabs>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3.中标人未按规定的时间完成合同履约，导致采购人损失的，采购人有权单方面终止合同，所造成的损失由中标人承担。</w:t>
            </w:r>
          </w:p>
          <w:p>
            <w:pPr>
              <w:keepNext w:val="0"/>
              <w:keepLines w:val="0"/>
              <w:pageBreakBefore w:val="0"/>
              <w:widowControl/>
              <w:tabs>
                <w:tab w:val="left" w:pos="180"/>
                <w:tab w:val="left" w:pos="1620"/>
              </w:tabs>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4.中标人提供的货物或服务如侵犯了第三方合法权益而引发的任何纠纷或诉讼，均由中标人负责交涉且承担全部赔偿责任，包括因知识产权造成采购人的经济损失。</w:t>
            </w:r>
          </w:p>
          <w:p>
            <w:pPr>
              <w:keepNext w:val="0"/>
              <w:keepLines w:val="0"/>
              <w:pageBreakBefore w:val="0"/>
              <w:widowControl/>
              <w:tabs>
                <w:tab w:val="left" w:pos="180"/>
                <w:tab w:val="left" w:pos="1620"/>
              </w:tabs>
              <w:kinsoku/>
              <w:wordWrap/>
              <w:overflowPunct/>
              <w:topLinePunct w:val="0"/>
              <w:autoSpaceDE/>
              <w:autoSpaceDN/>
              <w:bidi w:val="0"/>
              <w:adjustRightInd/>
              <w:spacing w:after="0" w:line="440" w:lineRule="atLeast"/>
              <w:rPr>
                <w:rFonts w:hint="eastAsia" w:ascii="宋体" w:hAnsi="宋体" w:eastAsia="宋体" w:cs="宋体"/>
                <w:color w:val="auto"/>
                <w:sz w:val="21"/>
                <w:szCs w:val="21"/>
              </w:rPr>
            </w:pPr>
            <w:r>
              <w:rPr>
                <w:rFonts w:hint="eastAsia" w:ascii="宋体" w:hAnsi="宋体" w:eastAsia="宋体" w:cs="宋体"/>
                <w:color w:val="auto"/>
                <w:sz w:val="21"/>
                <w:szCs w:val="21"/>
              </w:rPr>
              <w:t>5.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tc>
      </w:tr>
    </w:tbl>
    <w:p>
      <w:pPr>
        <w:rPr>
          <w:rFonts w:hint="eastAsia" w:ascii="宋体" w:hAnsi="宋体" w:cs="宋体"/>
          <w:b/>
          <w:bCs/>
          <w:color w:val="auto"/>
          <w:sz w:val="24"/>
        </w:rPr>
      </w:pPr>
    </w:p>
    <w:p>
      <w:pPr>
        <w:widowControl/>
        <w:jc w:val="left"/>
        <w:rPr>
          <w:rFonts w:hint="eastAsia" w:ascii="宋体" w:hAnsi="宋体" w:cs="宋体"/>
          <w:b/>
          <w:bCs/>
          <w:color w:val="auto"/>
          <w:sz w:val="24"/>
        </w:rPr>
      </w:pPr>
      <w:r>
        <w:rPr>
          <w:rFonts w:hint="eastAsia" w:ascii="宋体" w:hAnsi="宋体" w:cs="宋体"/>
          <w:b/>
          <w:bCs/>
          <w:color w:val="auto"/>
          <w:sz w:val="24"/>
        </w:rPr>
        <w:br w:type="page"/>
      </w:r>
    </w:p>
    <w:p>
      <w:pPr>
        <w:outlineLvl w:val="0"/>
        <w:rPr>
          <w:rFonts w:hint="eastAsia" w:ascii="宋体" w:hAnsi="宋体" w:cs="宋体"/>
          <w:b/>
          <w:bCs/>
          <w:color w:val="auto"/>
          <w:sz w:val="24"/>
        </w:rPr>
      </w:pPr>
      <w:r>
        <w:rPr>
          <w:rFonts w:hint="eastAsia" w:ascii="宋体" w:hAnsi="宋体" w:cs="宋体"/>
          <w:b/>
          <w:bCs/>
          <w:color w:val="auto"/>
          <w:sz w:val="24"/>
        </w:rPr>
        <w:t>标项二</w:t>
      </w:r>
    </w:p>
    <w:tbl>
      <w:tblPr>
        <w:tblStyle w:val="26"/>
        <w:tblW w:w="97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500"/>
        <w:gridCol w:w="700"/>
        <w:gridCol w:w="750"/>
        <w:gridCol w:w="641"/>
        <w:gridCol w:w="4050"/>
        <w:gridCol w:w="823"/>
        <w:gridCol w:w="941"/>
        <w:gridCol w:w="8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59" w:type="dxa"/>
            <w:vMerge w:val="restart"/>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需求一览表</w:t>
            </w:r>
          </w:p>
        </w:tc>
        <w:tc>
          <w:tcPr>
            <w:tcW w:w="50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序号</w:t>
            </w:r>
          </w:p>
        </w:tc>
        <w:tc>
          <w:tcPr>
            <w:tcW w:w="70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标的名称</w:t>
            </w:r>
          </w:p>
        </w:tc>
        <w:tc>
          <w:tcPr>
            <w:tcW w:w="7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数量</w:t>
            </w:r>
          </w:p>
        </w:tc>
        <w:tc>
          <w:tcPr>
            <w:tcW w:w="641"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单位</w:t>
            </w:r>
          </w:p>
        </w:tc>
        <w:tc>
          <w:tcPr>
            <w:tcW w:w="40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技术参数及配置</w:t>
            </w:r>
          </w:p>
        </w:tc>
        <w:tc>
          <w:tcPr>
            <w:tcW w:w="82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分项预算（元）</w:t>
            </w:r>
          </w:p>
        </w:tc>
        <w:tc>
          <w:tcPr>
            <w:tcW w:w="941"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分项预算合计（元）</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中小企业划分标准所属行业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教学互动系统（学生）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教学互动系统（学生）含学生数码显微镜</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一、教师端 1台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数码显微镜：光学系统：无限远光学补正系统，光学系统在视野内提供图像</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1.载物台：双层高硬度无伸出式平台，台面尺寸≥127× 182mm，平台行程≥76mm（X）× 30mm（Y）,采用同步带传动、无伸出式结构，能避免齿条划伤钢丝。平台标尺具有手轮指示，可选用X及Y向移动手轮；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▲2.调焦机构：同轴粗微调机构，两侧均具有粗、微调机构，微调格值≤0.2μm，粗调每转≥37.7mm,调焦范围向上2mm，向下13mm；具有卸力保护装置，到达限位位置后继续旋转粗调机器能够实现自动卸力；</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▲3.限位结构：可任意设置上限位定位焦面，可切片，限位装置于粗动手轮前侧，可进行左右互换，可避免镜身中置；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▲4.聚光镜：阿贝式聚光镜(N.A 1.25)，使用彩色聚光镜光栏指示标贴，标贴指示颜色与物镜倍率色环相对应，结合外凸式结构，可找到不同物镜时光栏对应的正确位置。可固定的聚光镜安装方式；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照明系统：≥60000小时超长寿命LED光源，采用复眼照明系统，照明均匀。照明系统内置由多透镜组成的网状复眼光学部件，可从低倍（4X）到高倍（100X），在观察、拍照的时候，可以避免普通单个透镜形成的图像中央亮、四周暗的缺陷，显微镜在任何放大倍率下都能够获得显微图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6.双目观察筒：360°可旋转铰链式双目头，可调节眼点高度30°倾斜，瞳距调节范围50-75mm,眼点高度≥370 mm，支持视场数≥20。观察头具有防脱落设计，松开观察头锁螺丝来旋转观察头方向时，观察头不会掉落；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▲7.目镜：10X大视场目镜，屈光度可调节，视场数20mm；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▲8.物镜转盘：内倾式4孔物镜转盘，内倾式结构。与机身连接处做防尘设计；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▲9.物镜：平场消色差物镜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4X（N.A.≥0.1 W.D≥25mm）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10X（N.A.≥0.25 W.D≥6.7mm）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40X（N.A.≥0.65 W.D≥0.6mm）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100X油（N.A.≥1.25 W.D≥0.14mm）; </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▲10.防霉装置：双目观察筒、目镜、物镜采用防霉技术并做了防霉处理，显微镜在温湿环境下可正常使用；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11.光源开关:前置的光源开关及调光手轮，配合双色光源状态指示灯，可以根据指示灯颜色了解显微镜的状态。具有休眠按钮，在不关闭整体电源的情况下关闭照明光源；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12.机身结构：具备抗震底脚，可过滤环境震波；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▲13.安全锁：显微镜带有安全锁；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14.便携性：整机重量≤5.2kg（双目）；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15.操作指南：扫描显微镜上粘贴有在线指南二维码，在线指南提供有视频使用说明，可查看有关操作和清洁程序的信息；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16.防霉结构设计：镀膜防霉技术，镜体、目镜筒和物镜都做了防霉处理</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▲17.摄像系统: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（1）图像设备：≥1600万像素高清数字成像系统</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（2）分辨率：4608×3456有效像素，靶面尺寸1/2.33英寸</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（3）帧率：3.5～47 帧/秒</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（4）信噪比：≥41 dB</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（5）数据接口速度：≥USB2.0</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（6）扫描方式：逐行扫描</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（7）曝光方式：自动/手动曝光</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（8）白平衡方式：自动/手动白平衡。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18.教师端数字显微图像处理终端（端口）： 24英寸显示器，  CPU 频率：≥2.1GHz， 16GB 内存、硬盘容量1TB +512GB SSD。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二、学生数码显微镜 95台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1.光学系统：无限远光学补正系统；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▲2.载物台：双层高硬度无伸出式平台，台面尺寸≥127× 182mm，平台行程≥76mm（X）× 30mm（Y）,能同步带传动、无伸出式结构，可避免齿条划伤钢丝。平台标尺具有手轮指示，可正确选用X及Y向移动手轮；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▲3.调焦机构：同轴粗微调机构，两侧均具有粗、微调机构，微调格值≤0.2μm，粗调每转≥37.7mm,调焦范围向上2mm，向下13mm；具有卸力保护装置，到达限位位置后继续旋转粗调机器能够实现自动卸力；</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▲4.限位结构：可任意设置上限位定位焦面，可切片，限位装置于粗动手轮前侧，可进行左右互换，可避免镜身中置；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▲5.聚光镜：阿贝式聚光镜(N.A 1.25)，使用彩色聚光镜光栏指示标贴，标贴指示颜色与物镜倍率色环相对应，结合外凸式结构，可找到不同物镜时光栏对应的正确位置。可固定的聚光镜安装方式；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照明系统：≥60000小时超长寿命LED光源，采用复眼照明系统，照明均匀。照明系统内置的多透镜组成的网状复眼光学部件，可从低倍（4X）到高倍（100X），在观察、拍照的时候，可以避免普通单个透镜形成的图像中央亮、四周暗的缺陷，显微镜在任何放大倍率下都能够获得显微图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7.双目观察筒：360°可旋转铰链式双目头，可调节眼点高度30°倾斜，瞳距调节范围50-75mm,眼点高度≥370 mm，视场数≥20。观察头具有防脱落设计，松开观察头锁螺丝来旋转观察头方向时，观察头不会掉落；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8.目镜：10X大视场目镜，屈光度可调节，视场数20mm；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9.物镜转盘：内倾式4孔物镜转盘，内倾式结构。与机身连接处做防尘设计；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10.物镜：平场消色差物镜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4X（N.A.≥0.1 W.D≥25mm）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10X（N.A.≥0.25 W.D≥6.7mm）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40X（N.A.≥0.65 W.D≥0.6mm）;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▲100X油（N.A.≥1.25 W.D≥0.14mm）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11.防霉装置：双目观察筒、目镜、物镜采用防霉技术并做了防霉处理，显微镜在温湿环境下能正常使用；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▲12.光源开关:前置的光源开关及调光手轮，配合双色光源状态指示灯，可以了解显微镜的状态。具有休眠按钮，在不关闭整体电源的情况下关闭照明光源；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▲13.机身结构：具备抗震底脚，可过滤环境的震波；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14.安全锁：显微镜带有安全锁；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15.便携性：整机重量≤5.2kg（双目）；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▲16.操作指南：扫描显微镜上有在线指南二维码，在线指南提供有视频使用说明，可查看有关操作和清洁程序的信息；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▲17.图像成像系统：显微摄像机（含学生端30台）：≥500万像素1/2英寸逐行扫描传感器；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▲18.USB3.0接口 分辨率能达到≥2560×1920  自动/手动白平衡；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19.数字显微图像处理终端（30端口）：≥24英寸显示器，CPU频率：≥2.1GHz，内存容量≥16GB，硬盘容量：≥512GSSD。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三、数码显微镜无线互动系统控制软件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1.全中文界面设计，支持主窗口功能按钮、浮动工具条、右键菜单、快捷键操作方式；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2.无线网络环境下可以支持≥60个用户；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3.具备防杀进程、断线保护、卸载密码保护辅助功能；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4.文件分发和提交可以拖拽添加文件，可添加不同目录下的文件或文件目录。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四、功能要求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1.屏幕广播：将教师机屏幕和教师讲话实时广播给单一、部分或全体学生，可选择全屏或窗口方式。窗口模式下或教师机与学生机分辨率不同情况下，学生机可以以不同的窗口方式接收广播；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2.屏幕广播：屏幕广播时可调节多种画面质量；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3.屏幕笔：辅助工具具备显示项目、添加注释，添加批注；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4.网络视频：实现教师机播放的视频可同步广播到学生机；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5.共享白板：教师可共享白板、桌面或图片与选定的学生共同完成相同的学习任务，学生也可以单独完成；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视频直播：通过USB摄像头将教师的画面实时广播到学生机，具有视频设备的提示画面。语音广播：教师机、学生机麦克风或其他输入设备（如磁带、CD）的声音可广播给教师、学生，教学过程中已登录的学生和教师可收听该声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7.语音对讲：教师选择任意一名已登录学生与其进行双向语音交谈，除教师和此学生外，其他学生不会受到干扰，可以动态切换对讲对象；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8.学生演示：教师选定一台学生机作为示范，由此学生代替教师进行示范教学；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9.分组教学：通过分组教学，将学生分成几个组进行合作学习。小组长可使用功能来辅导同伴，例如：广播教学、语音教学、语音对话、监视、远程控制、远程设置、文件分发、远程命令和网络影院；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讨论：教师可组织学生使用文字、图片、手写板开展讨论，可进行分组讨论或主题讨论，教师可将学生分成若干组，同组的组员之间可以相互讨论，教师可以参加任意组的讨论；主题讨论是由教师建立若干个主题，学生可选择自己感兴趣的主题开展讨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11.文件分发：教师将教师机不同盘符中的目录或文件一起发送至主机的某目录下。目录不存在可自动新建此目录；如果盘符不存在或路径非法，则不允许分发；文件已存在的，可选择自动覆盖或保留原始文件；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12.作业提交：学生把做好的作业直接提交到教师机，教师端自动生成学生姓名命名的文件夹；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13.网络快照：教师可以在监控学生的时候，对学生画面拍照，可保存学生画面的截图；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14.屏幕监视：教师机可以监视单一、部分、全体学生机的屏幕，教师机每屏可监视多个学生屏幕（≥16个）。教师机监控的同屏幕各窗口间、屏幕与屏幕间可以控制、切换。可手动或自动循环监视。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五、无线智能AP中枢工作站 </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1.无线传输：①传输速度：广播≤0.5秒，转播≤1秒，监控≤1秒；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2.7×24小时连续工作不掉线；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3.不少于60个学生端可同步响应教师指令，时差不超过1秒；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传输数据完整，不丢包、具备抗干扰；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▲5.一个无线AP同时可连接不少于60个学生端；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6.安装位置：根据教室实际需要，安装在教室天花板或墙壁上；</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7.满足≥100平方米面积使用。</w:t>
            </w:r>
          </w:p>
          <w:p>
            <w:pPr>
              <w:spacing w:after="0" w:line="440" w:lineRule="atLeast"/>
              <w:rPr>
                <w:rFonts w:hint="eastAsia" w:ascii="宋体" w:hAnsi="宋体" w:cs="宋体"/>
                <w:color w:val="auto"/>
                <w:szCs w:val="21"/>
              </w:rPr>
            </w:pPr>
            <w:r>
              <w:rPr>
                <w:rFonts w:hint="eastAsia" w:ascii="宋体" w:hAnsi="宋体" w:cs="宋体"/>
                <w:color w:val="auto"/>
                <w:szCs w:val="21"/>
              </w:rPr>
              <w:fldChar w:fldCharType="begin"/>
            </w:r>
            <w:r>
              <w:rPr>
                <w:rFonts w:hint="eastAsia" w:ascii="宋体" w:hAnsi="宋体" w:cs="宋体"/>
                <w:color w:val="auto"/>
                <w:szCs w:val="21"/>
              </w:rPr>
              <w:instrText xml:space="preserve"> = 6 \* CHINESENUM3 \* MERGEFORMAT </w:instrText>
            </w:r>
            <w:r>
              <w:rPr>
                <w:rFonts w:hint="eastAsia" w:ascii="宋体" w:hAnsi="宋体" w:cs="宋体"/>
                <w:color w:val="auto"/>
                <w:szCs w:val="21"/>
              </w:rPr>
              <w:fldChar w:fldCharType="separate"/>
            </w:r>
            <w:r>
              <w:rPr>
                <w:rFonts w:hint="eastAsia" w:ascii="宋体" w:hAnsi="宋体" w:cs="宋体"/>
                <w:color w:val="auto"/>
                <w:szCs w:val="21"/>
              </w:rPr>
              <w:t>六</w:t>
            </w:r>
            <w:r>
              <w:rPr>
                <w:rFonts w:hint="eastAsia" w:ascii="宋体" w:hAnsi="宋体" w:cs="宋体"/>
                <w:color w:val="auto"/>
                <w:szCs w:val="21"/>
              </w:rPr>
              <w:fldChar w:fldCharType="end"/>
            </w:r>
            <w:r>
              <w:rPr>
                <w:rFonts w:hint="eastAsia" w:ascii="宋体" w:hAnsi="宋体" w:cs="宋体"/>
                <w:color w:val="auto"/>
                <w:szCs w:val="21"/>
              </w:rPr>
              <w:t>、其它配置</w:t>
            </w:r>
          </w:p>
          <w:p>
            <w:pPr>
              <w:spacing w:after="0" w:line="440" w:lineRule="atLeast"/>
              <w:rPr>
                <w:rFonts w:hint="eastAsia" w:ascii="宋体" w:hAnsi="宋体" w:cs="宋体"/>
                <w:color w:val="auto"/>
                <w:kern w:val="0"/>
                <w:szCs w:val="21"/>
                <w:lang w:bidi="ar"/>
              </w:rPr>
            </w:pPr>
            <w:r>
              <w:rPr>
                <w:rFonts w:hint="eastAsia" w:ascii="宋体" w:hAnsi="宋体" w:cs="宋体"/>
                <w:color w:val="auto"/>
                <w:szCs w:val="21"/>
              </w:rPr>
              <w:t>1.升降板</w:t>
            </w:r>
            <w:r>
              <w:rPr>
                <w:rFonts w:hint="eastAsia" w:ascii="宋体" w:hAnsi="宋体" w:cs="宋体"/>
                <w:color w:val="auto"/>
                <w:kern w:val="0"/>
                <w:szCs w:val="21"/>
                <w:lang w:bidi="ar"/>
              </w:rPr>
              <w:t>；尺寸：≥4000mm×2100mm</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2.结构：中间放画框幕布，两侧放两组升降绿板，每组由两块同等大小的书写板组成，画框幕布由升降板整体包住，幕布内嵌黑板一侧里面。安装：隐形安装，没有外露的挂接件；</w:t>
            </w:r>
          </w:p>
          <w:p>
            <w:pPr>
              <w:spacing w:after="0" w:line="440" w:lineRule="atLeast"/>
              <w:rPr>
                <w:rFonts w:hint="eastAsia" w:ascii="宋体" w:hAnsi="宋体" w:cs="宋体"/>
                <w:color w:val="auto"/>
                <w:kern w:val="0"/>
                <w:szCs w:val="21"/>
                <w:lang w:bidi="ar"/>
              </w:rPr>
            </w:pPr>
            <w:r>
              <w:rPr>
                <w:rFonts w:hint="eastAsia" w:ascii="宋体" w:hAnsi="宋体" w:cs="宋体"/>
                <w:color w:val="auto"/>
                <w:kern w:val="0"/>
                <w:szCs w:val="21"/>
                <w:lang w:bidi="ar"/>
              </w:rPr>
              <w:t>3.白色带磁性板2块：尺寸（宽*长）约：90*120cm；</w:t>
            </w:r>
          </w:p>
          <w:p>
            <w:pPr>
              <w:spacing w:after="0" w:line="440" w:lineRule="atLeast"/>
              <w:rPr>
                <w:rFonts w:hint="eastAsia" w:ascii="宋体" w:hAnsi="宋体" w:cs="宋体"/>
                <w:color w:val="auto"/>
                <w:szCs w:val="21"/>
              </w:rPr>
            </w:pPr>
            <w:r>
              <w:rPr>
                <w:rFonts w:hint="eastAsia" w:ascii="宋体" w:hAnsi="宋体" w:cs="宋体"/>
                <w:color w:val="auto"/>
                <w:kern w:val="0"/>
                <w:szCs w:val="21"/>
                <w:lang w:bidi="ar"/>
              </w:rPr>
              <w:t>4.</w:t>
            </w:r>
            <w:r>
              <w:rPr>
                <w:rFonts w:hint="eastAsia" w:ascii="宋体" w:hAnsi="宋体" w:cs="宋体"/>
                <w:color w:val="auto"/>
                <w:szCs w:val="21"/>
              </w:rPr>
              <w:t>显微镜工作台</w:t>
            </w:r>
          </w:p>
          <w:p>
            <w:pPr>
              <w:spacing w:after="0" w:line="440" w:lineRule="atLeast"/>
              <w:rPr>
                <w:rFonts w:hint="eastAsia" w:ascii="宋体" w:hAnsi="宋体" w:eastAsia="宋体" w:cs="宋体"/>
                <w:color w:val="auto"/>
                <w:kern w:val="0"/>
                <w:szCs w:val="21"/>
                <w:lang w:eastAsia="zh-CN" w:bidi="ar"/>
              </w:rPr>
            </w:pPr>
            <w:r>
              <w:rPr>
                <w:rFonts w:hint="eastAsia" w:ascii="宋体" w:hAnsi="宋体" w:cs="宋体"/>
                <w:color w:val="auto"/>
                <w:szCs w:val="21"/>
              </w:rPr>
              <w:t>工作台2张；</w:t>
            </w:r>
            <w:r>
              <w:rPr>
                <w:rFonts w:hint="eastAsia" w:ascii="宋体" w:hAnsi="宋体" w:cs="宋体"/>
                <w:color w:val="auto"/>
                <w:kern w:val="0"/>
                <w:szCs w:val="21"/>
                <w:lang w:bidi="ar"/>
              </w:rPr>
              <w:t>尺寸约 ：2000*750*850mm；台面：实芯理化板厚度为≥12.0mm钢制框架：采用约40×60δ1.2mmC型钢材；柜体部分：柜体采用≥15mm厚。柜体规格：约L*500*600mm，五金配件：轨道采用≥400mm三节轨道。铰链可选用110°合金铰链</w:t>
            </w:r>
            <w:r>
              <w:rPr>
                <w:rFonts w:hint="eastAsia" w:ascii="宋体" w:hAnsi="宋体" w:cs="宋体"/>
                <w:color w:val="auto"/>
                <w:kern w:val="0"/>
                <w:szCs w:val="21"/>
                <w:lang w:val="en-US" w:eastAsia="zh-CN" w:bidi="ar"/>
              </w:rPr>
              <w:t>。</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930751.99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930751.99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多媒体智能控制系统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▲1．铝合金拉丝面板，不锈钢按键，≥3路强电电源控制，内置投影机保护模块，投影机具备延时关机功能 ，一键式联动控制管理功能；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2．面板集成万能电源座、网络、双层USB、视频、MIC、笔记本VGA、立体声座接口；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▲3．内置≥3路VGA输入(含1路前置)，2路VGA输出，带宽300MHz，-3db，自带长线驱动器。2路视频输入，2路视频输出，阻抗75Ω，带宽100MHz，4路音频输入，1路音频输出，频响20Hz～20kHz +1/-3dB ，1路麦克风输入 。1路可编程RS232控制功能，1路万维网接口，具有银幕升、降、停控制，内置有线电视调制器。独立外置电源供电；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▲4．投影机代码内置，≥4路拨码开关，通过拨码可设置投影机控制代码，无需电脑软件。具备批量安装。1路红外控制能控制投影机；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5．具有数据保存功能，可导入导出232码，能批量安装；</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6．开口尺寸约：190*70MM。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1693.57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1693.57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机能学实验系统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生物信号采集与处理系统技术参数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一、硬件参数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 采样通道接口：4个物理采样通道，1个12导联全导联心电接口；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物理采样通道扩展：任意一个物理采样通道可扩展至8个实际数据采样通道，总计可进行32通道数据同时采样，并可对各个通道参数进行调节。如在一个物理通道上连接无线人体生理信号仪，该物理通道可同时采集体位、心电、呼吸、肺活量、脉搏、血氧、收缩压、舒张压等8个信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实时传感器类型自动识别：系统能自动识别任意物理通道连接的传感器类型，同时在仪器面板和软件界面上有具体传感器类型和参数提示；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传感器定标信息自动存储：定标信息随传感器移动，更换设备无须再次定标。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●5. 量程：±50μV ~±1V；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滤波器：同时具备硬件模拟滤波器、DSP 5阶贝塞尔滤波器、软件数字滤波器：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低通：1、 2、 5、 10、 20、 50、 100、 200、 500、 1k、2k、 5k, 10k,20k, 50k，合计15档 ；高通（时间常数）：DC、5S、2s、1s、0.5s、0.2s、0.1s、0.05s、0.02s、0.01s、0.005s、0.002s、0.001s，合计13档 ；50Hz陷波：开、关两档可调；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●7.采样率：800KHz （物理通道最大200ksps*4，12导联通道 2ksps*12）；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●8. AD转换器：16位4通道同步采样；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共模抑制比（CMMR）：&gt;100DB;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 输入阻抗：10M@DC；</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 等效输入噪声：电压峰峰值 &lt; 2.0μV，信噪比：&gt; 100dB；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 支持采样方式：连续采样、刺激触发采样、外部触发采样、程控采样；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 系统级联：2~4台设备级联；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14. 电源:DC 12V；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 环境监测功能：可实时监测温度、湿度、大气压，并同步记录到实验数据文件中；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 信号采集设备使用情况记录和显示：自动记录设备使用情况，包括首次使用日期，最近使用日期，累计使用时间和次数等，使用情况记录在硬件中并可以在采集软件界面中显示；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 具有监听、记滴功能；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 设备高级程控刺激器，刺激器参数包括：波形：方波、三角波、正弦波、余弦波、半正弦波、直流波、用户编辑任意波形；模式：恒流、恒压两种输出方式；电压：-110V~110V；电流：-150mA~+150mA；时间步长：0.05ms。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二、软件参数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 软件显示通道数：1~64通道可变，默认显示通道数为4通道，当同时采集12道全导联心电波形时软件界面上同时显示12道心电波形；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同时打开反演文件数：4个，可在同一软件界面上同时比较显示4个反演波形；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实时采样和反演同时进行：在信号实时采样过程中，可在实时采样软件上同时打开以前记录的文件进行查看、对比、分析操作；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可播放反演文件声音：反演文件时，在波形反演同时可播放该波形声音，比如播放减压神经放电声音；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通道差异化采样率设置：不同通道可设置不同采样率进行数据采样、不同采样率的信号波形可同步记录及同步显示；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通道波形颜色设置：可单通道、全部通道进行波形颜色、背景颜色、格线颜色及风格设置；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波形截图水印功能：波形截图的复制、粘贴自动添加水印；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具有反演文件列表窗口：用户可通过直接点击列表文件名快捷打开反演文件；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具有浮动快速启动窗口：用户可直接启动停止实验；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▲10.具备嵌入软件界面的实验报告编辑功能；设备所测数据可以在国产设备上进行全功能反演分析；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  软件实验模块内嵌web电子教材：在一个实验模块页面内用生动形象的、图片、动图、视频讲解实验原理、目的、器材、步骤、操作过程；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 专业实验知识展示：可以Flash文件和流媒体形式展示各种专业实验技能；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 中文版操作软件，支持PC、手机移动端全功能访问，课件设计符合手机横屏操作要求，载入和显示时间小于5秒；</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 软件自动升级功能：软件自动搜索服务器上的最新版本软件并提醒用户升级，用户确认后可自动升级；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 用户意见自动收集：软件中含用户意见收集窗口，用户输入的任何意见可直接传到软件开发商；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 数据导出：可导出原始实验数据及分析结果；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  通用数据处理：微分、积分、频率直方图、序列密度直方图、非序列密度直方图、频谱分析、平均血压、记滴趋势分析以及基于包络算法的心率曲线分析；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  专用数据处理：血流动力学实验参数分析、心肌细胞动作电位参数测量、心功能参数分析，突触后电位分析，心率变异分析，心电向量图分析，能提供分析的DEMO数据供用户演示和学习；</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 心率变异分析：可显示Lorenz图，RR间期直方图，RR间期差值图，速度图以及功率谱分析图；心率变异可分析不低于23个时域、频域以及非线性指标，包括：Range、SDNN、DNN Mean,RMSSD、NNxx、CV、TP、VLFP、LFP、HFP、LF/HF、VLI、VAI、SD1以及SD2；分析参数可调，包括但不限于：分析通道、分析数据类型、分析起始时间，分析时长、FFT点数，参考RR间期、最大RR间期；LTP数据分析功能：分析LTP波形最大斜率、平均斜率、直线回归斜率、自动标记关键点坐标；包含范围测量、自动测量、叠加波形、查找标签（波序号、自定义）、导出测量表（范围测量、自动测量结果）、显示/隐藏刺激线、显示LTP波位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  数据测量：单点测量、带Mark标记的两点测量、区间测量、实时测量，可测量出波形的最大、最小、平均值，时间、频率、面积参数；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22.  药理学参数计算工具：药物拮抗参数（PA2、PD2）测定功能，按照Bliss法计算LD50、ED50值、计算t检验和半衰期值；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23. 固件自动升级：软件会判断硬件产品上固件软件是否为最新版本，对低版本的固件自动完成升级；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24. 软件功能配置：文件路径、软件外观信息可以通过统一配置界面进行修改，在该界面上还能查看系统信息；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25. 刺激器参数冻结：在刺激过程中参数不能被用户修改，防止误操作；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26. 实验模块参数查看和修改：可以对系统默认、用户自定义实验参数进行查看及修改；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27. 实验模块自定义功能：可以设计自定义的实验模块，选择传感器、通道、采样率参数；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28. 数据监控窗口：通过该窗口可以显示实时值、频率、最大值、最小值；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29. 实验模块：系统内置不低于50个预先设定参数的实验模块；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▲30. 支持人体指脉无创连续血压仪连接及数据采集：无线传输，无振动无噪音，测量范围0~299mmHg，精度 ±1mmHg；实时数据非模拟波形；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▲31. 支持微型植入压力测量传感器的数据采集：探头测量范围-20mmHg~200mmHg，直接植入动物体内；</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▲32. AI实验助手功能：系统提供不低于60个实验课题的AI对话问答服务，其中聚焦模式可以回答相关课题内容，开放模式可提供搜索内容，支持两种模式任意切换，支持语音对话；                                               33.实验数据管理功能：实验数据上传功能：支持信息化集成化信号采集与处理系统实现一键上传实验数据，本组实验学生可共享数据；系统具备从数据创建到销毁全生命周期的管理能力，包括数据分类、归档、长期存储及安全删除功能</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34.实验数据下载功能：支持教师下载本组实验数据，并导入信息化集成化信号采集与处理系统反演查看；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35.数据共享权限控制功能：在基本的上传下载功能上，还具备细粒度的权限控制，各角色（包括学生、助教、教授等）严格按照授权范围访问数据；支持基于角色的访问控制（RBAC），并详实记录所有数据访问与修改日志，可以进行审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36.实验报告管理功能：在线上传功能：支持学生实验报告在线上传，提交至教师评阅。在线评阅功能：支持教师在线查阅实验报告具体内容，在线组件对报告进行自由书写和标注；支持对实验报告进行评分及评语的保存与提交；支持自动记录审批历史。批阅下载功能：支持学生查看已批阅的实验报告；</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37.手机考试功能：支持在线考试：系统提供跨PC端与移动端的在线考试功能，涵盖与技能题；</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38.智能化试卷构建：组卷过程中，支持按照难度等级智能化组卷，支持通过试题包或试题名称手动搜索并添加新试题。试卷管理：对于组卷成功的试题，支持单题及批量分数设置；支持试卷导出和打印、答案的导出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39.互动式评阅机制：支持在主观题考试中设置学生互评或教师自评，评阅结束后系统自动计算评分平均值；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40.考试异常恢复功能：若考试因故中断，支持恢复考试状态，考生能够继续答题；支持断网重连后的考试恢复；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41.考生状态管理：系统支持对单个或批量考生的状态重置，考生可继续参与考试；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42.自动批阅功能：支持客观题和技能题自动批阅；</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▲43.试题分析报告：考试结束后，提供试题分析报告，包括正确率、难度系数、区分度数据，并支持导出；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44.在线监考功能：具备在线监考能力，包括支持在线查看作答人员、在线查看考卷与进度、实时群发消息、私发消息，具备要求回答、强制收卷以及单独对考生强制收卷功能</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45.主控台一套：内存：32G DDR4 3200MHz；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硬盘：1T 。</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31123.57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62247.14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生物机能实验系统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一、硬件参数（终端配置）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1.采样通道接口：4个物理采样通道，1个12导联全导联心电接口；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物理采样通道扩展：任意一个物理采样通道可扩展至8个实际数据采样通道，总计可进行32通道数据同时采样，并可对各个通道参数进行调节。如在一个物理通道上连接无线人体生理信号仪，该物理通道可同时采集体位、心电、呼吸、肺活量、脉搏、血氧、收缩压、舒张压等8个信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▲3.实时传感器类型自动识别：系统能自动识别任意物理通道连接的传感器类型，同时在仪器面板和软件界面上有具体传感器类型和参数提示；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4.传感器定标信息自动存储：定标信息随传感器移动，更换设备无须再次定标；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5.量程：±50μV ~±1V；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6.滤波器：同时具备硬件模拟滤波器、DSP 5阶贝塞尔滤波器、软件数字滤波器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1）低通：1、 2、 5、 10、 20、 50、 100、 200、 500、 1k、2k、 5k, 10k,20k, 50k，合计15档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2)高通（时间常数）：DC、5S、2s、1s、0.5s、0.2s、0.1s、0.05s、0.02s、0.01s、0.005s、0.002s、0.001s，合计13档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3）50Hz陷波：开、关两档可调；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11.11.21.31.41.51.61.77.最大采样率：800KHz （物理通道最大200ksps*4，12导联通道 2ksps*12）。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8.AD转换器：16位4通道同步采样；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9.共模抑制比（CMMR）：&gt;100DB</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10.输入阻抗：10M@DC；</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11.等效输入噪声：电压峰峰值 &lt; 2.0μV，信噪比：&gt; 100dB；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12.支持多种采样方式：连续采样、刺激触发采样、外部触发采样、程控采样；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13.系统级联：2~4台设备级联；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14.电源:DC 12V；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15.环境监测功能：可实时监测温度、湿度、大气压，并同步记录到实验数据文件中；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16.信号采集设备使用情况记录和显示：自动记录设备使用情况，包括首次使用日期，最近使用日期，累计使用时间和次数等，使用情况记录在硬件中并可以在采集软件界面中显示；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17.具有监听、记滴功能；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▲18.设备高级程控刺激器参数包括：</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1）波形：方波、三角波、正弦波、余弦波、半正弦波、直流波、用户编辑任意波形；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2）模式：恒流、恒压两种输出方式；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3）电压：-110V~110V；</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4）电流：-150mA~+150mA；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5）时间步长：0.05ms。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19.配套控制终端一套：内存：16G DDR4 3200MHz；硬盘：512G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二、软件参数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121.软件显示通道数：1~64通道可变，默认显示通道数为4通道，当同时采集12道全导联心电波形时软件界面上同时显示12道心电波形；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2.同时打开反演文件数：4个，可在同一软件界面上同时比较显示4个反演波形；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3.实时采样和反演同时进行：在信号实时采样过程中，可在实时采样软件上同时打开以前记录的文件进行查看、对比、分析等操作；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4.可播放反演文件声音：反演文件时，在波形反演同时可播放该波形声音，比如播放减压神经放电声音；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5.通道差异化采样率设置：不同通道可设置不同采样率进行数据采样、不同采样率的信号波形可同步记录及同步显示；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6.通道波形颜色设置：可单通道、全部通道进行波形颜色、背景颜色、格线颜色及风格设置；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7.波形截图水印功能：波形截图的复制、粘贴自动添加水印；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8.具有反演文件列表窗口：用户可通过直接点击列表文件名快捷打开反演文件；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9.具有浮动快速启动窗口：用户可直接启动停止实验；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10.嵌入软件界面的实验报告编辑功能；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11.实验数据上传到数据中心，实验设备使用情况可收集并上传至实验室信息管理系统进行统计；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 软件实验模块内嵌web电子教材：在一个实验模块页面内用生动形象的、图片、动图、视频讲解实验原理、目的、器材、步骤、操作过程；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13.专业实验知识展示：可以Flash文件和流媒体等形式展示各种专业实验技能；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 中文版操作软件。 支持PC、手机移动端全功能访问，课件设计符合手机横屏操作</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15.软件自动升级功能：软件自动搜索服务器上的最新版本软件并提醒用户升级，用户确认后可自动升级；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16.用户意见自动收集：软件中含用户意见收集窗口，用户输入的任何意见可直接传到软件服务商；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17.数据导出：可导出原始实验数据及分析结果；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 通用数据处理：微分、积分、频率直方图、序列密度直方图、非序列密度直方图、频谱分析、平均血压、记滴趋势分析以及基于包络算法的心率曲线分析等；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 专用数据处理：血流动力学实验参数分析、心肌细胞动作电位参数测量、心功能参数分析，突触后电位分析，心率变异分析，心电向量图分析等，提供分析的DEMO数据供用户演示和学习；</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▲20.专业的心率变异分析：可显示Lorenz图，RR间期直方图，RR间期差值图，速度图以及功率谱分析图；心率变异可分析不低于23个时域、频域以及非线性指标，包括：Range、SDNN、DNN Mean,RMSSD、NNxx、CV、TP、VLFP、LFP、HFP、LF/HF、VLI、VAI、SD1以及SD2；分析参数可调，包括：分析通道、分析数据类型、分析起始时间，分析时长、FFT点数，参考RR间期、最大RR间期；LTP数据分析功能：分析LTP波形最大斜率、平均斜率、直线回归斜率、自动标记关键点坐标；包含范围测量、自动测量、叠加波形、查找标签（波序号、自定义）、导出测量表（范围测量、自动测量结果）、显示/隐藏刺激线、显示LTP波位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 数据测量：单点测量、带Mark标记的两点测量、区间测量、实时测量，可测量出波形的最大、最小、平均值，时间、频率、面积等参数；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22. 药理学参数计算工具：药物拮抗参数（PA2、PD2）测定功能，按照Bliss法计算LD50、ED50值、计算t检验和半衰期值；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23.固件自动升级：软件会判断硬件产品上固件软件是否为最新版本，对低版本的固件自动完成升级；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24.软件功能配置：文件路径、软件外观信息可以通过统一配置界面进行修改，界面上能查看系统信息；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25.刺激器参数冻结：在刺激过程中参数不能被用户修改；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26.实验模块参数查看和修改：可以对系统默认、用户自定义实验参数进行查看及修改；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27.实验模块自定义功能：可以设计自定义的实验模块，可选择传感器、通道、采样率参数；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28.数据监控窗口：通过该窗口可以显示实时值、频率、最大值、最小值；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29.实验模块：系统内置不低于50个预先设定参数的实验模块。</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28943.57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173661.42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智能热板仪</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1.从室温加热到55°C的时间:≤10分钟</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2.温度显示精度: 0.1℃℃2</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3.温度控制精度:0.1°C</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4.时间显示精度:0.01s4</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5.时间显示范围:0.01秒~99分59.99秒温</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6.温度传感器: PT100数字温度传感器</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7.温度传感器分辨率: 0.0625℃C</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8.温度设置范围:室温~80℃℃</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9.显示方式:5寸触摸屏，所有指标同时显示</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10.显示内容: 实际温度、设定温度、痛阈时间、抬脚次数、组总时间、万年历、输出</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11.数据输出:带USB接口，数据可外部存储</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12.机内数据保存量:500组数据</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13.记录方式: 脚踏开关、触摸开关</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14.工作温度:0℃℃~45°C14</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15.空气相对湿度:15~80%RH</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16.电源电压: AC110~220V±20V16</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17.紐憝禺劢杮电源频50Hz+2HZ</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18.输入功率:≤300W</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19.主机外形尺寸约:330mmx280mmx150mm</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20.重量约: 3Kg</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21.可靠性:MTBF&gt;10000。</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4128.68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57801.52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紫外分光光度计</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1.波长驱动：自动波长；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2.波长范围：200-1000nm；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3.波长准确度：±2nm；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4.波长重复性：0.5nm；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5.光谱带宽：4nm；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6.透射比准确率：±0.5%T；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7.透射比重复性：0.2%T；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8.透射比范围：0.0-200%T；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9.光度范围：-3-3A,0-200%T,0-9999C；</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10.杂散光：0.2%T@220nm/360nm；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11.稳定性：±0.002A/h@500nm；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12.显示方式：128×64位点阵液晶显示；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13.通讯方式：USB接口；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14.数据输出设备一台；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15.分析软件：支持；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16.噪声水平：0.001A/2min@500nm；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17.基线平直度0.002A/h。</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4893.85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9787.7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 xml:space="preserve">集智还原系统 </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60</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1.管理软件支持C/S与B/S混合架构管理，控制台支持多语言（中文简、繁体、英文）</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2.界面上具备资源概览功能，包括镜像数量、 磁盘数量、分组数量。具备终端统计功能，包含终端总量、在线数量、 离线数量、一键唤醒全部终端、一键关闭全部终端；具备部署进度统计功能，包括完成部署、在整部署、正在分析、以及异常终端统计</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3.终端云管理平台支持在电脑操作系统上部署；</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4.支持授权信息展示，快捷入口（首次使用、上传更新、重新部署），服务器概况图形化展示（负载状态、CPU使用率、内存使用率、硬盘使用率、在线终端），终端状态图形化展示、支持一键唤醒、关机和重启；</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5.支持批量管理设置终端机计算机名、IP地址等配置信息。针对不同的群组指定不同的部署策略、虚拟磁盘</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6.软件支持磁盘虚拟化技术，可实现不同品牌所有的计算机终端集中统一管理</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7.支持同传网络探测与网络速度监控，可实时监控所管理的终端的网络速度和部署进度</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8.支持跨网段部署，软件负载要求，单台服务器可管理客户端≥500台</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9.服务端软件支持一键升级，服务端升级后对未升级的客户端也可以统一管理</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10.支持从服务器端发起对客户端进行远程开机、关机、重启，支持管理员远程控制客户端</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11.支持操作系统快照节点间的任意切换及恢复，切换恢复后不会删除或影响其他快照节点，且每个操作系统下的快照节点数量不少于12个</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12.支持客户端IP占位功能，实现新客户端加入服务端时，不会由于单点的故障，而影响整体的计算机名和IP排序管理</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13.支持批量设定终端的计算机名称和IP地址信息，并针对不同的系统可设置不同的计算机名称和IP地址；</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14.教师授课时，支持管理员一键禁用、启用所有客户端的键盘、鼠标</w:t>
            </w:r>
            <w:r>
              <w:rPr>
                <w:rFonts w:hint="eastAsia" w:ascii="宋体" w:hAnsi="宋体" w:eastAsia="宋体" w:cs="宋体"/>
                <w:color w:val="auto"/>
                <w:sz w:val="21"/>
                <w:szCs w:val="21"/>
                <w:lang w:eastAsia="zh-CN"/>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15.系统需软件预注册功能，一台客户机上传更新并注册软件后，其他客户机只需要重启即可自动注册；</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16.本次配置1套授权，能满足60套还原系统管理服务器的使用需求</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17.双硬盘支持，支持NVME，M.2固态硬盘，同时支持容量不同的固态硬盘和机械硬盘，并能组成一个全新的虚拟磁盘，虚拟磁盘空间可按需分配，同时兼容新老机型部署</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18.管理分组及桌面分配：支持将客户端进行分组的方式管理，管理员可根据配置好的镜像分配给相应的分组，支持P2P部署功能，可在正常上课的同时边部署边使用，支持分区共享，支持断点续传，不需要强制一次下发完成</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19.终端在无操作系统的裸机状态下，开机设置网络启动后，连上服务端即可使用，无须提前网络部署或对终端硬盘进行任何的操作</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szCs w:val="21"/>
              </w:rPr>
              <w:t>20.支持客户端双硬盘的统一部署和保护还原，支持每次/天/周/月及手动还原等多种恢复策略</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21.支持客户端共存操作系统数量不少于64个，并需具有系统部署策略</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w:t>
            </w:r>
            <w:r>
              <w:rPr>
                <w:rFonts w:hint="eastAsia" w:ascii="宋体" w:hAnsi="宋体" w:cs="宋体"/>
                <w:color w:val="auto"/>
                <w:szCs w:val="21"/>
              </w:rPr>
              <w:t>22.终端支持在断网或服务端宕机的情况下，可部署至本地硬盘的所有操作系统，系统可正常使用和每次开机还原，能提供单机保存的管理接口。</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275.98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16558.8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pPr>
              <w:spacing w:after="0" w:line="440" w:lineRule="atLeast"/>
              <w:rPr>
                <w:rFonts w:hint="eastAsia" w:ascii="宋体" w:hAnsi="宋体" w:cs="宋体"/>
                <w:color w:val="auto"/>
                <w:szCs w:val="21"/>
              </w:rPr>
            </w:pPr>
            <w:r>
              <w:rPr>
                <w:rFonts w:hint="eastAsia" w:ascii="宋体" w:hAnsi="宋体" w:cs="宋体"/>
                <w:b/>
                <w:color w:val="auto"/>
                <w:szCs w:val="21"/>
              </w:rPr>
              <w:t>商务条款</w:t>
            </w:r>
          </w:p>
        </w:tc>
        <w:tc>
          <w:tcPr>
            <w:tcW w:w="9288" w:type="dxa"/>
            <w:gridSpan w:val="8"/>
            <w:tcBorders>
              <w:top w:val="single" w:color="auto" w:sz="4" w:space="0"/>
              <w:left w:val="single" w:color="auto" w:sz="4" w:space="0"/>
              <w:bottom w:val="single" w:color="auto" w:sz="4" w:space="0"/>
              <w:right w:val="single" w:color="auto" w:sz="4" w:space="0"/>
            </w:tcBorders>
          </w:tcPr>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1.合同签订要求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（1）中标人自中标通知书发出之日起25日内与采购人签订合同。</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（2）中标人不得将项目转包，如发现有转包行为，采购人有权按中标候选人推荐顺序确定中标人，也可以重新组织采购。</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2.交付要求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szCs w:val="21"/>
              </w:rPr>
              <w:t>▲</w:t>
            </w:r>
            <w:r>
              <w:rPr>
                <w:rFonts w:hint="eastAsia" w:ascii="宋体" w:hAnsi="宋体" w:cs="宋体"/>
                <w:color w:val="auto"/>
                <w:kern w:val="0"/>
                <w:szCs w:val="21"/>
                <w:lang w:bidi="ar"/>
              </w:rPr>
              <w:t>（1）交付时间：自合同签订之日起30个工作日内将货物运至采购人指定地点，并完成安装调试。</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（2）交付地点：</w:t>
            </w:r>
            <w:r>
              <w:rPr>
                <w:rStyle w:val="39"/>
                <w:rFonts w:hint="eastAsia" w:ascii="宋体" w:hAnsi="宋体" w:cs="宋体"/>
                <w:color w:val="auto"/>
                <w:kern w:val="0"/>
                <w:lang w:bidi="ar"/>
              </w:rPr>
              <w:t>广西医科大学武鸣校区，</w:t>
            </w:r>
            <w:r>
              <w:rPr>
                <w:rFonts w:hint="eastAsia" w:ascii="宋体" w:hAnsi="宋体" w:cs="宋体"/>
                <w:color w:val="auto"/>
                <w:kern w:val="0"/>
                <w:szCs w:val="21"/>
                <w:lang w:bidi="ar"/>
              </w:rPr>
              <w:t>采购人指定地点</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中标人提供不符合合同规定的货物/服务，采购人有权拒绝接受。中标人应根据货物不同的特性和要求采取防潮、防雨、防锈、防震、防腐等保护措施，以保证货物安全无损地到达采购人指定地点，中标人应承担因包装不当导致交付的合同标的物受损的责任。</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安装调试：中标人负责在采购人指定的时间内，按照要求完成货物的安装调试。中标人应严格遵守安全法律法规，采取安全保障措施，保证人员安全。因中标人原因造成的人员伤亡和财产损失，均由中标人承担。</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（5）中标人应将所提供货物的装箱清单、用户手册、原厂保修卡、随机资料、工具和备品、备件等一并进行交付，如有缺失应及时补齐，否则视为逾期交货。</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3.验收方法及要求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（1）中标人按要求完成交付后，应以书面形式正式向采购人递交验收申请书，采购人收到验收申请书后，按照采购人单位规定流程组织项目验收。</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验收内容应按照合同内容逐项进行验收，包括但不限于全部设备、产品、型号、规格、数量、外型、外观、包装及资料、文件（如装箱单、保修单、随箱介质等）/各项服务等里程碑的交付物，所提供的货物/服务是否符合本合同要求，如符合，则认为验收合格，采购人应在验收单上签字确认；如不符合，双方均有权向相关部门申请鉴定，鉴定费由中标人承担，验收结果以采购人签署的验收证明为准。</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（3）在验收过程中发现中标人有违约问题，暂缓资金结算，待违约问题解决后，方可办理资金结算事宜，在此期间，采购人不承担逾期付款责任。</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kern w:val="0"/>
                <w:szCs w:val="21"/>
                <w:lang w:bidi="ar"/>
              </w:rPr>
              <w:t>（4）</w:t>
            </w:r>
            <w:r>
              <w:rPr>
                <w:rFonts w:hint="eastAsia" w:ascii="宋体" w:hAnsi="宋体" w:cs="宋体"/>
                <w:color w:val="auto"/>
                <w:szCs w:val="21"/>
              </w:rPr>
              <w:t>如国家法律法规对产品有强制性认证的要求，中标供应商验收时提交产品有效的强制性认证证明材料</w:t>
            </w:r>
            <w:r>
              <w:rPr>
                <w:rFonts w:hint="eastAsia" w:ascii="宋体" w:hAnsi="宋体" w:cs="宋体"/>
                <w:color w:val="auto"/>
                <w:kern w:val="0"/>
                <w:szCs w:val="21"/>
                <w:lang w:bidi="ar"/>
              </w:rPr>
              <w:t>（技术要求中有特别要求的按特别要求）</w:t>
            </w:r>
            <w:r>
              <w:rPr>
                <w:rFonts w:hint="eastAsia" w:ascii="宋体" w:hAnsi="宋体" w:cs="宋体"/>
                <w:color w:val="auto"/>
                <w:szCs w:val="21"/>
              </w:rPr>
              <w:t>。</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4.培训要求</w:t>
            </w:r>
          </w:p>
          <w:p>
            <w:pPr>
              <w:widowControl/>
              <w:spacing w:after="0" w:line="440" w:lineRule="atLeast"/>
              <w:ind w:firstLine="210" w:firstLineChars="100"/>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提供设备使用相关技术的培训；培训不少于5天。</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5.支付要求</w:t>
            </w:r>
          </w:p>
          <w:p>
            <w:pPr>
              <w:widowControl/>
              <w:snapToGrid w:val="0"/>
              <w:spacing w:after="0" w:line="400" w:lineRule="exact"/>
              <w:ind w:firstLine="420" w:firstLineChars="200"/>
              <w:jc w:val="left"/>
              <w:textAlignment w:val="auto"/>
              <w:rPr>
                <w:rFonts w:hint="eastAsia" w:ascii="宋体" w:hAnsi="宋体"/>
                <w:color w:val="auto"/>
                <w:szCs w:val="21"/>
              </w:rPr>
            </w:pPr>
            <w:r>
              <w:rPr>
                <w:rFonts w:hint="eastAsia" w:ascii="宋体" w:hAnsi="宋体" w:cs="宋体"/>
                <w:color w:val="auto"/>
                <w:szCs w:val="21"/>
              </w:rPr>
              <w:t>自签订合同之日起十个工作日内，采购人支付合同款总额30%作为预付款，货物交付并验收合格，中标人提供相应金额真实、合法、有效的正式发票后，采购人十个工作日内支付剩余款项。</w:t>
            </w:r>
            <w:r>
              <w:rPr>
                <w:rFonts w:hint="eastAsia" w:ascii="宋体" w:hAnsi="宋体"/>
                <w:color w:val="auto"/>
                <w:szCs w:val="21"/>
              </w:rPr>
              <w:t>【乙方应提供货款全额的发票（货物采购须开具增值税专用发票）】。</w:t>
            </w:r>
          </w:p>
          <w:p>
            <w:pPr>
              <w:widowControl/>
              <w:snapToGrid w:val="0"/>
              <w:spacing w:after="0" w:line="400" w:lineRule="exact"/>
              <w:jc w:val="left"/>
              <w:textAlignment w:val="auto"/>
              <w:rPr>
                <w:rFonts w:hint="eastAsia" w:ascii="宋体" w:hAnsi="宋体" w:cs="宋体"/>
                <w:b/>
                <w:bCs/>
                <w:color w:val="auto"/>
                <w:kern w:val="0"/>
                <w:szCs w:val="21"/>
                <w:lang w:bidi="ar"/>
              </w:rPr>
            </w:pPr>
            <w:r>
              <w:rPr>
                <w:rFonts w:hint="eastAsia" w:ascii="宋体" w:hAnsi="宋体" w:cs="宋体"/>
                <w:b/>
                <w:bCs/>
                <w:color w:val="auto"/>
                <w:kern w:val="0"/>
                <w:szCs w:val="21"/>
                <w:lang w:bidi="ar"/>
              </w:rPr>
              <w:t>6.售后服务要求</w:t>
            </w:r>
          </w:p>
          <w:p>
            <w:pPr>
              <w:tabs>
                <w:tab w:val="center" w:pos="4680"/>
                <w:tab w:val="right" w:pos="9360"/>
              </w:tabs>
              <w:snapToGrid w:val="0"/>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1）按国家有关产品“三包”规定执行“三包”，质保不少于5年（技术要求中有特别要求的按特别要求）。自设备验收合格并能正常使用之日算起。如投标文件中提供产品生产厂家对质保期的承诺，与投标人承诺不一致的，以生产厂家承诺为准</w:t>
            </w:r>
            <w:r>
              <w:rPr>
                <w:rFonts w:hint="eastAsia" w:ascii="宋体" w:hAnsi="宋体" w:cs="宋体"/>
                <w:color w:val="auto"/>
                <w:szCs w:val="21"/>
              </w:rPr>
              <w:t>。</w:t>
            </w:r>
          </w:p>
          <w:p>
            <w:pPr>
              <w:tabs>
                <w:tab w:val="center" w:pos="4680"/>
                <w:tab w:val="right" w:pos="9360"/>
              </w:tabs>
              <w:snapToGrid w:val="0"/>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（2）</w:t>
            </w:r>
            <w:r>
              <w:rPr>
                <w:rFonts w:hint="eastAsia" w:ascii="宋体" w:hAnsi="宋体" w:cs="宋体"/>
                <w:color w:val="auto"/>
                <w:szCs w:val="21"/>
              </w:rPr>
              <w:t>质保期内，中标人负责更换所有设备维修配件，更换的零配件为原厂全新零配件。</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r>
              <w:rPr>
                <w:rFonts w:hint="eastAsia" w:ascii="宋体" w:hAnsi="宋体" w:cs="宋体"/>
                <w:color w:val="auto"/>
                <w:szCs w:val="21"/>
              </w:rPr>
              <w:t>在接到电话通知后，4小时内做出响应，24小时内到达维修现场。一般问题应在48小时内解决，重大问题或其它无法迅速解决的问题应在一周内解决，若出现问题无法解决，二个工作日内提供与原设备技术参数要求相同或高于原设备技术参数要求的备用产品，以保证采购人的正常工作。</w:t>
            </w:r>
          </w:p>
          <w:p>
            <w:pPr>
              <w:numPr>
                <w:ilvl w:val="255"/>
                <w:numId w:val="0"/>
              </w:numPr>
              <w:tabs>
                <w:tab w:val="center" w:pos="4153"/>
                <w:tab w:val="right" w:pos="8306"/>
              </w:tabs>
              <w:snapToGrid w:val="0"/>
              <w:spacing w:after="0" w:line="440" w:lineRule="atLeast"/>
              <w:jc w:val="left"/>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7.报价要求</w:t>
            </w:r>
          </w:p>
          <w:p>
            <w:pPr>
              <w:spacing w:after="0" w:line="440" w:lineRule="atLeast"/>
              <w:rPr>
                <w:rFonts w:hint="eastAsia" w:ascii="宋体" w:hAnsi="宋体" w:cs="宋体"/>
                <w:color w:val="auto"/>
                <w:szCs w:val="21"/>
              </w:rPr>
            </w:pPr>
            <w:r>
              <w:rPr>
                <w:rFonts w:hint="eastAsia" w:ascii="宋体" w:hAnsi="宋体" w:cs="宋体"/>
                <w:color w:val="auto"/>
                <w:szCs w:val="21"/>
              </w:rPr>
              <w:t>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r>
              <w:rPr>
                <w:rFonts w:hint="eastAsia" w:ascii="宋体" w:hAnsi="宋体" w:cs="宋体"/>
                <w:color w:val="auto"/>
                <w:szCs w:val="21"/>
                <w:lang w:eastAsia="zh-CN"/>
              </w:rPr>
              <w:t>。</w:t>
            </w:r>
            <w:r>
              <w:rPr>
                <w:rFonts w:hint="eastAsia" w:ascii="宋体" w:hAnsi="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b/>
                <w:color w:val="auto"/>
                <w:szCs w:val="21"/>
              </w:rPr>
            </w:pPr>
            <w:r>
              <w:rPr>
                <w:rFonts w:hint="eastAsia" w:ascii="宋体" w:hAnsi="宋体" w:cs="宋体"/>
                <w:b/>
                <w:bCs/>
                <w:color w:val="auto"/>
                <w:szCs w:val="21"/>
              </w:rPr>
              <w:t>其他说明</w:t>
            </w:r>
          </w:p>
        </w:tc>
        <w:tc>
          <w:tcPr>
            <w:tcW w:w="9288" w:type="dxa"/>
            <w:gridSpan w:val="8"/>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1.进口产品说明：本项目货物不接受进口产品（即通过中国海关报关验放进入中国境内且产自关境外的产品）参与投标，如有进口产品参与投标的作无效标处理。</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2.核心产品：本项目的核心产品为“需求一览表”中第</w:t>
            </w:r>
            <w:r>
              <w:rPr>
                <w:rFonts w:hint="eastAsia" w:ascii="宋体" w:hAnsi="宋体" w:cs="宋体"/>
                <w:color w:val="auto"/>
                <w:szCs w:val="21"/>
                <w:u w:val="single"/>
              </w:rPr>
              <w:t xml:space="preserve"> 1 </w:t>
            </w:r>
            <w:r>
              <w:rPr>
                <w:rFonts w:hint="eastAsia" w:ascii="宋体" w:hAnsi="宋体" w:cs="宋体"/>
                <w:color w:val="auto"/>
                <w:szCs w:val="21"/>
              </w:rPr>
              <w:t>项标的产品：</w:t>
            </w:r>
            <w:r>
              <w:rPr>
                <w:rFonts w:hint="eastAsia" w:ascii="宋体" w:hAnsi="宋体" w:cs="宋体"/>
                <w:color w:val="auto"/>
                <w:szCs w:val="21"/>
                <w:u w:val="single"/>
              </w:rPr>
              <w:t>教学互动系统（学生）</w:t>
            </w:r>
            <w:r>
              <w:rPr>
                <w:rFonts w:hint="eastAsia" w:ascii="宋体" w:hAnsi="宋体" w:cs="宋体"/>
                <w:color w:val="auto"/>
                <w:szCs w:val="21"/>
              </w:rPr>
              <w:t>。</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3.中标人未按规定的时间完成合同履约，导致采购人损失的，采购人有权单方面终止合同，所造成的损失由中标人承担。</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4.中标人提供的货物或服务如侵犯了第三方合法权益而引发的任何纠纷或诉讼，均由中标人负责交涉且承担全部赔偿责任，包括因知识产权造成采购人的经济损失。</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5.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tc>
      </w:tr>
    </w:tbl>
    <w:p>
      <w:pPr>
        <w:rPr>
          <w:rFonts w:hint="eastAsia" w:ascii="宋体" w:hAnsi="宋体" w:cs="宋体"/>
          <w:b/>
          <w:bCs/>
          <w:color w:val="auto"/>
          <w:sz w:val="24"/>
        </w:rPr>
      </w:pPr>
    </w:p>
    <w:p>
      <w:pPr>
        <w:widowControl/>
        <w:jc w:val="left"/>
        <w:rPr>
          <w:rFonts w:hint="eastAsia" w:ascii="宋体" w:hAnsi="宋体" w:cs="宋体"/>
          <w:b/>
          <w:bCs/>
          <w:color w:val="auto"/>
          <w:sz w:val="24"/>
        </w:rPr>
      </w:pPr>
      <w:r>
        <w:rPr>
          <w:rFonts w:hint="eastAsia" w:ascii="宋体" w:hAnsi="宋体" w:cs="宋体"/>
          <w:b/>
          <w:bCs/>
          <w:color w:val="auto"/>
          <w:sz w:val="24"/>
        </w:rPr>
        <w:br w:type="page"/>
      </w:r>
    </w:p>
    <w:p>
      <w:pPr>
        <w:outlineLvl w:val="0"/>
        <w:rPr>
          <w:rFonts w:hint="eastAsia" w:ascii="宋体" w:hAnsi="宋体" w:cs="宋体"/>
          <w:b/>
          <w:bCs/>
          <w:color w:val="auto"/>
          <w:sz w:val="24"/>
        </w:rPr>
      </w:pPr>
      <w:r>
        <w:rPr>
          <w:rFonts w:hint="eastAsia" w:ascii="宋体" w:hAnsi="宋体" w:cs="宋体"/>
          <w:b/>
          <w:bCs/>
          <w:color w:val="auto"/>
          <w:sz w:val="24"/>
        </w:rPr>
        <w:t>标项三</w:t>
      </w:r>
    </w:p>
    <w:tbl>
      <w:tblPr>
        <w:tblStyle w:val="26"/>
        <w:tblW w:w="97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500"/>
        <w:gridCol w:w="700"/>
        <w:gridCol w:w="750"/>
        <w:gridCol w:w="641"/>
        <w:gridCol w:w="4050"/>
        <w:gridCol w:w="823"/>
        <w:gridCol w:w="941"/>
        <w:gridCol w:w="8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59" w:type="dxa"/>
            <w:vMerge w:val="restart"/>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需求一览表</w:t>
            </w:r>
          </w:p>
        </w:tc>
        <w:tc>
          <w:tcPr>
            <w:tcW w:w="50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序号</w:t>
            </w:r>
          </w:p>
        </w:tc>
        <w:tc>
          <w:tcPr>
            <w:tcW w:w="70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标的名称</w:t>
            </w:r>
          </w:p>
        </w:tc>
        <w:tc>
          <w:tcPr>
            <w:tcW w:w="7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数量</w:t>
            </w:r>
          </w:p>
        </w:tc>
        <w:tc>
          <w:tcPr>
            <w:tcW w:w="641"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单位</w:t>
            </w:r>
          </w:p>
        </w:tc>
        <w:tc>
          <w:tcPr>
            <w:tcW w:w="40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技术参数及配置</w:t>
            </w:r>
          </w:p>
        </w:tc>
        <w:tc>
          <w:tcPr>
            <w:tcW w:w="82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分项预算（元）</w:t>
            </w:r>
          </w:p>
        </w:tc>
        <w:tc>
          <w:tcPr>
            <w:tcW w:w="941"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分项预算合计（元）</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中小企业划分标准所属行业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全钢通风柜</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1.通风柜主柜体部件，规格：约1500*850*2350mm；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（1）上箱体：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采用</w:t>
            </w:r>
            <w:r>
              <w:rPr>
                <w:rFonts w:hint="eastAsia" w:ascii="宋体" w:hAnsi="宋体" w:cs="宋体"/>
                <w:color w:val="auto"/>
                <w:szCs w:val="21"/>
              </w:rPr>
              <w:t>≥</w:t>
            </w:r>
            <w:r>
              <w:rPr>
                <w:rFonts w:hint="eastAsia" w:ascii="宋体" w:hAnsi="宋体" w:cs="宋体"/>
                <w:color w:val="auto"/>
                <w:kern w:val="0"/>
                <w:szCs w:val="21"/>
                <w:lang w:bidi="ar"/>
              </w:rPr>
              <w:t>1.0mm厚镀锌钢板，激光数控切割，左.右旁板、前楣板、下横板一体成型，左.右旁板采用欧式窄边设计，规格：约1200mm×850mm×2350mm；喷涂环氧树脂粉末高温烘烤固化，有附着力.表面硬度能耐腐蚀性；内衬及导流板选用</w:t>
            </w:r>
            <w:r>
              <w:rPr>
                <w:rFonts w:hint="eastAsia" w:ascii="宋体" w:hAnsi="宋体" w:cs="宋体"/>
                <w:color w:val="auto"/>
                <w:szCs w:val="21"/>
              </w:rPr>
              <w:t>≥</w:t>
            </w:r>
            <w:r>
              <w:rPr>
                <w:rFonts w:hint="eastAsia" w:ascii="宋体" w:hAnsi="宋体" w:cs="宋体"/>
                <w:color w:val="auto"/>
                <w:kern w:val="0"/>
                <w:szCs w:val="21"/>
                <w:lang w:bidi="ar"/>
              </w:rPr>
              <w:t>5mm抗倍特板，内部分段式排风设计，可消除排气死角与不同密度气体的排放；控制面板设在外立柱侧面板上，方便观察与操作</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（2）下箱体：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采用</w:t>
            </w:r>
            <w:r>
              <w:rPr>
                <w:rFonts w:hint="eastAsia" w:ascii="宋体" w:hAnsi="宋体" w:cs="宋体"/>
                <w:color w:val="auto"/>
                <w:szCs w:val="21"/>
              </w:rPr>
              <w:t>≥</w:t>
            </w:r>
            <w:r>
              <w:rPr>
                <w:rFonts w:hint="eastAsia" w:ascii="宋体" w:hAnsi="宋体" w:cs="宋体"/>
                <w:color w:val="auto"/>
                <w:kern w:val="0"/>
                <w:szCs w:val="21"/>
                <w:lang w:bidi="ar"/>
              </w:rPr>
              <w:t>1.0mm厚的镀锌钢板，激光切割折弯制做，表面环氧树脂粉末喷涂；铰链采用304不锈钢材料，开启度为约145°；下柜体铰链和合页可以互换使用，方便维修；调整脚说明：采用直径约φ10mm注塑调整脚，具备防震、防潮、耐腐蚀，并且可根据室内地坪适当调整柜体高度，可调节高度为</w:t>
            </w:r>
            <w:r>
              <w:rPr>
                <w:rFonts w:hint="eastAsia" w:ascii="宋体" w:hAnsi="宋体" w:cs="宋体"/>
                <w:color w:val="auto"/>
                <w:szCs w:val="21"/>
              </w:rPr>
              <w:t>≥</w:t>
            </w:r>
            <w:r>
              <w:rPr>
                <w:rFonts w:hint="eastAsia" w:ascii="宋体" w:hAnsi="宋体" w:cs="宋体"/>
                <w:color w:val="auto"/>
                <w:kern w:val="0"/>
                <w:szCs w:val="21"/>
                <w:lang w:bidi="ar"/>
              </w:rPr>
              <w:t>30mm；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（3）固定视窗：≥5mm厚钢化玻璃；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（4）移动视窗：≥5mm厚钢化玻璃，滑动自如，无段平衡装置，可停留于轨道任何位置。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2.通风柜台面：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台面：采用≥12mm厚实芯理化板台面。具备耐高温，耐强酸、强碱、强有机溶剂、染色剂等各种化学试剂腐蚀</w:t>
            </w:r>
            <w:r>
              <w:rPr>
                <w:rFonts w:hint="eastAsia" w:ascii="宋体" w:hAnsi="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3.供电系统：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（1）插座：插座配有≥3个10A 220V五孔多功能插座。配备防尘、防溅带有自动闭合功能防护盖的安全插座，国标220V/10A五孔插座3个，国标220V/16A三孔插座1个，适合实验室内仪器设备。供电线路要求12kW以上，满足2个电炉同时使用；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（2）照明：采用圆形节能孔灯，隐藏于顶板上，灯接口不与通风柜内实验气体直接接触，易更换；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（3）控制面板：具有插座、日光灯、风机、风阀开停控制开关；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（4）有通风柜专用的供电箱。</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4.通风系统：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带PP离心风机（耐腐蚀），配备离心风机配电、PVC风管、弯头、直通等配件。离心风机安装室外，具备防水防晒。PVC风管约10米；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5.售后服务：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质保期内上门维修或更换，出现故障时，维修工程师24小时内上门服务。</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11692.99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81850.93</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可见分光光度计</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28</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1.光学系统：衍射光栅C-T单色器；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2.光源：卤素灯10W/8V；</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3.波长范围：（360～1000）nm；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4.波长准确度：±3.0nm；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5.波长重复性：≤1.5nm；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6.带宽：6nm；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7.透射比准确度：±0.8%T；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8.透射比重复性：≤0.3%T；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9.杂散光：≤1.0%T（360nm，NaNO2）；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10.仪器尺寸：约350mm×300mm×220mm。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1487.84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41659.52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1.5ml高速离心机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 最高转速[rpm]: 15000rpm (200-15000rpm), 步长：10rpm；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最大相对离心力[xg]: 21380×g，步长：10×g；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转速精度: ±20 rpm；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 温度设定范围 </w:t>
            </w:r>
            <w:r>
              <w:rPr>
                <w:rFonts w:hint="eastAsia" w:ascii="宋体" w:hAnsi="宋体" w:cs="宋体"/>
                <w:color w:val="auto"/>
                <w:szCs w:val="21"/>
              </w:rPr>
              <w:t>-20℃-40℃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转子容量: 5ml×18;0.2ml/0.5ml/1.5ml/ 2ml×24;0.5ml×36;PCR8排管×4；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定时: 30秒-99分-HOLD (连续运行)；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驱动电机: 无刷直流电机；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安全性能: 双门锁、超速、状态诊断系统；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电源: 单相，AC220V-240V, 50Hz/60Hz, 5A；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 AC110V-120V, 50Hz/60Hz,8A；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 噪音(dB): ≤64；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12. 加减速度: 25s↑25s↓；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 尺寸(毫米): 约(长)280×(深)364×(高)266；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 重量:约 12kg；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 其它功能：具备转速/加速度转换功能、瞬时离心功能、运行进程显示、声音提示功能。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8432.64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16865.28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水浴锅</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一、参数详情</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1.温度范围：室温+5℃ ~ 95℃；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2.温度波动度：±0.05℃；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3.温度均匀度：±0.05℃；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4.显示分辨率：0.01℃；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5.控温方式：PID 微电脑智能控制（自动调节加热功率，稳定至设定温度）。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二、槽体与容量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1.内胆尺寸：（深×宽×高）：约 340mm×260mm×740mm；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2.槽体材质：不锈钢；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3.外壳材质：冷轧钢板+喷塑。</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三、加热与循环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1.加热功率：约 1.5~2.0kW；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2循环方式：内循环；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3.泵流量：约 20~30L/min（可连接外部设备）。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四、安全与设计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1.安全保护：</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1.1过温保护（自动切断加热）；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1.2漏电保护；</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1.3电机或电路过载保护；</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1.4操作界面：液晶显示屏+按键控制（支持温度设定、实时显示、报警提示）。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2.定时功能：温度校准功能（可通过外部标准温度计校准）。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五、电源与尺寸</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1.电源要求：AC 220V±10% / 50H；</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2.外形尺寸（长×宽×高）：约 400mm×300mm×500mm；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3.净重：约 20~25kg。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六、适用场景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1.实验室样品恒温（如：化学反应、生物培养）；</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2.分析仪器控温（如：粘度计、旋光仪、电化学仪器的恒温浴槽）；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3.精密测量（如：温度环境的实验）。</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1430.13</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2860.26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功放</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pStyle w:val="10"/>
              <w:widowControl/>
              <w:spacing w:after="0" w:line="440" w:lineRule="atLeas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一、功能要求</w:t>
            </w:r>
          </w:p>
          <w:p>
            <w:pPr>
              <w:pStyle w:val="10"/>
              <w:widowControl/>
              <w:spacing w:after="0" w:line="440" w:lineRule="atLeast"/>
              <w:textAlignment w:val="center"/>
              <w:rPr>
                <w:rFonts w:hint="eastAsia" w:ascii="宋体" w:hAnsi="宋体" w:cs="宋体"/>
                <w:color w:val="auto"/>
                <w:szCs w:val="21"/>
              </w:rPr>
            </w:pPr>
            <w:r>
              <w:rPr>
                <w:rFonts w:hint="eastAsia" w:ascii="宋体" w:hAnsi="宋体" w:cs="宋体"/>
                <w:color w:val="auto"/>
                <w:kern w:val="0"/>
                <w:szCs w:val="21"/>
                <w:lang w:bidi="ar"/>
              </w:rPr>
              <w:t>1.带LED显示屏，采用机架式铝合金黑色机身设计；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2.自带数码播放器，支持WMA、MP3格式的音乐；具有手机蓝牙5.0音乐播放功能。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前面板≥4个按键，可实现音乐上下首切换，音乐开停功能，模式转换。按键可切换多媒体和外接音源；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3.具有录音功能、反馈抑制功能；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4.前面板3路大二芯 MIC接口输入；后面板3路MIC接口：其中2路带幻象供电的卡侬头接口，一路大二芯接口；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5.功能调节旋钮采用暗藏式设计。具有话筒音量调节旋钮5个，回响和延时调节旋钮各1个，高音、中音、低音旋钮各1个；音乐高音、中音、低音旋钮各1个；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6.具有话筒总音量调节旋钮1个、音乐总音量调节旋钮1个、混响音量旋钮1个；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7.支持2路线路输入、1路线路输出；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8.具有4个功率输出接线端子，可实现A/B组功率输出</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 xml:space="preserve">                                                                                                                                                                                                             二、技术参数：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1.额定功率：2*200w；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2.额定阻抗：8Ω；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3.频率响应：线路输入20Hz-20KHz，话筒60Hz-14KHz；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4.线路音调控制：高音11KHz±12dB,中音1KHz±10dB低音90Hz±12dB；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5.话筒音调控制：高音11KHz±10dB,高音1KHz±8dB低音90Hz±10dB；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6.失真度：≤0.5%；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7.信噪比：≥80</w:t>
            </w:r>
            <w:r>
              <w:rPr>
                <w:rFonts w:hint="eastAsia" w:ascii="宋体" w:hAnsi="宋体" w:cs="宋体"/>
                <w:color w:val="auto"/>
                <w:szCs w:val="21"/>
              </w:rPr>
              <w:t>dB</w:t>
            </w:r>
            <w:r>
              <w:rPr>
                <w:rFonts w:hint="eastAsia" w:ascii="宋体" w:hAnsi="宋体" w:cs="宋体"/>
                <w:color w:val="auto"/>
                <w:kern w:val="0"/>
                <w:szCs w:val="21"/>
                <w:lang w:bidi="ar"/>
              </w:rPr>
              <w:t>(A计权）。</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1969.37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3938.74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电动投影幕布</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1.技术参数：120寸16：9幕布，投影尺寸约2590mm*1620mm高清白塑幕面，亮度系数β≥1.0；有效散射角2α≥160°；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2.外壳由金属板冲压机械加工成型，表面静电喷涂装饰</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3.配超静音同步电机可调节内置限位，上下精准。幕面为经高温处理的PVC浆融性机制幕，白昼成像清晰；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4.幕面材料无任何气味，幕面平整。不卷边，不发黄，具有防霉、防潮、阻燃特点。</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844.06</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1688.12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冰箱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技术参数配置（CSP）：</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1.有效容积 ：有效容积≥300L；</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2.整体结构：立式，上下双发泡门，采用喷涂钢板外壳和热锌板喷粉内胆，防菌防腐蚀；冷藏室容积≥200L，冷冻室容积≥100L；</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▲3.温度控制:微电脑控制,触摸按键，大屏幕LED显示，可同时显示冷藏、冷冻室温度，冷藏显示精度0.1℃，冷冻显示精度1℃，冷藏温度范围2～8℃，冷冻温度-10~-30 ℃ 温度可自行调节；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w:t>
            </w:r>
            <w:r>
              <w:rPr>
                <w:rFonts w:hint="eastAsia" w:ascii="宋体" w:hAnsi="宋体" w:cs="宋体"/>
                <w:color w:val="auto"/>
                <w:szCs w:val="21"/>
              </w:rPr>
              <w:t>核心组件：压缩机2个，风机1个，蒸发器2个，冷凝器2个；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w:t>
            </w:r>
            <w:r>
              <w:rPr>
                <w:rFonts w:hint="eastAsia" w:ascii="宋体" w:hAnsi="宋体" w:cs="宋体"/>
                <w:color w:val="auto"/>
                <w:szCs w:val="21"/>
              </w:rPr>
              <w:t>采用碳氢制冷剂，制冷剂用量符合国家标准要求，单制冷系统制冷剂用量≤50g；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6.门体结构：发泡门设计，避光保存；</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7.制冷系统：冷藏、冷冻独立制冷系统，可单独停用；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▲8.温度均匀性：采用保温材料，风冷系统，冷藏室温度均匀性≤2℃，波动性≤2℃，冷冻室温度均匀性≤2℃；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▲9.安全系统：多重故障报警，具有蜂鸣报警和灯光闪烁两种报警方式，可实现超温报警、传感故障报警、断电报警、开门报警、环温高报警、电池电量低报警，可远程报警、网络监控；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10.数据存储：可选配数据存储模块，数据可导出数据及图表格式，温度数据可存储十年，实现温度数据的可追溯性；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11.数据打印：温度记录可打印，冷藏、冷冻同时打印，可实现实时打印、定时打印，并有追溯打印功能，打印数据信息可保存一年；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12.温度监控：配有两个测试孔，可接入温度监控设备，对箱内温度进行监测；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13.箱内配置：冷藏室冷冻室内搁架间距可调节；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14.柜内照明：内设LED照明灯；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15.固定移动：产品配有4个脚轮和2个平衡底脚；</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16.安全保障：双门双锁扣设计，每个锁扣均可外挂锁；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17.停电报警：内置高容量电池，断电后能继续显示箱内的实时温度，持续时间24小时；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▲18.冷凝蒸发：冷冻室为隐藏蒸发器设计，冷冻室双重密封。</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2725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5450</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音箱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系统类型：两路两单元低音音箱；</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1.频率响应：30Hz-18kHz±3dB；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2.灵敏度：95dB/1W/1M@±2dB；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3.额定功率：150W/8Ω ；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4.峰值功率：300W/8Ω；                                                                                                                                                                                                                                       5.高音：3”x2；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6.低音：10"×1只；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7.连接器：2P HiFi线盒；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8.箱体材质： ≥12mm高密度纤维板；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9.表面处理：黑色PVC胶皮；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10.尺寸：(WHD) 约 510×280×300mm；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11.重量：约8KG。</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1140.62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2281.24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不锈钢器具推车</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辆</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1.规格：约1000*600*850mm，双层；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2.采用304不锈钢材料制作，板材厚度≥1.2mm，管材厚度≥1.2mm；</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3.配四只4寸静音脚轮。</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1199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4796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电热恒温水浴箱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1.电源电压：220V/50Hz；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●2.功率：1000W；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3.控温范围：RT+5℃-100℃；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4.温度波动：±0.2℃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5.跟踪报警：＋2℃±0.5℃；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6.工作室尺寸(mm):约600×300×190；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7.外包装尺寸（mm)：约670×350×300。</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1345.46</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5381.84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直排风通风系统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含Ф250离心风机，Ф250PVC风管2米、Ф250 90°弯头2个，Ф250 45°弯头1个，百叶1个，连接线2米一套，风机吊架一套（吊丝杆1米长）。</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2373.11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2373.11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冰箱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 总容积 250升（冷藏室160L + 冷冻室90L）；</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能效等级 一级能效（日均耗电约0.58度）；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制冷方式 风冷无霜；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噪音值 38分贝；</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面板材质 钢化玻璃面板；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尺寸(宽×深×高)：约 595×650×1800mm。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1960.91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1960.91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冰柜</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1.温区：单温柜，立式玻璃门，单温冷藏，温度 0℃≤t≤10℃， 有效容积390L,开门方式侧开门；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●2.制冷方式：风直冷；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3.控温方式：机械控温；</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4.制冷循环：单循环。</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2647.61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2647.61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超净工作台</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1、双人双面净化工作；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2、洁净度：100级@≥0.5um；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3、菌落数：≤0.5个/皿.时(Φ90mm 培养平皿)；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4、平均风速：0．25--0．45m/s(快．慢双速)；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5、振动/半峰值：≤5μm(X.Y.Z方向)；</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6、噪声：62dB(A)；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7、照度：≥300Lx；</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8、电源：AC/50HZ/220V；</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9、功耗：0.8KW；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10、重量：&lt;250kg；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11、过滤器规格及数量：约1350×550×38mm，一个；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●12、荧光灯/紫外灯规格及数量：照明荧光灯：16W，2 支；紫外杀菌灯：15W，2 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13、适用人数：双人双面；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14、外形尺寸(mm)：约1540×680×1600；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15、工作区尺寸 (mm)：约870×650×520。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二、产品要求：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1、垂直流形，准闭合式台面，可防止外部气流透入及操作异味对人体的刺激；</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2、采用可调风量风机系统，接角型开关、无级调节电压大小。</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8363.21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8363.21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低速台式离心机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一、功能要求：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●1.微机控制，直流无刷电机驱动</w:t>
            </w:r>
            <w:r>
              <w:rPr>
                <w:rFonts w:hint="eastAsia" w:ascii="宋体" w:hAnsi="宋体" w:cs="宋体"/>
                <w:color w:val="auto"/>
                <w:szCs w:val="21"/>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2.触摸面板，可编程操作，主机运行参数可根据采购人需求设置且自动存储</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3.液晶屏显示</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4.实时rpm/RCF之间读数换算与设定;</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5.配备电子门锁，设有门盖自锁、超速保护功能；故障自动报警功能</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一键瞬时离心功能，短时离心无需设置参数，按住即可快速离心；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采用电子门锁，设有超速、不平衡、门盖保护功能；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配备10mL和50mL容量转子；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9.带有应急开门拉绳，断电情况时，样品可正常取出；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10.机体采用全钢机身；</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11.具有隔音设计，噪音≤65dB；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12.具有转子参数锁定功能；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13.离心结束后，离心机盖自动打开</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二、技术指标: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1.最高转速：5500rpm；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2.最大相对离心力：4900g；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3.最大容量：1000ml；（4X250ml）；</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4.离心腔直径：φ380mm；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5.转速精度：±20r/min；</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6.噪音：≤65dB (A)；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7.定时范围：1min～99min；</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8.功率：450W；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9.外形尺寸：约525×430×360(mm)；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10.净重：约40kg；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11.配置：主机加转子8*50ml/32*15ml/64*5ml。</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8072.44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16144.88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掌上离心机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一、产品要求：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1.三合一大半径8孔位转子，兼容1.5ml、0.5ml、 0.2ml三种离心管；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2.采用高频宽电压电源技术，输入电压范围85-265V AC；</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3.配置LED数码显示，可设定时间和转速；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4.采用免维护电机。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●1.最高转速：12000rpm；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2.最大相对离心力：7500g；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3.最大容量：8 x 1.5ml/2.0ml，4 x 8 x0.2ml排管PCR板转子；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4.定时范围：1-99min；</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5.电源：85V-265V  50-60 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6.总功率：45W；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7.整机噪声：≤ 45dB（A）；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8.外形尺寸：约196 x 176 x 122 (mm)；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9.净重：约1.2kg。</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1090</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1090</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电泳槽</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 .具备三根铂金电极，上样量大于等于16个载玻片；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.带有调节腿</w:t>
            </w:r>
            <w:r>
              <w:rPr>
                <w:rFonts w:hint="eastAsia" w:ascii="宋体" w:hAnsi="宋体" w:cs="宋体"/>
                <w:color w:val="auto"/>
                <w:szCs w:val="21"/>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.可调节游杆；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透明上盖；</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外型尺寸约（L×W×H）：约（370×270×110）mm；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6.凝胶板规格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电介质规格约：长70或 90（mm），宽250mm，双排；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重量：约2kg；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缓冲液总容量：1000ml；</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 配置清单包含以下：电泳仪（主体）/1 个；电泳仪（上盖）/1 个；游杆/4 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调节腿/4 个；电泳导线/1 付。</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1350.44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2700.88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电泳仪</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 输出类型：恒压、恒流、恒功率输出（连续可调）；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输出范围：10～600V、1～1000mA、1～300W；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分 辨 率：电压（1V）、电流（1mA）、功率（1W）；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定时范围：1分钟～99小时59分钟；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伏时范围：1～99999V-hr/增量1V-hr；</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显示：带背光的LCD液晶屏；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输出插孔：4组；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外形尺寸（L×W×H）约：263×275×125（mm）；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净重约：4.4（kg）。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二、性能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 触摸按键，双核微处理器智能控制；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可增加快捷键；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可同时显示预设值和实际输出值；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可存储100个电泳方法；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具有自动记忆、自动关断功能；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具有分步控制功能（可编辑10组，每组可10个程序自动连接运行）；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具有暂停控制功能（含实时微调），暂停期间的调整不影响电泳仪的控制精度和稳定性；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具有标准、定时、伏时、分步运行功能；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具有恒压、恒流、恒功率、误操作、故障智能提示功能；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 具有过载、空载、漏电保护功能。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817.5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817.5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多用脱色摇床</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1.频率：40-240转/分；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2.回转半径：15mm；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3.定时： 0-120分钟；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4.平台尺寸：240 X 200 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5.功率： 35W窗体顶端。</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4761.27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4761.27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酶标仪(固定波长)</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 光源： LED光源，自动校准，无需预热；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光学系统：双通道系统：8 个测量通道、1 个参比通道；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滤光片：可同时放置≥8 个滤光片，可配405，450，492 和 620nm 滤光片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光电检测器：硅光电二极管检测器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支持板型：96 孔板或板条；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检测模式：终点法，动力学法，多标记测量；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 波长范围：400 - 750 nm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 带宽（50%透光）：10±2 nm；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 测量范围：0-4.0 OD；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 准确度：在 450/492nm 时 0.000-2.000 OD ≤(1.0% + 0.010 OD)；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在 450/492nm 时 2.000-3.000 OD ≤(1.5% + 0.010 OD)；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 线性：0.0-2.0 OD ≤1%；2.0-3.0 OD≤1.5%；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 精密度：在 450/492nm 时 0.000-2.000 OD≤(0.5% + 0.005 OD)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在 450/492nm 时 2.000-3.000 OD ≤(1.0% + 0.005 OD)；</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 测量分辨率：0.0001 OD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 通信接口：USB 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 振荡模式：线性振荡 4 种速度可调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 测量方式：可选择常规测量，精密测量和中心测量方式；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 数据分析软件功能：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17.1 支持所有定性分析：空白、标准、质控吸光度，浓度值，阴阳值，换算数据，医生备注等；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17.2 支持定量分析，包括主要曲线拟合模式、点对点、线性和非线性回归、多项式曲线、对数曲线、四参数和五参数拟合；</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17.3 具备多种动力学数据的分析简化功能，如平均和最大斜率、酶动力学参数等；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17.4 全面的QC功能：板间质控样本结果与趋势分析，绘制Levy-Jennings质控图谱；</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17.5 支持多格式数据导入和导出（Excel/ASCII/ASTM）；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17.6 支持中英文等九种语言，并配有分析的实例及软件自学教程；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17.7 支持保存及调用实验模板，一键完成实验方案的输入；</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17.8 支持自动保存实验数据，检测结束后数据分析，检测报告自动打印；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17.9 支持自动判断检测结果是否满足验证标准要求；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18.拓展功能：可与全自动液体处理工作站整合、可外接二维码扫描仪、堆栈等设备；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19.产品配置：主机、8位滤光片轮（配置包含405，450，492，620nm滤光片）、数据处理分析软件、中文说明书、数据连接线、电源线；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20.终端一套；内存：8GB DDR4 3200MHz；硬盘：512GB；</w:t>
            </w:r>
          </w:p>
          <w:p>
            <w:pPr>
              <w:tabs>
                <w:tab w:val="center" w:pos="4153"/>
                <w:tab w:val="right" w:pos="8306"/>
              </w:tabs>
              <w:snapToGrid w:val="0"/>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21.配备数据分析软件。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43946.69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43946.69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生化培养箱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1.生物安全柜，30%气体外排，70%气体循环；能在净高为2300mm的实验室内正常安装使用；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2.双人操作，工作区宽度≥1500mm；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3.前窗10度倾角设计；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4.所有污染部位均应处于负压状态或被负压通道和负压通风系统包围；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5.玻璃门上沿有气幕保护，可防止工作区内外气体交互；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 .凹盘式工作台，可防止液体倾洒后外溢；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7.主过滤器：采用过滤器ULPA，工作区洁净度等级10级；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8.外排过滤器：采用过滤器HEPA；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9.前窗玻璃：防紫外线钢化玻璃；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10.电源线插头具有漏电保护功能；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11.底脚不锈钢材质，高度可调，调节螺栓内置，无裸露螺纹；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12.负压通道设计异物过滤装置；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13.风机：具有热保护装置，可自动根据过滤器堵塞情况调节转速；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14.风速：平均送风风速在0.25～0.50m/s；吸入口风速≥0.5m/s；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15.噪声：≤67dB（A）；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16.人员保护：碘化钾法测试，前窗操作口的保护因子≥1×105；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17.产品保护：琼脂培养皿上的枯草芽孢杆菌芽孢不超过5CFU；</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18.交叉污染保护：琼脂培养皿上的枯草芽孢杆菌芽孢不超过2CFU；</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19.实时数字显示系统运行情况，下降气流流速和流入气流流速可同时显示；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20.前窗玻璃手拉式开启；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21.打开前窗后，紫外灯应自动关闭，风机、荧光灯自动开始运行；关闭前窗后，风机和荧光灯自动关闭；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22.可预约紫外灯消毒时间，可设置两个时段自动运行；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23.数字显示过滤器剩余使用寿命，寿命剩余10%时自动提示；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24.可查询紫外灯累计工作时间；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25.有开门高度警示功能，开门超高或过低均有声光报警提示；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26.有监测气流波动功能，气流波动超过20%有声光报警提示；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27.有关门监测功能，未关严门有声光报警提示；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28.有过滤器监测功能，过滤器堵塞或破损均有声光报警提示。</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5450</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5450</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试剂运送车</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辆</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 xml:space="preserve">1.规格：单扶手/两层/无抽屉；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2.层数：2层；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3.护栏：双层均带护栏；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4.滑轮：TPR材质静音轮；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●5.车身材质：ABS塑料，不锈钢；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6.车身颜色：蓝色；</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7.外形尺寸：540mm*370mm*900mm±10mm；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8.重量：约11kg。</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654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654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微波炉</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1.主体颜色：银色</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2.操作方式：微电脑式</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3.底盘类型：平板式</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4.内胆材质：不锈钢</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5.容量：约25L</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6.功能：光波功能，烧烤功能，预约功能，童锁功能</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▲7.微波功率800-1100w</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8.烧烤功率800-1000w</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9.门锁类型手拉式</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10.规格参数：额定电压220V，额定频率50Hz；内腔尺寸：约197mmx340mmx333mm;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11.加热：900w；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12.包装清单：微波炉x1台、烤架x1个、说明书及保修卡x各1张。</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389.13</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389.13</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小型混匀器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1.电源：AC220V 50HZ；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2.整机电流：＜130mA；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3.功耗：30w；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4.振动频率：＞2000次；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5.振幅：＞6mm。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580</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580</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电动投影幕布</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120寸16:10电动幕带无线遥控：                                                                                                                                                                              1.增益可调(2.0-3.0)；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2.高对比度，完整256灰阶 (白/灰)；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●3.色温5000-6500K；</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4.RGB比例准确1:1:1；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5.增益/视角比平衡3.0增益55度视角；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6.无任何物理和化学拼接，整张板材；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7.幕面喷涂技术:数控喷涂；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8.幕面喷涂均匀度:99%；</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9.核心材料:"还原-结晶体"；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10.适应明亮环境；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11.材料制作工艺:PVC复合压制；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12.涂层表面可清水冲洗。</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844.06</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1688.12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音箱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1.喇叭单元：LF：1×10″，HF：1×1″；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2.额定阻抗：8Ω；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3.额定功率：300W；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4.灵 敏 度：94dB±3dB 1w/1m；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5.最大声压： 116±3dB；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6.频率响应： 45HZ-20KHZ；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7.材质：木质；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8.产品净重约： 14KG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9.产品尺寸约：330（前宽）×200（后宽）×280（深度）×490（高度）mm。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813.62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9763.44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功放</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1.采用配对大功率管作输出，卡包功放；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2.双混响芯片，MP3+蓝牙功能，自动抑制啸叫功能；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3.采用电磁屏蔽环形变压器供电；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4.采用数码混响IC，话筒有立体声效果、卡拉OK杜比降噪系统；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5.本机设有安全保护系统，自动故障检测功能；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6.温控无极变速风扇；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7.输出功率/8Ω：150W*2；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8.输出功率/4Ω：260W*2；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9.频率响应：20-20KHz；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●10.信噪比：70db；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11.输入灵敏度：mic:12mV  MUSIC:300mV；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12.重量约：14KG；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13.尺寸约：486*350*132mm。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1641.01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9846.06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一拖四无线麦克风</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一、功能要求：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1.采用ID码导频技术，ID随机码16位，能解决同频、串频现象；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2.系统采用数字音码锁定技术，能阻隔环境中信号干扰；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3.接收机采用全金属机身，标准1U高度，配置挂耳可安装于标准机柜；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●4.接收机采用四通道UHF无线通信，每个通道150个频点可选，可切换频点总数600个；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5.采用彩色TFT显示屏，能调节菜单功能；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6.发射器采用LCD显示屏，可实时反馈系统工作状态，可实时反馈系统工作状态，可显示电池电量、信号强度、工作频率；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7.内设自动扫频功能，可选出频点；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8.接收机音频信号输出口总数6个，1*6.3mm混合输出，1*XLR混合平衡输出，4*XLR通道平衡输出；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9.配置：主机*1+桌面鹅颈麦克风*4。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二、技术参数：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1.频率范围：610-690MHz(±0.1MHz)；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2.信噪比95±5dBu@A计权；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3.有效无线传输距离150m（空旷距离）；</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4.每个通道150个频点可选；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5.动态范围：90dB；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6.失真度：&lt;0.5%；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7.频率响应：30-20KHz/±2dB；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8.信噪比：90dB；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9.接收灵敏度：-95dBm；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10.电源供应：DC12V-18V 1.5A；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11.音频输出接口6个：1*6.3mm混合输出，1*XLR混合平衡输出，4*XLR通道平衡输出；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12.主机尺寸（长*宽*高）约：420.4x188x45mm；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13.主机重量约：1270g。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三、桌面无线话筒：</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1.频率切换：红外同步；</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2.发射功率：20mW；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3.调製方式：DQPSK；</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4.高次谐波：低于主波基准40dB以上；</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5.使用电池：1.5V AA电池3节；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6.连续使用时间：&gt;10小时；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7.尺寸约：156.5x116.3x68.5mm；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8.重量约：800g；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9.鹅颈咪杆长度约：426mm。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四、手持无线麦克风：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1.载波频段：UHF640-690MHz可选；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2.频宽：50MHz；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3.频率切换：红外线同步；</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4.输出功率：30mW；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5.谐波辐射：&lt;-50dBc；</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6.使用电池：1.5V AA电池2节；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7.电池使用时间：&gt;8小时。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1060.59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4242.36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设备机柜</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tabs>
                <w:tab w:val="center" w:pos="4153"/>
                <w:tab w:val="right" w:pos="8306"/>
              </w:tabs>
              <w:snapToGrid w:val="0"/>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1.规格约：宽 600mm×深 600mm×高 1000mm；标高 42U，单条安装立柱提供上、中、下 3 个固定点；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2.材料：主框架采用标准六立柱框架结构，机柜选冷轧钢板材料，承重部件安装（立柱、托板、L 型托架）材料厚度≥2.0mm，前、后门板材料厚度≥1.2mm；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3.结构：框架式标准六立柱结构，支持进线方式，配置侧密闭气流遏制组件。前、后门网孔设计，透风率高达 72%以上；</w:t>
            </w:r>
          </w:p>
          <w:p>
            <w:pPr>
              <w:numPr>
                <w:ilvl w:val="0"/>
                <w:numId w:val="1"/>
              </w:numPr>
              <w:snapToGrid w:val="0"/>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屏蔽网线1箱</w:t>
            </w:r>
            <w:r>
              <w:rPr>
                <w:rFonts w:hint="eastAsia" w:ascii="宋体" w:hAnsi="宋体" w:cs="宋体"/>
                <w:color w:val="auto"/>
                <w:szCs w:val="21"/>
              </w:rPr>
              <w:t>（≥305米/箱）</w:t>
            </w:r>
            <w:r>
              <w:rPr>
                <w:rFonts w:hint="eastAsia" w:ascii="宋体" w:hAnsi="宋体" w:cs="宋体"/>
                <w:color w:val="auto"/>
                <w:kern w:val="0"/>
                <w:szCs w:val="21"/>
                <w:lang w:bidi="ar"/>
              </w:rPr>
              <w:t>：采用4对双绞线结构，8根线芯，每两根线芯相互缠绕形成一个线对，分别为橙白/橙、绿白/绿、蓝白/蓝、棕白/棕；</w:t>
            </w:r>
          </w:p>
          <w:p>
            <w:pPr>
              <w:spacing w:after="0" w:line="440" w:lineRule="atLeast"/>
              <w:rPr>
                <w:rFonts w:hint="eastAsia" w:ascii="宋体" w:hAnsi="宋体" w:cs="宋体"/>
                <w:color w:val="auto"/>
                <w:kern w:val="0"/>
                <w:szCs w:val="21"/>
                <w:lang w:bidi="ar"/>
              </w:rPr>
            </w:pPr>
            <w:r>
              <w:rPr>
                <w:rFonts w:hint="eastAsia" w:ascii="宋体" w:hAnsi="宋体" w:cs="宋体"/>
                <w:color w:val="auto"/>
                <w:kern w:val="0"/>
                <w:szCs w:val="21"/>
                <w:lang w:bidi="ar"/>
              </w:rPr>
              <w:t>5.音频线300米：接口：卡侬头音频线，线规：20 - 24AWG，导体：无氧铜，屏蔽：具有屏蔽设计；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6.窗帘24米：尺寸约：2400cm*280cm，包括窗帘杆等五金件及安装。</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4558.06</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9116.12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pPr>
              <w:spacing w:after="0" w:line="440" w:lineRule="atLeast"/>
              <w:rPr>
                <w:rFonts w:hint="eastAsia" w:ascii="宋体" w:hAnsi="宋体" w:cs="宋体"/>
                <w:color w:val="auto"/>
                <w:szCs w:val="21"/>
              </w:rPr>
            </w:pPr>
            <w:r>
              <w:rPr>
                <w:rFonts w:hint="eastAsia" w:ascii="宋体" w:hAnsi="宋体" w:cs="宋体"/>
                <w:b/>
                <w:color w:val="auto"/>
                <w:szCs w:val="21"/>
              </w:rPr>
              <w:t>商务条款</w:t>
            </w:r>
          </w:p>
        </w:tc>
        <w:tc>
          <w:tcPr>
            <w:tcW w:w="9288" w:type="dxa"/>
            <w:gridSpan w:val="8"/>
            <w:tcBorders>
              <w:top w:val="single" w:color="auto" w:sz="4" w:space="0"/>
              <w:left w:val="single" w:color="auto" w:sz="4" w:space="0"/>
              <w:bottom w:val="single" w:color="auto" w:sz="4" w:space="0"/>
              <w:right w:val="single" w:color="auto" w:sz="4" w:space="0"/>
            </w:tcBorders>
          </w:tcPr>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1.合同签订要求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（1）中标人自中标通知书发出之日起25日内与采购人签订合同。</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（2）中标人不得将项目转包，如发现有转包行为，采购人有权按中标候选人推荐顺序确定中标人，也可以重新组织采购。</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2.交付要求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szCs w:val="21"/>
              </w:rPr>
              <w:t>▲</w:t>
            </w:r>
            <w:r>
              <w:rPr>
                <w:rFonts w:hint="eastAsia" w:ascii="宋体" w:hAnsi="宋体" w:cs="宋体"/>
                <w:color w:val="auto"/>
                <w:kern w:val="0"/>
                <w:szCs w:val="21"/>
                <w:lang w:bidi="ar"/>
              </w:rPr>
              <w:t>（1）交付时间：自合同签订之日起30个工作日内将货物运至采购人指定地点，并完成安装调试。（2）交付地点：</w:t>
            </w:r>
            <w:r>
              <w:rPr>
                <w:rStyle w:val="39"/>
                <w:rFonts w:hint="eastAsia" w:ascii="宋体" w:hAnsi="宋体" w:cs="宋体"/>
                <w:color w:val="auto"/>
                <w:kern w:val="0"/>
                <w:lang w:bidi="ar"/>
              </w:rPr>
              <w:t>广西医科大学武鸣校区，</w:t>
            </w:r>
            <w:r>
              <w:rPr>
                <w:rFonts w:hint="eastAsia" w:ascii="宋体" w:hAnsi="宋体" w:cs="宋体"/>
                <w:color w:val="auto"/>
                <w:kern w:val="0"/>
                <w:szCs w:val="21"/>
                <w:lang w:bidi="ar"/>
              </w:rPr>
              <w:t>采购人指定地点。</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中标人提供不符合合同规定的货物/服务，采购人有权拒绝接受。中标人应根据货物不同的特性和要求采取防潮、防雨、防锈、防震、防腐等保护措施，以保证货物安全无损地到达采购人指定地点，中标人应承担因包装不当导致交付的合同标的物受损的责任。</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安装调试：中标人负责在采购人指定的时间内，按照要求完成货物的安装调试。中标人应严格遵守安全法律法规，采取安全保障措施，保证人员安全。因中标人原因造成的人员伤亡和财产损失，均由中标人承担。</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（5）中标人应将所提供货物的装箱清单、用户手册、原厂保修卡、随机资料、工具和备品、备件等一并进行交付，如有缺失应及时补齐，否则视为逾期交货。</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3.验收方法及要求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（1）中标人按要求完成交付后，应以书面形式正式向采购人递交验收申请书，采购人收到验收申请书后，按照采购人单位规定流程组织项目验收。</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验收内容应按照合同内容逐项进行验收，包括但不限于全部设备、产品、型号、规格、数量、外型、外观、包装及资料、文件（如装箱单、保修单、随箱介质等）/各项服务等里程碑的交付物，所提供的货物/服务是否符合本合同要求，如符合，则认为验收合格，采购人应在验收单上签字确认；如不符合，双方均有权向相关部门申请鉴定，鉴定费由中标人承担，验收结果以采购人签署的验收证明为准。</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（3）在验收过程中发现中标人有违约问题，暂缓资金结算，待违约问题解决后，方可办理资金结算事宜，在此期间，采购人不承担逾期付款责任。</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kern w:val="0"/>
                <w:szCs w:val="21"/>
                <w:lang w:bidi="ar"/>
              </w:rPr>
              <w:t>（4）</w:t>
            </w:r>
            <w:r>
              <w:rPr>
                <w:rFonts w:hint="eastAsia" w:ascii="宋体" w:hAnsi="宋体" w:cs="宋体"/>
                <w:color w:val="auto"/>
                <w:szCs w:val="21"/>
              </w:rPr>
              <w:t>如国家法律法规对产品有强制性认证的要求，中标供应商验收时提交产品有效的强制性认证证明材料</w:t>
            </w:r>
            <w:r>
              <w:rPr>
                <w:rFonts w:hint="eastAsia" w:ascii="宋体" w:hAnsi="宋体" w:cs="宋体"/>
                <w:color w:val="auto"/>
                <w:kern w:val="0"/>
                <w:szCs w:val="21"/>
                <w:lang w:bidi="ar"/>
              </w:rPr>
              <w:t>（技术要求中有特别要求的按特别要求）</w:t>
            </w:r>
            <w:r>
              <w:rPr>
                <w:rFonts w:hint="eastAsia" w:ascii="宋体" w:hAnsi="宋体" w:cs="宋体"/>
                <w:color w:val="auto"/>
                <w:szCs w:val="21"/>
              </w:rPr>
              <w:t>。</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4.培训要求</w:t>
            </w:r>
          </w:p>
          <w:p>
            <w:pPr>
              <w:widowControl/>
              <w:spacing w:after="0" w:line="440" w:lineRule="atLeast"/>
              <w:ind w:firstLine="210" w:firstLineChars="100"/>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提供设备使用相关技术的培训；培训不少于5天。</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5.支付要求</w:t>
            </w:r>
          </w:p>
          <w:p>
            <w:pPr>
              <w:widowControl/>
              <w:snapToGrid w:val="0"/>
              <w:spacing w:after="0" w:line="400" w:lineRule="exact"/>
              <w:ind w:firstLine="420" w:firstLineChars="200"/>
              <w:jc w:val="left"/>
              <w:textAlignment w:val="auto"/>
              <w:rPr>
                <w:rFonts w:hint="eastAsia" w:ascii="宋体" w:hAnsi="宋体" w:cs="宋体"/>
                <w:b/>
                <w:bCs/>
                <w:color w:val="auto"/>
                <w:kern w:val="0"/>
                <w:szCs w:val="21"/>
                <w:lang w:bidi="ar"/>
              </w:rPr>
            </w:pPr>
            <w:r>
              <w:rPr>
                <w:rFonts w:hint="eastAsia" w:ascii="宋体" w:hAnsi="宋体" w:cs="宋体"/>
                <w:color w:val="auto"/>
                <w:szCs w:val="21"/>
              </w:rPr>
              <w:t>自签订合同之日起十个工作日内，采购人支付合同款总额30%作为预付款，货物交付并验收合格，中标人提供相应金额真实、合法、有效的正式发票后，采购人十个工作日内支付剩余款项。</w:t>
            </w:r>
            <w:r>
              <w:rPr>
                <w:rFonts w:hint="eastAsia" w:ascii="宋体" w:hAnsi="宋体"/>
                <w:color w:val="auto"/>
                <w:szCs w:val="21"/>
              </w:rPr>
              <w:t>【乙方应提供货款全额的发票（货物采购须开具增值税专用发票）】。</w:t>
            </w:r>
            <w:r>
              <w:rPr>
                <w:rFonts w:hint="eastAsia" w:ascii="宋体" w:hAnsi="宋体" w:cs="宋体"/>
                <w:color w:val="auto"/>
                <w:kern w:val="0"/>
                <w:szCs w:val="21"/>
              </w:rPr>
              <w:t xml:space="preserve">  </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6.售后服务要求</w:t>
            </w:r>
          </w:p>
          <w:p>
            <w:pPr>
              <w:tabs>
                <w:tab w:val="center" w:pos="4680"/>
                <w:tab w:val="right" w:pos="9360"/>
              </w:tabs>
              <w:snapToGrid w:val="0"/>
              <w:spacing w:after="0" w:line="440" w:lineRule="atLeast"/>
              <w:jc w:val="left"/>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1）按国家有关产品“三包”规定执行“三包”，质保不少于5年（技术要求中有特别要求的按特别要求）。自设备验收合格并能正常使用之日算起。如投标文件中提供产品生产厂家对质保期的承诺，与投标人承诺不一致的，以生产厂家承诺为准</w:t>
            </w:r>
            <w:r>
              <w:rPr>
                <w:rFonts w:hint="eastAsia" w:ascii="宋体" w:hAnsi="宋体" w:cs="宋体"/>
                <w:color w:val="auto"/>
                <w:szCs w:val="21"/>
              </w:rPr>
              <w:t>。</w:t>
            </w:r>
          </w:p>
          <w:p>
            <w:pPr>
              <w:tabs>
                <w:tab w:val="center" w:pos="4680"/>
                <w:tab w:val="right" w:pos="9360"/>
              </w:tabs>
              <w:snapToGrid w:val="0"/>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（2）</w:t>
            </w:r>
            <w:r>
              <w:rPr>
                <w:rFonts w:hint="eastAsia" w:ascii="宋体" w:hAnsi="宋体" w:cs="宋体"/>
                <w:color w:val="auto"/>
                <w:szCs w:val="21"/>
              </w:rPr>
              <w:t>质保期内，中标人负责更换所有设备维修配件，更换的零配件为原厂全新零配件。</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r>
              <w:rPr>
                <w:rFonts w:hint="eastAsia" w:ascii="宋体" w:hAnsi="宋体" w:cs="宋体"/>
                <w:color w:val="auto"/>
                <w:szCs w:val="21"/>
              </w:rPr>
              <w:t>在接到电话通知后，4小时内做出响应，24小时内到达维修现场。一般问题应在48小时内解决，重大问题或其它无法迅速解决的问题应在一周内解决，若出现问题无法解决，二个工作日内提供与原设备技术参数要求相同或高于原设备技术参数要求的备用产品，以保证采购人的正常工作。</w:t>
            </w:r>
          </w:p>
          <w:p>
            <w:pPr>
              <w:numPr>
                <w:ilvl w:val="255"/>
                <w:numId w:val="0"/>
              </w:numPr>
              <w:tabs>
                <w:tab w:val="center" w:pos="4153"/>
                <w:tab w:val="right" w:pos="8306"/>
              </w:tabs>
              <w:snapToGrid w:val="0"/>
              <w:spacing w:after="0" w:line="440" w:lineRule="atLeast"/>
              <w:jc w:val="left"/>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7.报价要求</w:t>
            </w:r>
          </w:p>
          <w:p>
            <w:pPr>
              <w:spacing w:after="0" w:line="440" w:lineRule="atLeast"/>
              <w:rPr>
                <w:rFonts w:hint="eastAsia" w:ascii="宋体" w:hAnsi="宋体" w:cs="宋体"/>
                <w:color w:val="auto"/>
                <w:szCs w:val="21"/>
              </w:rPr>
            </w:pPr>
            <w:r>
              <w:rPr>
                <w:rFonts w:hint="eastAsia" w:ascii="宋体" w:hAnsi="宋体" w:cs="宋体"/>
                <w:color w:val="auto"/>
                <w:szCs w:val="21"/>
              </w:rPr>
              <w:t>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r>
              <w:rPr>
                <w:rFonts w:hint="eastAsia" w:ascii="宋体" w:hAnsi="宋体" w:cs="宋体"/>
                <w:color w:val="auto"/>
                <w:sz w:val="21"/>
                <w:szCs w:val="21"/>
                <w:lang w:eastAsia="zh-CN"/>
              </w:rPr>
              <w:t>。</w:t>
            </w:r>
            <w:r>
              <w:rPr>
                <w:rFonts w:hint="eastAsia" w:ascii="宋体" w:hAnsi="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b/>
                <w:color w:val="auto"/>
                <w:szCs w:val="21"/>
              </w:rPr>
            </w:pPr>
            <w:r>
              <w:rPr>
                <w:rFonts w:hint="eastAsia" w:ascii="宋体" w:hAnsi="宋体" w:cs="宋体"/>
                <w:b/>
                <w:bCs/>
                <w:color w:val="auto"/>
                <w:szCs w:val="21"/>
              </w:rPr>
              <w:t>其他说明</w:t>
            </w:r>
          </w:p>
        </w:tc>
        <w:tc>
          <w:tcPr>
            <w:tcW w:w="9288" w:type="dxa"/>
            <w:gridSpan w:val="8"/>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1.进口产品说明：本项目货物不接受进口产品（即通过中国海关报关验放进入中国境内且产自关境外的产品）参与投标，如有进口产品参与投标的作无效标处理。</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2.核心产品：本项目的核心产品为“需求一览表”中第</w:t>
            </w:r>
            <w:r>
              <w:rPr>
                <w:rFonts w:hint="eastAsia" w:ascii="宋体" w:hAnsi="宋体" w:cs="宋体"/>
                <w:color w:val="auto"/>
                <w:szCs w:val="21"/>
                <w:u w:val="single"/>
              </w:rPr>
              <w:t xml:space="preserve"> 20  </w:t>
            </w:r>
            <w:r>
              <w:rPr>
                <w:rFonts w:hint="eastAsia" w:ascii="宋体" w:hAnsi="宋体" w:cs="宋体"/>
                <w:color w:val="auto"/>
                <w:szCs w:val="21"/>
              </w:rPr>
              <w:t>项标的产品：</w:t>
            </w:r>
            <w:r>
              <w:rPr>
                <w:rFonts w:hint="eastAsia" w:ascii="宋体" w:hAnsi="宋体" w:cs="宋体"/>
                <w:color w:val="auto"/>
                <w:szCs w:val="21"/>
                <w:u w:val="single"/>
              </w:rPr>
              <w:t xml:space="preserve"> 酶标仪(固定波长) </w:t>
            </w:r>
            <w:r>
              <w:rPr>
                <w:rFonts w:hint="eastAsia" w:ascii="宋体" w:hAnsi="宋体" w:cs="宋体"/>
                <w:color w:val="auto"/>
                <w:szCs w:val="21"/>
              </w:rPr>
              <w:t>。</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3.中标人未按规定的时间完成合同履约，导致采购人损失的，采购人有权单方面终止合同，所造成的损失由中标人承担。</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4.中标人提供的货物或服务如侵犯了第三方合法权益而引发的任何纠纷或诉讼，均由中标人负责交涉且承担全部赔偿责任，包括因知识产权造成采购人的经济损失。</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5.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tc>
      </w:tr>
    </w:tbl>
    <w:p>
      <w:pPr>
        <w:rPr>
          <w:rFonts w:hint="eastAsia" w:ascii="宋体" w:hAnsi="宋体" w:cs="宋体"/>
          <w:b/>
          <w:bCs/>
          <w:color w:val="auto"/>
          <w:sz w:val="24"/>
        </w:rPr>
      </w:pPr>
    </w:p>
    <w:p>
      <w:pPr>
        <w:widowControl/>
        <w:jc w:val="left"/>
        <w:rPr>
          <w:rFonts w:hint="eastAsia" w:ascii="宋体" w:hAnsi="宋体" w:cs="宋体"/>
          <w:b/>
          <w:bCs/>
          <w:color w:val="auto"/>
          <w:sz w:val="24"/>
        </w:rPr>
      </w:pPr>
      <w:r>
        <w:rPr>
          <w:rFonts w:hint="eastAsia" w:ascii="宋体" w:hAnsi="宋体" w:cs="宋体"/>
          <w:b/>
          <w:bCs/>
          <w:color w:val="auto"/>
          <w:sz w:val="24"/>
        </w:rPr>
        <w:br w:type="page"/>
      </w:r>
    </w:p>
    <w:p>
      <w:pPr>
        <w:spacing w:line="428" w:lineRule="exact"/>
        <w:ind w:left="119"/>
        <w:outlineLvl w:val="0"/>
        <w:rPr>
          <w:rFonts w:hint="eastAsia" w:ascii="宋体" w:hAnsi="宋体" w:cs="宋体"/>
          <w:b/>
          <w:bCs/>
          <w:color w:val="auto"/>
          <w:sz w:val="24"/>
        </w:rPr>
      </w:pPr>
      <w:r>
        <w:rPr>
          <w:rFonts w:hint="eastAsia" w:ascii="宋体" w:hAnsi="宋体" w:cs="宋体"/>
          <w:b/>
          <w:bCs/>
          <w:color w:val="auto"/>
          <w:sz w:val="24"/>
        </w:rPr>
        <w:t>标项四</w:t>
      </w:r>
    </w:p>
    <w:tbl>
      <w:tblPr>
        <w:tblStyle w:val="26"/>
        <w:tblW w:w="97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500"/>
        <w:gridCol w:w="700"/>
        <w:gridCol w:w="750"/>
        <w:gridCol w:w="641"/>
        <w:gridCol w:w="4050"/>
        <w:gridCol w:w="823"/>
        <w:gridCol w:w="941"/>
        <w:gridCol w:w="8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59" w:type="dxa"/>
            <w:vMerge w:val="restart"/>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需求一览表</w:t>
            </w:r>
          </w:p>
        </w:tc>
        <w:tc>
          <w:tcPr>
            <w:tcW w:w="50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序号</w:t>
            </w:r>
          </w:p>
        </w:tc>
        <w:tc>
          <w:tcPr>
            <w:tcW w:w="70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标的名称</w:t>
            </w:r>
          </w:p>
        </w:tc>
        <w:tc>
          <w:tcPr>
            <w:tcW w:w="7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数量</w:t>
            </w:r>
          </w:p>
        </w:tc>
        <w:tc>
          <w:tcPr>
            <w:tcW w:w="641"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单位</w:t>
            </w:r>
          </w:p>
        </w:tc>
        <w:tc>
          <w:tcPr>
            <w:tcW w:w="4050" w:type="dxa"/>
            <w:tcBorders>
              <w:top w:val="single" w:color="auto" w:sz="4" w:space="0"/>
              <w:left w:val="single" w:color="auto" w:sz="4" w:space="0"/>
              <w:bottom w:val="single" w:color="auto" w:sz="4" w:space="0"/>
              <w:right w:val="single" w:color="auto" w:sz="4" w:space="0"/>
            </w:tcBorders>
            <w:vAlign w:val="center"/>
          </w:tcPr>
          <w:p>
            <w:pPr>
              <w:spacing w:after="0" w:line="440" w:lineRule="atLeast"/>
              <w:jc w:val="center"/>
              <w:rPr>
                <w:rFonts w:hint="eastAsia" w:ascii="宋体" w:hAnsi="宋体" w:cs="宋体"/>
                <w:b/>
                <w:bCs/>
                <w:color w:val="auto"/>
                <w:szCs w:val="21"/>
              </w:rPr>
            </w:pPr>
            <w:r>
              <w:rPr>
                <w:rFonts w:hint="eastAsia" w:ascii="宋体" w:hAnsi="宋体" w:cs="宋体"/>
                <w:b/>
                <w:bCs/>
                <w:color w:val="auto"/>
                <w:szCs w:val="21"/>
              </w:rPr>
              <w:t>技术参数及配置</w:t>
            </w:r>
          </w:p>
        </w:tc>
        <w:tc>
          <w:tcPr>
            <w:tcW w:w="82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分项预算（元）</w:t>
            </w:r>
          </w:p>
        </w:tc>
        <w:tc>
          <w:tcPr>
            <w:tcW w:w="941"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分项预算合计（元）</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中小企业划分标准所属行业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双屏软件系统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 xml:space="preserve">1.全媒体教学板：满足教师使用各种素材混合教学，支持将各种类型的多个文件在同一教学板中打开，支持随意拖动，放大缩小，批注，全屏，墙钉等操作；支持USB本地摄像头、网络摄像头画面在全媒体板调用；支持小组屏画面在全媒体板调用；支持师生共享文件在全媒体板快速打开;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2.双板教学：当教师大屏有扩展触摸屏时，支持全媒体板中进行双板教学，各种教学资料可以在主副屏之间拖动或甩动； 主副屏可以展示不同的课件内容，也可以一屏展示课件，另一屏启用板书，主副屏支持独立的画笔，截图，录制等工具；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3.PPT教学：全媒体教学板中支持原PPT动画效果播放，保留原有的版式、内容、动画等；支持批注内容保存原笔迹同步翻页；支持PPT预览功能，快速跳转翻页；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4.双板教学时，PPT支持联动，复制，单屏三种教学模式，联动模式下，主副屏分别显示当前PPT页和最近一次点击的PPT页，复制模式下，主副屏同时显示当前PPT页，单屏模式下，主屏显示PPT，副屏不显示;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5.思维导图：思维导图模块支持编辑主题和子主题以及分支内容 ，可以插入图片，word，excel，ppt，PDF，音视频文件等不同格式文件，并支持编号，方便文件梳理，有序授课，学生也更容易理解授课脉络，更易理解和记忆上课内容；支持在教室主屏或副屏间打开思维导图</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6.具备功能：支持画板，放大镜，聚光灯，截图，录屏等辅助功能。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4745.57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14236.71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移动支架</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1.适应机型：65吋-86吋；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2.承重：≥100KG；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3.产品重量约：20KG；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4.包装尺寸约：1234*796*152（mm）。</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876.75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14028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智慧教学系统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（一）教室端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1.智慧教学系统应包含教师端、学生端，支持PC端、移动端的应用，满足笔记本、平板电脑和手机各种终端设备使用；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考勤签到：进入课堂后，学生在同一无线局域网才能签到，其他网络范围无法签到。支持教师主屏实时显示已签到/未签到的学生名单及学生的在线/离线的连接状态。支持教师查看每个学生的出勤率，并导出考勤记录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3.学生展示：支持≥50个学生端画面投屏到教室主屏，教师可同时选择≥4个学生端画面进行对比展示，支持学生端在展示的同时进行批注操作；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4.小组展示：支持多个小组屏投屏到教室主屏进行对比展示，支持小组屏广播到教室主屏及其他小组屏；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5.屏幕共享：支持教室主屏或教室副屏上的内容广播至小组屏，学生可通过小组屏清晰完整的看到教室主屏的讲解内容；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6.课堂互动：支持抽答、抢答、主观题、单选题、多选题，判断题、随堂测试等多种互动功能；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7.分组研讨：可以实现各小组屏快速对教师下发的讨论主题进行讨论，讨论方法支持小组投屏、动态批注、摄像头调取、屏幕录制、思维导图总结等；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8.成果展示：支持教师通过教室主屏或教师移动端调取一个或多个小组屏到教室主屏上进行成果展示和批注，并支持将该小组屏广播到其他小组屏上进行同步展示；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9.远程控制：支持教师通过移动设备远程控制教室主屏，支持鼠标移动、单击、双击、右键等功能；支持打开文件并远端直接编辑文件；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10.动态批注：支持教师动态的在教学主屏和小组屏上对讨论内容（包含图片、视频、APP等）进行批注，并可以将批注的书写过程同步到所有学生端；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PPT预览与跳转：教学主屏和小组屏打开PPT时，需提供PPT的跳转入口，执行后在当前放映幻灯片中可浮现所有幻灯片的预览图，上下滑动可以预览所有幻灯片，单击某一张幻灯片的预览图则跳转到对应幻灯片中播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PPT连动与复制：播放PPT时，支持双屏同步显示，也支持一屏播放PPT，另一屏显示PPT上一页的内容，且保持PPT原有的版式、内容、动画效果一致，当PPT播放到下一页/切换到上一页后，另一屏屏幕内容会自动跟随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13.思维导图：支持思维导图功能，思维导图中每个节点可以插入图片、视频、PPT等文件。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（二）教师移动端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1.支持移动设备远程控制电子白板、一体机、电脑等，支持鼠标移动、单击、双击、右键等功能；支持打开文件并远端直接编辑文件；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2.支持一键将课堂教学内容录制成标准的视频文件，包括白板板书、大屏图像、课堂实况、教师语音等，方便学生课后复习；</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3.支持移动端直接批注教室主屏内容；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4.支持将教师移动端中的PPT文件直接在大屏上打开，无需拷贝文件至教室主屏，并全屏播放，也可在移动端关闭全屏播放及关闭PPT文件；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5.支持教师通过手势左右滑动控制PPT上下翻页或通过按键控制PPT上下翻页；且支持移动端显示PPT全部页面的缩略图，可快速通过定位略缩图将大屏PPT翻页至指定页面；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6.支持移动展台功能，教师可将课本、试卷等教学资料通过移动设备拍照上传至教室主屏讲解；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7.支持移动端设备摄像头随时分享和直播学生学习过程；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8.支持移动端设备的界面无线投屏至大屏，移动端设备所有操作都可在教师主屏上显示；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9.可将移动端设备的文件无线上传教室主屏指定文件夹内，也可将教室主屏文件下载至移动端设备端指定文件夹；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10.支持基本辅助工具，包括荧光笔、聚光灯、放大镜等，荧光笔颜色、聚光灯大小及放大镜。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（三）学生端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1.屏幕共享：支持接受教师发起的各种屏幕广播；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2.学生投屏：支持学生端飞屏到教师主屏，小组屏，能展示学习成果；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3.文件共享：支持和教师主屏，小组屏，班级成员，小组成员之间共享文件；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4.课堂互动：支持参与抢答，抽答等课堂互动教学；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5.学生提问：支持学生在课堂中向教师主屏及时发送弹幕向老师提问。</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33303.57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99910.71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分组研讨教学系统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1.支持画笔功能，可在屏幕或课件上进行批注；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2.支持截屏、屏幕录制功能；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3.支持小组成员之间共享文件功能；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4.支持多文档同时打开功能；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5.支持word、ppt、pdf、视频等多种文件格式；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6.支持≥4个学生端同时向小组屏飞屏，可对学生投屏内容进行批注，支持小组投屏内容在教师主屏上呈现；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7.学生端支持作业拍照上传到小组屏上讨论功能；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8.分组研讨系统需支持windows系统和安卓系统安装包。</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3873.57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61977.12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无线麦克风</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▲1.采用UHF数字调制和无线抗干扰编码技术。投标人须在投标文件中提供能佐证满足以上要求的相关证明材料复印件并加盖投标人公章，否则投标无效。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2.接收机和充电底座采用一体化设计，话筒插入充电座即可自动完成配对，开机即用；</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3.无线话筒采用直插式桌面充电器充电方式，具有充电提醒及保护功能；</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4.无线话筒具有翻页笔和激光笔功能；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5.收发频率： 470MHz - 510MHz；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6.频率响应范围：20Hz-20KHz（±3dB）；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7.综合信噪比：≥85dB；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▲8.充电底座具有物理解锁按键。投标人须在投标文件中提供能佐证满足以上要求的相关证明材料复印件并加盖投标人公章，否则投标无效。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▲9.提供远程统一管理软硬件接口，配合中控可以做到上课可以开锁，下课后话筒插入底座后自动锁死。投标人须在投标文件中提供能佐证满足以上要求的相关证明材料复印件并加盖投标人公章，否则投标无效。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10.通过中控可以远程获知和管理话筒当前状态、电池电量及未归还提醒等功能。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2800.55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8401.65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吊装麦克风</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1.频率范围：20Hz-20KHz；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2.灵敏度：≥-35dB（18mV/Pa）；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3.指向性：超心型；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4.最大声压级：≥135dB；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5.信噪比：≥75dB；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6.供电电压：48V幻象电源供电；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7.抗手机、电磁、高频干扰；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8.内部嵌入数字麦克风软件。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1518.71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10630.97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液晶控制面板</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1.要求≥7寸电容液晶触控屏，分辨率800x400，支持≥16位色彩显示，支持定制UI。触屏软件能够不依赖于网络进行现场升级，升级过程无需对面板进行拆卸，通过存储卡即可进行升级，触控屏支持按键音反馈；</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2.触控液晶面板支持集成红外收发模块以及麦克风输入模块，支持红外学习和红外控制，IP对讲时的音频信号可采集；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3.液晶面板界面支持功能分组显示，可以选择显示不同的功能模块菜单；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▲4.提供中英文UI， UI主页和屏保画面可以定制学校校徽显示，支持实时时钟显示，可以根据采购人需要添加学校Logo以及屏保画面。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5.支持自动息屏功能，长时间无操作，即关闭屏幕显示，点击屏幕，则重新唤醒屏幕显示；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6.支持一键上课、下课按键，上下课过程中，按键闪烁，直至完成全部操作, 支持二维码扫码登录；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7.内置控制软件，具有可编程功能，可实现采购人定制化需求。</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1874.92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5624.76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一体化超融合终端</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1.采用集成度一体化设计，设备高度≤1.5U，所有教学功能系统采用一颗高性能嵌入式芯片、一块核心板卡的设计。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2.支持升级扩展投屏模块、音视频广播模块，系统采用直通散热设计。主机和触控液晶面板采用分体式设计；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集成高清视频矩阵功能，支持≥4路HDMI输入接口，≥1路VGA输入接口，≥4路HDMI输出接口，≥1路HDBaseT输出接口或网络传输接口，≥4路USB接口，≥1路USB声卡接口（所有接口均为原始物理接口，须为设备机身原生内置固化功能，无需外接扩展坞、外置转换模块、外置配件及外接辅助设备即可实现全部要求性能，拒绝采用任何外置转换、外接扩展模块方式实现本项技术参数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4.支持接入笔记本信号检测并自动切换音视频到输出通道，视频矩阵每路输出接口既可以输出不同画面，也可以输出相同画面；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音频切换功能，具备≥3路音频输入，≥3路音频输出。（所有接口均为原始物理接口，设备机身原生内置固化功能，无需外接扩展坞、外置转换模块、外置配件及外接辅助设备即可实现全部要求性能，拒绝采用任何外置转换、外接扩展模块方式实现本项技术参数要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集成强电开关控制模块，提供≥3路功率为30A/250VAC交流供电输出。电源输出接口采用防脱插头，并具有防呆设计。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7.集成≥3路的弱电IO扩展接口；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8.支持≥3路RS-232，≥2路RS-485串行接口，支持+5V和+12V直流通断可控电源输出；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9.集成DSP音频处理器功能，具有≥3路有线麦克输入，提供可控48V幻象电源；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10.集成UHF数字调制无线麦克风接收功能，具备≥1路同品牌无线麦克风接口，有线麦克与无线麦克之间可自由切换；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11.采用数字功放；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▲12.内置自适应音频处理算法，在不同场地均能实现自动校准。音频技术指标要求：反馈抑制（AFC）：传声增益提升幅度：≥15dB；自动增益控制（AGC）：增益控制幅度：-12dB - +12dB。自适应背景降噪（ANS）：信噪比提升≥18dB ；回声消除（AEC）：回音消除尾音长度：≥512ms，回声消除幅度：≥ 60dB，收敛速度：≥ 60dB/S ；信噪比：≥95dB，信号处理延时&lt;8ms ；本地扩声声场不均匀度小于5dB；所有音频处理部分的频率响应： 20Hz-20kHz（±3dB）；投标人须在投标文件中提供能佐证满足以上要求的相关证明材料复印件并加盖投标人公章，否则投标无效。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▲13.功率放大器的输出功率：≥2*120W。投标人须在投标文件中提供能佐证满足以上要求的相关证明材料复印件并加盖投标人公章，否则投标无效。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14.具备自动混响抑制算法；</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15.具有≥1路升级串口；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系统支持通过一只吊装麦克风实现本地扩音和远程互动，本地扩音和远程互动能同时进行，并且相互不影响效果；本地扩音要求扩出来的声音清晰响亮、无啸叫；远程互动要求声音清晰、无噪声和回声，双端同时讲话无卡音、丢字、声音变小和失真现象。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17.具备智能降噪功能，智能识别和抑制背景常态噪音；</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18.控制系统支持以下几种方式登录：支持RFID卡登录、密码、远程登录、扫码登录；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19.集成网络交换功能，提供≥4个网络接入端口和≥1个SFP光口；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20.提供RFID读卡设备接口实现刷卡开关机；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21.中控管理平台是集成C/S架构和B/S架构，可以通过后台程序集中管理和通过客户端App进行点对点的操作；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22.实现定时开关功能，支持本地课表存储，可按课表自动执行系统开启和关闭，可脱网运行；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▲23.支持定时管理功能，可定时重启，支持本地升级和远程批量升级。投标人须在投标文件中提供能佐证满足以上要求的相关证明材料复印件并加盖投标人公章，否则投标无效。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24.可拓展物联控制功能，具有物联控制软件，</w:t>
            </w:r>
            <w:r>
              <w:rPr>
                <w:rFonts w:hint="eastAsia" w:ascii="宋体" w:hAnsi="宋体" w:cs="宋体"/>
                <w:color w:val="auto"/>
                <w:szCs w:val="21"/>
              </w:rPr>
              <w:t>可在教室控制屏上实现对教室智能灯光，智能窗帘和空调控制模块的控制。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9977.57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29932.71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音箱</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对</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1.频率响应：120Hz-20KHz（±3dB）；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2.额定阻抗：4-8Ω；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3.灵 敏 度：85-90dB；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4.匹配功率：15W-80W；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5.高音单元：1×1吋“丝膜高音”,低频单元：1×4.5吋；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6.接线端子：单线分音。</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1467.62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8805.72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4K录播一体机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录播主机采用一体化嵌入式硬件设计架构，内置不低于国产化八核处理器，Linux系统，≥8GB内存，≥2T硬盘。满足录制、直播、点播、互动、导播管理、存储、切换、视音频编码、语音转写、虚拟抠像、行为分析等功能，支持远程互动教学，实现远程互动网络课堂。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▲2.录播主机具有≥6英寸触控液晶屏幕，可显示设备运行状态信息，可通过触控方式设置设备基础信息。投标人须在投标文件中提供能佐证满足以上要求的相关证明材料复印件并加盖投标人公章，否则投标无效。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3.视频输入接口：支持≥4路HD BaseT接口，≥4路HDMI接口，其中HD BaseT技术可实现远距离4K超高清信号无压缩、无延时传输，一根网线即可完成供电、控制、传输；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4.视频输出接口：支持≥4路本地视频输出接口，包括2路HDMI接口（至少1路HDMI可自定义输出视频源和分辨率）和2路HDBaseT接口；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5.音频接口：支持≥2路本地音频信号采集接口；支持≥3路音频输出接口，其中至少2路凤凰端子输出接口，1路3.5mm输出接口；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6.支持≥2路100/1000Mbps自适应网口。支持双网卡，支持局域网（网络摄像机等设备的接入）和互联网彼此隔离，独立工作，互不影响；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7.支持≥1路TYPE-C接口；≥2路USB 3.0接口，支持连接鼠标、键盘进行导播控制以及主机连接U盘进行课程视频的录制、下载；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8.具有≥5路控制口，支持4路RS232接口和1路RS485接口，可支持对接第三方中控、物联等可编程软件，实现对设备的管控；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9.支持外接光驱刻录光盘，拷贝本地视频至光驱刻录；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10.视频编码：支持H.265和H.264两种视频编码协议，支持4K分辨率（3840*2160）视频的编码和录制；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11.支持IPV4、IPV6链路地址、IPV6外网地址三个网络地址配置，支持启用DHCP自动获取IP地址；</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12.主机内置散热风扇，可自定义主机风扇转速。</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15087.03</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45261.09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4K高清录播系统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numPr>
                <w:ilvl w:val="255"/>
                <w:numId w:val="0"/>
              </w:numPr>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系统支持账号密码登录，支持电影模式、资源模式等录制模式，支持≥1路电影模式加≥6路资源备份，可同时录制合成画面、教师全景、教师特写、学生全景、学生特写、板书画面、电脑画面；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▲2.录制格式支持MP4/FLV，录制分辨率支持3840*2160、1920*1080，支持录制帧率设定，可选择25fps/30fps。投标人须在投标文件中提供能佐证满足以上要求的相关证明材料复印件并加盖投标人公章，否则投标无效。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numPr>
                <w:ilvl w:val="0"/>
                <w:numId w:val="2"/>
              </w:numPr>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支持实时显示录播主机CPU的使用率，硬盘使用情况，不少于6路预监画面，可自定义通道预监画面名称；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4.要求导播模式支持视频预览、直播输出监视、视频切换等功能，其中鼠标拖动视频切换时支持导播小画面定位跟随；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5.支持添加字幕，支持包括系统时间在内的九种预设字幕的设置，其中系统时间支持自动校准。可直接通过拖拽实现自定义字幕显示位置。支持设置≥9种字体大小、≥8种字体颜色、≥8种字体背景颜色选择；</w:t>
            </w:r>
            <w:r>
              <w:rPr>
                <w:rFonts w:hint="eastAsia" w:ascii="宋体" w:hAnsi="宋体" w:cs="宋体"/>
                <w:color w:val="auto"/>
                <w:kern w:val="0"/>
                <w:szCs w:val="21"/>
                <w:lang w:bidi="ar"/>
              </w:rPr>
              <w:br w:type="textWrapping"/>
            </w:r>
            <w:r>
              <w:rPr>
                <w:rFonts w:hint="eastAsia" w:ascii="宋体" w:hAnsi="宋体" w:cs="宋体"/>
                <w:bCs/>
                <w:color w:val="auto"/>
                <w:kern w:val="0"/>
                <w:szCs w:val="21"/>
              </w:rPr>
              <w:t>●</w:t>
            </w:r>
            <w:r>
              <w:rPr>
                <w:rFonts w:hint="eastAsia" w:ascii="宋体" w:hAnsi="宋体" w:cs="宋体"/>
                <w:color w:val="auto"/>
                <w:kern w:val="0"/>
                <w:szCs w:val="21"/>
                <w:lang w:bidi="ar"/>
              </w:rPr>
              <w:t>6.系统界面自带虚拟软键盘，无需外接USB键盘，可输入中文、英文、数字；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7.支持导播模式设置：至少包括手动、半自动、全自动模式，具有自动轮巡导播模式，可自定义轮巡画面和间隔时长；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8.支持会议导播模式，开启会议模式后，系统根据会议麦克风发言自动切换视频画面预置位；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提供画面布局模式，支持视频画面叠加与组合，包括单画面、双分屏画面、三分屏画面，可直接通过鼠标拖动通道画面实现多分屏布局显示画面的替换，替换时支持导播小画面定位跟随。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kern w:val="0"/>
                <w:szCs w:val="21"/>
                <w:lang w:bidi="ar"/>
              </w:rPr>
            </w:pPr>
            <w:r>
              <w:rPr>
                <w:rFonts w:hint="eastAsia" w:ascii="宋体" w:hAnsi="宋体" w:cs="宋体"/>
                <w:color w:val="auto"/>
                <w:kern w:val="0"/>
                <w:szCs w:val="21"/>
                <w:lang w:bidi="ar"/>
              </w:rPr>
              <w:t>10.支持自定义布局方式，支持多个视频图层自由叠加组合，自定义布局时可随意拖拉画面窗口，更改布局背景和边框颜色；</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11.支持≥4种片头和≥4种片尾的添加，可以设置插入片头片尾的时间，支持jpg、png格式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12.台标支持≥4个固定位置，分别为左上、右上、左下、右下，支持手动拖拽移动台标，实现界面任意位置的台标设置。支持设定图片台标，支持jpg、png格式；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13.支持上滑、下滑、左滑、右滑等多种切换特效，支持自定义选择≥8种特效切换；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14.系统支持摄像机云台控制，可以对摄像机进行变焦、上下左右位置调整以及≥8个预置位的设置；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15.系统可以进行音量设置，可以采用鼠标拖动方式控制设备输入输出的音量大小；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16.系统支持录制倒计时和循环记录功能，在硬盘存储空间为0时，仍可进行录制，将最早录制的视频文件删除，支持录制到U盘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所录制的视频文件既可存储在本地硬盘，也支持通过FTP上传至平台，同时支持用户随时通过录播主机点播回放视频，并可使用移动磁盘或硬盘拷贝下载，支持本地文件重命名，具有视频文件回收站功能，保存7天后自动删除；</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18.系统支持长视频分段录制的功能，可自定义视频文件分段时长，当录制课程时间较长时，可在不结束录制的条件下自动按分段时长将课程视频文件分割录制成多个视频文件，提供不限时长、45分钟、60分钟、90分钟、120分钟、150分钟、180分钟、240分钟等方式可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系统具有推送直播功能并可在设备上自动生成直播二维码，扫描即可观看直播，系统可选择创建直播类型，包括活动直播和教研直播，支持自定义直播标题和起始时间，可设置直播分辨率和码率，调接直播画面音量大小，支持直播列表的查看，直播列表展示课程天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20.系统支持RTMP直播推流，推送的直播流可选择不同视频源，可选画面≥4个，可同时开启平台直播和三方推流直播；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21.具备内置微课制作功能，支持前景、人像、背景3层场景叠加，叠加的场景支持PPT、视频、图片，虚拟抠像后的人像等类型。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rPr>
                <w:rFonts w:hint="eastAsia" w:ascii="宋体" w:hAnsi="宋体" w:cs="宋体"/>
                <w:color w:val="auto"/>
                <w:szCs w:val="21"/>
              </w:rPr>
            </w:pPr>
            <w:r>
              <w:rPr>
                <w:rFonts w:hint="eastAsia" w:ascii="宋体" w:hAnsi="宋体" w:cs="宋体"/>
                <w:color w:val="auto"/>
                <w:kern w:val="0"/>
                <w:szCs w:val="21"/>
                <w:lang w:bidi="ar"/>
              </w:rPr>
              <w:t>21.支持虚拟抠像功能，支持≥5路摄像机信号的虚拟抠像处理，支持手动调整前景、人像大小以及位置，抠像功能支持噪点清除、去黑边、溢色清除、前景强化、边缘平滑、饱和度压缩、黑色加强等功能；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22.支持智能抠像和键显色两种抠像模式；智能抠像可用于无幕布场景使用，键显色模式支持专业蓝/绿箱或幕布环境下抠像，用户可根据环境灵活选择；</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23.支持手动调整前景、人像大小以及位置，抠像功能支持噪点清除、去黑边、溢色清除、前景强化、边缘平滑、饱和度压缩、黑色加强等细节调整，支持校色系数调节由绿幕软件造成的色差；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24.支持自定义抠像区域，支持在主画面（播出画面）圈出抠像区域的方式进行抠像区域的选择，选定后的抠像区域，可通过鼠标拖拽调整抠像区域位置和大小；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25.系统具有抠像画面合成功能，内置≥6种常用的画面布局样式，用户可根据需求自行设定≥4种画面布局样式；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26.要求不依赖网络、外置设备即可实现行为分析、实时字幕的语音转写和热词提取。系统内置行为分析系统，支持对教室人数、举手、站立、背身、趴下、低头人数的实时统计，并实时汇总学生的参与度、活跃度和抬头率。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27.行为分析可选择是否进行举手、趴桌、站立等行为数据展示，可选择学生全景相机位置，语音识别需支持区分角色，自动生成行为分析报告，报告可自动下载至本地文件夹中；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28.内置互动系统，支持标准SIP和H.323互动协议，支持互动列表，列表中可以显示所有与会者的信息；支持互动画面布局的显示，布局支持单分屏，双分屏，三分屏，四分屏显示。互动界面支持双流、一键静音、全屏、导播设置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28.进入互动系统时可支持查看永久课历史记录，可输入房间号快速加入远程互动，并显示对应的课程信息，包括时长、主讲人、房间名称、房间号、丢包率、网络延时等；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30.创建房间时支持对主题、主讲人、开始日期、开始时间和结束时间、验证方式的设置，其中验证方式支持公开和加密的选择；</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32.支持对每个互动房间自动分配短号，可以通过短号直接实现多个设备间的互动，支持房间加密；授课预监：授课过程中，录播主机屏幕将实时显示授课教室和参与互动的听课教室画面，用户可实时查看授课教室的拍摄效果，及互动教室的听课状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▲33支持对录播机进行网络检测，可实时检测服务器连通性、网络稳定性、上行下行速度、网络追踪性。投标人须在投标文件中提供能佐证满足以上要求的相关证明材料复印件并加盖投标人公章，否则投标无效。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34.系统支持查看软件版本、设备型号、硬件版本、设备编号、支持中英文版本切换，支持本地硬盘格式化，系统可选择在线更新或本地更新，导出调试日志，具有一键恢复出厂设置功能；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▲35.本次新建设备须全面适配学校现有已部署的资源管理平台（文香V1.0）、接口规范与数据标准，（统一通信协议：优先采用HTTP/HTTPS、WebSocket，兼容 ONVIF 国标协议，支持 TCP/IP 网络通信；接口标准化：采用 RESTful 接口，参数格式统一，适配现有平台接口规范，无需大幅改造平台），实现与现有在用平台无缝对接（平台可远程下发控制指令至前端录播主机，实现全流程管控：设备开关机、录制启停 / 暂停、直播开启 / 关闭、录制参数配置、远程运维）。全链路兼容适配、集中统一管控；项目实施过程中，无需增设额外第三方中转对接设备，不得擅自改动原有平台的整体架构、底层逻辑及系统配置（录播主机需开放远程控制接口，支持平台指令解析执行；平台具备录播设备指令下发、状态接收解析能力；录播主机开启自动上传功能，配置平台存储 / 上传接口地址；录播主机具备 AI 分析模块，开放 AI 数据推送接口）。</w:t>
            </w:r>
            <w:r>
              <w:rPr>
                <w:rFonts w:hint="eastAsia" w:ascii="宋体" w:hAnsi="宋体" w:cs="宋体"/>
                <w:color w:val="auto"/>
                <w:szCs w:val="21"/>
              </w:rPr>
              <w:t>可直接联动同步组织架构、课表、录播资源、课堂直播流及设备状态数据（设备支持直接联动同步贵校现有平台的组织架构、课表信息、录播资源、课堂直播流、设备状态数据，无需额外中转环节，数据实时同步更新，联动响应无延迟），中标后，资源管理平台(文香 V1.0)端口对中标人免费开放并由中标人技术对接，所需对接技术文档由采购人提供。中标人不用再另行支付对接费用</w:t>
            </w:r>
            <w:r>
              <w:rPr>
                <w:rFonts w:hint="eastAsia" w:ascii="宋体" w:hAnsi="宋体" w:cs="宋体"/>
                <w:color w:val="auto"/>
                <w:kern w:val="0"/>
                <w:szCs w:val="21"/>
                <w:lang w:bidi="ar"/>
              </w:rPr>
              <w:t>。</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48563.57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145690.71</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智能分析主机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1.主机采用标准≤19英寸机架式安装，前面板采用单键式设计；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2.主机采用不大于DC12V安全电压供电，低功耗无风扇设计,工作噪音≤21db(A)；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▲3.采用嵌入式架构，内置AIoT智能芯片，支持AI图像跟踪技术，支持5TOPS标准或以上的算力。投标人须在投标文件中提供能佐证满足以上要求的相关证明材料复印件并加盖投标人公章，否则投标无效。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4.集教师跟踪、学生定位、板书定位、学生巡视等导播切换策略于一体；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5.具备≥4路USB接口，支持接入I/O设备，具备≥1路HDMI OUT；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6.具备≥1路LAN网络接口，支持网络传输高清视频，对云台摄像机、录播设备的控制采用网络通讯。</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15685.85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47057.55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图像跟踪系统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1.支持智能图像分析，结合具体的场景能够实现多个活动过程的跟踪识别，并对现场视频图像进行分析，实现常态化教学下的老师、学生多人跟踪识别；</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2.可设定教学有效区域的，光线、场景完全自适应，无论人的正面和侧面都会被准确识别，并能够通过后台查看到多人识别效果；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3.具备身高自适应功能，无论老师、学生挥手，左右晃动，前后仰俯晃动等都不会被误判；</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4.具备抗干扰能力，采用防抖动特征跟踪算法，图像识别系统不受外在环境影响；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5.系统可以实现全自动跟踪识别；支持实时定位，可以自动识别目标位置、实时控制摄像头精确定位，实现特写拍摄；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6.系统支持web界面访问，支持预览视频分析状态，可远程操控图像跟踪系统；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7.系统支持摄像机自动跟踪，摄像机自动定位学生起立和教师移动，教师走进学生区域时，实时切换成教室全景画面；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8.系统支持区域聚焦功能，可通过浏览器在监视画面框选出聚焦区域，以该区域作为聚焦参考区域。系统对讲台区域监视画面框选时，聚焦区域包括教师跟踪、黑板跟踪；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系统支持焦距守望功能，可通过浏览器对监视画面设置守望点，可同时设置4个守望点相连实现智能跟踪。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10.系统具备跟踪拍摄和切换拍摄两种模式，两种模式之间支持一键切换；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系统智能识别教师身体朝向。当教师面朝学生时，智能切换至教师特写；当教师面向黑板时，智能切换至板书特写。板书特写采用伴随跟踪拍摄方式。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▲12.支持手势识别功能，可一键开启此功能。教师可以通过手势控制学生摄像机的拍摄。投标人须在投标文件中提供能佐证满足以上要求的相关证明材料复印件并加盖投标人公章，否则投标无效。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numPr>
                <w:ilvl w:val="0"/>
                <w:numId w:val="3"/>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系统支持TCP、UDP两种传输协议，可以同时获取≥4路IP视频流进行智能图像分析，可对教师全景、板书全景、学生全景、学生巡视等景位进行设置；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14.支持两种跟踪模式：伴随式模式、“特写”与“全景”切换跟踪模式；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15.具有“模糊防抖”功能，人员小幅度活动时不会引起摄像机画面抖动现象；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16.支持学生起立跟踪功能，支持当学生起立时学生特写摄像机跟踪拍摄，支持多个学生起立切换为学生全景拍摄；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▲17.系统支持切换规则定制，可以调整切换时间，可以设置云台速度，速度系数不少于0～99可调。投标人须在投标文件中提供能佐证满足以上要求的相关证明材料复印件并加盖投标人公章，否则投标无效。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18.系统可设置变焦速度，速度系数不少于1～7可调,实现焦距拉伸时间的调节；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▲19.系统可设置跟踪灵敏度，灵敏度系数不少于0～9000可调。投标人须在投标文件中提供能佐证满足以上要求的相关证明材料复印件并加盖投标人公章，否则投标无效。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25675.11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77025.33</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4K超高清摄像机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1.采用≥1/2.5 英寸CMOS，≥850万像素，需支持4K(3840×2160)分辨率，兼容1080P、720P分辨率；</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2.镜头:f=4.4mm~52.8mm，F1.8~F2.6，光学变焦≥12倍，数字变焦≥16倍；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3.支持水平翻转、垂直翻转，水平视场角：不小于71°~8.2°；垂直视场角：不小于42.7°~4.5°;水平转动范围：不小于±170°，垂直转动范围：不小于-30°~30°；水平转动速度范围：不小于 1.7° ~76°/s，垂直速度范围：不小于0.5° ~ 15°/s；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4.支持不少于2D、3D数字降噪，图像信噪比≥55dB；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5.音频接口：≥1路Line in/Mic in,3.5mm音频接口，需支持 AAC 编码格式，音频采样率≥48KHz；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6.视频接口：≥1路HDMI out接口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7.控制接口：≥1路RS232 in,≥1路RS232 out，≥1路RS485，支持VISCA/Pelco-D/Pelco-P协议；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8.网络接口：≥1路RJ45，10M/100M/1000M自适应口，支持POE；</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9.支持TCP/IP、HTTP、RTSP、RTMP/RTMPS、Onvif、DHCP、组播网络协议；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10.视频制式支持50Hz/60Hz，编码等级可设置main profile/high profile，视频编码协议支持 H.264/H.265/MJPEG；帧率支持1~30fps；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11.支持≥1路HDbaseT，需集视频、音频、控制及供电一线传输，支持传输4K视频，传输距离100 米；</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bCs/>
                <w:color w:val="auto"/>
                <w:kern w:val="0"/>
                <w:szCs w:val="21"/>
              </w:rPr>
              <w:t>●</w:t>
            </w:r>
            <w:r>
              <w:rPr>
                <w:rFonts w:hint="eastAsia" w:ascii="宋体" w:hAnsi="宋体" w:cs="宋体"/>
                <w:color w:val="auto"/>
                <w:kern w:val="0"/>
                <w:szCs w:val="21"/>
                <w:lang w:bidi="ar"/>
              </w:rPr>
              <w:t>12.支持HDMI、网络输出方式，能实现4K视频的同步输出；</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bCs/>
                <w:color w:val="auto"/>
                <w:kern w:val="0"/>
                <w:szCs w:val="21"/>
              </w:rPr>
              <w:t>●</w:t>
            </w:r>
            <w:r>
              <w:rPr>
                <w:rFonts w:hint="eastAsia" w:ascii="宋体" w:hAnsi="宋体" w:cs="宋体"/>
                <w:color w:val="auto"/>
                <w:kern w:val="0"/>
                <w:szCs w:val="21"/>
                <w:lang w:bidi="ar"/>
              </w:rPr>
              <w:t>13.摄像机配合录播主机可支持人物动作分析，能识别举手、站立、背身、趴下、低头人物动作分析；</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14.支持摄像机控制功能，至少包括云台控制、预置位设置与调用、焦距调节等，≥255预置位；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15.支持白平衡方式，包括自动、室内、 室外、 一键式、手动；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16.支持通过浏览器进行管理，包括亮度、饱和度、对比度、锐度、色度设置；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17.支持DC 12V供电。</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6759.35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101390.25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智能中控屏</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1.采用10吋电容式全贴合触控屏幕，分辨率：1920×1200；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2.支持1路千兆以太网口，1路HDMI输出接口，1个RS-232接口，1个USB3.0接口；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3.采用电容式触摸开关，防误触，支持控制录播系统的录制、暂停、停止、开启互动等功能。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2964.64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8893.92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跟踪半球</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 xml:space="preserve">1.传感器类型：≥1/2.8英寸CMOS；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2.有效像素：≥200万，最大分辨率不低于1920×1080；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3.最低照度：0.01Lux(彩色模式)；0.001Lux(黑白模式)；0Lux(补光灯开启)；最大补光距离：50m（红外）；</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4.镜头类型：手动变焦；镜头焦距不小于2.8mm~12mm</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t xml:space="preserve">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5.视频压缩标准：H.265；H.264；H.264B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6.音频输入：1≥路（RCA头）；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7.音频输出：≥1路（RCA头）；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8.供电方式：DC12V/POE；</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9.防护等级：不低于IP67。</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1035.72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6214.32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时序电源控制器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eastAsia="宋体" w:cs="宋体"/>
                <w:color w:val="auto"/>
                <w:szCs w:val="21"/>
                <w:lang w:eastAsia="zh-CN"/>
              </w:rPr>
            </w:pPr>
            <w:r>
              <w:rPr>
                <w:rFonts w:hint="eastAsia" w:ascii="宋体" w:hAnsi="宋体" w:cs="宋体"/>
                <w:color w:val="auto"/>
                <w:kern w:val="0"/>
                <w:szCs w:val="21"/>
                <w:lang w:bidi="ar"/>
              </w:rPr>
              <w:t>1.整机最大电流：15A；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2.单路最大电流：13A；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3.继电器最大电流：30A；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4.输出路数：8路受控，2路直通；</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5.USB输出：5V1A；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6.显示方式：2.4吋显示屏；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7.通讯方式：支持RS232、网口；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8.级联数：255台</w:t>
            </w:r>
            <w:r>
              <w:rPr>
                <w:rFonts w:hint="eastAsia" w:ascii="宋体" w:hAnsi="宋体" w:cs="宋体"/>
                <w:color w:val="auto"/>
                <w:kern w:val="0"/>
                <w:szCs w:val="21"/>
                <w:lang w:eastAsia="zh-CN" w:bidi="ar"/>
              </w:rPr>
              <w:t>。</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1316.89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3950.67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无线AP</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1.支持802.11ax 协议，兼容802.11a/b/g/n/ac协议；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▲2.整机采用三射频设计，Radio1最大传输速率≥300Mbps，Radio2最大传输速率≥2400Mbps，Radio3最大传输速率≥150Mbps，整机最大传输速率≥3.1Gbps；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3.千兆以太网口≥1个，内置智能天线；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4.支持虚拟AP技术，单射频SSID数量最高支持≥16，整机≥32；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5.支持Fat和Fit 两种工作模式，Fat和Fit两种工作模式中可切换，可选择工作模式；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6.支持AP零配置，支持二三层发现、DHCP Option43、DNS域名等多种AC自动发现机制；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对无线网络提供的服务进行检测，包括网络接入、DHCP、网关、DNS、网络地址等阶段的时延和质量检测，并以时光轴的方式进行展示具体时间点的检测情况。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对无线网络环境指标进行检测，包括信道总利用率、Wi-Fi信道利用率、非Wi-Fi信道利用率、同频AP数量。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9.支持WIPS/防钓鱼WIFI，采用独立射频或增加独立AP（非用户连接射频）对非法接入点进行实时检测、告警及反制，过程中不影响用户正常网络接入；</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无线AP可以实现记录内网终端流量访问路径、识别异常终端访问行为、呈现全网异常访问趋势、下发策略阻断风险终端访问动作的全周期东西向流量安全可视化管控。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11.支持基于STA数、信号强度、信道利用率的智能负载均衡，自动平衡各AP之间的接入压力；</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12.支持逃生模式，AP与控制器连接中断后，原有用户在线、新用户正常接入，业务不中断。</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892.95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2678.85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19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交换机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1.千兆以太电口≥24 个，千兆光口≥4个，Console口≥1个；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2.设备性能：交换容量≥672Gbps，包转发率≥126Mpps；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3.支持二层广播，配置静态IP地址，DHCP Option43方式，DNS域名上线；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4.支持STP、RSTP、MSTP协议；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5.支持IGMP v1/v2/v3 Snooping，组播条目≥1K；</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6.VLAN个数≥4K,MAC个数≥16K，ARP表≥512；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7.支持M-LAG技术，跨设备链路聚合，配对的设备有独立的控制平面；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8.支持防网关ARP欺骗、管理员分级管理、支持端口保护、隔离；支持防止DOS、ARP攻击功能；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9.支持通过APP进行远程管理，并且可以修改交换机网络配置；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10.支持IEEE 802.3az 标准的 EEE节能技术：当EEE使能时，从而减小端口在该阶段的功耗；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▲11.支持可视化查看网关IP、排除IP、预留IP。投标人须在投标文件中提供能佐证满足以上要求的相关证明材料复印件并加盖投标人公章，否则投标无效。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12.支持可视化查看IP冲突次数，终端获取IP地址失败次数，并统计最近发生时间；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▲13.支持安全防护，提供图表展示端口扫描攻击、DDos攻击、IP冲突攻击次数。投标人须在投标文件中提供能佐证满足以上要求的相关证明材料复印件并加盖投标人公章，否则投标无效。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14.支持安全状态页面中统计显示安全联动事件。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3224.92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9674.76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机柜</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一、技术要求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SPCC冷轧钢板、脱脂、磷化、静电喷涂服务器机柜，支持脚轮移动，托盘*1个，散热风扇*1个,机架式6口电源插座*1个，机柜尺寸≥1200mm*900mm*600mm，容量18U，承重约800Kg。</w:t>
            </w:r>
          </w:p>
          <w:p>
            <w:pPr>
              <w:pStyle w:val="17"/>
              <w:spacing w:after="0" w:line="440" w:lineRule="atLeast"/>
              <w:rPr>
                <w:rFonts w:hint="eastAsia" w:ascii="宋体" w:hAnsi="宋体" w:cs="宋体"/>
                <w:color w:val="auto"/>
                <w:sz w:val="21"/>
                <w:szCs w:val="21"/>
              </w:rPr>
            </w:pPr>
            <w:r>
              <w:rPr>
                <w:rFonts w:hint="eastAsia" w:ascii="宋体" w:hAnsi="宋体" w:cs="宋体"/>
                <w:color w:val="auto"/>
                <w:sz w:val="21"/>
                <w:szCs w:val="21"/>
              </w:rPr>
              <w:t>二、配套材料</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sz w:val="21"/>
                <w:szCs w:val="21"/>
              </w:rPr>
              <w:t>1.</w:t>
            </w:r>
            <w:r>
              <w:rPr>
                <w:rFonts w:hint="eastAsia" w:ascii="宋体" w:hAnsi="宋体" w:cs="宋体"/>
                <w:color w:val="auto"/>
                <w:kern w:val="0"/>
                <w:sz w:val="21"/>
                <w:szCs w:val="21"/>
                <w:lang w:bidi="ar"/>
              </w:rPr>
              <w:t>键盘鼠标3套：无线键盘鼠标套装，带2.4G接收器；</w:t>
            </w:r>
          </w:p>
          <w:p>
            <w:pPr>
              <w:spacing w:after="0" w:line="440" w:lineRule="atLeast"/>
              <w:rPr>
                <w:rFonts w:hint="eastAsia" w:ascii="宋体" w:hAnsi="宋体" w:cs="宋体"/>
                <w:color w:val="auto"/>
                <w:kern w:val="0"/>
                <w:szCs w:val="21"/>
                <w:lang w:bidi="ar"/>
              </w:rPr>
            </w:pPr>
            <w:r>
              <w:rPr>
                <w:rFonts w:hint="eastAsia" w:ascii="宋体" w:hAnsi="宋体" w:cs="宋体"/>
                <w:color w:val="auto"/>
                <w:szCs w:val="21"/>
              </w:rPr>
              <w:t>2.</w:t>
            </w:r>
            <w:r>
              <w:rPr>
                <w:rFonts w:hint="eastAsia" w:ascii="宋体" w:hAnsi="宋体" w:cs="宋体"/>
                <w:color w:val="auto"/>
                <w:kern w:val="0"/>
                <w:szCs w:val="21"/>
                <w:lang w:bidi="ar"/>
              </w:rPr>
              <w:t>网线6箱（≥305米/箱)：单根导体直流电阻：≤9.0Ω/100m，额定传输速率(NVP)：68%；十字骨架材料：PE混合物；导体材料：无氧圆铜（纯度99.99%）；绝缘材料：HDPE；屏蔽方式：U/UTP；电缆外径：6.3±0.3mm；外护套材料：PVC；10.最小弯曲半径：10倍电缆外径；</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3.音频线600米：RVVP2*0.5；RVV为铜芯PVC绝缘PVC护套软线电源满足电缆标准；</w:t>
            </w:r>
            <w:r>
              <w:rPr>
                <w:rFonts w:hint="eastAsia" w:ascii="宋体" w:hAnsi="宋体" w:cs="宋体"/>
                <w:color w:val="auto"/>
                <w:kern w:val="0"/>
                <w:sz w:val="21"/>
                <w:szCs w:val="21"/>
                <w:lang w:bidi="ar"/>
              </w:rPr>
              <w:br w:type="textWrapping"/>
            </w:r>
            <w:r>
              <w:rPr>
                <w:rFonts w:hint="eastAsia" w:ascii="宋体" w:hAnsi="宋体" w:cs="宋体"/>
                <w:color w:val="auto"/>
                <w:kern w:val="0"/>
                <w:sz w:val="21"/>
                <w:szCs w:val="21"/>
                <w:lang w:bidi="ar"/>
              </w:rPr>
              <w:t>性能：额定工作电压：450/750V；</w:t>
            </w:r>
          </w:p>
          <w:p>
            <w:pPr>
              <w:spacing w:after="0" w:line="440" w:lineRule="atLeast"/>
              <w:rPr>
                <w:rFonts w:hint="eastAsia" w:ascii="宋体" w:hAnsi="宋体" w:cs="宋体"/>
                <w:color w:val="auto"/>
                <w:szCs w:val="21"/>
              </w:rPr>
            </w:pPr>
            <w:r>
              <w:rPr>
                <w:rFonts w:hint="eastAsia" w:ascii="宋体" w:hAnsi="宋体" w:cs="宋体"/>
                <w:color w:val="auto"/>
                <w:kern w:val="0"/>
                <w:szCs w:val="21"/>
                <w:lang w:bidi="ar"/>
              </w:rPr>
              <w:t>4.视频线130米：采用镀锡铜屏蔽网+双铝箔屏蔽，能防止电磁干扰；2.4K*2K分辨率，全面支持720、1080i、1080P和2K*4K等数字信号格式；插头24K镀金防尘罩保护，即插即用，信号传输稳定。</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4660.64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13981.92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AI教学管理平台应用系统</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numPr>
                <w:ilvl w:val="0"/>
                <w:numId w:val="4"/>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基础功能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1.系统平台适配国产化数据及操作系统，采用B/S架构设计，支持国产操作系统，能够安装及访问国产浏览器</w:t>
            </w:r>
            <w:r>
              <w:rPr>
                <w:rFonts w:hint="eastAsia" w:ascii="宋体" w:hAnsi="宋体" w:eastAsia="宋体" w:cs="宋体"/>
                <w:color w:val="auto"/>
                <w:sz w:val="21"/>
                <w:szCs w:val="21"/>
                <w:lang w:eastAsia="zh-CN"/>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系统本身无任何弹窗、广告、垃圾信息。首页以模块的方式展示：包含新闻公告、直播活动、课程资源、教研活动等子模块，支持通过跳转入口快速进入相关功能模块；支持后台配置相应模块的开启或关闭，支持自定义平台名称、平台LOGO；</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3.首页具有快速导航栏，用户可跳转至相关功能模块，支持自定义导航栏名称、顺序，支持创建二级导航菜单，可以个性化设置；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公告发布与管理：首页新闻公告栏可直观展示学校通知、直播活动、行政公告、教育新闻等信息，滚动播报的方式。支持查看新闻公告详情，显示标题、发布人、发布时间、阅读次数、文章内容、图片。支持预编辑公告内容和定时发送功能，支持自定义公告类型，支持标题检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5.平台支持通过手机号、微信扫码进行注册，注册完成后可以通过账号密码、微信扫码和手机验证码等方式进行登录。支持根据不同的角色分配相应权限；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6.设备管理：支持把录播设备接入平台，实现自动转码、视频存储，具备直播和点播功能。支持录播设备管理功能，可远程预览录播画面、设备信息查看、设备状态监测、数量统计；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7.自动转码功能：支持视频下载、上传、编辑、管理。可实现视频文件格式自动转码，包括asf、mpg、rmvb、mov、rm、avi、3gp、wmv、flv、mp4，可设置下载及观看权限；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8.后台管理：支持查看存储空间使用情况，支持个性化设置脚链；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9.一键置灰：支持平台肤色一键置灰功能；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10.强制播放：支持强制设置播放源，用户点击任意视频均强制播放指定视频源，可统一播放和管理；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11.支持个人信息查看，在线修改密码，上传个性化头像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12.教师空间：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（1）支持查看教师个人创建的全部课程，包括普通课程、直播课程、教研活动、远程互动课程、收藏的课程列表；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（2）支持查看我的课程列表，支持跳转至创建课程界面，教师可创建课程。具有课程管理调整接口，教师可管理课程信息；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（3）支持查看我的直播课程列表，包括直播中、未开始、已结束所有个人的直播课程信息，教师可使用直播功能，具有创建直播活动和直播管理跳转接口；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（4）支持查看我的教研活动列表，包括：课例评课、直播教研、互动教研所有个人教研活动，教师可使用教研功能，具有发起教研活动跳转接口；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（5）支持查看我的互动课程列表，具有创建互动课程跳转接口；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（6）支持查看教师个人收藏的所有活动/课程列表，快速定位到详情。教师可管理个人收藏夹。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13.学生空间支持查看学生个人的收藏列表，包含课程列表和直播列表，学生可构建个人视频资源库。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二、在线课堂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1.基于HTML5技术，无需安装插件即可进行跨平台视频点播、直播观看。在线课堂包含两个模块：在线课堂（直播活动）、互动直播；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2.在线课堂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首页直播活动栏可预览当前的直播活动，包含正在直播、即将开始和已经结束的直播活动。可通过快捷按钮跳转至直播列表页面。直播列表支持按院系、学科和年级进行分类，以及根据直播状态（未开始、直播中、已结束）、开课院系和时间进行筛选查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（2）直播界面可同步查看直播简介，下载课程资料，支持对直播视频点赞、收藏和分享；</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（3）直播分享：支持自动生成直播活动海报并下载到桌面，支持海报分享、二维码分享、链接分享三种分享方式；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（4）观看直播过程中可边看边聊，聊天室可发表个人对直播活动的想法。支持全屏播放和一键静音，支持高清和超清两个清晰度选择观看直播；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（5）支持直播活动语音转写功能，支持实时分析师生课堂中的语音并即时转译成文字。具有高频词功能，支持实时统计分析课中的高频词，并根据频次自动排序。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3.互动直播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（1）互动直播多状态查看：支持查看正在直播、未开始以及已结束的互动直播；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（2）播放排名与搜索：提供互动直播活动的播放排名，并允许用户按开课院系、学科、直播名称、主讲人、课程类型和时间进行搜索；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（3）综合筛选与排序：支持根据直播活动的发布时间和播放量进行筛选和排序；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（4）实时互动操作：在直播过程中，支持分享、点赞、收藏，并具有语音转写和高频词云等功能；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（5）聊天室功能：直播活动中内置聊天室，方便观众实时交流；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（6）资料管理：用户可以查看相关资料并进行下载；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（7）直播结束后功能：包括多画面查看、清晰度切换、语音转写、高频词云、社交互动（分享、点赞、收藏、评论）以及资料查看与下载；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（8）支持在移动设备上浏览直播，包括直播信息、参与聊天室互动、分享，支持全屏模式和清晰度切换等功能。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4.精品课程点播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（1）支持按年级、学科、时间筛选所需的课程资源，支持按名称、主讲人快速搜索；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（2）支持热度排行、播放量排行和知识点菜单展示课程资源；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（3）精品课程点播过程中可同步查看课程简介，下载课程资料，支持对视频点赞、收藏和评论。支持全屏播放和音量调节，支持倍速播放，支持自由拖动播放进度条；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（4）视频打点功能：观看视频时可自由打点评论，并通过打点文字快速跳转至视频播放节点；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（5）语音实录：点播过程中可查看语音转写的文字记录，支持通过关键字搜索功能快速跳转至播放节点；支持下载转写的文字记录，并生成word文档。支持查看高频词云统计情况。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5.系列课点播</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（1）支持按年级、学科筛选所需的课程资源，支持按名称、主讲人快速搜索，支持按播放量和发布时间排序；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（2）支持查看系列课简介、播放次数、关联资源数量、老师姓名等信息。支持课程资源列表，支持系列课收藏；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（3）系列课播放过程中可同步查看课程简介，下载课程资料，支持对视频点赞、收藏和评论。支持全屏播放和音量调节，支持倍速播放，支持自由拖动播放进度条；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（4）视频打点功能：观看视频时可自由打点评论，并通过打点文字快速跳转至视频播放节点。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三、教研活动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1.课例评课：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（1）首页可跳转至课例评课界面，支持按年级、学科、观看热度、播放量、发布时间等多个维度进行筛选，支持按名称、主讲人快速搜索；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（2）课例评课过程中可同步查看课程简介，下载课程资料，支持对视频点赞、收藏和分享。支持全屏播放和音量调节，支持倍速播放，支持自由拖动播放进度条；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（3）支持边看边评，人员在观看视频的过程中根据预置的学科评课表指标给出相应分值和评价。支持实时显示评价进度和得分情况。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2.直播教研：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（1）首页可跳转至直播教研界面，支持按年级、学科、发布时间等多个维度进行筛选，支持按名称、主讲人搜索；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（2）直播教研过程中可同步查看课程直播简介，下载课程资料，支持对视频点赞、收藏和分享。支持全屏播放和音量调节，支持倍速播放，支持自由拖动播放进度条；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（3）支持边看边评，教研人员在观看直播的过程中根据预置的学科评课表指标给出相应分值和评价。支持实时显示评价进度和得分情况；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（4）数据支撑：直播教研过程中可打开AI分析界面，通过教情、学情分析，从教师和学生两个维度综合分析本次直播课程的实时教授情况，通过数据和图标直观呈现，可提供数据支撑。</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3.互动教研：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（1）首页可跳转至互动教研界面，支持按年级、学科、观看热度、播放量、发布时间等多个维度进行筛选，支持按名称、主讲人、时间搜索；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（2）互动教研过程中可同步查看课程简介，下载课程资料，支持对视频点赞、收藏和分享。支持全屏播放和音量调节，支持倍速播放，支持自由拖动播放进度条；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（3）支持边看边评，人员在观看互动课程的过程中根据预置的学科评课表指标给出相应分值和评价。支持实时显示评价进度和得分情况</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4.教研组管理：支持统一管理本校教研组，支持分享、编辑、解散和批量删除。可申请加入已建好的教研组，支持邀请指定人员加入教研组；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5.支持自由创建各年级、各学科的教研组，支持自定义每个教研组的名称、展示封面和内容简介。支持设置加入权限，支持邀请指定人员加入教研组。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四、课程资源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1.课程总数展示：支持在页面上显示当前筛选条件下的课程总数量，对可选范围有直观了解；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2.课程资源筛选与搜索：支持根据不同的开课院系、学科类型、课程名称、主讲人的姓名、课程的发布时间进行筛选，可找到感兴趣的课程；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3.平台以课程卡片的形式展示每门可筛选的课程，课程卡片涵盖课程类型、封面、名称、主讲人姓名、开课院系、报名人数及课程开始时间，直观帮助操作者了解并选择适合自己的学习资源；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4.课程详情页可显示课程封面、课程名称、主讲人姓名、课程访问量、累计报名人数、累计互动次数、课程开始时间、课程结束时间、学校、开课院系、课程类型及学科类型；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5.课程详情页支持将感兴趣的课程添加到收藏夹中，并支持将课程分享给其他用户；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6.课程详情页具有的课程介绍及课程目标，可了解课程内容和学习目标。支持展示当前课程的教师团队；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7.课程支持按章节学习，资源包括多种格式的视频、文档（Word、Excel、PPT、PDF）、音频和图片等；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8.支持参与章节内容的讨论。学生账号支持显示学习进度，并提供笔记功能，支持学生记录重要知识点；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9.支持在每个章节后设置测验，题型包括单选题、多选题、简答题、填空题、判断题等。学生完成测验后提交答案，系统自动批改并反馈结果，支持授课老师在测试管理中进行手动批改；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10.提供专门的讨论区，支持教师和学生就课程内容展开交流。可查看历史讨论记录，可回顾重点话题；</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11.支持学生对已完成的课程进行评分和评论。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五、教情分析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课堂教师教学行为分析：AI分析系统能自动识别的教师行为,如：讲授、巡视、师生互动、指导学生、教师提问、书写板书行为；可根据不同的教学行为时序进行智能打点切片，形成行为时序图，可自动定位到课堂实录的特定时刻，可回顾教学环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展示模型：支持以秒为颗粒度对教师讲授、师生互动、指导学生、教师提问、书写板书等教学行为进行基于AI功能的全自动伴随式分析，以课堂时间为轴线形成课堂教学评估数据，并以图表形式直观展示课堂每个时刻的行为类型和持续时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3.教师巡视分析：支持对教师巡视停留占比情况进行AI分析，可自动生成教师巡视停留模型热力图，轨迹图以教室3D模型形式直观呈现教师授课过程中的授课位置数据；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课堂问题汇总：支持以创新型、评价型、分析型、应用型、理解型、记忆型、非思维等类型问题对课堂问题进行AI数据统计，可自动统计课堂中的问题类型和数量。点击详情时间戳中对应的实时AI转写字幕可自动跳转到对应的视频节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5.学生回答情况分析：支持按照肯定性回答、解释性回答、无回答等维度对学生回答情况进行分析，可汇总不同维度的回答次数和所占百分比，并可查看整堂课程中的回答问题情况详细分布；</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6.支持弗兰德斯教学行为分析法（S-T）：支持根据图像识别全自动跟踪数据生成S-T曲线图，支持分别以学生行为时间和教师行为时间轴方式展示；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7.RT-CH教学模型：引入RT-CH教学分析模型，系统自动生成矩阵图，并判定授课类型属于对话型、练习型、混合型、讲授型中的哪种类型。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六、学情分析：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学生学习分析：支持从听讲、举手、读写、学生汇报、学生互动等不同维度对整个课堂中的学生学习情况进行AI分析，可统计每个维度的学习用时占比和时长。可根据不同的学生行为时序进行智能打点切片，形成行为时序图，可自动定位到课堂实录的特定时刻，可回顾教学听课环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2.学生表情分析：支持按照消极、平静、开心、难过、生气、反感、害怕等不同维度对学生的表情进行AI分析，可统计不同维度的人员数量、所占百分比和峰值时间，点击峰值时间可自动跳转到对应的视频节点；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3.学生动作分析：支持按照趴桌子、举手、站立、回头等不同维度对学生的动作进行AI分析，可统计不同维度的人员数量、所占百分比和峰值时间，点击峰值时间可自动跳转到对应的视频节点；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4.课堂纪律分析：以班级维度进行班级出勤人数统计，包括应出席人数、迟到人数、早退人数等；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5.学生参与度和专注度分析：支持以课堂时间为轴线，对各个时刻学生的参与度和专注度进行分析统计，形成学生观课专注度和参与度曲线变化数据统计。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七、语音分析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1.语速分析：支持按照时间轴对整堂课程中的语速进行AI分析，可自动统计讲述字数和课程时长。支持查看每分钟节点的语速；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2.词汇分析：支持对整堂课程中的高频词和语气词进行AI分析，可自动统计教师在授课过程中的高频词和语气词，以及使用次数；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3.课堂总结：支持通过AI分析自动生成课堂总结；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4.语音转写回看：观看视频过程中可查看语音转写的文字记录，支持通过关键字搜索功能快速跳转至播放节点；支持手动纠错，通过编辑功能，可手动修改语音转写的内容。</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八、数据统计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1.平台具有独立的数据看板界面，可实时掌握平台使用情况，了解直播总量、录播资源、课程总数、课程资源、互动直播、系列课数据；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2.在线课堂数据统计：支持查看直播总量和本月直播数，观看总数和本月观看量，支持查看开课院系直播数据，包含今天、近7天、近30天的数据图表。滚动播报直播动态。具有播放量排行榜；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3.互动直播数据统计：支持查看互动直播节次、开课时长、授课教师、听课教师以及受益学生等。支持查看院系分布情况、热门互动排行以及课程计划动态；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4.精品课程数据统计：支持查看包括精品课总节数、本月节数和本周节数。提供各院系资源统计、课程播放排行榜、课程最热排行、最新发布排行以及教师课程/学科课程统计等信息；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5.课程资源数据统计：支持查看课程资源数据统计、年级课程资源统计、课程播放排行榜、教师课程/学科课程统计等数据；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教研活动数据统计：支持查看教研活动总数、观看人次、评课次数、教研教师数量、教研组总数等数据信息，实时显示近1周的动态。通过图表的形式呈现人均教研活动学科分布、教研类型、教研组学科占比等数据信息。滚动播报实时教研动态。具有热门教研和教研组课程排行榜等信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7.资源管理数据统计：以图标的形式呈现各学科录播资源统计数据；实时呈现存储空间和使用量情况；以图表的形式呈现资源使用率和不同视频时长的分布情况；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8.支持生成教情分析，学情分析及语音分析数据展示页面；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9.教情分析可展示教师教学行为的数据分析结果，包含对讲解时间占比分析数据，巡视停留位置占比数据，课堂问题类型占比数据，教学行为分析，课堂模式图及学生回答占比数据的展示；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10.学情分析可展示学生学习行为的数据分析结果，包含听讲类型时间占比，学生各种表情人数及占比，学生动作人数及占比，学生参与度和专注度及课堂纪律分析图；</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11.语音分析支持语速分析，高频词汇分析，语气词分析及语音转写字幕具体内容的呈现；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12.所有数据支持一键生成课程数据分析报告，详细记录课堂数据，以图表方式直观呈现分析结果，并支持下载和分享。</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九、后台管理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直播管理系统需提供直播活动管理功能。（1）支持按直播名称、教室和主讲人进行搜索，以及根据直播状态（未开始、直播中、已结束）、开课院系和时间进行筛选查询。系统允许用户查看、分享、编辑、下载直播活动，并提供推流地址的分享与删除功能。支持新建直播活动，创建时可设定名称、类型、时间、主讲人、教室、开课院系、课程类型、附件、活动地点、封面、简介等详细信息，并可选择开启直播AI分析、直播回放、是否可见、指定教师、开启聊天室等功能。（2）支持查看单个直播课的数据，提供总观看量、实时观看人数、人气峰值和互动次数的数据预览，并支持按照时间维度查看直播数据趋势。同时，监测数据情况包括名称、时间、总观看人数、人气峰值、点赞次数和聊天互动量等指标。具有互动内容展示，记录每条留言的时间、昵称、留言内容、IP地址及删除操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远程互动管理支持按照房间主题和主讲人进行搜索，支持根据院系、年级及时间等条件筛选查询互动列表。支持创建互动课程，自定义设置包括房间主题、授课时间在内的基本信息。提供AI分析功能的选项，可获得即时反馈；</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教研活动管理：支持创建各年级、各学科的网络教研活动,支持自定义每个网络教研活动的展示封面、教研主题、教研内容、教研时间，支持上传教研相关的视频、图片、文档附件。支持课例评课、直播教研、互动教研三种教研模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（1）课例评课管理：支持对指定的授课视频进行教研评价，支持设置评课权限为公开、指定教研组、指定教师，支持根据不同的学科选择指定的评课表；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直播教研管理：支持对实况直播的课程进行在线评课教研，创建直播教研时可根据课表选择指定教室、指定时间段的教研活动。支持设置直播人数上限；支持预制暖场素材。支持设置评课权限为公开、指定教研组、指定教师，支持根据不同的学科选择指定的评课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互动教研管理：支持对互动课堂进行教研评价，支持自由创建线上互动课堂教研评价。默认教研视频为主讲教室合成画面，支持自由选择是否加入教师全景、学生全景画面。支持签到设置、评论开启、评课表模版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（4）评课表管理：支持编辑和批量删除评课表。支持学科要求自定义评课表，包含：标题、引导语、评分项、主观意见，支持自定义每个评价指标的分值；</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录播资源管理：支持查看录播资源列表，支持按资源名称/主讲人快速搜索，支持按教室、年级、学科、时间、使用情况、资源大小查询录播的视频资源。支持远程管理录播主机资源，支持批量删除、手动上传等，支持查看录播主机录制完成的通道画面和合成画面，并支持单个视频资源的播放、删除、上传和下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系列课管理：支持用户可灵活创建各种视频专辑，可将同一类型的视频进行归类，便于视频的归整、便捷查询和统一管理。支持自定义系列课名称和封面，支持按照院系、课程和年级等等不同方式进行分类，支持设置观看权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6.课程管理：包括课程的搜索、创建、编辑、发布与删除。支持按课程名称或开课院系进行搜索，快速定位所需课程。</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新建课程支持设置课程封面、名称、主讲人、开课院系、类型、时间等基本信息，并选择报名方式；</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已存在的课程支持进行编辑修改，教师能控制课程的发布状态，包括发布新课程和停止现有课程的教学活动；</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支持单个或批量删除课程的功能。支持章节测验管理，包括测验列表和学生列表的管理，教师可以对测验进行批阅打分。同时，支持批量删除或批量发布（停止）课程；</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支持设置课程的基本信息，如课程介绍、课程章节、课程评价和课程讨论等。支持自定义设置课程模块内容；</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支持学生权限和教师权限的设置；</w:t>
            </w:r>
          </w:p>
          <w:p>
            <w:pPr>
              <w:widowControl/>
              <w:numPr>
                <w:ilvl w:val="0"/>
                <w:numId w:val="5"/>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支持添加同级或子级章节目录。可以添加课程资源，资源包括图片、视频、音频和文档，每个资源文件最大可达1000M。视频资源可选择已绑定到平台的录播设备中的视频资源。系统还支持章节的批量导入和导出功能；</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（7）章节测验功能支持添加单选题、多选题、简答题、填空题和判断题等多种题型。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精品课管理支持创建和管理精品课程，包括课程名称、院系、主讲人、年级等信息的填写，以及视频资源、课程简介、封面图片的上传等。视频资源支持上传本地视频或选择已绑定到平台的录播设备中的视频资源。同时支持上传ppt、word、excel、pdf、png、jpeg、jpg、zip格式相关资料；</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课表功能支持按所属院系和类型（包括常规课、互动直播、直播活动）筛选课表。可进行查看、编辑、删除及新增课程等操作。支持查看个人课表，教室或时间可以筛选。支持添加新的课程项，包括常规课、互动直播、直播活动类型的课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9.教研组管理支持创建和加入教研组，支持根据输入教研组名称、年级院系选择、课程选择、权限设置、邀请人员条件创建新的教研组，可在已建教研组列表中进行分享、编辑和解散。</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51833.57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51833.57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AI智能行为分析管理平台</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1.教情分析：</w:t>
            </w:r>
            <w:r>
              <w:rPr>
                <w:rFonts w:hint="eastAsia" w:ascii="宋体" w:hAnsi="宋体" w:cs="宋体"/>
                <w:color w:val="auto"/>
                <w:kern w:val="0"/>
                <w:szCs w:val="21"/>
                <w:lang w:bidi="ar"/>
              </w:rPr>
              <w:br w:type="textWrapping"/>
            </w:r>
            <w:r>
              <w:rPr>
                <w:rFonts w:hint="eastAsia" w:ascii="宋体" w:hAnsi="宋体" w:cs="宋体"/>
                <w:bCs/>
                <w:color w:val="auto"/>
                <w:kern w:val="0"/>
                <w:szCs w:val="21"/>
              </w:rPr>
              <w:t>●</w:t>
            </w:r>
            <w:r>
              <w:rPr>
                <w:rFonts w:hint="eastAsia" w:ascii="宋体" w:hAnsi="宋体" w:cs="宋体"/>
                <w:color w:val="auto"/>
                <w:kern w:val="0"/>
                <w:szCs w:val="21"/>
                <w:lang w:bidi="ar"/>
              </w:rPr>
              <w:t>（1）教师行为分析包括教师讲授、教师巡视、师生互动、指导学生，统计出时间及占比，以时间轴打点的形式展示教师各项行为；</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（2）课堂问题情况支持通过饼状图展示课堂上不同类型问题的数量及占比；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（3）支持统计学生不同类型回答（肯定性回答、非思维性回答、解释性回答、无回答等）的数量及占比；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（4）支持通过教室位置分布以可视化的方式展示教师和学生在教室内的位置分布，包含学生左侧、教室后方、学生右侧等维度；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（5）支持S-T教学行为分析，根据课堂情况自动绘制S-T行为曲线，并分析课堂教学类型；</w:t>
            </w:r>
            <w:r>
              <w:rPr>
                <w:rFonts w:hint="eastAsia" w:ascii="宋体" w:hAnsi="宋体" w:cs="宋体"/>
                <w:color w:val="auto"/>
                <w:kern w:val="0"/>
                <w:szCs w:val="21"/>
                <w:lang w:bidi="ar"/>
              </w:rPr>
              <w:br w:type="textWrapping"/>
            </w:r>
            <w:r>
              <w:rPr>
                <w:rFonts w:hint="eastAsia" w:ascii="宋体" w:hAnsi="宋体" w:cs="宋体"/>
                <w:bCs/>
                <w:color w:val="auto"/>
                <w:kern w:val="0"/>
                <w:szCs w:val="21"/>
              </w:rPr>
              <w:t>●</w:t>
            </w:r>
            <w:r>
              <w:rPr>
                <w:rFonts w:hint="eastAsia" w:ascii="宋体" w:hAnsi="宋体" w:cs="宋体"/>
                <w:color w:val="auto"/>
                <w:kern w:val="0"/>
                <w:szCs w:val="21"/>
                <w:lang w:bidi="ar"/>
              </w:rPr>
              <w:t>（6）Rt-Ch课堂模式图支持通过Rt（练习比例）和Ch（对话比例）来划分课堂行为类型，包括练习型、讲授型、对话型以及混合型，分析出课堂行为（含学生练习、教师讲授、师生互动为主等多种行为）。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2.学情分析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学生行为分析包括听讲、举手、读写、学生汇报、生生汇报维度，统计出时间及占比，以时间轴打点的形式展示学生各项行为。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（2）学生表情峰值分析支持通过分析学生的表情数据，包括消极、平静、开心、难过、生气、反感、害怕等维度，统计并展示不同情绪的分布及出现的峰值时间；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学生动作峰值分析支持通过分析学生的动作数据，包括趴桌、举手、站立、回头等维度，统计不同动作的分布及出现的峰值时间。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（4）支持以图表方式直观呈现学生在课堂中的参与度和抬头率变化趋势。支持以图表方式直观呈现课堂纪律在整个课程期间的变化趋势。</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3.语音分析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▲（1）语音转写：将课堂中的语音内容转写成文字，可查看和分析，支持在线编辑及下载。投标人须在投标文件中提供能佐证满足以上要求的相关证明材料复印件并加盖投标人公章，否则投标无效。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（2）高频词分布：支持统计并展示课堂中出现频率较高的词汇，统计课堂重点和教师常用词汇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（3）语气词：支持分析并列出课堂中使用的语气词及其出现次数；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（4）语速分析：通过图表展示课堂中语速的变化情况。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4.课程数据分析报告</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（1）通过对教情的分析，能够反映课程教学过程中的教学方法、教学进度、教学重点把握方面的表现；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（2）借助学情分析，可了解学生对知识的掌握程度、学习中的难点和痛点、以及不同学生的学习差异等；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（3）支持结合教情分析、学情分析以及语音分析，为课程的进一步优化提供方向，例如教学内容的增删改、教学方式的调整、互动环节的设计。</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60553.57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60553.57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应用系统终端</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1.主机采用标准≤19英寸机架式安装，前面板采用单键式设计；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2.主机采用不低于28线程数，低功耗无风扇设计；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▲3.采用嵌入式架构，内置AIoT智能芯片核心不低于14核，支持AI图像跟踪技术；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4.集教师跟踪、学生定位、板书定位、学生巡视等AI分析切换策略于一体；</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5.具备≥4路USB接口，支持接入I/O设备，具备≥1路HDMI OUT；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6.具备≥1路LAN网络接口，支持网络传输高清视频，对云台摄像机、录播设备的控制采用网络通讯；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▲7.整机采用耐腐蚀技术处理，AI分析视频图像存储容量不低于4096GB。</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25455.57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25455.57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导播键盘</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1.设备支持网络控制方式，具有独立的IP地址；</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2.采用变速四维摇杆进行控制，扭动摇杆可控制云台摄像机转动，镜头变焦放大缩小；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3.预置位对应录播设备的预置位，可调用录播设备的预置位，也可通过键盘设置预置位，先点击预置按钮，再通过摇杆，选择合适的画面，再点击预置位数字即可设置成功；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4.具备旋钮功能，具有无极调速功能，可实现云台速度、变倍速度调节；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5.支持IE浏览器添加前端设备，支持添加1-6路摄像机ip\端口号；</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6.具有≥9个预置位按键，支持每路摄像机添加≥9个预置位；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8.具有≥5个布局按键，对录播主机的布局切换；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9.具有≥7个视频切换按键，切换录播的备播视频；</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10.具有≥7个切换控制按键，切换云台摄像机控制；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11.具有≥5个导播功能按键，录播\暂停\停止\手自动\直播\VGA锁；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12.按键采用硅胶按键，支持背光，具有按键声音提示开/关；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13输出接口：1个RS422、1个RS232、1个LAN网络接口。</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3962.16</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7924.32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专业音箱350W</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1.阻抗≤8Ω；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●2.频响50Hz~20KHz；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●3.额定功率≥350W；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●4.灵敏度≥99dB/W/M；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5.水平覆盖角≥80°，垂直覆盖角≥60°；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6.高音≥1.7"压缩高音单元×1；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7.低音≥12"低音×1。</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3320.62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19923.72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专业音箱150W</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1.阻抗≤8Ω；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●2.频响65Hz~20KHz；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●3.额定功率≥150W；</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4.灵敏度≥95dB/W/M；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5.水平覆盖角≥80°，垂直覆盖角≥60°；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6.高音≥3"锥形高音单元×1；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7.低音≥8"低音×1。</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1783.72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17837.2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支架</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只</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1.固定面板孔位尺寸（长*宽）：约140mm*65mm；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2.箱体固定面板孔位尺寸（长*宽）：约128mm*70mm；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3.设备面板尺寸：约160mm*90mm；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4.重量：约0.93Kg；</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5.类型：音箱支架。</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150.81</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2412.96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抑制器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1.DSP处理，≥40-bit DSP处理器（400兆主频），≥32-bit/48kHz的声音；</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采用“陷波”+“移频”双方式进行反馈抑制。陷波器提供10固定点+10动态点。范围等同或优于-10Hz到10Hz。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▲3.均衡器支持≥31段图示均衡器和8段参量均衡器。投标人须在投标文件中提供能佐证满足以上要求的相关证明材料复印件并加盖投标人公章，否则投标无效。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4.支持巴特沃斯，贝塞尔，林克威治-瑞利三种类型；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5.具有自动增益功能，声音达到一定峰值自动衰减变小，声音较小则自动增益放大；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6.具有一个IPS真彩显示屏。支持中英文切换显示；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●7.具有≥48个状态LED指示灯实时显示，每通道≥12个静态+≥12个动态陷波器；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8.具有≥双通道直通，一键重置陷波点配置功能；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9.支持≥4个场景切换；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10.支持设备定位功能、断电自动保护记忆功能；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●11.输入通道及插座≥2路XLR与TRS多功能座模拟输入；</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●12.输出通道及插座≥2路XLR公座+≥2路TRS公座模拟输出；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13.支持通过后台管理软件对多台设备进行批量升级。</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3973.43</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11920.29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29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会议音频综合管理平台软件</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音频综合管理平台集成反馈抑制器软件模块、数字音频处理器软件模块、智控数字专业功放软件模块，各模块打开呈现在状态栏窗口，可管理和调用，并具备自动检测音频处理器、反馈抑制器、数字功放设备硬件版本、软件版本功能，检测到有新版本时提供更新提示，用户可以对硬件进行升级。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音频综合管理平台具有设备扫描功能（包括全数字会议系统、电子桌牌系统、音频处理器、智能混音器、反馈抑制器、数字功放系统硬件设备），可以通过平台扫描所有在线设备，并显示设备硬件名称、硬件IP地址、在线、离线状态等信息；可以针对不同硬件类型选择适用软件版本，并直接下载或打开。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音频综合管理平台具有应用列表，通过平台可下载全数字会议系统软件模块、反馈抑制器软件模块、智能混音器软件模块、数字音频处理器软件模块、智控数字专业功放软件模块，下载后在主界面实时显示，可选择打开应用、卸载应用，应用上移、下移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音频综合管理平台具有软件配置信息备份和还原功能，通过平台可以一键备份反馈抑制器软件模块、数字音频处理器软件模块、智控数字专业功放软件模块配置信息上传云端或者保存本地；用户可通过平台一键还原备份的数据。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5.具有全数字会议系统软件模块，软件具有签到、表决、话筒管理、会议管理、语音激励、模拟排位、摄像跟踪、译员机语种及多语言版本功能；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具有电子桌牌软件模块，软件支持铭牌设置及更新、中英俄多语言版本选择、集中控制、自定义投票表决、无线表决器人员设置、模拟排位、签到表决、IP设置、多服务器大屏投影、一键关机、息屏、清屏、亮屏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7.具有反馈抑制器软件模块，软件支持反馈抑制AFC、场景切换及导入导出、在线固件升级、多设备管理、用户管理、信号选择、模拟输入、模拟输出、陷波器、噪声门、限幅器音频参数配置功能；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8.具有智能混音器软件模块，软件支持多设备管理、≥4场景切换、在线批量升级，分组设置、数据备份、自定义通道名称、自动混音、矩阵、分频器、均衡器、闪避器等音频参数配置调节；</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具有数字音频处理器软件模块，软件支持多设备管理、≥8场景切换、在线批量升级、用户管理，恢复出厂设置、备份还原、摄像跟踪、实时啸叫点检测、深度可调陷波器、高精度移频、自动混音、回声消除、限幅器、均衡器、延时器、GPIO设置、串口设置等音频参数配置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具有智控数字专业功放软件模块，软件支持多设备管理、通道复制、桥接模式、灵敏度设置、在线固件批量升级、音量调节、正反向切换、矩阵、输入输出、扩展器、压缩器、限幅器、均衡器、分频器音频参数调节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5508.57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5508.57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专业功放1</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1.1U机箱设计，采用D类数字功放设计；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2.标准XLR输入接口，和LINK输出口；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3.电源采用开关电源技术，能抑制电源谐波；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4.内置智能削峰限幅器，支持开机软启动；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5.具有：具备过压保护、欠压保护、过流保护、直流保护、输出短路保护、温控风扇功能；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●6.输出功率：立体声@8Ω：≥500W×2；立体声@4Ω：≥850W×2；桥接@8Ω：≥1700W。</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5012.38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15037.14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专业功放2</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1.1U机箱设计，采用D类数字功放设计方案；</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2.标准XLR输入接口，和LINK输出口；</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3.电源采用开关电源技术，能抑制电源谐波；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4.内置智能削峰限幅器，支持开机软启动；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5.具有：过压保护、欠压保护、过流保护、直流保护、具备输出短路保护、温控风扇功能；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●6.输出功率：立体声@8Ω：≥350W×2；立体声@4Ω：≥600W×2。</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3306.53</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9919.59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话筒</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1.换能方式：电容式；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2.指向性：心形指向性；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3.频率响应：20Hz-18KHz；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4.输出阻抗：75Ω，平衡；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5.灵敏度：-40dB±2dB ；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6.动态范围：109dB, 1KH at max spl；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7.信噪比：65dB 1KHz at 1 Pa；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8.供电电压：DC3V/幻象48V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9.开关：电子轻触；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10.咪杆长度约：410mm 。</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805.94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2417.82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szCs w:val="21"/>
              </w:rPr>
              <w:t>无线手持话筒</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一套包含2只</w:t>
            </w:r>
            <w:r>
              <w:rPr>
                <w:rFonts w:hint="eastAsia" w:ascii="宋体" w:hAnsi="宋体" w:cs="宋体"/>
                <w:color w:val="auto"/>
                <w:szCs w:val="21"/>
              </w:rPr>
              <w:t>无线手持话筒。</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1.具有≥1台接收主机、≥双手持发射机；频率范围等同或优于470-510MHz、540MHz-590MHz、640MHz-690MHz、807MHz-830MHz；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2.接收机具有≥2路平衡输出、≥1路非平衡混音输出；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3.具有自动频率扫描功能，可给麦克风找到频率；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4.支持混响调节功能，比例调节、延时调节、电平调节≥25个档位；</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▲5.支持麦克风均衡器调节功能，具备高、中、低音三种调节档位。投标人须在投标文件中提供能佐证满足以上要求的相关证明材料复印件并加盖投标人公章，否则投标无效。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6.接收机具有显示屏，用户可通过显示屏查看设备发射功率强度、音频加密状态、电池电量、频率数值、智能静音状态、静音标志；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▲7.具有自动静音功能，麦克风跌落、抛掷时，毫秒级响应自动静音；产品静置5秒自动静音。投标人须在投标文件中提供能佐证满足以上要求的相关证明材料复印件并加盖投标人公章，否则投标无效。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8.麦克风具有长时间静置自动关机功能，设备自动检测工作状态（使用状态、静置状态），静置时间≥8分钟后，设备自动关机。</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2800.64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8401.92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话筒呼叫控制嵌入软件</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1.软件内嵌于无线话筒系统设备，话筒呼叫控制功能；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2.采用UHF双真分集接收，并采用PLL锁相环多信道频率合成技术；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3.支持自动选讯接收方式；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4.支持信道选择、频率可调、可设置主机与话筒配对。</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1400.19</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4200.57</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话筒天线</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1.射频频率范围等同或优于450-950MHz；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2.驻波比：≤2.0；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3.输入阻抗：≤50Ω；</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4.指向性：≥180度指向。</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1011.12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3033.36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调音台</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1.支持≥8路麦克风输入兼容6路线路输入接口，支持≥2路立体声输入接口，≥4路RCA输入，话筒接口幻象电源：+48V；</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具有≥2组立体主输出、≥2路编组输出、≥2路辅助输出、≥1组立体声监听输出、≥1个耳机监听输出、≥1个效果输出、≥1组主混音断点插入、≥6个断点插入。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3.内置≥24位DSP效果器，提供≥100种预设效果；</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●4.具备≥13个60mm行程的高精密碳膜推子；</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5.内置USB声卡模块，支持连接电脑进行音乐播放和声音录音；内置MP3播放器，支持≥1个USB接口接U盘播放音乐。</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6453.92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19361.76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音频处理器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1.数字音频处理器支持≥4路平衡式话筒/线路输入通道，采用裸线接口端子，平衡接法；支持≥4路平衡式线路输出，采用裸线接口端子，平衡接法；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输入通道支持前级放大、信号发生器、扩展器、压缩器、≥10段参量均衡，≥24段图示均衡、闪避器、AGC自动增益、AM自动混音功能（门限式、增益共享式）、AFC自适应反馈消除、AEC回声消除、ANC噪声消除、音频矩阵。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3.输出通道支持≥10段参量均衡，≥24段图示均衡、延时器、分频器、高低通滤波器、限幅器；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4.DSP处理器，支持≥32bit/48kHz的声音，支持输入通道48V幻象供电；</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5.具有≥2英寸IPS真彩显示屏，支持显示设备网络信息、实时电平、通道静音状态；</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▲6.支持通过APP软件进行操作控制，面板具备USB接口，支持多媒体存储，可进行播放或存储录播。投标人须在投标文件中提供能佐证满足以上要求的相关证明材料复印件并加盖投标人公章，否则投标无效。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7.配置双向RS-232接口，可用于控制外部设备；配置RS-485接口，可实现自动摄像跟踪功能。配置≥8通道可编程GPIO控制接口（可自定义输入输出）；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8.支持断电自动保护记忆功能。支持通道拷贝、粘贴、联控功能。管理控制软件可工作在XP/Windows系统环境下；</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9.≥8个场景预设，支持场景信息导入、场景信息导出。</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4770.04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14310.12</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机柜</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1.尺寸：约600X800X1166mm；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2.容量：22U；</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3.配置：8位10A PDU插排1个；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4.固定板1块；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5.内嵌风扇部件2组；</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6.4只两英寸重型脚轮；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7.M12支脚4只；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8.M6方螺母钉20套；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9.内六角扳手一只。</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1134.35</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3403.05</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39</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网络中控主机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numPr>
                <w:ilvl w:val="0"/>
                <w:numId w:val="6"/>
              </w:numPr>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采用的国产处理器配置≥4核；采用内存配置≥4GB；采用硬盘容量≥32GB；具有正版已激活国产操作系统；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主机具备≥4.3英寸触摸彩屏、≥6路独立可编程串口、≥6路独立可编程IR红外发射口、≥8路数字I/0控制口、≥8路弱电继电器控制接口、≥2个千兆以太网接口、≥1个NET网络控制接口、≥1路TF卡接口、≥1个音频输入接口、≥2个USB 3.0接口、≥1个HDMI输出接口、≥1路DMX512接口；</w:t>
            </w:r>
          </w:p>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3.支持红外控制、RS-232、RS-422、RS-485、UDP、TCP、telnet、http、MQTT、SNMP、GB28181以及ONVIF协议，兼容性强，可对接第三方设备；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有音频采集接口，接入外部音频可实现语音指令词控制；采集的音频可转换为指令词，比如参会人通过会议话筒发言“开启会议”“打开灯光”“关闭灯光”等语句，可以自动转换成中控指令，实现对周边产品的联动控制或场景调用功能；支持音频录制功能；采集外部音频后，设备自动录制，录制的音频文件自动保存在主机，对会议发言内容进行留档保存。投标人须在投标文件中提供能佐证满足以上要求的相关证明材料复印件并加盖投标人公章，否则投标无效。</w:t>
            </w:r>
            <w:r>
              <w:rPr>
                <w:rFonts w:hint="eastAsia" w:ascii="宋体" w:hAnsi="宋体" w:cs="宋体"/>
                <w:color w:val="auto"/>
                <w:kern w:val="0"/>
                <w:szCs w:val="21"/>
              </w:rPr>
              <w:t>相关证明材料可以是由国家认可的第三方检测机构出具的检测报告或厂家官网截图或产品说明书或产品界面截图</w:t>
            </w:r>
            <w:r>
              <w:rPr>
                <w:rFonts w:hint="eastAsia" w:ascii="宋体" w:hAnsi="宋体" w:cs="宋体"/>
                <w:color w:val="auto"/>
                <w:kern w:val="0"/>
                <w:szCs w:val="21"/>
                <w:lang w:bidi="ar"/>
              </w:rPr>
              <w:t>；</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5.主机具备两路以太网 RJ45 接口，可以实现内外网隔离；支持访问WEB端管理平台上传文件功能；用户通过管理端可上传DOC/DOCX、TXT、RTF、ODT、PPT/PPTX、ODP、XLS/XLSX、ODS、PDF、JPEG、PNG、GIF、SVG、AI、MDB、SQL、HTML、XML、ZIP、RAR、MP3、WAV、MP4、AVI等格式文件，便于访问和管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6.支持级联互控功能；主机可通过网络实现级联，达到互联、互控、联动切换的效果。一台控制端即可操作多台中控主机；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7.支持双机热备份。当中控主机出现故障时，备用中控主机自动承担服务，切换时间≤1.2s，从而保证系统在不需要人工干预的情况下能正常运行；</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8.支持视频矩阵可视化控制。用户可通过控制端实时预览、拖动并切换矩阵视频信号，支持设置触碰和投放触发切换方式；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9.支持拼接矩阵可视化控制。用户可通过控制端实时预览、放大、缩小、拖动并切换拼接矩阵视频信号，可对输入信号源进行置底、置顶以及一键清屏等操作，支持设置触碰和投放触发切换方式；</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10.支持扫二维码控制。中控主机在连接互联网的情况下会在云平台自动生成二维码，通过微信或者浏览器扫一扫二维码，即可进入控制界面，实现对中控主机控制。支持密码权限设置；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11.支持≥2种局域网远程桌面方式，无需连接外部网络或使用第三方软件，支持多用户远程协同控制，便于现场运维；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产品具有≥3种编程方式，包括图形化编程、语句式编程、在线编程方式供用户选择；图形化编程方式具有拖拽式操作界面，用户可通过图形化编程软件内的模块使用信号连接方式构建程序逻辑；语句式编程方式提供功能函数进行自定义编程，用户可以通过编程界面编写控制代码；在线编程方式可以让用户在网页端通过编程界面编写控制代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13.支持Word、Excel、PPT表格文档编辑功能；支持网页浏览操作，用户能够访问各种网站，浏览网页内容；支持视频播放功能，用户可以上传、播放和管理视频文件，视频画面可通过HDMI接口在大屏显示；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14.支持对接云会务系统。用户通过手机APP或WEB端预约会议室时，可设置情景类型以及开始/结束时间。会议开始前，系统会自动调用场景，场景内所有设备联动启动或切换；会议结束后设备自动关闭。</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19678.57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39357.14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40</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网络中控系统逻辑处理内嵌软件</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1.软件内嵌于中央控制系统主机设备，实现系统控制逻辑、处理等功能；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2.主要包括硬件逻辑模块、软件逻辑模块、红外代码管理、编译、下载、监视；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3.编程软件支持添加与实际工程对应硬件的逻辑模块；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4.实现串口代码数据、IR红外数据、继电器、I/O数据等的代码转发、逻辑算法处理编程功能；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5.支持界面设计软件实现中控控制界面的制作及编辑，支持互锁模式，支持3D按键设计模块；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6.支持提供在线服务小程序，可通过微信小程序提交售前、售中或售后问题，客服人员在线或回电解答；</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7.服务类型包括“维护”、“指导调试”、“指导安装”、“指导布线”、“远程调试”、“400电话”；</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8.具备在线服务可以实时查询处理进度，具有“待处理”、“处理中”及“已处理”版块；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具备“已处理”版块，具有历史记录功能，可通过联系电话搜索历史条目，条目信息记录申请人姓名、联系电话、申请时间、问题描述、处理状态、处理人、处理用时和处理后信息反馈。具有“再次申请”功能。</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3437.57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6875.14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pacing w:val="-12"/>
                <w:kern w:val="0"/>
                <w:szCs w:val="21"/>
              </w:rPr>
              <w:t>软件和信息技术服</w:t>
            </w:r>
            <w:r>
              <w:rPr>
                <w:rFonts w:hint="eastAsia" w:ascii="宋体" w:hAnsi="宋体" w:cs="宋体"/>
                <w:color w:val="auto"/>
                <w:kern w:val="0"/>
                <w:szCs w:val="21"/>
              </w:rPr>
              <w:t>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41</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控制器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1.具有≥8路自动、手动电源控制器，内置≥8个20A继电器，负载能力≥4400W/单路；配合中控主机使用，用于控制灯光、电动投影幕、电动窗帘设备；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2.每路继电器都有三连接点的接线柱,具有常开与常闭的功能；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3.具有复位按键，支持恢复到出厂的默认设置。具有1路网络接口，支持通过网络实现远程控制；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4.具有设备运行状态指示灯及≥8个继电器的开关状态指示灯；</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5.具有键盘锁（LOCK）功能；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6.机器具备ID识别，通过中控主机网络控制多台时，可通过ID识别。</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3958.64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7917.28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42</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中控控制终端</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1.设备采用操作系统等同或优于Android 系统，显示器≥10.1 英寸，显示画面≥1920*1200分辨率，显示屏≥10点触控，摄像头像素≥450W系统；</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2.设备具有物理隐私拨片，滑动可遮挡摄像头；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3.内置≥4个拾音麦，拾音距离可达≥5米；搭配中控主机支持通过语音助手控制切换矩阵显示画面、设备开关等功能；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4.具有距离传感器，支持感应人体位置，实现人来亮屏功能；具有光感传感器，支持采集周边环境光线亮度值并可将数值实时显示；具有温湿度传感器，支持采集周边温湿度环境并可将数值实时显示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5.具有语音唤醒控制功能；呼唤指令词即可唤醒AI语音助手，通过将语音转换成中控指令，实现对周边设备控制或场景调用。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6.内置≥1个背光灯条，搭配中控主机可根据会议状态切换指示灯显示状态；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对接会务管理系统；搭配中控主机，可通过手机APP或WEB端预约会议室，设置情景类型以及开始/结束时间；会议开始前，系统会自动调用场景，设备背光灯条自动亮起，同时联动开启室内空调、照明灯具；会议结束后设备联动关闭会议室空调、灯光等设备。</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5417.14</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10834.28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43</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交换机</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1.千兆电口≥24个，2.5G光口≥4个，Console口≥1个；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2.交换容量≥600Gbps，包转发率≥100Mpps；</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3.支持STP、RSTP、MSTP协议，支持IGMP v1/v2/v3 Snooping、4K个VLAN、DHCP Server；</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4.支持MAC地址≥16K，支持MAC地址自动学习、源MAC地址过滤、接口MAC地址学习个数限制；</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5.支持在网络控制平台管理下的M-LAG技术，跨设备链路聚合，设备有独立的控制平面；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6.支持防网关ARP欺骗，支持端口保护、隔离，支持防止DOS、ARP攻击功能，支持CPU保护功能；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7.支持通过APP进行远程管理，可以修改交换机网络配置；</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8.交换机支持通过控制器平台“替换”按钮即可完成故障设备替换；</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9.可实现安全事件回溯，支持查看安全事件记录、私扩非法边缘设备记录、终端在端口漂移记录、静态IP异常记录等安全事件的记录统计；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10.支持终端的MAC与交换机端口变更检测，支持交换机端口终端类型变更后，通过APP、短信告警；</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11.终端类型库能自动识别PC、路由器、摄像头设备；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12.支持DHCP Snooping，支持交换机端口设置为信任端口或非信任端口，非信任端口也可设置白名单响应DHCP报文；</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13.支持交换机在网络控制平台管理下可创建东西向安全策略，可实现全网安全风险拦截；</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14.支持联动第三方安全设备或平台，通过联动实现从系统及接入层交换机对风险终端MAC地址进行封堵。</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3519.22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7038.44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44</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电源管理器</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widowControl/>
              <w:numPr>
                <w:ilvl w:val="0"/>
                <w:numId w:val="7"/>
              </w:numPr>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2.当远程控制有效时同时控制后板ALARM（报警）端口导通以起到级联控制ALARM（报警）功能；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3.单个通道最大负载功率≥2200W，所有通道负载总功率≥6000W。输出连接器：多用途电源插座；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4.具有一路及以上USB输出接口。</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1242.62</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3727.86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45</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智慧显示终端</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一、技术要求</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1.Cortex A53(四核)（64位），RAM：2G，ROM：16G，65寸，全面屏，物理分辨率</w:t>
            </w:r>
            <w:r>
              <w:rPr>
                <w:rFonts w:hint="eastAsia" w:ascii="宋体" w:hAnsi="宋体" w:cs="宋体"/>
                <w:color w:val="auto"/>
                <w:kern w:val="0"/>
                <w:sz w:val="21"/>
                <w:szCs w:val="21"/>
                <w:lang w:bidi="ar"/>
              </w:rPr>
              <w:br w:type="textWrapping"/>
            </w:r>
            <w:r>
              <w:rPr>
                <w:rFonts w:hint="eastAsia" w:ascii="宋体" w:hAnsi="宋体" w:cs="宋体"/>
                <w:color w:val="auto"/>
                <w:kern w:val="0"/>
                <w:sz w:val="21"/>
                <w:szCs w:val="21"/>
                <w:lang w:bidi="ar"/>
              </w:rPr>
              <w:t>3840×2160、屏显比例 16：9 ，整机额定功率 150 W，工作电压 220V；</w:t>
            </w:r>
            <w:r>
              <w:rPr>
                <w:rFonts w:hint="eastAsia" w:ascii="宋体" w:hAnsi="宋体" w:cs="宋体"/>
                <w:color w:val="auto"/>
                <w:kern w:val="0"/>
                <w:sz w:val="21"/>
                <w:szCs w:val="21"/>
                <w:lang w:bidi="ar"/>
              </w:rPr>
              <w:br w:type="textWrapping"/>
            </w:r>
            <w:r>
              <w:rPr>
                <w:rFonts w:hint="eastAsia" w:ascii="宋体" w:hAnsi="宋体" w:cs="宋体"/>
                <w:color w:val="auto"/>
                <w:kern w:val="0"/>
                <w:sz w:val="21"/>
                <w:szCs w:val="21"/>
                <w:lang w:bidi="ar"/>
              </w:rPr>
              <w:t>2.50Hz、输入（1 路 AV、2路 HDMI、1 路 TV（RF）输入、2路 USB2.0 接口）</w:t>
            </w:r>
            <w:r>
              <w:rPr>
                <w:rFonts w:hint="eastAsia" w:ascii="宋体" w:hAnsi="宋体" w:cs="宋体"/>
                <w:color w:val="auto"/>
                <w:kern w:val="0"/>
                <w:sz w:val="21"/>
                <w:szCs w:val="21"/>
                <w:lang w:bidi="ar"/>
              </w:rPr>
              <w:br w:type="textWrapping"/>
            </w:r>
            <w:r>
              <w:rPr>
                <w:rFonts w:hint="eastAsia" w:ascii="宋体" w:hAnsi="宋体" w:cs="宋体"/>
                <w:color w:val="auto"/>
                <w:kern w:val="0"/>
                <w:sz w:val="21"/>
                <w:szCs w:val="21"/>
                <w:lang w:bidi="ar"/>
              </w:rPr>
              <w:t>输出 1 路 AV OUT ，安卓9.0；支持开机logo、开机视频定制化；裸机 尺寸约</w:t>
            </w:r>
            <w:r>
              <w:rPr>
                <w:rFonts w:hint="eastAsia" w:ascii="宋体" w:hAnsi="宋体" w:cs="宋体"/>
                <w:color w:val="auto"/>
                <w:kern w:val="0"/>
                <w:sz w:val="21"/>
                <w:szCs w:val="21"/>
                <w:lang w:bidi="ar"/>
              </w:rPr>
              <w:br w:type="textWrapping"/>
            </w:r>
            <w:r>
              <w:rPr>
                <w:rFonts w:hint="eastAsia" w:ascii="宋体" w:hAnsi="宋体" w:cs="宋体"/>
                <w:color w:val="auto"/>
                <w:kern w:val="0"/>
                <w:sz w:val="21"/>
                <w:szCs w:val="21"/>
                <w:lang w:bidi="ar"/>
              </w:rPr>
              <w:t>mm（长×厚×高）1446*81*833mm。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二、配材要求</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1.音频连接线6条：用来传输音频信号的专业线缆，可过滤噪音信号，声音传输更通透；1.8米音频连接线：卡侬头（母）*1卡侬头（公）*1，线径：0.3mm；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2.音频连接线12条：用来传输音频信号的专业线缆，可过滤噪音信号，声音传输更通透；1.8米音频连接线：卡农头（公）*1，线径：0.3mm；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3.音频连接线6条：用来传输音频信号的专业线缆，可过滤噪音信号，声音传输更通透；1.8米音频连接线：卡农头（母）*1，线径：0.3mm；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4.音频连接线3条：用来传输音频信号的专业线缆，可过滤噪音信号，声音传输更通透；1.8米音频连接线：6.35话筒插头*1，线径：0.3mm；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5.音频连接线3条：用来传输音频信号的专业线缆，可过滤噪音信号，声音传输更通透；3米音频连接线：3.5（耳机插头）*1,6.35话筒插头*2,线径：0.3mm；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6.线材400米：外被: PVC；导体: 精炼铜线芯；芯数：300芯*2；100米/卷；</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7.线材12条：分辨率:3840*2160，60Hz；屏蔽:铝箔+编织+地线；外被: PVC；线芯: 镀锡铜；支持HDMI 2.0版本；规格：长度1.5米；HDMI头大小：20*26*10.5mm，线径：7.3mm；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8.线材12条：1.分辨率:3840*2160，30Hz；9.屏蔽:铝箔+编织+地线；3.外被: PVC；10.线芯: 镀锡铜；5.支持HDMI 2.0版本；11.规格：长度15米；7.HDMI头大小：20*26*10.5mm，线径：8mm；</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12.线材400米：线芯规格：(28/0.12BS)*2C；外被：PVC；成品外径：OD6.0mm；导体：精炼铜；屏蔽：铝箔+128网编织；</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13.线材400米：屏蔽：铝箔+编织网；外被：PVC；规格：3芯-3*1.5；导体：精炼铜；</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14.线材400米屏蔽：铝箔+编织网；外被：PVC；规格：3芯-3*4.0；导体：精炼铜；</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15.线材6卷：300米/卷,规格：ALT-CAT6-P，六类网线，采用双绞线电缆制作，能够提供高达1 Gbps的数据传输速率，同时在最远100米的距离内保持稳定的信号质量；</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16.窗帘31.7米：棉麻布料，施工时根据实际情况双方商定材料颜色；</w:t>
            </w:r>
          </w:p>
          <w:p>
            <w:pPr>
              <w:pStyle w:val="17"/>
              <w:spacing w:after="0" w:line="440" w:lineRule="atLeas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17.设备材料二次拆装和搬运1项。</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7203.38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43220.28</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46</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LED平板灯</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88</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盏</w:t>
            </w:r>
          </w:p>
        </w:tc>
        <w:tc>
          <w:tcPr>
            <w:tcW w:w="4050" w:type="dxa"/>
            <w:tcBorders>
              <w:left w:val="single" w:color="auto" w:sz="4" w:space="0"/>
              <w:bottom w:val="single" w:color="000000" w:sz="8" w:space="0"/>
              <w:right w:val="single" w:color="auto" w:sz="4" w:space="0"/>
            </w:tcBorders>
            <w:vAlign w:val="center"/>
          </w:tcPr>
          <w:p>
            <w:pPr>
              <w:spacing w:after="0" w:line="440" w:lineRule="atLeast"/>
              <w:rPr>
                <w:rFonts w:hint="eastAsia" w:ascii="宋体" w:hAnsi="宋体" w:cs="宋体"/>
                <w:color w:val="auto"/>
                <w:szCs w:val="21"/>
              </w:rPr>
            </w:pPr>
            <w:r>
              <w:rPr>
                <w:rFonts w:hint="eastAsia" w:ascii="宋体" w:hAnsi="宋体" w:cs="宋体"/>
                <w:color w:val="auto"/>
                <w:kern w:val="0"/>
                <w:szCs w:val="21"/>
                <w:lang w:bidi="ar"/>
              </w:rPr>
              <w:t>1. 规格:600*600</w:t>
            </w:r>
            <w:r>
              <w:rPr>
                <w:rFonts w:hint="eastAsia" w:ascii="宋体" w:hAnsi="宋体" w:cs="宋体"/>
                <w:color w:val="auto"/>
                <w:szCs w:val="21"/>
              </w:rPr>
              <w:t>cm；</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 额定功率:68W(1.2/LED模块)；</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 额定电压:220V/50Hz；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 额定电流:0.9A；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 色温:3000K-6500</w:t>
            </w:r>
            <w:r>
              <w:rPr>
                <w:rFonts w:hint="eastAsia" w:ascii="宋体" w:hAnsi="宋体" w:cs="宋体"/>
                <w:color w:val="auto"/>
                <w:szCs w:val="21"/>
              </w:rPr>
              <w:t>K</w:t>
            </w:r>
            <w:r>
              <w:rPr>
                <w:rFonts w:hint="eastAsia" w:ascii="宋体" w:hAnsi="宋体" w:cs="宋体"/>
                <w:color w:val="auto"/>
                <w:kern w:val="0"/>
                <w:szCs w:val="21"/>
                <w:lang w:bidi="ar"/>
              </w:rPr>
              <w:t>。</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154.28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13576.64</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47</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szCs w:val="21"/>
              </w:rPr>
              <w:t>一拖二</w:t>
            </w:r>
            <w:r>
              <w:rPr>
                <w:rFonts w:hint="eastAsia" w:ascii="宋体" w:hAnsi="宋体" w:cs="宋体"/>
                <w:color w:val="auto"/>
                <w:kern w:val="0"/>
                <w:szCs w:val="21"/>
                <w:lang w:bidi="ar"/>
              </w:rPr>
              <w:t>机组</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6</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套</w:t>
            </w:r>
          </w:p>
        </w:tc>
        <w:tc>
          <w:tcPr>
            <w:tcW w:w="4050"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一、室内机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1.产品数量、匹数：2台5匹一级能效冷暖变频天花机；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2.变频/定频：变频；</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3.制冷量（W）：≥12490；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4.制热量（W）：≥13990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▲5.制冷功率（W）：≤1910；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6.制热功率（W）：≤1910；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7.循环风量(m3/h):≥1790；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8.噪音（dB）高中低:≤41/39/37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9.电源（V∽Hz）:220V-50Hz；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10.内机送风模式：360度环形出风；</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11.标准配置：室内机1台，室外机1台、面板1块、电池1对、保修卡1份、说明书1份、合格证1份。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二、室外机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1.1个室外机可带两个吊顶天花机；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2.额定制冷量（W）：≥24990；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3.额定制热量（W）：≥27990；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▲4.额定功率（W）：≤制冷 8210；≤制热7860；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5.电源：380V-50Hz；</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6.噪声值：≤60dB(A)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7.内外机配管、最远配管（m）（液管+气管）：68；高差：室外机以上（m）：30；室外机以下（m）：20 ；室内机—室外机（m）：7；</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8.该采购为总价包杆，含安装时所需全部辅材和人工，含但不限于高空作业费，含支架、水磨墙孔、铜管、保温套管、包扎带、室内电源线、排水管管路、外机水泥基础等，满足设备正常使用；</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▲9.验收时，中标人须提供所投产品的生产厂家出具的供货证明原件及该产品技术参数配置表；</w:t>
            </w:r>
          </w:p>
          <w:p>
            <w:pPr>
              <w:pStyle w:val="11"/>
              <w:spacing w:after="0" w:line="440" w:lineRule="atLeast"/>
              <w:rPr>
                <w:rFonts w:hint="eastAsia" w:ascii="宋体" w:hAnsi="宋体" w:cs="宋体"/>
                <w:color w:val="auto"/>
                <w:szCs w:val="21"/>
              </w:rPr>
            </w:pPr>
            <w:r>
              <w:rPr>
                <w:rFonts w:hint="eastAsia" w:ascii="宋体" w:hAnsi="宋体" w:cs="宋体"/>
                <w:color w:val="auto"/>
                <w:kern w:val="0"/>
                <w:szCs w:val="21"/>
                <w:lang w:bidi="ar"/>
              </w:rPr>
              <w:t>▲10.本产品属于强制节能产品，投标时投标文件必须提供所投产品的节能产品认证证书复印件，否则投标无效。</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18916.53167</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113499.19</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vMerge w:val="continue"/>
            <w:tcBorders>
              <w:left w:val="single" w:color="auto" w:sz="4" w:space="0"/>
              <w:right w:val="single" w:color="auto" w:sz="4" w:space="0"/>
            </w:tcBorders>
            <w:vAlign w:val="center"/>
          </w:tcPr>
          <w:p>
            <w:pPr>
              <w:spacing w:after="0" w:line="440" w:lineRule="atLeast"/>
              <w:rPr>
                <w:rFonts w:hint="eastAsia" w:ascii="宋体" w:hAnsi="宋体" w:cs="宋体"/>
                <w:color w:val="auto"/>
                <w:szCs w:val="21"/>
              </w:rPr>
            </w:pPr>
          </w:p>
        </w:tc>
        <w:tc>
          <w:tcPr>
            <w:tcW w:w="5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center"/>
              <w:textAlignment w:val="center"/>
              <w:rPr>
                <w:rFonts w:hint="eastAsia" w:ascii="宋体" w:hAnsi="宋体" w:cs="宋体"/>
                <w:color w:val="auto"/>
                <w:szCs w:val="21"/>
              </w:rPr>
            </w:pPr>
            <w:r>
              <w:rPr>
                <w:rFonts w:hint="eastAsia" w:ascii="宋体" w:hAnsi="宋体" w:cs="宋体"/>
                <w:color w:val="auto"/>
                <w:kern w:val="0"/>
                <w:szCs w:val="21"/>
                <w:lang w:bidi="ar"/>
              </w:rPr>
              <w:t>48</w:t>
            </w:r>
          </w:p>
        </w:tc>
        <w:tc>
          <w:tcPr>
            <w:tcW w:w="70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空调机组</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2</w:t>
            </w:r>
          </w:p>
        </w:tc>
        <w:tc>
          <w:tcPr>
            <w:tcW w:w="641" w:type="dxa"/>
            <w:tcBorders>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台</w:t>
            </w:r>
          </w:p>
        </w:tc>
        <w:tc>
          <w:tcPr>
            <w:tcW w:w="4050" w:type="dxa"/>
            <w:tcBorders>
              <w:left w:val="single" w:color="auto" w:sz="4" w:space="0"/>
              <w:bottom w:val="single" w:color="000000" w:sz="8" w:space="0"/>
              <w:right w:val="single" w:color="auto" w:sz="4" w:space="0"/>
            </w:tcBorders>
            <w:vAlign w:val="center"/>
          </w:tcPr>
          <w:p>
            <w:pPr>
              <w:spacing w:after="0" w:line="440" w:lineRule="atLeast"/>
              <w:rPr>
                <w:rFonts w:hint="eastAsia" w:ascii="宋体" w:hAnsi="宋体" w:cs="宋体"/>
                <w:color w:val="auto"/>
                <w:kern w:val="0"/>
                <w:szCs w:val="21"/>
                <w:lang w:bidi="ar"/>
              </w:rPr>
            </w:pPr>
            <w:r>
              <w:rPr>
                <w:rFonts w:hint="eastAsia" w:ascii="宋体" w:hAnsi="宋体" w:cs="宋体"/>
                <w:color w:val="auto"/>
                <w:kern w:val="0"/>
                <w:szCs w:val="21"/>
                <w:lang w:bidi="ar"/>
              </w:rPr>
              <w:t>1、5匹变频冷暖天花机；</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2、能效等级:=一级；</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3、能效比APF:=3.84；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4、额定制冷量（W）：=12200；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5、额定制冷功率（W）：=4650；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6、额定制热量（W）：=13600；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7、额定制热功率（W）：=4000；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8、电加热功率（W）：=2000；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9、室内机高风档噪音（dB）：=46；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10、室外机高风档噪音（dB）：=58；</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11、循环风量（m3/h）：=2060；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 xml:space="preserve">12、电源参考规格：380V-50Hz ；      </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13、冷媒：R32；</w:t>
            </w:r>
          </w:p>
          <w:p>
            <w:pPr>
              <w:spacing w:after="0" w:line="440" w:lineRule="atLeast"/>
              <w:rPr>
                <w:rFonts w:hint="eastAsia" w:ascii="宋体" w:hAnsi="宋体" w:cs="宋体"/>
                <w:color w:val="auto"/>
                <w:szCs w:val="21"/>
              </w:rPr>
            </w:pPr>
            <w:r>
              <w:rPr>
                <w:rFonts w:hint="eastAsia" w:ascii="宋体" w:hAnsi="宋体" w:cs="宋体"/>
                <w:color w:val="auto"/>
                <w:kern w:val="0"/>
                <w:szCs w:val="21"/>
                <w:lang w:bidi="ar"/>
              </w:rPr>
              <w:t>▲14.</w:t>
            </w:r>
            <w:r>
              <w:rPr>
                <w:rFonts w:hint="eastAsia" w:ascii="宋体" w:hAnsi="宋体" w:cs="宋体"/>
                <w:color w:val="auto"/>
                <w:kern w:val="0"/>
                <w:szCs w:val="21"/>
                <w:shd w:val="clear" w:color="auto" w:fill="FFFFFF"/>
                <w:lang w:bidi="ar"/>
              </w:rPr>
              <w:t>本产品属于强制节能产品，投标时投标文件必须提供所投产品的节能产品认证证书复印件，否则投标无效。</w:t>
            </w:r>
          </w:p>
        </w:tc>
        <w:tc>
          <w:tcPr>
            <w:tcW w:w="823"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9273.8</w:t>
            </w:r>
          </w:p>
        </w:tc>
        <w:tc>
          <w:tcPr>
            <w:tcW w:w="941" w:type="dxa"/>
            <w:tcBorders>
              <w:left w:val="single" w:color="auto" w:sz="4" w:space="0"/>
              <w:bottom w:val="single" w:color="000000" w:sz="8" w:space="0"/>
              <w:right w:val="single" w:color="auto" w:sz="4" w:space="0"/>
            </w:tcBorders>
            <w:vAlign w:val="center"/>
          </w:tcPr>
          <w:p>
            <w:pPr>
              <w:widowControl/>
              <w:spacing w:after="0" w:line="440" w:lineRule="atLeast"/>
              <w:jc w:val="left"/>
              <w:textAlignment w:val="center"/>
              <w:rPr>
                <w:rFonts w:hint="eastAsia" w:ascii="宋体" w:hAnsi="宋体" w:cs="宋体"/>
                <w:color w:val="auto"/>
                <w:szCs w:val="21"/>
              </w:rPr>
            </w:pPr>
            <w:r>
              <w:rPr>
                <w:rFonts w:hint="eastAsia" w:ascii="宋体" w:hAnsi="宋体" w:cs="宋体"/>
                <w:color w:val="auto"/>
                <w:kern w:val="0"/>
                <w:szCs w:val="21"/>
                <w:lang w:bidi="ar"/>
              </w:rPr>
              <w:t>18547.6</w:t>
            </w:r>
          </w:p>
        </w:tc>
        <w:tc>
          <w:tcPr>
            <w:tcW w:w="883" w:type="dxa"/>
            <w:tcBorders>
              <w:left w:val="single" w:color="auto" w:sz="4" w:space="0"/>
              <w:bottom w:val="single" w:color="000000" w:sz="8" w:space="0"/>
              <w:right w:val="single" w:color="auto" w:sz="4" w:space="0"/>
            </w:tcBorders>
            <w:vAlign w:val="center"/>
          </w:tcPr>
          <w:p>
            <w:pPr>
              <w:spacing w:after="0" w:line="440" w:lineRule="atLeast"/>
              <w:jc w:val="center"/>
              <w:rPr>
                <w:rFonts w:hint="eastAsia" w:ascii="宋体" w:hAnsi="宋体" w:cs="宋体"/>
                <w:color w:val="auto"/>
                <w:szCs w:val="21"/>
              </w:rPr>
            </w:pPr>
            <w:r>
              <w:rPr>
                <w:rFonts w:hint="eastAsia" w:ascii="宋体" w:hAnsi="宋体" w:cs="宋体"/>
                <w:color w:val="auto"/>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bottom w:val="single" w:color="auto" w:sz="4" w:space="0"/>
              <w:right w:val="single" w:color="auto" w:sz="4" w:space="0"/>
            </w:tcBorders>
            <w:vAlign w:val="center"/>
          </w:tcPr>
          <w:p>
            <w:pPr>
              <w:spacing w:after="0" w:line="440" w:lineRule="atLeast"/>
              <w:rPr>
                <w:rFonts w:hint="eastAsia" w:ascii="宋体" w:hAnsi="宋体" w:cs="宋体"/>
                <w:color w:val="auto"/>
                <w:szCs w:val="21"/>
              </w:rPr>
            </w:pPr>
            <w:r>
              <w:rPr>
                <w:rFonts w:hint="eastAsia" w:ascii="宋体" w:hAnsi="宋体" w:cs="宋体"/>
                <w:b/>
                <w:color w:val="auto"/>
                <w:szCs w:val="21"/>
              </w:rPr>
              <w:t>商务条款</w:t>
            </w:r>
          </w:p>
        </w:tc>
        <w:tc>
          <w:tcPr>
            <w:tcW w:w="9288" w:type="dxa"/>
            <w:gridSpan w:val="8"/>
            <w:tcBorders>
              <w:top w:val="single" w:color="auto" w:sz="4" w:space="0"/>
              <w:left w:val="single" w:color="auto" w:sz="4" w:space="0"/>
              <w:bottom w:val="single" w:color="auto" w:sz="4" w:space="0"/>
              <w:right w:val="single" w:color="auto" w:sz="4" w:space="0"/>
            </w:tcBorders>
          </w:tcPr>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1.合同签订要求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（1）中标人自中标通知书发出之日起25日内与采购人签订合同。</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（2）中标人不得将项目转包，如发现有转包行为，采购人有权按中标候选人推荐顺序确定中标人，也可以重新组织采购。</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2.交付要求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szCs w:val="21"/>
              </w:rPr>
              <w:t>▲</w:t>
            </w:r>
            <w:r>
              <w:rPr>
                <w:rFonts w:hint="eastAsia" w:ascii="宋体" w:hAnsi="宋体" w:cs="宋体"/>
                <w:color w:val="auto"/>
                <w:kern w:val="0"/>
                <w:szCs w:val="21"/>
                <w:lang w:bidi="ar"/>
              </w:rPr>
              <w:t>（1）交付时间：自合同签订之日起30个工作日内将货物运至采购人指定地点，并完成安装调试。</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（2）交付地点：</w:t>
            </w:r>
            <w:r>
              <w:rPr>
                <w:rStyle w:val="39"/>
                <w:rFonts w:hint="eastAsia" w:ascii="宋体" w:hAnsi="宋体" w:cs="宋体"/>
                <w:color w:val="auto"/>
                <w:kern w:val="0"/>
                <w:lang w:bidi="ar"/>
              </w:rPr>
              <w:t>广西医科大学武鸣校区，</w:t>
            </w:r>
            <w:r>
              <w:rPr>
                <w:rFonts w:hint="eastAsia" w:ascii="宋体" w:hAnsi="宋体" w:cs="宋体"/>
                <w:color w:val="auto"/>
                <w:kern w:val="0"/>
                <w:szCs w:val="21"/>
                <w:lang w:bidi="ar"/>
              </w:rPr>
              <w:t>采购人指定地点。</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中标人提供不符合合同规定的货物/服务，采购人有权拒绝接受。中标人应根据货物不同的特性和要求采取防潮、防雨、防锈、防震、防腐等保护措施，以保证货物安全无损地到达采购人指定地点，中标人应承担因包装不当导致交付的合同标的物受损的责任。</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安装调试：中标人负责在采购人指定的时间内，按照要求完成货物的安装调试。中标人应严格遵守安全法律法规，采取安全保障措施，保证人员安全。因中标人原因造成的人员伤亡和财产损失，均由中标人承担。</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（5）中标人应将所提供货物的装箱清单、用户手册、原厂保修卡、随机资料、工具和备品、备件等一并进行交付，如有缺失应及时补齐，否则视为逾期交货。</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3.验收方法及要求</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（1）中标人按要求完成交付后，应以书面形式正式向采购人递交验收申请书，采购人收到验收申请书后，按照采购人单位规定流程组织项目验收。</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验收内容应按照合同内容逐项进行验收，包括但不限于全部设备、产品、型号、规格、数量、外型、外观、包装及资料、文件（如装箱单、保修单、随箱介质等）/各项服务等里程碑的交付物，所提供的货物/服务是否符合本合同要求，如符合，则认为验收合格，采购人应在验收单上签字确认；如不符合，双方均有权向相关部门申请鉴定，鉴定费由中标人承担，验收结果以采购人签署的验收证明为准。</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（3）在验收过程中发现中标人有违约问题，暂缓资金结算，待违约问题解决后，方可办理资金结算事宜，在此期间，采购人不承担逾期付款责任。</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kern w:val="0"/>
                <w:szCs w:val="21"/>
                <w:lang w:bidi="ar"/>
              </w:rPr>
              <w:t>（4）</w:t>
            </w:r>
            <w:r>
              <w:rPr>
                <w:rFonts w:hint="eastAsia" w:ascii="宋体" w:hAnsi="宋体" w:cs="宋体"/>
                <w:color w:val="auto"/>
                <w:szCs w:val="21"/>
              </w:rPr>
              <w:t>如国家法律法规对产品有强制性认证的要求，中标供应商验收时提交产品有效的强制性认证证明材料</w:t>
            </w:r>
            <w:r>
              <w:rPr>
                <w:rFonts w:hint="eastAsia" w:ascii="宋体" w:hAnsi="宋体" w:cs="宋体"/>
                <w:color w:val="auto"/>
                <w:kern w:val="0"/>
                <w:szCs w:val="21"/>
                <w:lang w:bidi="ar"/>
              </w:rPr>
              <w:t>（技术要求中有特别要求的按特别要求）</w:t>
            </w:r>
            <w:r>
              <w:rPr>
                <w:rFonts w:hint="eastAsia" w:ascii="宋体" w:hAnsi="宋体" w:cs="宋体"/>
                <w:color w:val="auto"/>
                <w:szCs w:val="21"/>
              </w:rPr>
              <w:t>。</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4.培训要求</w:t>
            </w:r>
          </w:p>
          <w:p>
            <w:pPr>
              <w:widowControl/>
              <w:spacing w:after="0" w:line="440" w:lineRule="atLeast"/>
              <w:ind w:firstLine="210" w:firstLineChars="100"/>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提供设备使用相关技术的培训；培训不少于5天。</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color w:val="auto"/>
                <w:szCs w:val="21"/>
              </w:rPr>
              <w:t>▲</w:t>
            </w:r>
            <w:r>
              <w:rPr>
                <w:rFonts w:hint="eastAsia" w:ascii="宋体" w:hAnsi="宋体" w:cs="宋体"/>
                <w:b/>
                <w:bCs/>
                <w:color w:val="auto"/>
                <w:kern w:val="0"/>
                <w:szCs w:val="21"/>
                <w:lang w:bidi="ar"/>
              </w:rPr>
              <w:t>5.支付要求</w:t>
            </w:r>
          </w:p>
          <w:p>
            <w:pPr>
              <w:widowControl/>
              <w:snapToGrid w:val="0"/>
              <w:spacing w:after="0" w:line="40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szCs w:val="21"/>
              </w:rPr>
              <w:t>自签订合同之日起十个工作日内，采购人支付合同款总额30%作为预付款，货物交付并验收合格，中标人提供相应金额真实、合法、有效的正式发票后，采购人十个工作日内支付剩余款项。</w:t>
            </w:r>
            <w:r>
              <w:rPr>
                <w:rFonts w:hint="eastAsia" w:ascii="宋体" w:hAnsi="宋体"/>
                <w:color w:val="auto"/>
                <w:szCs w:val="21"/>
              </w:rPr>
              <w:t>【乙方应提供货款全额的发票（货物采购须开具增值税专用发票）】。</w:t>
            </w:r>
          </w:p>
          <w:p>
            <w:pPr>
              <w:widowControl/>
              <w:spacing w:after="0" w:line="440" w:lineRule="atLeast"/>
              <w:jc w:val="left"/>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6.售后服务要求</w:t>
            </w:r>
          </w:p>
          <w:p>
            <w:pPr>
              <w:pStyle w:val="17"/>
              <w:tabs>
                <w:tab w:val="center" w:pos="4680"/>
                <w:tab w:val="right" w:pos="9360"/>
                <w:tab w:val="clear" w:pos="4153"/>
                <w:tab w:val="clear" w:pos="8306"/>
              </w:tabs>
              <w:spacing w:after="0" w:line="440" w:lineRule="atLeast"/>
              <w:rPr>
                <w:rFonts w:hint="eastAsia" w:ascii="宋体" w:hAnsi="宋体" w:cs="宋体"/>
                <w:color w:val="auto"/>
                <w:sz w:val="21"/>
                <w:szCs w:val="21"/>
              </w:rPr>
            </w:pPr>
            <w:r>
              <w:rPr>
                <w:rFonts w:hint="eastAsia" w:ascii="宋体" w:hAnsi="宋体" w:cs="宋体"/>
                <w:color w:val="auto"/>
                <w:kern w:val="0"/>
                <w:sz w:val="21"/>
                <w:szCs w:val="21"/>
                <w:lang w:bidi="ar"/>
              </w:rPr>
              <w:t>（1）按国家有关产品“三包”规定执行“三包”，质保不少于5年（技术要求中有特别要求的按特别要求）。自设备验收合格并能正常使用之日算起。如投标文件中提供产品生产厂家对质保期的承诺，与投标人承诺不一致的，以生产厂家承诺为准</w:t>
            </w:r>
            <w:r>
              <w:rPr>
                <w:rFonts w:hint="eastAsia" w:ascii="宋体" w:hAnsi="宋体" w:cs="宋体"/>
                <w:color w:val="auto"/>
                <w:sz w:val="21"/>
                <w:szCs w:val="21"/>
              </w:rPr>
              <w:t>。</w:t>
            </w:r>
          </w:p>
          <w:p>
            <w:pPr>
              <w:pStyle w:val="17"/>
              <w:tabs>
                <w:tab w:val="center" w:pos="4680"/>
                <w:tab w:val="right" w:pos="9360"/>
                <w:tab w:val="clear" w:pos="4153"/>
                <w:tab w:val="clear" w:pos="8306"/>
              </w:tabs>
              <w:spacing w:after="0" w:line="440" w:lineRule="atLeast"/>
              <w:rPr>
                <w:rFonts w:hint="eastAsia" w:ascii="宋体" w:hAnsi="宋体" w:cs="宋体"/>
                <w:color w:val="auto"/>
                <w:sz w:val="21"/>
                <w:szCs w:val="21"/>
              </w:rPr>
            </w:pPr>
            <w:r>
              <w:rPr>
                <w:rFonts w:hint="eastAsia" w:ascii="宋体" w:hAnsi="宋体" w:cs="宋体"/>
                <w:color w:val="auto"/>
                <w:kern w:val="0"/>
                <w:sz w:val="21"/>
                <w:szCs w:val="21"/>
                <w:lang w:bidi="ar"/>
              </w:rPr>
              <w:t>（2）</w:t>
            </w:r>
            <w:r>
              <w:rPr>
                <w:rFonts w:hint="eastAsia" w:ascii="宋体" w:hAnsi="宋体" w:cs="宋体"/>
                <w:color w:val="auto"/>
                <w:sz w:val="21"/>
                <w:szCs w:val="21"/>
              </w:rPr>
              <w:t>质保期内，中标人负责更换所有设备维修配件，更换的零配件为原厂全新零配件。</w:t>
            </w:r>
          </w:p>
          <w:p>
            <w:pPr>
              <w:widowControl/>
              <w:spacing w:after="0" w:line="440" w:lineRule="atLeast"/>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w:t>
            </w:r>
            <w:r>
              <w:rPr>
                <w:rFonts w:hint="eastAsia" w:ascii="宋体" w:hAnsi="宋体" w:cs="宋体"/>
                <w:color w:val="auto"/>
                <w:szCs w:val="21"/>
              </w:rPr>
              <w:t>在接到电话通知后，4小时内做出响应，24小时内到达维修现场。一般问题应在48小时内解决，重大问题或其它无法迅速解决的问题应在一周内解决，若出现问题无法解决，二个工作日内提供与原设备技术参数要求相同或高于原设备技术参数要求的备用产品，以保证采购人的正常工作。</w:t>
            </w:r>
          </w:p>
          <w:p>
            <w:pPr>
              <w:pStyle w:val="17"/>
              <w:spacing w:after="0" w:line="440" w:lineRule="atLeast"/>
              <w:rPr>
                <w:rFonts w:hint="eastAsia" w:ascii="宋体" w:hAnsi="宋体" w:cs="宋体"/>
                <w:b/>
                <w:bCs/>
                <w:color w:val="auto"/>
                <w:kern w:val="0"/>
                <w:sz w:val="21"/>
                <w:szCs w:val="21"/>
                <w:lang w:bidi="ar"/>
              </w:rPr>
            </w:pPr>
            <w:r>
              <w:rPr>
                <w:rFonts w:hint="eastAsia" w:ascii="宋体" w:hAnsi="宋体" w:cs="宋体"/>
                <w:color w:val="auto"/>
                <w:sz w:val="21"/>
                <w:szCs w:val="21"/>
              </w:rPr>
              <w:t>▲</w:t>
            </w:r>
            <w:r>
              <w:rPr>
                <w:rFonts w:hint="eastAsia" w:ascii="宋体" w:hAnsi="宋体" w:cs="宋体"/>
                <w:b/>
                <w:bCs/>
                <w:color w:val="auto"/>
                <w:kern w:val="0"/>
                <w:sz w:val="21"/>
                <w:szCs w:val="21"/>
                <w:lang w:bidi="ar"/>
              </w:rPr>
              <w:t>7.报价要求</w:t>
            </w:r>
          </w:p>
          <w:p>
            <w:pPr>
              <w:spacing w:after="0" w:line="440" w:lineRule="atLeast"/>
              <w:rPr>
                <w:rFonts w:hint="eastAsia" w:ascii="宋体" w:hAnsi="宋体" w:cs="宋体"/>
                <w:color w:val="auto"/>
                <w:szCs w:val="21"/>
              </w:rPr>
            </w:pPr>
            <w:r>
              <w:rPr>
                <w:rFonts w:hint="eastAsia" w:ascii="宋体" w:hAnsi="宋体" w:cs="宋体"/>
                <w:color w:val="auto"/>
                <w:szCs w:val="21"/>
              </w:rPr>
              <w:t>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r>
              <w:rPr>
                <w:rFonts w:hint="eastAsia" w:ascii="宋体" w:hAnsi="宋体" w:cs="宋体"/>
                <w:color w:val="auto"/>
                <w:szCs w:val="21"/>
                <w:lang w:eastAsia="zh-CN"/>
              </w:rPr>
              <w:t>。</w:t>
            </w:r>
            <w:r>
              <w:rPr>
                <w:rFonts w:hint="eastAsia" w:ascii="宋体" w:hAnsi="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459" w:type="dxa"/>
            <w:tcBorders>
              <w:top w:val="single" w:color="auto" w:sz="4" w:space="0"/>
              <w:left w:val="single" w:color="auto" w:sz="4" w:space="0"/>
              <w:right w:val="single" w:color="auto" w:sz="4" w:space="0"/>
            </w:tcBorders>
            <w:vAlign w:val="center"/>
          </w:tcPr>
          <w:p>
            <w:pPr>
              <w:spacing w:after="0" w:line="440" w:lineRule="atLeast"/>
              <w:jc w:val="center"/>
              <w:rPr>
                <w:rFonts w:hint="eastAsia" w:ascii="宋体" w:hAnsi="宋体" w:cs="宋体"/>
                <w:b/>
                <w:color w:val="auto"/>
                <w:szCs w:val="21"/>
              </w:rPr>
            </w:pPr>
            <w:r>
              <w:rPr>
                <w:rFonts w:hint="eastAsia" w:ascii="宋体" w:hAnsi="宋体" w:cs="宋体"/>
                <w:b/>
                <w:bCs/>
                <w:color w:val="auto"/>
                <w:szCs w:val="21"/>
              </w:rPr>
              <w:t>其他说明</w:t>
            </w:r>
          </w:p>
        </w:tc>
        <w:tc>
          <w:tcPr>
            <w:tcW w:w="9288" w:type="dxa"/>
            <w:gridSpan w:val="8"/>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1.进口产品说明：本项目货物不接受进口产品（即通过中国海关报关验放进入中国境内且产自关境外的产品）参与投标，如有进口产品参与投标的作无效标处理。</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2.核心产品：本项目的核心产品为“需求一览表”中第</w:t>
            </w:r>
            <w:r>
              <w:rPr>
                <w:rFonts w:hint="eastAsia" w:ascii="宋体" w:hAnsi="宋体" w:cs="宋体"/>
                <w:color w:val="auto"/>
                <w:szCs w:val="21"/>
                <w:u w:val="single"/>
              </w:rPr>
              <w:t xml:space="preserve">  11  </w:t>
            </w:r>
            <w:r>
              <w:rPr>
                <w:rFonts w:hint="eastAsia" w:ascii="宋体" w:hAnsi="宋体" w:cs="宋体"/>
                <w:color w:val="auto"/>
                <w:szCs w:val="21"/>
              </w:rPr>
              <w:t>项标的产品：</w:t>
            </w:r>
            <w:r>
              <w:rPr>
                <w:rFonts w:hint="eastAsia" w:ascii="宋体" w:hAnsi="宋体" w:cs="宋体"/>
                <w:color w:val="auto"/>
                <w:szCs w:val="21"/>
                <w:u w:val="single"/>
              </w:rPr>
              <w:t xml:space="preserve">  </w:t>
            </w:r>
            <w:r>
              <w:rPr>
                <w:rFonts w:hint="eastAsia" w:ascii="宋体" w:hAnsi="宋体" w:cs="宋体"/>
                <w:color w:val="auto"/>
                <w:kern w:val="0"/>
                <w:szCs w:val="21"/>
                <w:u w:val="single"/>
                <w:lang w:bidi="ar"/>
              </w:rPr>
              <w:t>4K高清录播系统</w:t>
            </w:r>
            <w:r>
              <w:rPr>
                <w:rFonts w:hint="eastAsia" w:ascii="宋体" w:hAnsi="宋体" w:cs="宋体"/>
                <w:color w:val="auto"/>
                <w:szCs w:val="21"/>
                <w:u w:val="single"/>
              </w:rPr>
              <w:t xml:space="preserve">  </w:t>
            </w:r>
            <w:r>
              <w:rPr>
                <w:rFonts w:hint="eastAsia" w:ascii="宋体" w:hAnsi="宋体" w:cs="宋体"/>
                <w:color w:val="auto"/>
                <w:szCs w:val="21"/>
              </w:rPr>
              <w:t>。</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3.中标人未按规定的时间完成合同履约，导致采购人损失的，采购人有权单方面终止合同，所造成的损失由中标人承担。</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4.中标人提供的货物或服务如侵犯了第三方合法权益而引发的任何纠纷或诉讼，均由中标人负责交涉且承担全部赔偿责任，包括因知识产权造成采购人的经济损失。</w:t>
            </w:r>
          </w:p>
          <w:p>
            <w:pPr>
              <w:widowControl/>
              <w:tabs>
                <w:tab w:val="left" w:pos="180"/>
                <w:tab w:val="left" w:pos="1620"/>
              </w:tabs>
              <w:spacing w:after="0" w:line="440" w:lineRule="atLeast"/>
              <w:rPr>
                <w:rFonts w:hint="eastAsia" w:ascii="宋体" w:hAnsi="宋体" w:cs="宋体"/>
                <w:color w:val="auto"/>
                <w:szCs w:val="21"/>
              </w:rPr>
            </w:pPr>
            <w:r>
              <w:rPr>
                <w:rFonts w:hint="eastAsia" w:ascii="宋体" w:hAnsi="宋体" w:cs="宋体"/>
                <w:color w:val="auto"/>
                <w:szCs w:val="21"/>
              </w:rPr>
              <w:t>5.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tc>
      </w:tr>
    </w:tbl>
    <w:p>
      <w:pPr>
        <w:pStyle w:val="17"/>
        <w:rPr>
          <w:color w:val="auto"/>
        </w:rPr>
      </w:pPr>
    </w:p>
    <w:p>
      <w:pPr>
        <w:rPr>
          <w:rFonts w:hint="eastAsia" w:ascii="宋体" w:hAnsi="宋体" w:cs="宋体"/>
          <w:color w:val="auto"/>
        </w:rPr>
      </w:pPr>
      <w:r>
        <w:rPr>
          <w:rFonts w:hint="eastAsia" w:ascii="宋体" w:hAnsi="宋体" w:cs="宋体"/>
          <w:color w:val="auto"/>
        </w:rPr>
        <w:br w:type="page"/>
      </w:r>
    </w:p>
    <w:p>
      <w:pPr>
        <w:spacing w:line="428" w:lineRule="exact"/>
        <w:ind w:left="119"/>
        <w:rPr>
          <w:rFonts w:hint="eastAsia" w:ascii="宋体" w:hAnsi="宋体" w:cs="宋体"/>
          <w:color w:val="auto"/>
          <w:sz w:val="32"/>
          <w:szCs w:val="32"/>
        </w:rPr>
      </w:pPr>
      <w:r>
        <w:rPr>
          <w:rFonts w:hint="eastAsia" w:ascii="宋体" w:hAnsi="宋体" w:cs="宋体"/>
          <w:color w:val="auto"/>
        </w:rPr>
        <w:t xml:space="preserve"> </w:t>
      </w:r>
      <w:r>
        <w:rPr>
          <w:rFonts w:hint="eastAsia" w:ascii="宋体" w:hAnsi="宋体" w:cs="宋体"/>
          <w:color w:val="auto"/>
          <w:sz w:val="32"/>
          <w:szCs w:val="32"/>
        </w:rPr>
        <w:t>附件1</w:t>
      </w:r>
    </w:p>
    <w:p>
      <w:pPr>
        <w:spacing w:before="7"/>
        <w:rPr>
          <w:rFonts w:hint="eastAsia" w:ascii="宋体" w:hAnsi="宋体" w:cs="宋体"/>
          <w:color w:val="auto"/>
          <w:sz w:val="17"/>
          <w:szCs w:val="17"/>
        </w:rPr>
      </w:pPr>
    </w:p>
    <w:p>
      <w:pPr>
        <w:spacing w:line="528" w:lineRule="exact"/>
        <w:jc w:val="center"/>
        <w:rPr>
          <w:rFonts w:hint="eastAsia" w:ascii="宋体" w:hAnsi="宋体" w:cs="宋体"/>
          <w:color w:val="auto"/>
          <w:sz w:val="40"/>
          <w:szCs w:val="40"/>
        </w:rPr>
      </w:pPr>
      <w:r>
        <w:rPr>
          <w:rFonts w:hint="eastAsia" w:ascii="宋体" w:hAnsi="宋体" w:cs="宋体"/>
          <w:color w:val="auto"/>
          <w:sz w:val="40"/>
          <w:szCs w:val="40"/>
        </w:rPr>
        <w:t>节能产品政府采购品目清单</w:t>
      </w:r>
    </w:p>
    <w:tbl>
      <w:tblPr>
        <w:tblStyle w:val="26"/>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tcPr>
          <w:p>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品目序号</w:t>
            </w:r>
          </w:p>
        </w:tc>
        <w:tc>
          <w:tcPr>
            <w:tcW w:w="4044" w:type="dxa"/>
            <w:gridSpan w:val="3"/>
            <w:vAlign w:val="center"/>
          </w:tcPr>
          <w:p>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名称</w:t>
            </w:r>
          </w:p>
        </w:tc>
        <w:tc>
          <w:tcPr>
            <w:tcW w:w="4335" w:type="dxa"/>
            <w:vAlign w:val="center"/>
          </w:tcPr>
          <w:p>
            <w:pPr>
              <w:widowControl/>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A020101计算机设备</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2</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5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A02010601打印设备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A02010604显示设备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A0201060901扫描仪</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3</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A020202投影仪</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4</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5</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A020519泵</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A02051901离心泵</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6</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5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冷水机组</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水源热泵机组</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★A02052305空调机组</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机房空调</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冷却塔</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7</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A020601电机</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8</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A020602变压器</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配电变压器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9</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★A020609镇流器</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A020618生活用电器</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A0206180101电冰箱</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★A0206180203空调机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房间空气调节器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多联式空调（热泵）机组（制冷量≤ 14000W）</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A0206180301洗衣机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A02061808热水器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★电热水器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燃气热水器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热泵热水器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Merge w:val="continue"/>
            <w:vAlign w:val="center"/>
          </w:tcPr>
          <w:p>
            <w:pPr>
              <w:widowControl/>
              <w:jc w:val="left"/>
              <w:rPr>
                <w:rFonts w:hint="eastAsia" w:ascii="宋体" w:hAnsi="宋体" w:cs="宋体"/>
                <w:color w:val="auto"/>
                <w:kern w:val="0"/>
                <w:sz w:val="20"/>
                <w:szCs w:val="20"/>
              </w:rPr>
            </w:pP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太阳能热水系统</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11</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A020619照明设备</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LED筒灯</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12</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★A020910电视设备</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13</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★A020911视频设备</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监视器</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14</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商用燃气灶具</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15</w:t>
            </w:r>
          </w:p>
        </w:tc>
        <w:tc>
          <w:tcPr>
            <w:tcW w:w="916" w:type="dxa"/>
            <w:vMerge w:val="restart"/>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★A060805便器</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坐便器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蹲便器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vAlign w:val="center"/>
          </w:tcPr>
          <w:p>
            <w:pPr>
              <w:widowControl/>
              <w:jc w:val="left"/>
              <w:rPr>
                <w:rFonts w:hint="eastAsia" w:ascii="宋体" w:hAnsi="宋体" w:cs="宋体"/>
                <w:color w:val="auto"/>
                <w:kern w:val="0"/>
                <w:sz w:val="20"/>
                <w:szCs w:val="20"/>
              </w:rPr>
            </w:pPr>
          </w:p>
        </w:tc>
        <w:tc>
          <w:tcPr>
            <w:tcW w:w="916" w:type="dxa"/>
            <w:vMerge w:val="continue"/>
            <w:vAlign w:val="center"/>
          </w:tcPr>
          <w:p>
            <w:pPr>
              <w:widowControl/>
              <w:jc w:val="left"/>
              <w:rPr>
                <w:rFonts w:hint="eastAsia" w:ascii="宋体" w:hAnsi="宋体" w:cs="宋体"/>
                <w:color w:val="auto"/>
                <w:kern w:val="0"/>
                <w:sz w:val="20"/>
                <w:szCs w:val="20"/>
              </w:rPr>
            </w:pP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小便器</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16</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★A060806水嘴</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17</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A060807便器冲洗阀</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18</w:t>
            </w:r>
          </w:p>
        </w:tc>
        <w:tc>
          <w:tcPr>
            <w:tcW w:w="9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A060810淋浴器</w:t>
            </w:r>
          </w:p>
        </w:tc>
        <w:tc>
          <w:tcPr>
            <w:tcW w:w="1516"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1612" w:type="dxa"/>
            <w:vAlign w:val="center"/>
          </w:tcPr>
          <w:p>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　</w:t>
            </w:r>
          </w:p>
        </w:tc>
        <w:tc>
          <w:tcPr>
            <w:tcW w:w="4335" w:type="dxa"/>
            <w:vAlign w:val="center"/>
          </w:tcPr>
          <w:p>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pPr>
        <w:spacing w:after="120" w:line="360" w:lineRule="auto"/>
        <w:rPr>
          <w:rFonts w:hint="eastAsia" w:ascii="宋体" w:hAnsi="宋体" w:cs="宋体"/>
          <w:color w:val="auto"/>
          <w:spacing w:val="-3"/>
          <w:szCs w:val="21"/>
        </w:rPr>
      </w:pPr>
    </w:p>
    <w:p>
      <w:pPr>
        <w:spacing w:after="120" w:line="360" w:lineRule="auto"/>
        <w:rPr>
          <w:rFonts w:hint="eastAsia" w:ascii="宋体" w:hAnsi="宋体" w:cs="宋体"/>
          <w:color w:val="auto"/>
          <w:szCs w:val="21"/>
        </w:rPr>
      </w:pPr>
      <w:r>
        <w:rPr>
          <w:rFonts w:hint="eastAsia" w:ascii="宋体" w:hAnsi="宋体" w:cs="宋体"/>
          <w:color w:val="auto"/>
          <w:spacing w:val="-3"/>
          <w:szCs w:val="21"/>
        </w:rPr>
        <w:t>注：1.节能产品认证应依据相关国家标准的最新版本，依据国家标准中二级能效（水效）</w:t>
      </w:r>
      <w:r>
        <w:rPr>
          <w:rFonts w:hint="eastAsia" w:ascii="宋体" w:hAnsi="宋体" w:cs="宋体"/>
          <w:color w:val="auto"/>
          <w:szCs w:val="21"/>
        </w:rPr>
        <w:t>指标。</w:t>
      </w:r>
    </w:p>
    <w:p>
      <w:pPr>
        <w:spacing w:after="120" w:line="360" w:lineRule="auto"/>
        <w:rPr>
          <w:rFonts w:hint="eastAsia" w:ascii="宋体" w:hAnsi="宋体" w:cs="宋体"/>
          <w:b/>
          <w:bCs/>
          <w:color w:val="auto"/>
          <w:szCs w:val="21"/>
        </w:rPr>
      </w:pPr>
      <w:r>
        <w:rPr>
          <w:rFonts w:hint="eastAsia" w:ascii="宋体" w:hAnsi="宋体" w:cs="宋体"/>
          <w:color w:val="auto"/>
          <w:szCs w:val="21"/>
        </w:rPr>
        <w:t xml:space="preserve">    2</w:t>
      </w:r>
      <w:r>
        <w:rPr>
          <w:rFonts w:hint="eastAsia" w:ascii="宋体" w:hAnsi="宋体" w:cs="宋体"/>
          <w:b/>
          <w:bCs/>
          <w:color w:val="auto"/>
          <w:szCs w:val="21"/>
        </w:rPr>
        <w:t>.以“★”标注的为政府强制采购产品。</w:t>
      </w:r>
    </w:p>
    <w:p>
      <w:pPr>
        <w:tabs>
          <w:tab w:val="left" w:pos="2882"/>
          <w:tab w:val="center" w:pos="4878"/>
        </w:tabs>
        <w:jc w:val="left"/>
        <w:rPr>
          <w:rFonts w:hint="eastAsia" w:ascii="宋体" w:hAnsi="宋体" w:cs="宋体"/>
          <w:color w:val="auto"/>
          <w:sz w:val="32"/>
          <w:szCs w:val="32"/>
        </w:rPr>
      </w:pPr>
      <w:r>
        <w:rPr>
          <w:rFonts w:hint="eastAsia" w:ascii="宋体" w:hAnsi="宋体" w:cs="宋体"/>
          <w:color w:val="auto"/>
          <w:sz w:val="32"/>
          <w:szCs w:val="32"/>
        </w:rPr>
        <w:br w:type="page"/>
      </w:r>
      <w:r>
        <w:rPr>
          <w:rFonts w:hint="eastAsia" w:ascii="宋体" w:hAnsi="宋体" w:cs="宋体"/>
          <w:color w:val="auto"/>
          <w:sz w:val="32"/>
          <w:szCs w:val="32"/>
        </w:rPr>
        <w:t>附件2</w:t>
      </w:r>
    </w:p>
    <w:p>
      <w:pPr>
        <w:spacing w:before="7"/>
        <w:rPr>
          <w:rFonts w:hint="eastAsia" w:ascii="宋体" w:hAnsi="宋体" w:cs="宋体"/>
          <w:color w:val="auto"/>
          <w:sz w:val="17"/>
          <w:szCs w:val="17"/>
        </w:rPr>
      </w:pPr>
    </w:p>
    <w:p>
      <w:pPr>
        <w:widowControl/>
        <w:spacing w:before="165" w:beforeLines="50" w:after="165" w:afterLines="50" w:line="280" w:lineRule="exact"/>
        <w:jc w:val="center"/>
        <w:rPr>
          <w:rFonts w:hint="eastAsia" w:ascii="宋体" w:hAnsi="宋体" w:cs="宋体"/>
          <w:b/>
          <w:bCs/>
          <w:color w:val="auto"/>
          <w:kern w:val="0"/>
          <w:sz w:val="30"/>
          <w:szCs w:val="30"/>
        </w:rPr>
      </w:pPr>
      <w:bookmarkStart w:id="72" w:name="_Toc28361_WPSOffice_Level2"/>
      <w:r>
        <w:rPr>
          <w:rFonts w:hint="eastAsia" w:ascii="宋体" w:hAnsi="宋体" w:cs="宋体"/>
          <w:b/>
          <w:bCs/>
          <w:color w:val="auto"/>
          <w:kern w:val="0"/>
          <w:sz w:val="30"/>
          <w:szCs w:val="30"/>
        </w:rPr>
        <w:t>统计上大中小微型企业划分标准</w:t>
      </w:r>
      <w:bookmarkEnd w:id="72"/>
    </w:p>
    <w:tbl>
      <w:tblPr>
        <w:tblStyle w:val="26"/>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pPr>
              <w:widowControl/>
              <w:spacing w:line="280" w:lineRule="exact"/>
              <w:jc w:val="center"/>
              <w:rPr>
                <w:rFonts w:hint="eastAsia"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计量</w:t>
            </w:r>
          </w:p>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50≤Y＜500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工业 *</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Y≥40000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2000≤Y＜40000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300≤Y＜2000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建筑业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Y≥80000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6000≤Y＜80000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300≤Y＜6000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Z≥80000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5000≤Z＜80000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300≤Z＜5000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批发业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20≤X＜200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5≤X＜20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Y≥40000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5000≤Y＜40000</w:t>
            </w:r>
          </w:p>
        </w:tc>
        <w:tc>
          <w:tcPr>
            <w:tcW w:w="1426" w:type="dxa"/>
            <w:vAlign w:val="center"/>
          </w:tcPr>
          <w:p>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零售业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50≤X＜300</w:t>
            </w:r>
          </w:p>
        </w:tc>
        <w:tc>
          <w:tcPr>
            <w:tcW w:w="1426" w:type="dxa"/>
            <w:vAlign w:val="center"/>
          </w:tcPr>
          <w:p>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426" w:type="dxa"/>
            <w:vAlign w:val="center"/>
          </w:tcPr>
          <w:p>
            <w:pPr>
              <w:widowControl/>
              <w:spacing w:line="280" w:lineRule="exact"/>
              <w:ind w:left="-1" w:leftChars="-1" w:hanging="1"/>
              <w:jc w:val="center"/>
              <w:rPr>
                <w:rFonts w:hint="eastAsia" w:ascii="宋体" w:hAnsi="宋体" w:cs="宋体"/>
                <w:color w:val="auto"/>
                <w:kern w:val="0"/>
                <w:sz w:val="18"/>
                <w:szCs w:val="18"/>
              </w:rPr>
            </w:pPr>
            <w:r>
              <w:rPr>
                <w:rFonts w:hint="eastAsia" w:ascii="宋体" w:hAnsi="宋体" w:cs="宋体"/>
                <w:color w:val="auto"/>
                <w:kern w:val="0"/>
                <w:sz w:val="18"/>
                <w:szCs w:val="18"/>
              </w:rPr>
              <w:t>100≤Y＜500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3000≤Y＜30000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200≤Y＜3000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仓储业*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100≤X＜200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1000≤Y＜30000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邮政业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Y≥30000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2000≤Y＜30000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住宿业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餐饮业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X≥2000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100≤X＜2000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hint="eastAsia"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hint="eastAsia" w:ascii="宋体" w:hAnsi="宋体" w:cs="宋体"/>
                <w:color w:val="auto"/>
                <w:spacing w:val="-12"/>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1000≤Y＜10000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50≤Y＜1000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Y≥200000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5000≤Z＜10000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2000≤Z＜5000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500≤Y＜1000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hint="eastAsia" w:ascii="宋体" w:hAnsi="宋体" w:cs="宋体"/>
                <w:color w:val="auto"/>
                <w:kern w:val="0"/>
                <w:sz w:val="18"/>
                <w:szCs w:val="18"/>
              </w:rPr>
            </w:pP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Z≥120000</w:t>
            </w:r>
          </w:p>
        </w:tc>
        <w:tc>
          <w:tcPr>
            <w:tcW w:w="1701"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100≤Z＜8000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125"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X≥300</w:t>
            </w:r>
          </w:p>
        </w:tc>
        <w:tc>
          <w:tcPr>
            <w:tcW w:w="1701" w:type="dxa"/>
            <w:vAlign w:val="center"/>
          </w:tcPr>
          <w:p>
            <w:pPr>
              <w:widowControl/>
              <w:spacing w:line="280" w:lineRule="exact"/>
              <w:ind w:left="1" w:leftChars="-51" w:hanging="108" w:hangingChars="60"/>
              <w:jc w:val="center"/>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426"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992" w:type="dxa"/>
            <w:vAlign w:val="center"/>
          </w:tcPr>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X＜10</w:t>
            </w:r>
          </w:p>
        </w:tc>
      </w:tr>
    </w:tbl>
    <w:p>
      <w:pPr>
        <w:widowControl/>
        <w:spacing w:line="280" w:lineRule="exact"/>
        <w:rPr>
          <w:rFonts w:hint="eastAsia" w:ascii="宋体" w:hAnsi="宋体" w:cs="宋体"/>
          <w:color w:val="auto"/>
          <w:spacing w:val="8"/>
          <w:kern w:val="0"/>
          <w:sz w:val="24"/>
        </w:rPr>
      </w:pPr>
    </w:p>
    <w:p>
      <w:pPr>
        <w:widowControl/>
        <w:spacing w:line="360" w:lineRule="auto"/>
        <w:rPr>
          <w:rFonts w:hint="eastAsia" w:ascii="宋体" w:hAnsi="宋体" w:cs="宋体"/>
          <w:color w:val="auto"/>
          <w:spacing w:val="8"/>
          <w:kern w:val="0"/>
          <w:szCs w:val="21"/>
        </w:rPr>
      </w:pPr>
    </w:p>
    <w:p>
      <w:pPr>
        <w:widowControl/>
        <w:spacing w:line="360" w:lineRule="auto"/>
        <w:rPr>
          <w:rFonts w:hint="eastAsia" w:ascii="宋体" w:hAnsi="宋体" w:cs="宋体"/>
          <w:color w:val="auto"/>
          <w:spacing w:val="8"/>
          <w:kern w:val="0"/>
          <w:szCs w:val="21"/>
        </w:rPr>
      </w:pPr>
      <w:r>
        <w:rPr>
          <w:rFonts w:hint="eastAsia" w:ascii="宋体" w:hAnsi="宋体" w:cs="宋体"/>
          <w:color w:val="auto"/>
          <w:spacing w:val="8"/>
          <w:kern w:val="0"/>
          <w:szCs w:val="21"/>
        </w:rPr>
        <w:t>说明：</w:t>
      </w:r>
    </w:p>
    <w:p>
      <w:pPr>
        <w:pStyle w:val="14"/>
        <w:adjustRightInd w:val="0"/>
        <w:spacing w:line="360" w:lineRule="auto"/>
        <w:ind w:firstLine="452" w:firstLineChars="200"/>
        <w:contextualSpacing/>
        <w:rPr>
          <w:rFonts w:hint="eastAsia" w:hAnsi="宋体" w:cs="宋体"/>
          <w:color w:val="auto"/>
          <w:spacing w:val="8"/>
          <w:kern w:val="0"/>
          <w:szCs w:val="21"/>
        </w:rPr>
      </w:pPr>
      <w:r>
        <w:rPr>
          <w:rFonts w:hint="eastAsia" w:hAnsi="宋体" w:cs="宋体"/>
          <w:color w:val="auto"/>
          <w:spacing w:val="8"/>
          <w:kern w:val="0"/>
          <w:szCs w:val="21"/>
        </w:rPr>
        <w:t>1.大型、中型和小型企业须同时满足所列指标的下限，否则下划一档；微型企业只须满足所列指标中的一项即可。</w:t>
      </w:r>
    </w:p>
    <w:p>
      <w:pPr>
        <w:pStyle w:val="14"/>
        <w:adjustRightInd w:val="0"/>
        <w:spacing w:line="360" w:lineRule="auto"/>
        <w:ind w:firstLine="452" w:firstLineChars="200"/>
        <w:contextualSpacing/>
        <w:rPr>
          <w:rFonts w:hint="eastAsia" w:hAnsi="宋体" w:cs="宋体"/>
          <w:color w:val="auto"/>
          <w:spacing w:val="8"/>
          <w:kern w:val="0"/>
          <w:szCs w:val="21"/>
        </w:rPr>
      </w:pPr>
      <w:r>
        <w:rPr>
          <w:rFonts w:hint="eastAsia" w:hAnsi="宋体" w:cs="宋体"/>
          <w:color w:val="auto"/>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4"/>
        <w:spacing w:line="360" w:lineRule="auto"/>
        <w:ind w:firstLine="452" w:firstLineChars="200"/>
        <w:rPr>
          <w:rFonts w:hint="eastAsia" w:hAnsi="宋体" w:cs="宋体"/>
          <w:color w:val="auto"/>
          <w:spacing w:val="8"/>
          <w:kern w:val="0"/>
          <w:szCs w:val="21"/>
        </w:rPr>
      </w:pPr>
      <w:r>
        <w:rPr>
          <w:rFonts w:hint="eastAsia" w:hAnsi="宋体" w:cs="宋体"/>
          <w:color w:val="auto"/>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23"/>
        <w:shd w:val="clear" w:color="auto" w:fill="FFFFFF"/>
        <w:spacing w:before="30" w:beforeAutospacing="0" w:after="30" w:afterAutospacing="0"/>
        <w:rPr>
          <w:rFonts w:hint="eastAsia"/>
          <w:color w:val="auto"/>
        </w:rPr>
      </w:pPr>
      <w:r>
        <w:rPr>
          <w:rFonts w:hint="eastAsia"/>
          <w:color w:val="auto"/>
          <w:spacing w:val="8"/>
          <w:szCs w:val="21"/>
        </w:rPr>
        <w:br w:type="page"/>
      </w:r>
      <w:r>
        <w:rPr>
          <w:rFonts w:hint="eastAsia"/>
          <w:color w:val="auto"/>
          <w:sz w:val="32"/>
          <w:szCs w:val="32"/>
        </w:rPr>
        <w:t>附件3</w:t>
      </w:r>
    </w:p>
    <w:p>
      <w:pPr>
        <w:widowControl/>
        <w:shd w:val="clear" w:color="auto" w:fill="FFFFFF"/>
        <w:spacing w:before="30" w:after="30" w:line="360" w:lineRule="auto"/>
        <w:jc w:val="center"/>
        <w:rPr>
          <w:rFonts w:hint="eastAsia" w:ascii="宋体" w:hAnsi="宋体" w:cs="宋体"/>
          <w:b/>
          <w:color w:val="auto"/>
          <w:sz w:val="30"/>
          <w:szCs w:val="30"/>
        </w:rPr>
      </w:pPr>
    </w:p>
    <w:p>
      <w:pPr>
        <w:widowControl/>
        <w:shd w:val="clear" w:color="auto" w:fill="FFFFFF"/>
        <w:spacing w:before="30" w:after="30" w:line="360" w:lineRule="auto"/>
        <w:jc w:val="center"/>
        <w:rPr>
          <w:rFonts w:hint="eastAsia" w:ascii="宋体" w:hAnsi="宋体" w:cs="宋体"/>
          <w:color w:val="auto"/>
          <w:sz w:val="24"/>
        </w:rPr>
      </w:pPr>
      <w:r>
        <w:rPr>
          <w:rFonts w:hint="eastAsia" w:ascii="宋体" w:hAnsi="宋体" w:cs="宋体"/>
          <w:b/>
          <w:color w:val="auto"/>
          <w:sz w:val="30"/>
          <w:szCs w:val="30"/>
        </w:rPr>
        <w:t>中国境内生产的组件成本核算基本规则</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一、产品的一级组件是指直接组成产品的组件。产品的二级组件是指直接组成产品一级组件的组件。一级组件不可分解的，视同二级组件。</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二、二级组件在中国境内生产的，其全部成本计入中国境内生产的组件成本；二级组件不在中国境内生产的，其成本不计入中国境内生产的组件成本。</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三、产品总成本和组件成本以相关会计核算数据、采购合同、进货记录等为基础进行计算。</w:t>
      </w:r>
    </w:p>
    <w:p>
      <w:pPr>
        <w:pStyle w:val="14"/>
        <w:spacing w:line="360" w:lineRule="auto"/>
        <w:ind w:firstLine="420" w:firstLineChars="200"/>
        <w:rPr>
          <w:rFonts w:hint="eastAsia" w:hAnsi="宋体" w:cs="宋体"/>
          <w:color w:val="auto"/>
          <w:szCs w:val="21"/>
        </w:rPr>
      </w:pPr>
      <w:r>
        <w:rPr>
          <w:rFonts w:hint="eastAsia" w:hAnsi="宋体" w:cs="宋体"/>
          <w:color w:val="auto"/>
          <w:szCs w:val="21"/>
        </w:rPr>
        <w:t>四、需要对成本核算规则予以进一步明确的其他有关事项，由财政部会同有关部门另行规定。</w:t>
      </w:r>
    </w:p>
    <w:p>
      <w:pPr>
        <w:pStyle w:val="14"/>
        <w:spacing w:line="360" w:lineRule="auto"/>
        <w:ind w:firstLine="420" w:firstLineChars="200"/>
        <w:rPr>
          <w:rFonts w:hint="eastAsia" w:hAnsi="宋体" w:cs="宋体"/>
          <w:color w:val="auto"/>
          <w:szCs w:val="21"/>
        </w:rPr>
      </w:pPr>
    </w:p>
    <w:p>
      <w:pPr>
        <w:pStyle w:val="14"/>
        <w:spacing w:line="360" w:lineRule="auto"/>
        <w:ind w:firstLine="420" w:firstLineChars="200"/>
        <w:jc w:val="center"/>
        <w:rPr>
          <w:rFonts w:hint="eastAsia" w:hAnsi="宋体" w:cs="宋体"/>
          <w:b/>
          <w:color w:val="auto"/>
          <w:sz w:val="36"/>
          <w:szCs w:val="36"/>
        </w:rPr>
      </w:pPr>
      <w:r>
        <w:rPr>
          <w:rFonts w:hint="eastAsia" w:hAnsi="宋体" w:cs="宋体"/>
          <w:color w:val="auto"/>
          <w:szCs w:val="21"/>
        </w:rPr>
        <w:br w:type="page"/>
      </w:r>
      <w:bookmarkStart w:id="73" w:name="_Toc8839"/>
      <w:bookmarkStart w:id="74" w:name="_Toc30618"/>
      <w:bookmarkStart w:id="75" w:name="_Toc9505"/>
      <w:bookmarkStart w:id="76" w:name="_Toc10316"/>
      <w:bookmarkStart w:id="77" w:name="_Toc5641"/>
      <w:bookmarkStart w:id="78" w:name="_Toc5815"/>
      <w:bookmarkStart w:id="79" w:name="_Toc1395"/>
      <w:bookmarkStart w:id="80" w:name="_Toc15229"/>
      <w:bookmarkStart w:id="81" w:name="_Toc6743"/>
      <w:bookmarkStart w:id="82" w:name="_Toc532545044"/>
      <w:bookmarkStart w:id="83" w:name="_Toc29575"/>
      <w:bookmarkStart w:id="84" w:name="_Toc2394"/>
      <w:r>
        <w:rPr>
          <w:rFonts w:hint="eastAsia" w:hAnsi="宋体" w:cs="宋体"/>
          <w:b/>
          <w:color w:val="auto"/>
          <w:sz w:val="36"/>
        </w:rPr>
        <w:t>第三章  投标人须知</w:t>
      </w:r>
      <w:bookmarkEnd w:id="73"/>
      <w:bookmarkEnd w:id="74"/>
      <w:bookmarkEnd w:id="75"/>
      <w:bookmarkEnd w:id="76"/>
      <w:bookmarkEnd w:id="77"/>
      <w:bookmarkEnd w:id="78"/>
      <w:bookmarkEnd w:id="79"/>
      <w:bookmarkEnd w:id="80"/>
      <w:bookmarkEnd w:id="81"/>
      <w:bookmarkEnd w:id="82"/>
      <w:bookmarkEnd w:id="83"/>
      <w:bookmarkEnd w:id="84"/>
    </w:p>
    <w:p>
      <w:pPr>
        <w:pStyle w:val="14"/>
        <w:spacing w:line="360" w:lineRule="auto"/>
        <w:jc w:val="center"/>
        <w:outlineLvl w:val="1"/>
        <w:rPr>
          <w:rFonts w:hint="eastAsia" w:hAnsi="宋体" w:cs="宋体"/>
          <w:b/>
          <w:color w:val="auto"/>
          <w:sz w:val="30"/>
          <w:szCs w:val="30"/>
        </w:rPr>
      </w:pPr>
      <w:bookmarkStart w:id="85" w:name="_Toc992"/>
      <w:bookmarkStart w:id="86" w:name="_Toc20955"/>
      <w:bookmarkStart w:id="87" w:name="_Toc12345"/>
      <w:bookmarkStart w:id="88" w:name="_Toc2967"/>
      <w:bookmarkStart w:id="89" w:name="_Toc28990"/>
      <w:r>
        <w:rPr>
          <w:rFonts w:hint="eastAsia" w:hAnsi="宋体" w:cs="宋体"/>
          <w:b/>
          <w:color w:val="auto"/>
          <w:sz w:val="30"/>
          <w:szCs w:val="30"/>
        </w:rPr>
        <w:t>第一节 投标人须知前附表</w:t>
      </w:r>
      <w:bookmarkEnd w:id="85"/>
      <w:bookmarkEnd w:id="86"/>
      <w:bookmarkEnd w:id="87"/>
      <w:bookmarkEnd w:id="88"/>
      <w:bookmarkEnd w:id="89"/>
    </w:p>
    <w:tbl>
      <w:tblPr>
        <w:tblStyle w:val="26"/>
        <w:tblW w:w="95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66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s="宋体"/>
                <w:color w:val="auto"/>
                <w:szCs w:val="21"/>
              </w:rPr>
            </w:pPr>
            <w:r>
              <w:rPr>
                <w:rFonts w:hint="eastAsia" w:ascii="宋体" w:hAnsi="宋体" w:cs="宋体"/>
                <w:color w:val="auto"/>
                <w:szCs w:val="21"/>
              </w:rPr>
              <w:t>条款号</w:t>
            </w: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s="宋体"/>
                <w:color w:val="auto"/>
                <w:szCs w:val="21"/>
              </w:rPr>
            </w:pPr>
            <w:r>
              <w:rPr>
                <w:rFonts w:hint="eastAsia" w:ascii="宋体" w:hAnsi="宋体" w:cs="宋体"/>
                <w:color w:val="auto"/>
                <w:szCs w:val="21"/>
              </w:rPr>
              <w:t>项目内容</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s="宋体"/>
                <w:color w:val="auto"/>
                <w:szCs w:val="21"/>
              </w:rPr>
            </w:pPr>
            <w:r>
              <w:rPr>
                <w:rFonts w:hint="eastAsia" w:ascii="宋体" w:hAnsi="宋体" w:cs="宋体"/>
                <w:color w:val="auto"/>
                <w:szCs w:val="21"/>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2.8</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实质性要求</w:t>
            </w:r>
          </w:p>
        </w:tc>
        <w:tc>
          <w:tcPr>
            <w:tcW w:w="663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both"/>
              <w:rPr>
                <w:rFonts w:hint="eastAsia" w:ascii="宋体" w:hAnsi="宋体" w:cs="宋体"/>
                <w:color w:val="auto"/>
                <w:szCs w:val="21"/>
              </w:rPr>
            </w:pPr>
            <w:r>
              <w:rPr>
                <w:rFonts w:hint="eastAsia" w:ascii="宋体" w:hAnsi="宋体" w:cs="宋体"/>
                <w:color w:val="auto"/>
                <w:szCs w:val="21"/>
              </w:rPr>
              <w:t>指招标文件中已经指明不提供或不满足则投标无效的条款，或者不允许负偏离的条款，或者第二章“采购需求”中带“▲”的条款。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投标人的资格要求</w:t>
            </w:r>
          </w:p>
        </w:tc>
        <w:tc>
          <w:tcPr>
            <w:tcW w:w="663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both"/>
              <w:rPr>
                <w:rFonts w:hint="eastAsia" w:ascii="宋体" w:hAnsi="宋体" w:cs="宋体"/>
                <w:color w:val="auto"/>
                <w:szCs w:val="21"/>
              </w:rPr>
            </w:pPr>
            <w:r>
              <w:rPr>
                <w:rFonts w:hint="eastAsia" w:ascii="宋体" w:hAnsi="宋体" w:cs="宋体"/>
                <w:color w:val="auto"/>
                <w:szCs w:val="21"/>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6.1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90" w:name="_5"/>
            <w:bookmarkEnd w:id="90"/>
            <w:bookmarkStart w:id="91" w:name="_9.2"/>
            <w:bookmarkEnd w:id="91"/>
            <w:bookmarkStart w:id="92" w:name="_8.1"/>
            <w:bookmarkEnd w:id="92"/>
            <w:r>
              <w:rPr>
                <w:rFonts w:hint="eastAsia" w:ascii="宋体" w:hAnsi="宋体" w:cs="宋体"/>
                <w:color w:val="auto"/>
                <w:szCs w:val="21"/>
              </w:rPr>
              <w:t>是否接受联合体投标</w:t>
            </w:r>
          </w:p>
        </w:tc>
        <w:tc>
          <w:tcPr>
            <w:tcW w:w="663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both"/>
              <w:rPr>
                <w:rFonts w:hint="eastAsia" w:ascii="宋体" w:hAnsi="宋体" w:cs="宋体"/>
                <w:color w:val="auto"/>
                <w:szCs w:val="21"/>
              </w:rPr>
            </w:pPr>
            <w:bookmarkStart w:id="93" w:name="PO_3000001867_PM007_1"/>
            <w:r>
              <w:rPr>
                <w:rFonts w:hint="eastAsia" w:ascii="宋体" w:hAnsi="宋体" w:cs="宋体"/>
                <w:color w:val="auto"/>
                <w:szCs w:val="21"/>
              </w:rPr>
              <w:t>详见招标公告</w:t>
            </w:r>
            <w:bookmarkEnd w:id="93"/>
            <w:r>
              <w:rPr>
                <w:rFonts w:hint="eastAsia" w:ascii="宋体" w:hAnsi="宋体" w:cs="宋体"/>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6.2</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联合体投标要求</w:t>
            </w:r>
          </w:p>
        </w:tc>
        <w:tc>
          <w:tcPr>
            <w:tcW w:w="663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both"/>
              <w:rPr>
                <w:rFonts w:hint="eastAsia" w:ascii="宋体" w:hAnsi="宋体" w:cs="宋体"/>
                <w:color w:val="auto"/>
                <w:szCs w:val="21"/>
              </w:rPr>
            </w:pPr>
            <w:r>
              <w:rPr>
                <w:rFonts w:hint="eastAsia" w:ascii="宋体" w:hAnsi="宋体" w:cs="宋体"/>
                <w:color w:val="auto"/>
                <w:szCs w:val="21"/>
              </w:rPr>
              <w:t>不接受联合体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7.2</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是否允许分包</w:t>
            </w:r>
          </w:p>
        </w:tc>
        <w:tc>
          <w:tcPr>
            <w:tcW w:w="663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cs="宋体"/>
                <w:color w:val="auto"/>
                <w:szCs w:val="21"/>
              </w:rPr>
            </w:pPr>
            <w:bookmarkStart w:id="94" w:name="PO_3000001871_PM044"/>
            <w:bookmarkStart w:id="95" w:name="PO_3000001867_PM044"/>
            <w:r>
              <w:rPr>
                <w:rFonts w:hint="eastAsia" w:ascii="宋体" w:hAnsi="宋体" w:cs="宋体"/>
                <w:color w:val="auto"/>
              </w:rPr>
              <w:sym w:font="Wingdings 2" w:char="0052"/>
            </w:r>
            <w:r>
              <w:rPr>
                <w:rFonts w:hint="eastAsia" w:ascii="宋体" w:hAnsi="宋体" w:cs="宋体"/>
                <w:color w:val="auto"/>
                <w:szCs w:val="21"/>
              </w:rPr>
              <w:t>不允许分包</w:t>
            </w:r>
            <w:bookmarkEnd w:id="94"/>
            <w:r>
              <w:rPr>
                <w:rFonts w:hint="eastAsia" w:ascii="宋体" w:hAnsi="宋体" w:cs="宋体"/>
                <w:color w:val="auto"/>
                <w:szCs w:val="21"/>
              </w:rPr>
              <w:t>。</w:t>
            </w:r>
          </w:p>
          <w:p>
            <w:pPr>
              <w:pStyle w:val="10"/>
              <w:spacing w:line="360" w:lineRule="auto"/>
              <w:rPr>
                <w:rFonts w:hint="eastAsia" w:ascii="宋体" w:hAnsi="宋体" w:cs="宋体"/>
                <w:color w:val="auto"/>
              </w:rPr>
            </w:pPr>
            <w:r>
              <w:rPr>
                <w:rFonts w:hint="eastAsia" w:ascii="宋体" w:hAnsi="宋体" w:cs="宋体"/>
                <w:color w:val="auto"/>
              </w:rPr>
              <w:t>□允许分包：</w:t>
            </w:r>
          </w:p>
          <w:bookmarkEnd w:id="95"/>
          <w:p>
            <w:pPr>
              <w:pStyle w:val="10"/>
              <w:spacing w:line="360" w:lineRule="auto"/>
              <w:rPr>
                <w:rFonts w:hint="eastAsia" w:ascii="宋体" w:hAnsi="宋体" w:cs="宋体"/>
                <w:color w:val="auto"/>
                <w:szCs w:val="21"/>
              </w:rPr>
            </w:pPr>
            <w:r>
              <w:rPr>
                <w:rFonts w:hint="eastAsia" w:ascii="宋体" w:hAnsi="宋体" w:cs="宋体"/>
                <w:color w:val="auto"/>
                <w:szCs w:val="21"/>
              </w:rPr>
              <w:t>分包内容：</w:t>
            </w:r>
            <w:r>
              <w:rPr>
                <w:rFonts w:hint="eastAsia" w:ascii="宋体" w:hAnsi="宋体" w:cs="宋体"/>
                <w:color w:val="auto"/>
                <w:szCs w:val="21"/>
                <w:u w:val="single"/>
              </w:rPr>
              <w:t xml:space="preserve">                                     。</w:t>
            </w:r>
          </w:p>
          <w:p>
            <w:pPr>
              <w:pStyle w:val="10"/>
              <w:spacing w:line="360" w:lineRule="auto"/>
              <w:rPr>
                <w:rFonts w:hint="eastAsia" w:ascii="宋体" w:hAnsi="宋体" w:cs="宋体"/>
                <w:color w:val="auto"/>
                <w:szCs w:val="21"/>
              </w:rPr>
            </w:pPr>
            <w:r>
              <w:rPr>
                <w:rFonts w:hint="eastAsia" w:ascii="宋体" w:hAnsi="宋体" w:cs="宋体"/>
                <w:color w:val="auto"/>
                <w:szCs w:val="21"/>
              </w:rPr>
              <w:t>分包金额或者比例：</w:t>
            </w:r>
            <w:r>
              <w:rPr>
                <w:rFonts w:hint="eastAsia" w:ascii="宋体" w:hAnsi="宋体" w:cs="宋体"/>
                <w:color w:val="auto"/>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8.4</w:t>
            </w:r>
          </w:p>
          <w:p>
            <w:pPr>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hint="eastAsia" w:ascii="宋体" w:hAnsi="宋体" w:cs="宋体"/>
                <w:color w:val="auto"/>
                <w:szCs w:val="21"/>
              </w:rPr>
            </w:pPr>
            <w:r>
              <w:rPr>
                <w:rFonts w:hint="eastAsia" w:ascii="宋体" w:hAnsi="宋体" w:cs="宋体"/>
                <w:color w:val="auto"/>
                <w:szCs w:val="21"/>
              </w:rPr>
              <w:t>提供相同品牌产品且通过资格审查、符合性审查的不同投标人参加同一合同项下投标的</w:t>
            </w:r>
            <w:r>
              <w:rPr>
                <w:rFonts w:hint="eastAsia"/>
                <w:color w:val="auto"/>
              </w:rPr>
              <w:t>获得参加评标资格的投标人或获得中标人推荐资格的</w:t>
            </w:r>
            <w:r>
              <w:rPr>
                <w:rFonts w:hint="eastAsia" w:ascii="宋体" w:hAnsi="宋体" w:cs="宋体"/>
                <w:color w:val="auto"/>
                <w:szCs w:val="21"/>
              </w:rPr>
              <w:t>确定方式</w:t>
            </w:r>
          </w:p>
        </w:tc>
        <w:tc>
          <w:tcPr>
            <w:tcW w:w="6631" w:type="dxa"/>
            <w:tcBorders>
              <w:top w:val="single" w:color="auto" w:sz="4" w:space="0"/>
              <w:left w:val="single" w:color="auto" w:sz="4" w:space="0"/>
              <w:right w:val="single" w:color="auto" w:sz="4" w:space="0"/>
            </w:tcBorders>
            <w:vAlign w:val="center"/>
          </w:tcPr>
          <w:p>
            <w:pPr>
              <w:pStyle w:val="14"/>
              <w:spacing w:line="360" w:lineRule="auto"/>
              <w:rPr>
                <w:rFonts w:hint="eastAsia" w:hAnsi="宋体" w:cs="宋体"/>
                <w:color w:val="auto"/>
                <w:szCs w:val="21"/>
              </w:rPr>
            </w:pPr>
            <w:r>
              <w:rPr>
                <w:rFonts w:hint="eastAsia" w:hAnsi="宋体" w:cs="宋体"/>
                <w:color w:val="auto"/>
                <w:szCs w:val="21"/>
              </w:rPr>
              <w:t>□随机抽取（采用最低评标价法，投标报价相同时；采用综合评分法，评审得分相同时。）</w:t>
            </w:r>
          </w:p>
          <w:p>
            <w:pPr>
              <w:pStyle w:val="10"/>
              <w:spacing w:line="360" w:lineRule="auto"/>
              <w:rPr>
                <w:rFonts w:hint="eastAsia" w:ascii="宋体" w:hAnsi="宋体" w:cs="宋体"/>
                <w:color w:val="auto"/>
                <w:szCs w:val="21"/>
              </w:rPr>
            </w:pPr>
            <w:r>
              <w:rPr>
                <w:rFonts w:hint="eastAsia" w:ascii="宋体" w:hAnsi="宋体" w:cs="宋体"/>
                <w:color w:val="auto"/>
                <w:szCs w:val="21"/>
              </w:rPr>
              <w:sym w:font="Wingdings 2" w:char="0052"/>
            </w:r>
            <w:r>
              <w:rPr>
                <w:rFonts w:hint="eastAsia" w:ascii="宋体" w:hAnsi="宋体" w:cs="宋体"/>
                <w:color w:val="auto"/>
                <w:szCs w:val="21"/>
              </w:rPr>
              <w:t>其他方式：</w:t>
            </w:r>
          </w:p>
          <w:p>
            <w:pPr>
              <w:pStyle w:val="10"/>
              <w:spacing w:line="360" w:lineRule="auto"/>
              <w:rPr>
                <w:rFonts w:hint="eastAsia" w:hAnsi="宋体" w:cs="宋体"/>
                <w:color w:val="auto"/>
              </w:rPr>
            </w:pPr>
            <w:r>
              <w:rPr>
                <w:rFonts w:hint="eastAsia" w:ascii="宋体" w:hAnsi="宋体" w:cs="宋体"/>
                <w:color w:val="auto"/>
                <w:szCs w:val="21"/>
              </w:rPr>
              <w:sym w:font="Wingdings 2" w:char="0052"/>
            </w:r>
            <w:r>
              <w:rPr>
                <w:rFonts w:hint="eastAsia" w:ascii="宋体" w:hAnsi="宋体" w:cs="宋体"/>
                <w:b/>
                <w:bCs/>
                <w:color w:val="auto"/>
                <w:szCs w:val="21"/>
              </w:rPr>
              <w:t>采用综合评分法，</w:t>
            </w:r>
            <w:r>
              <w:rPr>
                <w:rFonts w:hint="eastAsia" w:ascii="宋体" w:hAnsi="宋体" w:cs="宋体"/>
                <w:color w:val="auto"/>
                <w:szCs w:val="21"/>
              </w:rPr>
              <w:t>评审得分相同时</w:t>
            </w:r>
            <w:r>
              <w:rPr>
                <w:rFonts w:hint="eastAsia" w:hAnsi="宋体" w:cs="宋体"/>
                <w:color w:val="auto"/>
                <w:szCs w:val="21"/>
              </w:rPr>
              <w:t>，</w:t>
            </w:r>
            <w:r>
              <w:rPr>
                <w:rFonts w:hint="eastAsia" w:ascii="宋体" w:hAnsi="宋体" w:cs="宋体"/>
                <w:color w:val="auto"/>
                <w:szCs w:val="21"/>
              </w:rPr>
              <w:t>投标总报价低的</w:t>
            </w:r>
            <w:r>
              <w:rPr>
                <w:rFonts w:hint="eastAsia" w:ascii="宋体" w:hAnsi="宋体" w:cs="宋体"/>
                <w:color w:val="auto"/>
              </w:rPr>
              <w:t>获得推荐资格</w:t>
            </w:r>
            <w:r>
              <w:rPr>
                <w:rFonts w:hint="eastAsia" w:hAnsi="宋体" w:cs="宋体"/>
                <w:color w:val="auto"/>
              </w:rPr>
              <w:t>，</w:t>
            </w:r>
            <w:r>
              <w:rPr>
                <w:rFonts w:hint="eastAsia" w:ascii="宋体" w:hAnsi="宋体" w:cs="宋体"/>
                <w:color w:val="auto"/>
                <w:szCs w:val="21"/>
              </w:rPr>
              <w:t>评审得分</w:t>
            </w:r>
            <w:r>
              <w:rPr>
                <w:rFonts w:hint="eastAsia" w:hAnsi="宋体" w:cs="宋体"/>
                <w:color w:val="auto"/>
                <w:szCs w:val="21"/>
              </w:rPr>
              <w:t>、</w:t>
            </w:r>
            <w:r>
              <w:rPr>
                <w:rFonts w:hint="eastAsia" w:hAnsi="宋体" w:cs="宋体"/>
                <w:color w:val="auto"/>
              </w:rPr>
              <w:t>投标总报价均相同时，由采购人随机抽取。</w:t>
            </w:r>
          </w:p>
          <w:p>
            <w:pPr>
              <w:spacing w:line="360" w:lineRule="auto"/>
              <w:rPr>
                <w:rFonts w:hint="eastAsia" w:ascii="宋体" w:hAnsi="宋体" w:cs="宋体"/>
                <w:color w:val="auto"/>
                <w:szCs w:val="21"/>
              </w:rPr>
            </w:pPr>
            <w:r>
              <w:rPr>
                <w:rFonts w:hint="eastAsia" w:ascii="宋体" w:hAnsi="宋体" w:cs="宋体"/>
                <w:color w:val="auto"/>
                <w:szCs w:val="21"/>
              </w:rPr>
              <w:t>□</w:t>
            </w:r>
            <w:r>
              <w:rPr>
                <w:rFonts w:hint="eastAsia" w:ascii="宋体" w:hAnsi="宋体" w:cs="宋体"/>
                <w:b/>
                <w:bCs/>
                <w:color w:val="auto"/>
                <w:szCs w:val="21"/>
              </w:rPr>
              <w:t>采用最低评标价法，</w:t>
            </w:r>
            <w:r>
              <w:rPr>
                <w:rFonts w:hint="eastAsia" w:ascii="宋体" w:hAnsi="宋体" w:cs="宋体"/>
                <w:color w:val="auto"/>
                <w:szCs w:val="21"/>
              </w:rPr>
              <w:t>投标总报价相同</w:t>
            </w:r>
            <w:r>
              <w:rPr>
                <w:rFonts w:hint="eastAsia" w:hAnsi="宋体" w:cs="宋体"/>
                <w:color w:val="auto"/>
                <w:szCs w:val="21"/>
              </w:rPr>
              <w:t>时</w:t>
            </w:r>
            <w:r>
              <w:rPr>
                <w:rFonts w:hint="eastAsia" w:ascii="宋体" w:hAnsi="宋体" w:cs="宋体"/>
                <w:color w:val="auto"/>
                <w:szCs w:val="21"/>
              </w:rPr>
              <w:t>，由采购人随机抽取。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11.4</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媒体发布渠道</w:t>
            </w:r>
          </w:p>
        </w:tc>
        <w:tc>
          <w:tcPr>
            <w:tcW w:w="663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 w:val="28"/>
                <w:szCs w:val="18"/>
              </w:rPr>
            </w:pPr>
            <w:r>
              <w:rPr>
                <w:rFonts w:hint="eastAsia" w:ascii="宋体" w:hAnsi="宋体" w:cs="宋体"/>
                <w:color w:val="auto"/>
                <w:szCs w:val="21"/>
              </w:rPr>
              <w:t>与本项目相关的政府采购业务澄清、更正及与之相关的事项将在招标公告中“六、其他补充事宜”中网上查询地址上发布</w:t>
            </w:r>
            <w:r>
              <w:rPr>
                <w:rFonts w:hint="eastAsia" w:ascii="宋体" w:hAnsi="宋体"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11.5</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是否组织标前答疑会</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sym w:font="Wingdings 2" w:char="0052"/>
            </w:r>
            <w:r>
              <w:rPr>
                <w:rFonts w:hint="eastAsia" w:ascii="宋体" w:hAnsi="宋体" w:cs="宋体"/>
                <w:color w:val="auto"/>
                <w:szCs w:val="21"/>
              </w:rPr>
              <w:t>不组织召开开标前答疑会</w:t>
            </w:r>
          </w:p>
          <w:p>
            <w:pPr>
              <w:snapToGrid w:val="0"/>
              <w:spacing w:line="360" w:lineRule="auto"/>
              <w:rPr>
                <w:rFonts w:hint="eastAsia" w:ascii="宋体" w:hAnsi="宋体" w:cs="宋体"/>
                <w:color w:val="auto"/>
                <w:szCs w:val="21"/>
              </w:rPr>
            </w:pPr>
            <w:r>
              <w:rPr>
                <w:rFonts w:hint="eastAsia" w:ascii="宋体" w:hAnsi="宋体" w:cs="宋体"/>
                <w:color w:val="auto"/>
                <w:szCs w:val="21"/>
              </w:rPr>
              <w:t>□组织召开开标前答疑会</w:t>
            </w:r>
          </w:p>
          <w:p>
            <w:pPr>
              <w:snapToGrid w:val="0"/>
              <w:spacing w:line="360" w:lineRule="auto"/>
              <w:rPr>
                <w:rFonts w:hint="eastAsia" w:ascii="宋体" w:hAnsi="宋体" w:cs="宋体"/>
                <w:color w:val="auto"/>
                <w:szCs w:val="21"/>
                <w:u w:val="single"/>
              </w:rPr>
            </w:pPr>
            <w:r>
              <w:rPr>
                <w:rFonts w:hint="eastAsia" w:ascii="宋体" w:hAnsi="宋体" w:cs="宋体"/>
                <w:color w:val="auto"/>
                <w:szCs w:val="21"/>
              </w:rPr>
              <w:t>会议开始时间：</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分</w:t>
            </w:r>
            <w:r>
              <w:rPr>
                <w:rFonts w:hint="eastAsia" w:ascii="宋体" w:hAnsi="宋体" w:cs="宋体"/>
                <w:color w:val="auto"/>
                <w:szCs w:val="21"/>
              </w:rPr>
              <w:t>，逾期后果自负。会议地点：</w:t>
            </w:r>
            <w:r>
              <w:rPr>
                <w:rFonts w:hint="eastAsia" w:ascii="宋体" w:hAnsi="宋体" w:cs="宋体"/>
                <w:color w:val="auto"/>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13.1</w:t>
            </w: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bookmarkStart w:id="96" w:name="_13.2"/>
            <w:bookmarkEnd w:id="96"/>
            <w:r>
              <w:rPr>
                <w:rFonts w:hint="eastAsia" w:ascii="宋体" w:hAnsi="宋体" w:cs="宋体"/>
                <w:color w:val="auto"/>
                <w:szCs w:val="21"/>
              </w:rPr>
              <w:t>资格文件组成</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r>
              <w:rPr>
                <w:rFonts w:hint="eastAsia" w:ascii="宋体" w:hAnsi="宋体" w:cs="宋体"/>
                <w:color w:val="auto"/>
                <w:szCs w:val="21"/>
              </w:rPr>
              <w:t>1.投标人为法人或者其他组织的，提供营业执照等证明文件复印件（如营业执照或者事业单位法人证书或者</w:t>
            </w:r>
            <w:r>
              <w:rPr>
                <w:rStyle w:val="45"/>
                <w:rFonts w:hint="eastAsia"/>
                <w:color w:val="auto"/>
                <w:szCs w:val="21"/>
              </w:rPr>
              <w:t>执业许可证</w:t>
            </w:r>
            <w:r>
              <w:rPr>
                <w:rFonts w:hint="eastAsia" w:ascii="宋体" w:hAnsi="宋体" w:cs="宋体"/>
                <w:color w:val="auto"/>
                <w:szCs w:val="21"/>
              </w:rPr>
              <w:t>等），投标人为自然人的，提供有效身份证正反面复印件；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扫描件。（</w:t>
            </w:r>
            <w:bookmarkStart w:id="97" w:name="OLE_LINK23"/>
            <w:r>
              <w:rPr>
                <w:rFonts w:hint="eastAsia" w:ascii="宋体" w:hAnsi="宋体" w:cs="宋体"/>
                <w:b/>
                <w:color w:val="auto"/>
                <w:szCs w:val="21"/>
              </w:rPr>
              <w:t>必须提供，否则作无效投标处理</w:t>
            </w:r>
            <w:bookmarkEnd w:id="97"/>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2.投标人依法缴纳税收的相关材料（提供税款所属时期为</w:t>
            </w:r>
            <w:r>
              <w:rPr>
                <w:rFonts w:hint="eastAsia"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9</w:t>
            </w:r>
            <w:r>
              <w:rPr>
                <w:rFonts w:hint="eastAsia" w:ascii="宋体" w:hAnsi="宋体" w:cs="宋体"/>
                <w:color w:val="auto"/>
                <w:szCs w:val="21"/>
              </w:rPr>
              <w:t>月至投标文件提交截止时间止的任意1个月的依法缴纳税收的凭据复印件；依法免税的投标人，必须提供相应文件证明其依法免税。从取得营业执照时间起到投标文件提交截止时间为止不足要求月数的，只需提供从取得营业执照起的依法缴纳税收相应证明文件）。（</w:t>
            </w:r>
            <w:bookmarkStart w:id="98" w:name="OLE_LINK24"/>
            <w:r>
              <w:rPr>
                <w:rFonts w:hint="eastAsia" w:ascii="宋体" w:hAnsi="宋体" w:cs="宋体"/>
                <w:b/>
                <w:color w:val="auto"/>
                <w:szCs w:val="21"/>
              </w:rPr>
              <w:t>必须提供，否则作无效投标处理</w:t>
            </w:r>
            <w:bookmarkEnd w:id="98"/>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3.投标人依法缴纳社会保障资金的相关材料（提供税款所属时期或缴费起始时间为</w:t>
            </w:r>
            <w:r>
              <w:rPr>
                <w:rFonts w:hint="eastAsia"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9</w:t>
            </w:r>
            <w:r>
              <w:rPr>
                <w:rFonts w:hint="eastAsia" w:ascii="宋体" w:hAnsi="宋体" w:cs="宋体"/>
                <w:color w:val="auto"/>
                <w:szCs w:val="21"/>
              </w:rPr>
              <w:t>月至投标文件提交截止时间止的任意1个月的依法缴纳社会保障资金的缴费凭证复印件；依法不需要缴纳社会保障资金的投标人，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rPr>
              <w:t>必须提供，否则作无效投标处理</w:t>
            </w:r>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4.</w:t>
            </w:r>
            <w:bookmarkStart w:id="99" w:name="OLE_LINK13"/>
            <w:r>
              <w:rPr>
                <w:rFonts w:hint="eastAsia" w:ascii="宋体" w:hAnsi="宋体" w:cs="宋体"/>
                <w:color w:val="auto"/>
                <w:szCs w:val="21"/>
              </w:rPr>
              <w:t>投标人财务状况报告（提供</w:t>
            </w:r>
            <w:r>
              <w:rPr>
                <w:rFonts w:hint="eastAsia" w:ascii="宋体" w:hAnsi="宋体" w:cs="宋体"/>
                <w:color w:val="auto"/>
                <w:szCs w:val="21"/>
                <w:u w:val="single"/>
              </w:rPr>
              <w:t>2025</w:t>
            </w:r>
            <w:r>
              <w:rPr>
                <w:rFonts w:hint="eastAsia" w:ascii="宋体" w:hAnsi="宋体" w:cs="宋体"/>
                <w:color w:val="auto"/>
                <w:szCs w:val="21"/>
              </w:rPr>
              <w:t>年度经审计的财务报告复印件或者截标时间前半年内至少一个月能反映财务状况的报表或者投标人自拟的截标时间前半年内至少一个月的财务情况说明）</w:t>
            </w:r>
            <w:bookmarkEnd w:id="99"/>
            <w:r>
              <w:rPr>
                <w:rFonts w:hint="eastAsia" w:ascii="宋体" w:hAnsi="宋体" w:cs="宋体"/>
                <w:color w:val="auto"/>
                <w:szCs w:val="21"/>
              </w:rPr>
              <w:t>。（</w:t>
            </w:r>
            <w:bookmarkStart w:id="100" w:name="OLE_LINK25"/>
            <w:r>
              <w:rPr>
                <w:rFonts w:hint="eastAsia" w:ascii="宋体" w:hAnsi="宋体" w:cs="宋体"/>
                <w:b/>
                <w:color w:val="auto"/>
                <w:szCs w:val="21"/>
              </w:rPr>
              <w:t>必须提供，否则作无效投标处理</w:t>
            </w:r>
            <w:bookmarkEnd w:id="100"/>
            <w:r>
              <w:rPr>
                <w:rFonts w:hint="eastAsia" w:ascii="宋体" w:hAnsi="宋体" w:cs="宋体"/>
                <w:color w:val="auto"/>
                <w:szCs w:val="21"/>
              </w:rPr>
              <w:t>）</w:t>
            </w:r>
          </w:p>
          <w:p>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5.</w:t>
            </w:r>
            <w:bookmarkStart w:id="101" w:name="OLE_LINK14"/>
            <w:r>
              <w:rPr>
                <w:rFonts w:hint="eastAsia" w:ascii="宋体" w:hAnsi="宋体" w:cs="宋体"/>
                <w:color w:val="auto"/>
                <w:szCs w:val="21"/>
              </w:rPr>
              <w:t>投标人直接控股股东信息表</w:t>
            </w:r>
            <w:bookmarkEnd w:id="101"/>
            <w:r>
              <w:rPr>
                <w:rFonts w:hint="eastAsia" w:ascii="宋体" w:hAnsi="宋体" w:cs="宋体"/>
                <w:color w:val="auto"/>
                <w:szCs w:val="21"/>
              </w:rPr>
              <w:t>；</w:t>
            </w:r>
            <w:r>
              <w:rPr>
                <w:rFonts w:hint="eastAsia" w:ascii="宋体" w:hAnsi="宋体" w:cs="宋体"/>
                <w:b/>
                <w:bCs/>
                <w:color w:val="auto"/>
                <w:szCs w:val="21"/>
              </w:rPr>
              <w:t>（必须提供，否则作无效投标处理）</w:t>
            </w:r>
          </w:p>
          <w:p>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6.</w:t>
            </w:r>
            <w:bookmarkStart w:id="102" w:name="OLE_LINK15"/>
            <w:r>
              <w:rPr>
                <w:rFonts w:hint="eastAsia" w:ascii="宋体" w:hAnsi="宋体" w:cs="宋体"/>
                <w:color w:val="auto"/>
                <w:szCs w:val="21"/>
              </w:rPr>
              <w:t>投标人直接管理关系信息表</w:t>
            </w:r>
            <w:bookmarkEnd w:id="102"/>
            <w:r>
              <w:rPr>
                <w:rFonts w:hint="eastAsia" w:ascii="宋体" w:hAnsi="宋体" w:cs="宋体"/>
                <w:color w:val="auto"/>
                <w:szCs w:val="21"/>
              </w:rPr>
              <w:t>；</w:t>
            </w:r>
            <w:r>
              <w:rPr>
                <w:rFonts w:hint="eastAsia" w:ascii="宋体" w:hAnsi="宋体" w:cs="宋体"/>
                <w:b/>
                <w:bCs/>
                <w:color w:val="auto"/>
                <w:szCs w:val="21"/>
              </w:rPr>
              <w:t>（必须提供，否则作无效投标处理）</w:t>
            </w:r>
          </w:p>
          <w:p>
            <w:pPr>
              <w:snapToGrid w:val="0"/>
              <w:spacing w:line="360" w:lineRule="auto"/>
              <w:jc w:val="left"/>
              <w:rPr>
                <w:rFonts w:hint="eastAsia" w:ascii="宋体" w:hAnsi="宋体" w:cs="宋体"/>
                <w:color w:val="auto"/>
              </w:rPr>
            </w:pPr>
            <w:r>
              <w:rPr>
                <w:rFonts w:hint="eastAsia" w:ascii="宋体" w:hAnsi="宋体" w:cs="宋体"/>
                <w:color w:val="auto"/>
                <w:szCs w:val="21"/>
              </w:rPr>
              <w:t>7.本项目的特定资格要求：无</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8.声明函（格式后附）。（</w:t>
            </w:r>
            <w:r>
              <w:rPr>
                <w:rFonts w:hint="eastAsia" w:ascii="宋体" w:hAnsi="宋体" w:cs="宋体"/>
                <w:b/>
                <w:color w:val="auto"/>
                <w:szCs w:val="21"/>
              </w:rPr>
              <w:t>必须提供，否则作无效投标处理</w:t>
            </w:r>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9.联合体投标协议书（格式后附）。（</w:t>
            </w:r>
            <w:r>
              <w:rPr>
                <w:rFonts w:hint="eastAsia" w:ascii="宋体" w:hAnsi="宋体" w:cs="宋体"/>
                <w:b/>
                <w:bCs/>
                <w:color w:val="auto"/>
                <w:szCs w:val="21"/>
              </w:rPr>
              <w:t>如本项目接受</w:t>
            </w:r>
            <w:r>
              <w:rPr>
                <w:rFonts w:hint="eastAsia" w:ascii="宋体" w:hAnsi="宋体" w:cs="宋体"/>
                <w:b/>
                <w:color w:val="auto"/>
                <w:szCs w:val="21"/>
              </w:rPr>
              <w:t>联合体投标，则联合体投标时必须提供，否则作无效投标处理</w:t>
            </w:r>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10.除招标文件规定必须提供以外，投标人认为需要提供的其他证明材料（格式自拟）。</w:t>
            </w:r>
          </w:p>
          <w:p>
            <w:pPr>
              <w:snapToGrid w:val="0"/>
              <w:spacing w:line="360" w:lineRule="auto"/>
              <w:jc w:val="left"/>
              <w:rPr>
                <w:rFonts w:hint="eastAsia" w:ascii="宋体" w:hAnsi="宋体" w:cs="宋体"/>
                <w:b/>
                <w:color w:val="auto"/>
                <w:szCs w:val="21"/>
              </w:rPr>
            </w:pPr>
            <w:r>
              <w:rPr>
                <w:rFonts w:hint="eastAsia" w:ascii="宋体" w:hAnsi="宋体" w:cs="宋体"/>
                <w:b/>
                <w:bCs/>
                <w:color w:val="auto"/>
                <w:szCs w:val="21"/>
              </w:rPr>
              <w:t>注：1.</w:t>
            </w:r>
            <w:r>
              <w:rPr>
                <w:rFonts w:hint="eastAsia" w:ascii="宋体" w:hAnsi="宋体" w:cs="宋体"/>
                <w:color w:val="auto"/>
                <w:szCs w:val="21"/>
              </w:rPr>
              <w:t xml:space="preserve"> </w:t>
            </w:r>
            <w:r>
              <w:rPr>
                <w:rFonts w:hint="eastAsia" w:ascii="宋体" w:hAnsi="宋体" w:cs="宋体"/>
                <w:b/>
                <w:bCs/>
                <w:color w:val="auto"/>
                <w:szCs w:val="21"/>
              </w:rPr>
              <w:t>以上标明“必须提供”的材料</w:t>
            </w:r>
            <w:r>
              <w:rPr>
                <w:rFonts w:hint="eastAsia" w:ascii="宋体" w:hAnsi="宋体" w:cs="宋体"/>
                <w:b/>
                <w:color w:val="auto"/>
                <w:szCs w:val="21"/>
              </w:rPr>
              <w:t>属于复印件的扫描件的</w:t>
            </w:r>
            <w:r>
              <w:rPr>
                <w:rFonts w:hint="eastAsia" w:ascii="宋体" w:hAnsi="宋体" w:cs="宋体"/>
                <w:b/>
                <w:bCs/>
                <w:color w:val="auto"/>
                <w:szCs w:val="21"/>
              </w:rPr>
              <w:t>，必须加盖投标人公章，否则</w:t>
            </w:r>
            <w:r>
              <w:rPr>
                <w:rFonts w:hint="eastAsia" w:ascii="宋体" w:hAnsi="宋体" w:cs="宋体"/>
                <w:b/>
                <w:color w:val="auto"/>
                <w:szCs w:val="21"/>
              </w:rPr>
              <w:t>作无效投标处理。</w:t>
            </w:r>
          </w:p>
          <w:p>
            <w:pPr>
              <w:snapToGrid w:val="0"/>
              <w:spacing w:line="360" w:lineRule="auto"/>
              <w:ind w:firstLine="422" w:firstLineChars="200"/>
              <w:jc w:val="left"/>
              <w:rPr>
                <w:rFonts w:hint="eastAsia" w:ascii="宋体" w:hAnsi="宋体" w:cs="宋体"/>
                <w:b/>
                <w:bCs/>
                <w:color w:val="auto"/>
                <w:szCs w:val="21"/>
              </w:rPr>
            </w:pPr>
            <w:r>
              <w:rPr>
                <w:rFonts w:hint="eastAsia" w:ascii="宋体" w:hAnsi="宋体" w:cs="宋体"/>
                <w:b/>
                <w:color w:val="auto"/>
                <w:szCs w:val="21"/>
              </w:rPr>
              <w:t>2</w:t>
            </w:r>
            <w:r>
              <w:rPr>
                <w:rFonts w:hint="eastAsia" w:ascii="宋体" w:hAnsi="宋体" w:cs="宋体"/>
                <w:b/>
                <w:bCs/>
                <w:color w:val="auto"/>
                <w:szCs w:val="21"/>
              </w:rPr>
              <w:t>.联合体投标时，第1-7项资格文件联合体各方均必须分别提供，联合体各方分别盖章，否则投标文件作无效投标处理。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bookmarkStart w:id="103" w:name="_13.3"/>
            <w:bookmarkEnd w:id="103"/>
            <w:r>
              <w:rPr>
                <w:rFonts w:hint="eastAsia" w:ascii="宋体" w:hAnsi="宋体" w:cs="宋体"/>
                <w:color w:val="auto"/>
                <w:szCs w:val="21"/>
              </w:rPr>
              <w:t>商务文件组成</w:t>
            </w:r>
          </w:p>
          <w:p>
            <w:pPr>
              <w:spacing w:line="360" w:lineRule="auto"/>
              <w:rPr>
                <w:rFonts w:hint="eastAsia" w:ascii="宋体" w:hAnsi="宋体" w:cs="宋体"/>
                <w:color w:val="auto"/>
                <w:szCs w:val="21"/>
              </w:rPr>
            </w:pP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r>
              <w:rPr>
                <w:rFonts w:hint="eastAsia" w:ascii="宋体" w:hAnsi="宋体" w:cs="宋体"/>
                <w:color w:val="auto"/>
                <w:szCs w:val="21"/>
              </w:rPr>
              <w:t>1.无串通投标行为的承诺函（格式后附）；（</w:t>
            </w:r>
            <w:bookmarkStart w:id="104" w:name="OLE_LINK27"/>
            <w:r>
              <w:rPr>
                <w:rFonts w:hint="eastAsia" w:ascii="宋体" w:hAnsi="宋体" w:cs="宋体"/>
                <w:b/>
                <w:color w:val="auto"/>
                <w:szCs w:val="21"/>
              </w:rPr>
              <w:t>必须提供，否则作无效投标处理</w:t>
            </w:r>
            <w:bookmarkEnd w:id="104"/>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2.法定代表人身份证明及法定代表人有效身份证正反面复印件（格式后附）；（</w:t>
            </w:r>
            <w:bookmarkStart w:id="105" w:name="OLE_LINK28"/>
            <w:r>
              <w:rPr>
                <w:rFonts w:hint="eastAsia" w:ascii="宋体" w:hAnsi="宋体" w:cs="宋体"/>
                <w:b/>
                <w:bCs/>
                <w:color w:val="auto"/>
                <w:szCs w:val="21"/>
              </w:rPr>
              <w:t>除自然人投标外</w:t>
            </w:r>
            <w:r>
              <w:rPr>
                <w:rFonts w:hint="eastAsia" w:ascii="宋体" w:hAnsi="宋体" w:cs="宋体"/>
                <w:b/>
                <w:color w:val="auto"/>
                <w:szCs w:val="21"/>
              </w:rPr>
              <w:t>必须提供，否则作无效投标处理</w:t>
            </w:r>
            <w:bookmarkEnd w:id="105"/>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3.法定代表人授权委托书及委托代理人有效身份证正反面复印件（格式后附）；（</w:t>
            </w:r>
            <w:bookmarkStart w:id="106" w:name="OLE_LINK29"/>
            <w:r>
              <w:rPr>
                <w:rFonts w:hint="eastAsia" w:ascii="宋体" w:hAnsi="宋体" w:cs="宋体"/>
                <w:b/>
                <w:color w:val="auto"/>
                <w:szCs w:val="21"/>
              </w:rPr>
              <w:t>委托时必须提供，否则作无效投标处理</w:t>
            </w:r>
            <w:bookmarkEnd w:id="106"/>
            <w:r>
              <w:rPr>
                <w:rFonts w:hint="eastAsia" w:ascii="宋体" w:hAnsi="宋体" w:cs="宋体"/>
                <w:color w:val="auto"/>
                <w:szCs w:val="21"/>
              </w:rPr>
              <w:t>）</w:t>
            </w:r>
          </w:p>
          <w:p>
            <w:pPr>
              <w:pStyle w:val="17"/>
              <w:spacing w:line="360" w:lineRule="auto"/>
              <w:rPr>
                <w:rFonts w:hint="eastAsia" w:ascii="宋体" w:hAnsi="宋体" w:cs="宋体"/>
                <w:color w:val="auto"/>
                <w:sz w:val="21"/>
                <w:szCs w:val="21"/>
              </w:rPr>
            </w:pPr>
            <w:r>
              <w:rPr>
                <w:rFonts w:hint="eastAsia" w:ascii="宋体" w:hAnsi="宋体" w:cs="宋体"/>
                <w:color w:val="auto"/>
                <w:sz w:val="21"/>
                <w:szCs w:val="21"/>
              </w:rPr>
              <w:t>4.投标保证金提交凭证；</w:t>
            </w:r>
            <w:r>
              <w:rPr>
                <w:rFonts w:hint="eastAsia" w:ascii="宋体" w:hAnsi="宋体" w:cs="宋体"/>
                <w:b/>
                <w:color w:val="auto"/>
                <w:sz w:val="21"/>
                <w:szCs w:val="21"/>
              </w:rPr>
              <w:t>（</w:t>
            </w:r>
            <w:bookmarkStart w:id="107" w:name="OLE_LINK30"/>
            <w:r>
              <w:rPr>
                <w:rFonts w:hint="eastAsia" w:ascii="宋体" w:hAnsi="宋体" w:cs="宋体"/>
                <w:b/>
                <w:color w:val="auto"/>
                <w:sz w:val="21"/>
                <w:szCs w:val="21"/>
              </w:rPr>
              <w:t>必须提供，否则作无效投标处理</w:t>
            </w:r>
            <w:bookmarkEnd w:id="107"/>
            <w:r>
              <w:rPr>
                <w:rFonts w:hint="eastAsia" w:ascii="宋体" w:hAnsi="宋体" w:cs="宋体"/>
                <w:b/>
                <w:color w:val="auto"/>
                <w:sz w:val="21"/>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5.商务条款偏离表（格式后附）；（</w:t>
            </w:r>
            <w:bookmarkStart w:id="108" w:name="OLE_LINK31"/>
            <w:r>
              <w:rPr>
                <w:rFonts w:hint="eastAsia" w:ascii="宋体" w:hAnsi="宋体" w:cs="宋体"/>
                <w:b/>
                <w:color w:val="auto"/>
                <w:szCs w:val="21"/>
              </w:rPr>
              <w:t>必须提供，否则作无效投标处理</w:t>
            </w:r>
            <w:bookmarkEnd w:id="108"/>
            <w:r>
              <w:rPr>
                <w:rFonts w:hint="eastAsia" w:ascii="宋体" w:hAnsi="宋体" w:cs="宋体"/>
                <w:color w:val="auto"/>
                <w:szCs w:val="21"/>
              </w:rPr>
              <w:t>）</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6.投标人情况介绍（格式自拟）；</w:t>
            </w:r>
          </w:p>
          <w:p>
            <w:pPr>
              <w:snapToGrid w:val="0"/>
              <w:spacing w:line="360" w:lineRule="auto"/>
              <w:jc w:val="left"/>
              <w:rPr>
                <w:rFonts w:hint="eastAsia" w:ascii="宋体" w:hAnsi="宋体" w:cs="宋体"/>
                <w:color w:val="auto"/>
                <w:szCs w:val="21"/>
              </w:rPr>
            </w:pPr>
            <w:r>
              <w:rPr>
                <w:rFonts w:hint="eastAsia" w:ascii="宋体" w:hAnsi="宋体" w:cs="宋体"/>
                <w:color w:val="auto"/>
                <w:szCs w:val="21"/>
              </w:rPr>
              <w:t>7.除招标文件规定必须提供以外，投标人认为需要提供的其他证明材料（格式自拟）。（投标人根据“第二章 采购需求”及“第四章 评标方法和评标标准”提供有关证明材料）。</w:t>
            </w:r>
          </w:p>
          <w:p>
            <w:pPr>
              <w:snapToGrid w:val="0"/>
              <w:spacing w:line="360" w:lineRule="auto"/>
              <w:jc w:val="left"/>
              <w:rPr>
                <w:rFonts w:hint="eastAsia" w:ascii="宋体" w:hAnsi="宋体" w:cs="宋体"/>
                <w:b/>
                <w:bCs/>
                <w:color w:val="auto"/>
                <w:szCs w:val="21"/>
              </w:rPr>
            </w:pPr>
            <w:r>
              <w:rPr>
                <w:rFonts w:hint="eastAsia" w:ascii="宋体" w:hAnsi="宋体" w:cs="宋体"/>
                <w:b/>
                <w:bCs/>
                <w:color w:val="auto"/>
                <w:szCs w:val="21"/>
              </w:rPr>
              <w:t>注：1.委托时法定代表人授权委托书必须由法定代表人及委托代理人签字，并加盖投标人公章，否则作无效投标处理。</w:t>
            </w:r>
          </w:p>
          <w:p>
            <w:pPr>
              <w:snapToGrid w:val="0"/>
              <w:spacing w:line="360" w:lineRule="auto"/>
              <w:ind w:firstLine="422" w:firstLineChars="200"/>
              <w:jc w:val="left"/>
              <w:rPr>
                <w:rFonts w:hint="eastAsia" w:ascii="宋体" w:hAnsi="宋体" w:cs="宋体"/>
                <w:b/>
                <w:color w:val="auto"/>
                <w:szCs w:val="21"/>
              </w:rPr>
            </w:pPr>
            <w:r>
              <w:rPr>
                <w:rFonts w:hint="eastAsia" w:ascii="宋体" w:hAnsi="宋体" w:cs="宋体"/>
                <w:b/>
                <w:bCs/>
                <w:color w:val="auto"/>
                <w:szCs w:val="21"/>
              </w:rPr>
              <w:t>2.以上标明“必须提供”的材料</w:t>
            </w:r>
            <w:r>
              <w:rPr>
                <w:rFonts w:hint="eastAsia" w:ascii="宋体" w:hAnsi="宋体" w:cs="宋体"/>
                <w:b/>
                <w:color w:val="auto"/>
                <w:szCs w:val="21"/>
              </w:rPr>
              <w:t>属于复印件的扫描件的</w:t>
            </w:r>
            <w:r>
              <w:rPr>
                <w:rFonts w:hint="eastAsia" w:ascii="宋体" w:hAnsi="宋体" w:cs="宋体"/>
                <w:b/>
                <w:bCs/>
                <w:color w:val="auto"/>
                <w:szCs w:val="21"/>
              </w:rPr>
              <w:t>，必须加盖投标人公章，否则</w:t>
            </w:r>
            <w:r>
              <w:rPr>
                <w:rFonts w:hint="eastAsia" w:ascii="宋体" w:hAnsi="宋体" w:cs="宋体"/>
                <w:b/>
                <w:color w:val="auto"/>
                <w:szCs w:val="21"/>
              </w:rPr>
              <w:t>作无效投标处理</w:t>
            </w:r>
            <w:r>
              <w:rPr>
                <w:rFonts w:hint="eastAsia" w:ascii="宋体" w:hAnsi="宋体" w:cs="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bookmarkStart w:id="109" w:name="_13.4"/>
            <w:bookmarkEnd w:id="109"/>
            <w:r>
              <w:rPr>
                <w:rFonts w:hint="eastAsia" w:ascii="宋体" w:hAnsi="宋体" w:cs="宋体"/>
                <w:color w:val="auto"/>
                <w:szCs w:val="21"/>
              </w:rPr>
              <w:t>技术文件组成</w:t>
            </w:r>
          </w:p>
          <w:p>
            <w:pPr>
              <w:spacing w:line="360" w:lineRule="auto"/>
              <w:rPr>
                <w:rFonts w:hint="eastAsia" w:ascii="宋体" w:hAnsi="宋体" w:cs="宋体"/>
                <w:color w:val="auto"/>
                <w:szCs w:val="21"/>
              </w:rPr>
            </w:pPr>
          </w:p>
        </w:tc>
        <w:tc>
          <w:tcPr>
            <w:tcW w:w="6631" w:type="dxa"/>
            <w:tcBorders>
              <w:top w:val="single" w:color="auto" w:sz="4" w:space="0"/>
              <w:left w:val="single" w:color="auto" w:sz="4" w:space="0"/>
              <w:bottom w:val="single" w:color="auto" w:sz="4" w:space="0"/>
              <w:right w:val="single" w:color="auto" w:sz="4" w:space="0"/>
            </w:tcBorders>
            <w:vAlign w:val="center"/>
          </w:tcPr>
          <w:p>
            <w:pPr>
              <w:spacing w:line="360" w:lineRule="auto"/>
              <w:rPr>
                <w:color w:val="auto"/>
              </w:rPr>
            </w:pPr>
            <w:r>
              <w:rPr>
                <w:rFonts w:hint="eastAsia"/>
                <w:color w:val="auto"/>
              </w:rPr>
              <w:t>1.技术需求偏离表（格式后附）；</w:t>
            </w:r>
            <w:r>
              <w:rPr>
                <w:rFonts w:hint="eastAsia"/>
                <w:b/>
                <w:bCs/>
                <w:color w:val="auto"/>
              </w:rPr>
              <w:t>（</w:t>
            </w:r>
            <w:bookmarkStart w:id="110" w:name="OLE_LINK33"/>
            <w:r>
              <w:rPr>
                <w:rFonts w:hint="eastAsia"/>
                <w:b/>
                <w:bCs/>
                <w:color w:val="auto"/>
              </w:rPr>
              <w:t>必须提供，否则作无效投标处理</w:t>
            </w:r>
            <w:bookmarkEnd w:id="110"/>
            <w:r>
              <w:rPr>
                <w:rFonts w:hint="eastAsia"/>
                <w:b/>
                <w:bCs/>
                <w:color w:val="auto"/>
              </w:rPr>
              <w:t>）</w:t>
            </w:r>
          </w:p>
          <w:p>
            <w:pPr>
              <w:spacing w:line="360" w:lineRule="auto"/>
              <w:rPr>
                <w:color w:val="auto"/>
              </w:rPr>
            </w:pPr>
            <w:r>
              <w:rPr>
                <w:rFonts w:hint="eastAsia"/>
                <w:color w:val="auto"/>
              </w:rPr>
              <w:t>2.项目实施方案（至少包括技术方案、实施方案、项目团队、售后服务等）（格式自拟）；</w:t>
            </w:r>
          </w:p>
          <w:p>
            <w:pPr>
              <w:spacing w:line="360" w:lineRule="auto"/>
              <w:rPr>
                <w:color w:val="auto"/>
              </w:rPr>
            </w:pPr>
            <w:r>
              <w:rPr>
                <w:rFonts w:hint="eastAsia"/>
                <w:color w:val="auto"/>
              </w:rPr>
              <w:t>3.投标产品技术证明资料（至少包括投标产品说明书、出厂标准、质量检测报告等）（格式自拟）；</w:t>
            </w:r>
          </w:p>
          <w:p>
            <w:pPr>
              <w:spacing w:line="360" w:lineRule="auto"/>
              <w:rPr>
                <w:color w:val="auto"/>
              </w:rPr>
            </w:pPr>
            <w:r>
              <w:rPr>
                <w:rFonts w:hint="eastAsia"/>
                <w:color w:val="auto"/>
              </w:rPr>
              <w:t>4.投标产品销售业绩或使用情况及证明资料（格式自拟）；</w:t>
            </w:r>
          </w:p>
          <w:p>
            <w:pPr>
              <w:spacing w:line="360" w:lineRule="auto"/>
              <w:rPr>
                <w:color w:val="auto"/>
              </w:rPr>
            </w:pPr>
            <w:r>
              <w:rPr>
                <w:rFonts w:hint="eastAsia"/>
                <w:color w:val="auto"/>
              </w:rPr>
              <w:t>5.优惠条件：投标人承诺给予采购人的各种优惠条件，包括售后服务、备品备件、专用耗材等方面的优惠；投标人不得给予赠品或者与采购无关的其他商品、服务（格式自拟）；</w:t>
            </w:r>
          </w:p>
          <w:p>
            <w:pPr>
              <w:spacing w:line="360" w:lineRule="auto"/>
              <w:rPr>
                <w:color w:val="auto"/>
              </w:rPr>
            </w:pPr>
            <w:r>
              <w:rPr>
                <w:rFonts w:hint="eastAsia"/>
                <w:color w:val="auto"/>
              </w:rPr>
              <w:t>6.投标人对本项目的合理化建议（格式自拟）；</w:t>
            </w:r>
          </w:p>
          <w:p>
            <w:pPr>
              <w:spacing w:line="360" w:lineRule="auto"/>
              <w:rPr>
                <w:color w:val="auto"/>
              </w:rPr>
            </w:pPr>
            <w:r>
              <w:rPr>
                <w:rFonts w:hint="eastAsia"/>
                <w:color w:val="auto"/>
              </w:rPr>
              <w:t>7.除招标文件规定必须提供以外，投标人需要说明的其他文件和说明（格式自拟）。</w:t>
            </w:r>
          </w:p>
          <w:p>
            <w:pPr>
              <w:snapToGrid w:val="0"/>
              <w:spacing w:line="360" w:lineRule="auto"/>
              <w:jc w:val="left"/>
              <w:rPr>
                <w:rFonts w:hint="eastAsia" w:ascii="宋体" w:hAnsi="宋体" w:cs="宋体"/>
                <w:b/>
                <w:bCs/>
                <w:color w:val="auto"/>
                <w:szCs w:val="21"/>
              </w:rPr>
            </w:pPr>
            <w:r>
              <w:rPr>
                <w:rFonts w:hint="eastAsia" w:ascii="宋体" w:hAnsi="宋体" w:cs="宋体"/>
                <w:b/>
                <w:bCs/>
                <w:color w:val="auto"/>
                <w:szCs w:val="21"/>
              </w:rPr>
              <w:t>注：以上标明“必须提供”的材料</w:t>
            </w:r>
            <w:r>
              <w:rPr>
                <w:rFonts w:hint="eastAsia" w:ascii="宋体" w:hAnsi="宋体" w:cs="宋体"/>
                <w:b/>
                <w:color w:val="auto"/>
                <w:szCs w:val="21"/>
              </w:rPr>
              <w:t>属于复印件的扫描件的</w:t>
            </w:r>
            <w:r>
              <w:rPr>
                <w:rFonts w:hint="eastAsia" w:ascii="宋体" w:hAnsi="宋体" w:cs="宋体"/>
                <w:b/>
                <w:bCs/>
                <w:color w:val="auto"/>
                <w:szCs w:val="21"/>
              </w:rPr>
              <w:t>，必须加盖投标人公章，否则</w:t>
            </w:r>
            <w:r>
              <w:rPr>
                <w:rFonts w:hint="eastAsia" w:ascii="宋体" w:hAnsi="宋体" w:cs="宋体"/>
                <w:b/>
                <w:color w:val="auto"/>
                <w:szCs w:val="21"/>
              </w:rPr>
              <w:t>作无效投标处理</w:t>
            </w:r>
            <w:r>
              <w:rPr>
                <w:rFonts w:hint="eastAsia" w:ascii="宋体" w:hAnsi="宋体" w:cs="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s="宋体"/>
                <w:color w:val="auto"/>
                <w:szCs w:val="21"/>
              </w:rPr>
            </w:pPr>
            <w:r>
              <w:rPr>
                <w:rFonts w:hint="eastAsia" w:ascii="宋体" w:hAnsi="宋体" w:cs="宋体"/>
                <w:color w:val="auto"/>
                <w:szCs w:val="21"/>
              </w:rPr>
              <w:t>报价文件组成</w:t>
            </w:r>
          </w:p>
        </w:tc>
        <w:tc>
          <w:tcPr>
            <w:tcW w:w="6631" w:type="dxa"/>
            <w:tcBorders>
              <w:top w:val="single" w:color="auto" w:sz="4" w:space="0"/>
              <w:left w:val="single" w:color="auto" w:sz="4" w:space="0"/>
              <w:bottom w:val="single" w:color="auto" w:sz="4" w:space="0"/>
              <w:right w:val="single" w:color="auto" w:sz="4" w:space="0"/>
            </w:tcBorders>
            <w:vAlign w:val="center"/>
          </w:tcPr>
          <w:p>
            <w:pPr>
              <w:tabs>
                <w:tab w:val="left" w:pos="459"/>
              </w:tabs>
              <w:snapToGrid w:val="0"/>
              <w:spacing w:line="360" w:lineRule="auto"/>
              <w:jc w:val="left"/>
              <w:rPr>
                <w:rFonts w:hint="eastAsia" w:ascii="宋体" w:hAnsi="宋体" w:cs="宋体"/>
                <w:color w:val="auto"/>
                <w:szCs w:val="21"/>
              </w:rPr>
            </w:pPr>
            <w:r>
              <w:rPr>
                <w:rFonts w:hint="eastAsia" w:ascii="宋体" w:hAnsi="宋体" w:cs="宋体"/>
                <w:color w:val="auto"/>
                <w:szCs w:val="21"/>
              </w:rPr>
              <w:t>1.投标函（格式后附）；</w:t>
            </w:r>
            <w:r>
              <w:rPr>
                <w:rFonts w:hint="eastAsia" w:ascii="宋体" w:hAnsi="宋体" w:cs="宋体"/>
                <w:b/>
                <w:color w:val="auto"/>
                <w:szCs w:val="21"/>
              </w:rPr>
              <w:t>（</w:t>
            </w:r>
            <w:bookmarkStart w:id="111" w:name="OLE_LINK16"/>
            <w:r>
              <w:rPr>
                <w:rFonts w:hint="eastAsia" w:ascii="宋体" w:hAnsi="宋体" w:cs="宋体"/>
                <w:b/>
                <w:color w:val="auto"/>
                <w:szCs w:val="21"/>
              </w:rPr>
              <w:t>必须提供，否则作无效投标处理</w:t>
            </w:r>
            <w:bookmarkEnd w:id="111"/>
            <w:r>
              <w:rPr>
                <w:rFonts w:hint="eastAsia" w:ascii="宋体" w:hAnsi="宋体" w:cs="宋体"/>
                <w:b/>
                <w:color w:val="auto"/>
                <w:szCs w:val="21"/>
              </w:rPr>
              <w:t>）</w:t>
            </w:r>
          </w:p>
          <w:p>
            <w:pPr>
              <w:tabs>
                <w:tab w:val="left" w:pos="459"/>
              </w:tabs>
              <w:snapToGrid w:val="0"/>
              <w:spacing w:line="360" w:lineRule="auto"/>
              <w:jc w:val="left"/>
              <w:rPr>
                <w:rFonts w:hint="eastAsia" w:ascii="宋体" w:hAnsi="宋体" w:cs="宋体"/>
                <w:color w:val="auto"/>
                <w:szCs w:val="21"/>
              </w:rPr>
            </w:pPr>
            <w:r>
              <w:rPr>
                <w:rFonts w:hint="eastAsia" w:ascii="宋体" w:hAnsi="宋体" w:cs="宋体"/>
                <w:color w:val="auto"/>
                <w:szCs w:val="21"/>
              </w:rPr>
              <w:t>2.开标一览表（格式后附）；（</w:t>
            </w:r>
            <w:bookmarkStart w:id="112" w:name="OLE_LINK34"/>
            <w:r>
              <w:rPr>
                <w:rFonts w:hint="eastAsia" w:ascii="宋体" w:hAnsi="宋体" w:cs="宋体"/>
                <w:b/>
                <w:color w:val="auto"/>
                <w:szCs w:val="21"/>
              </w:rPr>
              <w:t>必须提供，否则作无效投标处理</w:t>
            </w:r>
            <w:bookmarkEnd w:id="112"/>
            <w:r>
              <w:rPr>
                <w:rFonts w:hint="eastAsia" w:ascii="宋体" w:hAnsi="宋体" w:cs="宋体"/>
                <w:color w:val="auto"/>
                <w:szCs w:val="21"/>
              </w:rPr>
              <w:t>）</w:t>
            </w:r>
          </w:p>
          <w:p>
            <w:pPr>
              <w:pStyle w:val="17"/>
              <w:spacing w:line="360" w:lineRule="auto"/>
              <w:rPr>
                <w:rFonts w:hint="eastAsia" w:ascii="宋体" w:hAnsi="宋体" w:cs="宋体"/>
                <w:color w:val="auto"/>
                <w:sz w:val="21"/>
                <w:szCs w:val="21"/>
              </w:rPr>
            </w:pPr>
            <w:r>
              <w:rPr>
                <w:rFonts w:hint="eastAsia" w:ascii="宋体" w:hAnsi="宋体" w:cs="宋体"/>
                <w:color w:val="auto"/>
                <w:sz w:val="21"/>
                <w:szCs w:val="21"/>
              </w:rPr>
              <w:t>3.中小企业声明函或者残疾人福利性单位声明函（格式后附）或者供应商属于监狱企业的，提供由省级以上监狱管理局、戒毒管理局（含新疆生产建设兵团）出具的属于监狱企业的证明文件；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bCs/>
                <w:color w:val="auto"/>
                <w:sz w:val="21"/>
                <w:szCs w:val="21"/>
              </w:rPr>
              <w:t>（</w:t>
            </w:r>
            <w:bookmarkStart w:id="113" w:name="OLE_LINK17"/>
            <w:r>
              <w:rPr>
                <w:rFonts w:hint="eastAsia" w:ascii="宋体" w:hAnsi="宋体" w:cs="宋体"/>
                <w:b/>
                <w:bCs/>
                <w:color w:val="auto"/>
                <w:sz w:val="21"/>
                <w:szCs w:val="21"/>
              </w:rPr>
              <w:t>如有请提供</w:t>
            </w:r>
            <w:bookmarkEnd w:id="113"/>
            <w:r>
              <w:rPr>
                <w:rFonts w:hint="eastAsia" w:ascii="宋体" w:hAnsi="宋体" w:cs="宋体"/>
                <w:b/>
                <w:bCs/>
                <w:color w:val="auto"/>
                <w:sz w:val="21"/>
                <w:szCs w:val="21"/>
              </w:rPr>
              <w:t>）</w:t>
            </w:r>
          </w:p>
          <w:p>
            <w:pPr>
              <w:tabs>
                <w:tab w:val="left" w:pos="459"/>
              </w:tabs>
              <w:snapToGrid w:val="0"/>
              <w:spacing w:line="360" w:lineRule="auto"/>
              <w:jc w:val="left"/>
              <w:rPr>
                <w:rFonts w:hint="eastAsia" w:ascii="宋体" w:hAnsi="宋体" w:cs="宋体"/>
                <w:b/>
                <w:bCs/>
                <w:color w:val="auto"/>
                <w:szCs w:val="21"/>
              </w:rPr>
            </w:pPr>
            <w:r>
              <w:rPr>
                <w:rFonts w:hint="eastAsia" w:ascii="宋体" w:hAnsi="宋体" w:cs="宋体"/>
                <w:color w:val="auto"/>
                <w:szCs w:val="21"/>
              </w:rPr>
              <w:t>4.关于符合本国产品标准的声明函（格式后附）或财政部会同有关部门规定的有关证明文件；</w:t>
            </w:r>
            <w:r>
              <w:rPr>
                <w:rFonts w:hint="eastAsia" w:ascii="宋体" w:hAnsi="宋体" w:cs="宋体"/>
                <w:b/>
                <w:bCs/>
                <w:color w:val="auto"/>
                <w:szCs w:val="21"/>
              </w:rPr>
              <w:t>（如有请提供）</w:t>
            </w:r>
          </w:p>
          <w:p>
            <w:pPr>
              <w:tabs>
                <w:tab w:val="left" w:pos="459"/>
              </w:tabs>
              <w:snapToGrid w:val="0"/>
              <w:spacing w:line="360" w:lineRule="auto"/>
              <w:jc w:val="left"/>
              <w:rPr>
                <w:rFonts w:hint="eastAsia" w:ascii="宋体" w:hAnsi="宋体" w:cs="宋体"/>
                <w:color w:val="auto"/>
                <w:szCs w:val="21"/>
              </w:rPr>
            </w:pPr>
            <w:r>
              <w:rPr>
                <w:rFonts w:hint="eastAsia" w:ascii="宋体" w:hAnsi="宋体" w:cs="宋体"/>
                <w:color w:val="auto"/>
                <w:szCs w:val="21"/>
              </w:rPr>
              <w:t>5.投标人针对报价需要说明的其他文件和说明（格式自拟）。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16.2</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4" w:name="_16.2"/>
            <w:bookmarkEnd w:id="114"/>
            <w:r>
              <w:rPr>
                <w:rFonts w:hint="eastAsia" w:ascii="宋体" w:hAnsi="宋体" w:cs="宋体"/>
                <w:color w:val="auto"/>
                <w:szCs w:val="21"/>
              </w:rPr>
              <w:t>投标报价要求</w:t>
            </w:r>
          </w:p>
        </w:tc>
        <w:tc>
          <w:tcPr>
            <w:tcW w:w="663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b/>
                <w:color w:val="auto"/>
                <w:szCs w:val="21"/>
              </w:rPr>
            </w:pPr>
            <w:r>
              <w:rPr>
                <w:rFonts w:hint="eastAsia" w:ascii="宋体" w:hAnsi="宋体" w:cs="宋体"/>
                <w:color w:val="auto"/>
                <w:szCs w:val="21"/>
              </w:rPr>
              <w:t>报价必须含以下部分，包括：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p>
          <w:p>
            <w:pPr>
              <w:snapToGrid w:val="0"/>
              <w:spacing w:line="360" w:lineRule="auto"/>
              <w:rPr>
                <w:rFonts w:hint="eastAsia" w:ascii="宋体" w:hAnsi="宋体" w:cs="宋体"/>
                <w:b/>
                <w:color w:val="auto"/>
                <w:szCs w:val="21"/>
              </w:rPr>
            </w:pPr>
            <w:r>
              <w:rPr>
                <w:rFonts w:hint="eastAsia" w:ascii="宋体" w:hAnsi="宋体" w:cs="宋体"/>
                <w:b/>
                <w:color w:val="auto"/>
                <w:szCs w:val="21"/>
              </w:rPr>
              <w:sym w:font="Wingdings 2" w:char="0052"/>
            </w:r>
            <w:r>
              <w:rPr>
                <w:rFonts w:hint="eastAsia" w:ascii="宋体" w:hAnsi="宋体" w:cs="宋体"/>
                <w:b/>
                <w:color w:val="auto"/>
                <w:szCs w:val="21"/>
              </w:rPr>
              <w:t>投标报价包含验收费用</w:t>
            </w:r>
          </w:p>
          <w:p>
            <w:pPr>
              <w:pStyle w:val="17"/>
              <w:spacing w:line="360" w:lineRule="auto"/>
              <w:rPr>
                <w:rFonts w:hint="eastAsia" w:ascii="宋体" w:hAnsi="宋体" w:cs="宋体"/>
                <w:color w:val="auto"/>
              </w:rPr>
            </w:pPr>
            <w:r>
              <w:rPr>
                <w:rFonts w:hint="eastAsia" w:ascii="宋体" w:hAnsi="宋体" w:cs="宋体"/>
                <w:b/>
                <w:color w:val="auto"/>
                <w:sz w:val="21"/>
                <w:szCs w:val="21"/>
              </w:rPr>
              <w:t>□投标报价不包含验收费用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17.2</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5" w:name="_17.1"/>
            <w:bookmarkEnd w:id="115"/>
            <w:r>
              <w:rPr>
                <w:rFonts w:hint="eastAsia" w:ascii="宋体" w:hAnsi="宋体" w:cs="宋体"/>
                <w:color w:val="auto"/>
                <w:szCs w:val="21"/>
              </w:rPr>
              <w:t>投标有效期</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自投标截止之日起</w:t>
            </w:r>
            <w:r>
              <w:rPr>
                <w:rFonts w:hint="eastAsia" w:ascii="宋体" w:hAnsi="宋体" w:cs="宋体"/>
                <w:color w:val="auto"/>
                <w:szCs w:val="21"/>
                <w:u w:val="single"/>
              </w:rPr>
              <w:t>60</w:t>
            </w:r>
            <w:r>
              <w:rPr>
                <w:rFonts w:hint="eastAsia" w:ascii="宋体" w:hAnsi="宋体" w:cs="宋体"/>
                <w:color w:val="auto"/>
                <w:szCs w:val="21"/>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18</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6" w:name="_18"/>
            <w:bookmarkEnd w:id="116"/>
            <w:r>
              <w:rPr>
                <w:rFonts w:hint="eastAsia" w:ascii="宋体" w:hAnsi="宋体" w:cs="宋体"/>
                <w:color w:val="auto"/>
                <w:szCs w:val="21"/>
              </w:rPr>
              <w:t>投标保证金金额</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b/>
                <w:bCs/>
                <w:color w:val="auto"/>
                <w:szCs w:val="21"/>
              </w:rPr>
            </w:pPr>
            <w:r>
              <w:rPr>
                <w:rFonts w:hint="eastAsia" w:ascii="宋体" w:hAnsi="宋体" w:cs="宋体"/>
                <w:b/>
                <w:bCs/>
                <w:color w:val="auto"/>
                <w:szCs w:val="21"/>
              </w:rPr>
              <w:sym w:font="Wingdings 2" w:char="0052"/>
            </w:r>
            <w:r>
              <w:rPr>
                <w:rFonts w:hint="eastAsia" w:ascii="宋体" w:hAnsi="宋体" w:cs="宋体"/>
                <w:b/>
                <w:bCs/>
                <w:color w:val="auto"/>
                <w:szCs w:val="21"/>
              </w:rPr>
              <w:t>本项目需要缴纳投标保证金，相关要求如下：</w:t>
            </w:r>
          </w:p>
          <w:p>
            <w:pPr>
              <w:snapToGrid w:val="0"/>
              <w:spacing w:line="360" w:lineRule="auto"/>
              <w:rPr>
                <w:rFonts w:hint="eastAsia" w:ascii="宋体" w:hAnsi="宋体" w:cs="宋体"/>
                <w:color w:val="auto"/>
                <w:szCs w:val="21"/>
              </w:rPr>
            </w:pPr>
            <w:r>
              <w:rPr>
                <w:rFonts w:hint="eastAsia" w:ascii="宋体" w:hAnsi="宋体" w:cs="宋体"/>
                <w:color w:val="auto"/>
                <w:szCs w:val="21"/>
              </w:rPr>
              <w:t>1.投标保证金的缴纳方式：详见招标公告</w:t>
            </w:r>
          </w:p>
          <w:p>
            <w:pPr>
              <w:snapToGrid w:val="0"/>
              <w:spacing w:line="360" w:lineRule="auto"/>
              <w:rPr>
                <w:rFonts w:hint="eastAsia" w:ascii="宋体" w:hAnsi="宋体" w:cs="宋体"/>
                <w:color w:val="auto"/>
                <w:szCs w:val="21"/>
              </w:rPr>
            </w:pPr>
            <w:r>
              <w:rPr>
                <w:rFonts w:hint="eastAsia" w:ascii="宋体" w:hAnsi="宋体" w:cs="宋体"/>
                <w:color w:val="auto"/>
                <w:szCs w:val="21"/>
              </w:rPr>
              <w:t>2.投标保证金的金额：详见招标公告</w:t>
            </w:r>
          </w:p>
          <w:p>
            <w:pPr>
              <w:pStyle w:val="10"/>
              <w:spacing w:line="360" w:lineRule="auto"/>
              <w:rPr>
                <w:rFonts w:hint="eastAsia" w:ascii="宋体" w:hAnsi="宋体" w:cs="宋体"/>
                <w:color w:val="auto"/>
                <w:szCs w:val="21"/>
              </w:rPr>
            </w:pPr>
            <w:r>
              <w:rPr>
                <w:rFonts w:hint="eastAsia" w:ascii="宋体" w:hAnsi="宋体" w:cs="宋体"/>
                <w:color w:val="auto"/>
                <w:szCs w:val="21"/>
              </w:rPr>
              <w:t>3.投标保证金采用银行转账缴纳方式的，在投标截止时间前交至采购代理机构指定账户并且到账，投标人应将银行转账底单的复印件作为投标保证金提交凭证，放置于商务文件中，</w:t>
            </w:r>
            <w:r>
              <w:rPr>
                <w:rFonts w:hint="eastAsia" w:ascii="宋体" w:hAnsi="宋体" w:cs="宋体"/>
                <w:b/>
                <w:color w:val="auto"/>
                <w:szCs w:val="21"/>
              </w:rPr>
              <w:t>否则作无效投标处理</w:t>
            </w:r>
            <w:r>
              <w:rPr>
                <w:rFonts w:hint="eastAsia" w:ascii="宋体" w:hAnsi="宋体" w:cs="宋体"/>
                <w:color w:val="auto"/>
                <w:szCs w:val="21"/>
              </w:rPr>
              <w:t>。</w:t>
            </w:r>
          </w:p>
          <w:p>
            <w:pPr>
              <w:snapToGrid w:val="0"/>
              <w:spacing w:line="360" w:lineRule="auto"/>
              <w:rPr>
                <w:rFonts w:hint="eastAsia" w:ascii="宋体" w:hAnsi="宋体" w:cs="宋体"/>
                <w:color w:val="auto"/>
                <w:szCs w:val="21"/>
              </w:rPr>
            </w:pPr>
            <w:r>
              <w:rPr>
                <w:rFonts w:hint="eastAsia" w:ascii="宋体" w:hAnsi="宋体" w:cs="宋体"/>
                <w:color w:val="auto"/>
                <w:szCs w:val="21"/>
              </w:rPr>
              <w:t>4.投标保证金采用支票、汇票、本票或者金融机构、担保机构出具的保函等缴纳方式的，投标人应将支票、汇票、本票或者金融机构、担保机构出具的保函等的复印件或者金融机构、担保机构出具的</w:t>
            </w:r>
            <w:r>
              <w:rPr>
                <w:rFonts w:hint="eastAsia" w:ascii="宋体" w:hAnsi="宋体" w:cs="宋体"/>
                <w:color w:val="auto"/>
                <w:kern w:val="0"/>
                <w:szCs w:val="21"/>
              </w:rPr>
              <w:t>电子保函</w:t>
            </w:r>
            <w:r>
              <w:rPr>
                <w:rFonts w:hint="eastAsia" w:ascii="宋体" w:hAnsi="宋体" w:cs="宋体"/>
                <w:color w:val="auto"/>
                <w:szCs w:val="21"/>
              </w:rPr>
              <w:t>作为投标保证金提交凭证，放置于商务文件中，</w:t>
            </w:r>
            <w:r>
              <w:rPr>
                <w:rFonts w:hint="eastAsia" w:ascii="宋体" w:hAnsi="宋体" w:cs="宋体"/>
                <w:b/>
                <w:color w:val="auto"/>
                <w:szCs w:val="21"/>
              </w:rPr>
              <w:t>否则作无效投标处理</w:t>
            </w:r>
            <w:r>
              <w:rPr>
                <w:rFonts w:hint="eastAsia" w:ascii="宋体" w:hAnsi="宋体" w:cs="宋体"/>
                <w:color w:val="auto"/>
                <w:szCs w:val="21"/>
              </w:rPr>
              <w:t>。投标人必须</w:t>
            </w:r>
            <w:r>
              <w:rPr>
                <w:rFonts w:hint="eastAsia" w:ascii="宋体" w:hAnsi="宋体" w:cs="宋体"/>
                <w:color w:val="auto"/>
                <w:kern w:val="0"/>
                <w:szCs w:val="21"/>
              </w:rPr>
              <w:t>在投标截止时间前</w:t>
            </w:r>
            <w:r>
              <w:rPr>
                <w:rFonts w:hint="eastAsia" w:ascii="宋体" w:hAnsi="宋体" w:cs="宋体"/>
                <w:color w:val="auto"/>
                <w:szCs w:val="21"/>
              </w:rPr>
              <w:t>将支票、汇票、本票或者金融、担保机构出具的保函（</w:t>
            </w:r>
            <w:r>
              <w:rPr>
                <w:rFonts w:hint="eastAsia" w:ascii="宋体" w:hAnsi="宋体" w:cs="宋体"/>
                <w:color w:val="auto"/>
                <w:kern w:val="0"/>
                <w:szCs w:val="21"/>
              </w:rPr>
              <w:t>电子保函除外</w:t>
            </w:r>
            <w:r>
              <w:rPr>
                <w:rFonts w:hint="eastAsia" w:ascii="宋体" w:hAnsi="宋体" w:cs="宋体"/>
                <w:color w:val="auto"/>
                <w:szCs w:val="21"/>
              </w:rPr>
              <w:t>）等原件提交给采购代理机构，</w:t>
            </w:r>
            <w:r>
              <w:rPr>
                <w:rFonts w:hint="eastAsia" w:ascii="宋体" w:hAnsi="宋体" w:cs="宋体"/>
                <w:b/>
                <w:color w:val="auto"/>
                <w:szCs w:val="21"/>
              </w:rPr>
              <w:t>否则作无效投标处理</w:t>
            </w:r>
            <w:r>
              <w:rPr>
                <w:rFonts w:hint="eastAsia" w:ascii="宋体" w:hAnsi="宋体" w:cs="宋体"/>
                <w:color w:val="auto"/>
                <w:szCs w:val="21"/>
              </w:rPr>
              <w:t>。由采购代理机构向投标人出具回执，并妥善保管。</w:t>
            </w:r>
          </w:p>
          <w:p>
            <w:pPr>
              <w:snapToGrid w:val="0"/>
              <w:spacing w:line="360" w:lineRule="auto"/>
              <w:rPr>
                <w:rFonts w:hint="eastAsia" w:ascii="宋体" w:hAnsi="宋体" w:cs="宋体"/>
                <w:color w:val="auto"/>
                <w:szCs w:val="21"/>
              </w:rPr>
            </w:pPr>
            <w:r>
              <w:rPr>
                <w:rFonts w:hint="eastAsia" w:ascii="宋体" w:hAnsi="宋体" w:cs="宋体"/>
                <w:color w:val="auto"/>
                <w:szCs w:val="21"/>
              </w:rPr>
              <w:t>5.缴纳投标保证金指定账户：详见招标公告。</w:t>
            </w:r>
          </w:p>
          <w:p>
            <w:pPr>
              <w:snapToGrid w:val="0"/>
              <w:spacing w:line="360" w:lineRule="auto"/>
              <w:rPr>
                <w:rFonts w:hint="eastAsia" w:ascii="宋体" w:hAnsi="宋体" w:cs="宋体"/>
                <w:color w:val="auto"/>
                <w:szCs w:val="21"/>
              </w:rPr>
            </w:pPr>
            <w:r>
              <w:rPr>
                <w:rFonts w:hint="eastAsia" w:ascii="宋体" w:hAnsi="宋体" w:cs="宋体"/>
                <w:color w:val="auto"/>
                <w:szCs w:val="21"/>
              </w:rPr>
              <w:t>6.投标人为联合体的，可以由联合体中的一方或者多方共同缴纳投标保证金，其缴纳的投标保证金对联合体各方均具有约束力。</w:t>
            </w:r>
          </w:p>
          <w:p>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pPr>
              <w:snapToGrid w:val="0"/>
              <w:spacing w:line="360" w:lineRule="auto"/>
              <w:rPr>
                <w:rFonts w:hint="eastAsia" w:ascii="宋体" w:hAnsi="宋体" w:cs="宋体"/>
                <w:b/>
                <w:color w:val="auto"/>
                <w:szCs w:val="21"/>
              </w:rPr>
            </w:pPr>
            <w:r>
              <w:rPr>
                <w:rFonts w:hint="eastAsia" w:ascii="宋体" w:hAnsi="宋体" w:cs="宋体"/>
                <w:b/>
                <w:color w:val="auto"/>
                <w:szCs w:val="21"/>
              </w:rPr>
              <w:t>1. 投标保证金在投标截止时间后提交的，或者不按规定缴纳方式缴纳的，或者未足额缴纳的（包含保函额度不足的），视为无效投标保证金。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2.投标人采用现金方式或者从个人账户（自然人投标除外）转出的投标保证金，视为无效投标保证金。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3.支票、汇票或者本票出现无效或者背书情形的，视为无效投标保证金。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4.保函有效期低于投标有效期的，视为无效投标保证金。</w:t>
            </w:r>
          </w:p>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b/>
                <w:color w:val="auto"/>
                <w:szCs w:val="21"/>
              </w:rPr>
              <w:t>5.采用金融、担保机构出具保函的，必须为无条件保函，否则视为无效投标保证金</w:t>
            </w:r>
            <w:r>
              <w:rPr>
                <w:rFonts w:hint="eastAsia" w:ascii="宋体" w:hAnsi="宋体" w:cs="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19.1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投标文件编制要求</w:t>
            </w:r>
          </w:p>
        </w:tc>
        <w:tc>
          <w:tcPr>
            <w:tcW w:w="663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b/>
                <w:color w:val="auto"/>
                <w:szCs w:val="21"/>
                <w:u w:val="single"/>
              </w:rPr>
            </w:pPr>
            <w:r>
              <w:rPr>
                <w:rFonts w:hint="eastAsia" w:ascii="宋体" w:hAnsi="宋体" w:cs="宋体"/>
                <w:color w:val="auto"/>
                <w:szCs w:val="21"/>
              </w:rPr>
              <w:t>投标文件应按报价文件、资格文件、商务文件、技术文件分别编制，报价文件、资格文件分别生成电子文件，商务文件和技术文件按顺序合并生成电子文件。</w:t>
            </w:r>
            <w:r>
              <w:rPr>
                <w:rFonts w:hint="eastAsia" w:ascii="宋体" w:hAnsi="宋体" w:cs="宋体"/>
                <w:b/>
                <w:bCs/>
                <w:color w:val="auto"/>
                <w:szCs w:val="21"/>
              </w:rPr>
              <w:t>（注：按照本招标文件“第六章 投标文件格式”编写，第六章未附格式的，由投标人自行拟定。）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20</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备份投标文件</w:t>
            </w:r>
          </w:p>
        </w:tc>
        <w:tc>
          <w:tcPr>
            <w:tcW w:w="663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t>本项目不接受备份投标文件。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restart"/>
            <w:tcBorders>
              <w:top w:val="single" w:color="auto" w:sz="4" w:space="0"/>
              <w:left w:val="single" w:color="auto" w:sz="4" w:space="0"/>
              <w:bottom w:val="nil"/>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21.1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7" w:name="_21.1"/>
            <w:bookmarkEnd w:id="117"/>
            <w:r>
              <w:rPr>
                <w:rFonts w:hint="eastAsia" w:ascii="宋体" w:hAnsi="宋体" w:cs="宋体"/>
                <w:color w:val="auto"/>
                <w:szCs w:val="21"/>
              </w:rPr>
              <w:t>投标截止时间</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u w:val="single"/>
              </w:rPr>
            </w:pPr>
            <w:r>
              <w:rPr>
                <w:rFonts w:hint="eastAsia" w:ascii="宋体" w:hAnsi="宋体" w:cs="宋体"/>
                <w:color w:val="auto"/>
                <w:szCs w:val="21"/>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nil"/>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投标地点</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nil"/>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投标人提交投标样品截止时间及地点</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bCs/>
                <w:color w:val="auto"/>
                <w:szCs w:val="21"/>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23</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8" w:name="_23"/>
            <w:bookmarkEnd w:id="118"/>
            <w:r>
              <w:rPr>
                <w:rFonts w:hint="eastAsia" w:ascii="宋体" w:hAnsi="宋体" w:cs="宋体"/>
                <w:color w:val="auto"/>
                <w:szCs w:val="21"/>
              </w:rPr>
              <w:t>开标时间、地点</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 xml:space="preserve">详见招标公告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25.3（1）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19" w:name="_25.3"/>
            <w:bookmarkEnd w:id="119"/>
            <w:r>
              <w:rPr>
                <w:rFonts w:hint="eastAsia" w:ascii="宋体" w:hAnsi="宋体" w:cs="宋体"/>
                <w:color w:val="auto"/>
                <w:szCs w:val="21"/>
              </w:rPr>
              <w:t>投标人信用查询渠道</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采购人或者采购代理机构在资格审查结束前，对投标人进行信用查询。</w:t>
            </w:r>
          </w:p>
          <w:p>
            <w:pPr>
              <w:snapToGrid w:val="0"/>
              <w:spacing w:line="360" w:lineRule="auto"/>
              <w:rPr>
                <w:rFonts w:hint="eastAsia" w:ascii="宋体" w:hAnsi="宋体" w:cs="宋体"/>
                <w:color w:val="auto"/>
                <w:szCs w:val="21"/>
              </w:rPr>
            </w:pPr>
            <w:r>
              <w:rPr>
                <w:rFonts w:hint="eastAsia" w:ascii="宋体" w:hAnsi="宋体" w:cs="宋体"/>
                <w:color w:val="auto"/>
                <w:szCs w:val="21"/>
              </w:rPr>
              <w:t>查询渠道：“信用中国”网站(https://www.creditchina.gov.cn/) 、中国政府采购网(http://www.ccgp.gov.cn/)。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信用查询截止时点</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资格审查结束前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查询记录和证据留存方式</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在查询网站中直接查询，并将查询结果存为电子文档，作为评审资料保存。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信用信息使用规则</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对在“信用中国”网站(https://www.creditchina.gov.cn/) 、中国政府采购网(http://www.ccgp.gov.cn/)</w:t>
            </w:r>
            <w:r>
              <w:rPr>
                <w:rFonts w:hint="eastAsia" w:ascii="宋体" w:hAnsi="宋体" w:cs="宋体"/>
                <w:b/>
                <w:bCs/>
                <w:color w:val="auto"/>
                <w:szCs w:val="21"/>
              </w:rPr>
              <w:t>被列入失信被执行人、重大税收违法失信主体、政府采购严重违法失信行为记录名单及其他不符合《中华人民共和国政府采购法》第二十二条规定条件的供应商</w:t>
            </w:r>
            <w:r>
              <w:rPr>
                <w:rFonts w:hint="eastAsia" w:ascii="宋体" w:hAnsi="宋体" w:cs="宋体"/>
                <w:color w:val="auto"/>
                <w:szCs w:val="21"/>
              </w:rPr>
              <w:t>，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29.1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20" w:name="_28.3"/>
            <w:bookmarkEnd w:id="120"/>
            <w:bookmarkStart w:id="121" w:name="_26"/>
            <w:bookmarkEnd w:id="121"/>
            <w:r>
              <w:rPr>
                <w:rFonts w:hint="eastAsia" w:ascii="宋体" w:hAnsi="宋体" w:cs="宋体"/>
                <w:color w:val="auto"/>
                <w:szCs w:val="21"/>
              </w:rPr>
              <w:t>评标方法</w:t>
            </w:r>
          </w:p>
        </w:tc>
        <w:tc>
          <w:tcPr>
            <w:tcW w:w="663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sym w:font="Wingdings 2" w:char="0052"/>
            </w:r>
            <w:r>
              <w:rPr>
                <w:rFonts w:hint="eastAsia" w:ascii="宋体" w:hAnsi="宋体" w:cs="宋体"/>
                <w:color w:val="auto"/>
                <w:szCs w:val="21"/>
              </w:rPr>
              <w:t>综合评分法</w:t>
            </w:r>
          </w:p>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t>□最低评标价法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30.1</w:t>
            </w:r>
          </w:p>
        </w:tc>
        <w:tc>
          <w:tcPr>
            <w:tcW w:w="208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t xml:space="preserve">确定中标人时，出现中标候选人排名并列的情形，确定中标人方式 </w:t>
            </w:r>
          </w:p>
        </w:tc>
        <w:tc>
          <w:tcPr>
            <w:tcW w:w="663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b/>
                <w:bCs/>
                <w:color w:val="auto"/>
              </w:rPr>
            </w:pPr>
            <w:r>
              <w:rPr>
                <w:rFonts w:hint="eastAsia" w:ascii="宋体" w:hAnsi="宋体" w:cs="宋体"/>
                <w:color w:val="auto"/>
                <w:szCs w:val="21"/>
              </w:rPr>
              <w:t>采购人确定中标人时，出现中标候选人并列的情形，采购人按以下的方式确定中标人：</w:t>
            </w:r>
          </w:p>
          <w:p>
            <w:pPr>
              <w:autoSpaceDE w:val="0"/>
              <w:autoSpaceDN w:val="0"/>
              <w:snapToGrid w:val="0"/>
              <w:spacing w:line="360" w:lineRule="auto"/>
              <w:textAlignment w:val="bottom"/>
              <w:rPr>
                <w:rFonts w:hint="eastAsia" w:ascii="宋体" w:hAnsi="宋体" w:cs="宋体"/>
                <w:b/>
                <w:bCs/>
                <w:i/>
                <w:iCs/>
                <w:color w:val="auto"/>
                <w:szCs w:val="21"/>
              </w:rPr>
            </w:pPr>
            <w:r>
              <w:rPr>
                <w:rFonts w:hint="eastAsia" w:ascii="宋体" w:hAnsi="宋体" w:cs="宋体"/>
                <w:color w:val="auto"/>
                <w:szCs w:val="21"/>
              </w:rPr>
              <w:sym w:font="Wingdings 2" w:char="0052"/>
            </w:r>
            <w:r>
              <w:rPr>
                <w:rFonts w:hint="eastAsia" w:ascii="宋体" w:hAnsi="宋体" w:cs="宋体"/>
                <w:color w:val="auto"/>
                <w:kern w:val="0"/>
                <w:szCs w:val="21"/>
                <w:lang w:bidi="ar"/>
              </w:rPr>
              <w:t>产品技术性能分得分高的优先、项目实施方案分得分高的优先、安装调试方案分高的优先、售后服务分得分高的优先、</w:t>
            </w:r>
            <w:r>
              <w:rPr>
                <w:rFonts w:hint="eastAsia" w:ascii="宋体" w:hAnsi="宋体" w:cs="宋体"/>
                <w:color w:val="auto"/>
                <w:szCs w:val="21"/>
              </w:rPr>
              <w:t>项目质保期长优先、交货期短优先、故障响应时间短优先、政策分</w:t>
            </w:r>
            <w:r>
              <w:rPr>
                <w:rFonts w:hint="eastAsia" w:ascii="宋体" w:hAnsi="宋体" w:cs="宋体"/>
                <w:color w:val="auto"/>
                <w:kern w:val="0"/>
                <w:szCs w:val="21"/>
                <w:lang w:bidi="ar"/>
              </w:rPr>
              <w:t>得分高的优先</w:t>
            </w:r>
            <w:r>
              <w:rPr>
                <w:rFonts w:hint="eastAsia" w:ascii="宋体" w:hAnsi="宋体" w:cs="宋体"/>
                <w:color w:val="auto"/>
                <w:szCs w:val="21"/>
              </w:rPr>
              <w:t>的顺序。</w:t>
            </w:r>
          </w:p>
          <w:p>
            <w:pPr>
              <w:autoSpaceDE w:val="0"/>
              <w:autoSpaceDN w:val="0"/>
              <w:snapToGrid w:val="0"/>
              <w:spacing w:line="360" w:lineRule="auto"/>
              <w:textAlignment w:val="bottom"/>
              <w:rPr>
                <w:rFonts w:hint="eastAsia" w:ascii="宋体" w:hAnsi="宋体" w:cs="宋体"/>
                <w:b/>
                <w:color w:val="auto"/>
                <w:szCs w:val="21"/>
              </w:rPr>
            </w:pPr>
            <w:r>
              <w:rPr>
                <w:rFonts w:hint="eastAsia" w:ascii="宋体" w:hAnsi="宋体" w:cs="宋体"/>
                <w:color w:val="auto"/>
                <w:szCs w:val="21"/>
              </w:rPr>
              <w:t>□</w:t>
            </w:r>
            <w:r>
              <w:rPr>
                <w:rFonts w:ascii="宋体" w:hAnsi="宋体" w:cs="宋体"/>
                <w:color w:val="auto"/>
              </w:rPr>
              <w:t>采取随机抽取的方式确定</w:t>
            </w: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35.1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22" w:name="_39.1"/>
            <w:bookmarkEnd w:id="122"/>
            <w:r>
              <w:rPr>
                <w:rFonts w:hint="eastAsia" w:ascii="宋体" w:hAnsi="宋体" w:cs="宋体"/>
                <w:color w:val="auto"/>
                <w:szCs w:val="21"/>
              </w:rPr>
              <w:t>履约保证金金额</w:t>
            </w:r>
          </w:p>
        </w:tc>
        <w:tc>
          <w:tcPr>
            <w:tcW w:w="6631" w:type="dxa"/>
            <w:tcBorders>
              <w:top w:val="single" w:color="auto" w:sz="4" w:space="0"/>
              <w:left w:val="single" w:color="auto" w:sz="4" w:space="0"/>
              <w:bottom w:val="single" w:color="auto" w:sz="4" w:space="0"/>
              <w:right w:val="single" w:color="auto" w:sz="4" w:space="0"/>
            </w:tcBorders>
            <w:vAlign w:val="bottom"/>
          </w:tcPr>
          <w:p>
            <w:pPr>
              <w:spacing w:line="360" w:lineRule="auto"/>
              <w:jc w:val="left"/>
              <w:rPr>
                <w:rFonts w:hint="eastAsia" w:ascii="宋体" w:hAnsi="宋体" w:cs="宋体"/>
                <w:color w:val="auto"/>
                <w:szCs w:val="21"/>
              </w:rPr>
            </w:pPr>
            <w:r>
              <w:rPr>
                <w:rFonts w:hint="eastAsia" w:ascii="宋体" w:hAnsi="宋体" w:cs="宋体"/>
                <w:b/>
                <w:bCs/>
                <w:color w:val="auto"/>
                <w:szCs w:val="21"/>
              </w:rPr>
              <w:t>本项目不需要缴</w:t>
            </w:r>
            <w:r>
              <w:rPr>
                <w:rFonts w:hint="eastAsia" w:ascii="宋体" w:hAnsi="宋体" w:cs="宋体"/>
                <w:b/>
                <w:bCs/>
                <w:color w:val="auto"/>
                <w:kern w:val="0"/>
                <w:szCs w:val="21"/>
              </w:rPr>
              <w:t>纳</w:t>
            </w:r>
            <w:r>
              <w:rPr>
                <w:rFonts w:hint="eastAsia" w:ascii="宋体" w:hAnsi="宋体" w:cs="宋体"/>
                <w:b/>
                <w:bCs/>
                <w:color w:val="auto"/>
                <w:szCs w:val="21"/>
              </w:rPr>
              <w:t>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36.1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23" w:name="_40.1"/>
            <w:bookmarkEnd w:id="123"/>
            <w:r>
              <w:rPr>
                <w:rFonts w:hint="eastAsia" w:ascii="宋体" w:hAnsi="宋体" w:cs="宋体"/>
                <w:color w:val="auto"/>
                <w:szCs w:val="21"/>
              </w:rPr>
              <w:t>签订合同携带的材料</w:t>
            </w:r>
          </w:p>
        </w:tc>
        <w:tc>
          <w:tcPr>
            <w:tcW w:w="663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t>委托代理人负责签订合同的，须携带有效的法定代表人授权委托书及其委托代理人身份证原件等其他资格证件。</w:t>
            </w:r>
          </w:p>
          <w:p>
            <w:pPr>
              <w:snapToGrid w:val="0"/>
              <w:spacing w:line="360" w:lineRule="auto"/>
              <w:rPr>
                <w:rFonts w:hint="eastAsia" w:ascii="宋体" w:hAnsi="宋体" w:cs="宋体"/>
                <w:color w:val="auto"/>
              </w:rPr>
            </w:pPr>
            <w:r>
              <w:rPr>
                <w:rFonts w:hint="eastAsia" w:ascii="宋体" w:hAnsi="宋体" w:cs="宋体"/>
                <w:color w:val="auto"/>
                <w:szCs w:val="21"/>
              </w:rPr>
              <w:t>法定代表人负责签订合同的，须携带法定代表人身份证明原件及身份证原件等其他证明材料。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38.2.1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接收质疑函方式</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szCs w:val="21"/>
              </w:rPr>
              <w:t>质疑联系部门及联系方式</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（1）名称：广西医科大学</w:t>
            </w:r>
          </w:p>
          <w:p>
            <w:pPr>
              <w:snapToGrid w:val="0"/>
              <w:spacing w:line="360" w:lineRule="auto"/>
              <w:rPr>
                <w:rFonts w:hint="eastAsia" w:ascii="宋体" w:hAnsi="宋体" w:cs="宋体"/>
                <w:color w:val="auto"/>
                <w:szCs w:val="21"/>
              </w:rPr>
            </w:pPr>
            <w:r>
              <w:rPr>
                <w:rFonts w:hint="eastAsia" w:ascii="宋体" w:hAnsi="宋体" w:cs="宋体"/>
                <w:color w:val="auto"/>
                <w:szCs w:val="21"/>
              </w:rPr>
              <w:t>联系电话：0771-</w:t>
            </w:r>
            <w:r>
              <w:rPr>
                <w:rFonts w:hint="eastAsia"/>
                <w:color w:val="auto"/>
              </w:rPr>
              <w:t>5358884</w:t>
            </w:r>
          </w:p>
          <w:p>
            <w:pPr>
              <w:snapToGrid w:val="0"/>
              <w:spacing w:line="360" w:lineRule="auto"/>
              <w:rPr>
                <w:rFonts w:hint="eastAsia" w:ascii="宋体" w:hAnsi="宋体" w:cs="宋体"/>
                <w:color w:val="auto"/>
                <w:szCs w:val="21"/>
              </w:rPr>
            </w:pPr>
            <w:r>
              <w:rPr>
                <w:rFonts w:hint="eastAsia" w:ascii="宋体" w:hAnsi="宋体" w:cs="宋体"/>
                <w:color w:val="auto"/>
                <w:szCs w:val="21"/>
              </w:rPr>
              <w:t xml:space="preserve">通讯地址：广西南宁市青秀区双拥路22号    </w:t>
            </w:r>
          </w:p>
          <w:p>
            <w:pPr>
              <w:snapToGrid w:val="0"/>
              <w:spacing w:line="360" w:lineRule="auto"/>
              <w:rPr>
                <w:rFonts w:hint="eastAsia" w:ascii="宋体" w:hAnsi="宋体"/>
                <w:color w:val="auto"/>
                <w:szCs w:val="21"/>
              </w:rPr>
            </w:pPr>
            <w:r>
              <w:rPr>
                <w:rFonts w:hint="eastAsia" w:ascii="宋体" w:hAnsi="宋体" w:cs="宋体"/>
                <w:color w:val="auto"/>
                <w:szCs w:val="21"/>
              </w:rPr>
              <w:t>（2）名称：</w:t>
            </w:r>
            <w:bookmarkStart w:id="124" w:name="PO_3000001867_PM031_3"/>
            <w:r>
              <w:rPr>
                <w:rFonts w:hint="eastAsia" w:ascii="宋体" w:hAnsi="宋体"/>
                <w:color w:val="auto"/>
                <w:szCs w:val="21"/>
              </w:rPr>
              <w:t>广西科联招标中心有限公司</w:t>
            </w:r>
            <w:bookmarkEnd w:id="124"/>
          </w:p>
          <w:p>
            <w:pPr>
              <w:snapToGrid w:val="0"/>
              <w:spacing w:line="360" w:lineRule="auto"/>
              <w:rPr>
                <w:rFonts w:hint="eastAsia" w:ascii="宋体" w:hAnsi="宋体" w:cs="宋体"/>
                <w:color w:val="auto"/>
                <w:szCs w:val="21"/>
              </w:rPr>
            </w:pPr>
            <w:r>
              <w:rPr>
                <w:rFonts w:hint="eastAsia" w:ascii="宋体" w:hAnsi="宋体" w:cs="宋体"/>
                <w:color w:val="auto"/>
                <w:szCs w:val="21"/>
              </w:rPr>
              <w:t xml:space="preserve">联系电话：陈工，0771-3486228 </w:t>
            </w:r>
          </w:p>
          <w:p>
            <w:pPr>
              <w:snapToGrid w:val="0"/>
              <w:spacing w:line="360" w:lineRule="auto"/>
              <w:rPr>
                <w:rFonts w:hint="eastAsia" w:ascii="宋体" w:hAnsi="宋体" w:cs="宋体"/>
                <w:color w:val="auto"/>
                <w:szCs w:val="21"/>
              </w:rPr>
            </w:pPr>
            <w:r>
              <w:rPr>
                <w:rFonts w:hint="eastAsia" w:ascii="宋体" w:hAnsi="宋体" w:cs="宋体"/>
                <w:color w:val="auto"/>
                <w:szCs w:val="21"/>
              </w:rPr>
              <w:t>通讯地址：</w:t>
            </w:r>
            <w:r>
              <w:rPr>
                <w:rFonts w:hint="eastAsia" w:ascii="宋体" w:hAnsi="宋体"/>
                <w:color w:val="auto"/>
                <w:szCs w:val="21"/>
              </w:rPr>
              <w:t>广西科联招标中心有限公司102室（广西南宁市大学东路170号广西农业机械研究院内）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rPr>
              <w:t>现场提交质疑办理业务时间</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rPr>
              <w:t>质疑期内每个工作日（北京时间）上午</w:t>
            </w:r>
            <w:r>
              <w:rPr>
                <w:rFonts w:hint="eastAsia" w:ascii="宋体" w:hAnsi="宋体" w:cs="宋体"/>
                <w:color w:val="auto"/>
                <w:u w:val="single"/>
              </w:rPr>
              <w:t>8</w:t>
            </w:r>
            <w:r>
              <w:rPr>
                <w:rFonts w:hint="eastAsia" w:ascii="宋体" w:hAnsi="宋体" w:cs="宋体"/>
                <w:color w:val="auto"/>
              </w:rPr>
              <w:t>时</w:t>
            </w:r>
            <w:r>
              <w:rPr>
                <w:rFonts w:hint="eastAsia" w:ascii="宋体" w:hAnsi="宋体" w:cs="宋体"/>
                <w:color w:val="auto"/>
                <w:u w:val="single"/>
              </w:rPr>
              <w:t>00</w:t>
            </w:r>
            <w:r>
              <w:rPr>
                <w:rFonts w:hint="eastAsia" w:ascii="宋体" w:hAnsi="宋体" w:cs="宋体"/>
                <w:color w:val="auto"/>
              </w:rPr>
              <w:t>分到</w:t>
            </w:r>
            <w:r>
              <w:rPr>
                <w:rFonts w:hint="eastAsia" w:ascii="宋体" w:hAnsi="宋体" w:cs="宋体"/>
                <w:color w:val="auto"/>
                <w:u w:val="single"/>
              </w:rPr>
              <w:t>12</w:t>
            </w:r>
            <w:r>
              <w:rPr>
                <w:rFonts w:hint="eastAsia" w:ascii="宋体" w:hAnsi="宋体" w:cs="宋体"/>
                <w:color w:val="auto"/>
              </w:rPr>
              <w:t>时</w:t>
            </w:r>
            <w:r>
              <w:rPr>
                <w:rFonts w:hint="eastAsia" w:ascii="宋体" w:hAnsi="宋体" w:cs="宋体"/>
                <w:color w:val="auto"/>
                <w:u w:val="single"/>
              </w:rPr>
              <w:t>00</w:t>
            </w:r>
            <w:r>
              <w:rPr>
                <w:rFonts w:hint="eastAsia" w:ascii="宋体" w:hAnsi="宋体" w:cs="宋体"/>
                <w:color w:val="auto"/>
              </w:rPr>
              <w:t>分，下午</w:t>
            </w:r>
            <w:r>
              <w:rPr>
                <w:rFonts w:hint="eastAsia" w:ascii="宋体" w:hAnsi="宋体" w:cs="宋体"/>
                <w:color w:val="auto"/>
                <w:u w:val="single"/>
              </w:rPr>
              <w:t>15</w:t>
            </w:r>
            <w:r>
              <w:rPr>
                <w:rFonts w:hint="eastAsia" w:ascii="宋体" w:hAnsi="宋体" w:cs="宋体"/>
                <w:color w:val="auto"/>
              </w:rPr>
              <w:t>时</w:t>
            </w:r>
            <w:r>
              <w:rPr>
                <w:rFonts w:hint="eastAsia" w:ascii="宋体" w:hAnsi="宋体" w:cs="宋体"/>
                <w:color w:val="auto"/>
                <w:u w:val="single"/>
              </w:rPr>
              <w:t>00</w:t>
            </w:r>
            <w:r>
              <w:rPr>
                <w:rFonts w:hint="eastAsia" w:ascii="宋体" w:hAnsi="宋体" w:cs="宋体"/>
                <w:color w:val="auto"/>
              </w:rPr>
              <w:t>分到</w:t>
            </w:r>
            <w:r>
              <w:rPr>
                <w:rFonts w:hint="eastAsia" w:ascii="宋体" w:hAnsi="宋体" w:cs="宋体"/>
                <w:color w:val="auto"/>
                <w:u w:val="single"/>
              </w:rPr>
              <w:t>18</w:t>
            </w:r>
            <w:r>
              <w:rPr>
                <w:rFonts w:hint="eastAsia" w:ascii="宋体" w:hAnsi="宋体" w:cs="宋体"/>
                <w:color w:val="auto"/>
              </w:rPr>
              <w:t>时</w:t>
            </w:r>
            <w:r>
              <w:rPr>
                <w:rFonts w:hint="eastAsia" w:ascii="宋体" w:hAnsi="宋体" w:cs="宋体"/>
                <w:color w:val="auto"/>
                <w:u w:val="single"/>
              </w:rPr>
              <w:t>00</w:t>
            </w:r>
            <w:r>
              <w:rPr>
                <w:rFonts w:hint="eastAsia" w:ascii="宋体" w:hAnsi="宋体" w:cs="宋体"/>
                <w:color w:val="auto"/>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9" w:hRule="exact"/>
          <w:jc w:val="center"/>
        </w:trPr>
        <w:tc>
          <w:tcPr>
            <w:tcW w:w="860" w:type="dxa"/>
            <w:tcBorders>
              <w:top w:val="nil"/>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38.3.1</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rPr>
            </w:pPr>
            <w:r>
              <w:rPr>
                <w:rFonts w:hint="eastAsia" w:ascii="宋体" w:hAnsi="宋体" w:cs="宋体"/>
                <w:color w:val="auto"/>
              </w:rPr>
              <w:t>投诉受理方式</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rPr>
            </w:pPr>
            <w:r>
              <w:rPr>
                <w:rFonts w:hint="eastAsia" w:ascii="宋体" w:hAnsi="宋体" w:cs="宋体"/>
                <w:color w:val="auto"/>
              </w:rPr>
              <w:t>1.受理方式：纸质方式受理，投诉书正、副本（经过质疑的事项才可投诉）。</w:t>
            </w:r>
          </w:p>
          <w:p>
            <w:pPr>
              <w:snapToGrid w:val="0"/>
              <w:spacing w:line="360" w:lineRule="auto"/>
              <w:rPr>
                <w:rFonts w:hint="eastAsia" w:ascii="宋体" w:hAnsi="宋体" w:cs="宋体"/>
                <w:color w:val="auto"/>
              </w:rPr>
            </w:pPr>
            <w:r>
              <w:rPr>
                <w:rFonts w:hint="eastAsia" w:ascii="宋体" w:hAnsi="宋体" w:cs="宋体"/>
                <w:color w:val="auto"/>
              </w:rPr>
              <w:t>2.</w:t>
            </w:r>
            <w:r>
              <w:rPr>
                <w:rFonts w:hint="eastAsia" w:ascii="宋体" w:hAnsi="宋体" w:cs="宋体"/>
                <w:color w:val="auto"/>
                <w:szCs w:val="21"/>
              </w:rPr>
              <w:t>通讯</w:t>
            </w:r>
            <w:r>
              <w:rPr>
                <w:rFonts w:hint="eastAsia" w:ascii="宋体" w:hAnsi="宋体" w:cs="宋体"/>
                <w:color w:val="auto"/>
              </w:rPr>
              <w:t>方式</w:t>
            </w:r>
          </w:p>
          <w:p>
            <w:pPr>
              <w:snapToGrid w:val="0"/>
              <w:spacing w:line="360" w:lineRule="auto"/>
              <w:rPr>
                <w:rFonts w:hint="eastAsia" w:ascii="宋体" w:hAnsi="宋体" w:cs="宋体"/>
                <w:color w:val="auto"/>
              </w:rPr>
            </w:pPr>
            <w:bookmarkStart w:id="125" w:name="PO_3000001867_PM039"/>
            <w:r>
              <w:rPr>
                <w:rFonts w:hint="eastAsia" w:ascii="宋体" w:hAnsi="宋体" w:cs="宋体"/>
                <w:color w:val="auto"/>
              </w:rPr>
              <w:t>名称：</w:t>
            </w:r>
            <w:bookmarkStart w:id="126" w:name="PO_3000001867_PM036"/>
            <w:r>
              <w:rPr>
                <w:rFonts w:hint="eastAsia" w:ascii="宋体" w:hAnsi="宋体" w:cs="宋体"/>
                <w:color w:val="auto"/>
              </w:rPr>
              <w:t>广西壮族自治区财政厅政府采购监督管理</w:t>
            </w:r>
            <w:bookmarkEnd w:id="126"/>
            <w:r>
              <w:rPr>
                <w:rFonts w:hint="eastAsia" w:ascii="宋体" w:hAnsi="宋体" w:cs="宋体"/>
                <w:color w:val="auto"/>
              </w:rPr>
              <w:t>处</w:t>
            </w:r>
          </w:p>
          <w:p>
            <w:pPr>
              <w:snapToGrid w:val="0"/>
              <w:spacing w:line="360" w:lineRule="auto"/>
              <w:rPr>
                <w:rFonts w:hint="eastAsia" w:ascii="宋体" w:hAnsi="宋体" w:cs="宋体"/>
                <w:color w:val="auto"/>
              </w:rPr>
            </w:pPr>
            <w:r>
              <w:rPr>
                <w:rFonts w:hint="eastAsia" w:ascii="宋体" w:hAnsi="宋体" w:cs="宋体"/>
                <w:color w:val="auto"/>
              </w:rPr>
              <w:t>地址：南宁市桃源路69号广西财政大厦7楼</w:t>
            </w:r>
          </w:p>
          <w:bookmarkEnd w:id="125"/>
          <w:p>
            <w:pPr>
              <w:snapToGrid w:val="0"/>
              <w:spacing w:line="360" w:lineRule="auto"/>
              <w:rPr>
                <w:rFonts w:hint="eastAsia" w:ascii="宋体" w:hAnsi="宋体" w:cs="宋体"/>
                <w:color w:val="auto"/>
              </w:rPr>
            </w:pPr>
            <w:r>
              <w:rPr>
                <w:rFonts w:hint="eastAsia" w:ascii="宋体" w:hAnsi="宋体" w:cs="宋体"/>
                <w:color w:val="auto"/>
              </w:rPr>
              <w:t>联系电话：</w:t>
            </w:r>
            <w:bookmarkStart w:id="127" w:name="PO_3000001867_PM038"/>
            <w:r>
              <w:rPr>
                <w:rFonts w:hint="eastAsia" w:ascii="宋体" w:hAnsi="宋体" w:cs="宋体"/>
                <w:color w:val="auto"/>
              </w:rPr>
              <w:t xml:space="preserve">0771-5331544/5331539 </w:t>
            </w:r>
            <w:bookmarkEnd w:id="12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40</w:t>
            </w: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bookmarkStart w:id="128" w:name="_42"/>
            <w:bookmarkEnd w:id="128"/>
            <w:bookmarkStart w:id="129" w:name="_41"/>
            <w:bookmarkEnd w:id="129"/>
            <w:r>
              <w:rPr>
                <w:rFonts w:hint="eastAsia" w:ascii="宋体" w:hAnsi="宋体" w:cs="宋体"/>
                <w:color w:val="auto"/>
              </w:rPr>
              <w:t>采购代理服务费支付方式</w:t>
            </w:r>
          </w:p>
        </w:tc>
        <w:tc>
          <w:tcPr>
            <w:tcW w:w="6631" w:type="dxa"/>
            <w:tcBorders>
              <w:top w:val="single" w:color="auto" w:sz="4" w:space="0"/>
              <w:left w:val="single" w:color="auto" w:sz="4" w:space="0"/>
              <w:bottom w:val="single" w:color="auto" w:sz="4" w:space="0"/>
              <w:right w:val="single" w:color="auto" w:sz="4" w:space="0"/>
            </w:tcBorders>
            <w:vAlign w:val="center"/>
          </w:tcPr>
          <w:p>
            <w:pPr>
              <w:pStyle w:val="14"/>
              <w:snapToGrid w:val="0"/>
              <w:spacing w:line="360" w:lineRule="auto"/>
              <w:rPr>
                <w:rFonts w:hint="eastAsia" w:hAnsi="宋体" w:cs="宋体"/>
                <w:color w:val="auto"/>
              </w:rPr>
            </w:pPr>
            <w:r>
              <w:rPr>
                <w:rFonts w:hint="eastAsia" w:hAnsi="宋体" w:cs="宋体"/>
                <w:color w:val="auto"/>
              </w:rPr>
              <w:sym w:font="Wingdings 2" w:char="0052"/>
            </w:r>
            <w:r>
              <w:rPr>
                <w:rFonts w:hint="eastAsia" w:hAnsi="宋体" w:cs="宋体"/>
                <w:color w:val="auto"/>
              </w:rPr>
              <w:t>本项目采购代理服务费由</w:t>
            </w:r>
            <w:r>
              <w:rPr>
                <w:rFonts w:hint="eastAsia" w:hAnsi="宋体" w:cs="宋体"/>
                <w:color w:val="auto"/>
                <w:u w:val="single"/>
              </w:rPr>
              <w:t>中标人</w:t>
            </w:r>
            <w:r>
              <w:rPr>
                <w:rFonts w:hint="eastAsia" w:hAnsi="宋体" w:cs="宋体"/>
                <w:color w:val="auto"/>
              </w:rPr>
              <w:t>在签订合同前，以银行转账、电汇等方式一次性向采购代理机构支付。</w:t>
            </w:r>
          </w:p>
          <w:p>
            <w:pPr>
              <w:pStyle w:val="14"/>
              <w:snapToGrid w:val="0"/>
              <w:spacing w:line="360" w:lineRule="auto"/>
              <w:rPr>
                <w:rFonts w:hint="eastAsia" w:hAnsi="宋体" w:cs="宋体"/>
                <w:color w:val="auto"/>
                <w:u w:val="single"/>
              </w:rPr>
            </w:pPr>
            <w:r>
              <w:rPr>
                <w:rFonts w:hint="eastAsia" w:hAnsi="宋体" w:cs="宋体"/>
                <w:color w:val="auto"/>
              </w:rPr>
              <w:t>□采购人支付：</w:t>
            </w:r>
          </w:p>
          <w:p>
            <w:pPr>
              <w:pStyle w:val="14"/>
              <w:snapToGrid w:val="0"/>
              <w:spacing w:line="360" w:lineRule="auto"/>
              <w:rPr>
                <w:rFonts w:hint="eastAsia" w:hAnsi="宋体" w:cs="宋体"/>
                <w:color w:val="auto"/>
              </w:rPr>
            </w:pPr>
            <w:r>
              <w:rPr>
                <w:rFonts w:hint="eastAsia" w:hAnsi="宋体" w:cs="宋体"/>
                <w:color w:val="auto"/>
              </w:rPr>
              <w:t>□本项目不收取采购代理服务费。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rPr>
              <w:t>采购代理服务费收取标准</w:t>
            </w:r>
          </w:p>
        </w:tc>
        <w:tc>
          <w:tcPr>
            <w:tcW w:w="6631" w:type="dxa"/>
            <w:tcBorders>
              <w:top w:val="single" w:color="auto" w:sz="4" w:space="0"/>
              <w:left w:val="single" w:color="auto" w:sz="4" w:space="0"/>
              <w:bottom w:val="single" w:color="auto" w:sz="4" w:space="0"/>
              <w:right w:val="single" w:color="auto" w:sz="4" w:space="0"/>
            </w:tcBorders>
            <w:vAlign w:val="center"/>
          </w:tcPr>
          <w:p>
            <w:pPr>
              <w:pStyle w:val="14"/>
              <w:snapToGrid w:val="0"/>
              <w:spacing w:line="360" w:lineRule="auto"/>
              <w:rPr>
                <w:rFonts w:hint="eastAsia" w:hAnsi="宋体" w:cs="宋体"/>
                <w:color w:val="auto"/>
              </w:rPr>
            </w:pPr>
            <w:bookmarkStart w:id="130" w:name="PO_3000001867_PM025"/>
            <w:r>
              <w:rPr>
                <w:rFonts w:hint="eastAsia" w:hAnsi="宋体" w:cs="宋体"/>
                <w:color w:val="auto"/>
              </w:rPr>
              <w:sym w:font="Wingdings 2" w:char="0052"/>
            </w:r>
            <w:r>
              <w:rPr>
                <w:rFonts w:hint="eastAsia" w:hAnsi="宋体" w:cs="宋体"/>
                <w:color w:val="auto"/>
              </w:rPr>
              <w:t>以分标（</w:t>
            </w:r>
            <w:r>
              <w:rPr>
                <w:rFonts w:hint="eastAsia" w:hAnsi="宋体" w:cs="宋体"/>
                <w:color w:val="auto"/>
              </w:rPr>
              <w:sym w:font="Wingdings 2" w:char="0052"/>
            </w:r>
            <w:r>
              <w:rPr>
                <w:rFonts w:hint="eastAsia" w:hAnsi="宋体" w:cs="宋体"/>
                <w:color w:val="auto"/>
              </w:rPr>
              <w:t>中标金额/□采购预算/□暂定中标金额/□其他</w:t>
            </w:r>
            <w:r>
              <w:rPr>
                <w:rFonts w:hint="eastAsia" w:hAnsi="宋体" w:cs="宋体"/>
                <w:color w:val="auto"/>
                <w:u w:val="single"/>
              </w:rPr>
              <w:t xml:space="preserve">   </w:t>
            </w:r>
            <w:r>
              <w:rPr>
                <w:rFonts w:hint="eastAsia" w:hAnsi="宋体" w:cs="宋体"/>
                <w:color w:val="auto"/>
              </w:rPr>
              <w:t>）为计费额，按本须知正文第40.2条规定的收费计算标准采用差额定率累进法计算出收费基准价格，采购代理收费以（□收费基准价格/☑收费基准价格下浮</w:t>
            </w:r>
            <w:r>
              <w:rPr>
                <w:rFonts w:hint="eastAsia" w:hAnsi="宋体" w:cs="宋体"/>
                <w:color w:val="auto"/>
                <w:u w:val="single"/>
              </w:rPr>
              <w:t xml:space="preserve"> 20 %</w:t>
            </w:r>
            <w:r>
              <w:rPr>
                <w:rFonts w:hint="eastAsia" w:hAnsi="宋体" w:cs="宋体"/>
                <w:color w:val="auto"/>
              </w:rPr>
              <w:t>/□收费基准价格上浮</w:t>
            </w:r>
            <w:r>
              <w:rPr>
                <w:rFonts w:hint="eastAsia" w:hAnsi="宋体" w:cs="宋体"/>
                <w:color w:val="auto"/>
                <w:u w:val="single"/>
              </w:rPr>
              <w:t xml:space="preserve">   %</w:t>
            </w:r>
            <w:r>
              <w:rPr>
                <w:rFonts w:hint="eastAsia" w:hAnsi="宋体" w:cs="宋体"/>
                <w:color w:val="auto"/>
              </w:rPr>
              <w:t>）收取，如对应分标代理服务费不足陆仟元的，按陆仟元收取。</w:t>
            </w:r>
          </w:p>
          <w:p>
            <w:pPr>
              <w:pStyle w:val="14"/>
              <w:snapToGrid w:val="0"/>
              <w:spacing w:line="360" w:lineRule="auto"/>
              <w:rPr>
                <w:rFonts w:hint="eastAsia" w:hAnsi="宋体" w:cs="宋体"/>
                <w:color w:val="auto"/>
                <w:u w:val="single"/>
              </w:rPr>
            </w:pPr>
            <w:r>
              <w:rPr>
                <w:rFonts w:hint="eastAsia" w:hAnsi="宋体" w:cs="宋体"/>
                <w:color w:val="auto"/>
              </w:rPr>
              <w:t>□固定采购代理收费：</w:t>
            </w:r>
            <w:r>
              <w:rPr>
                <w:rFonts w:hint="eastAsia" w:hAnsi="宋体" w:cs="宋体"/>
                <w:color w:val="auto"/>
                <w:u w:val="single"/>
              </w:rPr>
              <w:t xml:space="preserve">              。</w:t>
            </w:r>
            <w:bookmarkEnd w:id="13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color w:val="auto"/>
                <w:szCs w:val="21"/>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color w:val="auto"/>
                <w:szCs w:val="21"/>
              </w:rPr>
            </w:pPr>
            <w:r>
              <w:rPr>
                <w:rFonts w:hint="eastAsia" w:ascii="宋体" w:hAnsi="宋体" w:cs="宋体"/>
                <w:color w:val="auto"/>
              </w:rPr>
              <w:t>采购代理服务费收款账户信息</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0"/>
              </w:rPr>
            </w:pPr>
            <w:r>
              <w:rPr>
                <w:rFonts w:hint="eastAsia" w:ascii="宋体" w:hAnsi="宋体" w:cs="宋体"/>
                <w:color w:val="auto"/>
                <w:szCs w:val="20"/>
              </w:rPr>
              <w:t>开户名称：广西科联招标中心有限公司</w:t>
            </w:r>
          </w:p>
          <w:p>
            <w:pPr>
              <w:snapToGrid w:val="0"/>
              <w:spacing w:line="360" w:lineRule="auto"/>
              <w:rPr>
                <w:rFonts w:hint="eastAsia" w:ascii="宋体" w:hAnsi="宋体" w:cs="宋体"/>
                <w:color w:val="auto"/>
                <w:szCs w:val="20"/>
              </w:rPr>
            </w:pPr>
            <w:r>
              <w:rPr>
                <w:rFonts w:hint="eastAsia" w:ascii="宋体" w:hAnsi="宋体" w:cs="宋体"/>
                <w:color w:val="auto"/>
                <w:szCs w:val="20"/>
              </w:rPr>
              <w:t>开户银行：中国工商银行南宁市高新科技支行</w:t>
            </w:r>
          </w:p>
          <w:p>
            <w:pPr>
              <w:snapToGrid w:val="0"/>
              <w:spacing w:line="360" w:lineRule="auto"/>
              <w:rPr>
                <w:rFonts w:hint="eastAsia" w:ascii="宋体" w:hAnsi="宋体" w:cs="宋体"/>
                <w:color w:val="auto"/>
                <w:szCs w:val="20"/>
              </w:rPr>
            </w:pPr>
            <w:r>
              <w:rPr>
                <w:rFonts w:hint="eastAsia" w:ascii="宋体" w:hAnsi="宋体" w:cs="宋体"/>
                <w:color w:val="auto"/>
                <w:szCs w:val="20"/>
              </w:rPr>
              <w:t>银行账号：2102111229300032105</w:t>
            </w:r>
          </w:p>
          <w:p>
            <w:pPr>
              <w:pStyle w:val="14"/>
              <w:snapToGrid w:val="0"/>
              <w:spacing w:line="360" w:lineRule="auto"/>
              <w:rPr>
                <w:rFonts w:hint="eastAsia" w:hAnsi="宋体" w:cs="宋体"/>
                <w:color w:val="auto"/>
              </w:rPr>
            </w:pPr>
            <w:r>
              <w:rPr>
                <w:rFonts w:hint="eastAsia" w:hAnsi="宋体" w:cs="宋体"/>
                <w:color w:val="auto"/>
              </w:rPr>
              <w:t>开户行行号：102611011101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s="宋体"/>
                <w:color w:val="auto"/>
                <w:szCs w:val="21"/>
              </w:rPr>
            </w:pPr>
            <w:r>
              <w:rPr>
                <w:rFonts w:hint="eastAsia" w:ascii="宋体" w:hAnsi="宋体" w:cs="宋体"/>
                <w:color w:val="auto"/>
                <w:szCs w:val="21"/>
              </w:rPr>
              <w:t>41.1</w:t>
            </w: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解释</w:t>
            </w:r>
          </w:p>
        </w:tc>
        <w:tc>
          <w:tcPr>
            <w:tcW w:w="663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b/>
                <w:color w:val="auto"/>
                <w:szCs w:val="21"/>
              </w:rPr>
            </w:pPr>
            <w:r>
              <w:rPr>
                <w:rFonts w:hint="eastAsia" w:ascii="宋体" w:hAnsi="宋体" w:cs="宋体"/>
                <w:b/>
                <w:color w:val="auto"/>
                <w:szCs w:val="21"/>
              </w:rPr>
              <w:t>解释：</w:t>
            </w:r>
            <w:r>
              <w:rPr>
                <w:rFonts w:hint="eastAsia" w:ascii="宋体" w:hAnsi="宋体" w:cs="宋体"/>
                <w:color w:val="auto"/>
                <w:szCs w:val="21"/>
              </w:rPr>
              <w:t>构成本招标文件的各个组成文件应互为解释，互为说明；除招标文件中有特别规定外，仅适用于招标投标阶段的规定，按更正公告（澄清公告）、招标公告、采购需求、投标人须知、评标方法和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rPr>
              <w:t>，由采购人或者采购代理机构负责解释。</w:t>
            </w:r>
          </w:p>
          <w:p>
            <w:pPr>
              <w:snapToGrid w:val="0"/>
              <w:spacing w:line="360" w:lineRule="auto"/>
              <w:rPr>
                <w:rFonts w:hint="eastAsia" w:ascii="宋体" w:hAnsi="宋体" w:cs="宋体"/>
                <w:b/>
                <w:color w:val="auto"/>
                <w:szCs w:val="21"/>
              </w:rPr>
            </w:pPr>
            <w:r>
              <w:rPr>
                <w:rFonts w:hint="eastAsia" w:ascii="宋体" w:hAnsi="宋体" w:cs="宋体"/>
                <w:b/>
                <w:color w:val="auto"/>
                <w:szCs w:val="21"/>
              </w:rPr>
              <w:t>法律责任：</w:t>
            </w:r>
          </w:p>
          <w:p>
            <w:pPr>
              <w:snapToGrid w:val="0"/>
              <w:spacing w:line="360" w:lineRule="auto"/>
              <w:rPr>
                <w:rFonts w:hint="eastAsia" w:ascii="宋体" w:hAnsi="宋体" w:cs="宋体"/>
                <w:color w:val="auto"/>
              </w:rPr>
            </w:pPr>
            <w:r>
              <w:rPr>
                <w:rFonts w:hint="eastAsia" w:ascii="宋体" w:hAnsi="宋体" w:cs="宋体"/>
                <w:color w:val="auto"/>
                <w:szCs w:val="21"/>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s="宋体"/>
                <w:color w:val="auto"/>
                <w:szCs w:val="21"/>
              </w:rPr>
            </w:pPr>
            <w:r>
              <w:rPr>
                <w:rFonts w:hint="eastAsia" w:ascii="宋体" w:hAnsi="宋体" w:cs="宋体"/>
                <w:color w:val="auto"/>
                <w:szCs w:val="21"/>
              </w:rPr>
              <w:t>41.2</w:t>
            </w:r>
          </w:p>
        </w:tc>
        <w:tc>
          <w:tcPr>
            <w:tcW w:w="208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cs="宋体"/>
                <w:color w:val="auto"/>
                <w:szCs w:val="21"/>
              </w:rPr>
            </w:pPr>
            <w:r>
              <w:rPr>
                <w:rFonts w:hint="eastAsia" w:ascii="宋体" w:hAnsi="宋体" w:cs="宋体"/>
                <w:color w:val="auto"/>
                <w:szCs w:val="21"/>
              </w:rPr>
              <w:t>其他释义</w:t>
            </w:r>
          </w:p>
        </w:tc>
        <w:tc>
          <w:tcPr>
            <w:tcW w:w="663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hint="eastAsia" w:ascii="宋体" w:hAnsi="宋体" w:cs="宋体"/>
                <w:color w:val="auto"/>
                <w:szCs w:val="21"/>
              </w:rPr>
            </w:pPr>
            <w:r>
              <w:rPr>
                <w:rFonts w:hint="eastAsia" w:ascii="宋体" w:hAnsi="宋体" w:cs="宋体"/>
                <w:color w:val="auto"/>
                <w:szCs w:val="21"/>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pPr>
              <w:pStyle w:val="10"/>
              <w:spacing w:line="360" w:lineRule="auto"/>
              <w:rPr>
                <w:rFonts w:hint="eastAsia" w:ascii="宋体" w:hAnsi="宋体" w:cs="宋体"/>
                <w:color w:val="auto"/>
                <w:szCs w:val="21"/>
              </w:rPr>
            </w:pPr>
            <w:r>
              <w:rPr>
                <w:rFonts w:hint="eastAsia" w:ascii="宋体" w:hAnsi="宋体" w:cs="宋体"/>
                <w:color w:val="auto"/>
                <w:szCs w:val="21"/>
              </w:rPr>
              <w:t>2.本招标文件中描述投标人的“签字”是指投标人通过指定电子化政府采购平台办理数字证书（CA认证）获得的以投标人法定代表人或者委托代理人姓名制作的电子印章或手写签字。</w:t>
            </w:r>
          </w:p>
          <w:p>
            <w:pPr>
              <w:pStyle w:val="10"/>
              <w:tabs>
                <w:tab w:val="center" w:pos="4153"/>
                <w:tab w:val="right" w:pos="8306"/>
              </w:tabs>
              <w:spacing w:line="360" w:lineRule="auto"/>
              <w:rPr>
                <w:rFonts w:hint="eastAsia" w:ascii="宋体" w:hAnsi="宋体" w:cs="宋体"/>
                <w:color w:val="auto"/>
                <w:szCs w:val="21"/>
              </w:rPr>
            </w:pPr>
            <w:r>
              <w:rPr>
                <w:rFonts w:hint="eastAsia" w:ascii="宋体" w:hAnsi="宋体" w:cs="宋体"/>
                <w:color w:val="auto"/>
                <w:szCs w:val="21"/>
              </w:rPr>
              <w:t>3.本招标文件所称的“电子签章”“电子签名”，是指经广西政府采购云平台认可的CA认证的电子签名数据为表现形式的印章，可用于签署电子版投标文件，电子印章与实物印章具有同等法律效力，不因其采用电子化表现形式而否定其法律效力。</w:t>
            </w:r>
          </w:p>
          <w:p>
            <w:pPr>
              <w:pStyle w:val="10"/>
              <w:spacing w:line="360" w:lineRule="auto"/>
              <w:rPr>
                <w:rFonts w:hint="eastAsia" w:ascii="宋体" w:hAnsi="宋体" w:cs="宋体"/>
                <w:color w:val="auto"/>
                <w:szCs w:val="21"/>
              </w:rPr>
            </w:pPr>
            <w:r>
              <w:rPr>
                <w:rFonts w:hint="eastAsia" w:ascii="宋体" w:hAnsi="宋体" w:cs="宋体"/>
                <w:color w:val="auto"/>
                <w:szCs w:val="21"/>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pPr>
              <w:pStyle w:val="10"/>
              <w:spacing w:line="360" w:lineRule="auto"/>
              <w:rPr>
                <w:rFonts w:hint="eastAsia" w:ascii="宋体" w:hAnsi="宋体" w:cs="宋体"/>
                <w:color w:val="auto"/>
                <w:szCs w:val="21"/>
              </w:rPr>
            </w:pPr>
            <w:r>
              <w:rPr>
                <w:rFonts w:hint="eastAsia" w:ascii="宋体" w:hAnsi="宋体" w:cs="宋体"/>
                <w:color w:val="auto"/>
                <w:szCs w:val="21"/>
              </w:rPr>
              <w:t>5.自然人投标的，招标文件规定盖公章处由自然人摁手指指印。</w:t>
            </w:r>
          </w:p>
          <w:p>
            <w:pPr>
              <w:pStyle w:val="10"/>
              <w:spacing w:line="360" w:lineRule="auto"/>
              <w:rPr>
                <w:rFonts w:hint="eastAsia" w:ascii="宋体" w:hAnsi="宋体" w:cs="宋体"/>
                <w:color w:val="auto"/>
                <w:szCs w:val="21"/>
              </w:rPr>
            </w:pPr>
            <w:r>
              <w:rPr>
                <w:rFonts w:hint="eastAsia" w:ascii="宋体" w:hAnsi="宋体" w:cs="宋体"/>
                <w:color w:val="auto"/>
                <w:szCs w:val="21"/>
              </w:rPr>
              <w:t>6.本招标文件所称的“以上”“以下”“以内”“届满”，包括本数；所称的“不满”“超过”“以外”，不包括本数。</w:t>
            </w:r>
          </w:p>
        </w:tc>
      </w:tr>
    </w:tbl>
    <w:p>
      <w:pPr>
        <w:widowControl/>
        <w:spacing w:line="412" w:lineRule="auto"/>
        <w:jc w:val="left"/>
        <w:rPr>
          <w:rFonts w:hint="eastAsia" w:ascii="宋体" w:hAnsi="宋体" w:cs="宋体"/>
          <w:b/>
          <w:bCs/>
          <w:color w:val="auto"/>
          <w:sz w:val="32"/>
          <w:szCs w:val="32"/>
        </w:rPr>
        <w:sectPr>
          <w:footerReference r:id="rId6" w:type="default"/>
          <w:footerReference r:id="rId7" w:type="even"/>
          <w:pgSz w:w="11906" w:h="16838"/>
          <w:pgMar w:top="1134" w:right="1020" w:bottom="1020" w:left="1134" w:header="720" w:footer="720" w:gutter="0"/>
          <w:pgNumType w:start="1"/>
          <w:cols w:space="720" w:num="1"/>
          <w:docGrid w:type="lines" w:linePitch="331" w:charSpace="0"/>
        </w:sectPr>
      </w:pPr>
    </w:p>
    <w:p>
      <w:pPr>
        <w:pStyle w:val="3"/>
        <w:jc w:val="center"/>
        <w:rPr>
          <w:rFonts w:hint="eastAsia" w:ascii="宋体" w:hAnsi="宋体" w:eastAsia="宋体" w:cs="宋体"/>
          <w:color w:val="auto"/>
        </w:rPr>
      </w:pPr>
      <w:bookmarkStart w:id="131" w:name="_Toc32224"/>
      <w:bookmarkStart w:id="132" w:name="_Toc9224"/>
      <w:bookmarkStart w:id="133" w:name="_Toc21704"/>
      <w:bookmarkStart w:id="134" w:name="_Toc21899"/>
      <w:bookmarkStart w:id="135" w:name="_Toc29181"/>
      <w:r>
        <w:rPr>
          <w:rFonts w:hint="eastAsia" w:ascii="宋体" w:hAnsi="宋体" w:eastAsia="宋体" w:cs="宋体"/>
          <w:color w:val="auto"/>
        </w:rPr>
        <w:t>第二节 投标人须知正文</w:t>
      </w:r>
      <w:bookmarkEnd w:id="131"/>
      <w:bookmarkEnd w:id="132"/>
      <w:bookmarkEnd w:id="133"/>
      <w:bookmarkEnd w:id="134"/>
      <w:bookmarkEnd w:id="135"/>
    </w:p>
    <w:p>
      <w:pPr>
        <w:pStyle w:val="4"/>
        <w:keepNext w:val="0"/>
        <w:keepLines w:val="0"/>
        <w:spacing w:line="400" w:lineRule="exact"/>
        <w:jc w:val="center"/>
        <w:rPr>
          <w:rFonts w:hint="eastAsia" w:ascii="宋体" w:hAnsi="宋体" w:cs="宋体"/>
          <w:color w:val="auto"/>
        </w:rPr>
      </w:pPr>
      <w:bookmarkStart w:id="136" w:name="_Toc5656"/>
      <w:bookmarkStart w:id="137" w:name="_Toc7223"/>
      <w:bookmarkStart w:id="138" w:name="_Toc9192"/>
      <w:bookmarkStart w:id="139" w:name="_Toc13703"/>
      <w:bookmarkStart w:id="140" w:name="_Toc2156"/>
      <w:r>
        <w:rPr>
          <w:rFonts w:hint="eastAsia" w:ascii="宋体" w:hAnsi="宋体" w:cs="宋体"/>
          <w:color w:val="auto"/>
        </w:rPr>
        <w:t>一、总  则</w:t>
      </w:r>
      <w:bookmarkEnd w:id="136"/>
      <w:bookmarkEnd w:id="137"/>
      <w:bookmarkEnd w:id="138"/>
      <w:bookmarkEnd w:id="139"/>
      <w:bookmarkEnd w:id="140"/>
    </w:p>
    <w:p>
      <w:pPr>
        <w:spacing w:line="360" w:lineRule="auto"/>
        <w:ind w:firstLine="480" w:firstLineChars="200"/>
        <w:rPr>
          <w:rFonts w:hint="eastAsia" w:ascii="宋体" w:hAnsi="宋体" w:cs="宋体"/>
          <w:color w:val="auto"/>
          <w:sz w:val="24"/>
        </w:rPr>
      </w:pPr>
      <w:bookmarkStart w:id="141" w:name="_Toc254970668"/>
      <w:bookmarkStart w:id="142" w:name="_Toc254970527"/>
      <w:r>
        <w:rPr>
          <w:rFonts w:hint="eastAsia" w:ascii="宋体" w:hAnsi="宋体" w:cs="宋体"/>
          <w:color w:val="auto"/>
          <w:sz w:val="24"/>
        </w:rPr>
        <w:t>1.适用范围</w:t>
      </w:r>
      <w:bookmarkEnd w:id="141"/>
      <w:bookmarkEnd w:id="142"/>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1.1适用法律：本项目采购人、采购代理机构、投标人、评标委员会的相关行为均受《中华人民共和国政府采购法》《中华人民共和国政府采购法实施条例》《</w:t>
      </w:r>
      <w:r>
        <w:rPr>
          <w:rFonts w:ascii="宋体" w:hAnsi="宋体" w:cs="宋体"/>
          <w:color w:val="auto"/>
          <w:kern w:val="0"/>
          <w:szCs w:val="21"/>
        </w:rPr>
        <w:t>政府采购货物和服务招标投标管理办法</w:t>
      </w:r>
      <w:r>
        <w:rPr>
          <w:rFonts w:hint="eastAsia" w:ascii="宋体" w:hAnsi="宋体" w:cs="宋体"/>
          <w:color w:val="auto"/>
          <w:szCs w:val="21"/>
        </w:rPr>
        <w:t>》及本项目本级和上级财政部门政府采购有关规定的约束和保护。</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pPr>
        <w:spacing w:line="360" w:lineRule="auto"/>
        <w:ind w:firstLine="480" w:firstLineChars="200"/>
        <w:rPr>
          <w:rFonts w:hint="eastAsia" w:ascii="宋体" w:hAnsi="宋体" w:cs="宋体"/>
          <w:color w:val="auto"/>
          <w:sz w:val="24"/>
        </w:rPr>
      </w:pPr>
      <w:bookmarkStart w:id="143" w:name="_Toc254970528"/>
      <w:bookmarkStart w:id="144" w:name="_Toc254970669"/>
      <w:r>
        <w:rPr>
          <w:rFonts w:hint="eastAsia" w:ascii="宋体" w:hAnsi="宋体" w:cs="宋体"/>
          <w:color w:val="auto"/>
          <w:sz w:val="24"/>
        </w:rPr>
        <w:t>2.定义</w:t>
      </w:r>
      <w:bookmarkEnd w:id="143"/>
      <w:bookmarkEnd w:id="144"/>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2.1“采购人”是指依法进行政府采购的国家机关、事业单位、团体组织。</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2.2“采购代理机构” 指政府采购集中采购机构和集中采购机构以外的采购代理机构。</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2.3“供应商”是指向采购人提供货物、工程或者服务的法人、其他组织或者自然人。</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2.4“投标人”是指响应招标、参加投标竞争的法人、非法人组织或者自然人。</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2.5“货物”是指各种形态和种类的物品，包括原材料、燃料、设备、产品等。</w:t>
      </w:r>
    </w:p>
    <w:p>
      <w:pPr>
        <w:pStyle w:val="6"/>
        <w:keepNext w:val="0"/>
        <w:keepLines w:val="0"/>
        <w:spacing w:before="0" w:after="0" w:line="360" w:lineRule="auto"/>
        <w:ind w:firstLine="420" w:firstLineChars="200"/>
        <w:rPr>
          <w:rFonts w:hint="eastAsia" w:ascii="宋体" w:hAnsi="宋体" w:cs="宋体"/>
          <w:b w:val="0"/>
          <w:color w:val="auto"/>
          <w:sz w:val="21"/>
          <w:szCs w:val="21"/>
        </w:rPr>
      </w:pPr>
      <w:r>
        <w:rPr>
          <w:rFonts w:hint="eastAsia" w:ascii="宋体" w:hAnsi="宋体" w:cs="宋体"/>
          <w:b w:val="0"/>
          <w:color w:val="auto"/>
          <w:sz w:val="21"/>
          <w:szCs w:val="21"/>
        </w:rPr>
        <w:t>2.6“售后服务” 是指商品出售以后所提供的各种服务，包含但不限于投标人须承担的备品备件、包装、运输、装卸、保险、货到就位以及安装、调试、培训、保修以及其他各种服务。</w:t>
      </w:r>
    </w:p>
    <w:p>
      <w:pPr>
        <w:pStyle w:val="6"/>
        <w:keepNext w:val="0"/>
        <w:keepLines w:val="0"/>
        <w:spacing w:before="0" w:after="0" w:line="360" w:lineRule="auto"/>
        <w:rPr>
          <w:rFonts w:hint="eastAsia" w:ascii="宋体" w:hAnsi="宋体" w:cs="宋体"/>
          <w:b w:val="0"/>
          <w:color w:val="auto"/>
          <w:sz w:val="21"/>
          <w:szCs w:val="21"/>
        </w:rPr>
      </w:pPr>
      <w:r>
        <w:rPr>
          <w:rFonts w:hint="eastAsia" w:ascii="宋体" w:hAnsi="宋体" w:cs="宋体"/>
          <w:b w:val="0"/>
          <w:color w:val="auto"/>
          <w:sz w:val="21"/>
          <w:szCs w:val="21"/>
        </w:rPr>
        <w:t xml:space="preserve">    2.7“书面形式”是指合同书、信件和数据电文（包括电报、电传、传真、电子数据交换和电子邮件）等可以有形地表现所载内容的形式。</w:t>
      </w:r>
    </w:p>
    <w:p>
      <w:pPr>
        <w:pStyle w:val="6"/>
        <w:keepNext w:val="0"/>
        <w:keepLines w:val="0"/>
        <w:spacing w:before="0" w:after="0" w:line="360" w:lineRule="auto"/>
        <w:ind w:firstLine="420" w:firstLineChars="200"/>
        <w:rPr>
          <w:rFonts w:hint="eastAsia" w:ascii="宋体" w:hAnsi="宋体" w:cs="宋体"/>
          <w:b w:val="0"/>
          <w:color w:val="auto"/>
          <w:sz w:val="21"/>
          <w:szCs w:val="21"/>
        </w:rPr>
      </w:pPr>
      <w:r>
        <w:rPr>
          <w:rFonts w:hint="eastAsia" w:ascii="宋体" w:hAnsi="宋体" w:cs="宋体"/>
          <w:b w:val="0"/>
          <w:color w:val="auto"/>
          <w:sz w:val="21"/>
          <w:szCs w:val="21"/>
        </w:rPr>
        <w:t>2.8“实质性要求”详见“投标人须知前附表”。</w:t>
      </w:r>
    </w:p>
    <w:p>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2.9 “正偏离”是指投标文件对招标文件“采购需求”中有关条款作出的响应优于条款要求并有利于采购人的情形。</w:t>
      </w:r>
    </w:p>
    <w:p>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2.10“负偏离”是指投标文件对招标文件“采购需求”中有关条款作出的响应不满足条款要求，导致采购人要求不能得到满足的情形。</w:t>
      </w:r>
    </w:p>
    <w:p>
      <w:pPr>
        <w:spacing w:line="360" w:lineRule="auto"/>
        <w:ind w:firstLine="480" w:firstLineChars="200"/>
        <w:rPr>
          <w:rFonts w:hint="eastAsia" w:ascii="宋体" w:hAnsi="宋体" w:cs="宋体"/>
          <w:color w:val="auto"/>
          <w:sz w:val="24"/>
        </w:rPr>
      </w:pPr>
      <w:bookmarkStart w:id="145" w:name="_Toc254970670"/>
      <w:bookmarkStart w:id="146" w:name="_Toc254970529"/>
      <w:r>
        <w:rPr>
          <w:rFonts w:hint="eastAsia" w:ascii="宋体" w:hAnsi="宋体" w:cs="宋体"/>
          <w:color w:val="auto"/>
          <w:sz w:val="24"/>
        </w:rPr>
        <w:t>3.</w:t>
      </w:r>
      <w:bookmarkEnd w:id="145"/>
      <w:bookmarkEnd w:id="146"/>
      <w:r>
        <w:rPr>
          <w:rFonts w:hint="eastAsia" w:ascii="宋体" w:hAnsi="宋体" w:cs="宋体"/>
          <w:color w:val="auto"/>
          <w:sz w:val="24"/>
        </w:rPr>
        <w:t>投标人的资格要求</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投标人的资格要求详见“招标公告”。</w:t>
      </w:r>
    </w:p>
    <w:p>
      <w:pPr>
        <w:spacing w:line="360" w:lineRule="auto"/>
        <w:ind w:firstLine="480" w:firstLineChars="200"/>
        <w:rPr>
          <w:rFonts w:hint="eastAsia" w:ascii="宋体" w:hAnsi="宋体" w:cs="宋体"/>
          <w:color w:val="auto"/>
          <w:sz w:val="24"/>
        </w:rPr>
      </w:pPr>
      <w:bookmarkStart w:id="147" w:name="_Toc254970530"/>
      <w:bookmarkStart w:id="148" w:name="_Toc254970671"/>
      <w:r>
        <w:rPr>
          <w:rFonts w:hint="eastAsia" w:ascii="宋体" w:hAnsi="宋体" w:cs="宋体"/>
          <w:color w:val="auto"/>
          <w:sz w:val="24"/>
        </w:rPr>
        <w:t>4.投标委托</w:t>
      </w:r>
      <w:bookmarkEnd w:id="147"/>
      <w:bookmarkEnd w:id="148"/>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投标人代表参加投标活动过程中必须携带个人有效身份证件。如投标人代表不是法定代表人，须持有法定代表人授权委托书（按第六章要求格式填写）。</w:t>
      </w:r>
    </w:p>
    <w:p>
      <w:pPr>
        <w:spacing w:line="360" w:lineRule="auto"/>
        <w:ind w:firstLine="480" w:firstLineChars="200"/>
        <w:rPr>
          <w:rFonts w:hint="eastAsia" w:ascii="宋体" w:hAnsi="宋体" w:cs="宋体"/>
          <w:color w:val="auto"/>
          <w:sz w:val="24"/>
        </w:rPr>
      </w:pPr>
      <w:bookmarkStart w:id="149" w:name="_5.投标费用"/>
      <w:bookmarkEnd w:id="149"/>
      <w:bookmarkStart w:id="150" w:name="_Toc254970531"/>
      <w:bookmarkStart w:id="151" w:name="_Toc254970672"/>
      <w:r>
        <w:rPr>
          <w:rFonts w:hint="eastAsia" w:ascii="宋体" w:hAnsi="宋体" w:cs="宋体"/>
          <w:color w:val="auto"/>
          <w:sz w:val="24"/>
        </w:rPr>
        <w:t>5.投标费用</w:t>
      </w:r>
      <w:bookmarkEnd w:id="150"/>
      <w:bookmarkEnd w:id="151"/>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投标费用：投标人应承担参与本次采购活动有关的所有费用，包括但不限于勘查现场、编制投标文件、参加澄清说明、签订合同等，不论投标结果如何，均应自行承担。</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6.联合体投标</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6.1本项目是否接受联合体投标，详见“投标人须知前附表”。</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6.2如接受联合体投标，联合体投标要求详见“投标人须知前附表”。</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7.转包与分包             </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7.1 本项目不允许转包。</w:t>
      </w:r>
    </w:p>
    <w:p>
      <w:pPr>
        <w:pStyle w:val="1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7.2本项目是否允许分包详见“投标人须知前附表”，本项目不允许违法分包。</w:t>
      </w:r>
    </w:p>
    <w:p>
      <w:pPr>
        <w:spacing w:line="360" w:lineRule="auto"/>
        <w:ind w:firstLine="480" w:firstLineChars="200"/>
        <w:rPr>
          <w:rFonts w:hint="eastAsia" w:ascii="宋体" w:hAnsi="宋体" w:cs="宋体"/>
          <w:color w:val="auto"/>
          <w:sz w:val="24"/>
        </w:rPr>
      </w:pPr>
      <w:bookmarkStart w:id="152" w:name="_Toc254970673"/>
      <w:bookmarkStart w:id="153" w:name="_Toc254970532"/>
      <w:r>
        <w:rPr>
          <w:rFonts w:hint="eastAsia" w:ascii="宋体" w:hAnsi="宋体" w:cs="宋体"/>
          <w:color w:val="auto"/>
          <w:sz w:val="24"/>
        </w:rPr>
        <w:t>8.特别说明：</w:t>
      </w:r>
      <w:bookmarkEnd w:id="152"/>
      <w:bookmarkEnd w:id="153"/>
      <w:bookmarkStart w:id="154" w:name="_8.1提供相同品牌产品且通过资格审查、符合性审查的不同投标人参加同一合"/>
      <w:bookmarkEnd w:id="154"/>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8.1如果本招标文件要求投标人提供资格、信誉、荣誉、业绩与企业认证等材料的，则投标人所提供的以上材料必须为该投标人所拥有。</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8.2投标人应仔细阅读招标文件的所有内容，按照招标文件的要求提交投标文件，并对所提供的全部资料的真实性承担法律责任。</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8.3投标人在投标活动中提供任何虚假材料，将报监管部门查处；中标后发现的，中标人须依照《中华人民共和国民法典》规定赔偿采购人，且民事赔偿并不免除违法投标人的行政与刑事责任。</w:t>
      </w:r>
    </w:p>
    <w:p>
      <w:pPr>
        <w:widowControl/>
        <w:spacing w:line="360" w:lineRule="auto"/>
        <w:ind w:firstLine="422" w:firstLineChars="200"/>
        <w:jc w:val="left"/>
        <w:rPr>
          <w:rFonts w:hint="eastAsia" w:ascii="宋体" w:hAnsi="宋体" w:cs="宋体"/>
          <w:b/>
          <w:color w:val="auto"/>
          <w:szCs w:val="21"/>
        </w:rPr>
      </w:pPr>
      <w:r>
        <w:rPr>
          <w:rFonts w:hint="eastAsia" w:ascii="宋体" w:hAnsi="宋体" w:cs="宋体"/>
          <w:b/>
          <w:color w:val="auto"/>
          <w:szCs w:val="21"/>
        </w:rPr>
        <w:t>8.4采用最低评标价法的采购项目，提供相同品牌产品的不同投标人参加同一合同项下投标的，以其中通过资格审查、符合性审查且报价最低的参加评标；报价相同的，由采购人或者采购人委托评标委员会按照招标文件“投标人须知前附表”规定的方式确定一个参加评标的投标人，招标文件未规定的采取随机抽取方式确定，其他投标无效。</w:t>
      </w:r>
    </w:p>
    <w:p>
      <w:pPr>
        <w:widowControl/>
        <w:spacing w:line="360" w:lineRule="auto"/>
        <w:ind w:firstLine="422" w:firstLineChars="200"/>
        <w:jc w:val="left"/>
        <w:rPr>
          <w:rFonts w:hint="eastAsia" w:ascii="宋体" w:hAnsi="宋体" w:cs="宋体"/>
          <w:b/>
          <w:color w:val="auto"/>
          <w:szCs w:val="21"/>
        </w:rPr>
      </w:pPr>
      <w:r>
        <w:rPr>
          <w:rFonts w:hint="eastAsia" w:ascii="宋体" w:hAnsi="宋体" w:cs="宋体"/>
          <w:b/>
          <w:color w:val="auto"/>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投标人须知前附表”规定的方式确定一个投标人获得中标人推荐资格，招标文件未规定的采取随机抽取方式确定，其他同品牌投标人不作为中标候选人。</w:t>
      </w:r>
    </w:p>
    <w:p>
      <w:pPr>
        <w:widowControl/>
        <w:spacing w:line="360" w:lineRule="auto"/>
        <w:ind w:firstLine="422" w:firstLineChars="200"/>
        <w:jc w:val="left"/>
        <w:rPr>
          <w:rFonts w:hint="eastAsia" w:ascii="宋体" w:hAnsi="宋体" w:cs="宋体"/>
          <w:b/>
          <w:color w:val="auto"/>
          <w:szCs w:val="21"/>
        </w:rPr>
      </w:pPr>
      <w:r>
        <w:rPr>
          <w:rFonts w:hint="eastAsia" w:ascii="宋体" w:hAnsi="宋体" w:cs="宋体"/>
          <w:b/>
          <w:color w:val="auto"/>
          <w:szCs w:val="21"/>
        </w:rPr>
        <w:t>非单一产品采购项目，采购人应当根据采购项目技术构成、产品价格比重等合理确定核心产品，并在招标文件中载明。多家投标人提供的核心产品品牌相同的，按前两款规定处理。</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9.回避与串通投标</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9.1在政府采购活动中，采购人员及相关人员与供应商有下列利害关系之一的，应当回避：</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（1）参加采购活动前3年内与供应商存在劳动关系；</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（2）参加采购活动前3年内担任供应商的董事、监事；</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（3）参加采购活动前3年内是供应商的控股股东或者实际控制人；</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（4）与供应商的法定代表人或者负责人有夫妻、直系血亲、三代以内旁系血亲或者近姻亲关系；</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（5）与供应商有其他可能影响政府采购活动公平、公正进行的关系。</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9.2有下列情形之一的视为投标人相互串通投标，投标文件将被视为无效：</w:t>
      </w:r>
    </w:p>
    <w:p>
      <w:pPr>
        <w:pStyle w:val="10"/>
        <w:spacing w:line="360" w:lineRule="auto"/>
        <w:rPr>
          <w:rFonts w:hint="eastAsia" w:ascii="宋体" w:hAnsi="宋体" w:cs="宋体"/>
          <w:b/>
          <w:color w:val="auto"/>
        </w:rPr>
      </w:pPr>
      <w:r>
        <w:rPr>
          <w:rFonts w:hint="eastAsia" w:ascii="宋体" w:hAnsi="宋体" w:cs="宋体"/>
          <w:b/>
          <w:color w:val="auto"/>
        </w:rPr>
        <w:t>（1）不同投标人的投标文件由同一单位或者个人编制；</w:t>
      </w:r>
      <w:r>
        <w:rPr>
          <w:rFonts w:hint="eastAsia" w:cs="宋体"/>
          <w:b/>
          <w:color w:val="auto"/>
          <w:szCs w:val="21"/>
        </w:rPr>
        <w:t>或者不同投标人报名的IP地址一致的；</w:t>
      </w:r>
    </w:p>
    <w:p>
      <w:pPr>
        <w:spacing w:line="360" w:lineRule="auto"/>
        <w:ind w:firstLine="422" w:firstLineChars="200"/>
        <w:rPr>
          <w:rFonts w:hint="eastAsia" w:ascii="宋体" w:hAnsi="宋体" w:cs="宋体"/>
          <w:b/>
          <w:color w:val="auto"/>
        </w:rPr>
      </w:pPr>
      <w:r>
        <w:rPr>
          <w:rFonts w:hint="eastAsia" w:ascii="宋体" w:hAnsi="宋体" w:cs="宋体"/>
          <w:b/>
          <w:color w:val="auto"/>
        </w:rPr>
        <w:t>（2）不同投标人委托同一单位或者个人办理投标事宜；</w:t>
      </w:r>
    </w:p>
    <w:p>
      <w:pPr>
        <w:spacing w:line="360" w:lineRule="auto"/>
        <w:ind w:firstLine="422" w:firstLineChars="200"/>
        <w:rPr>
          <w:rFonts w:hint="eastAsia" w:ascii="宋体" w:hAnsi="宋体" w:cs="宋体"/>
          <w:b/>
          <w:color w:val="auto"/>
        </w:rPr>
      </w:pPr>
      <w:r>
        <w:rPr>
          <w:rFonts w:hint="eastAsia" w:ascii="宋体" w:hAnsi="宋体" w:cs="宋体"/>
          <w:b/>
          <w:color w:val="auto"/>
        </w:rPr>
        <w:t>（3）不同的投标人的投标文件载明的项目管理员为同一个人；</w:t>
      </w:r>
    </w:p>
    <w:p>
      <w:pPr>
        <w:spacing w:line="360" w:lineRule="auto"/>
        <w:ind w:firstLine="422" w:firstLineChars="200"/>
        <w:rPr>
          <w:rFonts w:hint="eastAsia" w:ascii="宋体" w:hAnsi="宋体" w:cs="宋体"/>
          <w:b/>
          <w:color w:val="auto"/>
        </w:rPr>
      </w:pPr>
      <w:r>
        <w:rPr>
          <w:rFonts w:hint="eastAsia" w:ascii="宋体" w:hAnsi="宋体" w:cs="宋体"/>
          <w:b/>
          <w:color w:val="auto"/>
        </w:rPr>
        <w:t>（4）不同投标人的电子版投标文件异常一致或者投标报价呈规律性差异；</w:t>
      </w:r>
    </w:p>
    <w:p>
      <w:pPr>
        <w:pStyle w:val="17"/>
        <w:spacing w:line="360" w:lineRule="auto"/>
        <w:rPr>
          <w:color w:val="auto"/>
        </w:rPr>
      </w:pPr>
      <w:r>
        <w:rPr>
          <w:rFonts w:hint="eastAsia" w:ascii="宋体" w:hAnsi="宋体" w:cs="宋体"/>
          <w:b/>
          <w:color w:val="auto"/>
        </w:rPr>
        <w:t xml:space="preserve"> </w:t>
      </w:r>
      <w:r>
        <w:rPr>
          <w:rFonts w:hint="eastAsia" w:ascii="宋体" w:hAnsi="宋体" w:cs="宋体"/>
          <w:b/>
          <w:color w:val="auto"/>
          <w:sz w:val="21"/>
          <w:szCs w:val="24"/>
        </w:rPr>
        <w:t xml:space="preserve">  </w:t>
      </w:r>
      <w:r>
        <w:rPr>
          <w:rFonts w:hint="eastAsia" w:ascii="宋体" w:hAnsi="宋体" w:cs="宋体"/>
          <w:b/>
          <w:color w:val="auto"/>
          <w:sz w:val="21"/>
          <w:szCs w:val="21"/>
        </w:rPr>
        <w:t xml:space="preserve"> （5）</w:t>
      </w:r>
      <w:r>
        <w:rPr>
          <w:rFonts w:hint="eastAsia" w:ascii="宋体" w:hAnsi="宋体" w:cs="宋体"/>
          <w:b/>
          <w:color w:val="auto"/>
          <w:sz w:val="21"/>
          <w:szCs w:val="24"/>
        </w:rPr>
        <w:t>不同投标人的投标文件相互混装；</w:t>
      </w:r>
    </w:p>
    <w:p>
      <w:pPr>
        <w:tabs>
          <w:tab w:val="center" w:pos="4153"/>
          <w:tab w:val="right" w:pos="8306"/>
        </w:tabs>
        <w:spacing w:line="360" w:lineRule="auto"/>
        <w:ind w:firstLine="422" w:firstLineChars="200"/>
        <w:rPr>
          <w:rFonts w:hint="eastAsia" w:ascii="宋体" w:hAnsi="宋体" w:cs="宋体"/>
          <w:b/>
          <w:color w:val="auto"/>
        </w:rPr>
      </w:pPr>
      <w:r>
        <w:rPr>
          <w:rFonts w:hint="eastAsia" w:ascii="宋体" w:hAnsi="宋体" w:cs="宋体"/>
          <w:b/>
          <w:color w:val="auto"/>
        </w:rPr>
        <w:t>（6）不同投标人的投标保证金从同一单位或者个人账户转出。</w:t>
      </w:r>
    </w:p>
    <w:p>
      <w:pPr>
        <w:spacing w:line="360" w:lineRule="auto"/>
        <w:ind w:firstLine="422" w:firstLineChars="200"/>
        <w:rPr>
          <w:rFonts w:hint="eastAsia" w:ascii="宋体" w:hAnsi="宋体" w:cs="宋体"/>
          <w:b/>
          <w:bCs/>
          <w:color w:val="auto"/>
          <w:szCs w:val="21"/>
        </w:rPr>
      </w:pPr>
      <w:r>
        <w:rPr>
          <w:rFonts w:hint="eastAsia" w:ascii="宋体" w:hAnsi="宋体" w:cs="宋体"/>
          <w:b/>
          <w:color w:val="auto"/>
        </w:rPr>
        <w:t>9.3供应商有下列情形之一的，属于恶意串通</w:t>
      </w:r>
      <w:r>
        <w:rPr>
          <w:rFonts w:hint="eastAsia" w:ascii="宋体" w:hAnsi="宋体" w:cs="宋体"/>
          <w:b/>
          <w:bCs/>
          <w:color w:val="auto"/>
          <w:szCs w:val="21"/>
        </w:rPr>
        <w:t>行为，将报同级监督管理部门：</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（1）供应商直接或者间接从采购人或者采购代理机构处获得其他供应商的相关信息并修改其投标文件；</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（2）供应商按照采购人或者采购代理机构的授意撤换、修改投标文件；</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（3）供应商之间协商报价、技术方案等投标文件的实质性内容；</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（4）属于同一集团、协会、商会等组织成员的供应商按照该组织要求协同参加政府采购活动；</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（5）供应商之间事先约定一致抬高或者压低投标报价，或者在招标项目中事先约定轮流以高价位或者低价位中标，或者事先约定由某一特定供应商中标，然后再参加投标；</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（6）供应商之间商定部分供应商放弃参加政府采购活动或者放弃中标；</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（7）供应商与采购人或者采购代理机构之间、供应商相互之间，为谋求特定供应商中标或者排斥其他供应商的其他串通行为。</w:t>
      </w:r>
    </w:p>
    <w:p>
      <w:pPr>
        <w:pStyle w:val="14"/>
        <w:snapToGrid w:val="0"/>
        <w:spacing w:line="360" w:lineRule="auto"/>
        <w:ind w:left="2" w:leftChars="1" w:firstLine="422" w:firstLineChars="200"/>
        <w:rPr>
          <w:rFonts w:hint="eastAsia" w:hAnsi="宋体" w:cs="宋体"/>
          <w:b/>
          <w:color w:val="auto"/>
        </w:rPr>
      </w:pPr>
    </w:p>
    <w:p>
      <w:pPr>
        <w:pStyle w:val="4"/>
        <w:keepNext w:val="0"/>
        <w:keepLines w:val="0"/>
        <w:spacing w:line="360" w:lineRule="auto"/>
        <w:jc w:val="center"/>
        <w:rPr>
          <w:rFonts w:hint="eastAsia" w:ascii="宋体" w:hAnsi="宋体" w:cs="宋体"/>
          <w:color w:val="auto"/>
        </w:rPr>
      </w:pPr>
      <w:bookmarkStart w:id="155" w:name="_Toc254970675"/>
      <w:bookmarkStart w:id="156" w:name="_Toc254970534"/>
      <w:bookmarkStart w:id="157" w:name="_Toc4100"/>
      <w:bookmarkStart w:id="158" w:name="_Toc22960"/>
      <w:bookmarkStart w:id="159" w:name="_Toc22070"/>
      <w:bookmarkStart w:id="160" w:name="_Toc25441"/>
      <w:bookmarkStart w:id="161" w:name="_Toc19385"/>
      <w:r>
        <w:rPr>
          <w:rFonts w:hint="eastAsia" w:ascii="宋体" w:hAnsi="宋体" w:cs="宋体"/>
          <w:color w:val="auto"/>
        </w:rPr>
        <w:t>二、招标文件</w:t>
      </w:r>
      <w:bookmarkEnd w:id="155"/>
      <w:bookmarkEnd w:id="156"/>
      <w:bookmarkEnd w:id="157"/>
      <w:bookmarkEnd w:id="158"/>
      <w:bookmarkEnd w:id="159"/>
      <w:bookmarkEnd w:id="160"/>
      <w:bookmarkEnd w:id="161"/>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10.招标文件的组成</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第一章 招标公告；</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第二章 采购需求；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第三章 投标人须知；</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第四章 评标方法和评标标准；</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第五章 拟签订的合同文本；</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第六章 投标文件格式；</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第七章 质疑、投诉材料格式</w:t>
      </w:r>
    </w:p>
    <w:p>
      <w:pPr>
        <w:spacing w:line="360" w:lineRule="auto"/>
        <w:ind w:firstLine="420" w:firstLineChars="200"/>
        <w:rPr>
          <w:rFonts w:hint="eastAsia" w:ascii="宋体" w:hAnsi="宋体" w:cs="宋体"/>
          <w:color w:val="auto"/>
        </w:rPr>
      </w:pPr>
      <w:r>
        <w:rPr>
          <w:rFonts w:hint="eastAsia" w:ascii="宋体" w:hAnsi="宋体" w:cs="宋体"/>
          <w:color w:val="auto"/>
        </w:rPr>
        <w:t>根据本章第11.1项的规定对招标文件所做的澄清、修改，构成招标文件的组成部分。当招标文件与招标文件的澄清和修改就同一内容的表述不一致时，以最后澄清或修改公告为准。</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11.招标文件的澄清、修改 、现场考察和答疑会</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 xml:space="preserve"> 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pPr>
        <w:spacing w:line="360" w:lineRule="auto"/>
        <w:ind w:firstLine="420" w:firstLineChars="200"/>
        <w:rPr>
          <w:rFonts w:hint="eastAsia" w:ascii="宋体" w:hAnsi="宋体" w:cs="宋体"/>
          <w:color w:val="auto"/>
        </w:rPr>
      </w:pPr>
      <w:r>
        <w:rPr>
          <w:rFonts w:hint="eastAsia" w:ascii="宋体" w:hAnsi="宋体" w:cs="宋体"/>
          <w:color w:val="auto"/>
        </w:rPr>
        <w:t>11.2 投标人应认真审阅本招标文件，如有疑问，或发现其中有误或有要求不合理的，应在投标人须知前附表规定的</w:t>
      </w:r>
      <w:r>
        <w:rPr>
          <w:rFonts w:hint="eastAsia" w:ascii="宋体" w:hAnsi="宋体" w:cs="宋体"/>
          <w:color w:val="auto"/>
          <w:kern w:val="0"/>
          <w:szCs w:val="21"/>
        </w:rPr>
        <w:t>投标截止时间</w:t>
      </w:r>
      <w:r>
        <w:rPr>
          <w:rFonts w:hint="eastAsia" w:ascii="宋体" w:hAnsi="宋体" w:cs="宋体"/>
          <w:color w:val="auto"/>
        </w:rPr>
        <w:t>前以书面形式要求采购人或采购代理机构对招标文件予以澄清；否则，由此产生的后果由投标人自行负责。</w:t>
      </w:r>
    </w:p>
    <w:p>
      <w:pPr>
        <w:spacing w:line="360" w:lineRule="auto"/>
        <w:ind w:firstLine="420" w:firstLineChars="200"/>
        <w:rPr>
          <w:rFonts w:hint="eastAsia" w:ascii="宋体" w:hAnsi="宋体" w:cs="宋体"/>
          <w:color w:val="auto"/>
        </w:rPr>
      </w:pPr>
      <w:r>
        <w:rPr>
          <w:rFonts w:hint="eastAsia" w:ascii="宋体" w:hAnsi="宋体" w:cs="宋体"/>
          <w:color w:val="auto"/>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rPr>
        <w:t>投标人须知前附表”</w:t>
      </w:r>
      <w:r>
        <w:rPr>
          <w:rFonts w:hint="eastAsia" w:ascii="宋体" w:hAnsi="宋体" w:cs="宋体"/>
          <w:color w:val="auto"/>
        </w:rPr>
        <w:t>规定的政府采购信息发布媒体上发布更正公告及平台短信通知)所有获取招标文件的潜在投标人；不足15日的，采购人或者采购代理机构应当顺延提交投标文件的截止时间。</w:t>
      </w:r>
    </w:p>
    <w:p>
      <w:pPr>
        <w:spacing w:line="360" w:lineRule="auto"/>
        <w:ind w:firstLine="420" w:firstLineChars="200"/>
        <w:rPr>
          <w:rFonts w:hint="eastAsia" w:ascii="宋体" w:hAnsi="宋体" w:cs="宋体"/>
          <w:color w:val="auto"/>
        </w:rPr>
      </w:pPr>
      <w:r>
        <w:rPr>
          <w:rFonts w:hint="eastAsia" w:ascii="宋体" w:hAnsi="宋体" w:cs="宋体"/>
          <w:color w:val="auto"/>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pPr>
        <w:spacing w:line="360" w:lineRule="auto"/>
        <w:ind w:firstLine="420" w:firstLineChars="200"/>
        <w:rPr>
          <w:rFonts w:hint="eastAsia" w:ascii="宋体" w:hAnsi="宋体" w:cs="宋体"/>
          <w:color w:val="auto"/>
        </w:rPr>
      </w:pPr>
      <w:r>
        <w:rPr>
          <w:rFonts w:hint="eastAsia" w:ascii="宋体" w:hAnsi="宋体" w:cs="宋体"/>
          <w:color w:val="auto"/>
        </w:rPr>
        <w:t>11.4 采购人和采购代理机构可以视采购具体情况，变更投标截止时间和开标时间，将变更时间将在“</w:t>
      </w:r>
      <w:r>
        <w:rPr>
          <w:rFonts w:hint="eastAsia" w:ascii="宋体" w:hAnsi="宋体" w:cs="宋体"/>
          <w:color w:val="auto"/>
          <w:szCs w:val="21"/>
        </w:rPr>
        <w:t>投标人须知前附表”</w:t>
      </w:r>
      <w:r>
        <w:rPr>
          <w:rFonts w:hint="eastAsia" w:ascii="宋体" w:hAnsi="宋体" w:cs="宋体"/>
          <w:color w:val="auto"/>
          <w:kern w:val="0"/>
          <w:szCs w:val="21"/>
        </w:rPr>
        <w:t>规定的政府采购信息发布媒体上</w:t>
      </w:r>
      <w:r>
        <w:rPr>
          <w:rFonts w:hint="eastAsia" w:ascii="宋体" w:hAnsi="宋体" w:cs="宋体"/>
          <w:color w:val="auto"/>
        </w:rPr>
        <w:t>发布更正公告。</w:t>
      </w:r>
    </w:p>
    <w:p>
      <w:pPr>
        <w:spacing w:line="360" w:lineRule="auto"/>
        <w:ind w:firstLine="420" w:firstLineChars="200"/>
        <w:rPr>
          <w:rFonts w:hint="eastAsia" w:ascii="宋体" w:hAnsi="宋体" w:cs="宋体"/>
          <w:color w:val="auto"/>
        </w:rPr>
      </w:pPr>
      <w:r>
        <w:rPr>
          <w:rFonts w:hint="eastAsia" w:ascii="宋体" w:hAnsi="宋体" w:cs="宋体"/>
          <w:color w:val="auto"/>
        </w:rPr>
        <w:t>11.</w:t>
      </w:r>
      <w:bookmarkStart w:id="162" w:name="_Hlk53134511"/>
      <w:r>
        <w:rPr>
          <w:rFonts w:hint="eastAsia" w:ascii="宋体" w:hAnsi="宋体" w:cs="宋体"/>
          <w:color w:val="auto"/>
        </w:rPr>
        <w:t>5采购人或者采购代理机构可以在招标文件提供期限截止后，组织已获取招标文件的潜在投标人现场考察或者召开开标前答疑会，具体详见“投标人须知前附表”。</w:t>
      </w:r>
    </w:p>
    <w:bookmarkEnd w:id="162"/>
    <w:p>
      <w:pPr>
        <w:pStyle w:val="4"/>
        <w:keepNext w:val="0"/>
        <w:keepLines w:val="0"/>
        <w:spacing w:line="360" w:lineRule="auto"/>
        <w:jc w:val="center"/>
        <w:rPr>
          <w:rFonts w:hint="eastAsia" w:ascii="宋体" w:hAnsi="宋体" w:cs="宋体"/>
          <w:color w:val="auto"/>
        </w:rPr>
      </w:pPr>
      <w:bookmarkStart w:id="163" w:name="_Toc23467"/>
      <w:bookmarkStart w:id="164" w:name="_Toc254970535"/>
      <w:bookmarkStart w:id="165" w:name="_Toc32490"/>
      <w:bookmarkStart w:id="166" w:name="_Toc254970676"/>
    </w:p>
    <w:p>
      <w:pPr>
        <w:pStyle w:val="4"/>
        <w:keepNext w:val="0"/>
        <w:keepLines w:val="0"/>
        <w:spacing w:line="360" w:lineRule="auto"/>
        <w:jc w:val="center"/>
        <w:rPr>
          <w:rFonts w:hint="eastAsia" w:ascii="宋体" w:hAnsi="宋体" w:cs="宋体"/>
          <w:color w:val="auto"/>
        </w:rPr>
      </w:pPr>
      <w:bookmarkStart w:id="167" w:name="_Toc13166"/>
      <w:bookmarkStart w:id="168" w:name="_Toc31820"/>
      <w:bookmarkStart w:id="169" w:name="_Toc7612"/>
      <w:r>
        <w:rPr>
          <w:rFonts w:hint="eastAsia" w:ascii="宋体" w:hAnsi="宋体" w:cs="宋体"/>
          <w:color w:val="auto"/>
        </w:rPr>
        <w:t>三、投标文件的编制</w:t>
      </w:r>
      <w:bookmarkEnd w:id="163"/>
      <w:bookmarkEnd w:id="164"/>
      <w:bookmarkEnd w:id="165"/>
      <w:bookmarkEnd w:id="166"/>
      <w:bookmarkEnd w:id="167"/>
      <w:bookmarkEnd w:id="168"/>
      <w:bookmarkEnd w:id="169"/>
    </w:p>
    <w:p>
      <w:pPr>
        <w:spacing w:line="360" w:lineRule="auto"/>
        <w:ind w:firstLine="480" w:firstLineChars="200"/>
        <w:rPr>
          <w:rFonts w:hint="eastAsia" w:ascii="宋体" w:hAnsi="宋体" w:cs="宋体"/>
          <w:color w:val="auto"/>
          <w:sz w:val="24"/>
        </w:rPr>
      </w:pPr>
      <w:bookmarkStart w:id="170" w:name="_Toc254970677"/>
      <w:bookmarkStart w:id="171" w:name="_Toc254970536"/>
      <w:r>
        <w:rPr>
          <w:rFonts w:hint="eastAsia" w:ascii="宋体" w:hAnsi="宋体" w:cs="宋体"/>
          <w:color w:val="auto"/>
          <w:sz w:val="24"/>
        </w:rPr>
        <w:t>12.投标文件的编制原则</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投标人必须按照招标文件的要求编制投标文件。投标文件必须对招标文件提出的要求和条件作出明确响应。</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13.投标文件的组成</w:t>
      </w:r>
      <w:bookmarkEnd w:id="170"/>
      <w:bookmarkEnd w:id="171"/>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13.1投标文件由报价文件、资格文件、商务技术文件三部分组成。</w:t>
      </w:r>
    </w:p>
    <w:p>
      <w:pPr>
        <w:spacing w:line="360" w:lineRule="auto"/>
        <w:ind w:firstLine="420" w:firstLineChars="200"/>
        <w:rPr>
          <w:rFonts w:hint="eastAsia" w:ascii="宋体" w:hAnsi="宋体" w:cs="宋体"/>
          <w:bCs/>
          <w:color w:val="auto"/>
          <w:szCs w:val="21"/>
        </w:rPr>
      </w:pPr>
      <w:bookmarkStart w:id="172" w:name="_13.1报价文件:_具体材料见“投标人须知前附表”。"/>
      <w:bookmarkEnd w:id="172"/>
      <w:bookmarkStart w:id="173" w:name="_13.2资格证明文件：具体材料见“投标人须知前附表”。"/>
      <w:bookmarkEnd w:id="173"/>
      <w:r>
        <w:rPr>
          <w:rFonts w:hint="eastAsia" w:ascii="宋体" w:hAnsi="宋体" w:cs="宋体"/>
          <w:bCs/>
          <w:color w:val="auto"/>
          <w:szCs w:val="21"/>
        </w:rPr>
        <w:t>（1）资格文件：具体材料见“投标人须知前附表”。</w:t>
      </w:r>
    </w:p>
    <w:p>
      <w:pPr>
        <w:spacing w:line="360" w:lineRule="auto"/>
        <w:ind w:firstLine="420" w:firstLineChars="200"/>
        <w:rPr>
          <w:rFonts w:hint="eastAsia" w:ascii="宋体" w:hAnsi="宋体" w:cs="宋体"/>
          <w:bCs/>
          <w:color w:val="auto"/>
          <w:szCs w:val="21"/>
        </w:rPr>
      </w:pPr>
      <w:bookmarkStart w:id="174" w:name="_13.3商务文件:_具体材料见“投标人须知前附表”。"/>
      <w:bookmarkEnd w:id="174"/>
      <w:r>
        <w:rPr>
          <w:rFonts w:hint="eastAsia" w:ascii="宋体" w:hAnsi="宋体" w:cs="宋体"/>
          <w:bCs/>
          <w:color w:val="auto"/>
          <w:szCs w:val="21"/>
        </w:rPr>
        <w:t>（2）商务技术文件：具体材料见“投标人须知前附表”。</w:t>
      </w:r>
    </w:p>
    <w:p>
      <w:pPr>
        <w:spacing w:line="360" w:lineRule="auto"/>
        <w:ind w:firstLine="420" w:firstLineChars="200"/>
        <w:rPr>
          <w:rFonts w:hint="eastAsia" w:ascii="宋体" w:hAnsi="宋体" w:cs="宋体"/>
          <w:bCs/>
          <w:color w:val="auto"/>
          <w:szCs w:val="21"/>
        </w:rPr>
      </w:pPr>
      <w:bookmarkStart w:id="175" w:name="_13.4技术文件：具体材料见“投标人须知前附表”。"/>
      <w:bookmarkEnd w:id="175"/>
      <w:r>
        <w:rPr>
          <w:rFonts w:hint="eastAsia" w:ascii="宋体" w:hAnsi="宋体" w:cs="宋体"/>
          <w:bCs/>
          <w:color w:val="auto"/>
          <w:szCs w:val="21"/>
        </w:rPr>
        <w:t>（3）报价文件： 具体材料见“投标人须知前附表”。</w:t>
      </w:r>
    </w:p>
    <w:p>
      <w:pPr>
        <w:spacing w:line="360" w:lineRule="auto"/>
        <w:ind w:firstLine="420" w:firstLineChars="200"/>
        <w:rPr>
          <w:rFonts w:hint="eastAsia" w:ascii="宋体" w:hAnsi="宋体" w:cs="宋体"/>
          <w:bCs/>
          <w:color w:val="auto"/>
          <w:szCs w:val="21"/>
        </w:rPr>
      </w:pPr>
      <w:bookmarkStart w:id="176" w:name="_13.5投标文件电子版：具体材料见“投标人须知前附表”。"/>
      <w:bookmarkEnd w:id="176"/>
      <w:r>
        <w:rPr>
          <w:rFonts w:hint="eastAsia" w:ascii="宋体" w:hAnsi="宋体" w:cs="宋体"/>
          <w:bCs/>
          <w:color w:val="auto"/>
          <w:szCs w:val="21"/>
        </w:rPr>
        <w:t>13.2投标文件电子版：具体要求见本节19.投标文件编制。</w:t>
      </w:r>
    </w:p>
    <w:p>
      <w:pPr>
        <w:spacing w:line="360" w:lineRule="auto"/>
        <w:ind w:firstLine="480" w:firstLineChars="200"/>
        <w:rPr>
          <w:rFonts w:hint="eastAsia" w:ascii="宋体" w:hAnsi="宋体" w:cs="宋体"/>
          <w:color w:val="auto"/>
          <w:sz w:val="24"/>
        </w:rPr>
      </w:pPr>
      <w:bookmarkStart w:id="177" w:name="_Toc254970678"/>
      <w:bookmarkStart w:id="178" w:name="_Toc254970537"/>
      <w:r>
        <w:rPr>
          <w:rFonts w:hint="eastAsia" w:ascii="宋体" w:hAnsi="宋体" w:cs="宋体"/>
          <w:color w:val="auto"/>
          <w:sz w:val="24"/>
        </w:rPr>
        <w:t>14.投标文件的语言及计量</w:t>
      </w:r>
      <w:bookmarkEnd w:id="177"/>
      <w:bookmarkEnd w:id="178"/>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14.1语言文字</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14.2投标计量单位</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rPr>
        <w:t>否则视同未响应</w:t>
      </w:r>
      <w:r>
        <w:rPr>
          <w:rFonts w:hint="eastAsia" w:ascii="宋体" w:hAnsi="宋体" w:cs="宋体"/>
          <w:bCs/>
          <w:color w:val="auto"/>
          <w:szCs w:val="21"/>
        </w:rPr>
        <w:t>。</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15.投标的风险</w:t>
      </w:r>
    </w:p>
    <w:p>
      <w:pPr>
        <w:pStyle w:val="1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投标文件分为资格文件、商务技术文件、报价文件三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pPr>
        <w:spacing w:line="360" w:lineRule="auto"/>
        <w:ind w:firstLine="480" w:firstLineChars="200"/>
        <w:rPr>
          <w:rFonts w:hint="eastAsia" w:ascii="宋体" w:hAnsi="宋体" w:cs="宋体"/>
          <w:color w:val="auto"/>
          <w:sz w:val="24"/>
        </w:rPr>
      </w:pPr>
      <w:bookmarkStart w:id="179" w:name="_Toc254970679"/>
      <w:bookmarkStart w:id="180" w:name="_Toc254970538"/>
      <w:r>
        <w:rPr>
          <w:rFonts w:hint="eastAsia" w:ascii="宋体" w:hAnsi="宋体" w:cs="宋体"/>
          <w:color w:val="auto"/>
          <w:sz w:val="24"/>
        </w:rPr>
        <w:t>16.投标报价</w:t>
      </w:r>
      <w:bookmarkEnd w:id="179"/>
      <w:bookmarkEnd w:id="180"/>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16.1投标报价应</w:t>
      </w:r>
      <w:r>
        <w:rPr>
          <w:rFonts w:hint="eastAsia" w:ascii="宋体" w:hAnsi="宋体" w:cs="宋体"/>
          <w:bCs/>
          <w:color w:val="auto"/>
          <w:szCs w:val="20"/>
        </w:rPr>
        <w:t>按“第六章　投标文件格式”中“开标一览表”格式填写。</w:t>
      </w:r>
    </w:p>
    <w:p>
      <w:pPr>
        <w:spacing w:line="360" w:lineRule="auto"/>
        <w:ind w:firstLine="420" w:firstLineChars="200"/>
        <w:rPr>
          <w:rFonts w:hint="eastAsia" w:ascii="宋体" w:hAnsi="宋体" w:cs="宋体"/>
          <w:bCs/>
          <w:color w:val="auto"/>
          <w:szCs w:val="21"/>
        </w:rPr>
      </w:pPr>
      <w:bookmarkStart w:id="181" w:name="_16.2投标报价具体定义见投标人须知前附表。"/>
      <w:bookmarkEnd w:id="181"/>
      <w:r>
        <w:rPr>
          <w:rFonts w:hint="eastAsia" w:ascii="宋体" w:hAnsi="宋体" w:cs="宋体"/>
          <w:bCs/>
          <w:color w:val="auto"/>
          <w:szCs w:val="21"/>
        </w:rPr>
        <w:t>16.2投标报价具体包括内容详见“投标人须知前附表”。</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16.3投标人必须就所投每个分标的全部内容分别作完整唯一总价报价，不得存在漏项报价；投标人必须就所投分标的单项内容作唯一报价。</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17.投标有效期</w:t>
      </w:r>
    </w:p>
    <w:p>
      <w:pPr>
        <w:spacing w:line="360" w:lineRule="auto"/>
        <w:ind w:firstLine="420" w:firstLineChars="200"/>
        <w:rPr>
          <w:rFonts w:hint="eastAsia" w:ascii="宋体" w:hAnsi="宋体" w:cs="宋体"/>
          <w:bCs/>
          <w:color w:val="auto"/>
          <w:szCs w:val="21"/>
        </w:rPr>
      </w:pPr>
      <w:bookmarkStart w:id="182" w:name="_17.1投标有效期应按“投标人须知中的前附表”规定的期限。"/>
      <w:bookmarkEnd w:id="182"/>
      <w:r>
        <w:rPr>
          <w:rFonts w:hint="eastAsia" w:ascii="宋体" w:hAnsi="宋体" w:cs="宋体"/>
          <w:bCs/>
          <w:color w:val="auto"/>
          <w:szCs w:val="21"/>
        </w:rPr>
        <w:t>17.1投标有效期是指为保证采购人有足够的时间在开标后完成评标、定标、合同签订等工作而要求投标人提交的投标文件在一定时间内保持有效的期限。</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17.2</w:t>
      </w:r>
      <w:bookmarkStart w:id="183" w:name="_Toc254970681"/>
      <w:bookmarkStart w:id="184" w:name="_Toc254970540"/>
      <w:r>
        <w:rPr>
          <w:rFonts w:hint="eastAsia" w:ascii="宋体" w:hAnsi="宋体" w:cs="宋体"/>
          <w:bCs/>
          <w:color w:val="auto"/>
          <w:szCs w:val="21"/>
        </w:rPr>
        <w:t xml:space="preserve"> 投标有效期应按规定的期限作出承诺，具体详见“投标人须知前附表”。</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17.3投标人的投标文件在投标有效期内均保持有效。</w:t>
      </w:r>
      <w:bookmarkEnd w:id="183"/>
      <w:bookmarkEnd w:id="184"/>
    </w:p>
    <w:p>
      <w:pPr>
        <w:spacing w:line="360" w:lineRule="auto"/>
        <w:ind w:firstLine="480" w:firstLineChars="200"/>
        <w:rPr>
          <w:rFonts w:hint="eastAsia" w:ascii="宋体" w:hAnsi="宋体" w:cs="宋体"/>
          <w:color w:val="auto"/>
          <w:sz w:val="24"/>
        </w:rPr>
      </w:pPr>
      <w:bookmarkStart w:id="185" w:name="_18.投标保证金"/>
      <w:bookmarkEnd w:id="185"/>
      <w:bookmarkStart w:id="186" w:name="_Toc254970682"/>
      <w:bookmarkStart w:id="187" w:name="_Toc254970541"/>
      <w:r>
        <w:rPr>
          <w:rFonts w:hint="eastAsia" w:ascii="宋体" w:hAnsi="宋体" w:cs="宋体"/>
          <w:color w:val="auto"/>
          <w:sz w:val="24"/>
        </w:rPr>
        <w:t>18.投标保证金</w:t>
      </w:r>
      <w:bookmarkEnd w:id="186"/>
      <w:bookmarkEnd w:id="187"/>
    </w:p>
    <w:p>
      <w:pPr>
        <w:pStyle w:val="6"/>
        <w:keepNext w:val="0"/>
        <w:keepLines w:val="0"/>
        <w:spacing w:before="0" w:after="0" w:line="360" w:lineRule="auto"/>
        <w:ind w:left="420" w:leftChars="200"/>
        <w:rPr>
          <w:rFonts w:hint="eastAsia" w:ascii="宋体" w:hAnsi="宋体" w:cs="宋体"/>
          <w:b w:val="0"/>
          <w:color w:val="auto"/>
          <w:sz w:val="21"/>
          <w:szCs w:val="21"/>
        </w:rPr>
      </w:pPr>
      <w:bookmarkStart w:id="188" w:name="_Toc254970542"/>
      <w:bookmarkStart w:id="189" w:name="_Toc254970683"/>
      <w:r>
        <w:rPr>
          <w:rFonts w:hint="eastAsia" w:ascii="宋体" w:hAnsi="宋体" w:cs="宋体"/>
          <w:b w:val="0"/>
          <w:color w:val="auto"/>
          <w:sz w:val="21"/>
          <w:szCs w:val="21"/>
        </w:rPr>
        <w:t>18.1投标人须按“投标人须知前附表” 的规定提交投标保证金。</w:t>
      </w:r>
    </w:p>
    <w:p>
      <w:pPr>
        <w:pStyle w:val="6"/>
        <w:keepNext w:val="0"/>
        <w:keepLines w:val="0"/>
        <w:spacing w:before="0" w:after="0" w:line="360" w:lineRule="auto"/>
        <w:ind w:left="420" w:leftChars="200"/>
        <w:rPr>
          <w:rFonts w:hint="eastAsia" w:ascii="宋体" w:hAnsi="宋体" w:cs="宋体"/>
          <w:b w:val="0"/>
          <w:color w:val="auto"/>
          <w:sz w:val="21"/>
          <w:szCs w:val="21"/>
        </w:rPr>
      </w:pPr>
      <w:r>
        <w:rPr>
          <w:rFonts w:hint="eastAsia" w:ascii="宋体" w:hAnsi="宋体" w:cs="宋体"/>
          <w:b w:val="0"/>
          <w:color w:val="auto"/>
          <w:sz w:val="21"/>
          <w:szCs w:val="21"/>
        </w:rPr>
        <w:t>18.2投标保证金的退还</w:t>
      </w:r>
    </w:p>
    <w:p>
      <w:pPr>
        <w:pStyle w:val="6"/>
        <w:keepNext w:val="0"/>
        <w:keepLines w:val="0"/>
        <w:spacing w:before="0" w:after="0" w:line="360" w:lineRule="auto"/>
        <w:ind w:left="420" w:leftChars="200"/>
        <w:rPr>
          <w:rFonts w:hint="eastAsia" w:ascii="宋体" w:hAnsi="宋体" w:cs="宋体"/>
          <w:b w:val="0"/>
          <w:color w:val="auto"/>
          <w:sz w:val="21"/>
          <w:szCs w:val="21"/>
        </w:rPr>
      </w:pPr>
      <w:r>
        <w:rPr>
          <w:rFonts w:hint="eastAsia" w:ascii="宋体" w:hAnsi="宋体" w:cs="宋体"/>
          <w:b w:val="0"/>
          <w:color w:val="auto"/>
          <w:sz w:val="21"/>
          <w:szCs w:val="21"/>
        </w:rPr>
        <w:t>18.2.1未中标人的投标保证金自中标通知书发出之日起5个工作日内退还，退还方式如下：</w:t>
      </w:r>
    </w:p>
    <w:p>
      <w:pPr>
        <w:pStyle w:val="6"/>
        <w:keepNext w:val="0"/>
        <w:keepLines w:val="0"/>
        <w:spacing w:before="0" w:after="0" w:line="360" w:lineRule="auto"/>
        <w:ind w:firstLine="315" w:firstLineChars="150"/>
        <w:rPr>
          <w:rFonts w:hint="eastAsia" w:ascii="宋体" w:hAnsi="宋体" w:cs="宋体"/>
          <w:b w:val="0"/>
          <w:color w:val="auto"/>
          <w:sz w:val="21"/>
          <w:szCs w:val="21"/>
        </w:rPr>
      </w:pPr>
      <w:r>
        <w:rPr>
          <w:rFonts w:hint="eastAsia" w:ascii="宋体" w:hAnsi="宋体" w:cs="宋体"/>
          <w:b w:val="0"/>
          <w:color w:val="auto"/>
          <w:sz w:val="21"/>
          <w:szCs w:val="21"/>
        </w:rPr>
        <w:t>（1）采用银行转账方式的，以转账方式退回到投标人银行账户。</w:t>
      </w:r>
    </w:p>
    <w:p>
      <w:pPr>
        <w:pStyle w:val="7"/>
        <w:spacing w:line="360" w:lineRule="auto"/>
        <w:ind w:firstLine="315" w:firstLineChars="150"/>
        <w:rPr>
          <w:rFonts w:hint="eastAsia" w:ascii="宋体" w:hAnsi="宋体" w:cs="宋体"/>
          <w:color w:val="auto"/>
          <w:szCs w:val="21"/>
        </w:rPr>
      </w:pPr>
      <w:r>
        <w:rPr>
          <w:rFonts w:hint="eastAsia" w:ascii="宋体" w:hAnsi="宋体" w:cs="宋体"/>
          <w:color w:val="auto"/>
          <w:szCs w:val="21"/>
        </w:rPr>
        <w:t xml:space="preserve">（2）采用支票、汇票、本票或者金融机构、担保机构出具的保函等方式的，由投标人代表持相关授权证明材料至采购代理机构办理支票、汇票、本票或者金融机构、担保机构出具的保函等原件退还手续。 </w:t>
      </w:r>
    </w:p>
    <w:p>
      <w:pPr>
        <w:pStyle w:val="6"/>
        <w:keepNext w:val="0"/>
        <w:keepLines w:val="0"/>
        <w:spacing w:before="0" w:after="0" w:line="360" w:lineRule="auto"/>
        <w:ind w:firstLine="420" w:firstLineChars="200"/>
        <w:rPr>
          <w:rFonts w:hint="eastAsia" w:ascii="宋体" w:hAnsi="宋体" w:cs="宋体"/>
          <w:b w:val="0"/>
          <w:color w:val="auto"/>
          <w:sz w:val="21"/>
          <w:szCs w:val="21"/>
        </w:rPr>
      </w:pPr>
      <w:r>
        <w:rPr>
          <w:rFonts w:hint="eastAsia" w:ascii="宋体" w:hAnsi="宋体" w:cs="宋体"/>
          <w:b w:val="0"/>
          <w:color w:val="auto"/>
          <w:sz w:val="21"/>
          <w:szCs w:val="21"/>
        </w:rPr>
        <w:t xml:space="preserve">18.2.2中标人的投标保证金自采购合同签订之日起5个工作日内退还，退还方式同本须知正文第18.2.1。 </w:t>
      </w:r>
    </w:p>
    <w:p>
      <w:pPr>
        <w:pStyle w:val="6"/>
        <w:keepNext w:val="0"/>
        <w:keepLines w:val="0"/>
        <w:spacing w:before="0" w:after="0" w:line="360" w:lineRule="auto"/>
        <w:ind w:left="420" w:leftChars="200"/>
        <w:rPr>
          <w:rFonts w:hint="eastAsia" w:ascii="宋体" w:hAnsi="宋体" w:cs="宋体"/>
          <w:b w:val="0"/>
          <w:color w:val="auto"/>
          <w:sz w:val="21"/>
          <w:szCs w:val="21"/>
        </w:rPr>
      </w:pPr>
      <w:r>
        <w:rPr>
          <w:rFonts w:hint="eastAsia" w:ascii="宋体" w:hAnsi="宋体" w:cs="宋体"/>
          <w:b w:val="0"/>
          <w:color w:val="auto"/>
          <w:sz w:val="21"/>
          <w:szCs w:val="21"/>
        </w:rPr>
        <w:t>18.3除逾期退还投标保证金和终止招标的情形以外，投标保证金不计息。</w:t>
      </w:r>
    </w:p>
    <w:p>
      <w:pPr>
        <w:pStyle w:val="6"/>
        <w:keepNext w:val="0"/>
        <w:keepLines w:val="0"/>
        <w:spacing w:before="0" w:after="0" w:line="360" w:lineRule="auto"/>
        <w:ind w:left="420" w:leftChars="200"/>
        <w:rPr>
          <w:rFonts w:hint="eastAsia" w:ascii="宋体" w:hAnsi="宋体" w:cs="宋体"/>
          <w:b w:val="0"/>
          <w:color w:val="auto"/>
          <w:sz w:val="21"/>
          <w:szCs w:val="21"/>
        </w:rPr>
      </w:pPr>
      <w:r>
        <w:rPr>
          <w:rFonts w:hint="eastAsia" w:ascii="宋体" w:hAnsi="宋体" w:cs="宋体"/>
          <w:b w:val="0"/>
          <w:color w:val="auto"/>
          <w:sz w:val="21"/>
          <w:szCs w:val="21"/>
        </w:rPr>
        <w:t xml:space="preserve">18.4投标人有下列情形之一的，投标保证金将不予退还： </w:t>
      </w:r>
    </w:p>
    <w:p>
      <w:pPr>
        <w:snapToGrid w:val="0"/>
        <w:spacing w:line="360" w:lineRule="auto"/>
        <w:ind w:firstLine="411" w:firstLineChars="196"/>
        <w:jc w:val="left"/>
        <w:rPr>
          <w:rFonts w:hint="eastAsia" w:ascii="宋体" w:hAnsi="宋体" w:cs="宋体"/>
          <w:color w:val="auto"/>
          <w:szCs w:val="21"/>
        </w:rPr>
      </w:pPr>
      <w:r>
        <w:rPr>
          <w:rFonts w:hint="eastAsia" w:ascii="宋体" w:hAnsi="宋体" w:cs="宋体"/>
          <w:color w:val="auto"/>
          <w:szCs w:val="21"/>
        </w:rPr>
        <w:t>（1）投标人在投标有效期内撤销投标文件的；</w:t>
      </w:r>
    </w:p>
    <w:p>
      <w:pPr>
        <w:snapToGrid w:val="0"/>
        <w:spacing w:line="360" w:lineRule="auto"/>
        <w:ind w:firstLine="411" w:firstLineChars="196"/>
        <w:jc w:val="left"/>
        <w:rPr>
          <w:rFonts w:hint="eastAsia" w:ascii="宋体" w:hAnsi="宋体" w:cs="宋体"/>
          <w:color w:val="auto"/>
          <w:szCs w:val="21"/>
        </w:rPr>
      </w:pPr>
      <w:r>
        <w:rPr>
          <w:rFonts w:hint="eastAsia" w:ascii="宋体" w:hAnsi="宋体" w:cs="宋体"/>
          <w:color w:val="auto"/>
          <w:szCs w:val="21"/>
        </w:rPr>
        <w:t>（2）未按规定提交履约保证金的；</w:t>
      </w:r>
    </w:p>
    <w:p>
      <w:pPr>
        <w:snapToGrid w:val="0"/>
        <w:spacing w:line="360" w:lineRule="auto"/>
        <w:ind w:firstLine="411" w:firstLineChars="196"/>
        <w:jc w:val="left"/>
        <w:rPr>
          <w:rFonts w:hint="eastAsia" w:ascii="宋体" w:hAnsi="宋体" w:cs="宋体"/>
          <w:color w:val="auto"/>
          <w:szCs w:val="21"/>
        </w:rPr>
      </w:pPr>
      <w:r>
        <w:rPr>
          <w:rFonts w:hint="eastAsia" w:ascii="宋体" w:hAnsi="宋体" w:cs="宋体"/>
          <w:color w:val="auto"/>
          <w:szCs w:val="21"/>
        </w:rPr>
        <w:t>（3）投标人在投标过程中弄虚作假，提供虚假材料的；</w:t>
      </w:r>
    </w:p>
    <w:p>
      <w:pPr>
        <w:snapToGrid w:val="0"/>
        <w:spacing w:line="360" w:lineRule="auto"/>
        <w:ind w:firstLine="411" w:firstLineChars="196"/>
        <w:rPr>
          <w:rFonts w:hint="eastAsia" w:ascii="宋体" w:hAnsi="宋体" w:cs="宋体"/>
          <w:color w:val="auto"/>
          <w:szCs w:val="21"/>
        </w:rPr>
      </w:pPr>
      <w:r>
        <w:rPr>
          <w:rFonts w:hint="eastAsia" w:ascii="宋体" w:hAnsi="宋体" w:cs="宋体"/>
          <w:color w:val="auto"/>
          <w:szCs w:val="21"/>
        </w:rPr>
        <w:t>（4）中标人无正当理由不与采购人签订合同的；</w:t>
      </w:r>
    </w:p>
    <w:p>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（5）投标人出现本章第9.2、9.3情形的；</w:t>
      </w:r>
    </w:p>
    <w:p>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（6）其他严重扰乱招投标程序的。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19.投标文件的</w:t>
      </w:r>
      <w:bookmarkEnd w:id="188"/>
      <w:bookmarkEnd w:id="189"/>
      <w:r>
        <w:rPr>
          <w:rFonts w:hint="eastAsia" w:ascii="宋体" w:hAnsi="宋体" w:cs="宋体"/>
          <w:color w:val="auto"/>
          <w:sz w:val="24"/>
        </w:rPr>
        <w:t>编制</w:t>
      </w:r>
    </w:p>
    <w:p>
      <w:pPr>
        <w:spacing w:line="360" w:lineRule="auto"/>
        <w:ind w:firstLine="422" w:firstLineChars="200"/>
        <w:rPr>
          <w:rFonts w:hint="eastAsia" w:ascii="宋体" w:hAnsi="宋体" w:cs="宋体"/>
          <w:color w:val="auto"/>
          <w:szCs w:val="21"/>
        </w:rPr>
      </w:pPr>
      <w:r>
        <w:rPr>
          <w:rFonts w:hint="eastAsia" w:ascii="宋体" w:hAnsi="宋体" w:cs="宋体"/>
          <w:b/>
          <w:color w:val="auto"/>
          <w:szCs w:val="21"/>
        </w:rPr>
        <w:t xml:space="preserve"> </w:t>
      </w:r>
      <w:r>
        <w:rPr>
          <w:rFonts w:hint="eastAsia" w:ascii="宋体" w:hAnsi="宋体" w:cs="宋体"/>
          <w:color w:val="auto"/>
          <w:szCs w:val="21"/>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90" w:name="_19.2投标文件应按报价文件、资格证明文件、商务文件、技术文件分别编制"/>
      <w:bookmarkEnd w:id="190"/>
      <w:r>
        <w:rPr>
          <w:rFonts w:hint="eastAsia" w:ascii="宋体" w:hAnsi="宋体" w:cs="宋体"/>
          <w:color w:val="auto"/>
          <w:szCs w:val="21"/>
        </w:rPr>
        <w:t xml:space="preserve"> </w:t>
      </w:r>
    </w:p>
    <w:p>
      <w:pPr>
        <w:pStyle w:val="46"/>
        <w:snapToGrid w:val="0"/>
        <w:spacing w:before="0"/>
        <w:ind w:firstLine="420"/>
        <w:rPr>
          <w:rFonts w:hint="eastAsia" w:ascii="宋体" w:hAnsi="宋体" w:cs="宋体"/>
          <w:color w:val="auto"/>
          <w:sz w:val="21"/>
          <w:szCs w:val="21"/>
        </w:rPr>
      </w:pPr>
      <w:r>
        <w:rPr>
          <w:rFonts w:hint="eastAsia" w:ascii="宋体" w:hAnsi="宋体" w:cs="宋体"/>
          <w:color w:val="auto"/>
          <w:sz w:val="21"/>
          <w:szCs w:val="21"/>
        </w:rPr>
        <w:t>19.2投标文件按照招标文件第六章格式要求进行签署、盖章。投标人的投标文件未按照招标文件要求签署、盖章的，</w:t>
      </w:r>
      <w:r>
        <w:rPr>
          <w:rFonts w:hint="eastAsia" w:ascii="宋体" w:hAnsi="宋体" w:cs="宋体"/>
          <w:b/>
          <w:color w:val="auto"/>
          <w:sz w:val="21"/>
          <w:szCs w:val="21"/>
        </w:rPr>
        <w:t>其投标无效。</w:t>
      </w:r>
    </w:p>
    <w:p>
      <w:pPr>
        <w:pStyle w:val="46"/>
        <w:snapToGrid w:val="0"/>
        <w:spacing w:before="0"/>
        <w:ind w:firstLine="420"/>
        <w:rPr>
          <w:rFonts w:hint="eastAsia" w:ascii="宋体" w:hAnsi="宋体" w:cs="宋体"/>
          <w:color w:val="auto"/>
          <w:sz w:val="21"/>
          <w:szCs w:val="21"/>
        </w:rPr>
      </w:pPr>
      <w:r>
        <w:rPr>
          <w:rFonts w:hint="eastAsia" w:ascii="宋体" w:hAnsi="宋体" w:cs="宋体"/>
          <w:color w:val="auto"/>
          <w:sz w:val="21"/>
          <w:szCs w:val="21"/>
        </w:rPr>
        <w:t>19.3为确保网上操作合法、有效和安全，投标人应当在投标截止时间前完成在广西政府采购云平台的身份认证，确保在电子投标过程中能够对相关数据电文进行加密和使用电子签名。</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19.4投标文件中标注的投标人名称应与主体资格证明（如营业执照、事业单位法人证书、执业许可证、自然人身份证等）及公章一致，</w:t>
      </w:r>
      <w:r>
        <w:rPr>
          <w:rFonts w:hint="eastAsia" w:ascii="宋体" w:hAnsi="宋体" w:cs="宋体"/>
          <w:b/>
          <w:bCs/>
          <w:color w:val="auto"/>
          <w:szCs w:val="21"/>
        </w:rPr>
        <w:t>否则作无效投标处理</w:t>
      </w:r>
      <w:r>
        <w:rPr>
          <w:rFonts w:hint="eastAsia" w:ascii="宋体" w:hAnsi="宋体" w:cs="宋体"/>
          <w:b/>
          <w:color w:val="auto"/>
          <w:szCs w:val="21"/>
        </w:rPr>
        <w:t>。</w:t>
      </w:r>
    </w:p>
    <w:p>
      <w:pPr>
        <w:spacing w:line="360" w:lineRule="auto"/>
        <w:ind w:firstLine="420" w:firstLineChars="200"/>
        <w:rPr>
          <w:rFonts w:hint="eastAsia" w:ascii="宋体" w:hAnsi="宋体" w:cs="宋体"/>
          <w:b/>
          <w:color w:val="auto"/>
          <w:szCs w:val="21"/>
        </w:rPr>
      </w:pPr>
      <w:r>
        <w:rPr>
          <w:rFonts w:hint="eastAsia" w:ascii="宋体" w:hAnsi="宋体" w:cs="宋体"/>
          <w:color w:val="auto"/>
          <w:szCs w:val="21"/>
        </w:rPr>
        <w:t xml:space="preserve"> 19.5投标文件应避免涂改、行间插字或者删除</w:t>
      </w:r>
      <w:r>
        <w:rPr>
          <w:rFonts w:hint="eastAsia" w:ascii="宋体" w:hAnsi="宋体" w:cs="宋体"/>
          <w:b/>
          <w:color w:val="auto"/>
          <w:szCs w:val="21"/>
        </w:rPr>
        <w:t>。</w:t>
      </w:r>
    </w:p>
    <w:p>
      <w:pPr>
        <w:spacing w:line="360" w:lineRule="auto"/>
        <w:ind w:firstLine="520" w:firstLineChars="248"/>
        <w:rPr>
          <w:rFonts w:hint="eastAsia" w:ascii="宋体" w:hAnsi="宋体" w:cs="宋体"/>
          <w:color w:val="auto"/>
        </w:rPr>
      </w:pPr>
      <w:r>
        <w:rPr>
          <w:rFonts w:hint="eastAsia" w:ascii="宋体" w:hAnsi="宋体" w:cs="宋体"/>
          <w:color w:val="auto"/>
        </w:rPr>
        <w:t>19.6 对招标文件的实质性要求和条件作出响应是指投标人必须对招标文件中标注为实质性要求和条件的</w:t>
      </w:r>
      <w:r>
        <w:rPr>
          <w:rFonts w:hint="eastAsia" w:ascii="宋体" w:hAnsi="宋体" w:cs="宋体"/>
          <w:color w:val="auto"/>
          <w:szCs w:val="21"/>
        </w:rPr>
        <w:t>货物内容及要求</w:t>
      </w:r>
      <w:r>
        <w:rPr>
          <w:rFonts w:hint="eastAsia" w:ascii="宋体" w:hAnsi="宋体" w:cs="宋体"/>
          <w:color w:val="auto"/>
        </w:rPr>
        <w:t>、商务条款及其它内容</w:t>
      </w:r>
      <w:r>
        <w:rPr>
          <w:rFonts w:hint="eastAsia" w:ascii="宋体" w:hAnsi="宋体" w:cs="宋体"/>
          <w:b/>
          <w:color w:val="auto"/>
        </w:rPr>
        <w:t>作出满足或者优于原要求和条件的承诺</w:t>
      </w:r>
      <w:r>
        <w:rPr>
          <w:rFonts w:hint="eastAsia" w:ascii="宋体" w:hAnsi="宋体" w:cs="宋体"/>
          <w:color w:val="auto"/>
        </w:rPr>
        <w:t>。</w:t>
      </w:r>
    </w:p>
    <w:p>
      <w:pPr>
        <w:spacing w:line="360" w:lineRule="auto"/>
        <w:ind w:firstLine="422" w:firstLineChars="200"/>
        <w:rPr>
          <w:rFonts w:hint="eastAsia" w:ascii="宋体" w:hAnsi="宋体" w:cs="宋体"/>
          <w:b/>
          <w:color w:val="auto"/>
          <w:szCs w:val="21"/>
          <w:u w:val="single"/>
        </w:rPr>
      </w:pPr>
      <w:r>
        <w:rPr>
          <w:rFonts w:hint="eastAsia" w:ascii="宋体" w:hAnsi="宋体" w:cs="宋体"/>
          <w:b/>
          <w:color w:val="auto"/>
          <w:szCs w:val="21"/>
          <w:u w:val="single"/>
        </w:rPr>
        <w:t>19.7本项目为全流程电子化项目，异常情况见“第二节 投标人须知正文”中“四、24.2开标程序”。</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20.备份投标文件</w:t>
      </w:r>
    </w:p>
    <w:p>
      <w:pPr>
        <w:spacing w:line="360" w:lineRule="auto"/>
        <w:ind w:firstLine="420" w:firstLineChars="200"/>
        <w:rPr>
          <w:rFonts w:hint="eastAsia" w:ascii="宋体" w:hAnsi="宋体" w:cs="宋体"/>
          <w:color w:val="auto"/>
          <w:sz w:val="24"/>
        </w:rPr>
      </w:pPr>
      <w:r>
        <w:rPr>
          <w:rFonts w:hint="eastAsia" w:ascii="宋体" w:hAnsi="宋体" w:cs="宋体"/>
          <w:bCs/>
          <w:color w:val="auto"/>
          <w:szCs w:val="21"/>
        </w:rPr>
        <w:t>详见“投标人须知前附表”。</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21.投标文件的提交</w:t>
      </w:r>
    </w:p>
    <w:p>
      <w:pPr>
        <w:spacing w:line="360" w:lineRule="auto"/>
        <w:ind w:firstLine="420" w:firstLineChars="200"/>
        <w:rPr>
          <w:rFonts w:hint="eastAsia" w:ascii="宋体" w:hAnsi="宋体" w:cs="宋体"/>
          <w:b/>
          <w:color w:val="auto"/>
        </w:rPr>
      </w:pPr>
      <w:bookmarkStart w:id="191" w:name="_21.1投标人必须在“投标人须知中的前附表”规定的投标文件接收时间和投"/>
      <w:bookmarkEnd w:id="191"/>
      <w:r>
        <w:rPr>
          <w:rFonts w:hint="eastAsia" w:ascii="宋体" w:hAnsi="宋体" w:cs="宋体"/>
          <w:bCs/>
          <w:color w:val="auto"/>
          <w:szCs w:val="21"/>
        </w:rPr>
        <w:t>21.1投标人必须在“投标人须知前附表”规定的投标文件接收时间和投标地点提交电子版投标文件。电子版投标文件应在制作完成后，在投标截止时间前通过有效数字证书（CA认证锁）进行电子签章、加密，然后通过网络将加密的电子版投标文件提交至</w:t>
      </w:r>
      <w:r>
        <w:rPr>
          <w:rFonts w:hint="eastAsia" w:ascii="宋体" w:hAnsi="宋体" w:cs="宋体"/>
          <w:color w:val="auto"/>
          <w:szCs w:val="21"/>
        </w:rPr>
        <w:t>广西政府采购云平台</w:t>
      </w:r>
      <w:r>
        <w:rPr>
          <w:rFonts w:hint="eastAsia" w:ascii="宋体" w:hAnsi="宋体" w:cs="宋体"/>
          <w:bCs/>
          <w:color w:val="auto"/>
          <w:szCs w:val="21"/>
        </w:rPr>
        <w:t xml:space="preserve">。 </w:t>
      </w:r>
      <w:r>
        <w:rPr>
          <w:rFonts w:hint="eastAsia" w:ascii="宋体" w:hAnsi="宋体" w:cs="宋体"/>
          <w:b/>
          <w:color w:val="auto"/>
        </w:rPr>
        <w:t xml:space="preserve"> </w:t>
      </w:r>
    </w:p>
    <w:p>
      <w:pPr>
        <w:spacing w:line="360" w:lineRule="auto"/>
        <w:ind w:firstLine="422" w:firstLineChars="200"/>
        <w:rPr>
          <w:rFonts w:hint="eastAsia" w:ascii="宋体" w:hAnsi="宋体" w:cs="宋体"/>
          <w:b/>
          <w:color w:val="auto"/>
          <w:szCs w:val="20"/>
        </w:rPr>
      </w:pPr>
      <w:r>
        <w:rPr>
          <w:rFonts w:hint="eastAsia" w:ascii="宋体" w:hAnsi="宋体" w:cs="宋体"/>
          <w:b/>
          <w:color w:val="auto"/>
          <w:szCs w:val="21"/>
        </w:rPr>
        <w:t>21.2未在规定时间内提交或者未按照招标文件要求加密的电子版投标文件，广西政府采购云平台将拒收。</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21.3电子版投标文件提交方式见“招标公告”</w:t>
      </w:r>
      <w:r>
        <w:rPr>
          <w:rFonts w:hint="eastAsia" w:ascii="宋体" w:hAnsi="宋体" w:cs="宋体"/>
          <w:b/>
          <w:color w:val="auto"/>
          <w:szCs w:val="21"/>
        </w:rPr>
        <w:t xml:space="preserve">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22. 投标文件的补充、修改、撤回</w:t>
      </w:r>
      <w:bookmarkStart w:id="192" w:name="_Toc254970543"/>
      <w:bookmarkStart w:id="193" w:name="_Toc254970684"/>
    </w:p>
    <w:p>
      <w:pPr>
        <w:spacing w:line="360" w:lineRule="auto"/>
        <w:ind w:firstLine="420" w:firstLineChars="200"/>
        <w:rPr>
          <w:rFonts w:hint="eastAsia" w:ascii="宋体" w:hAnsi="宋体" w:cs="宋体"/>
          <w:color w:val="auto"/>
          <w:sz w:val="24"/>
        </w:rPr>
      </w:pPr>
      <w:r>
        <w:rPr>
          <w:rFonts w:hint="eastAsia" w:ascii="宋体" w:hAnsi="宋体" w:cs="宋体"/>
          <w:color w:val="auto"/>
          <w:szCs w:val="21"/>
        </w:rPr>
        <w:t>22.1 投标人应当在投标截止时间前完成投标文件的传输提交，并可以补充、修改或者撤回投标文件。补充或者修改投标文件的，应当先行撤回原文件，补充、修改后重新传输提交。投标截止时间前未完成传输的，视为撤回投标文件。投标截止时间后提交的投标文件，广西政府采购云平台将拒收。</w:t>
      </w:r>
    </w:p>
    <w:p>
      <w:pPr>
        <w:pStyle w:val="46"/>
        <w:spacing w:before="0"/>
        <w:ind w:firstLine="420"/>
        <w:rPr>
          <w:rFonts w:hint="eastAsia" w:ascii="宋体" w:hAnsi="宋体" w:cs="宋体"/>
          <w:color w:val="auto"/>
          <w:sz w:val="21"/>
          <w:szCs w:val="21"/>
        </w:rPr>
      </w:pPr>
      <w:r>
        <w:rPr>
          <w:rFonts w:hint="eastAsia" w:ascii="宋体" w:hAnsi="宋体" w:cs="宋体"/>
          <w:color w:val="auto"/>
          <w:sz w:val="21"/>
          <w:szCs w:val="21"/>
        </w:rPr>
        <w:t>22.2广西政府采购云平台收到投标文件，将妥善保存并即时向投标人发出确认回执通知。在投标截止时间前，除投标人补充、修改或者撤回投标文件外，任何单位和个人不得解密或提取投标文件。</w:t>
      </w:r>
    </w:p>
    <w:bookmarkEnd w:id="192"/>
    <w:bookmarkEnd w:id="193"/>
    <w:p>
      <w:pPr>
        <w:pStyle w:val="12"/>
        <w:snapToGrid w:val="0"/>
        <w:spacing w:line="360" w:lineRule="auto"/>
        <w:ind w:firstLine="739"/>
        <w:rPr>
          <w:rFonts w:hint="eastAsia" w:hAnsi="宋体" w:cs="宋体"/>
          <w:snapToGrid w:val="0"/>
          <w:color w:val="auto"/>
          <w:sz w:val="21"/>
          <w:szCs w:val="21"/>
        </w:rPr>
      </w:pPr>
    </w:p>
    <w:p>
      <w:pPr>
        <w:pStyle w:val="4"/>
        <w:keepNext w:val="0"/>
        <w:keepLines w:val="0"/>
        <w:spacing w:line="360" w:lineRule="auto"/>
        <w:jc w:val="center"/>
        <w:rPr>
          <w:rFonts w:hint="eastAsia" w:ascii="宋体" w:hAnsi="宋体" w:cs="宋体"/>
          <w:color w:val="auto"/>
        </w:rPr>
      </w:pPr>
      <w:bookmarkStart w:id="194" w:name="_Toc20797"/>
      <w:bookmarkStart w:id="195" w:name="_Toc254970544"/>
      <w:bookmarkStart w:id="196" w:name="_Toc20871"/>
      <w:bookmarkStart w:id="197" w:name="_Toc254970685"/>
      <w:bookmarkStart w:id="198" w:name="_Toc20620"/>
      <w:bookmarkStart w:id="199" w:name="_Toc6762"/>
      <w:bookmarkStart w:id="200" w:name="_Toc13173"/>
      <w:r>
        <w:rPr>
          <w:rFonts w:hint="eastAsia" w:ascii="宋体" w:hAnsi="宋体" w:cs="宋体"/>
          <w:color w:val="auto"/>
        </w:rPr>
        <w:t>四、开    标</w:t>
      </w:r>
      <w:bookmarkEnd w:id="194"/>
      <w:bookmarkEnd w:id="195"/>
      <w:bookmarkEnd w:id="196"/>
      <w:bookmarkEnd w:id="197"/>
      <w:bookmarkEnd w:id="198"/>
      <w:bookmarkEnd w:id="199"/>
      <w:bookmarkEnd w:id="200"/>
    </w:p>
    <w:p>
      <w:pPr>
        <w:spacing w:line="360" w:lineRule="auto"/>
        <w:ind w:firstLine="480" w:firstLineChars="200"/>
        <w:rPr>
          <w:rFonts w:hint="eastAsia" w:ascii="宋体" w:hAnsi="宋体" w:cs="宋体"/>
          <w:color w:val="auto"/>
          <w:sz w:val="24"/>
        </w:rPr>
      </w:pPr>
      <w:bookmarkStart w:id="201" w:name="_23.开标时间和地点"/>
      <w:bookmarkEnd w:id="201"/>
      <w:r>
        <w:rPr>
          <w:rFonts w:hint="eastAsia" w:ascii="宋体" w:hAnsi="宋体" w:cs="宋体"/>
          <w:color w:val="auto"/>
          <w:sz w:val="24"/>
        </w:rPr>
        <w:t>23.开标时间和地点</w:t>
      </w:r>
    </w:p>
    <w:p>
      <w:pPr>
        <w:spacing w:line="360" w:lineRule="auto"/>
        <w:ind w:firstLine="420" w:firstLineChars="200"/>
        <w:rPr>
          <w:rFonts w:hint="eastAsia" w:ascii="宋体" w:hAnsi="宋体" w:cs="宋体"/>
          <w:bCs/>
          <w:color w:val="auto"/>
        </w:rPr>
      </w:pPr>
      <w:r>
        <w:rPr>
          <w:rFonts w:hint="eastAsia" w:ascii="宋体" w:hAnsi="宋体" w:cs="宋体"/>
          <w:bCs/>
          <w:color w:val="auto"/>
        </w:rPr>
        <w:t>23.1开标时间及地点详见“投标人须知前附表”</w:t>
      </w:r>
    </w:p>
    <w:p>
      <w:pPr>
        <w:spacing w:line="360" w:lineRule="auto"/>
        <w:ind w:firstLine="420" w:firstLineChars="200"/>
        <w:rPr>
          <w:rFonts w:hint="eastAsia" w:ascii="宋体" w:hAnsi="宋体" w:cs="宋体"/>
          <w:color w:val="auto"/>
        </w:rPr>
      </w:pPr>
      <w:r>
        <w:rPr>
          <w:rFonts w:hint="eastAsia" w:ascii="宋体" w:hAnsi="宋体" w:cs="宋体"/>
          <w:color w:val="auto"/>
        </w:rPr>
        <w:t>23.2如</w:t>
      </w:r>
      <w:r>
        <w:rPr>
          <w:rFonts w:hint="eastAsia" w:ascii="宋体" w:hAnsi="宋体" w:cs="宋体"/>
          <w:bCs/>
          <w:color w:val="auto"/>
        </w:rPr>
        <w:t>投标人成功解密投标文件，但未在</w:t>
      </w:r>
      <w:r>
        <w:rPr>
          <w:rFonts w:hint="eastAsia" w:ascii="宋体" w:hAnsi="宋体" w:cs="宋体"/>
          <w:color w:val="auto"/>
          <w:szCs w:val="21"/>
        </w:rPr>
        <w:t>广西政府采购云平台</w:t>
      </w:r>
      <w:r>
        <w:rPr>
          <w:rFonts w:hint="eastAsia" w:ascii="宋体" w:hAnsi="宋体" w:cs="宋体"/>
          <w:bCs/>
          <w:color w:val="auto"/>
        </w:rPr>
        <w:t>电子开标大厅参加开标的，视同认可开标过程和结果，</w:t>
      </w:r>
      <w:r>
        <w:rPr>
          <w:rFonts w:hint="eastAsia" w:ascii="宋体" w:hAnsi="宋体" w:cs="宋体"/>
          <w:color w:val="auto"/>
        </w:rPr>
        <w:t>由此产生的后果由投标人自行负责。 投标人不足3家的，不得开标。</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24.开标程序</w:t>
      </w:r>
    </w:p>
    <w:p>
      <w:pPr>
        <w:autoSpaceDE w:val="0"/>
        <w:autoSpaceDN w:val="0"/>
        <w:adjustRightInd w:val="0"/>
        <w:spacing w:line="360" w:lineRule="auto"/>
        <w:ind w:firstLine="420" w:firstLineChars="200"/>
        <w:rPr>
          <w:rFonts w:hint="eastAsia" w:ascii="宋体" w:hAnsi="宋体" w:cs="宋体"/>
          <w:color w:val="auto"/>
          <w:kern w:val="0"/>
          <w:szCs w:val="21"/>
        </w:rPr>
      </w:pPr>
      <w:r>
        <w:rPr>
          <w:rFonts w:hint="eastAsia" w:ascii="宋体" w:hAnsi="宋体" w:cs="宋体"/>
          <w:bCs/>
          <w:color w:val="auto"/>
          <w:szCs w:val="21"/>
        </w:rPr>
        <w:t>24.1</w:t>
      </w:r>
      <w:r>
        <w:rPr>
          <w:rFonts w:hint="eastAsia" w:ascii="宋体" w:hAnsi="宋体" w:cs="宋体"/>
          <w:color w:val="auto"/>
          <w:kern w:val="0"/>
          <w:szCs w:val="21"/>
        </w:rPr>
        <w:t>开标形式：</w:t>
      </w:r>
    </w:p>
    <w:p>
      <w:pPr>
        <w:autoSpaceDE w:val="0"/>
        <w:autoSpaceDN w:val="0"/>
        <w:adjustRightInd w:val="0"/>
        <w:spacing w:line="360" w:lineRule="auto"/>
        <w:ind w:firstLine="420" w:firstLineChars="200"/>
        <w:rPr>
          <w:rFonts w:hint="eastAsia" w:ascii="宋体" w:hAnsi="宋体" w:cs="宋体"/>
          <w:bCs/>
          <w:color w:val="auto"/>
          <w:szCs w:val="21"/>
        </w:rPr>
      </w:pPr>
      <w:r>
        <w:rPr>
          <w:rFonts w:hint="eastAsia" w:ascii="宋体" w:hAnsi="宋体" w:cs="宋体"/>
          <w:color w:val="auto"/>
          <w:szCs w:val="21"/>
        </w:rPr>
        <w:t>（1）</w:t>
      </w:r>
      <w:r>
        <w:rPr>
          <w:rFonts w:hint="eastAsia" w:ascii="宋体" w:hAnsi="宋体" w:cs="宋体"/>
          <w:bCs/>
          <w:color w:val="auto"/>
          <w:szCs w:val="21"/>
        </w:rPr>
        <w:t>开标的准备工作由采购代理机构负责落实，采购代理机构必须基于</w:t>
      </w:r>
      <w:r>
        <w:rPr>
          <w:rFonts w:hint="eastAsia" w:ascii="宋体" w:hAnsi="宋体" w:cs="宋体"/>
          <w:color w:val="auto"/>
          <w:szCs w:val="21"/>
        </w:rPr>
        <w:t>广西政府采购云平台</w:t>
      </w:r>
      <w:r>
        <w:rPr>
          <w:rFonts w:hint="eastAsia" w:ascii="宋体" w:hAnsi="宋体" w:cs="宋体"/>
          <w:bCs/>
          <w:color w:val="auto"/>
          <w:szCs w:val="21"/>
        </w:rPr>
        <w:t>依法抽取评审专家，如采购代理机构未按规定抽取专家的，视为本次开评标无效，应当重新采购；</w:t>
      </w:r>
    </w:p>
    <w:p>
      <w:pPr>
        <w:autoSpaceDE w:val="0"/>
        <w:autoSpaceDN w:val="0"/>
        <w:adjustRightIn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（2）采购代理机构将按照招标文件规定的时间通过</w:t>
      </w:r>
      <w:r>
        <w:rPr>
          <w:rFonts w:hint="eastAsia" w:ascii="宋体" w:hAnsi="宋体" w:cs="宋体"/>
          <w:color w:val="auto"/>
          <w:szCs w:val="21"/>
        </w:rPr>
        <w:t>广西政府采购云平台</w:t>
      </w:r>
      <w:r>
        <w:rPr>
          <w:rFonts w:hint="eastAsia" w:ascii="宋体" w:hAnsi="宋体" w:cs="宋体"/>
          <w:bCs/>
          <w:color w:val="auto"/>
          <w:szCs w:val="21"/>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pPr>
        <w:autoSpaceDE w:val="0"/>
        <w:autoSpaceDN w:val="0"/>
        <w:adjustRightIn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24.2开标程序：</w:t>
      </w:r>
    </w:p>
    <w:p>
      <w:pPr>
        <w:pStyle w:val="10"/>
        <w:spacing w:line="360" w:lineRule="auto"/>
        <w:ind w:firstLine="420" w:firstLineChars="200"/>
        <w:rPr>
          <w:rFonts w:hint="eastAsia" w:hAnsi="宋体" w:cs="宋体"/>
          <w:color w:val="auto"/>
          <w:szCs w:val="21"/>
        </w:rPr>
      </w:pPr>
      <w:r>
        <w:rPr>
          <w:rFonts w:hint="eastAsia" w:hAnsi="宋体" w:cs="宋体"/>
          <w:bCs/>
          <w:color w:val="auto"/>
          <w:szCs w:val="21"/>
        </w:rPr>
        <w:t>（1）</w:t>
      </w:r>
      <w:r>
        <w:rPr>
          <w:rFonts w:hint="eastAsia" w:hAnsi="宋体" w:cs="宋体"/>
          <w:b/>
          <w:color w:val="auto"/>
          <w:szCs w:val="21"/>
        </w:rPr>
        <w:t>解密电子版投标文件。</w:t>
      </w:r>
      <w:r>
        <w:rPr>
          <w:rFonts w:hint="eastAsia" w:ascii="宋体" w:hAnsi="宋体" w:cs="宋体"/>
          <w:color w:val="auto"/>
          <w:szCs w:val="21"/>
        </w:rPr>
        <w:t>广西政府采购云平台</w:t>
      </w:r>
      <w:r>
        <w:rPr>
          <w:rFonts w:ascii="宋体" w:hAnsi="宋体" w:cs="仿宋"/>
          <w:color w:val="auto"/>
          <w:kern w:val="1"/>
          <w:szCs w:val="21"/>
        </w:rPr>
        <w:t>按开标时间自动提取所有投标文件。采购代理机构依托</w:t>
      </w:r>
      <w:r>
        <w:rPr>
          <w:rFonts w:hint="eastAsia" w:ascii="宋体" w:hAnsi="宋体" w:cs="宋体"/>
          <w:color w:val="auto"/>
          <w:szCs w:val="21"/>
        </w:rPr>
        <w:t>广西政府采购云平台</w:t>
      </w:r>
      <w:r>
        <w:rPr>
          <w:rFonts w:ascii="宋体" w:hAnsi="宋体" w:cs="宋体"/>
          <w:color w:val="auto"/>
          <w:kern w:val="1"/>
          <w:szCs w:val="21"/>
        </w:rPr>
        <w:t>向各投标人发出电子加密投标文件【开始解密】通知，由投标人</w:t>
      </w:r>
      <w:r>
        <w:rPr>
          <w:rFonts w:hint="eastAsia" w:ascii="宋体" w:hAnsi="宋体" w:cs="宋体"/>
          <w:color w:val="auto"/>
          <w:kern w:val="1"/>
          <w:szCs w:val="21"/>
        </w:rPr>
        <w:t>在</w:t>
      </w:r>
      <w:r>
        <w:rPr>
          <w:rFonts w:ascii="宋体" w:hAnsi="宋体" w:cs="宋体"/>
          <w:color w:val="auto"/>
          <w:kern w:val="1"/>
          <w:szCs w:val="21"/>
        </w:rPr>
        <w:t>规定的时间内自行</w:t>
      </w:r>
      <w:r>
        <w:rPr>
          <w:rFonts w:hint="eastAsia" w:ascii="宋体" w:hAnsi="宋体" w:cs="宋体"/>
          <w:color w:val="auto"/>
          <w:kern w:val="1"/>
          <w:szCs w:val="21"/>
        </w:rPr>
        <w:t>将</w:t>
      </w:r>
      <w:r>
        <w:rPr>
          <w:rFonts w:ascii="宋体" w:hAnsi="宋体" w:cs="宋体"/>
          <w:color w:val="auto"/>
          <w:kern w:val="1"/>
          <w:szCs w:val="21"/>
        </w:rPr>
        <w:t>投标文件</w:t>
      </w:r>
      <w:r>
        <w:rPr>
          <w:rFonts w:hint="eastAsia" w:ascii="宋体" w:hAnsi="宋体" w:cs="宋体"/>
          <w:color w:val="auto"/>
          <w:kern w:val="1"/>
          <w:szCs w:val="21"/>
        </w:rPr>
        <w:t>在线</w:t>
      </w:r>
      <w:r>
        <w:rPr>
          <w:rFonts w:ascii="宋体" w:hAnsi="宋体" w:cs="宋体"/>
          <w:color w:val="auto"/>
          <w:kern w:val="1"/>
          <w:szCs w:val="21"/>
        </w:rPr>
        <w:t>解密。投标人的法定代表人或其委托代理人</w:t>
      </w:r>
      <w:r>
        <w:rPr>
          <w:rFonts w:ascii="宋体" w:hAnsi="宋体" w:cs="宋体"/>
          <w:b/>
          <w:color w:val="auto"/>
          <w:kern w:val="1"/>
          <w:szCs w:val="21"/>
        </w:rPr>
        <w:t>须携带加密时所用的CA锁准时登录到广西政府采购云平台电子开标大厅签到并对电子</w:t>
      </w:r>
      <w:r>
        <w:rPr>
          <w:rFonts w:hint="eastAsia" w:ascii="宋体" w:hAnsi="宋体" w:cs="宋体"/>
          <w:b/>
          <w:color w:val="auto"/>
          <w:kern w:val="1"/>
          <w:szCs w:val="21"/>
        </w:rPr>
        <w:t>版</w:t>
      </w:r>
      <w:r>
        <w:rPr>
          <w:rFonts w:ascii="宋体" w:hAnsi="宋体" w:cs="宋体"/>
          <w:b/>
          <w:color w:val="auto"/>
          <w:kern w:val="1"/>
          <w:szCs w:val="21"/>
        </w:rPr>
        <w:t>投标文件</w:t>
      </w:r>
      <w:r>
        <w:rPr>
          <w:rFonts w:hint="eastAsia" w:ascii="宋体" w:hAnsi="宋体" w:cs="宋体"/>
          <w:b/>
          <w:color w:val="auto"/>
          <w:kern w:val="1"/>
          <w:szCs w:val="21"/>
        </w:rPr>
        <w:t>在线</w:t>
      </w:r>
      <w:r>
        <w:rPr>
          <w:rFonts w:ascii="宋体" w:hAnsi="宋体" w:cs="宋体"/>
          <w:b/>
          <w:color w:val="auto"/>
          <w:kern w:val="1"/>
          <w:szCs w:val="21"/>
        </w:rPr>
        <w:t>解密</w:t>
      </w:r>
      <w:r>
        <w:rPr>
          <w:rFonts w:ascii="宋体" w:hAnsi="宋体" w:cs="宋体"/>
          <w:color w:val="auto"/>
          <w:kern w:val="1"/>
          <w:szCs w:val="21"/>
        </w:rPr>
        <w:t>。</w:t>
      </w:r>
      <w:r>
        <w:rPr>
          <w:rFonts w:ascii="宋体" w:hAnsi="宋体" w:cs="仿宋"/>
          <w:color w:val="auto"/>
          <w:kern w:val="1"/>
          <w:szCs w:val="21"/>
        </w:rPr>
        <w:t>投标文件未按时解密</w:t>
      </w:r>
      <w:r>
        <w:rPr>
          <w:rFonts w:ascii="宋体" w:hAnsi="宋体" w:cs="宋体"/>
          <w:color w:val="auto"/>
          <w:kern w:val="1"/>
          <w:szCs w:val="21"/>
        </w:rPr>
        <w:t>的，</w:t>
      </w:r>
      <w:r>
        <w:rPr>
          <w:rFonts w:ascii="宋体" w:hAnsi="宋体" w:cs="宋体"/>
          <w:b/>
          <w:color w:val="auto"/>
          <w:kern w:val="1"/>
          <w:szCs w:val="21"/>
        </w:rPr>
        <w:t>均视为无效投标。</w:t>
      </w:r>
    </w:p>
    <w:p>
      <w:pPr>
        <w:pStyle w:val="14"/>
        <w:snapToGrid w:val="0"/>
        <w:spacing w:line="360" w:lineRule="auto"/>
        <w:ind w:firstLine="420" w:firstLineChars="200"/>
        <w:rPr>
          <w:rFonts w:hint="eastAsia" w:hAnsi="宋体" w:cs="宋体"/>
          <w:color w:val="auto"/>
          <w:szCs w:val="21"/>
        </w:rPr>
      </w:pPr>
      <w:r>
        <w:rPr>
          <w:rFonts w:hint="eastAsia" w:hAnsi="宋体" w:cs="宋体"/>
          <w:color w:val="auto"/>
          <w:szCs w:val="21"/>
        </w:rPr>
        <w:t>（解密</w:t>
      </w:r>
      <w:r>
        <w:rPr>
          <w:rFonts w:hint="eastAsia" w:hAnsi="宋体" w:cs="宋体"/>
          <w:bCs/>
          <w:color w:val="auto"/>
          <w:szCs w:val="21"/>
        </w:rPr>
        <w:t>异常情况处理：详见本章</w:t>
      </w:r>
      <w:r>
        <w:rPr>
          <w:rFonts w:hint="eastAsia" w:hAnsi="宋体" w:cs="宋体"/>
          <w:color w:val="auto"/>
        </w:rPr>
        <w:t>29.3 电子交易活动的中止。</w:t>
      </w:r>
      <w:r>
        <w:rPr>
          <w:rFonts w:hint="eastAsia" w:hAnsi="宋体" w:cs="宋体"/>
          <w:color w:val="auto"/>
          <w:szCs w:val="21"/>
        </w:rPr>
        <w:t>）</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b/>
          <w:color w:val="auto"/>
          <w:szCs w:val="21"/>
        </w:rPr>
        <w:t>电子唱标。</w:t>
      </w:r>
      <w:r>
        <w:rPr>
          <w:rFonts w:hint="eastAsia" w:ascii="宋体" w:hAnsi="宋体" w:cs="宋体"/>
          <w:color w:val="auto"/>
          <w:szCs w:val="21"/>
        </w:rPr>
        <w:t>投标文件解密结束，各投标人报价均在广西政府采购云平台远程不见面开标大厅展示；</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（3）开标过程由采购代理机构如实记录，并电子留痕，由参加电子开标的各投标人代表对电子开标记</w:t>
      </w:r>
      <w:r>
        <w:rPr>
          <w:rFonts w:hint="eastAsia" w:ascii="宋体" w:hAnsi="宋体" w:cs="宋体"/>
          <w:b/>
          <w:color w:val="auto"/>
          <w:szCs w:val="21"/>
        </w:rPr>
        <w:t>录在开标记录公布后15分钟内进行当场校核及勘误，并线上确认</w:t>
      </w:r>
      <w:r>
        <w:rPr>
          <w:rFonts w:hint="eastAsia" w:ascii="宋体" w:hAnsi="宋体" w:cs="宋体"/>
          <w:bCs/>
          <w:color w:val="auto"/>
          <w:szCs w:val="21"/>
        </w:rPr>
        <w:t>，未确认的视同认可开标结果。</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（5）开标结束。</w:t>
      </w:r>
    </w:p>
    <w:p>
      <w:pPr>
        <w:pStyle w:val="14"/>
        <w:snapToGrid w:val="0"/>
        <w:spacing w:line="360" w:lineRule="auto"/>
        <w:ind w:firstLine="422" w:firstLineChars="200"/>
        <w:rPr>
          <w:rFonts w:hint="eastAsia" w:hAnsi="宋体" w:cs="宋体"/>
          <w:color w:val="auto"/>
          <w:szCs w:val="21"/>
        </w:rPr>
      </w:pPr>
      <w:r>
        <w:rPr>
          <w:rFonts w:hint="eastAsia" w:hAnsi="宋体" w:cs="宋体"/>
          <w:b/>
          <w:bCs/>
          <w:color w:val="auto"/>
          <w:szCs w:val="21"/>
        </w:rPr>
        <w:t>特别说明：</w:t>
      </w:r>
      <w:r>
        <w:rPr>
          <w:rFonts w:hint="eastAsia" w:hAnsi="宋体" w:cs="宋体"/>
          <w:color w:val="auto"/>
          <w:szCs w:val="21"/>
        </w:rPr>
        <w:t>如遇广西政府采购云平台电子化开标或评审程序调整的，按调整后执行。</w:t>
      </w:r>
    </w:p>
    <w:p>
      <w:pPr>
        <w:pStyle w:val="14"/>
        <w:snapToGrid w:val="0"/>
        <w:spacing w:line="360" w:lineRule="auto"/>
        <w:ind w:left="689" w:leftChars="228" w:hanging="210" w:hangingChars="100"/>
        <w:rPr>
          <w:rFonts w:hint="eastAsia" w:hAnsi="宋体" w:cs="宋体"/>
          <w:color w:val="auto"/>
        </w:rPr>
      </w:pPr>
    </w:p>
    <w:p>
      <w:pPr>
        <w:pStyle w:val="4"/>
        <w:keepNext w:val="0"/>
        <w:keepLines w:val="0"/>
        <w:spacing w:line="360" w:lineRule="auto"/>
        <w:jc w:val="center"/>
        <w:rPr>
          <w:rFonts w:hint="eastAsia" w:ascii="宋体" w:hAnsi="宋体" w:cs="宋体"/>
          <w:color w:val="auto"/>
        </w:rPr>
      </w:pPr>
      <w:bookmarkStart w:id="202" w:name="_Toc10935"/>
      <w:bookmarkStart w:id="203" w:name="_Toc31687"/>
      <w:bookmarkStart w:id="204" w:name="_Toc29757"/>
      <w:bookmarkStart w:id="205" w:name="_Toc30961"/>
      <w:bookmarkStart w:id="206" w:name="_Toc29347"/>
      <w:r>
        <w:rPr>
          <w:rFonts w:hint="eastAsia" w:ascii="宋体" w:hAnsi="宋体" w:cs="宋体"/>
          <w:color w:val="auto"/>
        </w:rPr>
        <w:t>五、资格审查</w:t>
      </w:r>
      <w:bookmarkEnd w:id="202"/>
      <w:bookmarkEnd w:id="203"/>
      <w:bookmarkEnd w:id="204"/>
      <w:bookmarkEnd w:id="205"/>
      <w:bookmarkEnd w:id="206"/>
    </w:p>
    <w:p>
      <w:pPr>
        <w:pStyle w:val="6"/>
        <w:keepNext w:val="0"/>
        <w:keepLines w:val="0"/>
        <w:spacing w:before="0" w:after="0" w:line="360" w:lineRule="auto"/>
        <w:ind w:firstLine="482" w:firstLineChars="200"/>
        <w:rPr>
          <w:rFonts w:hint="eastAsia" w:ascii="宋体" w:hAnsi="宋体" w:cs="宋体"/>
          <w:color w:val="auto"/>
          <w:sz w:val="24"/>
        </w:rPr>
      </w:pPr>
      <w:r>
        <w:rPr>
          <w:rFonts w:hint="eastAsia" w:ascii="宋体" w:hAnsi="宋体" w:cs="宋体"/>
          <w:color w:val="auto"/>
          <w:sz w:val="24"/>
        </w:rPr>
        <w:t>25.资格审查</w:t>
      </w:r>
    </w:p>
    <w:p>
      <w:pPr>
        <w:spacing w:line="360" w:lineRule="auto"/>
        <w:ind w:firstLine="422" w:firstLineChars="200"/>
        <w:rPr>
          <w:rFonts w:hint="eastAsia" w:ascii="宋体" w:hAnsi="宋体" w:cs="宋体"/>
          <w:b/>
          <w:bCs/>
          <w:color w:val="auto"/>
          <w:szCs w:val="20"/>
        </w:rPr>
      </w:pPr>
      <w:r>
        <w:rPr>
          <w:rFonts w:hint="eastAsia" w:ascii="宋体" w:hAnsi="宋体" w:cs="宋体"/>
          <w:b/>
          <w:bCs/>
          <w:color w:val="auto"/>
          <w:szCs w:val="20"/>
        </w:rPr>
        <w:t>25.1开标结束后，采购人或采购代理机构依法通过电子版投标文件对投标人的资格进行线上审查。</w:t>
      </w:r>
    </w:p>
    <w:p>
      <w:pPr>
        <w:spacing w:line="360" w:lineRule="auto"/>
        <w:ind w:firstLine="420" w:firstLineChars="200"/>
        <w:rPr>
          <w:rFonts w:hint="eastAsia" w:ascii="宋体" w:hAnsi="宋体" w:cs="宋体"/>
          <w:color w:val="auto"/>
        </w:rPr>
      </w:pPr>
      <w:r>
        <w:rPr>
          <w:rFonts w:hint="eastAsia" w:ascii="宋体" w:hAnsi="宋体" w:cs="宋体"/>
          <w:color w:val="auto"/>
        </w:rPr>
        <w:t>25.2资格审查标准为本“招标文件”中“投标人须知前附表”13.1点载明对投标人资格要求的条件。本项目资格审查采用合格制，凡符合招标文件规定的投标人资格要求的投标人均通过资格审查。</w:t>
      </w:r>
    </w:p>
    <w:p>
      <w:pPr>
        <w:spacing w:line="360" w:lineRule="auto"/>
        <w:ind w:firstLine="422" w:firstLineChars="200"/>
        <w:rPr>
          <w:rFonts w:hint="eastAsia" w:ascii="宋体" w:hAnsi="宋体" w:cs="宋体"/>
          <w:b/>
          <w:bCs/>
          <w:color w:val="auto"/>
          <w:szCs w:val="20"/>
        </w:rPr>
      </w:pPr>
      <w:bookmarkStart w:id="207" w:name="_25.3_投标人有下列情形之一的，资格审查不通过而导致其投标无效："/>
      <w:bookmarkEnd w:id="207"/>
      <w:r>
        <w:rPr>
          <w:rFonts w:hint="eastAsia" w:ascii="宋体" w:hAnsi="宋体" w:cs="宋体"/>
          <w:b/>
          <w:bCs/>
          <w:color w:val="auto"/>
          <w:szCs w:val="20"/>
        </w:rPr>
        <w:t>25.3投标人有下列情形之一的，资格审查不通过，作无效投标处理：</w:t>
      </w:r>
    </w:p>
    <w:p>
      <w:pPr>
        <w:spacing w:line="360" w:lineRule="auto"/>
        <w:ind w:firstLine="420" w:firstLineChars="200"/>
        <w:rPr>
          <w:rFonts w:hint="eastAsia" w:ascii="宋体" w:hAnsi="宋体" w:cs="宋体"/>
          <w:color w:val="auto"/>
        </w:rPr>
      </w:pPr>
      <w:r>
        <w:rPr>
          <w:rFonts w:hint="eastAsia" w:hAnsi="宋体"/>
          <w:color w:val="auto"/>
        </w:rPr>
        <w:t>（1）不具备招标文件中规定的资格要求的；（注：其中信用查询规则见“投标人须知前附表”，</w:t>
      </w:r>
      <w:r>
        <w:rPr>
          <w:rFonts w:hint="eastAsia" w:ascii="宋体" w:hAnsi="宋体" w:cs="宋体"/>
          <w:color w:val="auto"/>
          <w:szCs w:val="21"/>
        </w:rPr>
        <w:t>广西政府采购云平台</w:t>
      </w:r>
      <w:r>
        <w:rPr>
          <w:rFonts w:hint="eastAsia" w:hAnsi="宋体"/>
          <w:color w:val="auto"/>
        </w:rPr>
        <w:t>已与“信用中国”平台做接口，</w:t>
      </w:r>
      <w:r>
        <w:rPr>
          <w:rFonts w:hint="eastAsia" w:ascii="宋体" w:hAnsi="宋体" w:cs="宋体"/>
          <w:color w:val="auto"/>
          <w:szCs w:val="20"/>
        </w:rPr>
        <w:t>采购人或者采购代理机构</w:t>
      </w:r>
      <w:r>
        <w:rPr>
          <w:rFonts w:hint="eastAsia" w:ascii="宋体" w:hAnsi="宋体" w:cs="宋体"/>
          <w:color w:val="auto"/>
        </w:rPr>
        <w:t>可直接在线查询）</w:t>
      </w:r>
    </w:p>
    <w:p>
      <w:pPr>
        <w:spacing w:line="360" w:lineRule="auto"/>
        <w:ind w:firstLine="420" w:firstLineChars="200"/>
        <w:rPr>
          <w:rFonts w:hint="eastAsia" w:ascii="宋体" w:hAnsi="宋体" w:cs="宋体"/>
          <w:color w:val="auto"/>
        </w:rPr>
      </w:pPr>
      <w:r>
        <w:rPr>
          <w:rFonts w:hint="eastAsia" w:ascii="宋体" w:hAnsi="宋体" w:cs="宋体"/>
          <w:color w:val="auto"/>
        </w:rPr>
        <w:t>（2）投标文件未提供任一项“投标人须知前附表”资格文件规定的“必须提供”的文件资料的；</w:t>
      </w:r>
    </w:p>
    <w:p>
      <w:pPr>
        <w:spacing w:line="360" w:lineRule="auto"/>
        <w:ind w:firstLine="420" w:firstLineChars="200"/>
        <w:rPr>
          <w:rFonts w:hint="eastAsia" w:ascii="宋体" w:hAnsi="宋体" w:cs="宋体"/>
          <w:color w:val="auto"/>
        </w:rPr>
      </w:pPr>
      <w:r>
        <w:rPr>
          <w:rFonts w:hint="eastAsia" w:ascii="宋体" w:hAnsi="宋体" w:cs="宋体"/>
          <w:color w:val="auto"/>
        </w:rPr>
        <w:t>（3）投标文件提供的资格文件出现任一项不符合“投标人须知前附表”资格文件规定的“必须提供”的文件资料要求或者无效的。</w:t>
      </w:r>
    </w:p>
    <w:p>
      <w:pPr>
        <w:pStyle w:val="17"/>
        <w:spacing w:line="360" w:lineRule="auto"/>
        <w:ind w:firstLine="420" w:firstLineChars="200"/>
        <w:rPr>
          <w:rFonts w:hint="eastAsia" w:ascii="宋体" w:hAnsi="宋体" w:cs="宋体"/>
          <w:color w:val="auto"/>
          <w:sz w:val="21"/>
          <w:szCs w:val="24"/>
        </w:rPr>
      </w:pPr>
      <w:r>
        <w:rPr>
          <w:rFonts w:hint="eastAsia" w:ascii="宋体" w:hAnsi="宋体" w:cs="宋体"/>
          <w:color w:val="auto"/>
          <w:sz w:val="21"/>
          <w:szCs w:val="24"/>
        </w:rPr>
        <w:t>（4）同一合同项下的不同供应商，单位负责人为同一人或者存在直接控股、管理关系的；为本项目提供过整体设计、规范编制或者项目管理、监理、检测等服务的。</w:t>
      </w:r>
    </w:p>
    <w:p>
      <w:pPr>
        <w:pStyle w:val="6"/>
        <w:keepNext w:val="0"/>
        <w:keepLines w:val="0"/>
        <w:spacing w:before="0" w:after="0" w:line="360" w:lineRule="auto"/>
        <w:ind w:firstLine="420" w:firstLineChars="200"/>
        <w:rPr>
          <w:rFonts w:hint="eastAsia" w:ascii="宋体" w:hAnsi="宋体" w:cs="宋体"/>
          <w:b w:val="0"/>
          <w:bCs w:val="0"/>
          <w:color w:val="auto"/>
          <w:sz w:val="21"/>
          <w:szCs w:val="20"/>
        </w:rPr>
      </w:pPr>
      <w:r>
        <w:rPr>
          <w:rFonts w:hint="eastAsia" w:ascii="宋体" w:hAnsi="宋体" w:cs="宋体"/>
          <w:b w:val="0"/>
          <w:bCs w:val="0"/>
          <w:color w:val="auto"/>
          <w:sz w:val="21"/>
          <w:szCs w:val="20"/>
        </w:rPr>
        <w:t>25.4资格审查的合格投标人不足3家的，不得评标。</w:t>
      </w:r>
    </w:p>
    <w:p>
      <w:pPr>
        <w:pStyle w:val="7"/>
        <w:rPr>
          <w:color w:val="auto"/>
        </w:rPr>
      </w:pPr>
    </w:p>
    <w:p>
      <w:pPr>
        <w:pStyle w:val="4"/>
        <w:keepNext w:val="0"/>
        <w:keepLines w:val="0"/>
        <w:spacing w:line="360" w:lineRule="auto"/>
        <w:jc w:val="center"/>
        <w:rPr>
          <w:rFonts w:hint="eastAsia" w:ascii="宋体" w:hAnsi="宋体" w:cs="宋体"/>
          <w:color w:val="auto"/>
        </w:rPr>
      </w:pPr>
      <w:bookmarkStart w:id="208" w:name="_Toc29675"/>
      <w:bookmarkStart w:id="209" w:name="_Toc23135"/>
      <w:bookmarkStart w:id="210" w:name="_Toc17458"/>
      <w:bookmarkStart w:id="211" w:name="_Toc28977"/>
      <w:bookmarkStart w:id="212" w:name="_Toc10753"/>
      <w:r>
        <w:rPr>
          <w:rFonts w:hint="eastAsia" w:ascii="宋体" w:hAnsi="宋体" w:cs="宋体"/>
          <w:color w:val="auto"/>
        </w:rPr>
        <w:t>六、评   标</w:t>
      </w:r>
      <w:bookmarkEnd w:id="208"/>
      <w:bookmarkEnd w:id="209"/>
      <w:bookmarkEnd w:id="210"/>
      <w:bookmarkEnd w:id="211"/>
      <w:bookmarkEnd w:id="212"/>
    </w:p>
    <w:p>
      <w:pPr>
        <w:spacing w:line="360" w:lineRule="auto"/>
        <w:ind w:firstLine="480" w:firstLineChars="200"/>
        <w:rPr>
          <w:rFonts w:hint="eastAsia" w:ascii="宋体" w:hAnsi="宋体" w:cs="宋体"/>
          <w:color w:val="auto"/>
          <w:sz w:val="24"/>
        </w:rPr>
      </w:pPr>
      <w:bookmarkStart w:id="213" w:name="_26.组建评标委员会"/>
      <w:bookmarkEnd w:id="213"/>
      <w:r>
        <w:rPr>
          <w:rFonts w:hint="eastAsia" w:ascii="宋体" w:hAnsi="宋体" w:cs="宋体"/>
          <w:color w:val="auto"/>
          <w:sz w:val="24"/>
        </w:rPr>
        <w:t>26.组建评标委员会</w:t>
      </w:r>
    </w:p>
    <w:p>
      <w:pPr>
        <w:spacing w:line="360" w:lineRule="auto"/>
        <w:ind w:firstLine="420" w:firstLineChars="200"/>
        <w:rPr>
          <w:rFonts w:hint="eastAsia" w:ascii="宋体" w:hAnsi="宋体" w:cs="宋体"/>
          <w:color w:val="auto"/>
        </w:rPr>
      </w:pPr>
      <w:r>
        <w:rPr>
          <w:rFonts w:hint="eastAsia" w:ascii="宋体" w:hAnsi="宋体" w:cs="宋体"/>
          <w:color w:val="auto"/>
        </w:rPr>
        <w:t>评标委员会由采购人代表和评审专家组成，人数为5人以上单数，其中评审专家不得少于成员总数的三分之二。</w:t>
      </w:r>
    </w:p>
    <w:p>
      <w:pPr>
        <w:spacing w:line="360" w:lineRule="auto"/>
        <w:ind w:firstLine="420" w:firstLineChars="200"/>
        <w:rPr>
          <w:rFonts w:hint="eastAsia" w:ascii="宋体" w:hAnsi="宋体" w:cs="宋体"/>
          <w:color w:val="auto"/>
        </w:rPr>
      </w:pPr>
      <w:r>
        <w:rPr>
          <w:rFonts w:hint="eastAsia" w:ascii="宋体" w:hAnsi="宋体" w:cs="宋体"/>
          <w:color w:val="auto"/>
        </w:rPr>
        <w:t>参加过采购项目前期咨询论证的专家，不得参加该采购项目的评审活动。</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27.评标的依据</w:t>
      </w:r>
    </w:p>
    <w:p>
      <w:pPr>
        <w:spacing w:line="360" w:lineRule="auto"/>
        <w:ind w:firstLine="420" w:firstLineChars="200"/>
        <w:rPr>
          <w:rFonts w:hint="eastAsia" w:ascii="宋体" w:hAnsi="宋体" w:cs="宋体"/>
          <w:color w:val="auto"/>
        </w:rPr>
      </w:pPr>
      <w:r>
        <w:rPr>
          <w:rFonts w:hint="eastAsia" w:ascii="宋体" w:hAnsi="宋体" w:cs="宋体"/>
          <w:color w:val="auto"/>
        </w:rPr>
        <w:t>评标委员会以招标文件为依据对投标文件进行评审，“第四章 评标方法和评标标准”没有规定的方法、评审因素和标准，不作为评标依据。</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28.评标原则</w:t>
      </w:r>
    </w:p>
    <w:p>
      <w:pPr>
        <w:spacing w:line="360" w:lineRule="auto"/>
        <w:ind w:firstLine="420" w:firstLineChars="200"/>
        <w:rPr>
          <w:rFonts w:hint="eastAsia" w:ascii="宋体" w:hAnsi="宋体" w:cs="宋体"/>
          <w:color w:val="auto"/>
        </w:rPr>
      </w:pPr>
      <w:r>
        <w:rPr>
          <w:rFonts w:hint="eastAsia" w:ascii="宋体" w:hAnsi="宋体" w:cs="宋体"/>
          <w:color w:val="auto"/>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pPr>
        <w:spacing w:line="360" w:lineRule="auto"/>
        <w:ind w:firstLine="420" w:firstLineChars="200"/>
        <w:rPr>
          <w:rFonts w:hint="eastAsia" w:ascii="宋体" w:hAnsi="宋体" w:cs="宋体"/>
          <w:color w:val="auto"/>
        </w:rPr>
      </w:pPr>
      <w:r>
        <w:rPr>
          <w:rFonts w:hint="eastAsia" w:ascii="宋体" w:hAnsi="宋体" w:cs="宋体"/>
          <w:color w:val="auto"/>
        </w:rPr>
        <w:t>28.2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pPr>
        <w:spacing w:line="360" w:lineRule="auto"/>
        <w:ind w:firstLine="420" w:firstLineChars="200"/>
        <w:rPr>
          <w:rFonts w:hint="eastAsia" w:ascii="宋体" w:hAnsi="宋体" w:cs="宋体"/>
          <w:color w:val="auto"/>
        </w:rPr>
      </w:pPr>
      <w:r>
        <w:rPr>
          <w:rFonts w:hint="eastAsia" w:ascii="宋体" w:hAnsi="宋体" w:cs="宋体"/>
          <w:color w:val="auto"/>
        </w:rPr>
        <w:t>28.3评标过程的监控。本项目电子评标过程实行网上留痕、全程录音、录像监控，投标人在评标过程中所进行的试图影响评标结果的不公正活动，可能导致其投标作无效处理。</w:t>
      </w:r>
    </w:p>
    <w:p>
      <w:pPr>
        <w:pStyle w:val="17"/>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4"/>
        </w:rPr>
        <w:t>28.4</w:t>
      </w:r>
      <w:r>
        <w:rPr>
          <w:rFonts w:hint="eastAsia" w:ascii="宋体" w:hAnsi="宋体" w:cs="宋体"/>
          <w:color w:val="auto"/>
          <w:sz w:val="21"/>
          <w:szCs w:val="2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29.评标方法和评标标准</w:t>
      </w:r>
    </w:p>
    <w:p>
      <w:pPr>
        <w:spacing w:line="360" w:lineRule="auto"/>
        <w:ind w:firstLine="420" w:firstLineChars="200"/>
        <w:rPr>
          <w:rFonts w:hint="eastAsia" w:ascii="宋体" w:hAnsi="宋体" w:cs="宋体"/>
          <w:color w:val="auto"/>
        </w:rPr>
      </w:pPr>
      <w:r>
        <w:rPr>
          <w:rFonts w:hint="eastAsia" w:ascii="宋体" w:hAnsi="宋体" w:cs="宋体"/>
          <w:color w:val="auto"/>
        </w:rPr>
        <w:t>29.1本项目的评标方法详见“投标人须知前附表”。</w:t>
      </w:r>
    </w:p>
    <w:p>
      <w:pPr>
        <w:spacing w:line="360" w:lineRule="auto"/>
        <w:ind w:firstLine="420" w:firstLineChars="200"/>
        <w:rPr>
          <w:rFonts w:hint="eastAsia" w:ascii="宋体" w:hAnsi="宋体" w:cs="宋体"/>
          <w:color w:val="auto"/>
        </w:rPr>
      </w:pPr>
      <w:r>
        <w:rPr>
          <w:rFonts w:hint="eastAsia" w:ascii="宋体" w:hAnsi="宋体" w:cs="宋体"/>
          <w:color w:val="auto"/>
        </w:rPr>
        <w:t>29.2 评标委员会按照</w:t>
      </w:r>
      <w:r>
        <w:rPr>
          <w:rFonts w:hint="eastAsia" w:ascii="宋体" w:hAnsi="宋体" w:cs="宋体"/>
          <w:b/>
          <w:color w:val="auto"/>
        </w:rPr>
        <w:t>“第四章 评标方法和评标标准”</w:t>
      </w:r>
      <w:r>
        <w:rPr>
          <w:rFonts w:hint="eastAsia" w:ascii="宋体" w:hAnsi="宋体" w:cs="宋体"/>
          <w:color w:val="auto"/>
        </w:rPr>
        <w:t>规定的方法、评审因素、标准和程序对投标文件进行评审。</w:t>
      </w:r>
    </w:p>
    <w:p>
      <w:pPr>
        <w:spacing w:line="360" w:lineRule="auto"/>
        <w:ind w:firstLine="420" w:firstLineChars="200"/>
        <w:rPr>
          <w:rFonts w:hint="eastAsia" w:ascii="宋体" w:hAnsi="宋体" w:cs="宋体"/>
          <w:color w:val="auto"/>
        </w:rPr>
      </w:pPr>
      <w:r>
        <w:rPr>
          <w:rFonts w:hint="eastAsia" w:ascii="宋体" w:hAnsi="宋体" w:cs="宋体"/>
          <w:color w:val="auto"/>
        </w:rPr>
        <w:t>29.3 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（1）电子交易平台发生故障而无法登录访问的； </w:t>
      </w:r>
    </w:p>
    <w:p>
      <w:pPr>
        <w:spacing w:line="360" w:lineRule="auto"/>
        <w:ind w:firstLine="420" w:firstLineChars="200"/>
        <w:rPr>
          <w:rFonts w:hint="eastAsia" w:ascii="宋体" w:hAnsi="宋体" w:cs="宋体"/>
          <w:color w:val="auto"/>
        </w:rPr>
      </w:pPr>
      <w:r>
        <w:rPr>
          <w:rFonts w:hint="eastAsia" w:ascii="宋体" w:hAnsi="宋体" w:cs="宋体"/>
          <w:color w:val="auto"/>
        </w:rPr>
        <w:t>（2）电子交易平台应用或数据库出现错误，不能进行正常操作的；</w:t>
      </w:r>
    </w:p>
    <w:p>
      <w:pPr>
        <w:spacing w:line="360" w:lineRule="auto"/>
        <w:ind w:firstLine="420" w:firstLineChars="200"/>
        <w:rPr>
          <w:rFonts w:hint="eastAsia" w:ascii="宋体" w:hAnsi="宋体" w:cs="宋体"/>
          <w:color w:val="auto"/>
        </w:rPr>
      </w:pPr>
      <w:r>
        <w:rPr>
          <w:rFonts w:hint="eastAsia" w:ascii="宋体" w:hAnsi="宋体" w:cs="宋体"/>
          <w:color w:val="auto"/>
        </w:rPr>
        <w:t>（3）电子交易平台发现严重安全漏洞，有潜在泄密危险的；</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（4）病毒发作导致不能进行正常操作的； </w:t>
      </w:r>
    </w:p>
    <w:p>
      <w:pPr>
        <w:spacing w:line="360" w:lineRule="auto"/>
        <w:ind w:firstLine="420" w:firstLineChars="200"/>
        <w:rPr>
          <w:rFonts w:hint="eastAsia" w:ascii="宋体" w:hAnsi="宋体" w:cs="宋体"/>
          <w:color w:val="auto"/>
        </w:rPr>
      </w:pPr>
      <w:r>
        <w:rPr>
          <w:rFonts w:hint="eastAsia" w:ascii="宋体" w:hAnsi="宋体" w:cs="宋体"/>
          <w:color w:val="auto"/>
        </w:rPr>
        <w:t>（5）其他无法保证电子交易的公平、公正和安全的情况。</w:t>
      </w:r>
    </w:p>
    <w:p>
      <w:pPr>
        <w:spacing w:line="360" w:lineRule="auto"/>
        <w:ind w:firstLine="420" w:firstLineChars="200"/>
        <w:rPr>
          <w:rFonts w:hint="eastAsia" w:ascii="宋体" w:hAnsi="宋体" w:cs="宋体"/>
          <w:color w:val="auto"/>
        </w:rPr>
      </w:pPr>
      <w:r>
        <w:rPr>
          <w:rFonts w:hint="eastAsia" w:ascii="宋体" w:hAnsi="宋体" w:cs="宋体"/>
          <w:color w:val="auto"/>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pStyle w:val="14"/>
        <w:snapToGrid w:val="0"/>
        <w:spacing w:line="360" w:lineRule="auto"/>
        <w:ind w:firstLine="420" w:firstLineChars="200"/>
        <w:rPr>
          <w:rFonts w:hint="eastAsia" w:hAnsi="宋体" w:cs="宋体"/>
          <w:color w:val="auto"/>
        </w:rPr>
      </w:pPr>
    </w:p>
    <w:p>
      <w:pPr>
        <w:pStyle w:val="4"/>
        <w:keepNext w:val="0"/>
        <w:keepLines w:val="0"/>
        <w:spacing w:line="360" w:lineRule="auto"/>
        <w:jc w:val="center"/>
        <w:rPr>
          <w:rFonts w:hint="eastAsia" w:ascii="宋体" w:hAnsi="宋体" w:cs="宋体"/>
          <w:color w:val="auto"/>
        </w:rPr>
      </w:pPr>
      <w:bookmarkStart w:id="214" w:name="_Toc254970687"/>
      <w:bookmarkStart w:id="215" w:name="_Toc254970546"/>
      <w:bookmarkStart w:id="216" w:name="_Toc17138"/>
      <w:bookmarkStart w:id="217" w:name="_Toc6053"/>
      <w:bookmarkStart w:id="218" w:name="_Toc11609"/>
      <w:bookmarkStart w:id="219" w:name="_Toc20927"/>
      <w:bookmarkStart w:id="220" w:name="_Toc16461"/>
      <w:r>
        <w:rPr>
          <w:rFonts w:hint="eastAsia" w:ascii="宋体" w:hAnsi="宋体" w:cs="宋体"/>
          <w:color w:val="auto"/>
        </w:rPr>
        <w:t>七、</w:t>
      </w:r>
      <w:bookmarkEnd w:id="214"/>
      <w:bookmarkEnd w:id="215"/>
      <w:r>
        <w:rPr>
          <w:rFonts w:hint="eastAsia" w:ascii="宋体" w:hAnsi="宋体" w:cs="宋体"/>
          <w:color w:val="auto"/>
        </w:rPr>
        <w:t>中标和合同</w:t>
      </w:r>
      <w:bookmarkEnd w:id="216"/>
      <w:bookmarkEnd w:id="217"/>
      <w:bookmarkEnd w:id="218"/>
      <w:bookmarkEnd w:id="219"/>
      <w:bookmarkEnd w:id="220"/>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30.确定中标人</w:t>
      </w:r>
    </w:p>
    <w:p>
      <w:pPr>
        <w:spacing w:line="360" w:lineRule="auto"/>
        <w:ind w:firstLine="420" w:firstLineChars="200"/>
        <w:rPr>
          <w:rFonts w:hint="eastAsia" w:ascii="宋体" w:hAnsi="宋体" w:cs="宋体"/>
          <w:b/>
          <w:bCs/>
          <w:color w:val="auto"/>
          <w:szCs w:val="21"/>
        </w:rPr>
      </w:pPr>
      <w:r>
        <w:rPr>
          <w:rFonts w:hint="eastAsia" w:ascii="宋体" w:hAnsi="宋体" w:cs="宋体"/>
          <w:color w:val="auto"/>
          <w:szCs w:val="21"/>
        </w:rPr>
        <w:t>30.1</w:t>
      </w:r>
      <w:r>
        <w:rPr>
          <w:rFonts w:hint="eastAsia" w:ascii="宋体" w:hAnsi="宋体" w:cs="宋体"/>
          <w:color w:val="auto"/>
        </w:rPr>
        <w:t>采购人在收到评标委员会出具的评标报告之日起5个工作日内在评标报告推荐的中标候选人名单中按顺序确定中标人。采购人也可以事先授权评标委员会直接确定中标人。</w:t>
      </w:r>
      <w:r>
        <w:rPr>
          <w:rFonts w:ascii="宋体" w:hAnsi="宋体" w:cs="宋体"/>
          <w:color w:val="auto"/>
        </w:rPr>
        <w:t>中标候选人并列的，由采购人或者采购人委托评标委员会按照</w:t>
      </w:r>
      <w:r>
        <w:rPr>
          <w:rFonts w:hint="eastAsia"/>
          <w:color w:val="auto"/>
        </w:rPr>
        <w:t>“投标人须知前附表”</w:t>
      </w:r>
      <w:r>
        <w:rPr>
          <w:rFonts w:ascii="宋体" w:hAnsi="宋体" w:cs="宋体"/>
          <w:color w:val="auto"/>
        </w:rPr>
        <w:t>规定的方式确定中标人；招标文件未规定的，采取随机抽取的方式确定。</w:t>
      </w:r>
      <w:r>
        <w:rPr>
          <w:rFonts w:hint="eastAsia" w:ascii="宋体" w:hAnsi="宋体" w:cs="宋体"/>
          <w:b/>
          <w:bCs/>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30.3中标人无正当理由拒</w:t>
      </w:r>
      <w:bookmarkStart w:id="221" w:name="OLE_LINK7"/>
      <w:r>
        <w:rPr>
          <w:rFonts w:hint="eastAsia" w:ascii="宋体" w:hAnsi="宋体" w:cs="宋体"/>
          <w:color w:val="auto"/>
          <w:szCs w:val="21"/>
        </w:rPr>
        <w:t>签合同</w:t>
      </w:r>
      <w:bookmarkEnd w:id="221"/>
      <w:r>
        <w:rPr>
          <w:rFonts w:hint="eastAsia" w:ascii="宋体" w:hAnsi="宋体" w:cs="宋体"/>
          <w:color w:val="auto"/>
          <w:szCs w:val="21"/>
        </w:rPr>
        <w:t>的，根据《中华人民共和国政府采购法》</w:t>
      </w:r>
      <w:r>
        <w:rPr>
          <w:rFonts w:ascii="宋体" w:hAnsi="宋体" w:cs="宋体"/>
          <w:color w:val="auto"/>
          <w:szCs w:val="21"/>
        </w:rPr>
        <w:t>第七十七条第一款</w:t>
      </w:r>
      <w:r>
        <w:rPr>
          <w:rFonts w:hint="eastAsia" w:ascii="宋体" w:hAnsi="宋体" w:cs="宋体"/>
          <w:color w:val="auto"/>
          <w:szCs w:val="21"/>
        </w:rPr>
        <w:t>规定处理。</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30.4根据《</w:t>
      </w:r>
      <w:bookmarkStart w:id="222" w:name="OLE_LINK8"/>
      <w:r>
        <w:rPr>
          <w:rFonts w:hint="eastAsia" w:ascii="宋体" w:hAnsi="宋体" w:cs="宋体"/>
          <w:color w:val="auto"/>
          <w:szCs w:val="21"/>
        </w:rPr>
        <w:t>中华人民共和国民法典</w:t>
      </w:r>
      <w:bookmarkEnd w:id="222"/>
      <w:r>
        <w:rPr>
          <w:rFonts w:hint="eastAsia" w:ascii="宋体" w:hAnsi="宋体" w:cs="宋体"/>
          <w:color w:val="auto"/>
          <w:szCs w:val="21"/>
        </w:rPr>
        <w:t>》第</w:t>
      </w:r>
      <w:bookmarkStart w:id="223" w:name="OLE_LINK9"/>
      <w:r>
        <w:rPr>
          <w:rFonts w:hint="eastAsia" w:ascii="宋体" w:hAnsi="宋体" w:cs="宋体"/>
          <w:color w:val="auto"/>
          <w:szCs w:val="21"/>
        </w:rPr>
        <w:t>五百六十三</w:t>
      </w:r>
      <w:bookmarkEnd w:id="223"/>
      <w:r>
        <w:rPr>
          <w:rFonts w:hint="eastAsia" w:ascii="宋体" w:hAnsi="宋体" w:cs="宋体"/>
          <w:color w:val="auto"/>
          <w:szCs w:val="21"/>
        </w:rPr>
        <w:t>条，因不可抗力致使不能实现合同目的的，当事人可以解除合同。</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31. 结果公告</w:t>
      </w:r>
    </w:p>
    <w:p>
      <w:pPr>
        <w:spacing w:line="360" w:lineRule="auto"/>
        <w:ind w:firstLine="420" w:firstLineChars="200"/>
        <w:rPr>
          <w:rFonts w:hint="eastAsia" w:ascii="宋体" w:hAnsi="宋体" w:cs="宋体"/>
          <w:color w:val="auto"/>
        </w:rPr>
      </w:pPr>
      <w:r>
        <w:rPr>
          <w:rFonts w:hint="eastAsia" w:ascii="宋体" w:hAnsi="宋体" w:cs="宋体"/>
          <w:color w:val="auto"/>
          <w:szCs w:val="21"/>
        </w:rPr>
        <w:t>31.1</w:t>
      </w:r>
      <w:r>
        <w:rPr>
          <w:rFonts w:hint="eastAsia" w:ascii="宋体" w:hAnsi="宋体" w:cs="宋体"/>
          <w:color w:val="auto"/>
        </w:rPr>
        <w:t>在中标人确定之日起2个工作日内，由采购代理机构</w:t>
      </w:r>
      <w:r>
        <w:rPr>
          <w:rFonts w:hint="eastAsia" w:ascii="宋体" w:hAnsi="宋体" w:cs="宋体"/>
          <w:b/>
          <w:color w:val="auto"/>
          <w:szCs w:val="21"/>
        </w:rPr>
        <w:t>在招标公告发布媒体上</w:t>
      </w:r>
      <w:r>
        <w:rPr>
          <w:rFonts w:hint="eastAsia" w:ascii="宋体" w:hAnsi="宋体" w:cs="宋体"/>
          <w:color w:val="auto"/>
        </w:rPr>
        <w:t>发布中标结果公告，中标结果公告期限为1个工作日，发布中标结果公告的同时向中标人发出中标通知书。</w:t>
      </w:r>
      <w:r>
        <w:rPr>
          <w:rFonts w:hint="eastAsia" w:ascii="宋体" w:hAnsi="宋体" w:cs="宋体"/>
          <w:b/>
          <w:color w:val="auto"/>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依法确定排名第二的中标候选人为中标人。</w:t>
      </w:r>
      <w:r>
        <w:rPr>
          <w:rFonts w:hint="eastAsia" w:ascii="宋体" w:hAnsi="宋体" w:cs="宋体"/>
          <w:color w:val="auto"/>
          <w:szCs w:val="21"/>
        </w:rPr>
        <w:t>排名第二的中标候选人因前款规定的同样原因被取消中标资格的，采购人可以依法确定排名第三的中标候选人为中标人，以此类推。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以上信息查询记录及相关证据与采购文件一并保存。</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31.2中小企业在政府采购活动过程中，请根据企业的真实情况出具《中小企业声明函》。依法享受中小企业扶持政策的，采购人或者采购代理机构在公告中标结果时，同时公告其《中小企业声明函》，接受社会监督。</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32.发出中标通知书</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32.1在发布中标公告的同时，采购代理机构向中标人通过广西政府采购云平台发出电子中标通知书。</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32.2对未通过资格审查的投标人，采购人或采购代理机构应当告知其未通过的原因；采用综合评分办法评审的，采购人或采购机构还应当告知未中标人本人的评审得分与排序。</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33. 无义务解释未中标原因</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采购代理机构无义务向未中标的投标人解释未中标原因和退还投标文件。</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34.合同授予标准</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合同将授予被确定实质上响应招标文件要求，具备履行合同能力的中标人（招标文件另有约定多名中标人的除外）。</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35.履约保证金（如有）</w:t>
      </w:r>
    </w:p>
    <w:p>
      <w:pPr>
        <w:pStyle w:val="6"/>
        <w:keepNext w:val="0"/>
        <w:keepLines w:val="0"/>
        <w:spacing w:before="0" w:after="0" w:line="360" w:lineRule="auto"/>
        <w:ind w:firstLine="315" w:firstLineChars="150"/>
        <w:rPr>
          <w:rFonts w:hint="eastAsia" w:ascii="宋体" w:hAnsi="宋体" w:cs="宋体"/>
          <w:b w:val="0"/>
          <w:color w:val="auto"/>
          <w:sz w:val="21"/>
          <w:szCs w:val="21"/>
        </w:rPr>
      </w:pPr>
      <w:bookmarkStart w:id="224" w:name="_39.1中标人须于签订合同前按本须知前附表规定的金额转账或电汇到指定账"/>
      <w:bookmarkEnd w:id="224"/>
      <w:r>
        <w:rPr>
          <w:rFonts w:hint="eastAsia" w:ascii="宋体" w:hAnsi="宋体" w:cs="宋体"/>
          <w:b w:val="0"/>
          <w:color w:val="auto"/>
          <w:sz w:val="21"/>
          <w:szCs w:val="21"/>
        </w:rPr>
        <w:t xml:space="preserve"> 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“投标人须知前附表”。中标人未按规定提交履约保证金的，视为拒绝与采购人签订合同，采购人可以按照评标报告推荐的中标候选人名单排序，依法确定下一候选人为中标人，也可以重新开展政府采购活动。</w:t>
      </w:r>
    </w:p>
    <w:p>
      <w:pPr>
        <w:pStyle w:val="6"/>
        <w:keepNext w:val="0"/>
        <w:keepLines w:val="0"/>
        <w:spacing w:before="0" w:after="0" w:line="360" w:lineRule="auto"/>
        <w:ind w:firstLine="315" w:firstLineChars="150"/>
        <w:rPr>
          <w:rFonts w:hint="eastAsia" w:ascii="宋体" w:hAnsi="宋体" w:cs="宋体"/>
          <w:b w:val="0"/>
          <w:color w:val="auto"/>
          <w:sz w:val="21"/>
          <w:szCs w:val="21"/>
        </w:rPr>
      </w:pPr>
      <w:r>
        <w:rPr>
          <w:rFonts w:hint="eastAsia" w:ascii="宋体" w:hAnsi="宋体" w:cs="宋体"/>
          <w:b w:val="0"/>
          <w:color w:val="auto"/>
          <w:sz w:val="21"/>
          <w:szCs w:val="21"/>
        </w:rPr>
        <w:t xml:space="preserve"> 35.2签订合同后，如中标人不按双方签订的合同规定履约，则没收其全部履约保证金，履约保证金不足以赔偿损失的，按实际损失赔偿。</w:t>
      </w:r>
    </w:p>
    <w:p>
      <w:pPr>
        <w:pStyle w:val="6"/>
        <w:keepNext w:val="0"/>
        <w:keepLines w:val="0"/>
        <w:spacing w:before="0" w:after="0" w:line="360" w:lineRule="auto"/>
        <w:ind w:firstLine="420" w:firstLineChars="200"/>
        <w:rPr>
          <w:rFonts w:hint="eastAsia" w:ascii="宋体" w:hAnsi="宋体" w:cs="宋体"/>
          <w:b w:val="0"/>
          <w:color w:val="auto"/>
          <w:sz w:val="21"/>
          <w:szCs w:val="21"/>
        </w:rPr>
      </w:pPr>
      <w:r>
        <w:rPr>
          <w:rFonts w:hint="eastAsia" w:ascii="宋体" w:hAnsi="宋体" w:cs="宋体"/>
          <w:b w:val="0"/>
          <w:color w:val="auto"/>
          <w:sz w:val="21"/>
          <w:szCs w:val="21"/>
        </w:rPr>
        <w:t>35.3在履约保证金退还日期前，若中标人的开户名称、开户银行、账号有变动的，请以书面形式通知履约保证金收取单位，否则由此产生的后果由中标人自行承担。</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36.签订合同</w:t>
      </w:r>
    </w:p>
    <w:p>
      <w:pPr>
        <w:spacing w:line="360" w:lineRule="auto"/>
        <w:ind w:firstLine="420" w:firstLineChars="200"/>
        <w:rPr>
          <w:rFonts w:hint="eastAsia" w:ascii="宋体" w:hAnsi="宋体" w:cs="宋体"/>
          <w:color w:val="auto"/>
          <w:szCs w:val="21"/>
        </w:rPr>
      </w:pPr>
      <w:bookmarkStart w:id="225" w:name="_40.1投标人接到中标通知书后，按须知前附表规定向采购人出示相关资格证"/>
      <w:bookmarkEnd w:id="225"/>
      <w:r>
        <w:rPr>
          <w:rFonts w:hint="eastAsia" w:ascii="宋体" w:hAnsi="宋体" w:cs="宋体"/>
          <w:color w:val="auto"/>
          <w:szCs w:val="21"/>
        </w:rPr>
        <w:t>36.1中标人在中标通知书发出之日起，按规定的日期、时间、地点，由法定代表人或其授权代表与采购人代表签订采购合同。如中标人为联合体的，由联合体成员各方法定代表人或其授权代表与采购人代表签订合同，签订携带资料详见“投标人须知前附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zh-CN"/>
        </w:rPr>
        <w:t>36.2采购合同由采购人与中标人根据招标文件、投标文件等内容签订。</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36.3签订合同时间：按中标通知书规定的时间与采购人签订合同。</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36.4中标人拒绝与采购人签订合同的，采购人可以按照评审报告推荐的中标候选人名单排序，依法确定下一候选人为中标人，也可以重新开展政府采购活动。如采购人无正当理由拒签合同的，给中标人造成损失的，中标人可追究采购人承担相应的法律责任。</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36.6采购人或中标人不得单方面向合同另一方提出任何招标文件没有约定的条件或不合理的要求，作为签订合同的条件；也不得协商另行订立背离招标文件和合同实质性内容的协议。</w:t>
      </w:r>
    </w:p>
    <w:p>
      <w:pPr>
        <w:spacing w:line="360" w:lineRule="auto"/>
        <w:ind w:firstLine="420" w:firstLineChars="200"/>
        <w:rPr>
          <w:rFonts w:hint="eastAsia" w:ascii="宋体" w:hAnsi="宋体" w:cs="宋体"/>
          <w:b/>
          <w:color w:val="auto"/>
          <w:szCs w:val="21"/>
        </w:rPr>
      </w:pPr>
      <w:r>
        <w:rPr>
          <w:rFonts w:hint="eastAsia" w:ascii="宋体" w:hAnsi="宋体" w:cs="宋体"/>
          <w:color w:val="auto"/>
          <w:szCs w:val="21"/>
        </w:rPr>
        <w:t>36.7如签订合同并生效后，中标人无故拒绝或延期，除按照合同条款处理外，将承担相应的法律责任。</w:t>
      </w:r>
    </w:p>
    <w:p>
      <w:pPr>
        <w:spacing w:line="360" w:lineRule="auto"/>
        <w:ind w:firstLine="480" w:firstLineChars="200"/>
        <w:rPr>
          <w:rFonts w:hint="eastAsia" w:ascii="宋体" w:hAnsi="宋体" w:cs="宋体"/>
          <w:color w:val="auto"/>
          <w:sz w:val="24"/>
        </w:rPr>
      </w:pPr>
      <w:bookmarkStart w:id="226" w:name="_41.政府采购合同公告"/>
      <w:bookmarkEnd w:id="226"/>
      <w:r>
        <w:rPr>
          <w:rFonts w:hint="eastAsia" w:ascii="宋体" w:hAnsi="宋体" w:cs="宋体"/>
          <w:color w:val="auto"/>
          <w:sz w:val="24"/>
        </w:rPr>
        <w:t>37.政府采购合同公告</w:t>
      </w:r>
    </w:p>
    <w:p>
      <w:pPr>
        <w:spacing w:line="360" w:lineRule="auto"/>
        <w:ind w:firstLine="420" w:firstLineChars="200"/>
        <w:rPr>
          <w:rFonts w:hint="eastAsia" w:ascii="宋体" w:hAnsi="宋体" w:cs="宋体"/>
          <w:color w:val="auto"/>
        </w:rPr>
      </w:pPr>
      <w:r>
        <w:rPr>
          <w:rFonts w:hint="eastAsia" w:cs="宋体"/>
          <w:color w:val="auto"/>
          <w:kern w:val="1"/>
        </w:rPr>
        <w:t>采购人应当自政府采购合同签订之日起2个工作日内，将政府采购合同</w:t>
      </w:r>
      <w:r>
        <w:rPr>
          <w:rFonts w:hint="eastAsia" w:ascii="宋体" w:hAnsi="宋体" w:cs="宋体"/>
          <w:bCs/>
          <w:color w:val="auto"/>
          <w:kern w:val="1"/>
        </w:rPr>
        <w:t>在</w:t>
      </w:r>
      <w:r>
        <w:rPr>
          <w:rFonts w:hint="eastAsia"/>
          <w:color w:val="auto"/>
        </w:rPr>
        <w:t>省级以上人民政府财政部门指定的</w:t>
      </w:r>
      <w:r>
        <w:rPr>
          <w:rFonts w:hint="eastAsia" w:ascii="宋体" w:hAnsi="宋体" w:cs="宋体"/>
          <w:bCs/>
          <w:color w:val="auto"/>
          <w:kern w:val="1"/>
        </w:rPr>
        <w:t>媒体上</w:t>
      </w:r>
      <w:r>
        <w:rPr>
          <w:rFonts w:hint="eastAsia" w:cs="宋体"/>
          <w:color w:val="auto"/>
          <w:kern w:val="1"/>
        </w:rPr>
        <w:t>公告，</w:t>
      </w:r>
      <w:r>
        <w:rPr>
          <w:rFonts w:cs="宋体"/>
          <w:color w:val="auto"/>
          <w:kern w:val="1"/>
        </w:rPr>
        <w:t>但政府采购合同中涉及国家秘密、商业秘密的内容除外。</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38. 询问、质疑和投诉</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38.1询问</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38.1.1供应商在开标前对政府采购活动事项有疑问的，可以向采购人或采购代理机构项目负责人提出询问。</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38.1.2采购人或采购人委托的采购代理机构自受理询问之日起3个工作日内对供应商依法提出的询问作出答复，</w:t>
      </w:r>
      <w:r>
        <w:rPr>
          <w:rFonts w:hint="eastAsia" w:ascii="宋体" w:hAnsi="宋体" w:cs="宋体"/>
          <w:color w:val="auto"/>
        </w:rPr>
        <w:t>但答复内容不得涉及商业秘密</w:t>
      </w:r>
      <w:r>
        <w:rPr>
          <w:rFonts w:hint="eastAsia" w:ascii="宋体" w:hAnsi="宋体" w:cs="宋体"/>
          <w:bCs/>
          <w:color w:val="auto"/>
          <w:szCs w:val="21"/>
        </w:rPr>
        <w:t>。</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38.1.3 询问事项可能影响中标结果的，采购人应当暂停签订合同，已经签订合同的，应当中止履行合同。</w:t>
      </w:r>
    </w:p>
    <w:p>
      <w:pPr>
        <w:spacing w:line="360" w:lineRule="auto"/>
        <w:ind w:firstLine="422" w:firstLineChars="200"/>
        <w:rPr>
          <w:rFonts w:hint="eastAsia" w:ascii="宋体" w:hAnsi="宋体" w:cs="宋体"/>
          <w:color w:val="auto"/>
          <w:szCs w:val="21"/>
        </w:rPr>
      </w:pPr>
      <w:r>
        <w:rPr>
          <w:rFonts w:hint="eastAsia" w:ascii="宋体" w:hAnsi="宋体" w:cs="宋体"/>
          <w:b/>
          <w:color w:val="auto"/>
          <w:szCs w:val="21"/>
        </w:rPr>
        <w:t xml:space="preserve"> </w:t>
      </w:r>
      <w:r>
        <w:rPr>
          <w:rFonts w:hint="eastAsia" w:ascii="宋体" w:hAnsi="宋体" w:cs="宋体"/>
          <w:color w:val="auto"/>
          <w:szCs w:val="21"/>
        </w:rPr>
        <w:t>38.2质疑</w:t>
      </w:r>
    </w:p>
    <w:p>
      <w:pPr>
        <w:spacing w:line="360" w:lineRule="auto"/>
        <w:ind w:firstLine="420" w:firstLineChars="200"/>
        <w:rPr>
          <w:rFonts w:hint="eastAsia" w:ascii="宋体" w:hAnsi="宋体" w:cs="宋体"/>
          <w:b/>
          <w:color w:val="auto"/>
          <w:szCs w:val="21"/>
        </w:rPr>
      </w:pPr>
      <w:r>
        <w:rPr>
          <w:rFonts w:hint="eastAsia" w:ascii="宋体" w:hAnsi="宋体" w:cs="宋体"/>
          <w:bCs/>
          <w:color w:val="auto"/>
          <w:szCs w:val="21"/>
        </w:rPr>
        <w:t>38.2.1</w:t>
      </w:r>
      <w:r>
        <w:rPr>
          <w:rFonts w:hint="eastAsia" w:ascii="宋体" w:hAnsi="宋体" w:cs="宋体"/>
          <w:b/>
          <w:color w:val="auto"/>
          <w:szCs w:val="21"/>
        </w:rPr>
        <w:t xml:space="preserve">供应商认为招标文件、采购过程或者中标结果使自己的合法权益受到损害的，必须在知道或者应知其权益受到损害之日起7个工作日内，以书面形式向采购人或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pPr>
        <w:spacing w:line="360" w:lineRule="auto"/>
        <w:ind w:firstLine="420" w:firstLineChars="200"/>
        <w:rPr>
          <w:rFonts w:hint="eastAsia" w:ascii="宋体" w:hAnsi="宋体" w:cs="宋体"/>
          <w:bCs/>
          <w:color w:val="auto"/>
        </w:rPr>
      </w:pPr>
      <w:r>
        <w:rPr>
          <w:rFonts w:hint="eastAsia" w:ascii="宋体" w:hAnsi="宋体" w:cs="宋体"/>
          <w:bCs/>
          <w:color w:val="auto"/>
        </w:rPr>
        <w:t>（1）潜在供应商依法获取招标文件后，认为采购文件使自己的权益受到损害的，应当在招标文件公告期限届满之日起7个工作日内提出质疑。</w:t>
      </w:r>
    </w:p>
    <w:p>
      <w:pPr>
        <w:spacing w:line="360" w:lineRule="auto"/>
        <w:ind w:firstLine="420" w:firstLineChars="200"/>
        <w:rPr>
          <w:rFonts w:hint="eastAsia" w:ascii="宋体" w:hAnsi="宋体" w:cs="宋体"/>
          <w:bCs/>
          <w:color w:val="auto"/>
        </w:rPr>
      </w:pPr>
      <w:r>
        <w:rPr>
          <w:rFonts w:hint="eastAsia" w:ascii="宋体" w:hAnsi="宋体" w:cs="宋体"/>
          <w:bCs/>
          <w:color w:val="auto"/>
        </w:rPr>
        <w:t>（2）供应商认为采购过程使自己的权益受到损害的，应当在各采购程序环节结束之日起7个工作日内提出质疑。对采购过程中资格审查、符合性审查等具体评审情况的质疑应向采购人或采购代理机构提出，由采购人或采购代理机构受理并负责答复；对采购过程中采购执行程序的质疑由采购代理机构受理并负责答复。</w:t>
      </w:r>
    </w:p>
    <w:p>
      <w:pPr>
        <w:spacing w:line="360" w:lineRule="auto"/>
        <w:ind w:firstLine="420" w:firstLineChars="200"/>
        <w:rPr>
          <w:rFonts w:hint="eastAsia" w:ascii="宋体" w:hAnsi="宋体" w:cs="宋体"/>
          <w:bCs/>
          <w:color w:val="auto"/>
        </w:rPr>
      </w:pPr>
      <w:r>
        <w:rPr>
          <w:rFonts w:hint="eastAsia" w:ascii="宋体" w:hAnsi="宋体" w:cs="宋体"/>
          <w:bCs/>
          <w:color w:val="auto"/>
        </w:rPr>
        <w:t>（3）供应商认为中标或者成交结果使自己的权益受到损害的，应当在中标或者成交结果公告期限届满之日起7个工作日内提出质疑，由采购人受理并负责答复。</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38.2.2供应商质疑实行实名制，其质疑应当有具体的质疑事项及事实根据，质疑应当坚持依法依规、诚实信用原则，不得进行虚假、恶意质疑。</w:t>
      </w:r>
    </w:p>
    <w:p>
      <w:pPr>
        <w:spacing w:line="360" w:lineRule="auto"/>
        <w:ind w:firstLine="420" w:firstLineChars="200"/>
        <w:rPr>
          <w:rFonts w:hint="eastAsia" w:ascii="宋体" w:hAnsi="宋体" w:cs="宋体"/>
          <w:bCs/>
          <w:color w:val="auto"/>
        </w:rPr>
      </w:pPr>
      <w:r>
        <w:rPr>
          <w:rFonts w:hint="eastAsia" w:ascii="宋体" w:hAnsi="宋体" w:cs="宋体"/>
          <w:bCs/>
          <w:color w:val="auto"/>
          <w:szCs w:val="21"/>
        </w:rPr>
        <w:t>38.2.3</w:t>
      </w:r>
      <w:r>
        <w:rPr>
          <w:rFonts w:hint="eastAsia" w:ascii="宋体" w:hAnsi="宋体" w:cs="宋体"/>
          <w:bCs/>
          <w:color w:val="auto"/>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rPr>
        <w:t>。</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38.2.4 质疑供应商提起质疑应当符合下列条件：</w:t>
      </w:r>
    </w:p>
    <w:p>
      <w:pPr>
        <w:spacing w:line="360" w:lineRule="auto"/>
        <w:ind w:firstLine="420" w:firstLineChars="200"/>
        <w:rPr>
          <w:rFonts w:hint="eastAsia" w:ascii="宋体" w:hAnsi="宋体" w:cs="宋体"/>
          <w:bCs/>
          <w:color w:val="auto"/>
        </w:rPr>
      </w:pPr>
      <w:r>
        <w:rPr>
          <w:rFonts w:hint="eastAsia" w:ascii="宋体" w:hAnsi="宋体" w:cs="宋体"/>
          <w:bCs/>
          <w:color w:val="auto"/>
        </w:rPr>
        <w:t>（1）质疑供应商是参与所质疑</w:t>
      </w:r>
      <w:r>
        <w:rPr>
          <w:rFonts w:hint="eastAsia" w:ascii="宋体" w:hAnsi="宋体" w:cs="宋体"/>
          <w:bCs/>
          <w:color w:val="auto"/>
          <w:szCs w:val="21"/>
        </w:rPr>
        <w:t>项目</w:t>
      </w:r>
      <w:r>
        <w:rPr>
          <w:rFonts w:hint="eastAsia" w:ascii="宋体" w:hAnsi="宋体" w:cs="宋体"/>
          <w:bCs/>
          <w:color w:val="auto"/>
        </w:rPr>
        <w:t>采购活动的供应商（潜在供应商已依法获取可质疑的采购文件的，可以对该采购文件质疑）；</w:t>
      </w:r>
    </w:p>
    <w:p>
      <w:pPr>
        <w:spacing w:line="360" w:lineRule="auto"/>
        <w:ind w:firstLine="420" w:firstLineChars="200"/>
        <w:rPr>
          <w:rFonts w:hint="eastAsia" w:ascii="宋体" w:hAnsi="宋体" w:cs="宋体"/>
          <w:bCs/>
          <w:color w:val="auto"/>
        </w:rPr>
      </w:pPr>
      <w:r>
        <w:rPr>
          <w:rFonts w:hint="eastAsia" w:ascii="宋体" w:hAnsi="宋体" w:cs="宋体"/>
          <w:bCs/>
          <w:color w:val="auto"/>
        </w:rPr>
        <w:t>（2）质疑函内容符合本章第38.2.5项的规定；</w:t>
      </w:r>
    </w:p>
    <w:p>
      <w:pPr>
        <w:spacing w:line="360" w:lineRule="auto"/>
        <w:ind w:firstLine="420" w:firstLineChars="200"/>
        <w:rPr>
          <w:rFonts w:hint="eastAsia" w:ascii="宋体" w:hAnsi="宋体" w:cs="宋体"/>
          <w:bCs/>
          <w:color w:val="auto"/>
        </w:rPr>
      </w:pPr>
      <w:r>
        <w:rPr>
          <w:rFonts w:hint="eastAsia" w:ascii="宋体" w:hAnsi="宋体" w:cs="宋体"/>
          <w:bCs/>
          <w:color w:val="auto"/>
        </w:rPr>
        <w:t>（3）在质疑有效期限内提起质疑；</w:t>
      </w:r>
    </w:p>
    <w:p>
      <w:pPr>
        <w:spacing w:line="360" w:lineRule="auto"/>
        <w:ind w:firstLine="420" w:firstLineChars="200"/>
        <w:rPr>
          <w:rFonts w:hint="eastAsia" w:ascii="宋体" w:hAnsi="宋体" w:cs="宋体"/>
          <w:bCs/>
          <w:color w:val="auto"/>
        </w:rPr>
      </w:pPr>
      <w:r>
        <w:rPr>
          <w:rFonts w:hint="eastAsia" w:ascii="宋体" w:hAnsi="宋体" w:cs="宋体"/>
          <w:bCs/>
          <w:color w:val="auto"/>
        </w:rPr>
        <w:t xml:space="preserve">（4）属于所质疑的采购人或采购人委托的采购代理机构组织的采购活动； </w:t>
      </w:r>
    </w:p>
    <w:p>
      <w:pPr>
        <w:spacing w:line="360" w:lineRule="auto"/>
        <w:ind w:firstLine="420" w:firstLineChars="200"/>
        <w:rPr>
          <w:rFonts w:hint="eastAsia" w:ascii="宋体" w:hAnsi="宋体" w:cs="宋体"/>
          <w:bCs/>
          <w:color w:val="auto"/>
        </w:rPr>
      </w:pPr>
      <w:r>
        <w:rPr>
          <w:rFonts w:hint="eastAsia" w:ascii="宋体" w:hAnsi="宋体" w:cs="宋体"/>
          <w:bCs/>
          <w:color w:val="auto"/>
        </w:rPr>
        <w:t>（5）供应商对同一采购程序环节的质疑应当在质疑有效期内一次性提出；</w:t>
      </w:r>
    </w:p>
    <w:p>
      <w:pPr>
        <w:spacing w:line="360" w:lineRule="auto"/>
        <w:ind w:firstLine="420" w:firstLineChars="200"/>
        <w:rPr>
          <w:rFonts w:hint="eastAsia" w:ascii="宋体" w:hAnsi="宋体" w:cs="宋体"/>
          <w:bCs/>
          <w:color w:val="auto"/>
        </w:rPr>
      </w:pPr>
      <w:r>
        <w:rPr>
          <w:rFonts w:hint="eastAsia" w:ascii="宋体" w:hAnsi="宋体" w:cs="宋体"/>
          <w:bCs/>
          <w:color w:val="auto"/>
        </w:rPr>
        <w:t>（6）供应商提交质疑应当提交必要的证明材料，证明材料应以合法手段取得；</w:t>
      </w:r>
    </w:p>
    <w:p>
      <w:pPr>
        <w:spacing w:line="360" w:lineRule="auto"/>
        <w:ind w:firstLine="420" w:firstLineChars="200"/>
        <w:rPr>
          <w:rFonts w:hint="eastAsia" w:ascii="宋体" w:hAnsi="宋体" w:cs="宋体"/>
          <w:color w:val="auto"/>
        </w:rPr>
      </w:pPr>
      <w:r>
        <w:rPr>
          <w:rFonts w:hint="eastAsia" w:ascii="宋体" w:hAnsi="宋体" w:cs="宋体"/>
          <w:bCs/>
          <w:color w:val="auto"/>
        </w:rPr>
        <w:t>（7）财政部门规定的其他条件。</w:t>
      </w:r>
    </w:p>
    <w:p>
      <w:pPr>
        <w:spacing w:line="360" w:lineRule="auto"/>
        <w:ind w:firstLine="422" w:firstLineChars="200"/>
        <w:rPr>
          <w:rFonts w:hint="eastAsia" w:ascii="宋体" w:hAnsi="宋体" w:cs="宋体"/>
          <w:b/>
          <w:color w:val="auto"/>
          <w:szCs w:val="21"/>
        </w:rPr>
      </w:pPr>
      <w:bookmarkStart w:id="227" w:name="_9.2质疑、投诉应当采用书面形式，质疑函、投诉书均应明确阐述招标文件、"/>
      <w:bookmarkEnd w:id="227"/>
      <w:r>
        <w:rPr>
          <w:rFonts w:hint="eastAsia" w:ascii="宋体" w:hAnsi="宋体" w:cs="宋体"/>
          <w:b/>
          <w:bCs/>
          <w:color w:val="auto"/>
          <w:szCs w:val="21"/>
        </w:rPr>
        <w:t xml:space="preserve"> 38.2.5 </w:t>
      </w:r>
      <w:r>
        <w:rPr>
          <w:rFonts w:hint="eastAsia" w:ascii="宋体" w:hAnsi="宋体" w:cs="宋体"/>
          <w:b/>
          <w:color w:val="auto"/>
        </w:rPr>
        <w:t>供应商提出质疑应当提交质疑函和必要的证明材料，针对同一采购程序环节的质疑必须在法定质疑期内一次性提出。质疑函应当包括下列内容（质疑函格式后附）</w:t>
      </w:r>
      <w:r>
        <w:rPr>
          <w:rFonts w:hint="eastAsia" w:ascii="宋体" w:hAnsi="宋体" w:cs="宋体"/>
          <w:bCs/>
          <w:color w:val="auto"/>
        </w:rPr>
        <w:t>：</w:t>
      </w:r>
    </w:p>
    <w:p>
      <w:pPr>
        <w:spacing w:line="360" w:lineRule="auto"/>
        <w:ind w:firstLine="420" w:firstLineChars="200"/>
        <w:rPr>
          <w:rFonts w:hint="eastAsia" w:ascii="宋体" w:hAnsi="宋体" w:cs="宋体"/>
          <w:bCs/>
          <w:color w:val="auto"/>
        </w:rPr>
      </w:pPr>
      <w:r>
        <w:rPr>
          <w:rFonts w:hint="eastAsia" w:ascii="宋体" w:hAnsi="宋体" w:cs="宋体"/>
          <w:bCs/>
          <w:color w:val="auto"/>
        </w:rPr>
        <w:t>（1）供应商的姓名或者名称、地址、邮编、联系人及联系电话；</w:t>
      </w:r>
    </w:p>
    <w:p>
      <w:pPr>
        <w:spacing w:line="360" w:lineRule="auto"/>
        <w:ind w:firstLine="420" w:firstLineChars="200"/>
        <w:rPr>
          <w:rFonts w:hint="eastAsia" w:ascii="宋体" w:hAnsi="宋体" w:cs="宋体"/>
          <w:bCs/>
          <w:color w:val="auto"/>
        </w:rPr>
      </w:pPr>
      <w:r>
        <w:rPr>
          <w:rFonts w:hint="eastAsia" w:ascii="宋体" w:hAnsi="宋体" w:cs="宋体"/>
          <w:bCs/>
          <w:color w:val="auto"/>
        </w:rPr>
        <w:t>（2）质疑项目的名称、编号；</w:t>
      </w:r>
    </w:p>
    <w:p>
      <w:pPr>
        <w:spacing w:line="360" w:lineRule="auto"/>
        <w:ind w:firstLine="420" w:firstLineChars="200"/>
        <w:rPr>
          <w:rFonts w:hint="eastAsia" w:ascii="宋体" w:hAnsi="宋体" w:cs="宋体"/>
          <w:bCs/>
          <w:color w:val="auto"/>
        </w:rPr>
      </w:pPr>
      <w:r>
        <w:rPr>
          <w:rFonts w:hint="eastAsia" w:ascii="宋体" w:hAnsi="宋体" w:cs="宋体"/>
          <w:bCs/>
          <w:color w:val="auto"/>
        </w:rPr>
        <w:t>（3）具体、明确的质疑事项和与质疑事项相关的请求；</w:t>
      </w:r>
    </w:p>
    <w:p>
      <w:pPr>
        <w:spacing w:line="360" w:lineRule="auto"/>
        <w:ind w:firstLine="420" w:firstLineChars="200"/>
        <w:rPr>
          <w:rFonts w:hint="eastAsia" w:ascii="宋体" w:hAnsi="宋体" w:cs="宋体"/>
          <w:bCs/>
          <w:color w:val="auto"/>
        </w:rPr>
      </w:pPr>
      <w:r>
        <w:rPr>
          <w:rFonts w:hint="eastAsia" w:ascii="宋体" w:hAnsi="宋体" w:cs="宋体"/>
          <w:bCs/>
          <w:color w:val="auto"/>
        </w:rPr>
        <w:t>（4）事实依据（列明权益受到损害的事实和理由）；</w:t>
      </w:r>
    </w:p>
    <w:p>
      <w:pPr>
        <w:spacing w:line="360" w:lineRule="auto"/>
        <w:ind w:firstLine="420" w:firstLineChars="200"/>
        <w:rPr>
          <w:rFonts w:hint="eastAsia" w:ascii="宋体" w:hAnsi="宋体" w:cs="宋体"/>
          <w:bCs/>
          <w:color w:val="auto"/>
        </w:rPr>
      </w:pPr>
      <w:r>
        <w:rPr>
          <w:rFonts w:hint="eastAsia" w:ascii="宋体" w:hAnsi="宋体" w:cs="宋体"/>
          <w:bCs/>
          <w:color w:val="auto"/>
        </w:rPr>
        <w:t>（5）必要的法律依据；</w:t>
      </w:r>
    </w:p>
    <w:p>
      <w:pPr>
        <w:spacing w:line="360" w:lineRule="auto"/>
        <w:ind w:firstLine="420" w:firstLineChars="200"/>
        <w:rPr>
          <w:rFonts w:hint="eastAsia" w:ascii="宋体" w:hAnsi="宋体" w:cs="宋体"/>
          <w:bCs/>
          <w:color w:val="auto"/>
        </w:rPr>
      </w:pPr>
      <w:r>
        <w:rPr>
          <w:rFonts w:hint="eastAsia" w:ascii="宋体" w:hAnsi="宋体" w:cs="宋体"/>
          <w:bCs/>
          <w:color w:val="auto"/>
        </w:rPr>
        <w:t>（6）提出质疑的日期。</w:t>
      </w:r>
    </w:p>
    <w:p>
      <w:pPr>
        <w:spacing w:line="360" w:lineRule="auto"/>
        <w:ind w:firstLine="420" w:firstLineChars="200"/>
        <w:rPr>
          <w:rFonts w:hint="eastAsia" w:ascii="宋体" w:hAnsi="宋体" w:cs="宋体"/>
          <w:bCs/>
          <w:color w:val="auto"/>
        </w:rPr>
      </w:pPr>
      <w:r>
        <w:rPr>
          <w:rFonts w:hint="eastAsia" w:ascii="宋体" w:hAnsi="宋体" w:cs="宋体"/>
          <w:bCs/>
          <w:color w:val="auto"/>
        </w:rPr>
        <w:t>供应商为自然人的，应当由本人签字；供应商为法人或者其他组织的，应当由法定代表人、主要负责人，或者其委托代理人签字或者盖章，并加盖公章。</w:t>
      </w:r>
    </w:p>
    <w:p>
      <w:pPr>
        <w:spacing w:line="360" w:lineRule="auto"/>
        <w:ind w:firstLine="422" w:firstLineChars="200"/>
        <w:rPr>
          <w:rFonts w:hint="eastAsia" w:ascii="宋体" w:hAnsi="宋体" w:cs="宋体"/>
          <w:b/>
          <w:color w:val="auto"/>
          <w:szCs w:val="20"/>
        </w:rPr>
      </w:pPr>
      <w:r>
        <w:rPr>
          <w:rFonts w:hint="eastAsia" w:ascii="宋体" w:hAnsi="宋体" w:cs="宋体"/>
          <w:b/>
          <w:color w:val="auto"/>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rPr>
        <w:t>。</w:t>
      </w:r>
    </w:p>
    <w:p>
      <w:pPr>
        <w:spacing w:line="360" w:lineRule="auto"/>
        <w:ind w:firstLine="420" w:firstLineChars="200"/>
        <w:rPr>
          <w:rFonts w:hint="eastAsia" w:ascii="宋体" w:hAnsi="宋体" w:cs="宋体"/>
          <w:bCs/>
          <w:color w:val="auto"/>
          <w:szCs w:val="21"/>
        </w:rPr>
      </w:pPr>
      <w:r>
        <w:rPr>
          <w:rFonts w:hint="eastAsia" w:ascii="宋体" w:hAnsi="宋体" w:cs="宋体"/>
          <w:color w:val="auto"/>
          <w:szCs w:val="21"/>
        </w:rPr>
        <w:t>3</w:t>
      </w:r>
      <w:r>
        <w:rPr>
          <w:rFonts w:hint="eastAsia" w:ascii="宋体" w:hAnsi="宋体" w:cs="宋体"/>
          <w:bCs/>
          <w:color w:val="auto"/>
          <w:szCs w:val="21"/>
        </w:rPr>
        <w:t>8.2.7采购人、采购代理机构认为供应商质疑不成立，或者成立但未对中标结果构成影响的，继续开展采购活动；认为供应商质疑成立且影响或者可能影响中标结果的，按照下列情况处理：</w:t>
      </w:r>
    </w:p>
    <w:p>
      <w:pPr>
        <w:spacing w:line="360" w:lineRule="auto"/>
        <w:ind w:firstLine="420" w:firstLineChars="200"/>
        <w:rPr>
          <w:rFonts w:hint="eastAsia" w:ascii="宋体" w:hAnsi="宋体" w:cs="宋体"/>
          <w:bCs/>
          <w:color w:val="auto"/>
        </w:rPr>
      </w:pPr>
      <w:r>
        <w:rPr>
          <w:rFonts w:hint="eastAsia" w:ascii="宋体" w:hAnsi="宋体" w:cs="宋体"/>
          <w:bCs/>
          <w:color w:val="auto"/>
        </w:rPr>
        <w:t>　　（一）对招标文件提出的质疑，依法通过澄清或者修改可以继续开展采购活动的，澄清或者修改招标文件后继续开展采购活动；否则应当修改招标文件后重新开展采购活动。</w:t>
      </w:r>
    </w:p>
    <w:p>
      <w:pPr>
        <w:spacing w:line="360" w:lineRule="auto"/>
        <w:ind w:firstLine="420" w:firstLineChars="200"/>
        <w:rPr>
          <w:rFonts w:hint="eastAsia" w:ascii="宋体" w:hAnsi="宋体" w:cs="宋体"/>
          <w:bCs/>
          <w:color w:val="auto"/>
        </w:rPr>
      </w:pPr>
      <w:r>
        <w:rPr>
          <w:rFonts w:hint="eastAsia" w:ascii="宋体" w:hAnsi="宋体" w:cs="宋体"/>
          <w:bCs/>
          <w:color w:val="auto"/>
        </w:rPr>
        <w:t>　　（二）对采购过程、中标结果提出的质疑，合格供应商符合法定数量时，可以从合格的中标候选人中另行确定中标供应商的，应当依法另行确定中标供应商；否则应当重新开展采购活动。</w:t>
      </w:r>
    </w:p>
    <w:p>
      <w:pPr>
        <w:spacing w:line="360" w:lineRule="auto"/>
        <w:ind w:firstLine="420" w:firstLineChars="200"/>
        <w:rPr>
          <w:rFonts w:hint="eastAsia" w:ascii="宋体" w:hAnsi="宋体" w:cs="宋体"/>
          <w:bCs/>
          <w:color w:val="auto"/>
        </w:rPr>
      </w:pPr>
      <w:r>
        <w:rPr>
          <w:rFonts w:hint="eastAsia" w:ascii="宋体" w:hAnsi="宋体" w:cs="宋体"/>
          <w:bCs/>
          <w:color w:val="auto"/>
        </w:rPr>
        <w:t>质疑答复导致中标结果改变的，采购人或者采购代理机构应当将有关情况书面报告</w:t>
      </w:r>
      <w:r>
        <w:rPr>
          <w:rFonts w:hint="eastAsia" w:ascii="宋体" w:hAnsi="宋体" w:cs="宋体"/>
          <w:color w:val="auto"/>
          <w:szCs w:val="21"/>
        </w:rPr>
        <w:t>本级财政部门</w:t>
      </w:r>
      <w:r>
        <w:rPr>
          <w:rFonts w:hint="eastAsia" w:ascii="宋体" w:hAnsi="宋体" w:cs="宋体"/>
          <w:bCs/>
          <w:color w:val="auto"/>
        </w:rPr>
        <w:t>。</w:t>
      </w:r>
    </w:p>
    <w:p>
      <w:pPr>
        <w:spacing w:line="360" w:lineRule="auto"/>
        <w:ind w:firstLine="422" w:firstLineChars="200"/>
        <w:rPr>
          <w:rFonts w:hint="eastAsia" w:ascii="宋体" w:hAnsi="宋体" w:cs="宋体"/>
          <w:b/>
          <w:color w:val="auto"/>
        </w:rPr>
      </w:pPr>
      <w:r>
        <w:rPr>
          <w:rFonts w:hint="eastAsia" w:ascii="宋体" w:hAnsi="宋体" w:cs="宋体"/>
          <w:b/>
          <w:color w:val="auto"/>
        </w:rPr>
        <w:t>38.3投诉</w:t>
      </w:r>
    </w:p>
    <w:p>
      <w:pPr>
        <w:spacing w:line="360" w:lineRule="auto"/>
        <w:ind w:firstLine="422" w:firstLineChars="200"/>
        <w:rPr>
          <w:rFonts w:hint="eastAsia" w:ascii="宋体" w:hAnsi="宋体" w:cs="宋体"/>
          <w:bCs/>
          <w:color w:val="auto"/>
        </w:rPr>
      </w:pPr>
      <w:r>
        <w:rPr>
          <w:rFonts w:hint="eastAsia" w:ascii="宋体" w:hAnsi="宋体" w:cs="宋体"/>
          <w:b/>
          <w:color w:val="auto"/>
        </w:rPr>
        <w:t>38.3</w:t>
      </w:r>
      <w:r>
        <w:rPr>
          <w:rFonts w:hint="eastAsia" w:ascii="宋体" w:hAnsi="宋体" w:cs="宋体"/>
          <w:bCs/>
          <w:color w:val="auto"/>
        </w:rPr>
        <w:t>.</w:t>
      </w:r>
      <w:r>
        <w:rPr>
          <w:rFonts w:hint="eastAsia" w:ascii="宋体" w:hAnsi="宋体" w:cs="宋体"/>
          <w:b/>
          <w:bCs/>
          <w:color w:val="auto"/>
        </w:rPr>
        <w:t xml:space="preserve">1 </w:t>
      </w:r>
      <w:r>
        <w:rPr>
          <w:rFonts w:hint="eastAsia" w:ascii="宋体" w:hAnsi="宋体" w:cs="宋体"/>
          <w:bCs/>
          <w:color w:val="auto"/>
        </w:rPr>
        <w:t xml:space="preserve"> 供应商认为采购文件、采购过程、中标和成交结果使自己的合法权益受到损害的，应当首先依法向采购人或采购人委托的</w:t>
      </w:r>
      <w:r>
        <w:rPr>
          <w:rFonts w:hint="eastAsia" w:ascii="宋体" w:hAnsi="宋体" w:cs="宋体"/>
          <w:color w:val="auto"/>
        </w:rPr>
        <w:t>采购代理机构</w:t>
      </w:r>
      <w:r>
        <w:rPr>
          <w:rFonts w:hint="eastAsia" w:ascii="宋体" w:hAnsi="宋体" w:cs="宋体"/>
          <w:bCs/>
          <w:color w:val="auto"/>
        </w:rPr>
        <w:t>提出质疑。对采购人或</w:t>
      </w:r>
      <w:r>
        <w:rPr>
          <w:rFonts w:hint="eastAsia" w:ascii="宋体" w:hAnsi="宋体" w:cs="宋体"/>
          <w:color w:val="auto"/>
        </w:rPr>
        <w:t>采购代理机构</w:t>
      </w:r>
      <w:r>
        <w:rPr>
          <w:rFonts w:hint="eastAsia" w:ascii="宋体" w:hAnsi="宋体" w:cs="宋体"/>
          <w:bCs/>
          <w:color w:val="auto"/>
        </w:rPr>
        <w:t>的答复不满意，或者采购人或</w:t>
      </w:r>
      <w:r>
        <w:rPr>
          <w:rFonts w:hint="eastAsia" w:ascii="宋体" w:hAnsi="宋体" w:cs="宋体"/>
          <w:color w:val="auto"/>
        </w:rPr>
        <w:t>采购代理机构</w:t>
      </w:r>
      <w:r>
        <w:rPr>
          <w:rFonts w:hint="eastAsia" w:ascii="宋体" w:hAnsi="宋体" w:cs="宋体"/>
          <w:bCs/>
          <w:color w:val="auto"/>
        </w:rPr>
        <w:t>未在规定期限内做出答复的，供应商可以在答复期满后15个工作日内向本级财政部门提起投诉，投诉联系方式见“投标人须知前附表”。</w:t>
      </w:r>
    </w:p>
    <w:p>
      <w:pPr>
        <w:spacing w:line="360" w:lineRule="auto"/>
        <w:ind w:firstLine="422" w:firstLineChars="200"/>
        <w:rPr>
          <w:rFonts w:hint="eastAsia" w:ascii="宋体" w:hAnsi="宋体" w:cs="宋体"/>
          <w:b/>
          <w:color w:val="auto"/>
        </w:rPr>
      </w:pPr>
      <w:r>
        <w:rPr>
          <w:rFonts w:hint="eastAsia" w:ascii="宋体" w:hAnsi="宋体" w:cs="宋体"/>
          <w:b/>
          <w:color w:val="auto"/>
        </w:rPr>
        <w:t>38.3.2  投诉人投诉时，应当提交投诉书，并按照被投诉采购人、采购代理机构和与投诉事项有关的供应商数量提供投诉书的副本。投诉书</w:t>
      </w:r>
      <w:r>
        <w:rPr>
          <w:rFonts w:hint="eastAsia" w:ascii="宋体" w:hAnsi="宋体" w:cs="宋体"/>
          <w:b/>
          <w:color w:val="auto"/>
          <w:szCs w:val="21"/>
        </w:rPr>
        <w:t>应当包括下列主要内容</w:t>
      </w:r>
      <w:r>
        <w:rPr>
          <w:rFonts w:hint="eastAsia" w:ascii="宋体" w:hAnsi="宋体" w:cs="宋体"/>
          <w:b/>
          <w:color w:val="auto"/>
        </w:rPr>
        <w:t>（如材料中有外文资料应同时附上对应的中文译本）（投诉书格式后附）</w:t>
      </w:r>
      <w:r>
        <w:rPr>
          <w:rFonts w:hint="eastAsia" w:ascii="宋体" w:hAnsi="宋体" w:cs="宋体"/>
          <w:b/>
          <w:color w:val="auto"/>
          <w:szCs w:val="21"/>
        </w:rPr>
        <w:t>：</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（1）投诉人和被投诉人的名称、地址、邮编、联系人及联系电话等； </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（2）质疑和质疑答复情况及相关证明材料； </w:t>
      </w:r>
    </w:p>
    <w:p>
      <w:pPr>
        <w:spacing w:line="360" w:lineRule="auto"/>
        <w:ind w:firstLine="420" w:firstLineChars="200"/>
        <w:rPr>
          <w:rFonts w:hint="eastAsia" w:ascii="宋体" w:hAnsi="宋体" w:cs="宋体"/>
          <w:color w:val="auto"/>
        </w:rPr>
      </w:pPr>
      <w:r>
        <w:rPr>
          <w:rFonts w:hint="eastAsia" w:ascii="宋体" w:hAnsi="宋体" w:cs="宋体"/>
          <w:color w:val="auto"/>
        </w:rPr>
        <w:t>（3）具体、明确的投诉事项和与投诉事项相关的投诉请求；</w:t>
      </w:r>
    </w:p>
    <w:p>
      <w:pPr>
        <w:spacing w:line="360" w:lineRule="auto"/>
        <w:ind w:firstLine="420" w:firstLineChars="200"/>
        <w:rPr>
          <w:rFonts w:hint="eastAsia" w:ascii="宋体" w:hAnsi="宋体" w:cs="宋体"/>
          <w:color w:val="auto"/>
        </w:rPr>
      </w:pPr>
      <w:r>
        <w:rPr>
          <w:rFonts w:hint="eastAsia" w:ascii="宋体" w:hAnsi="宋体" w:cs="宋体"/>
          <w:color w:val="auto"/>
        </w:rPr>
        <w:t>（4）事实依据；</w:t>
      </w:r>
    </w:p>
    <w:p>
      <w:pPr>
        <w:spacing w:line="360" w:lineRule="auto"/>
        <w:ind w:firstLine="420" w:firstLineChars="200"/>
        <w:rPr>
          <w:rFonts w:hint="eastAsia" w:ascii="宋体" w:hAnsi="宋体" w:cs="宋体"/>
          <w:color w:val="auto"/>
        </w:rPr>
      </w:pPr>
      <w:r>
        <w:rPr>
          <w:rFonts w:hint="eastAsia" w:ascii="宋体" w:hAnsi="宋体" w:cs="宋体"/>
          <w:color w:val="auto"/>
        </w:rPr>
        <w:t>（5）法律依据；</w:t>
      </w:r>
    </w:p>
    <w:p>
      <w:pPr>
        <w:spacing w:line="360" w:lineRule="auto"/>
        <w:ind w:firstLine="420" w:firstLineChars="200"/>
        <w:rPr>
          <w:rFonts w:hint="eastAsia" w:ascii="宋体" w:hAnsi="宋体" w:cs="宋体"/>
          <w:color w:val="auto"/>
        </w:rPr>
      </w:pPr>
      <w:r>
        <w:rPr>
          <w:rFonts w:hint="eastAsia" w:ascii="宋体" w:hAnsi="宋体" w:cs="宋体"/>
          <w:color w:val="auto"/>
        </w:rPr>
        <w:t>（6）提起投诉的日期。</w:t>
      </w:r>
      <w:r>
        <w:rPr>
          <w:rFonts w:hint="eastAsia" w:ascii="宋体" w:hAnsi="宋体" w:cs="宋体"/>
          <w:color w:val="auto"/>
        </w:rPr>
        <w:tab/>
      </w:r>
    </w:p>
    <w:p>
      <w:pPr>
        <w:spacing w:line="360" w:lineRule="auto"/>
        <w:ind w:firstLine="420" w:firstLineChars="200"/>
        <w:rPr>
          <w:rFonts w:hint="eastAsia" w:ascii="宋体" w:hAnsi="宋体" w:cs="宋体"/>
          <w:bCs/>
          <w:color w:val="auto"/>
        </w:rPr>
      </w:pPr>
      <w:r>
        <w:rPr>
          <w:rFonts w:hint="eastAsia" w:ascii="宋体" w:hAnsi="宋体" w:cs="宋体"/>
          <w:bCs/>
          <w:color w:val="auto"/>
        </w:rPr>
        <w:t>投诉人为自然人的，应当由本人签字；投诉人为法人或者其他组织的，应当由法定代表人、主要负责人，或者其授权代表签字或者盖章，并加盖公章。</w:t>
      </w:r>
    </w:p>
    <w:p>
      <w:pPr>
        <w:spacing w:line="360" w:lineRule="auto"/>
        <w:ind w:firstLine="422" w:firstLineChars="200"/>
        <w:rPr>
          <w:rFonts w:hint="eastAsia" w:ascii="宋体" w:hAnsi="宋体" w:cs="宋体"/>
          <w:bCs/>
          <w:color w:val="auto"/>
        </w:rPr>
      </w:pPr>
      <w:r>
        <w:rPr>
          <w:rFonts w:hint="eastAsia" w:ascii="宋体" w:hAnsi="宋体" w:cs="宋体"/>
          <w:b/>
          <w:color w:val="auto"/>
        </w:rPr>
        <w:t xml:space="preserve">38.3.3  </w:t>
      </w:r>
      <w:r>
        <w:rPr>
          <w:rFonts w:hint="eastAsia" w:ascii="宋体" w:hAnsi="宋体" w:cs="宋体"/>
          <w:color w:val="auto"/>
        </w:rPr>
        <w:t>投诉人可以委托代理人办理投诉事务。</w:t>
      </w:r>
      <w:r>
        <w:rPr>
          <w:rFonts w:hint="eastAsia" w:ascii="宋体" w:hAnsi="宋体" w:cs="宋体"/>
          <w:bCs/>
          <w:color w:val="auto"/>
        </w:rPr>
        <w:t>委托代理人应熟悉相关业务情况。</w:t>
      </w:r>
      <w:r>
        <w:rPr>
          <w:rFonts w:hint="eastAsia" w:ascii="宋体" w:hAnsi="宋体" w:cs="宋体"/>
          <w:color w:val="auto"/>
        </w:rPr>
        <w:t>代理人办理投诉事务时，除提交投诉书外，还应当提交投诉人的授权委托书和委托代理人身份证明复印件。</w:t>
      </w:r>
    </w:p>
    <w:p>
      <w:pPr>
        <w:spacing w:line="360" w:lineRule="auto"/>
        <w:ind w:firstLine="422" w:firstLineChars="200"/>
        <w:rPr>
          <w:rFonts w:hint="eastAsia" w:ascii="宋体" w:hAnsi="宋体" w:cs="宋体"/>
          <w:color w:val="auto"/>
        </w:rPr>
      </w:pPr>
      <w:r>
        <w:rPr>
          <w:rFonts w:hint="eastAsia" w:ascii="宋体" w:hAnsi="宋体" w:cs="宋体"/>
          <w:b/>
          <w:color w:val="auto"/>
        </w:rPr>
        <w:t>38.3.4</w:t>
      </w:r>
      <w:r>
        <w:rPr>
          <w:rFonts w:hint="eastAsia" w:ascii="宋体" w:hAnsi="宋体" w:cs="宋体"/>
          <w:color w:val="auto"/>
        </w:rPr>
        <w:t xml:space="preserve">  投诉人提起投诉应当符合下列条件：</w:t>
      </w:r>
    </w:p>
    <w:p>
      <w:pPr>
        <w:spacing w:line="360" w:lineRule="auto"/>
        <w:ind w:firstLine="420" w:firstLineChars="200"/>
        <w:rPr>
          <w:rFonts w:hint="eastAsia" w:ascii="宋体" w:hAnsi="宋体" w:cs="宋体"/>
          <w:color w:val="auto"/>
        </w:rPr>
      </w:pPr>
      <w:r>
        <w:rPr>
          <w:rFonts w:hint="eastAsia" w:ascii="宋体" w:hAnsi="宋体" w:cs="宋体"/>
          <w:color w:val="auto"/>
        </w:rPr>
        <w:t>（1）投诉人是参与所投诉政府采购活动的供应商；</w:t>
      </w:r>
    </w:p>
    <w:p>
      <w:pPr>
        <w:spacing w:line="360" w:lineRule="auto"/>
        <w:ind w:firstLine="420" w:firstLineChars="200"/>
        <w:rPr>
          <w:rFonts w:hint="eastAsia" w:ascii="宋体" w:hAnsi="宋体" w:cs="宋体"/>
          <w:color w:val="auto"/>
        </w:rPr>
      </w:pPr>
      <w:r>
        <w:rPr>
          <w:rFonts w:hint="eastAsia" w:ascii="宋体" w:hAnsi="宋体" w:cs="宋体"/>
          <w:color w:val="auto"/>
        </w:rPr>
        <w:t>（2）提起投诉前已依法进行质疑；</w:t>
      </w:r>
    </w:p>
    <w:p>
      <w:pPr>
        <w:spacing w:line="360" w:lineRule="auto"/>
        <w:ind w:firstLine="420" w:firstLineChars="200"/>
        <w:rPr>
          <w:rFonts w:hint="eastAsia" w:ascii="宋体" w:hAnsi="宋体" w:cs="宋体"/>
          <w:color w:val="auto"/>
        </w:rPr>
      </w:pPr>
      <w:r>
        <w:rPr>
          <w:rFonts w:hint="eastAsia" w:ascii="宋体" w:hAnsi="宋体" w:cs="宋体"/>
          <w:color w:val="auto"/>
        </w:rPr>
        <w:t>（3）投诉书内容符合本章第38.3.2项的规定；</w:t>
      </w:r>
    </w:p>
    <w:p>
      <w:pPr>
        <w:spacing w:line="360" w:lineRule="auto"/>
        <w:ind w:firstLine="420" w:firstLineChars="200"/>
        <w:rPr>
          <w:rFonts w:hint="eastAsia" w:ascii="宋体" w:hAnsi="宋体" w:cs="宋体"/>
          <w:color w:val="auto"/>
        </w:rPr>
      </w:pPr>
      <w:r>
        <w:rPr>
          <w:rFonts w:hint="eastAsia" w:ascii="宋体" w:hAnsi="宋体" w:cs="宋体"/>
          <w:color w:val="auto"/>
        </w:rPr>
        <w:t>（4）在投诉有效期限内提起投诉；</w:t>
      </w:r>
    </w:p>
    <w:p>
      <w:pPr>
        <w:spacing w:line="360" w:lineRule="auto"/>
        <w:ind w:firstLine="420" w:firstLineChars="200"/>
        <w:rPr>
          <w:rFonts w:hint="eastAsia" w:ascii="宋体" w:hAnsi="宋体" w:cs="宋体"/>
          <w:color w:val="auto"/>
        </w:rPr>
      </w:pPr>
      <w:r>
        <w:rPr>
          <w:rFonts w:hint="eastAsia" w:ascii="宋体" w:hAnsi="宋体" w:cs="宋体"/>
          <w:color w:val="auto"/>
        </w:rPr>
        <w:t>（5）同一投诉事项未经</w:t>
      </w:r>
      <w:r>
        <w:rPr>
          <w:rFonts w:hint="eastAsia" w:ascii="宋体" w:hAnsi="宋体" w:cs="宋体"/>
          <w:bCs/>
          <w:color w:val="auto"/>
        </w:rPr>
        <w:t>财政部门</w:t>
      </w:r>
      <w:r>
        <w:rPr>
          <w:rFonts w:hint="eastAsia" w:ascii="宋体" w:hAnsi="宋体" w:cs="宋体"/>
          <w:color w:val="auto"/>
        </w:rPr>
        <w:t>投诉处理；</w:t>
      </w:r>
    </w:p>
    <w:p>
      <w:pPr>
        <w:spacing w:line="360" w:lineRule="auto"/>
        <w:ind w:firstLine="420" w:firstLineChars="200"/>
        <w:rPr>
          <w:rFonts w:hint="eastAsia" w:ascii="宋体" w:hAnsi="宋体" w:cs="宋体"/>
          <w:color w:val="auto"/>
        </w:rPr>
      </w:pPr>
      <w:r>
        <w:rPr>
          <w:rFonts w:hint="eastAsia" w:ascii="宋体" w:hAnsi="宋体" w:cs="宋体"/>
          <w:color w:val="auto"/>
        </w:rPr>
        <w:t>（6）国务院财政部门规定的其他条件。</w:t>
      </w:r>
    </w:p>
    <w:p>
      <w:pPr>
        <w:pStyle w:val="4"/>
        <w:spacing w:line="360" w:lineRule="auto"/>
        <w:ind w:firstLine="4498" w:firstLineChars="1400"/>
        <w:rPr>
          <w:rFonts w:hint="eastAsia" w:ascii="宋体" w:hAnsi="宋体" w:cs="宋体"/>
          <w:color w:val="auto"/>
        </w:rPr>
      </w:pPr>
      <w:bookmarkStart w:id="228" w:name="_Toc18873"/>
      <w:bookmarkStart w:id="229" w:name="_Toc22303"/>
      <w:bookmarkStart w:id="230" w:name="_Toc17503"/>
      <w:bookmarkStart w:id="231" w:name="_Toc28886"/>
      <w:bookmarkStart w:id="232" w:name="_Toc17335"/>
      <w:r>
        <w:rPr>
          <w:rFonts w:hint="eastAsia" w:ascii="宋体" w:hAnsi="宋体" w:cs="宋体"/>
          <w:color w:val="auto"/>
        </w:rPr>
        <w:t>八、验收</w:t>
      </w:r>
      <w:bookmarkEnd w:id="228"/>
      <w:bookmarkEnd w:id="229"/>
      <w:bookmarkEnd w:id="230"/>
      <w:bookmarkEnd w:id="231"/>
      <w:bookmarkEnd w:id="232"/>
    </w:p>
    <w:p>
      <w:pPr>
        <w:spacing w:line="360" w:lineRule="auto"/>
        <w:ind w:firstLine="422" w:firstLineChars="200"/>
        <w:rPr>
          <w:rFonts w:hint="eastAsia" w:ascii="宋体" w:hAnsi="宋体" w:cs="宋体"/>
          <w:b/>
          <w:color w:val="auto"/>
        </w:rPr>
      </w:pPr>
      <w:r>
        <w:rPr>
          <w:rFonts w:hint="eastAsia" w:ascii="宋体" w:hAnsi="宋体" w:cs="宋体"/>
          <w:b/>
          <w:color w:val="auto"/>
        </w:rPr>
        <w:t>39.验收</w:t>
      </w:r>
    </w:p>
    <w:p>
      <w:pPr>
        <w:tabs>
          <w:tab w:val="left" w:pos="0"/>
        </w:tabs>
        <w:spacing w:line="360" w:lineRule="auto"/>
        <w:ind w:firstLine="480"/>
        <w:rPr>
          <w:rFonts w:hint="eastAsia" w:ascii="宋体" w:hAnsi="宋体" w:cs="宋体"/>
          <w:color w:val="auto"/>
        </w:rPr>
      </w:pPr>
      <w:r>
        <w:rPr>
          <w:rFonts w:hint="eastAsia" w:ascii="宋体" w:hAnsi="宋体" w:cs="宋体"/>
          <w:color w:val="auto"/>
        </w:rPr>
        <w:t>39.1采购人组织对中标人履约的验收。大型或者复杂的政府采购项目，应当邀请国家认可的质量检测机构参加验收工作。验收方成员应当在验收书上签字，并承担相应的法律责任。如果发现与合同中要求不符，中标人须承担由此发生的一切损失和费用，并接受相应的处理。</w:t>
      </w:r>
    </w:p>
    <w:p>
      <w:pPr>
        <w:tabs>
          <w:tab w:val="left" w:pos="0"/>
        </w:tabs>
        <w:spacing w:line="360" w:lineRule="auto"/>
        <w:ind w:firstLine="480"/>
        <w:rPr>
          <w:rFonts w:hint="eastAsia" w:ascii="宋体" w:hAnsi="宋体" w:cs="宋体"/>
          <w:color w:val="auto"/>
        </w:rPr>
      </w:pPr>
      <w:r>
        <w:rPr>
          <w:rFonts w:hint="eastAsia" w:ascii="宋体" w:hAnsi="宋体" w:cs="宋体"/>
          <w:color w:val="auto"/>
        </w:rPr>
        <w:t>39.2采购人可以邀请参加本项目的其他投标人或者第三方机构参与验收。参与验收的投标人或者第三方机构的意见作为验收书的参考资料一并存档。</w:t>
      </w:r>
    </w:p>
    <w:p>
      <w:pPr>
        <w:tabs>
          <w:tab w:val="left" w:pos="0"/>
        </w:tabs>
        <w:spacing w:line="360" w:lineRule="auto"/>
        <w:ind w:firstLine="480"/>
        <w:rPr>
          <w:rFonts w:hint="eastAsia" w:ascii="宋体" w:hAnsi="宋体" w:cs="宋体"/>
          <w:color w:val="auto"/>
        </w:rPr>
      </w:pPr>
      <w:r>
        <w:rPr>
          <w:rFonts w:hint="eastAsia" w:ascii="宋体" w:hAnsi="宋体" w:cs="宋体"/>
          <w:color w:val="auto"/>
        </w:rPr>
        <w:t>39.3严格按照采购合同开展履约验收。采购人成立验收小组，按照采购合同的约定对中标人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pPr>
        <w:tabs>
          <w:tab w:val="left" w:pos="0"/>
        </w:tabs>
        <w:spacing w:line="360" w:lineRule="auto"/>
        <w:ind w:firstLine="480"/>
        <w:rPr>
          <w:rFonts w:hint="eastAsia" w:ascii="宋体" w:hAnsi="宋体" w:cs="宋体"/>
          <w:color w:val="auto"/>
        </w:rPr>
      </w:pPr>
      <w:r>
        <w:rPr>
          <w:rFonts w:hint="eastAsia" w:ascii="宋体" w:hAnsi="宋体" w:cs="宋体"/>
          <w:color w:val="auto"/>
        </w:rPr>
        <w:t>39.4验收合格的项目，采购人将根据采购合同的约定及时向中标人支付采购资金。验收不合格的项目，采购人将依法及时处理。采购合同的履行、违约责任和解决争议的方式等适用《中华人民共和国民法典》。中标人在履约过程中有政府采购法律法规规定的违法违规情形的，采购人应当及时报告本级财政部门。</w:t>
      </w:r>
    </w:p>
    <w:p>
      <w:pPr>
        <w:pStyle w:val="14"/>
        <w:snapToGrid w:val="0"/>
        <w:spacing w:line="360" w:lineRule="auto"/>
        <w:rPr>
          <w:rFonts w:hint="eastAsia" w:hAnsi="宋体" w:cs="宋体"/>
          <w:color w:val="auto"/>
        </w:rPr>
      </w:pPr>
    </w:p>
    <w:p>
      <w:pPr>
        <w:pStyle w:val="4"/>
        <w:keepNext w:val="0"/>
        <w:keepLines w:val="0"/>
        <w:spacing w:line="360" w:lineRule="auto"/>
        <w:jc w:val="center"/>
        <w:rPr>
          <w:rFonts w:hint="eastAsia" w:ascii="宋体" w:hAnsi="宋体" w:cs="宋体"/>
          <w:color w:val="auto"/>
        </w:rPr>
      </w:pPr>
      <w:bookmarkStart w:id="233" w:name="_八、其他事项"/>
      <w:bookmarkEnd w:id="233"/>
      <w:bookmarkStart w:id="234" w:name="_Toc32572"/>
      <w:bookmarkStart w:id="235" w:name="_Toc22183"/>
      <w:bookmarkStart w:id="236" w:name="_Toc30046"/>
      <w:bookmarkStart w:id="237" w:name="_Toc13415"/>
      <w:bookmarkStart w:id="238" w:name="_Toc18658"/>
      <w:r>
        <w:rPr>
          <w:rFonts w:hint="eastAsia" w:ascii="宋体" w:hAnsi="宋体" w:cs="宋体"/>
          <w:color w:val="auto"/>
        </w:rPr>
        <w:t>九、其他事项</w:t>
      </w:r>
      <w:bookmarkEnd w:id="234"/>
      <w:bookmarkEnd w:id="235"/>
      <w:bookmarkEnd w:id="236"/>
      <w:bookmarkEnd w:id="237"/>
      <w:bookmarkEnd w:id="238"/>
    </w:p>
    <w:p>
      <w:pPr>
        <w:spacing w:line="360" w:lineRule="auto"/>
        <w:ind w:firstLine="480" w:firstLineChars="200"/>
        <w:rPr>
          <w:rFonts w:hint="eastAsia" w:ascii="宋体" w:hAnsi="宋体" w:cs="宋体"/>
          <w:color w:val="auto"/>
          <w:sz w:val="24"/>
        </w:rPr>
      </w:pPr>
      <w:bookmarkStart w:id="239" w:name="_42.代理服务费"/>
      <w:bookmarkEnd w:id="239"/>
      <w:r>
        <w:rPr>
          <w:rFonts w:hint="eastAsia" w:ascii="宋体" w:hAnsi="宋体" w:cs="宋体"/>
          <w:color w:val="auto"/>
          <w:sz w:val="24"/>
        </w:rPr>
        <w:t>40.采购代理服务费</w:t>
      </w:r>
    </w:p>
    <w:p>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40.1采购代理服务费收费标准及缴费账户详见“投标人须知前附表”，投标人为联合体的，可以由联合体中的一方或者多方共同缴纳采购代理服务费。</w:t>
      </w:r>
    </w:p>
    <w:p>
      <w:pPr>
        <w:pStyle w:val="6"/>
        <w:keepNext w:val="0"/>
        <w:keepLines w:val="0"/>
        <w:spacing w:before="0" w:after="0" w:line="360" w:lineRule="auto"/>
        <w:ind w:left="420" w:leftChars="200"/>
        <w:rPr>
          <w:rFonts w:hint="eastAsia" w:ascii="宋体" w:hAnsi="宋体" w:cs="宋体"/>
          <w:b w:val="0"/>
          <w:color w:val="auto"/>
          <w:sz w:val="21"/>
          <w:szCs w:val="21"/>
        </w:rPr>
      </w:pPr>
      <w:r>
        <w:rPr>
          <w:rFonts w:hint="eastAsia" w:ascii="宋体" w:hAnsi="宋体" w:cs="宋体"/>
          <w:b w:val="0"/>
          <w:color w:val="auto"/>
          <w:sz w:val="21"/>
          <w:szCs w:val="21"/>
        </w:rPr>
        <w:t>40.2采购代理服务费收费标准：</w:t>
      </w:r>
    </w:p>
    <w:tbl>
      <w:tblPr>
        <w:tblStyle w:val="26"/>
        <w:tblW w:w="513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中标金额</w:t>
            </w:r>
          </w:p>
        </w:tc>
        <w:tc>
          <w:tcPr>
            <w:tcW w:w="1659" w:type="dxa"/>
          </w:tcPr>
          <w:p>
            <w:pPr>
              <w:spacing w:line="360" w:lineRule="auto"/>
              <w:rPr>
                <w:rFonts w:hint="eastAsia" w:ascii="宋体" w:hAnsi="宋体" w:cs="宋体"/>
                <w:color w:val="auto"/>
                <w:kern w:val="0"/>
                <w:szCs w:val="21"/>
              </w:rPr>
            </w:pPr>
            <w:r>
              <w:rPr>
                <w:rFonts w:hint="eastAsia" w:ascii="宋体" w:hAnsi="宋体" w:cs="宋体"/>
                <w:color w:val="auto"/>
                <w:szCs w:val="21"/>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100万元以下</w:t>
            </w:r>
          </w:p>
        </w:tc>
        <w:tc>
          <w:tcPr>
            <w:tcW w:w="1659" w:type="dxa"/>
          </w:tcPr>
          <w:p>
            <w:pPr>
              <w:spacing w:line="360" w:lineRule="auto"/>
              <w:rPr>
                <w:rFonts w:hint="eastAsia" w:ascii="宋体" w:hAnsi="宋体" w:cs="宋体"/>
                <w:color w:val="auto"/>
                <w:szCs w:val="21"/>
              </w:rPr>
            </w:pPr>
            <w:r>
              <w:rPr>
                <w:rFonts w:hint="eastAsia" w:ascii="宋体" w:hAnsi="宋体" w:cs="宋体"/>
                <w:color w:val="auto"/>
                <w:kern w:val="0"/>
                <w:szCs w:val="21"/>
              </w:rPr>
              <w:t xml:space="preserve">  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100～500万元</w:t>
            </w:r>
          </w:p>
        </w:tc>
        <w:tc>
          <w:tcPr>
            <w:tcW w:w="1659" w:type="dxa"/>
          </w:tcPr>
          <w:p>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1.1%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500～1000万元</w:t>
            </w:r>
          </w:p>
        </w:tc>
        <w:tc>
          <w:tcPr>
            <w:tcW w:w="1659" w:type="dxa"/>
          </w:tcPr>
          <w:p>
            <w:pPr>
              <w:spacing w:line="360" w:lineRule="auto"/>
              <w:rPr>
                <w:rFonts w:hint="eastAsia" w:ascii="宋体" w:hAnsi="宋体" w:cs="宋体"/>
                <w:color w:val="auto"/>
                <w:szCs w:val="21"/>
              </w:rPr>
            </w:pPr>
            <w:r>
              <w:rPr>
                <w:rFonts w:hint="eastAsia" w:ascii="宋体" w:hAnsi="宋体" w:cs="宋体"/>
                <w:color w:val="auto"/>
                <w:kern w:val="0"/>
                <w:szCs w:val="21"/>
              </w:rPr>
              <w:t xml:space="preserve">  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1000～5000万元</w:t>
            </w:r>
          </w:p>
        </w:tc>
        <w:tc>
          <w:tcPr>
            <w:tcW w:w="1659" w:type="dxa"/>
          </w:tcPr>
          <w:p>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hint="eastAsia" w:ascii="宋体" w:hAnsi="宋体" w:cs="宋体"/>
                <w:color w:val="auto"/>
                <w:szCs w:val="21"/>
              </w:rPr>
            </w:pPr>
            <w:r>
              <w:rPr>
                <w:rFonts w:hint="eastAsia" w:ascii="宋体" w:hAnsi="宋体" w:cs="宋体"/>
                <w:color w:val="auto"/>
                <w:szCs w:val="21"/>
              </w:rPr>
              <w:t>5000万元～1亿元</w:t>
            </w:r>
          </w:p>
        </w:tc>
        <w:tc>
          <w:tcPr>
            <w:tcW w:w="1659" w:type="dxa"/>
          </w:tcPr>
          <w:p>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0.25%                 </w:t>
            </w:r>
          </w:p>
        </w:tc>
      </w:tr>
    </w:tbl>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注: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（1）按本表费率计算的收费为采购代理的收费基准价格；</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（2）采购代理收费按差额定率累进法计算。</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例如：某货物采购代理业务中标金额或者暂定价为200万元，计算采购代理收费额如下：</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100 万元×l.5 ％＝ 1.5 万元</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200 － 100 ）万元 ×1.1％＝1.1万元</w:t>
      </w:r>
    </w:p>
    <w:p>
      <w:pPr>
        <w:pStyle w:val="14"/>
        <w:snapToGrid w:val="0"/>
        <w:spacing w:line="360" w:lineRule="auto"/>
        <w:ind w:firstLine="420" w:firstLineChars="200"/>
        <w:rPr>
          <w:rFonts w:hint="eastAsia" w:hAnsi="宋体" w:cs="宋体"/>
          <w:color w:val="auto"/>
        </w:rPr>
      </w:pPr>
      <w:r>
        <w:rPr>
          <w:rFonts w:hint="eastAsia" w:hAnsi="宋体" w:cs="宋体"/>
          <w:color w:val="auto"/>
        </w:rPr>
        <w:t>合计收费＝ 1.5+1.1＝ 2.6 （万元）</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41. 需要补充的其他内容</w:t>
      </w:r>
    </w:p>
    <w:p>
      <w:pPr>
        <w:spacing w:line="360" w:lineRule="auto"/>
        <w:ind w:firstLine="420" w:firstLineChars="200"/>
        <w:rPr>
          <w:rFonts w:hint="eastAsia" w:ascii="宋体" w:hAnsi="宋体" w:cs="宋体"/>
          <w:color w:val="auto"/>
        </w:rPr>
      </w:pPr>
      <w:r>
        <w:rPr>
          <w:rFonts w:hint="eastAsia" w:ascii="宋体" w:hAnsi="宋体" w:cs="宋体"/>
          <w:color w:val="auto"/>
        </w:rPr>
        <w:t>41.1本招标文件解释规则详见“投标人须知前附表”。</w:t>
      </w:r>
    </w:p>
    <w:p>
      <w:pPr>
        <w:spacing w:line="360" w:lineRule="auto"/>
        <w:ind w:firstLine="420" w:firstLineChars="200"/>
        <w:rPr>
          <w:rFonts w:hint="eastAsia" w:ascii="宋体" w:hAnsi="宋体" w:cs="宋体"/>
          <w:color w:val="auto"/>
        </w:rPr>
      </w:pPr>
      <w:r>
        <w:rPr>
          <w:rFonts w:hint="eastAsia" w:ascii="宋体" w:hAnsi="宋体" w:cs="宋体"/>
          <w:color w:val="auto"/>
        </w:rPr>
        <w:t>41.2 其他事项详见“投标人须知前附表”。</w:t>
      </w:r>
    </w:p>
    <w:p>
      <w:pPr>
        <w:pStyle w:val="14"/>
        <w:spacing w:line="360" w:lineRule="auto"/>
        <w:ind w:firstLine="420" w:firstLineChars="200"/>
        <w:rPr>
          <w:rFonts w:hint="eastAsia" w:hAnsi="宋体" w:cs="宋体"/>
          <w:color w:val="auto"/>
        </w:rPr>
      </w:pPr>
      <w:r>
        <w:rPr>
          <w:rFonts w:hint="eastAsia" w:hAnsi="宋体" w:cs="宋体"/>
          <w:color w:val="auto"/>
        </w:rPr>
        <w:t>41.3</w:t>
      </w:r>
      <w:bookmarkStart w:id="240" w:name="_Hlk65857140"/>
      <w:r>
        <w:rPr>
          <w:rFonts w:hint="eastAsia" w:hAnsi="宋体" w:cs="宋体"/>
          <w:color w:val="auto"/>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由中小企业制造，即货物由中小企业生产且使用该中小企业商号或者注册商标，不对其中涉及的工程承建商和服务的承接商作出要求的，享受本文件规定的中小企业扶持政策。</w:t>
      </w:r>
    </w:p>
    <w:p>
      <w:pPr>
        <w:pStyle w:val="14"/>
        <w:spacing w:line="360" w:lineRule="auto"/>
        <w:ind w:firstLine="420" w:firstLineChars="200"/>
        <w:contextualSpacing/>
        <w:rPr>
          <w:rFonts w:hint="eastAsia" w:hAnsi="宋体" w:cs="宋体"/>
          <w:color w:val="auto"/>
        </w:rPr>
      </w:pPr>
      <w:r>
        <w:rPr>
          <w:rFonts w:hint="eastAsia" w:hAnsi="宋体" w:cs="宋体"/>
          <w:color w:val="auto"/>
        </w:rPr>
        <w:t>在货物采购项目中，投标人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pPr>
        <w:pStyle w:val="14"/>
        <w:spacing w:line="360" w:lineRule="auto"/>
        <w:ind w:firstLine="420" w:firstLineChars="200"/>
        <w:contextualSpacing/>
        <w:rPr>
          <w:rFonts w:hint="eastAsia" w:hAnsi="宋体" w:cs="宋体"/>
          <w:color w:val="auto"/>
        </w:rPr>
      </w:pPr>
      <w:r>
        <w:rPr>
          <w:rFonts w:hint="eastAsia" w:hAnsi="宋体" w:cs="宋体"/>
          <w:color w:val="auto"/>
        </w:rPr>
        <w:t>依据本文件规定享受扶持政策获得政府采购合同的，小微企业不得将合同分包给大中型企业，中型企业不得将合同分包给大型企业。</w:t>
      </w:r>
      <w:bookmarkEnd w:id="240"/>
    </w:p>
    <w:p>
      <w:pPr>
        <w:pStyle w:val="14"/>
        <w:spacing w:line="360" w:lineRule="auto"/>
        <w:ind w:firstLine="420" w:firstLineChars="200"/>
        <w:rPr>
          <w:color w:val="auto"/>
        </w:rPr>
      </w:pPr>
      <w:r>
        <w:rPr>
          <w:rFonts w:hint="eastAsia" w:hAnsi="宋体" w:cs="宋体"/>
          <w:color w:val="auto"/>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42. 广西线上“政采贷”政策告知函</w:t>
      </w:r>
    </w:p>
    <w:p>
      <w:pPr>
        <w:spacing w:line="580" w:lineRule="exact"/>
        <w:jc w:val="center"/>
        <w:rPr>
          <w:rFonts w:hint="eastAsia" w:ascii="宋体" w:hAnsi="宋体" w:cs="宋体"/>
          <w:color w:val="auto"/>
          <w:sz w:val="44"/>
          <w:szCs w:val="44"/>
        </w:rPr>
      </w:pPr>
    </w:p>
    <w:p>
      <w:pPr>
        <w:spacing w:line="580" w:lineRule="exact"/>
        <w:jc w:val="center"/>
        <w:rPr>
          <w:rFonts w:hint="eastAsia" w:ascii="宋体" w:hAnsi="宋体" w:cs="宋体"/>
          <w:color w:val="auto"/>
          <w:sz w:val="32"/>
          <w:szCs w:val="32"/>
        </w:rPr>
      </w:pPr>
      <w:r>
        <w:rPr>
          <w:rFonts w:hint="eastAsia" w:ascii="宋体" w:hAnsi="宋体" w:cs="宋体"/>
          <w:color w:val="auto"/>
          <w:sz w:val="32"/>
          <w:szCs w:val="32"/>
        </w:rPr>
        <w:t>广西线上“政采贷”政策告知函</w:t>
      </w:r>
    </w:p>
    <w:p>
      <w:pPr>
        <w:spacing w:line="580" w:lineRule="exact"/>
        <w:ind w:firstLine="420" w:firstLineChars="200"/>
        <w:rPr>
          <w:rFonts w:hint="eastAsia" w:ascii="宋体" w:hAnsi="宋体" w:cs="宋体"/>
          <w:color w:val="auto"/>
          <w:szCs w:val="32"/>
        </w:rPr>
      </w:pPr>
    </w:p>
    <w:p>
      <w:pPr>
        <w:spacing w:line="580" w:lineRule="exact"/>
        <w:rPr>
          <w:rFonts w:hint="eastAsia" w:ascii="宋体" w:hAnsi="宋体" w:cs="宋体"/>
          <w:color w:val="auto"/>
          <w:szCs w:val="21"/>
        </w:rPr>
      </w:pPr>
      <w:r>
        <w:rPr>
          <w:rFonts w:hint="eastAsia" w:ascii="宋体" w:hAnsi="宋体" w:cs="宋体"/>
          <w:color w:val="auto"/>
          <w:szCs w:val="21"/>
        </w:rPr>
        <w:t>各供应商：</w:t>
      </w:r>
    </w:p>
    <w:p>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欢迎贵公司参与广西政府采购活动！</w:t>
      </w:r>
    </w:p>
    <w:p>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相关金融产品和银行业金融机构联系方式，可在中征应收账款融资服务平台查询（网址：</w:t>
      </w:r>
      <w:r>
        <w:rPr>
          <w:color w:val="auto"/>
        </w:rPr>
        <w:fldChar w:fldCharType="begin"/>
      </w:r>
      <w:r>
        <w:rPr>
          <w:color w:val="auto"/>
        </w:rPr>
        <w:instrText xml:space="preserve"> HYPERLINK "https://www.crcrfsp.com/" </w:instrText>
      </w:r>
      <w:r>
        <w:rPr>
          <w:color w:val="auto"/>
        </w:rPr>
        <w:fldChar w:fldCharType="separate"/>
      </w:r>
      <w:r>
        <w:rPr>
          <w:rStyle w:val="31"/>
          <w:rFonts w:hint="default" w:ascii="宋体" w:hAnsi="宋体" w:eastAsia="宋体" w:cs="宋体"/>
          <w:color w:val="auto"/>
          <w:szCs w:val="21"/>
        </w:rPr>
        <w:t>https://www.crcrfsp.com</w:t>
      </w:r>
      <w:r>
        <w:rPr>
          <w:rStyle w:val="31"/>
          <w:rFonts w:hint="default" w:ascii="宋体" w:hAnsi="宋体" w:eastAsia="宋体" w:cs="宋体"/>
          <w:color w:val="auto"/>
          <w:szCs w:val="21"/>
        </w:rPr>
        <w:fldChar w:fldCharType="end"/>
      </w:r>
      <w:r>
        <w:rPr>
          <w:rFonts w:hint="eastAsia" w:ascii="宋体" w:hAnsi="宋体" w:cs="宋体"/>
          <w:color w:val="auto"/>
          <w:szCs w:val="21"/>
        </w:rPr>
        <w:t>，客服电话：400-009-0001）。</w:t>
      </w:r>
    </w:p>
    <w:p>
      <w:pPr>
        <w:spacing w:line="360" w:lineRule="auto"/>
        <w:ind w:firstLine="420" w:firstLineChars="200"/>
        <w:jc w:val="left"/>
        <w:rPr>
          <w:rFonts w:hint="eastAsia" w:ascii="宋体" w:hAnsi="宋体" w:cs="宋体"/>
          <w:color w:val="auto"/>
        </w:rPr>
      </w:pPr>
      <w:r>
        <w:rPr>
          <w:rFonts w:hint="eastAsia" w:ascii="宋体" w:hAnsi="宋体" w:cs="宋体"/>
          <w:color w:val="auto"/>
        </w:rPr>
        <w:br w:type="page"/>
      </w:r>
      <w:bookmarkStart w:id="241" w:name="_Toc532545043"/>
    </w:p>
    <w:p>
      <w:pPr>
        <w:pStyle w:val="14"/>
        <w:jc w:val="center"/>
        <w:outlineLvl w:val="0"/>
        <w:rPr>
          <w:rFonts w:hint="eastAsia" w:hAnsi="宋体" w:cs="宋体"/>
          <w:b/>
          <w:color w:val="auto"/>
          <w:sz w:val="36"/>
        </w:rPr>
      </w:pPr>
      <w:bookmarkStart w:id="242" w:name="_Toc5517"/>
      <w:bookmarkStart w:id="243" w:name="_Toc18150"/>
      <w:bookmarkStart w:id="244" w:name="_Toc28215"/>
      <w:bookmarkStart w:id="245" w:name="_Toc2111"/>
      <w:bookmarkStart w:id="246" w:name="_Toc25066"/>
      <w:bookmarkStart w:id="247" w:name="_Toc31334"/>
      <w:bookmarkStart w:id="248" w:name="_Toc6459"/>
      <w:bookmarkStart w:id="249" w:name="_Toc12598"/>
      <w:bookmarkStart w:id="250" w:name="_Toc22076"/>
      <w:bookmarkStart w:id="251" w:name="_Toc22348"/>
      <w:bookmarkStart w:id="252" w:name="_Toc26538"/>
      <w:r>
        <w:rPr>
          <w:rFonts w:hint="eastAsia" w:hAnsi="宋体" w:cs="宋体"/>
          <w:b/>
          <w:color w:val="auto"/>
          <w:sz w:val="36"/>
        </w:rPr>
        <w:t xml:space="preserve">第四章  </w:t>
      </w:r>
      <w:bookmarkEnd w:id="241"/>
      <w:bookmarkEnd w:id="242"/>
      <w:bookmarkEnd w:id="243"/>
      <w:r>
        <w:rPr>
          <w:rFonts w:hint="eastAsia" w:hAnsi="宋体" w:cs="宋体"/>
          <w:b/>
          <w:color w:val="auto"/>
          <w:sz w:val="36"/>
        </w:rPr>
        <w:t>评标方法和评标标准</w:t>
      </w:r>
      <w:bookmarkEnd w:id="244"/>
      <w:bookmarkEnd w:id="245"/>
      <w:bookmarkEnd w:id="246"/>
      <w:bookmarkEnd w:id="247"/>
      <w:bookmarkEnd w:id="248"/>
      <w:bookmarkEnd w:id="249"/>
      <w:bookmarkEnd w:id="250"/>
      <w:bookmarkEnd w:id="251"/>
      <w:bookmarkEnd w:id="252"/>
    </w:p>
    <w:p>
      <w:pPr>
        <w:pStyle w:val="14"/>
        <w:jc w:val="center"/>
        <w:outlineLvl w:val="1"/>
        <w:rPr>
          <w:rFonts w:hint="eastAsia" w:hAnsi="宋体" w:cs="宋体"/>
          <w:b/>
          <w:bCs/>
          <w:color w:val="auto"/>
          <w:sz w:val="32"/>
          <w:szCs w:val="32"/>
        </w:rPr>
      </w:pPr>
      <w:bookmarkStart w:id="253" w:name="_Toc8187"/>
      <w:bookmarkStart w:id="254" w:name="_Toc3364"/>
      <w:bookmarkStart w:id="255" w:name="_Toc2086"/>
      <w:bookmarkStart w:id="256" w:name="_Toc31286"/>
      <w:bookmarkStart w:id="257" w:name="_Toc18908"/>
      <w:r>
        <w:rPr>
          <w:rFonts w:hint="eastAsia" w:hAnsi="宋体" w:cs="宋体"/>
          <w:b/>
          <w:bCs/>
          <w:color w:val="auto"/>
          <w:sz w:val="32"/>
          <w:szCs w:val="32"/>
        </w:rPr>
        <w:t>第一节 评标方法</w:t>
      </w:r>
      <w:bookmarkEnd w:id="253"/>
      <w:bookmarkEnd w:id="254"/>
      <w:bookmarkEnd w:id="255"/>
      <w:bookmarkEnd w:id="256"/>
      <w:bookmarkEnd w:id="257"/>
    </w:p>
    <w:p>
      <w:pPr>
        <w:pStyle w:val="14"/>
        <w:tabs>
          <w:tab w:val="left" w:pos="2472"/>
        </w:tabs>
        <w:spacing w:line="460" w:lineRule="exact"/>
        <w:ind w:firstLine="420" w:firstLineChars="200"/>
        <w:rPr>
          <w:rFonts w:hint="eastAsia" w:hAnsi="宋体" w:cs="宋体"/>
          <w:color w:val="auto"/>
          <w:szCs w:val="21"/>
        </w:rPr>
      </w:pPr>
      <w:r>
        <w:rPr>
          <w:rFonts w:hint="eastAsia" w:hAnsi="宋体" w:cs="宋体"/>
          <w:color w:val="auto"/>
          <w:szCs w:val="21"/>
        </w:rPr>
        <w:t>本项目采用</w:t>
      </w:r>
      <w:r>
        <w:rPr>
          <w:rFonts w:hint="eastAsia" w:hAnsi="宋体" w:cs="宋体"/>
          <w:color w:val="auto"/>
          <w:szCs w:val="21"/>
          <w:u w:val="single"/>
        </w:rPr>
        <w:t xml:space="preserve"> 以下勾选的方式</w:t>
      </w:r>
      <w:r>
        <w:rPr>
          <w:rFonts w:hint="eastAsia" w:hAnsi="宋体" w:cs="宋体"/>
          <w:color w:val="auto"/>
          <w:szCs w:val="21"/>
        </w:rPr>
        <w:t>进行评审。</w:t>
      </w:r>
    </w:p>
    <w:p>
      <w:pPr>
        <w:pStyle w:val="14"/>
        <w:spacing w:line="360" w:lineRule="auto"/>
        <w:ind w:firstLine="420"/>
        <w:rPr>
          <w:rFonts w:hint="eastAsia" w:hAnsi="宋体" w:cs="宋体"/>
          <w:color w:val="auto"/>
        </w:rPr>
      </w:pPr>
      <w:r>
        <w:rPr>
          <w:rFonts w:hint="eastAsia" w:hAnsi="宋体" w:cs="宋体"/>
          <w:color w:val="auto"/>
          <w:szCs w:val="21"/>
        </w:rPr>
        <w:t>□最低评标价法，是指投标文件满足招标文件</w:t>
      </w:r>
      <w:r>
        <w:rPr>
          <w:rFonts w:hint="eastAsia" w:hAnsi="宋体" w:cs="宋体"/>
          <w:color w:val="auto"/>
        </w:rPr>
        <w:t>全部实质性要求，且投标报价最低的投标人为中标候选人的评标方法。</w:t>
      </w:r>
    </w:p>
    <w:p>
      <w:pPr>
        <w:widowControl/>
        <w:spacing w:before="100" w:beforeAutospacing="1" w:after="100" w:afterAutospacing="1"/>
        <w:ind w:firstLine="420" w:firstLineChars="200"/>
        <w:jc w:val="left"/>
        <w:rPr>
          <w:rFonts w:hint="eastAsia" w:ascii="宋体" w:hAnsi="宋体" w:cs="宋体"/>
          <w:color w:val="auto"/>
          <w:sz w:val="24"/>
        </w:rPr>
      </w:pPr>
      <w:r>
        <w:rPr>
          <w:rFonts w:hint="eastAsia" w:ascii="宋体" w:hAnsi="宋体" w:cs="宋体"/>
          <w:color w:val="auto"/>
        </w:rPr>
        <w:sym w:font="Wingdings 2" w:char="0052"/>
      </w:r>
      <w:r>
        <w:rPr>
          <w:rFonts w:hint="eastAsia" w:ascii="宋体" w:hAnsi="宋体" w:cs="宋体"/>
          <w:color w:val="auto"/>
        </w:rPr>
        <w:t>综合评分法，</w:t>
      </w:r>
      <w:r>
        <w:rPr>
          <w:rFonts w:hint="eastAsia" w:ascii="宋体" w:hAnsi="宋体" w:cs="宋体"/>
          <w:color w:val="auto"/>
          <w:szCs w:val="20"/>
        </w:rPr>
        <w:t xml:space="preserve">是指投标文件满足招标文件全部实质性要求，且按照评审因素的量化指标评审得分最高的投标人为中标候选人的评标方法。 </w:t>
      </w:r>
    </w:p>
    <w:p>
      <w:pPr>
        <w:pStyle w:val="14"/>
        <w:spacing w:line="360" w:lineRule="auto"/>
        <w:ind w:firstLine="420"/>
        <w:rPr>
          <w:rFonts w:hint="eastAsia" w:hAnsi="宋体" w:cs="宋体"/>
          <w:color w:val="auto"/>
        </w:rPr>
      </w:pPr>
    </w:p>
    <w:p>
      <w:pPr>
        <w:pStyle w:val="14"/>
        <w:tabs>
          <w:tab w:val="left" w:pos="2472"/>
        </w:tabs>
        <w:spacing w:line="460" w:lineRule="exact"/>
        <w:jc w:val="center"/>
        <w:outlineLvl w:val="1"/>
        <w:rPr>
          <w:rFonts w:hint="eastAsia" w:hAnsi="宋体" w:cs="宋体"/>
          <w:b/>
          <w:bCs/>
          <w:color w:val="auto"/>
          <w:sz w:val="32"/>
          <w:szCs w:val="32"/>
        </w:rPr>
      </w:pPr>
      <w:bookmarkStart w:id="258" w:name="_Toc13037"/>
      <w:bookmarkStart w:id="259" w:name="_Toc12508"/>
      <w:bookmarkStart w:id="260" w:name="_Toc13065"/>
      <w:bookmarkStart w:id="261" w:name="_Toc11308"/>
      <w:bookmarkStart w:id="262" w:name="_Toc6695"/>
      <w:r>
        <w:rPr>
          <w:rFonts w:hint="eastAsia" w:hAnsi="宋体" w:cs="宋体"/>
          <w:b/>
          <w:bCs/>
          <w:color w:val="auto"/>
          <w:sz w:val="32"/>
          <w:szCs w:val="32"/>
        </w:rPr>
        <w:t>第二节 评标程序</w:t>
      </w:r>
      <w:bookmarkEnd w:id="258"/>
      <w:bookmarkEnd w:id="259"/>
      <w:bookmarkEnd w:id="260"/>
      <w:bookmarkEnd w:id="261"/>
      <w:bookmarkEnd w:id="262"/>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1.符合性审查</w:t>
      </w:r>
    </w:p>
    <w:p>
      <w:pPr>
        <w:spacing w:line="360" w:lineRule="auto"/>
        <w:ind w:firstLine="420" w:firstLineChars="200"/>
        <w:rPr>
          <w:rFonts w:hint="eastAsia" w:ascii="宋体" w:hAnsi="宋体" w:cs="宋体"/>
          <w:color w:val="auto"/>
        </w:rPr>
      </w:pPr>
      <w:r>
        <w:rPr>
          <w:rFonts w:hint="eastAsia" w:ascii="宋体" w:hAnsi="宋体" w:cs="宋体"/>
          <w:color w:val="auto"/>
        </w:rPr>
        <w:t>评标委员会应当对符合资格的投标人的投标文件进行投标报价、商务、技术等实质性内容符合性审查，以确定其是否满足招标文件的实质性要求。</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2.符合性审查不通过而导致投标无效的情形</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投标人的投标文件中存在对招标文件的任何实质性要求的负偏离，将被视为投标无效。</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2.1在报价评审时，如发现下列情形之一的，将被视为投标无效：</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（1）不满足招标文件实质性要求的；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（2）未采用人民币报价或者未按照招标文件标明的币种报价的；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（3）报价超出招标文件规定最高限价，或者超出采购预算金额的；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（5）修正后的报价，投标人不确认的；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（6）投标人属于本章第5条第（4）项情形的。</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2.2在商务评审时，如发现下列情形之一的，将被视为投标无效：</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（1）投标文件未按招标文件要求签署、盖章的；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（2）委托代理人未能出具有效身份证明或者出具的身份证明与授权委托书中的信息不符的； </w:t>
      </w:r>
    </w:p>
    <w:p>
      <w:pPr>
        <w:pStyle w:val="17"/>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（3）为无效投标保证金的或者未按照招标文件的规定提交投标保证金的；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（4）投标有效期不满足招标文件要求的；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（5）投标文件的实质性内容未使用中文表述、使用计量单位不符合招标文件要求的；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（6）投标文件中的文件资料因填写不齐全或者内容虚假或者出现其他情形而导致被评标委员会认定无效的；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（7）投标文件含有采购人不能接受的附加条件的；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（8）不满足招标文件实质性要求的；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（9）属于投标人须知正文第9.2条情形的；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（10）法律法规和招标文件规定的其他无效情形。</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2.3在技术评审时，如发现下列情形之一的，将被视为投标无效：</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（1）不满足招标文件实质性要求的；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（2）虚假投标，或者出现其他情形而导致被评标委员会认定无效的；</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（3）招标文件要求提供技术方案的，投标技术方案不明确，招标文件未允许但存在一个或者一个以上备选（替代）投标方案的。</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3.澄清、说明或者补正</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公章后在线上传至评标委员会。投标人的澄清、说明或者补正不得超出投标文件的范围或者改变投标文件的实质性内容。</w:t>
      </w:r>
      <w:r>
        <w:rPr>
          <w:rFonts w:hint="eastAsia" w:ascii="宋体" w:hAnsi="宋体" w:cs="宋体"/>
          <w:b/>
          <w:bCs/>
          <w:color w:val="auto"/>
          <w:szCs w:val="21"/>
        </w:rPr>
        <w:t>投标人未在规定时间内进行澄清、说明或者补正的，有可能对评审产生影响</w:t>
      </w:r>
      <w:r>
        <w:rPr>
          <w:rFonts w:hint="eastAsia" w:ascii="宋体" w:hAnsi="宋体" w:cs="宋体"/>
          <w:color w:val="auto"/>
          <w:szCs w:val="21"/>
        </w:rPr>
        <w:t>。</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4.投标文件修正</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4.1投标文件报价出现前后不一致的，按照下列规定修正： </w:t>
      </w:r>
    </w:p>
    <w:p>
      <w:pPr>
        <w:spacing w:line="360" w:lineRule="auto"/>
        <w:ind w:firstLine="420" w:firstLineChars="200"/>
        <w:rPr>
          <w:rFonts w:hint="eastAsia" w:ascii="宋体" w:hAnsi="宋体" w:cs="宋体"/>
          <w:color w:val="auto"/>
        </w:rPr>
      </w:pPr>
      <w:r>
        <w:rPr>
          <w:rFonts w:hint="eastAsia" w:ascii="宋体" w:hAnsi="宋体" w:cs="宋体"/>
          <w:color w:val="auto"/>
        </w:rPr>
        <w:t>（1）广西政府采购云平台电子开标大厅中的“开标记录表”内容与电子版投标文件中相应内容不一致的，以广西政府采购云平台电子开标大厅中的“开标记录表”为准；</w:t>
      </w:r>
    </w:p>
    <w:p>
      <w:pPr>
        <w:spacing w:line="360" w:lineRule="auto"/>
        <w:ind w:firstLine="420" w:firstLineChars="200"/>
        <w:rPr>
          <w:rFonts w:hint="eastAsia" w:ascii="宋体" w:hAnsi="宋体" w:cs="宋体"/>
          <w:color w:val="auto"/>
        </w:rPr>
      </w:pPr>
      <w:r>
        <w:rPr>
          <w:rFonts w:hint="eastAsia" w:ascii="宋体" w:hAnsi="宋体" w:cs="宋体"/>
          <w:color w:val="auto"/>
        </w:rPr>
        <w:t>（2）大写金额和小写金额不一致的，以大写金额为准；</w:t>
      </w:r>
    </w:p>
    <w:p>
      <w:pPr>
        <w:spacing w:line="360" w:lineRule="auto"/>
        <w:ind w:firstLine="420" w:firstLineChars="200"/>
        <w:rPr>
          <w:rFonts w:hint="eastAsia" w:ascii="宋体" w:hAnsi="宋体" w:cs="宋体"/>
          <w:color w:val="auto"/>
        </w:rPr>
      </w:pPr>
      <w:r>
        <w:rPr>
          <w:rFonts w:hint="eastAsia" w:ascii="宋体" w:hAnsi="宋体" w:cs="宋体"/>
          <w:color w:val="auto"/>
        </w:rPr>
        <w:t>（3）单价金额小数点或者百分比有明显错位的，以开标一览表的总价为准，并修改单价；</w:t>
      </w:r>
    </w:p>
    <w:p>
      <w:pPr>
        <w:spacing w:line="360" w:lineRule="auto"/>
        <w:ind w:firstLine="420" w:firstLineChars="200"/>
        <w:rPr>
          <w:rFonts w:hint="eastAsia" w:ascii="宋体" w:hAnsi="宋体" w:cs="宋体"/>
          <w:color w:val="auto"/>
        </w:rPr>
      </w:pPr>
      <w:r>
        <w:rPr>
          <w:rFonts w:hint="eastAsia" w:ascii="宋体" w:hAnsi="宋体" w:cs="宋体"/>
          <w:color w:val="auto"/>
        </w:rPr>
        <w:t>（4）总价金额与按单价汇总金额不一致的，以单价金额计算结果为准。</w:t>
      </w:r>
    </w:p>
    <w:p>
      <w:pPr>
        <w:spacing w:line="360" w:lineRule="auto"/>
        <w:ind w:firstLine="420" w:firstLineChars="200"/>
        <w:rPr>
          <w:rFonts w:hint="eastAsia" w:ascii="宋体" w:hAnsi="宋体" w:cs="宋体"/>
          <w:color w:val="auto"/>
        </w:rPr>
      </w:pPr>
      <w:r>
        <w:rPr>
          <w:rFonts w:hint="eastAsia" w:ascii="宋体" w:hAnsi="宋体" w:cs="宋体"/>
          <w:color w:val="auto"/>
        </w:rPr>
        <w:t>同时出现两种以上不一致的，按照以上（1）-（4）规定的顺序修正。</w:t>
      </w:r>
      <w:r>
        <w:rPr>
          <w:rFonts w:hint="eastAsia" w:ascii="宋体" w:hAnsi="宋体" w:cs="宋体"/>
          <w:b/>
          <w:bCs/>
          <w:color w:val="auto"/>
        </w:rPr>
        <w:t>修正后的报价经投标人确认后产生约束力，投标人不确认的，其投标无效</w:t>
      </w:r>
      <w:r>
        <w:rPr>
          <w:rFonts w:hint="eastAsia" w:ascii="宋体" w:hAnsi="宋体" w:cs="宋体"/>
          <w:color w:val="auto"/>
        </w:rPr>
        <w:t>。</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4.2经投标人确认修正后的报价若超过采购预算金额或者最高限价，投标人的投标文件作无效投标处理。</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4.3经投标人确认修正后的报价作为签订合同的依据，并以此报价计算价格分。</w:t>
      </w:r>
    </w:p>
    <w:p>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5.比较与评价</w:t>
      </w:r>
    </w:p>
    <w:p>
      <w:pPr>
        <w:tabs>
          <w:tab w:val="center" w:pos="4153"/>
          <w:tab w:val="right" w:pos="8306"/>
        </w:tabs>
        <w:spacing w:line="360" w:lineRule="auto"/>
        <w:ind w:firstLine="420" w:firstLineChars="200"/>
        <w:rPr>
          <w:color w:val="auto"/>
        </w:rPr>
      </w:pPr>
      <w:r>
        <w:rPr>
          <w:rFonts w:hint="eastAsia" w:ascii="宋体" w:hAnsi="宋体" w:cs="宋体"/>
          <w:color w:val="auto"/>
        </w:rPr>
        <w:t>（1）</w:t>
      </w:r>
      <w:r>
        <w:rPr>
          <w:rFonts w:hint="eastAsia" w:ascii="宋体" w:hAnsi="宋体" w:cs="宋体"/>
          <w:color w:val="auto"/>
          <w:szCs w:val="21"/>
        </w:rPr>
        <w:t>评标委员会成员要根据政府采购法律法规和招标文件所载明的评标方法、标准进行评审。对投标人的价格分等客观评分项的评分应当一致，对其他需要借助专业知识评判的主观评分项，应当严格按照评分细则公正评分。</w:t>
      </w:r>
    </w:p>
    <w:p>
      <w:pPr>
        <w:spacing w:line="360" w:lineRule="auto"/>
        <w:ind w:firstLine="420" w:firstLineChars="200"/>
        <w:rPr>
          <w:rFonts w:hint="eastAsia" w:ascii="宋体" w:hAnsi="宋体" w:cs="宋体"/>
          <w:color w:val="auto"/>
        </w:rPr>
      </w:pPr>
      <w:r>
        <w:rPr>
          <w:rFonts w:hint="eastAsia" w:ascii="宋体" w:hAnsi="宋体" w:cs="宋体"/>
          <w:color w:val="auto"/>
        </w:rPr>
        <w:t>（2）评标委员会按照招标文件中规定的评标方法和评标标准，对符合性审查合格的投标文件进行商务和技术评估，综合比较与评价。</w:t>
      </w:r>
    </w:p>
    <w:p>
      <w:pPr>
        <w:spacing w:line="360" w:lineRule="auto"/>
        <w:ind w:firstLine="420" w:firstLineChars="200"/>
        <w:rPr>
          <w:rFonts w:hint="eastAsia" w:ascii="宋体" w:hAnsi="宋体" w:cs="宋体"/>
          <w:color w:val="auto"/>
        </w:rPr>
      </w:pPr>
      <w:r>
        <w:rPr>
          <w:rFonts w:hint="eastAsia" w:ascii="宋体" w:hAnsi="宋体" w:cs="宋体"/>
          <w:color w:val="auto"/>
        </w:rPr>
        <w:t>（3）评标委员会各成员独立对每个投标人的投标文件进行评价，并汇总每个投标人的得分。</w:t>
      </w:r>
    </w:p>
    <w:p>
      <w:pPr>
        <w:spacing w:line="360" w:lineRule="auto"/>
        <w:ind w:firstLine="422" w:firstLineChars="200"/>
        <w:rPr>
          <w:rFonts w:hint="eastAsia" w:ascii="宋体" w:hAnsi="宋体" w:cs="宋体"/>
          <w:b/>
          <w:bCs/>
          <w:color w:val="auto"/>
        </w:rPr>
      </w:pPr>
      <w:r>
        <w:rPr>
          <w:rFonts w:hint="eastAsia" w:ascii="宋体" w:hAnsi="宋体" w:cs="宋体"/>
          <w:b/>
          <w:bCs/>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①采购评审中出现下列情形之一的，评标委员会应当启动异常低价投标审查程序： </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A.投标报价低于全部通过符合性审查投标人投标报价平均值50%的，即投标报价＜全部通过符合性审查投标人投标报价平均值×50%； </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B.投标报价低于通过符合性审查的次低报价投标人投标报价50%的，即投标报价＜通过符合性审查的次低报价投标人投标报价×50%； </w:t>
      </w:r>
    </w:p>
    <w:p>
      <w:pPr>
        <w:spacing w:line="360" w:lineRule="auto"/>
        <w:ind w:firstLine="420" w:firstLineChars="200"/>
        <w:rPr>
          <w:rFonts w:hint="eastAsia" w:ascii="宋体" w:hAnsi="宋体" w:cs="宋体"/>
          <w:color w:val="auto"/>
        </w:rPr>
      </w:pPr>
      <w:r>
        <w:rPr>
          <w:rFonts w:hint="eastAsia" w:ascii="宋体" w:hAnsi="宋体" w:cs="宋体"/>
          <w:color w:val="auto"/>
        </w:rPr>
        <w:t>C.投标报价低于采购项目最高限价45%的，即投标报价＜采购项目最高限价×45%；</w:t>
      </w:r>
    </w:p>
    <w:p>
      <w:pPr>
        <w:spacing w:line="360" w:lineRule="auto"/>
        <w:ind w:firstLine="420" w:firstLineChars="200"/>
        <w:rPr>
          <w:rFonts w:hint="eastAsia" w:ascii="宋体" w:hAnsi="宋体" w:cs="宋体"/>
          <w:color w:val="auto"/>
        </w:rPr>
      </w:pPr>
      <w:r>
        <w:rPr>
          <w:rFonts w:hint="eastAsia" w:ascii="宋体" w:hAnsi="宋体" w:cs="宋体"/>
          <w:color w:val="auto"/>
        </w:rPr>
        <w:t>D.评标委员会基于专业判断，认为投标人报价过低，有可能影响产品质量或者不能诚信履约的其他情形。</w:t>
      </w:r>
    </w:p>
    <w:p>
      <w:pPr>
        <w:spacing w:line="360" w:lineRule="auto"/>
        <w:ind w:firstLine="420" w:firstLineChars="200"/>
        <w:rPr>
          <w:rFonts w:hint="eastAsia" w:ascii="宋体" w:hAnsi="宋体" w:cs="宋体"/>
          <w:color w:val="auto"/>
        </w:rPr>
      </w:pPr>
      <w:r>
        <w:rPr>
          <w:rFonts w:hint="eastAsia" w:ascii="宋体" w:hAnsi="宋体" w:cs="宋体"/>
          <w:color w:val="auto"/>
        </w:rPr>
        <w:t>相关法律法规对投标人报价有规定的，从其规定。</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   ②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p>
      <w:pPr>
        <w:spacing w:line="360" w:lineRule="auto"/>
        <w:ind w:firstLine="420" w:firstLineChars="200"/>
        <w:rPr>
          <w:rFonts w:hint="eastAsia" w:ascii="宋体" w:hAnsi="宋体" w:cs="宋体"/>
          <w:color w:val="auto"/>
        </w:rPr>
      </w:pPr>
      <w:r>
        <w:rPr>
          <w:rFonts w:hint="eastAsia" w:ascii="宋体" w:hAnsi="宋体" w:cs="宋体"/>
          <w:color w:val="auto"/>
        </w:rPr>
        <w:t xml:space="preserve">   ③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pPr>
        <w:spacing w:line="360" w:lineRule="auto"/>
        <w:ind w:firstLine="420" w:firstLineChars="200"/>
        <w:rPr>
          <w:rFonts w:hint="eastAsia" w:ascii="宋体" w:hAnsi="宋体" w:cs="宋体"/>
          <w:color w:val="auto"/>
        </w:rPr>
      </w:pPr>
      <w:r>
        <w:rPr>
          <w:rFonts w:hint="eastAsia" w:ascii="宋体" w:hAnsi="宋体" w:cs="宋体"/>
          <w:color w:val="auto"/>
        </w:rPr>
        <w:t>（5）评标委员会按照招标文件中规定的评标方法和标准计算各投标人的报价得分。在评标过程中，不得去掉报价中的最高报价和最低报价。</w:t>
      </w:r>
    </w:p>
    <w:p>
      <w:pPr>
        <w:spacing w:line="360" w:lineRule="auto"/>
        <w:ind w:firstLine="420" w:firstLineChars="200"/>
        <w:rPr>
          <w:rFonts w:hint="eastAsia" w:ascii="宋体" w:hAnsi="宋体" w:cs="宋体"/>
          <w:color w:val="auto"/>
        </w:rPr>
      </w:pPr>
      <w:r>
        <w:rPr>
          <w:rFonts w:hint="eastAsia" w:ascii="宋体" w:hAnsi="宋体" w:cs="宋体"/>
          <w:color w:val="auto"/>
        </w:rPr>
        <w:t>（6）各投标人的得分为评标委员会各成员的有效评分的算术平均数。</w:t>
      </w:r>
    </w:p>
    <w:p>
      <w:pPr>
        <w:spacing w:line="360" w:lineRule="auto"/>
        <w:ind w:firstLine="420" w:firstLineChars="200"/>
        <w:rPr>
          <w:rFonts w:hint="eastAsia" w:ascii="宋体" w:hAnsi="宋体" w:cs="宋体"/>
          <w:color w:val="auto"/>
        </w:rPr>
      </w:pPr>
      <w:r>
        <w:rPr>
          <w:rFonts w:hint="eastAsia" w:ascii="宋体" w:hAnsi="宋体" w:cs="宋体"/>
          <w:color w:val="auto"/>
        </w:rPr>
        <w:t>（7）评标委员会按照招标文件中的规定推荐中标候选人。</w:t>
      </w:r>
    </w:p>
    <w:p>
      <w:pPr>
        <w:tabs>
          <w:tab w:val="center" w:pos="4153"/>
          <w:tab w:val="right" w:pos="8306"/>
        </w:tabs>
        <w:spacing w:line="360" w:lineRule="auto"/>
        <w:ind w:firstLine="420" w:firstLineChars="200"/>
        <w:rPr>
          <w:rFonts w:hint="eastAsia" w:ascii="宋体" w:hAnsi="宋体" w:cs="宋体"/>
          <w:color w:val="auto"/>
        </w:rPr>
      </w:pPr>
      <w:r>
        <w:rPr>
          <w:rFonts w:hint="eastAsia" w:ascii="宋体" w:hAnsi="宋体" w:cs="宋体"/>
          <w:color w:val="auto"/>
        </w:rPr>
        <w:t>（8）起草并签署评标报告。评标委员会根据评标委员会各成员签字的原始评标记录和评标结果编写评标报告。评标委员会各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pPr>
        <w:spacing w:line="360" w:lineRule="auto"/>
        <w:ind w:firstLine="422" w:firstLineChars="200"/>
        <w:rPr>
          <w:rFonts w:hint="eastAsia" w:ascii="宋体" w:hAnsi="宋体"/>
          <w:b/>
          <w:color w:val="auto"/>
          <w:szCs w:val="21"/>
        </w:rPr>
      </w:pPr>
      <w:r>
        <w:rPr>
          <w:rFonts w:hint="eastAsia" w:ascii="宋体" w:hAnsi="宋体"/>
          <w:b/>
          <w:color w:val="auto"/>
          <w:szCs w:val="21"/>
        </w:rPr>
        <w:t>6.评审复核</w:t>
      </w:r>
    </w:p>
    <w:p>
      <w:pPr>
        <w:spacing w:line="360" w:lineRule="auto"/>
        <w:ind w:firstLine="420" w:firstLineChars="200"/>
        <w:rPr>
          <w:rFonts w:hint="eastAsia" w:ascii="宋体" w:hAnsi="宋体"/>
          <w:color w:val="auto"/>
          <w:szCs w:val="21"/>
        </w:rPr>
      </w:pPr>
      <w:r>
        <w:rPr>
          <w:rFonts w:hint="eastAsia" w:ascii="宋体" w:hAnsi="宋体"/>
          <w:color w:val="auto"/>
          <w:szCs w:val="21"/>
        </w:rPr>
        <w:t>6.1评标报告签署前，评标委员会要对评审结果进行复核，复核意见要体现在评标报告中。</w:t>
      </w:r>
    </w:p>
    <w:p>
      <w:pPr>
        <w:widowControl/>
        <w:spacing w:line="360" w:lineRule="auto"/>
        <w:ind w:firstLine="420" w:firstLineChars="200"/>
        <w:jc w:val="left"/>
        <w:textAlignment w:val="baseline"/>
        <w:rPr>
          <w:rFonts w:hint="eastAsia" w:hAnsi="宋体"/>
          <w:color w:val="auto"/>
        </w:rPr>
      </w:pPr>
      <w:r>
        <w:rPr>
          <w:rFonts w:hint="eastAsia" w:ascii="宋体" w:hAnsi="宋体" w:cs="宋体"/>
          <w:color w:val="auto"/>
        </w:rPr>
        <w:t>6.2</w:t>
      </w:r>
      <w:r>
        <w:rPr>
          <w:rFonts w:hint="eastAsia" w:hAnsi="宋体"/>
          <w:color w:val="auto"/>
        </w:rPr>
        <w:t>评标结果汇总完成后，除下列情形外，任何人不得修改评标结果：</w:t>
      </w:r>
    </w:p>
    <w:p>
      <w:pPr>
        <w:widowControl/>
        <w:spacing w:line="360" w:lineRule="auto"/>
        <w:jc w:val="left"/>
        <w:textAlignment w:val="baseline"/>
        <w:rPr>
          <w:rFonts w:hint="eastAsia" w:hAnsi="宋体"/>
          <w:color w:val="auto"/>
        </w:rPr>
      </w:pPr>
      <w:r>
        <w:rPr>
          <w:rFonts w:hint="eastAsia" w:hAnsi="宋体"/>
          <w:color w:val="auto"/>
        </w:rPr>
        <w:t>　　（一）分值汇总计算错误的；</w:t>
      </w:r>
    </w:p>
    <w:p>
      <w:pPr>
        <w:widowControl/>
        <w:spacing w:line="360" w:lineRule="auto"/>
        <w:jc w:val="left"/>
        <w:textAlignment w:val="baseline"/>
        <w:rPr>
          <w:rFonts w:hint="eastAsia" w:hAnsi="宋体"/>
          <w:color w:val="auto"/>
        </w:rPr>
      </w:pPr>
      <w:r>
        <w:rPr>
          <w:rFonts w:hint="eastAsia" w:hAnsi="宋体"/>
          <w:color w:val="auto"/>
        </w:rPr>
        <w:t>　　（二）分项评分超出评分标准范围的；</w:t>
      </w:r>
    </w:p>
    <w:p>
      <w:pPr>
        <w:widowControl/>
        <w:spacing w:line="360" w:lineRule="auto"/>
        <w:jc w:val="left"/>
        <w:textAlignment w:val="baseline"/>
        <w:rPr>
          <w:rFonts w:hint="eastAsia" w:hAnsi="宋体"/>
          <w:color w:val="auto"/>
        </w:rPr>
      </w:pPr>
      <w:r>
        <w:rPr>
          <w:rFonts w:hint="eastAsia" w:hAnsi="宋体"/>
          <w:color w:val="auto"/>
        </w:rPr>
        <w:t>　　（三）评标委员会成员对客观评审因素评分不一致的；</w:t>
      </w:r>
    </w:p>
    <w:p>
      <w:pPr>
        <w:widowControl/>
        <w:spacing w:line="360" w:lineRule="auto"/>
        <w:jc w:val="left"/>
        <w:textAlignment w:val="baseline"/>
        <w:rPr>
          <w:rFonts w:hint="eastAsia" w:hAnsi="宋体"/>
          <w:color w:val="auto"/>
        </w:rPr>
      </w:pPr>
      <w:r>
        <w:rPr>
          <w:rFonts w:hint="eastAsia" w:hAnsi="宋体"/>
          <w:color w:val="auto"/>
        </w:rPr>
        <w:t>　　（四）经评标委员会认定评分畸高、畸低的。</w:t>
      </w:r>
    </w:p>
    <w:p>
      <w:pPr>
        <w:spacing w:line="360" w:lineRule="auto"/>
        <w:ind w:firstLine="420" w:firstLineChars="200"/>
        <w:rPr>
          <w:rFonts w:hint="eastAsia" w:hAnsi="宋体"/>
          <w:color w:val="auto"/>
        </w:rPr>
      </w:pPr>
      <w:r>
        <w:rPr>
          <w:rFonts w:hint="eastAsia" w:hAnsi="宋体"/>
          <w:color w:val="auto"/>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17"/>
        <w:rPr>
          <w:color w:val="auto"/>
        </w:rPr>
      </w:pPr>
    </w:p>
    <w:p>
      <w:pPr>
        <w:pStyle w:val="3"/>
        <w:jc w:val="center"/>
        <w:rPr>
          <w:rFonts w:hint="eastAsia" w:ascii="宋体" w:hAnsi="宋体" w:eastAsia="宋体" w:cs="宋体"/>
          <w:b w:val="0"/>
          <w:color w:val="auto"/>
          <w:sz w:val="30"/>
          <w:szCs w:val="30"/>
        </w:rPr>
      </w:pPr>
      <w:bookmarkStart w:id="263" w:name="_Toc25387"/>
      <w:bookmarkStart w:id="264" w:name="_Toc17840"/>
      <w:bookmarkStart w:id="265" w:name="_Toc32041"/>
      <w:bookmarkStart w:id="266" w:name="_Toc17655"/>
      <w:bookmarkStart w:id="267" w:name="_Toc2655"/>
      <w:r>
        <w:rPr>
          <w:rFonts w:hint="eastAsia" w:ascii="宋体" w:hAnsi="宋体" w:eastAsia="宋体" w:cs="宋体"/>
          <w:b w:val="0"/>
          <w:color w:val="auto"/>
          <w:sz w:val="30"/>
          <w:szCs w:val="30"/>
        </w:rPr>
        <w:t>第三节 评分标准</w:t>
      </w:r>
      <w:bookmarkEnd w:id="263"/>
      <w:bookmarkEnd w:id="264"/>
      <w:bookmarkEnd w:id="265"/>
      <w:bookmarkEnd w:id="266"/>
      <w:bookmarkEnd w:id="267"/>
    </w:p>
    <w:p>
      <w:pPr>
        <w:pStyle w:val="14"/>
        <w:ind w:firstLine="602" w:firstLineChars="200"/>
        <w:jc w:val="center"/>
        <w:rPr>
          <w:rFonts w:hint="eastAsia" w:hAnsi="宋体" w:cs="宋体"/>
          <w:b/>
          <w:color w:val="auto"/>
          <w:sz w:val="30"/>
          <w:szCs w:val="30"/>
        </w:rPr>
      </w:pPr>
      <w:r>
        <w:rPr>
          <w:rFonts w:hint="eastAsia" w:hAnsi="宋体" w:cs="宋体"/>
          <w:b/>
          <w:color w:val="auto"/>
          <w:sz w:val="30"/>
          <w:szCs w:val="30"/>
        </w:rPr>
        <w:t>综合评分法</w:t>
      </w:r>
    </w:p>
    <w:p>
      <w:pPr>
        <w:pStyle w:val="14"/>
        <w:spacing w:line="360" w:lineRule="auto"/>
        <w:ind w:firstLine="420"/>
        <w:rPr>
          <w:rFonts w:hint="eastAsia" w:hAnsi="宋体" w:cs="宋体"/>
          <w:bCs/>
          <w:color w:val="auto"/>
        </w:rPr>
      </w:pPr>
      <w:r>
        <w:rPr>
          <w:rFonts w:hint="eastAsia" w:hAnsi="宋体" w:cs="宋体"/>
          <w:bCs/>
          <w:color w:val="auto"/>
        </w:rPr>
        <w:t>注：计分方法按四舍五入取至百分位。</w:t>
      </w:r>
    </w:p>
    <w:p>
      <w:pPr>
        <w:pStyle w:val="9"/>
        <w:ind w:left="0" w:firstLine="211" w:firstLineChars="100"/>
        <w:jc w:val="left"/>
        <w:rPr>
          <w:b/>
          <w:color w:val="auto"/>
        </w:rPr>
      </w:pPr>
      <w:r>
        <w:rPr>
          <w:rFonts w:hint="eastAsia" w:hAnsi="宋体" w:cs="宋体"/>
          <w:b/>
          <w:color w:val="auto"/>
        </w:rPr>
        <w:t>标项一</w:t>
      </w:r>
    </w:p>
    <w:tbl>
      <w:tblPr>
        <w:tblStyle w:val="2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66"/>
        <w:gridCol w:w="1330"/>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2"/>
            <w:vAlign w:val="center"/>
          </w:tcPr>
          <w:p>
            <w:pPr>
              <w:adjustRightInd w:val="0"/>
              <w:spacing w:after="0" w:line="440" w:lineRule="atLeast"/>
              <w:jc w:val="center"/>
              <w:textAlignment w:val="baseline"/>
              <w:rPr>
                <w:rFonts w:hint="eastAsia" w:ascii="宋体" w:hAnsi="宋体" w:cs="宋体"/>
                <w:color w:val="auto"/>
                <w:szCs w:val="21"/>
              </w:rPr>
            </w:pPr>
            <w:bookmarkStart w:id="268" w:name="OLE_LINK5"/>
            <w:r>
              <w:rPr>
                <w:rFonts w:hint="eastAsia" w:ascii="宋体" w:hAnsi="宋体" w:cs="宋体"/>
                <w:b/>
                <w:color w:val="auto"/>
                <w:szCs w:val="21"/>
              </w:rPr>
              <w:t>序号</w:t>
            </w:r>
          </w:p>
        </w:tc>
        <w:tc>
          <w:tcPr>
            <w:tcW w:w="1330"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评审因素</w:t>
            </w:r>
          </w:p>
        </w:tc>
        <w:tc>
          <w:tcPr>
            <w:tcW w:w="6029"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1</w:t>
            </w:r>
          </w:p>
        </w:tc>
        <w:tc>
          <w:tcPr>
            <w:tcW w:w="1566"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价格分</w:t>
            </w:r>
          </w:p>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35</w:t>
            </w:r>
            <w:r>
              <w:rPr>
                <w:rFonts w:hint="eastAsia" w:ascii="宋体" w:hAnsi="宋体" w:cs="宋体"/>
                <w:color w:val="auto"/>
                <w:szCs w:val="21"/>
              </w:rPr>
              <w:t>分）</w:t>
            </w:r>
          </w:p>
          <w:p>
            <w:pPr>
              <w:adjustRightInd w:val="0"/>
              <w:spacing w:after="0" w:line="440" w:lineRule="atLeast"/>
              <w:jc w:val="left"/>
              <w:textAlignment w:val="baseline"/>
              <w:rPr>
                <w:rFonts w:hint="eastAsia" w:ascii="宋体" w:hAnsi="宋体" w:cs="宋体"/>
                <w:color w:val="auto"/>
                <w:szCs w:val="21"/>
              </w:rPr>
            </w:pPr>
          </w:p>
        </w:tc>
        <w:tc>
          <w:tcPr>
            <w:tcW w:w="1330"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投标报价</w:t>
            </w:r>
          </w:p>
        </w:tc>
        <w:tc>
          <w:tcPr>
            <w:tcW w:w="6029" w:type="dxa"/>
            <w:vAlign w:val="center"/>
          </w:tcPr>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1.1评标价为投标人的投标报价进行政策性扣除后</w:t>
            </w:r>
            <w:r>
              <w:rPr>
                <w:rFonts w:hint="eastAsia" w:ascii="宋体" w:hAnsi="宋体" w:cs="宋体"/>
                <w:bCs/>
                <w:color w:val="auto"/>
                <w:szCs w:val="21"/>
                <w:lang w:eastAsia="zh-CN"/>
              </w:rPr>
              <w:t>（如有）</w:t>
            </w:r>
            <w:r>
              <w:rPr>
                <w:rFonts w:hint="eastAsia" w:ascii="宋体" w:hAnsi="宋体" w:cs="宋体"/>
                <w:bCs/>
                <w:color w:val="auto"/>
                <w:szCs w:val="21"/>
              </w:rPr>
              <w:t>的价格，评标价只是作为评标时使用。最终中标人的中标金额等于投标报价。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 政策性扣除计算方法。</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1.2.1对小微企业的价格评审优惠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被评定为监狱企业或者残疾人福利性单位或者其提供的货物全部由符合政策要求的小型、微型企业制造，即货物由小型、微型企业生产且使用该小型、微型企业商号或者注册商标的，该投标人的投标报价给予</w:t>
            </w:r>
            <w:r>
              <w:rPr>
                <w:rFonts w:hint="eastAsia" w:ascii="宋体" w:hAnsi="宋体" w:cs="宋体"/>
                <w:bCs/>
                <w:color w:val="auto"/>
                <w:szCs w:val="21"/>
                <w:lang w:val="en-US" w:eastAsia="zh-CN"/>
              </w:rPr>
              <w:t>10</w:t>
            </w:r>
            <w:r>
              <w:rPr>
                <w:rFonts w:hint="eastAsia" w:ascii="宋体" w:hAnsi="宋体" w:cs="宋体"/>
                <w:bCs/>
                <w:color w:val="auto"/>
                <w:szCs w:val="21"/>
              </w:rPr>
              <w:t>%的扣除，扣除后的价格为评标价，即评标价=投标报价×（1-</w:t>
            </w:r>
            <w:r>
              <w:rPr>
                <w:rFonts w:hint="eastAsia" w:ascii="宋体" w:hAnsi="宋体" w:cs="宋体"/>
                <w:bCs/>
                <w:color w:val="auto"/>
                <w:szCs w:val="21"/>
                <w:lang w:val="en-US" w:eastAsia="zh-CN"/>
              </w:rPr>
              <w:t>1</w:t>
            </w:r>
            <w:r>
              <w:rPr>
                <w:rFonts w:hint="eastAsia" w:ascii="宋体" w:hAnsi="宋体" w:cs="宋体"/>
                <w:bCs/>
                <w:color w:val="auto"/>
                <w:szCs w:val="21"/>
              </w:rPr>
              <w:t>0%）；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6%的扣除，用扣除后的价格参加评审，扣除后的价格为评标价，即评标价=投标报价×（1－6%）。</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1.2.2对本国产品的价格评审优惠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对本国产品的支持政策：政府采购活动中既有本国产品又有非本国产品参与竞争的，依法对本国产品给予价格评审优惠，对本国产品的报价给予20%的价格扣除，用扣除后的价格参与评审。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除上述情况外，评标价=投标报价。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1.3满足招标文件要求且评标价最低的评标价为评标基准价，基准价得分为35分。</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 xml:space="preserve">1.4价格分计算公式：        </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价格分=(评标基准价／评标价)×35分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2</w:t>
            </w:r>
          </w:p>
        </w:tc>
        <w:tc>
          <w:tcPr>
            <w:tcW w:w="1566" w:type="dxa"/>
            <w:vMerge w:val="restart"/>
            <w:vAlign w:val="center"/>
          </w:tcPr>
          <w:p>
            <w:pPr>
              <w:adjustRightInd w:val="0"/>
              <w:spacing w:after="0" w:line="440" w:lineRule="atLeast"/>
              <w:ind w:left="-105" w:leftChars="-50" w:right="-105" w:rightChars="-50"/>
              <w:jc w:val="center"/>
              <w:textAlignment w:val="baseline"/>
              <w:rPr>
                <w:rFonts w:hint="eastAsia" w:ascii="宋体" w:hAnsi="宋体" w:cs="宋体"/>
                <w:b/>
                <w:bCs/>
                <w:color w:val="auto"/>
                <w:szCs w:val="21"/>
              </w:rPr>
            </w:pPr>
            <w:r>
              <w:rPr>
                <w:rFonts w:hint="eastAsia" w:ascii="宋体" w:hAnsi="宋体" w:cs="宋体"/>
                <w:b/>
                <w:bCs/>
                <w:color w:val="auto"/>
                <w:szCs w:val="21"/>
              </w:rPr>
              <w:t>技术分</w:t>
            </w:r>
          </w:p>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r>
              <w:rPr>
                <w:rFonts w:hint="eastAsia" w:ascii="宋体" w:hAnsi="宋体" w:cs="宋体"/>
                <w:bCs/>
                <w:color w:val="auto"/>
                <w:szCs w:val="21"/>
              </w:rPr>
              <w:t>（</w:t>
            </w:r>
            <w:r>
              <w:rPr>
                <w:rFonts w:hint="eastAsia" w:ascii="宋体" w:hAnsi="宋体" w:cs="宋体"/>
                <w:color w:val="auto"/>
                <w:szCs w:val="21"/>
              </w:rPr>
              <w:t>满分</w:t>
            </w:r>
            <w:r>
              <w:rPr>
                <w:rFonts w:hint="eastAsia" w:ascii="宋体" w:hAnsi="宋体" w:cs="宋体"/>
                <w:color w:val="auto"/>
                <w:szCs w:val="21"/>
                <w:u w:val="single"/>
              </w:rPr>
              <w:t>60</w:t>
            </w:r>
            <w:r>
              <w:rPr>
                <w:rFonts w:hint="eastAsia" w:ascii="宋体" w:hAnsi="宋体" w:cs="宋体"/>
                <w:bCs/>
                <w:color w:val="auto"/>
                <w:szCs w:val="21"/>
              </w:rPr>
              <w:t>分）</w:t>
            </w:r>
          </w:p>
        </w:tc>
        <w:tc>
          <w:tcPr>
            <w:tcW w:w="1330" w:type="dxa"/>
            <w:vAlign w:val="center"/>
          </w:tcPr>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bCs/>
                <w:color w:val="auto"/>
                <w:szCs w:val="21"/>
              </w:rPr>
              <w:t>2.1技术性能分（满分30分）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kern w:val="0"/>
                <w:szCs w:val="21"/>
              </w:rPr>
              <w:t>投标人所投产品的技术参数及配置每有一项正偏离或完全满足“</w:t>
            </w:r>
            <w:r>
              <w:rPr>
                <w:rFonts w:hint="eastAsia" w:hAnsi="宋体" w:cs="宋体"/>
                <w:bCs/>
                <w:color w:val="auto"/>
                <w:kern w:val="0"/>
                <w:szCs w:val="21"/>
              </w:rPr>
              <w:t>●</w:t>
            </w:r>
            <w:r>
              <w:rPr>
                <w:rFonts w:hint="eastAsia" w:hAnsi="宋体" w:cs="宋体"/>
                <w:color w:val="auto"/>
                <w:kern w:val="0"/>
                <w:szCs w:val="21"/>
              </w:rPr>
              <w:t>”条款并能提供佐证材料的得3分，满分30分。</w:t>
            </w:r>
          </w:p>
          <w:p>
            <w:pPr>
              <w:pStyle w:val="14"/>
              <w:spacing w:after="0" w:line="440" w:lineRule="atLeast"/>
              <w:ind w:firstLine="420" w:firstLineChars="200"/>
              <w:rPr>
                <w:rFonts w:hint="eastAsia" w:hAnsi="宋体" w:cs="宋体"/>
                <w:bCs/>
                <w:color w:val="auto"/>
                <w:szCs w:val="21"/>
              </w:rPr>
            </w:pPr>
            <w:r>
              <w:rPr>
                <w:rFonts w:hint="eastAsia" w:hAnsi="宋体" w:cs="宋体"/>
                <w:color w:val="auto"/>
                <w:kern w:val="0"/>
                <w:szCs w:val="21"/>
              </w:rPr>
              <w:t>注明：佐证材料可以是由国家认可的第三方检测机构出具的检测报告或厂家官网截图或产品说明书或产品界面截图，非正偏离或未完全满足或未提供佐证材料的不得分。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p>
        </w:tc>
        <w:tc>
          <w:tcPr>
            <w:tcW w:w="1330" w:type="dxa"/>
            <w:vAlign w:val="center"/>
          </w:tcPr>
          <w:p>
            <w:pPr>
              <w:widowControl/>
              <w:snapToGrid w:val="0"/>
              <w:spacing w:after="0" w:line="440" w:lineRule="atLeast"/>
              <w:jc w:val="center"/>
              <w:rPr>
                <w:rFonts w:hint="eastAsia" w:ascii="宋体" w:hAnsi="宋体" w:cs="宋体"/>
                <w:b/>
                <w:color w:val="auto"/>
                <w:szCs w:val="21"/>
              </w:rPr>
            </w:pPr>
            <w:r>
              <w:rPr>
                <w:rFonts w:hint="eastAsia" w:ascii="宋体" w:hAnsi="宋体" w:cs="宋体"/>
                <w:b/>
                <w:color w:val="auto"/>
                <w:szCs w:val="21"/>
              </w:rPr>
              <w:t>2.2项目实施方案分</w:t>
            </w:r>
          </w:p>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color w:val="auto"/>
                <w:szCs w:val="21"/>
              </w:rPr>
              <w:t>（满分12分）</w:t>
            </w:r>
          </w:p>
        </w:tc>
        <w:tc>
          <w:tcPr>
            <w:tcW w:w="6029" w:type="dxa"/>
            <w:vAlign w:val="center"/>
          </w:tcPr>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一档（3分）：提供有项目的实施</w:t>
            </w:r>
            <w:r>
              <w:rPr>
                <w:rFonts w:hint="eastAsia" w:hAnsi="宋体" w:cs="宋体"/>
                <w:color w:val="auto"/>
                <w:szCs w:val="21"/>
              </w:rPr>
              <w:t>进度安排</w:t>
            </w:r>
            <w:r>
              <w:rPr>
                <w:rFonts w:hint="eastAsia" w:hAnsi="宋体" w:cs="宋体"/>
                <w:bCs/>
                <w:color w:val="auto"/>
                <w:szCs w:val="21"/>
              </w:rPr>
              <w:t>、实施环节步骤；</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二档（6分）：提供有项目实施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各个阶段工作安排，提出本项目的风险预见和技术重点、难点</w:t>
            </w:r>
            <w:r>
              <w:rPr>
                <w:rFonts w:hint="eastAsia" w:hAnsi="宋体" w:cs="宋体"/>
                <w:bCs/>
                <w:color w:val="auto"/>
                <w:szCs w:val="21"/>
              </w:rPr>
              <w:t>；</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三档（9分）：有详细的项目实施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，有人员岗位安排</w:t>
            </w:r>
            <w:r>
              <w:rPr>
                <w:rFonts w:hint="eastAsia" w:hAnsi="宋体" w:cs="宋体"/>
                <w:color w:val="auto"/>
                <w:szCs w:val="21"/>
              </w:rPr>
              <w:t>，人员配置有保障，</w:t>
            </w:r>
            <w:r>
              <w:rPr>
                <w:rFonts w:hint="eastAsia" w:hAnsi="宋体" w:cs="宋体"/>
                <w:bCs/>
                <w:color w:val="auto"/>
                <w:szCs w:val="21"/>
              </w:rPr>
              <w:t>实施环节步骤详细，</w:t>
            </w:r>
            <w:r>
              <w:rPr>
                <w:rFonts w:hint="eastAsia" w:hAnsi="宋体" w:cs="宋体"/>
                <w:color w:val="auto"/>
                <w:szCs w:val="21"/>
              </w:rPr>
              <w:t>能说明各个阶段工作安排，提出本项目的风险预见及措施</w:t>
            </w:r>
            <w:r>
              <w:rPr>
                <w:rFonts w:hint="eastAsia" w:hAnsi="宋体" w:cs="宋体"/>
                <w:bCs/>
                <w:color w:val="auto"/>
                <w:szCs w:val="21"/>
              </w:rPr>
              <w:t>；分析了</w:t>
            </w:r>
            <w:r>
              <w:rPr>
                <w:rFonts w:hint="eastAsia" w:hAnsi="宋体" w:cs="宋体"/>
                <w:color w:val="auto"/>
                <w:szCs w:val="21"/>
              </w:rPr>
              <w:t>本项目的技术重点、难点</w:t>
            </w:r>
            <w:r>
              <w:rPr>
                <w:rFonts w:hint="eastAsia" w:hAnsi="宋体" w:cs="宋体"/>
                <w:bCs/>
                <w:color w:val="auto"/>
                <w:szCs w:val="21"/>
              </w:rPr>
              <w:t>及提供相应建议，满足项目要求；</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四档（12分）：有严谨的项目实施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分工与职责明确，人员配置有保障，</w:t>
            </w:r>
            <w:r>
              <w:rPr>
                <w:rFonts w:hint="eastAsia" w:hAnsi="宋体" w:cs="宋体"/>
                <w:bCs/>
                <w:color w:val="auto"/>
                <w:szCs w:val="21"/>
              </w:rPr>
              <w:t>各实施环节步骤详细清晰，</w:t>
            </w:r>
            <w:r>
              <w:rPr>
                <w:rFonts w:hint="eastAsia" w:hAnsi="宋体" w:cs="宋体"/>
                <w:color w:val="auto"/>
                <w:szCs w:val="21"/>
              </w:rPr>
              <w:t>能说明各个阶段关键工作安排及关键部分的分析准确，分析本项目的风险预见及风险应对措施</w:t>
            </w:r>
            <w:r>
              <w:rPr>
                <w:rFonts w:hint="eastAsia" w:hAnsi="宋体" w:cs="宋体"/>
                <w:bCs/>
                <w:color w:val="auto"/>
                <w:szCs w:val="21"/>
              </w:rPr>
              <w:t>；能</w:t>
            </w:r>
            <w:r>
              <w:rPr>
                <w:rFonts w:hint="eastAsia" w:hAnsi="宋体" w:cs="宋体"/>
                <w:color w:val="auto"/>
                <w:szCs w:val="21"/>
              </w:rPr>
              <w:t>把握本项目的技术重点、难点</w:t>
            </w:r>
            <w:r>
              <w:rPr>
                <w:rFonts w:hint="eastAsia" w:hAnsi="宋体" w:cs="宋体"/>
                <w:bCs/>
                <w:color w:val="auto"/>
                <w:szCs w:val="21"/>
              </w:rPr>
              <w:t>，切合实际且有针对性，</w:t>
            </w:r>
            <w:r>
              <w:rPr>
                <w:rFonts w:hint="eastAsia" w:hAnsi="宋体" w:cs="宋体"/>
                <w:color w:val="auto"/>
                <w:szCs w:val="21"/>
              </w:rPr>
              <w:t>利于项目实施，</w:t>
            </w:r>
            <w:r>
              <w:rPr>
                <w:rFonts w:hint="eastAsia" w:hAnsi="宋体" w:cs="宋体"/>
                <w:bCs/>
                <w:color w:val="auto"/>
                <w:szCs w:val="21"/>
              </w:rPr>
              <w:t>能保障推进项目实施。</w:t>
            </w:r>
          </w:p>
          <w:p>
            <w:pPr>
              <w:pStyle w:val="17"/>
              <w:spacing w:after="0" w:line="440" w:lineRule="atLeast"/>
              <w:ind w:firstLine="420" w:firstLineChars="200"/>
              <w:rPr>
                <w:rFonts w:hint="eastAsia" w:ascii="宋体" w:hAnsi="宋体" w:cs="宋体"/>
                <w:bCs/>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color w:val="auto"/>
                <w:szCs w:val="21"/>
                <w:u w:val="single"/>
              </w:rPr>
            </w:pPr>
            <w:r>
              <w:rPr>
                <w:rFonts w:hint="eastAsia" w:ascii="宋体" w:hAnsi="宋体" w:cs="宋体"/>
                <w:b/>
                <w:bCs/>
                <w:color w:val="auto"/>
                <w:kern w:val="0"/>
                <w:szCs w:val="21"/>
              </w:rPr>
              <w:t xml:space="preserve">2.3 </w:t>
            </w:r>
            <w:r>
              <w:rPr>
                <w:rFonts w:hint="eastAsia" w:ascii="宋体" w:hAnsi="宋体" w:cs="宋体"/>
                <w:b/>
                <w:color w:val="auto"/>
                <w:szCs w:val="21"/>
              </w:rPr>
              <w:t>安装调试方案（6分）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一档（2分）：提供有本项目安装、配送、调试描述</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二档（4分）：提供有本项目安装、配送、调试技术说明及实施措施，分析本项目安装、配送、调试的关键点，能把握项目的总体要求</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档（6分）：提供有切合本项目的安装、配送、调试技术说明及实施措施，条理清晰，能结合本项目实际情况分析本项目安装、配送、调试的难点及关键点，总体思路清晰、切合项目特点，并提出有针对性的意见和建议。</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b/>
                <w:bCs/>
                <w:color w:val="auto"/>
                <w:kern w:val="0"/>
                <w:szCs w:val="21"/>
              </w:rPr>
            </w:pPr>
            <w:r>
              <w:rPr>
                <w:rFonts w:hint="eastAsia" w:ascii="宋体" w:hAnsi="宋体" w:cs="宋体"/>
                <w:b/>
                <w:bCs/>
                <w:color w:val="auto"/>
                <w:kern w:val="0"/>
                <w:szCs w:val="21"/>
              </w:rPr>
              <w:t>2.4售后服务分（满分12分）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lang w:eastAsia="zh-Hans"/>
              </w:rPr>
              <w:t>一档（</w:t>
            </w:r>
            <w:r>
              <w:rPr>
                <w:rFonts w:hint="eastAsia" w:hAnsi="宋体" w:cs="宋体"/>
                <w:color w:val="auto"/>
                <w:szCs w:val="21"/>
              </w:rPr>
              <w:t>3</w:t>
            </w:r>
            <w:r>
              <w:rPr>
                <w:rFonts w:hint="eastAsia" w:hAnsi="宋体" w:cs="宋体"/>
                <w:color w:val="auto"/>
                <w:szCs w:val="21"/>
                <w:lang w:eastAsia="zh-Hans"/>
              </w:rPr>
              <w:t>分）：提供有培训计划、售后服务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，并承诺能在接到采购人通知后24小时内到达现场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lang w:eastAsia="zh-Hans"/>
              </w:rPr>
            </w:pPr>
            <w:r>
              <w:rPr>
                <w:rFonts w:hint="eastAsia" w:hAnsi="宋体" w:cs="宋体"/>
                <w:color w:val="auto"/>
                <w:szCs w:val="21"/>
                <w:lang w:eastAsia="zh-Hans"/>
              </w:rPr>
              <w:t>二档（</w:t>
            </w:r>
            <w:r>
              <w:rPr>
                <w:rFonts w:hint="eastAsia" w:hAnsi="宋体" w:cs="宋体"/>
                <w:color w:val="auto"/>
                <w:szCs w:val="21"/>
              </w:rPr>
              <w:t>6</w:t>
            </w:r>
            <w:r>
              <w:rPr>
                <w:rFonts w:hint="eastAsia" w:hAnsi="宋体" w:cs="宋体"/>
                <w:color w:val="auto"/>
                <w:szCs w:val="21"/>
                <w:lang w:eastAsia="zh-Hans"/>
              </w:rPr>
              <w:t>分）：</w:t>
            </w:r>
            <w:r>
              <w:rPr>
                <w:rFonts w:hint="eastAsia" w:hAnsi="宋体" w:cs="宋体"/>
                <w:color w:val="auto"/>
                <w:szCs w:val="21"/>
              </w:rPr>
              <w:t>提供</w:t>
            </w:r>
            <w:r>
              <w:rPr>
                <w:rFonts w:hint="eastAsia" w:hAnsi="宋体" w:cs="宋体"/>
                <w:color w:val="auto"/>
                <w:szCs w:val="21"/>
                <w:lang w:eastAsia="zh-Hans"/>
              </w:rPr>
              <w:t>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w:t>
            </w:r>
            <w:r>
              <w:rPr>
                <w:rFonts w:hint="eastAsia" w:hAnsi="宋体" w:cs="宋体"/>
                <w:color w:val="auto"/>
                <w:szCs w:val="21"/>
                <w:lang w:eastAsia="zh-Hans"/>
              </w:rPr>
              <w:t>保障措施</w:t>
            </w:r>
            <w:r>
              <w:rPr>
                <w:rFonts w:hint="eastAsia" w:hAnsi="宋体" w:cs="宋体"/>
                <w:color w:val="auto"/>
                <w:szCs w:val="21"/>
              </w:rPr>
              <w:t>，并承诺能在接到采购人通知后12小时内到达现场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w:t>
            </w:r>
            <w:r>
              <w:rPr>
                <w:rFonts w:hint="eastAsia" w:hAnsi="宋体" w:cs="宋体"/>
                <w:color w:val="auto"/>
                <w:szCs w:val="21"/>
                <w:lang w:eastAsia="zh-Hans"/>
              </w:rPr>
              <w:t>档（</w:t>
            </w:r>
            <w:r>
              <w:rPr>
                <w:rFonts w:hint="eastAsia" w:hAnsi="宋体" w:cs="宋体"/>
                <w:color w:val="auto"/>
                <w:szCs w:val="21"/>
              </w:rPr>
              <w:t>9</w:t>
            </w:r>
            <w:r>
              <w:rPr>
                <w:rFonts w:hint="eastAsia" w:hAnsi="宋体" w:cs="宋体"/>
                <w:color w:val="auto"/>
                <w:szCs w:val="21"/>
                <w:lang w:eastAsia="zh-Hans"/>
              </w:rPr>
              <w:t>分）：</w:t>
            </w:r>
            <w:r>
              <w:rPr>
                <w:rFonts w:hint="eastAsia" w:hAnsi="宋体" w:cs="宋体"/>
                <w:color w:val="auto"/>
                <w:szCs w:val="21"/>
              </w:rPr>
              <w:t>提供有详细</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保障措施，有售后技术服务队伍</w:t>
            </w:r>
            <w:r>
              <w:rPr>
                <w:rFonts w:hint="eastAsia" w:hAnsi="宋体" w:cs="宋体"/>
                <w:color w:val="auto"/>
                <w:szCs w:val="21"/>
              </w:rPr>
              <w:t>。承诺能在接到采购人通知后6小时内到达现场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四</w:t>
            </w:r>
            <w:r>
              <w:rPr>
                <w:rFonts w:hint="eastAsia" w:hAnsi="宋体" w:cs="宋体"/>
                <w:color w:val="auto"/>
                <w:szCs w:val="21"/>
                <w:lang w:eastAsia="zh-Hans"/>
              </w:rPr>
              <w:t>档（</w:t>
            </w:r>
            <w:r>
              <w:rPr>
                <w:rFonts w:hint="eastAsia" w:hAnsi="宋体" w:cs="宋体"/>
                <w:color w:val="auto"/>
                <w:szCs w:val="21"/>
              </w:rPr>
              <w:t>12</w:t>
            </w:r>
            <w:r>
              <w:rPr>
                <w:rFonts w:hint="eastAsia" w:hAnsi="宋体" w:cs="宋体"/>
                <w:color w:val="auto"/>
                <w:szCs w:val="21"/>
                <w:lang w:eastAsia="zh-Hans"/>
              </w:rPr>
              <w:t>分）：</w:t>
            </w:r>
            <w:r>
              <w:rPr>
                <w:rFonts w:hint="eastAsia" w:hAnsi="宋体" w:cs="宋体"/>
                <w:color w:val="auto"/>
                <w:szCs w:val="21"/>
              </w:rPr>
              <w:t>提供有针对性</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保障措施，措施</w:t>
            </w:r>
            <w:r>
              <w:rPr>
                <w:rFonts w:hint="eastAsia" w:hAnsi="宋体" w:cs="宋体"/>
                <w:color w:val="auto"/>
                <w:szCs w:val="21"/>
              </w:rPr>
              <w:t>具体严谨</w:t>
            </w:r>
            <w:r>
              <w:rPr>
                <w:rFonts w:hint="eastAsia" w:hAnsi="宋体" w:cs="宋体"/>
                <w:color w:val="auto"/>
                <w:szCs w:val="21"/>
                <w:lang w:eastAsia="zh-Hans"/>
              </w:rPr>
              <w:t>，有</w:t>
            </w:r>
            <w:r>
              <w:rPr>
                <w:rFonts w:hint="eastAsia" w:hAnsi="宋体" w:cs="宋体"/>
                <w:color w:val="auto"/>
                <w:szCs w:val="21"/>
              </w:rPr>
              <w:t>明确</w:t>
            </w:r>
            <w:r>
              <w:rPr>
                <w:rFonts w:hint="eastAsia" w:hAnsi="宋体" w:cs="宋体"/>
                <w:color w:val="auto"/>
                <w:szCs w:val="21"/>
                <w:lang w:eastAsia="zh-Hans"/>
              </w:rPr>
              <w:t>的售后技术服务队伍人员</w:t>
            </w:r>
            <w:r>
              <w:rPr>
                <w:rFonts w:hint="eastAsia" w:hAnsi="宋体" w:cs="宋体"/>
                <w:color w:val="auto"/>
                <w:szCs w:val="21"/>
              </w:rPr>
              <w:t>及</w:t>
            </w:r>
            <w:r>
              <w:rPr>
                <w:rFonts w:hint="eastAsia" w:hAnsi="宋体" w:cs="宋体"/>
                <w:color w:val="auto"/>
                <w:szCs w:val="21"/>
                <w:lang w:eastAsia="zh-Hans"/>
              </w:rPr>
              <w:t>相应售后技术实力</w:t>
            </w:r>
            <w:r>
              <w:rPr>
                <w:rFonts w:hint="eastAsia" w:hAnsi="宋体" w:cs="宋体"/>
                <w:color w:val="auto"/>
                <w:szCs w:val="21"/>
              </w:rPr>
              <w:t>。承诺能在接到采购人通知后3小时内到达现场。</w:t>
            </w:r>
          </w:p>
          <w:p>
            <w:pPr>
              <w:pStyle w:val="17"/>
              <w:spacing w:after="0" w:line="440" w:lineRule="atLeast"/>
              <w:ind w:firstLine="420" w:firstLineChars="200"/>
              <w:rPr>
                <w:rFonts w:hint="eastAsia" w:ascii="宋体" w:hAnsi="宋体" w:cs="宋体"/>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w:t>
            </w:r>
          </w:p>
        </w:tc>
        <w:tc>
          <w:tcPr>
            <w:tcW w:w="1566" w:type="dxa"/>
            <w:vAlign w:val="center"/>
          </w:tcPr>
          <w:p>
            <w:pPr>
              <w:adjustRightInd w:val="0"/>
              <w:spacing w:after="0" w:line="440" w:lineRule="atLeast"/>
              <w:jc w:val="center"/>
              <w:textAlignment w:val="baseline"/>
              <w:rPr>
                <w:rFonts w:hint="eastAsia" w:ascii="宋体" w:hAnsi="宋体" w:cs="宋体"/>
                <w:bCs/>
                <w:color w:val="auto"/>
                <w:szCs w:val="21"/>
              </w:rPr>
            </w:pPr>
            <w:r>
              <w:rPr>
                <w:rFonts w:hint="eastAsia" w:ascii="宋体" w:hAnsi="宋体" w:cs="宋体"/>
                <w:b/>
                <w:color w:val="auto"/>
                <w:szCs w:val="21"/>
              </w:rPr>
              <w:t>商务分（满分5分）</w:t>
            </w:r>
          </w:p>
        </w:tc>
        <w:tc>
          <w:tcPr>
            <w:tcW w:w="1330"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3.1业绩分</w:t>
            </w:r>
          </w:p>
          <w:p>
            <w:pPr>
              <w:spacing w:after="0" w:line="440" w:lineRule="atLeast"/>
              <w:jc w:val="center"/>
              <w:rPr>
                <w:rFonts w:hint="eastAsia" w:ascii="宋体" w:hAnsi="宋体" w:cs="宋体"/>
                <w:b/>
                <w:bCs/>
                <w:color w:val="auto"/>
                <w:kern w:val="0"/>
                <w:szCs w:val="21"/>
              </w:rPr>
            </w:pPr>
            <w:r>
              <w:rPr>
                <w:rFonts w:hint="eastAsia" w:ascii="宋体" w:hAnsi="宋体" w:cs="宋体"/>
                <w:b/>
                <w:color w:val="auto"/>
                <w:szCs w:val="21"/>
              </w:rPr>
              <w:t>（满分5分）</w:t>
            </w:r>
          </w:p>
        </w:tc>
        <w:tc>
          <w:tcPr>
            <w:tcW w:w="6029" w:type="dxa"/>
            <w:vAlign w:val="center"/>
          </w:tcPr>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投标人自2022年1月1日至投标文件递交截止之日，承担过</w:t>
            </w:r>
            <w:r>
              <w:rPr>
                <w:rFonts w:hint="eastAsia" w:ascii="宋体" w:hAnsi="宋体" w:cs="宋体"/>
                <w:color w:val="auto"/>
                <w:szCs w:val="21"/>
              </w:rPr>
              <w:t>与本次采购内容有关的类似项目业绩</w:t>
            </w:r>
            <w:r>
              <w:rPr>
                <w:rFonts w:hint="eastAsia" w:ascii="宋体" w:hAnsi="宋体" w:cs="宋体"/>
                <w:color w:val="auto"/>
                <w:kern w:val="0"/>
                <w:szCs w:val="21"/>
              </w:rPr>
              <w:t>，每有1个业绩得1分，满分5分。</w:t>
            </w:r>
          </w:p>
          <w:p>
            <w:pPr>
              <w:widowControl/>
              <w:adjustRightInd w:val="0"/>
              <w:snapToGrid w:val="0"/>
              <w:spacing w:after="0" w:line="440" w:lineRule="atLeast"/>
              <w:ind w:firstLine="420" w:firstLineChars="200"/>
              <w:rPr>
                <w:rFonts w:hint="eastAsia" w:ascii="宋体" w:hAnsi="宋体" w:cs="宋体"/>
                <w:color w:val="auto"/>
                <w:szCs w:val="21"/>
              </w:rPr>
            </w:pPr>
            <w:r>
              <w:rPr>
                <w:rFonts w:hint="eastAsia" w:ascii="宋体" w:hAnsi="宋体" w:cs="宋体"/>
                <w:color w:val="auto"/>
                <w:kern w:val="0"/>
                <w:szCs w:val="21"/>
              </w:rPr>
              <w:t>注明：投标文件中须提供中标（成交）通知书或合同复印件并加盖投标人公章，否则不予计分。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vAlign w:val="center"/>
          </w:tcPr>
          <w:p>
            <w:pPr>
              <w:widowControl/>
              <w:adjustRightInd w:val="0"/>
              <w:snapToGrid w:val="0"/>
              <w:spacing w:after="0" w:line="440" w:lineRule="atLeast"/>
              <w:rPr>
                <w:rFonts w:hint="eastAsia" w:ascii="宋体" w:hAnsi="宋体" w:cs="宋体"/>
                <w:color w:val="auto"/>
                <w:kern w:val="0"/>
                <w:szCs w:val="21"/>
              </w:rPr>
            </w:pPr>
            <w:r>
              <w:rPr>
                <w:rFonts w:hint="eastAsia" w:ascii="宋体" w:hAnsi="宋体" w:cs="宋体"/>
                <w:b/>
                <w:bCs/>
                <w:color w:val="auto"/>
                <w:szCs w:val="21"/>
              </w:rPr>
              <w:t>总得分=1+2+3</w:t>
            </w:r>
          </w:p>
        </w:tc>
      </w:tr>
    </w:tbl>
    <w:p>
      <w:pPr>
        <w:adjustRightInd w:val="0"/>
        <w:spacing w:after="0" w:line="360" w:lineRule="auto"/>
        <w:jc w:val="center"/>
        <w:textAlignment w:val="baseline"/>
        <w:rPr>
          <w:rFonts w:hint="eastAsia" w:ascii="宋体" w:hAnsi="宋体" w:cs="宋体"/>
          <w:b/>
          <w:color w:val="auto"/>
          <w:szCs w:val="21"/>
        </w:rPr>
      </w:pPr>
    </w:p>
    <w:bookmarkEnd w:id="268"/>
    <w:p>
      <w:pPr>
        <w:spacing w:line="360" w:lineRule="auto"/>
        <w:rPr>
          <w:rFonts w:hint="eastAsia" w:ascii="宋体" w:hAnsi="宋体" w:cs="宋体"/>
          <w:b/>
          <w:bCs/>
          <w:color w:val="auto"/>
          <w:kern w:val="0"/>
          <w:szCs w:val="21"/>
        </w:rPr>
      </w:pPr>
    </w:p>
    <w:p>
      <w:pPr>
        <w:rPr>
          <w:rFonts w:hint="eastAsia" w:ascii="宋体" w:hAnsi="宋体" w:cs="宋体"/>
          <w:b/>
          <w:bCs/>
          <w:color w:val="auto"/>
          <w:kern w:val="0"/>
          <w:szCs w:val="21"/>
        </w:rPr>
      </w:pPr>
      <w:r>
        <w:rPr>
          <w:rFonts w:hint="eastAsia" w:ascii="宋体" w:hAnsi="宋体" w:cs="宋体"/>
          <w:b/>
          <w:bCs/>
          <w:color w:val="auto"/>
          <w:kern w:val="0"/>
          <w:szCs w:val="21"/>
        </w:rPr>
        <w:br w:type="page"/>
      </w:r>
    </w:p>
    <w:p>
      <w:pPr>
        <w:pStyle w:val="22"/>
        <w:rPr>
          <w:b/>
          <w:bCs/>
          <w:color w:val="auto"/>
          <w:sz w:val="24"/>
        </w:rPr>
      </w:pPr>
      <w:r>
        <w:rPr>
          <w:rFonts w:hint="eastAsia"/>
          <w:b/>
          <w:bCs/>
          <w:color w:val="auto"/>
          <w:sz w:val="24"/>
        </w:rPr>
        <w:t>标项二</w:t>
      </w:r>
    </w:p>
    <w:tbl>
      <w:tblPr>
        <w:tblStyle w:val="2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66"/>
        <w:gridCol w:w="1330"/>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2"/>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序号</w:t>
            </w:r>
          </w:p>
        </w:tc>
        <w:tc>
          <w:tcPr>
            <w:tcW w:w="1330"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评审因素</w:t>
            </w:r>
          </w:p>
        </w:tc>
        <w:tc>
          <w:tcPr>
            <w:tcW w:w="6029"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1</w:t>
            </w:r>
          </w:p>
        </w:tc>
        <w:tc>
          <w:tcPr>
            <w:tcW w:w="1566"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价格分</w:t>
            </w:r>
          </w:p>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50</w:t>
            </w:r>
            <w:r>
              <w:rPr>
                <w:rFonts w:hint="eastAsia" w:ascii="宋体" w:hAnsi="宋体" w:cs="宋体"/>
                <w:color w:val="auto"/>
                <w:szCs w:val="21"/>
              </w:rPr>
              <w:t>分）</w:t>
            </w:r>
          </w:p>
          <w:p>
            <w:pPr>
              <w:adjustRightInd w:val="0"/>
              <w:spacing w:after="0" w:line="440" w:lineRule="atLeast"/>
              <w:jc w:val="left"/>
              <w:textAlignment w:val="baseline"/>
              <w:rPr>
                <w:rFonts w:hint="eastAsia" w:ascii="宋体" w:hAnsi="宋体" w:cs="宋体"/>
                <w:color w:val="auto"/>
                <w:szCs w:val="21"/>
              </w:rPr>
            </w:pPr>
          </w:p>
        </w:tc>
        <w:tc>
          <w:tcPr>
            <w:tcW w:w="1330"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投标报价</w:t>
            </w:r>
          </w:p>
        </w:tc>
        <w:tc>
          <w:tcPr>
            <w:tcW w:w="6029" w:type="dxa"/>
            <w:vAlign w:val="center"/>
          </w:tcPr>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1.1评标价为投标人的投标报价进行政策性扣除后</w:t>
            </w:r>
            <w:r>
              <w:rPr>
                <w:rFonts w:hint="eastAsia" w:ascii="宋体" w:hAnsi="宋体" w:cs="宋体"/>
                <w:bCs/>
                <w:color w:val="auto"/>
                <w:szCs w:val="21"/>
                <w:lang w:eastAsia="zh-CN"/>
              </w:rPr>
              <w:t>（如有）</w:t>
            </w:r>
            <w:r>
              <w:rPr>
                <w:rFonts w:hint="eastAsia" w:ascii="宋体" w:hAnsi="宋体" w:cs="宋体"/>
                <w:bCs/>
                <w:color w:val="auto"/>
                <w:szCs w:val="21"/>
              </w:rPr>
              <w:t>的价格，评标价只是作为评标时使用。最终中标人的中标金额等于投标报价。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 政策性扣除计算方法。</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1.2.1对小微企业的价格评审优惠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被评定为监狱企业或者残疾人福利性单位或者其提供的货物全部由符合政策要求的小型、微型企业制造，即货物由小型、微型企业生产且使用该小型、微型企业商号或者注册商标的，该投标人的投标报价给予</w:t>
            </w:r>
            <w:r>
              <w:rPr>
                <w:rFonts w:hint="eastAsia" w:ascii="宋体" w:hAnsi="宋体" w:cs="宋体"/>
                <w:bCs/>
                <w:color w:val="auto"/>
                <w:szCs w:val="21"/>
                <w:lang w:val="en-US" w:eastAsia="zh-CN"/>
              </w:rPr>
              <w:t>1</w:t>
            </w:r>
            <w:r>
              <w:rPr>
                <w:rFonts w:hint="eastAsia" w:ascii="宋体" w:hAnsi="宋体" w:cs="宋体"/>
                <w:bCs/>
                <w:color w:val="auto"/>
                <w:szCs w:val="21"/>
              </w:rPr>
              <w:t>0%的扣除，扣除后的价格为评标价，即评标价=投标报价×（1-</w:t>
            </w:r>
            <w:r>
              <w:rPr>
                <w:rFonts w:hint="eastAsia" w:ascii="宋体" w:hAnsi="宋体" w:cs="宋体"/>
                <w:bCs/>
                <w:color w:val="auto"/>
                <w:szCs w:val="21"/>
                <w:lang w:val="en-US" w:eastAsia="zh-CN"/>
              </w:rPr>
              <w:t>1</w:t>
            </w:r>
            <w:r>
              <w:rPr>
                <w:rFonts w:hint="eastAsia" w:ascii="宋体" w:hAnsi="宋体" w:cs="宋体"/>
                <w:bCs/>
                <w:color w:val="auto"/>
                <w:szCs w:val="21"/>
              </w:rPr>
              <w:t>0%）；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6%的扣除，用扣除后的价格参加评审，扣除后的价格为评标价，即评标价=投标报价×（1－6%）。</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1.2.2对本国产品的价格评审优惠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对本国产品的支持政策：政府采购活动中既有本国产品又有非本国产品参与竞争的，依法对本国产品给予价格评审优惠，对本国产品的报价给予20%的价格扣除，用扣除后的价格参与评审。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除上述情况外，评标价=投标报价。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1.3满足招标文件要求且评标价最低的评标价为评标基准价，基准价得分为50分。</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 xml:space="preserve">1.4价格分计算公式：        </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价格分=(评标基准价／评标价)×50分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2</w:t>
            </w:r>
          </w:p>
        </w:tc>
        <w:tc>
          <w:tcPr>
            <w:tcW w:w="1566" w:type="dxa"/>
            <w:vMerge w:val="restart"/>
            <w:vAlign w:val="center"/>
          </w:tcPr>
          <w:p>
            <w:pPr>
              <w:adjustRightInd w:val="0"/>
              <w:spacing w:after="0" w:line="440" w:lineRule="atLeast"/>
              <w:ind w:left="-105" w:leftChars="-50" w:right="-105" w:rightChars="-50"/>
              <w:jc w:val="center"/>
              <w:textAlignment w:val="baseline"/>
              <w:rPr>
                <w:rFonts w:hint="eastAsia" w:ascii="宋体" w:hAnsi="宋体" w:cs="宋体"/>
                <w:b/>
                <w:bCs/>
                <w:color w:val="auto"/>
                <w:szCs w:val="21"/>
              </w:rPr>
            </w:pPr>
            <w:r>
              <w:rPr>
                <w:rFonts w:hint="eastAsia" w:ascii="宋体" w:hAnsi="宋体" w:cs="宋体"/>
                <w:b/>
                <w:bCs/>
                <w:color w:val="auto"/>
                <w:szCs w:val="21"/>
              </w:rPr>
              <w:t>技术分</w:t>
            </w:r>
          </w:p>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r>
              <w:rPr>
                <w:rFonts w:hint="eastAsia" w:ascii="宋体" w:hAnsi="宋体" w:cs="宋体"/>
                <w:bCs/>
                <w:color w:val="auto"/>
                <w:szCs w:val="21"/>
              </w:rPr>
              <w:t>（</w:t>
            </w:r>
            <w:r>
              <w:rPr>
                <w:rFonts w:hint="eastAsia" w:ascii="宋体" w:hAnsi="宋体" w:cs="宋体"/>
                <w:color w:val="auto"/>
                <w:szCs w:val="21"/>
              </w:rPr>
              <w:t>满分</w:t>
            </w:r>
            <w:r>
              <w:rPr>
                <w:rFonts w:hint="eastAsia" w:ascii="宋体" w:hAnsi="宋体" w:cs="宋体"/>
                <w:color w:val="auto"/>
                <w:szCs w:val="21"/>
                <w:u w:val="single"/>
              </w:rPr>
              <w:t>45</w:t>
            </w:r>
            <w:r>
              <w:rPr>
                <w:rFonts w:hint="eastAsia" w:ascii="宋体" w:hAnsi="宋体" w:cs="宋体"/>
                <w:bCs/>
                <w:color w:val="auto"/>
                <w:szCs w:val="21"/>
              </w:rPr>
              <w:t>分）</w:t>
            </w:r>
          </w:p>
        </w:tc>
        <w:tc>
          <w:tcPr>
            <w:tcW w:w="1330" w:type="dxa"/>
            <w:vAlign w:val="center"/>
          </w:tcPr>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bCs/>
                <w:color w:val="auto"/>
                <w:szCs w:val="21"/>
              </w:rPr>
              <w:t>2.1技术性能分（满分16分）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kern w:val="0"/>
                <w:szCs w:val="21"/>
              </w:rPr>
              <w:t>投标人所投产品的技术参数及配置每有一项</w:t>
            </w:r>
            <w:r>
              <w:rPr>
                <w:rFonts w:hint="eastAsia"/>
                <w:color w:val="auto"/>
              </w:rPr>
              <w:t>正偏离或完全满足</w:t>
            </w:r>
            <w:r>
              <w:rPr>
                <w:rFonts w:hint="eastAsia" w:hAnsi="宋体" w:cs="宋体"/>
                <w:color w:val="auto"/>
                <w:kern w:val="0"/>
                <w:szCs w:val="21"/>
              </w:rPr>
              <w:t>“</w:t>
            </w:r>
            <w:r>
              <w:rPr>
                <w:rFonts w:hint="eastAsia" w:hAnsi="宋体" w:cs="宋体"/>
                <w:bCs/>
                <w:color w:val="auto"/>
                <w:kern w:val="0"/>
                <w:szCs w:val="21"/>
              </w:rPr>
              <w:t>●</w:t>
            </w:r>
            <w:r>
              <w:rPr>
                <w:rFonts w:hint="eastAsia" w:hAnsi="宋体" w:cs="宋体"/>
                <w:color w:val="auto"/>
                <w:kern w:val="0"/>
                <w:szCs w:val="21"/>
              </w:rPr>
              <w:t>”的条款并能提供佐证材料的得1分，满分16分。</w:t>
            </w:r>
          </w:p>
          <w:p>
            <w:pPr>
              <w:pStyle w:val="14"/>
              <w:spacing w:after="0" w:line="440" w:lineRule="atLeast"/>
              <w:ind w:firstLine="420" w:firstLineChars="200"/>
              <w:rPr>
                <w:rFonts w:hint="eastAsia" w:hAnsi="宋体" w:cs="宋体"/>
                <w:bCs/>
                <w:color w:val="auto"/>
                <w:szCs w:val="21"/>
              </w:rPr>
            </w:pPr>
            <w:r>
              <w:rPr>
                <w:rFonts w:hint="eastAsia" w:hAnsi="宋体" w:cs="宋体"/>
                <w:color w:val="auto"/>
                <w:kern w:val="0"/>
                <w:szCs w:val="21"/>
              </w:rPr>
              <w:t>注明：佐证材料可以是由国家认可的第三方检测机构出具的检测报告或厂家官网截图或产品说明书或产品界面截图，非正偏离或不完全满足或未提供佐证材料的不得分。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p>
        </w:tc>
        <w:tc>
          <w:tcPr>
            <w:tcW w:w="1330" w:type="dxa"/>
            <w:vAlign w:val="center"/>
          </w:tcPr>
          <w:p>
            <w:pPr>
              <w:widowControl/>
              <w:snapToGrid w:val="0"/>
              <w:spacing w:after="0" w:line="440" w:lineRule="atLeast"/>
              <w:jc w:val="center"/>
              <w:rPr>
                <w:rFonts w:hint="eastAsia" w:ascii="宋体" w:hAnsi="宋体" w:cs="宋体"/>
                <w:b/>
                <w:color w:val="auto"/>
                <w:szCs w:val="21"/>
              </w:rPr>
            </w:pPr>
            <w:r>
              <w:rPr>
                <w:rFonts w:hint="eastAsia" w:ascii="宋体" w:hAnsi="宋体" w:cs="宋体"/>
                <w:b/>
                <w:color w:val="auto"/>
                <w:szCs w:val="21"/>
              </w:rPr>
              <w:t>2.2项目实施方案分</w:t>
            </w:r>
          </w:p>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color w:val="auto"/>
                <w:szCs w:val="21"/>
              </w:rPr>
              <w:t>（满分12分）</w:t>
            </w:r>
          </w:p>
        </w:tc>
        <w:tc>
          <w:tcPr>
            <w:tcW w:w="6029" w:type="dxa"/>
            <w:vAlign w:val="center"/>
          </w:tcPr>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一档（3分）：提供有项目的实施</w:t>
            </w:r>
            <w:r>
              <w:rPr>
                <w:rFonts w:hint="eastAsia" w:hAnsi="宋体" w:cs="宋体"/>
                <w:color w:val="auto"/>
                <w:szCs w:val="21"/>
              </w:rPr>
              <w:t>进度安排</w:t>
            </w:r>
            <w:r>
              <w:rPr>
                <w:rFonts w:hint="eastAsia" w:hAnsi="宋体" w:cs="宋体"/>
                <w:bCs/>
                <w:color w:val="auto"/>
                <w:szCs w:val="21"/>
              </w:rPr>
              <w:t>、实施环节步骤；</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二档（6分）：提供有项目实施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各个阶段工作安排，提出本项目的风险预见和技术重点、难点</w:t>
            </w:r>
            <w:r>
              <w:rPr>
                <w:rFonts w:hint="eastAsia" w:hAnsi="宋体" w:cs="宋体"/>
                <w:bCs/>
                <w:color w:val="auto"/>
                <w:szCs w:val="21"/>
              </w:rPr>
              <w:t>；</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三档（9分）：有详细的项目实施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，有人员岗位安排</w:t>
            </w:r>
            <w:r>
              <w:rPr>
                <w:rFonts w:hint="eastAsia" w:hAnsi="宋体" w:cs="宋体"/>
                <w:color w:val="auto"/>
                <w:szCs w:val="21"/>
              </w:rPr>
              <w:t>，人员配置有保障，</w:t>
            </w:r>
            <w:r>
              <w:rPr>
                <w:rFonts w:hint="eastAsia" w:hAnsi="宋体" w:cs="宋体"/>
                <w:bCs/>
                <w:color w:val="auto"/>
                <w:szCs w:val="21"/>
              </w:rPr>
              <w:t>实施环节步骤详细，</w:t>
            </w:r>
            <w:r>
              <w:rPr>
                <w:rFonts w:hint="eastAsia" w:hAnsi="宋体" w:cs="宋体"/>
                <w:color w:val="auto"/>
                <w:szCs w:val="21"/>
              </w:rPr>
              <w:t>能说明各个阶段工作安排，提出本项目的风险预见及措施</w:t>
            </w:r>
            <w:r>
              <w:rPr>
                <w:rFonts w:hint="eastAsia" w:hAnsi="宋体" w:cs="宋体"/>
                <w:bCs/>
                <w:color w:val="auto"/>
                <w:szCs w:val="21"/>
              </w:rPr>
              <w:t>；分析了</w:t>
            </w:r>
            <w:r>
              <w:rPr>
                <w:rFonts w:hint="eastAsia" w:hAnsi="宋体" w:cs="宋体"/>
                <w:color w:val="auto"/>
                <w:szCs w:val="21"/>
              </w:rPr>
              <w:t>本项目的技术重点、难点</w:t>
            </w:r>
            <w:r>
              <w:rPr>
                <w:rFonts w:hint="eastAsia" w:hAnsi="宋体" w:cs="宋体"/>
                <w:bCs/>
                <w:color w:val="auto"/>
                <w:szCs w:val="21"/>
              </w:rPr>
              <w:t>及提供相应建议，满足项目要求；</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四档（12分）：有严谨的项目实施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分工与职责明确，人员配置有保障，</w:t>
            </w:r>
            <w:r>
              <w:rPr>
                <w:rFonts w:hint="eastAsia" w:hAnsi="宋体" w:cs="宋体"/>
                <w:bCs/>
                <w:color w:val="auto"/>
                <w:szCs w:val="21"/>
              </w:rPr>
              <w:t>各实施环节步骤详细清晰，</w:t>
            </w:r>
            <w:r>
              <w:rPr>
                <w:rFonts w:hint="eastAsia" w:hAnsi="宋体" w:cs="宋体"/>
                <w:color w:val="auto"/>
                <w:szCs w:val="21"/>
              </w:rPr>
              <w:t>能说明各个阶段关键工作安排及关键部分的分析准确，分析本项目的风险预见及风险应对措施</w:t>
            </w:r>
            <w:r>
              <w:rPr>
                <w:rFonts w:hint="eastAsia" w:hAnsi="宋体" w:cs="宋体"/>
                <w:bCs/>
                <w:color w:val="auto"/>
                <w:szCs w:val="21"/>
              </w:rPr>
              <w:t>；能</w:t>
            </w:r>
            <w:r>
              <w:rPr>
                <w:rFonts w:hint="eastAsia" w:hAnsi="宋体" w:cs="宋体"/>
                <w:color w:val="auto"/>
                <w:szCs w:val="21"/>
              </w:rPr>
              <w:t>把握本项目的技术重点、难点</w:t>
            </w:r>
            <w:r>
              <w:rPr>
                <w:rFonts w:hint="eastAsia" w:hAnsi="宋体" w:cs="宋体"/>
                <w:bCs/>
                <w:color w:val="auto"/>
                <w:szCs w:val="21"/>
              </w:rPr>
              <w:t>，切合实际且有针对性，</w:t>
            </w:r>
            <w:r>
              <w:rPr>
                <w:rFonts w:hint="eastAsia" w:hAnsi="宋体" w:cs="宋体"/>
                <w:color w:val="auto"/>
                <w:szCs w:val="21"/>
              </w:rPr>
              <w:t>利于项目实施，</w:t>
            </w:r>
            <w:r>
              <w:rPr>
                <w:rFonts w:hint="eastAsia" w:hAnsi="宋体" w:cs="宋体"/>
                <w:bCs/>
                <w:color w:val="auto"/>
                <w:szCs w:val="21"/>
              </w:rPr>
              <w:t>能保障推进项目实施。</w:t>
            </w:r>
          </w:p>
          <w:p>
            <w:pPr>
              <w:pStyle w:val="17"/>
              <w:spacing w:after="0" w:line="440" w:lineRule="atLeast"/>
              <w:ind w:firstLine="420" w:firstLineChars="200"/>
              <w:rPr>
                <w:rFonts w:hint="eastAsia" w:ascii="宋体" w:hAnsi="宋体" w:cs="宋体"/>
                <w:bCs/>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color w:val="auto"/>
                <w:szCs w:val="21"/>
                <w:u w:val="single"/>
              </w:rPr>
            </w:pPr>
            <w:r>
              <w:rPr>
                <w:rFonts w:hint="eastAsia" w:ascii="宋体" w:hAnsi="宋体" w:cs="宋体"/>
                <w:b/>
                <w:bCs/>
                <w:color w:val="auto"/>
                <w:kern w:val="0"/>
                <w:szCs w:val="21"/>
              </w:rPr>
              <w:t xml:space="preserve">2.3 </w:t>
            </w:r>
            <w:r>
              <w:rPr>
                <w:rFonts w:hint="eastAsia" w:ascii="宋体" w:hAnsi="宋体" w:cs="宋体"/>
                <w:b/>
                <w:color w:val="auto"/>
                <w:szCs w:val="21"/>
              </w:rPr>
              <w:t>安装调试方案（5分）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一档（1分）：提供有本项目安装、配送、调试描述</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二档（3分）：提供有本项目安装、配送、调试技术说明及实施措施，分析本项目安装、配送、调试的关键点，能把握项目的总体要求</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档（5分）：提供有切合本项目的安装、配送、调试技术说明及实施措施，条理清晰，能结合本项目实际情况分析本项目安装、配送、调试的难点及关键点，总体思路清晰、切合项目特点，并提出有针对性的意见和建议。</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b/>
                <w:bCs/>
                <w:color w:val="auto"/>
                <w:kern w:val="0"/>
                <w:szCs w:val="21"/>
              </w:rPr>
            </w:pPr>
            <w:r>
              <w:rPr>
                <w:rFonts w:hint="eastAsia" w:ascii="宋体" w:hAnsi="宋体" w:cs="宋体"/>
                <w:b/>
                <w:bCs/>
                <w:color w:val="auto"/>
                <w:kern w:val="0"/>
                <w:szCs w:val="21"/>
              </w:rPr>
              <w:t>2.4售后服务分（满分12分）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lang w:eastAsia="zh-Hans"/>
              </w:rPr>
              <w:t>一档（</w:t>
            </w:r>
            <w:r>
              <w:rPr>
                <w:rFonts w:hint="eastAsia" w:hAnsi="宋体" w:cs="宋体"/>
                <w:color w:val="auto"/>
                <w:szCs w:val="21"/>
              </w:rPr>
              <w:t>3</w:t>
            </w:r>
            <w:r>
              <w:rPr>
                <w:rFonts w:hint="eastAsia" w:hAnsi="宋体" w:cs="宋体"/>
                <w:color w:val="auto"/>
                <w:szCs w:val="21"/>
                <w:lang w:eastAsia="zh-Hans"/>
              </w:rPr>
              <w:t>分）：提供有培训计划、售后服务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，并承诺能在接到采购人通知后24小时内到达现场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lang w:eastAsia="zh-Hans"/>
              </w:rPr>
            </w:pPr>
            <w:r>
              <w:rPr>
                <w:rFonts w:hint="eastAsia" w:hAnsi="宋体" w:cs="宋体"/>
                <w:color w:val="auto"/>
                <w:szCs w:val="21"/>
                <w:lang w:eastAsia="zh-Hans"/>
              </w:rPr>
              <w:t>二档（</w:t>
            </w:r>
            <w:r>
              <w:rPr>
                <w:rFonts w:hint="eastAsia" w:hAnsi="宋体" w:cs="宋体"/>
                <w:color w:val="auto"/>
                <w:szCs w:val="21"/>
              </w:rPr>
              <w:t>6</w:t>
            </w:r>
            <w:r>
              <w:rPr>
                <w:rFonts w:hint="eastAsia" w:hAnsi="宋体" w:cs="宋体"/>
                <w:color w:val="auto"/>
                <w:szCs w:val="21"/>
                <w:lang w:eastAsia="zh-Hans"/>
              </w:rPr>
              <w:t>分）：</w:t>
            </w:r>
            <w:r>
              <w:rPr>
                <w:rFonts w:hint="eastAsia" w:hAnsi="宋体" w:cs="宋体"/>
                <w:color w:val="auto"/>
                <w:szCs w:val="21"/>
              </w:rPr>
              <w:t>提供</w:t>
            </w:r>
            <w:r>
              <w:rPr>
                <w:rFonts w:hint="eastAsia" w:hAnsi="宋体" w:cs="宋体"/>
                <w:color w:val="auto"/>
                <w:szCs w:val="21"/>
                <w:lang w:eastAsia="zh-Hans"/>
              </w:rPr>
              <w:t>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w:t>
            </w:r>
            <w:r>
              <w:rPr>
                <w:rFonts w:hint="eastAsia" w:hAnsi="宋体" w:cs="宋体"/>
                <w:color w:val="auto"/>
                <w:szCs w:val="21"/>
                <w:lang w:eastAsia="zh-Hans"/>
              </w:rPr>
              <w:t>保障措施</w:t>
            </w:r>
            <w:r>
              <w:rPr>
                <w:rFonts w:hint="eastAsia" w:hAnsi="宋体" w:cs="宋体"/>
                <w:color w:val="auto"/>
                <w:szCs w:val="21"/>
              </w:rPr>
              <w:t>，并承诺能在接到采购人通知后12小时内到达现场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w:t>
            </w:r>
            <w:r>
              <w:rPr>
                <w:rFonts w:hint="eastAsia" w:hAnsi="宋体" w:cs="宋体"/>
                <w:color w:val="auto"/>
                <w:szCs w:val="21"/>
                <w:lang w:eastAsia="zh-Hans"/>
              </w:rPr>
              <w:t>档（</w:t>
            </w:r>
            <w:r>
              <w:rPr>
                <w:rFonts w:hint="eastAsia" w:hAnsi="宋体" w:cs="宋体"/>
                <w:color w:val="auto"/>
                <w:szCs w:val="21"/>
              </w:rPr>
              <w:t>9</w:t>
            </w:r>
            <w:r>
              <w:rPr>
                <w:rFonts w:hint="eastAsia" w:hAnsi="宋体" w:cs="宋体"/>
                <w:color w:val="auto"/>
                <w:szCs w:val="21"/>
                <w:lang w:eastAsia="zh-Hans"/>
              </w:rPr>
              <w:t>分）：</w:t>
            </w:r>
            <w:r>
              <w:rPr>
                <w:rFonts w:hint="eastAsia" w:hAnsi="宋体" w:cs="宋体"/>
                <w:color w:val="auto"/>
                <w:szCs w:val="21"/>
              </w:rPr>
              <w:t>提供有详细</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保障措施，有售后技术服务队伍</w:t>
            </w:r>
            <w:r>
              <w:rPr>
                <w:rFonts w:hint="eastAsia" w:hAnsi="宋体" w:cs="宋体"/>
                <w:color w:val="auto"/>
                <w:szCs w:val="21"/>
              </w:rPr>
              <w:t>。承诺能在接到采购人通知后6小时内到达现场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四</w:t>
            </w:r>
            <w:r>
              <w:rPr>
                <w:rFonts w:hint="eastAsia" w:hAnsi="宋体" w:cs="宋体"/>
                <w:color w:val="auto"/>
                <w:szCs w:val="21"/>
                <w:lang w:eastAsia="zh-Hans"/>
              </w:rPr>
              <w:t>档（</w:t>
            </w:r>
            <w:r>
              <w:rPr>
                <w:rFonts w:hint="eastAsia" w:hAnsi="宋体" w:cs="宋体"/>
                <w:color w:val="auto"/>
                <w:szCs w:val="21"/>
              </w:rPr>
              <w:t>12</w:t>
            </w:r>
            <w:r>
              <w:rPr>
                <w:rFonts w:hint="eastAsia" w:hAnsi="宋体" w:cs="宋体"/>
                <w:color w:val="auto"/>
                <w:szCs w:val="21"/>
                <w:lang w:eastAsia="zh-Hans"/>
              </w:rPr>
              <w:t>分）：</w:t>
            </w:r>
            <w:r>
              <w:rPr>
                <w:rFonts w:hint="eastAsia" w:hAnsi="宋体" w:cs="宋体"/>
                <w:color w:val="auto"/>
                <w:szCs w:val="21"/>
              </w:rPr>
              <w:t>提供有针对性</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保障措施，措施</w:t>
            </w:r>
            <w:r>
              <w:rPr>
                <w:rFonts w:hint="eastAsia" w:hAnsi="宋体" w:cs="宋体"/>
                <w:color w:val="auto"/>
                <w:szCs w:val="21"/>
              </w:rPr>
              <w:t>具体严谨</w:t>
            </w:r>
            <w:r>
              <w:rPr>
                <w:rFonts w:hint="eastAsia" w:hAnsi="宋体" w:cs="宋体"/>
                <w:color w:val="auto"/>
                <w:szCs w:val="21"/>
                <w:lang w:eastAsia="zh-Hans"/>
              </w:rPr>
              <w:t>，有</w:t>
            </w:r>
            <w:r>
              <w:rPr>
                <w:rFonts w:hint="eastAsia" w:hAnsi="宋体" w:cs="宋体"/>
                <w:color w:val="auto"/>
                <w:szCs w:val="21"/>
              </w:rPr>
              <w:t>明确</w:t>
            </w:r>
            <w:r>
              <w:rPr>
                <w:rFonts w:hint="eastAsia" w:hAnsi="宋体" w:cs="宋体"/>
                <w:color w:val="auto"/>
                <w:szCs w:val="21"/>
                <w:lang w:eastAsia="zh-Hans"/>
              </w:rPr>
              <w:t>的售后技术服务队伍人员</w:t>
            </w:r>
            <w:r>
              <w:rPr>
                <w:rFonts w:hint="eastAsia" w:hAnsi="宋体" w:cs="宋体"/>
                <w:color w:val="auto"/>
                <w:szCs w:val="21"/>
              </w:rPr>
              <w:t>及</w:t>
            </w:r>
            <w:r>
              <w:rPr>
                <w:rFonts w:hint="eastAsia" w:hAnsi="宋体" w:cs="宋体"/>
                <w:color w:val="auto"/>
                <w:szCs w:val="21"/>
                <w:lang w:eastAsia="zh-Hans"/>
              </w:rPr>
              <w:t>相应售后技术实力</w:t>
            </w:r>
            <w:r>
              <w:rPr>
                <w:rFonts w:hint="eastAsia" w:hAnsi="宋体" w:cs="宋体"/>
                <w:color w:val="auto"/>
                <w:szCs w:val="21"/>
              </w:rPr>
              <w:t>。承诺能在接到采购人通知后3小时内到达现场。</w:t>
            </w:r>
          </w:p>
          <w:p>
            <w:pPr>
              <w:pStyle w:val="17"/>
              <w:spacing w:after="0" w:line="440" w:lineRule="atLeast"/>
              <w:ind w:firstLine="420" w:firstLineChars="200"/>
              <w:rPr>
                <w:rFonts w:hint="eastAsia" w:ascii="宋体" w:hAnsi="宋体" w:cs="宋体"/>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w:t>
            </w:r>
          </w:p>
        </w:tc>
        <w:tc>
          <w:tcPr>
            <w:tcW w:w="1566" w:type="dxa"/>
            <w:vAlign w:val="center"/>
          </w:tcPr>
          <w:p>
            <w:pPr>
              <w:adjustRightInd w:val="0"/>
              <w:spacing w:after="0" w:line="440" w:lineRule="atLeast"/>
              <w:jc w:val="center"/>
              <w:textAlignment w:val="baseline"/>
              <w:rPr>
                <w:rFonts w:hint="eastAsia" w:ascii="宋体" w:hAnsi="宋体" w:cs="宋体"/>
                <w:bCs/>
                <w:color w:val="auto"/>
                <w:szCs w:val="21"/>
              </w:rPr>
            </w:pPr>
            <w:r>
              <w:rPr>
                <w:rFonts w:hint="eastAsia" w:ascii="宋体" w:hAnsi="宋体" w:cs="宋体"/>
                <w:b/>
                <w:color w:val="auto"/>
                <w:szCs w:val="21"/>
              </w:rPr>
              <w:t>商务分（满分5分）</w:t>
            </w:r>
          </w:p>
        </w:tc>
        <w:tc>
          <w:tcPr>
            <w:tcW w:w="1330"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3.1业绩分</w:t>
            </w:r>
          </w:p>
          <w:p>
            <w:pPr>
              <w:spacing w:after="0" w:line="440" w:lineRule="atLeast"/>
              <w:jc w:val="center"/>
              <w:rPr>
                <w:rFonts w:hint="eastAsia" w:ascii="宋体" w:hAnsi="宋体" w:cs="宋体"/>
                <w:b/>
                <w:bCs/>
                <w:color w:val="auto"/>
                <w:kern w:val="0"/>
                <w:szCs w:val="21"/>
              </w:rPr>
            </w:pPr>
            <w:r>
              <w:rPr>
                <w:rFonts w:hint="eastAsia" w:ascii="宋体" w:hAnsi="宋体" w:cs="宋体"/>
                <w:b/>
                <w:color w:val="auto"/>
                <w:szCs w:val="21"/>
              </w:rPr>
              <w:t>（满分5分）</w:t>
            </w:r>
          </w:p>
        </w:tc>
        <w:tc>
          <w:tcPr>
            <w:tcW w:w="6029" w:type="dxa"/>
            <w:vAlign w:val="center"/>
          </w:tcPr>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投标人自2022年1月1日至投标文件递交截止之日，承担过</w:t>
            </w:r>
            <w:r>
              <w:rPr>
                <w:rFonts w:hint="eastAsia" w:ascii="宋体" w:hAnsi="宋体" w:cs="宋体"/>
                <w:color w:val="auto"/>
                <w:szCs w:val="21"/>
              </w:rPr>
              <w:t>与本次采购内容有关的类似项目业绩</w:t>
            </w:r>
            <w:r>
              <w:rPr>
                <w:rFonts w:hint="eastAsia" w:ascii="宋体" w:hAnsi="宋体" w:cs="宋体"/>
                <w:color w:val="auto"/>
                <w:kern w:val="0"/>
                <w:szCs w:val="21"/>
              </w:rPr>
              <w:t>，每有1个业绩得1分，满分5分。</w:t>
            </w:r>
          </w:p>
          <w:p>
            <w:pPr>
              <w:widowControl/>
              <w:adjustRightInd w:val="0"/>
              <w:snapToGrid w:val="0"/>
              <w:spacing w:after="0" w:line="440" w:lineRule="atLeast"/>
              <w:ind w:firstLine="420" w:firstLineChars="200"/>
              <w:rPr>
                <w:rFonts w:hint="eastAsia" w:ascii="宋体" w:hAnsi="宋体" w:cs="宋体"/>
                <w:color w:val="auto"/>
                <w:szCs w:val="21"/>
              </w:rPr>
            </w:pPr>
            <w:r>
              <w:rPr>
                <w:rFonts w:hint="eastAsia" w:ascii="宋体" w:hAnsi="宋体" w:cs="宋体"/>
                <w:color w:val="auto"/>
                <w:kern w:val="0"/>
                <w:szCs w:val="21"/>
              </w:rPr>
              <w:t>注明：投标文件中须提供中标（成交）通知书或合同复印件并加盖投标人公章，否则不予计分。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vAlign w:val="center"/>
          </w:tcPr>
          <w:p>
            <w:pPr>
              <w:widowControl/>
              <w:adjustRightInd w:val="0"/>
              <w:snapToGrid w:val="0"/>
              <w:spacing w:after="0" w:line="440" w:lineRule="atLeast"/>
              <w:rPr>
                <w:rFonts w:hint="eastAsia" w:ascii="宋体" w:hAnsi="宋体" w:cs="宋体"/>
                <w:color w:val="auto"/>
                <w:kern w:val="0"/>
                <w:szCs w:val="21"/>
              </w:rPr>
            </w:pPr>
            <w:r>
              <w:rPr>
                <w:rFonts w:hint="eastAsia" w:ascii="宋体" w:hAnsi="宋体" w:cs="宋体"/>
                <w:b/>
                <w:bCs/>
                <w:color w:val="auto"/>
                <w:szCs w:val="21"/>
              </w:rPr>
              <w:t>总得分=1+2+3</w:t>
            </w:r>
          </w:p>
        </w:tc>
      </w:tr>
    </w:tbl>
    <w:p>
      <w:pPr>
        <w:pStyle w:val="11"/>
        <w:rPr>
          <w:color w:val="auto"/>
        </w:rPr>
      </w:pPr>
    </w:p>
    <w:p>
      <w:pPr>
        <w:rPr>
          <w:rFonts w:hint="eastAsia" w:ascii="宋体" w:hAnsi="宋体" w:cs="宋体"/>
          <w:b/>
          <w:bCs/>
          <w:color w:val="auto"/>
          <w:kern w:val="0"/>
          <w:szCs w:val="21"/>
        </w:rPr>
      </w:pPr>
      <w:r>
        <w:rPr>
          <w:rFonts w:hint="eastAsia" w:ascii="宋体" w:hAnsi="宋体" w:cs="宋体"/>
          <w:b/>
          <w:bCs/>
          <w:color w:val="auto"/>
          <w:kern w:val="0"/>
          <w:szCs w:val="21"/>
        </w:rPr>
        <w:br w:type="page"/>
      </w:r>
    </w:p>
    <w:p>
      <w:pPr>
        <w:pStyle w:val="11"/>
        <w:rPr>
          <w:b/>
          <w:bCs/>
          <w:color w:val="auto"/>
          <w:sz w:val="24"/>
        </w:rPr>
      </w:pPr>
      <w:r>
        <w:rPr>
          <w:rFonts w:hint="eastAsia"/>
          <w:b/>
          <w:bCs/>
          <w:color w:val="auto"/>
          <w:sz w:val="24"/>
        </w:rPr>
        <w:t>标项三</w:t>
      </w:r>
    </w:p>
    <w:tbl>
      <w:tblPr>
        <w:tblStyle w:val="2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66"/>
        <w:gridCol w:w="1330"/>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2"/>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序号</w:t>
            </w:r>
          </w:p>
        </w:tc>
        <w:tc>
          <w:tcPr>
            <w:tcW w:w="1330"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评审因素</w:t>
            </w:r>
          </w:p>
        </w:tc>
        <w:tc>
          <w:tcPr>
            <w:tcW w:w="6029"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1</w:t>
            </w:r>
          </w:p>
        </w:tc>
        <w:tc>
          <w:tcPr>
            <w:tcW w:w="1566"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价格分</w:t>
            </w:r>
          </w:p>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50</w:t>
            </w:r>
            <w:r>
              <w:rPr>
                <w:rFonts w:hint="eastAsia" w:ascii="宋体" w:hAnsi="宋体" w:cs="宋体"/>
                <w:color w:val="auto"/>
                <w:szCs w:val="21"/>
              </w:rPr>
              <w:t>分）</w:t>
            </w:r>
          </w:p>
          <w:p>
            <w:pPr>
              <w:adjustRightInd w:val="0"/>
              <w:spacing w:after="0" w:line="440" w:lineRule="atLeast"/>
              <w:jc w:val="left"/>
              <w:textAlignment w:val="baseline"/>
              <w:rPr>
                <w:rFonts w:hint="eastAsia" w:ascii="宋体" w:hAnsi="宋体" w:cs="宋体"/>
                <w:color w:val="auto"/>
                <w:szCs w:val="21"/>
              </w:rPr>
            </w:pPr>
          </w:p>
        </w:tc>
        <w:tc>
          <w:tcPr>
            <w:tcW w:w="1330"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投标报价</w:t>
            </w:r>
          </w:p>
        </w:tc>
        <w:tc>
          <w:tcPr>
            <w:tcW w:w="6029" w:type="dxa"/>
            <w:vAlign w:val="center"/>
          </w:tcPr>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1.1评标价为投标人的投标报价进行政策性扣除后</w:t>
            </w:r>
            <w:r>
              <w:rPr>
                <w:rFonts w:hint="eastAsia" w:ascii="宋体" w:hAnsi="宋体" w:cs="宋体"/>
                <w:bCs/>
                <w:color w:val="auto"/>
                <w:szCs w:val="21"/>
                <w:lang w:eastAsia="zh-CN"/>
              </w:rPr>
              <w:t>（如有）</w:t>
            </w:r>
            <w:r>
              <w:rPr>
                <w:rFonts w:hint="eastAsia" w:ascii="宋体" w:hAnsi="宋体" w:cs="宋体"/>
                <w:bCs/>
                <w:color w:val="auto"/>
                <w:szCs w:val="21"/>
              </w:rPr>
              <w:t>的价格，评标价只是作为评标时使用。最终中标人的中标金额等于投标报价。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 政策性扣除计算方法。</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1.2.1对小微企业的价格评审优惠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被评定为监狱企业或者残疾人福利性单位或者其提供的货物全部由符合政策要求的小型、微型企业制造，即货物由小型、微型企业生产且使用该小型、微型企业商号或者注册商标的，该投标人的投标报价给予</w:t>
            </w:r>
            <w:r>
              <w:rPr>
                <w:rFonts w:hint="eastAsia" w:ascii="宋体" w:hAnsi="宋体" w:cs="宋体"/>
                <w:bCs/>
                <w:color w:val="auto"/>
                <w:szCs w:val="21"/>
                <w:lang w:val="en-US" w:eastAsia="zh-CN"/>
              </w:rPr>
              <w:t>1</w:t>
            </w:r>
            <w:r>
              <w:rPr>
                <w:rFonts w:hint="eastAsia" w:ascii="宋体" w:hAnsi="宋体" w:cs="宋体"/>
                <w:bCs/>
                <w:color w:val="auto"/>
                <w:szCs w:val="21"/>
              </w:rPr>
              <w:t>0%的扣除，扣除后的价格为评标价，即评标价=投标报价×（1-</w:t>
            </w:r>
            <w:r>
              <w:rPr>
                <w:rFonts w:hint="eastAsia" w:ascii="宋体" w:hAnsi="宋体" w:cs="宋体"/>
                <w:bCs/>
                <w:color w:val="auto"/>
                <w:szCs w:val="21"/>
                <w:lang w:val="en-US" w:eastAsia="zh-CN"/>
              </w:rPr>
              <w:t>1</w:t>
            </w:r>
            <w:r>
              <w:rPr>
                <w:rFonts w:hint="eastAsia" w:ascii="宋体" w:hAnsi="宋体" w:cs="宋体"/>
                <w:bCs/>
                <w:color w:val="auto"/>
                <w:szCs w:val="21"/>
              </w:rPr>
              <w:t>0%）；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6%的扣除，用扣除后的价格参加评审，扣除后的价格为评标价，即评标价=投标报价×（1－6%）。</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1.2.2对本国产品的价格评审优惠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对本国产品的支持政策：政府采购活动中既有本国产品又有非本国产品参与竞争的，依法对本国产品给予价格评审优惠，对本国产品的报价给予20%的价格扣除，用扣除后的价格参与评审。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除上述情况外，评标价=投标报价。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1.3满足招标文件要求且评标价最低的评标价为评标基准价，基准价得分为50分。</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 xml:space="preserve">1.4价格分计算公式：        </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价格分=(评标基准价／评标价)×50分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2</w:t>
            </w:r>
          </w:p>
        </w:tc>
        <w:tc>
          <w:tcPr>
            <w:tcW w:w="1566" w:type="dxa"/>
            <w:vMerge w:val="restart"/>
            <w:vAlign w:val="center"/>
          </w:tcPr>
          <w:p>
            <w:pPr>
              <w:adjustRightInd w:val="0"/>
              <w:spacing w:after="0" w:line="440" w:lineRule="atLeast"/>
              <w:ind w:left="-105" w:leftChars="-50" w:right="-105" w:rightChars="-50"/>
              <w:jc w:val="center"/>
              <w:textAlignment w:val="baseline"/>
              <w:rPr>
                <w:rFonts w:hint="eastAsia" w:ascii="宋体" w:hAnsi="宋体" w:cs="宋体"/>
                <w:b/>
                <w:bCs/>
                <w:color w:val="auto"/>
                <w:szCs w:val="21"/>
              </w:rPr>
            </w:pPr>
            <w:r>
              <w:rPr>
                <w:rFonts w:hint="eastAsia" w:ascii="宋体" w:hAnsi="宋体" w:cs="宋体"/>
                <w:b/>
                <w:bCs/>
                <w:color w:val="auto"/>
                <w:szCs w:val="21"/>
              </w:rPr>
              <w:t>技术分</w:t>
            </w:r>
          </w:p>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r>
              <w:rPr>
                <w:rFonts w:hint="eastAsia" w:ascii="宋体" w:hAnsi="宋体" w:cs="宋体"/>
                <w:bCs/>
                <w:color w:val="auto"/>
                <w:szCs w:val="21"/>
              </w:rPr>
              <w:t>（</w:t>
            </w:r>
            <w:r>
              <w:rPr>
                <w:rFonts w:hint="eastAsia" w:ascii="宋体" w:hAnsi="宋体" w:cs="宋体"/>
                <w:color w:val="auto"/>
                <w:szCs w:val="21"/>
              </w:rPr>
              <w:t>满分</w:t>
            </w:r>
            <w:r>
              <w:rPr>
                <w:rFonts w:hint="eastAsia" w:ascii="宋体" w:hAnsi="宋体" w:cs="宋体"/>
                <w:color w:val="auto"/>
                <w:szCs w:val="21"/>
                <w:u w:val="single"/>
              </w:rPr>
              <w:t>45</w:t>
            </w:r>
            <w:r>
              <w:rPr>
                <w:rFonts w:hint="eastAsia" w:ascii="宋体" w:hAnsi="宋体" w:cs="宋体"/>
                <w:bCs/>
                <w:color w:val="auto"/>
                <w:szCs w:val="21"/>
              </w:rPr>
              <w:t>分）</w:t>
            </w:r>
          </w:p>
        </w:tc>
        <w:tc>
          <w:tcPr>
            <w:tcW w:w="1330" w:type="dxa"/>
            <w:vAlign w:val="center"/>
          </w:tcPr>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bCs/>
                <w:color w:val="auto"/>
                <w:szCs w:val="21"/>
              </w:rPr>
              <w:t>2.1技术性能分（满分15分）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kern w:val="0"/>
                <w:szCs w:val="21"/>
              </w:rPr>
              <w:t>投标人所投产品的技术参数及配置每有一项</w:t>
            </w:r>
            <w:r>
              <w:rPr>
                <w:rFonts w:hint="eastAsia"/>
                <w:color w:val="auto"/>
              </w:rPr>
              <w:t>正偏离或完全满足</w:t>
            </w:r>
            <w:r>
              <w:rPr>
                <w:rFonts w:hint="eastAsia" w:hAnsi="宋体" w:cs="宋体"/>
                <w:color w:val="auto"/>
                <w:kern w:val="0"/>
                <w:szCs w:val="21"/>
              </w:rPr>
              <w:t>“</w:t>
            </w:r>
            <w:r>
              <w:rPr>
                <w:rFonts w:hint="eastAsia" w:hAnsi="宋体" w:cs="宋体"/>
                <w:bCs/>
                <w:color w:val="auto"/>
                <w:kern w:val="0"/>
                <w:szCs w:val="21"/>
              </w:rPr>
              <w:t>●</w:t>
            </w:r>
            <w:r>
              <w:rPr>
                <w:rFonts w:hint="eastAsia" w:hAnsi="宋体" w:cs="宋体"/>
                <w:color w:val="auto"/>
                <w:kern w:val="0"/>
                <w:szCs w:val="21"/>
              </w:rPr>
              <w:t>”的条款并能提供佐证材料的得1分，满分15分。</w:t>
            </w:r>
          </w:p>
          <w:p>
            <w:pPr>
              <w:pStyle w:val="14"/>
              <w:spacing w:after="0" w:line="440" w:lineRule="atLeast"/>
              <w:ind w:firstLine="420" w:firstLineChars="200"/>
              <w:rPr>
                <w:rFonts w:hint="eastAsia" w:hAnsi="宋体" w:cs="宋体"/>
                <w:bCs/>
                <w:color w:val="auto"/>
                <w:szCs w:val="21"/>
              </w:rPr>
            </w:pPr>
            <w:r>
              <w:rPr>
                <w:rFonts w:hint="eastAsia" w:hAnsi="宋体" w:cs="宋体"/>
                <w:color w:val="auto"/>
                <w:kern w:val="0"/>
                <w:szCs w:val="21"/>
              </w:rPr>
              <w:t>注明：佐证材料可以是由国家认可的第三方检测机构出具的检测报告或厂家官网截图或产品说明书或产品界面截图，非正偏离或不完全满足或未提供佐证材料的不得分。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p>
        </w:tc>
        <w:tc>
          <w:tcPr>
            <w:tcW w:w="1330" w:type="dxa"/>
            <w:vAlign w:val="center"/>
          </w:tcPr>
          <w:p>
            <w:pPr>
              <w:widowControl/>
              <w:snapToGrid w:val="0"/>
              <w:spacing w:after="0" w:line="440" w:lineRule="atLeast"/>
              <w:jc w:val="center"/>
              <w:rPr>
                <w:rFonts w:hint="eastAsia" w:ascii="宋体" w:hAnsi="宋体" w:cs="宋体"/>
                <w:b/>
                <w:color w:val="auto"/>
                <w:szCs w:val="21"/>
              </w:rPr>
            </w:pPr>
            <w:r>
              <w:rPr>
                <w:rFonts w:hint="eastAsia" w:ascii="宋体" w:hAnsi="宋体" w:cs="宋体"/>
                <w:b/>
                <w:color w:val="auto"/>
                <w:szCs w:val="21"/>
              </w:rPr>
              <w:t>2.2项目实施方案分</w:t>
            </w:r>
          </w:p>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color w:val="auto"/>
                <w:szCs w:val="21"/>
              </w:rPr>
              <w:t>（满分12分）</w:t>
            </w:r>
          </w:p>
        </w:tc>
        <w:tc>
          <w:tcPr>
            <w:tcW w:w="6029" w:type="dxa"/>
            <w:vAlign w:val="center"/>
          </w:tcPr>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一档（3分）：提供有项目的实施</w:t>
            </w:r>
            <w:r>
              <w:rPr>
                <w:rFonts w:hint="eastAsia" w:hAnsi="宋体" w:cs="宋体"/>
                <w:color w:val="auto"/>
                <w:szCs w:val="21"/>
              </w:rPr>
              <w:t>进度安排</w:t>
            </w:r>
            <w:r>
              <w:rPr>
                <w:rFonts w:hint="eastAsia" w:hAnsi="宋体" w:cs="宋体"/>
                <w:bCs/>
                <w:color w:val="auto"/>
                <w:szCs w:val="21"/>
              </w:rPr>
              <w:t>、实施环节步骤；</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二档（6分）：提供有项目实施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各个阶段工作安排，提出本项目的风险预见和技术重点、难点</w:t>
            </w:r>
            <w:r>
              <w:rPr>
                <w:rFonts w:hint="eastAsia" w:hAnsi="宋体" w:cs="宋体"/>
                <w:bCs/>
                <w:color w:val="auto"/>
                <w:szCs w:val="21"/>
              </w:rPr>
              <w:t>；</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三档（9分）：有详细的项目实施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，有人员岗位安排</w:t>
            </w:r>
            <w:r>
              <w:rPr>
                <w:rFonts w:hint="eastAsia" w:hAnsi="宋体" w:cs="宋体"/>
                <w:color w:val="auto"/>
                <w:szCs w:val="21"/>
              </w:rPr>
              <w:t>，人员配置有保障，</w:t>
            </w:r>
            <w:r>
              <w:rPr>
                <w:rFonts w:hint="eastAsia" w:hAnsi="宋体" w:cs="宋体"/>
                <w:bCs/>
                <w:color w:val="auto"/>
                <w:szCs w:val="21"/>
              </w:rPr>
              <w:t>实施环节步骤详细，</w:t>
            </w:r>
            <w:r>
              <w:rPr>
                <w:rFonts w:hint="eastAsia" w:hAnsi="宋体" w:cs="宋体"/>
                <w:color w:val="auto"/>
                <w:szCs w:val="21"/>
              </w:rPr>
              <w:t>能说明各个阶段工作安排，提出本项目的风险预见及措施</w:t>
            </w:r>
            <w:r>
              <w:rPr>
                <w:rFonts w:hint="eastAsia" w:hAnsi="宋体" w:cs="宋体"/>
                <w:bCs/>
                <w:color w:val="auto"/>
                <w:szCs w:val="21"/>
              </w:rPr>
              <w:t>；分析了</w:t>
            </w:r>
            <w:r>
              <w:rPr>
                <w:rFonts w:hint="eastAsia" w:hAnsi="宋体" w:cs="宋体"/>
                <w:color w:val="auto"/>
                <w:szCs w:val="21"/>
              </w:rPr>
              <w:t>本项目的技术重点、难点</w:t>
            </w:r>
            <w:r>
              <w:rPr>
                <w:rFonts w:hint="eastAsia" w:hAnsi="宋体" w:cs="宋体"/>
                <w:bCs/>
                <w:color w:val="auto"/>
                <w:szCs w:val="21"/>
              </w:rPr>
              <w:t>及提供相应建议，满足项目要求；</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四档（12分）：有严谨的项目实施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分工与职责明确，人员配置有保障，</w:t>
            </w:r>
            <w:r>
              <w:rPr>
                <w:rFonts w:hint="eastAsia" w:hAnsi="宋体" w:cs="宋体"/>
                <w:bCs/>
                <w:color w:val="auto"/>
                <w:szCs w:val="21"/>
              </w:rPr>
              <w:t>各实施环节步骤详细清晰，</w:t>
            </w:r>
            <w:r>
              <w:rPr>
                <w:rFonts w:hint="eastAsia" w:hAnsi="宋体" w:cs="宋体"/>
                <w:color w:val="auto"/>
                <w:szCs w:val="21"/>
              </w:rPr>
              <w:t>能说明各个阶段关键工作安排及关键部分的分析准确，分析本项目的风险预见及风险应对措施</w:t>
            </w:r>
            <w:r>
              <w:rPr>
                <w:rFonts w:hint="eastAsia" w:hAnsi="宋体" w:cs="宋体"/>
                <w:bCs/>
                <w:color w:val="auto"/>
                <w:szCs w:val="21"/>
              </w:rPr>
              <w:t>；能</w:t>
            </w:r>
            <w:r>
              <w:rPr>
                <w:rFonts w:hint="eastAsia" w:hAnsi="宋体" w:cs="宋体"/>
                <w:color w:val="auto"/>
                <w:szCs w:val="21"/>
              </w:rPr>
              <w:t>把握本项目的技术重点、难点</w:t>
            </w:r>
            <w:r>
              <w:rPr>
                <w:rFonts w:hint="eastAsia" w:hAnsi="宋体" w:cs="宋体"/>
                <w:bCs/>
                <w:color w:val="auto"/>
                <w:szCs w:val="21"/>
              </w:rPr>
              <w:t>，切合实际且有针对性，</w:t>
            </w:r>
            <w:r>
              <w:rPr>
                <w:rFonts w:hint="eastAsia" w:hAnsi="宋体" w:cs="宋体"/>
                <w:color w:val="auto"/>
                <w:szCs w:val="21"/>
              </w:rPr>
              <w:t>利于项目实施，</w:t>
            </w:r>
            <w:r>
              <w:rPr>
                <w:rFonts w:hint="eastAsia" w:hAnsi="宋体" w:cs="宋体"/>
                <w:bCs/>
                <w:color w:val="auto"/>
                <w:szCs w:val="21"/>
              </w:rPr>
              <w:t>能保障推进项目实施。</w:t>
            </w:r>
          </w:p>
          <w:p>
            <w:pPr>
              <w:pStyle w:val="17"/>
              <w:spacing w:after="0" w:line="440" w:lineRule="atLeast"/>
              <w:ind w:firstLine="420" w:firstLineChars="200"/>
              <w:rPr>
                <w:rFonts w:hint="eastAsia" w:ascii="宋体" w:hAnsi="宋体" w:cs="宋体"/>
                <w:bCs/>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color w:val="auto"/>
                <w:szCs w:val="21"/>
                <w:u w:val="single"/>
              </w:rPr>
            </w:pPr>
            <w:r>
              <w:rPr>
                <w:rFonts w:hint="eastAsia" w:ascii="宋体" w:hAnsi="宋体" w:cs="宋体"/>
                <w:b/>
                <w:bCs/>
                <w:color w:val="auto"/>
                <w:kern w:val="0"/>
                <w:szCs w:val="21"/>
              </w:rPr>
              <w:t xml:space="preserve">2.3 </w:t>
            </w:r>
            <w:r>
              <w:rPr>
                <w:rFonts w:hint="eastAsia" w:ascii="宋体" w:hAnsi="宋体" w:cs="宋体"/>
                <w:b/>
                <w:color w:val="auto"/>
                <w:szCs w:val="21"/>
              </w:rPr>
              <w:t>安装调试方案（6分）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一档（2分）：提供有本项目安装、配送、调试描述</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二档（4分）：提供有本项目安装、配送、调试技术说明及实施措施，分析本项目安装、配送、调试的关键点，能把握项目的总体要求</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档（6分）：提供有切合本项目的安装、配送、调试技术说明及实施措施，条理清晰，能结合本项目实际情况分析本项目安装、配送、调试的难点及关键点，总体思路清晰、切合项目特点，并提出有针对性的意见和建议。</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b/>
                <w:bCs/>
                <w:color w:val="auto"/>
                <w:kern w:val="0"/>
                <w:szCs w:val="21"/>
              </w:rPr>
            </w:pPr>
            <w:r>
              <w:rPr>
                <w:rFonts w:hint="eastAsia" w:ascii="宋体" w:hAnsi="宋体" w:cs="宋体"/>
                <w:b/>
                <w:bCs/>
                <w:color w:val="auto"/>
                <w:kern w:val="0"/>
                <w:szCs w:val="21"/>
              </w:rPr>
              <w:t>2.4售后服务分（满分12分）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lang w:eastAsia="zh-Hans"/>
              </w:rPr>
              <w:t>一档（</w:t>
            </w:r>
            <w:r>
              <w:rPr>
                <w:rFonts w:hint="eastAsia" w:hAnsi="宋体" w:cs="宋体"/>
                <w:color w:val="auto"/>
                <w:szCs w:val="21"/>
              </w:rPr>
              <w:t>3</w:t>
            </w:r>
            <w:r>
              <w:rPr>
                <w:rFonts w:hint="eastAsia" w:hAnsi="宋体" w:cs="宋体"/>
                <w:color w:val="auto"/>
                <w:szCs w:val="21"/>
                <w:lang w:eastAsia="zh-Hans"/>
              </w:rPr>
              <w:t>分）：提供有培训计划、售后服务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，并承诺能在接到采购人通知后24小时内到达现场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lang w:eastAsia="zh-Hans"/>
              </w:rPr>
            </w:pPr>
            <w:r>
              <w:rPr>
                <w:rFonts w:hint="eastAsia" w:hAnsi="宋体" w:cs="宋体"/>
                <w:color w:val="auto"/>
                <w:szCs w:val="21"/>
                <w:lang w:eastAsia="zh-Hans"/>
              </w:rPr>
              <w:t>二档（</w:t>
            </w:r>
            <w:r>
              <w:rPr>
                <w:rFonts w:hint="eastAsia" w:hAnsi="宋体" w:cs="宋体"/>
                <w:color w:val="auto"/>
                <w:szCs w:val="21"/>
              </w:rPr>
              <w:t>6</w:t>
            </w:r>
            <w:r>
              <w:rPr>
                <w:rFonts w:hint="eastAsia" w:hAnsi="宋体" w:cs="宋体"/>
                <w:color w:val="auto"/>
                <w:szCs w:val="21"/>
                <w:lang w:eastAsia="zh-Hans"/>
              </w:rPr>
              <w:t>分）：</w:t>
            </w:r>
            <w:r>
              <w:rPr>
                <w:rFonts w:hint="eastAsia" w:hAnsi="宋体" w:cs="宋体"/>
                <w:color w:val="auto"/>
                <w:szCs w:val="21"/>
              </w:rPr>
              <w:t>提供</w:t>
            </w:r>
            <w:r>
              <w:rPr>
                <w:rFonts w:hint="eastAsia" w:hAnsi="宋体" w:cs="宋体"/>
                <w:color w:val="auto"/>
                <w:szCs w:val="21"/>
                <w:lang w:eastAsia="zh-Hans"/>
              </w:rPr>
              <w:t>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w:t>
            </w:r>
            <w:r>
              <w:rPr>
                <w:rFonts w:hint="eastAsia" w:hAnsi="宋体" w:cs="宋体"/>
                <w:color w:val="auto"/>
                <w:szCs w:val="21"/>
                <w:lang w:eastAsia="zh-Hans"/>
              </w:rPr>
              <w:t>保障措施</w:t>
            </w:r>
            <w:r>
              <w:rPr>
                <w:rFonts w:hint="eastAsia" w:hAnsi="宋体" w:cs="宋体"/>
                <w:color w:val="auto"/>
                <w:szCs w:val="21"/>
              </w:rPr>
              <w:t>，并承诺能在接到采购人通知后12小时内到达现场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w:t>
            </w:r>
            <w:r>
              <w:rPr>
                <w:rFonts w:hint="eastAsia" w:hAnsi="宋体" w:cs="宋体"/>
                <w:color w:val="auto"/>
                <w:szCs w:val="21"/>
                <w:lang w:eastAsia="zh-Hans"/>
              </w:rPr>
              <w:t>档（</w:t>
            </w:r>
            <w:r>
              <w:rPr>
                <w:rFonts w:hint="eastAsia" w:hAnsi="宋体" w:cs="宋体"/>
                <w:color w:val="auto"/>
                <w:szCs w:val="21"/>
              </w:rPr>
              <w:t>9</w:t>
            </w:r>
            <w:r>
              <w:rPr>
                <w:rFonts w:hint="eastAsia" w:hAnsi="宋体" w:cs="宋体"/>
                <w:color w:val="auto"/>
                <w:szCs w:val="21"/>
                <w:lang w:eastAsia="zh-Hans"/>
              </w:rPr>
              <w:t>分）：</w:t>
            </w:r>
            <w:r>
              <w:rPr>
                <w:rFonts w:hint="eastAsia" w:hAnsi="宋体" w:cs="宋体"/>
                <w:color w:val="auto"/>
                <w:szCs w:val="21"/>
              </w:rPr>
              <w:t>提供有详细</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保障措施，有售后技术服务队伍</w:t>
            </w:r>
            <w:r>
              <w:rPr>
                <w:rFonts w:hint="eastAsia" w:hAnsi="宋体" w:cs="宋体"/>
                <w:color w:val="auto"/>
                <w:szCs w:val="21"/>
              </w:rPr>
              <w:t>。承诺能在接到采购人通知后6小时内到达现场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四</w:t>
            </w:r>
            <w:r>
              <w:rPr>
                <w:rFonts w:hint="eastAsia" w:hAnsi="宋体" w:cs="宋体"/>
                <w:color w:val="auto"/>
                <w:szCs w:val="21"/>
                <w:lang w:eastAsia="zh-Hans"/>
              </w:rPr>
              <w:t>档（</w:t>
            </w:r>
            <w:r>
              <w:rPr>
                <w:rFonts w:hint="eastAsia" w:hAnsi="宋体" w:cs="宋体"/>
                <w:color w:val="auto"/>
                <w:szCs w:val="21"/>
              </w:rPr>
              <w:t>12</w:t>
            </w:r>
            <w:r>
              <w:rPr>
                <w:rFonts w:hint="eastAsia" w:hAnsi="宋体" w:cs="宋体"/>
                <w:color w:val="auto"/>
                <w:szCs w:val="21"/>
                <w:lang w:eastAsia="zh-Hans"/>
              </w:rPr>
              <w:t>分）：</w:t>
            </w:r>
            <w:r>
              <w:rPr>
                <w:rFonts w:hint="eastAsia" w:hAnsi="宋体" w:cs="宋体"/>
                <w:color w:val="auto"/>
                <w:szCs w:val="21"/>
              </w:rPr>
              <w:t>提供有针对性</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保障措施，措施</w:t>
            </w:r>
            <w:r>
              <w:rPr>
                <w:rFonts w:hint="eastAsia" w:hAnsi="宋体" w:cs="宋体"/>
                <w:color w:val="auto"/>
                <w:szCs w:val="21"/>
              </w:rPr>
              <w:t>具体严谨</w:t>
            </w:r>
            <w:r>
              <w:rPr>
                <w:rFonts w:hint="eastAsia" w:hAnsi="宋体" w:cs="宋体"/>
                <w:color w:val="auto"/>
                <w:szCs w:val="21"/>
                <w:lang w:eastAsia="zh-Hans"/>
              </w:rPr>
              <w:t>，有</w:t>
            </w:r>
            <w:r>
              <w:rPr>
                <w:rFonts w:hint="eastAsia" w:hAnsi="宋体" w:cs="宋体"/>
                <w:color w:val="auto"/>
                <w:szCs w:val="21"/>
              </w:rPr>
              <w:t>明确</w:t>
            </w:r>
            <w:r>
              <w:rPr>
                <w:rFonts w:hint="eastAsia" w:hAnsi="宋体" w:cs="宋体"/>
                <w:color w:val="auto"/>
                <w:szCs w:val="21"/>
                <w:lang w:eastAsia="zh-Hans"/>
              </w:rPr>
              <w:t>的售后技术服务队伍人员</w:t>
            </w:r>
            <w:r>
              <w:rPr>
                <w:rFonts w:hint="eastAsia" w:hAnsi="宋体" w:cs="宋体"/>
                <w:color w:val="auto"/>
                <w:szCs w:val="21"/>
              </w:rPr>
              <w:t>及</w:t>
            </w:r>
            <w:r>
              <w:rPr>
                <w:rFonts w:hint="eastAsia" w:hAnsi="宋体" w:cs="宋体"/>
                <w:color w:val="auto"/>
                <w:szCs w:val="21"/>
                <w:lang w:eastAsia="zh-Hans"/>
              </w:rPr>
              <w:t>相应售后技术实力</w:t>
            </w:r>
            <w:r>
              <w:rPr>
                <w:rFonts w:hint="eastAsia" w:hAnsi="宋体" w:cs="宋体"/>
                <w:color w:val="auto"/>
                <w:szCs w:val="21"/>
              </w:rPr>
              <w:t>。承诺能在接到采购人通知后3小时内到达现场。</w:t>
            </w:r>
          </w:p>
          <w:p>
            <w:pPr>
              <w:pStyle w:val="17"/>
              <w:spacing w:after="0" w:line="440" w:lineRule="atLeast"/>
              <w:ind w:firstLine="420" w:firstLineChars="200"/>
              <w:rPr>
                <w:rFonts w:hint="eastAsia" w:ascii="宋体" w:hAnsi="宋体" w:cs="宋体"/>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w:t>
            </w:r>
          </w:p>
        </w:tc>
        <w:tc>
          <w:tcPr>
            <w:tcW w:w="1566" w:type="dxa"/>
            <w:vAlign w:val="center"/>
          </w:tcPr>
          <w:p>
            <w:pPr>
              <w:adjustRightInd w:val="0"/>
              <w:spacing w:after="0" w:line="440" w:lineRule="atLeast"/>
              <w:jc w:val="center"/>
              <w:textAlignment w:val="baseline"/>
              <w:rPr>
                <w:rFonts w:hint="eastAsia" w:ascii="宋体" w:hAnsi="宋体" w:cs="宋体"/>
                <w:bCs/>
                <w:color w:val="auto"/>
                <w:szCs w:val="21"/>
              </w:rPr>
            </w:pPr>
            <w:r>
              <w:rPr>
                <w:rFonts w:hint="eastAsia" w:ascii="宋体" w:hAnsi="宋体" w:cs="宋体"/>
                <w:b/>
                <w:color w:val="auto"/>
                <w:szCs w:val="21"/>
              </w:rPr>
              <w:t>商务分（满分2分）</w:t>
            </w:r>
          </w:p>
        </w:tc>
        <w:tc>
          <w:tcPr>
            <w:tcW w:w="1330"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3.1业绩分</w:t>
            </w:r>
          </w:p>
          <w:p>
            <w:pPr>
              <w:spacing w:after="0" w:line="440" w:lineRule="atLeast"/>
              <w:jc w:val="center"/>
              <w:rPr>
                <w:rFonts w:hint="eastAsia" w:ascii="宋体" w:hAnsi="宋体" w:cs="宋体"/>
                <w:b/>
                <w:bCs/>
                <w:color w:val="auto"/>
                <w:kern w:val="0"/>
                <w:szCs w:val="21"/>
              </w:rPr>
            </w:pPr>
            <w:r>
              <w:rPr>
                <w:rFonts w:hint="eastAsia" w:ascii="宋体" w:hAnsi="宋体" w:cs="宋体"/>
                <w:b/>
                <w:color w:val="auto"/>
                <w:szCs w:val="21"/>
              </w:rPr>
              <w:t>（满分2分）</w:t>
            </w:r>
          </w:p>
        </w:tc>
        <w:tc>
          <w:tcPr>
            <w:tcW w:w="6029" w:type="dxa"/>
            <w:vAlign w:val="center"/>
          </w:tcPr>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投标人自2022年1月1日至投标文件递交截止之日，承担过</w:t>
            </w:r>
            <w:r>
              <w:rPr>
                <w:rFonts w:hint="eastAsia" w:ascii="宋体" w:hAnsi="宋体" w:cs="宋体"/>
                <w:color w:val="auto"/>
                <w:szCs w:val="21"/>
              </w:rPr>
              <w:t>与本次采购内容有关的类似项目业绩</w:t>
            </w:r>
            <w:r>
              <w:rPr>
                <w:rFonts w:hint="eastAsia" w:ascii="宋体" w:hAnsi="宋体" w:cs="宋体"/>
                <w:color w:val="auto"/>
                <w:kern w:val="0"/>
                <w:szCs w:val="21"/>
              </w:rPr>
              <w:t>，每有1个业绩得1分，满分2分。</w:t>
            </w:r>
          </w:p>
          <w:p>
            <w:pPr>
              <w:widowControl/>
              <w:adjustRightInd w:val="0"/>
              <w:snapToGrid w:val="0"/>
              <w:spacing w:after="0" w:line="440" w:lineRule="atLeast"/>
              <w:ind w:firstLine="420" w:firstLineChars="200"/>
              <w:rPr>
                <w:rFonts w:hint="eastAsia" w:ascii="宋体" w:hAnsi="宋体" w:cs="宋体"/>
                <w:color w:val="auto"/>
                <w:szCs w:val="21"/>
              </w:rPr>
            </w:pPr>
            <w:r>
              <w:rPr>
                <w:rFonts w:hint="eastAsia" w:ascii="宋体" w:hAnsi="宋体" w:cs="宋体"/>
                <w:color w:val="auto"/>
                <w:kern w:val="0"/>
                <w:szCs w:val="21"/>
              </w:rPr>
              <w:t>注明：投标文件中须提供中标（成交）通知书或合同复印件并加盖投标人公章，否则不予计分。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4</w:t>
            </w:r>
          </w:p>
        </w:tc>
        <w:tc>
          <w:tcPr>
            <w:tcW w:w="1566"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政策分（满分3</w:t>
            </w:r>
          </w:p>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 xml:space="preserve">  分）</w:t>
            </w:r>
          </w:p>
        </w:tc>
        <w:tc>
          <w:tcPr>
            <w:tcW w:w="1330"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政策分（满分3 分）</w:t>
            </w:r>
          </w:p>
        </w:tc>
        <w:tc>
          <w:tcPr>
            <w:tcW w:w="6029" w:type="dxa"/>
            <w:vAlign w:val="center"/>
          </w:tcPr>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属于财政部《节能产品政府采购品目清单》内优先采购（清单内未标注“★”的品目）的产品，每提供一项得1分，满分3分。</w:t>
            </w:r>
          </w:p>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注明：投标文件中须提供有效的认证证书复印件及品目清单（标注出投标产品在品目清单中所属的品目），并加盖投标人公章，否则不予计分。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vAlign w:val="center"/>
          </w:tcPr>
          <w:p>
            <w:pPr>
              <w:widowControl/>
              <w:adjustRightInd w:val="0"/>
              <w:snapToGrid w:val="0"/>
              <w:spacing w:after="0" w:line="440" w:lineRule="atLeast"/>
              <w:rPr>
                <w:rFonts w:hint="eastAsia" w:ascii="宋体" w:hAnsi="宋体" w:cs="宋体"/>
                <w:color w:val="auto"/>
                <w:kern w:val="0"/>
                <w:szCs w:val="21"/>
              </w:rPr>
            </w:pPr>
            <w:r>
              <w:rPr>
                <w:rFonts w:hint="eastAsia" w:ascii="宋体" w:hAnsi="宋体" w:cs="宋体"/>
                <w:b/>
                <w:bCs/>
                <w:color w:val="auto"/>
                <w:szCs w:val="21"/>
              </w:rPr>
              <w:t>总得分=1+2+3+4</w:t>
            </w:r>
          </w:p>
        </w:tc>
      </w:tr>
    </w:tbl>
    <w:p>
      <w:pPr>
        <w:pStyle w:val="22"/>
        <w:rPr>
          <w:color w:val="auto"/>
        </w:rPr>
      </w:pPr>
    </w:p>
    <w:p>
      <w:pPr>
        <w:rPr>
          <w:color w:val="auto"/>
        </w:rPr>
      </w:pPr>
      <w:r>
        <w:rPr>
          <w:rFonts w:hint="eastAsia"/>
          <w:color w:val="auto"/>
        </w:rPr>
        <w:br w:type="page"/>
      </w:r>
    </w:p>
    <w:p>
      <w:pPr>
        <w:pStyle w:val="22"/>
        <w:rPr>
          <w:b/>
          <w:bCs/>
          <w:color w:val="auto"/>
          <w:sz w:val="24"/>
        </w:rPr>
      </w:pPr>
      <w:r>
        <w:rPr>
          <w:rFonts w:hint="eastAsia"/>
          <w:b/>
          <w:bCs/>
          <w:color w:val="auto"/>
          <w:sz w:val="24"/>
        </w:rPr>
        <w:t>标项四</w:t>
      </w:r>
    </w:p>
    <w:tbl>
      <w:tblPr>
        <w:tblStyle w:val="26"/>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66"/>
        <w:gridCol w:w="1330"/>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2"/>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序号</w:t>
            </w:r>
          </w:p>
        </w:tc>
        <w:tc>
          <w:tcPr>
            <w:tcW w:w="1330"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评审因素</w:t>
            </w:r>
          </w:p>
        </w:tc>
        <w:tc>
          <w:tcPr>
            <w:tcW w:w="6029" w:type="dxa"/>
            <w:vAlign w:val="center"/>
          </w:tcPr>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b/>
                <w:color w:val="auto"/>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1</w:t>
            </w:r>
          </w:p>
        </w:tc>
        <w:tc>
          <w:tcPr>
            <w:tcW w:w="1566"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价格分</w:t>
            </w:r>
          </w:p>
          <w:p>
            <w:pPr>
              <w:adjustRightInd w:val="0"/>
              <w:spacing w:after="0" w:line="440" w:lineRule="atLeast"/>
              <w:jc w:val="center"/>
              <w:textAlignment w:val="baseline"/>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50</w:t>
            </w:r>
            <w:r>
              <w:rPr>
                <w:rFonts w:hint="eastAsia" w:ascii="宋体" w:hAnsi="宋体" w:cs="宋体"/>
                <w:color w:val="auto"/>
                <w:szCs w:val="21"/>
              </w:rPr>
              <w:t>分）</w:t>
            </w:r>
          </w:p>
          <w:p>
            <w:pPr>
              <w:adjustRightInd w:val="0"/>
              <w:spacing w:after="0" w:line="440" w:lineRule="atLeast"/>
              <w:jc w:val="left"/>
              <w:textAlignment w:val="baseline"/>
              <w:rPr>
                <w:rFonts w:hint="eastAsia" w:ascii="宋体" w:hAnsi="宋体" w:cs="宋体"/>
                <w:color w:val="auto"/>
                <w:szCs w:val="21"/>
              </w:rPr>
            </w:pPr>
          </w:p>
        </w:tc>
        <w:tc>
          <w:tcPr>
            <w:tcW w:w="1330" w:type="dxa"/>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投标报价</w:t>
            </w:r>
          </w:p>
        </w:tc>
        <w:tc>
          <w:tcPr>
            <w:tcW w:w="6029" w:type="dxa"/>
            <w:vAlign w:val="center"/>
          </w:tcPr>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1.1评标价为投标人的投标报价进行政策性扣除后</w:t>
            </w:r>
            <w:r>
              <w:rPr>
                <w:rFonts w:hint="eastAsia" w:ascii="宋体" w:hAnsi="宋体" w:cs="宋体"/>
                <w:bCs/>
                <w:color w:val="auto"/>
                <w:szCs w:val="21"/>
                <w:lang w:eastAsia="zh-CN"/>
              </w:rPr>
              <w:t>（如有）</w:t>
            </w:r>
            <w:r>
              <w:rPr>
                <w:rFonts w:hint="eastAsia" w:ascii="宋体" w:hAnsi="宋体" w:cs="宋体"/>
                <w:bCs/>
                <w:color w:val="auto"/>
                <w:szCs w:val="21"/>
              </w:rPr>
              <w:t>的价格，评标价只是作为评标时使用。最终中标人的中标金额等于投标报价。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 政策性扣除计算方法。</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1.2.1对小微企业的价格评审优惠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被评定为监狱企业或者残疾人福利性单位或者其提供的货物全部由符合政策要求的小型、微型企业制造，即货物由小型、微型企业生产且使用该小型、微型企业商号或者注册商标的，该投标人的投标报价给予</w:t>
            </w:r>
            <w:r>
              <w:rPr>
                <w:rFonts w:hint="eastAsia" w:ascii="宋体" w:hAnsi="宋体" w:cs="宋体"/>
                <w:bCs/>
                <w:color w:val="auto"/>
                <w:szCs w:val="21"/>
                <w:lang w:val="en-US" w:eastAsia="zh-CN"/>
              </w:rPr>
              <w:t>1</w:t>
            </w:r>
            <w:r>
              <w:rPr>
                <w:rFonts w:hint="eastAsia" w:ascii="宋体" w:hAnsi="宋体" w:cs="宋体"/>
                <w:bCs/>
                <w:color w:val="auto"/>
                <w:szCs w:val="21"/>
              </w:rPr>
              <w:t>0%的扣除，扣除后的价格为评标价，即评标价=投标报价×（1-</w:t>
            </w:r>
            <w:r>
              <w:rPr>
                <w:rFonts w:hint="eastAsia" w:ascii="宋体" w:hAnsi="宋体" w:cs="宋体"/>
                <w:bCs/>
                <w:color w:val="auto"/>
                <w:szCs w:val="21"/>
                <w:lang w:val="en-US" w:eastAsia="zh-CN"/>
              </w:rPr>
              <w:t>1</w:t>
            </w:r>
            <w:r>
              <w:rPr>
                <w:rFonts w:hint="eastAsia" w:ascii="宋体" w:hAnsi="宋体" w:cs="宋体"/>
                <w:bCs/>
                <w:color w:val="auto"/>
                <w:szCs w:val="21"/>
              </w:rPr>
              <w:t>0%）；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6%的扣除，用扣除后的价格参加评审，扣除后的价格为评标价，即评标价=投标报价×（1－6%）。</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1.2.2对本国产品的价格评审优惠</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对本国产品的支持政策：政府采购活动中既有本国产品又有非本国产品参与竞争的，依法对本国产品给予价格评审优惠，对本国产品的报价给予20%的价格扣除，用扣除后的价格参与评审。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除上述情况外，评标价=投标报价。</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1.3满足招标文件要求且评标价最低的评标价为评标基准价，基准价得分为50分。</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 xml:space="preserve">1.4价格分计算公式：        </w:t>
            </w:r>
          </w:p>
          <w:p>
            <w:pPr>
              <w:spacing w:after="0" w:line="440" w:lineRule="atLeast"/>
              <w:ind w:firstLine="420" w:firstLineChars="200"/>
              <w:rPr>
                <w:rFonts w:hint="eastAsia" w:ascii="宋体" w:hAnsi="宋体" w:cs="宋体"/>
                <w:bCs/>
                <w:color w:val="auto"/>
                <w:szCs w:val="21"/>
              </w:rPr>
            </w:pPr>
            <w:r>
              <w:rPr>
                <w:rFonts w:hint="eastAsia" w:ascii="宋体" w:hAnsi="宋体" w:cs="宋体"/>
                <w:bCs/>
                <w:color w:val="auto"/>
                <w:szCs w:val="21"/>
              </w:rPr>
              <w:t>价格分=(评标基准价／评标价)×50分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vAlign w:val="center"/>
          </w:tcPr>
          <w:p>
            <w:pPr>
              <w:adjustRightInd w:val="0"/>
              <w:spacing w:after="0" w:line="440" w:lineRule="atLeast"/>
              <w:jc w:val="center"/>
              <w:textAlignment w:val="baseline"/>
              <w:rPr>
                <w:rFonts w:hint="eastAsia" w:ascii="宋体" w:hAnsi="宋体" w:cs="宋体"/>
                <w:b/>
                <w:color w:val="auto"/>
                <w:szCs w:val="21"/>
              </w:rPr>
            </w:pPr>
            <w:r>
              <w:rPr>
                <w:rFonts w:hint="eastAsia" w:ascii="宋体" w:hAnsi="宋体" w:cs="宋体"/>
                <w:b/>
                <w:color w:val="auto"/>
                <w:szCs w:val="21"/>
              </w:rPr>
              <w:t>2</w:t>
            </w:r>
          </w:p>
        </w:tc>
        <w:tc>
          <w:tcPr>
            <w:tcW w:w="1566" w:type="dxa"/>
            <w:vMerge w:val="restart"/>
            <w:vAlign w:val="center"/>
          </w:tcPr>
          <w:p>
            <w:pPr>
              <w:adjustRightInd w:val="0"/>
              <w:spacing w:after="0" w:line="440" w:lineRule="atLeast"/>
              <w:ind w:left="-105" w:leftChars="-50" w:right="-105" w:rightChars="-50"/>
              <w:jc w:val="center"/>
              <w:textAlignment w:val="baseline"/>
              <w:rPr>
                <w:rFonts w:hint="eastAsia" w:ascii="宋体" w:hAnsi="宋体" w:cs="宋体"/>
                <w:b/>
                <w:bCs/>
                <w:color w:val="auto"/>
                <w:szCs w:val="21"/>
              </w:rPr>
            </w:pPr>
            <w:r>
              <w:rPr>
                <w:rFonts w:hint="eastAsia" w:ascii="宋体" w:hAnsi="宋体" w:cs="宋体"/>
                <w:b/>
                <w:bCs/>
                <w:color w:val="auto"/>
                <w:szCs w:val="21"/>
              </w:rPr>
              <w:t>技术分</w:t>
            </w:r>
          </w:p>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r>
              <w:rPr>
                <w:rFonts w:hint="eastAsia" w:ascii="宋体" w:hAnsi="宋体" w:cs="宋体"/>
                <w:bCs/>
                <w:color w:val="auto"/>
                <w:szCs w:val="21"/>
              </w:rPr>
              <w:t>（</w:t>
            </w:r>
            <w:r>
              <w:rPr>
                <w:rFonts w:hint="eastAsia" w:ascii="宋体" w:hAnsi="宋体" w:cs="宋体"/>
                <w:color w:val="auto"/>
                <w:szCs w:val="21"/>
              </w:rPr>
              <w:t>满分</w:t>
            </w:r>
            <w:r>
              <w:rPr>
                <w:rFonts w:hint="eastAsia" w:ascii="宋体" w:hAnsi="宋体" w:cs="宋体"/>
                <w:color w:val="auto"/>
                <w:szCs w:val="21"/>
                <w:u w:val="single"/>
              </w:rPr>
              <w:t>45</w:t>
            </w:r>
            <w:r>
              <w:rPr>
                <w:rFonts w:hint="eastAsia" w:ascii="宋体" w:hAnsi="宋体" w:cs="宋体"/>
                <w:bCs/>
                <w:color w:val="auto"/>
                <w:szCs w:val="21"/>
              </w:rPr>
              <w:t>分）</w:t>
            </w:r>
          </w:p>
        </w:tc>
        <w:tc>
          <w:tcPr>
            <w:tcW w:w="1330" w:type="dxa"/>
            <w:vAlign w:val="center"/>
          </w:tcPr>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bCs/>
                <w:color w:val="auto"/>
                <w:szCs w:val="21"/>
              </w:rPr>
              <w:t>2.1技术性能分（满分16分）</w:t>
            </w:r>
          </w:p>
        </w:tc>
        <w:tc>
          <w:tcPr>
            <w:tcW w:w="6029" w:type="dxa"/>
            <w:vAlign w:val="center"/>
          </w:tcPr>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投标人所投产品的技术参数及配置每有一项</w:t>
            </w:r>
            <w:r>
              <w:rPr>
                <w:rFonts w:hint="eastAsia"/>
                <w:color w:val="auto"/>
              </w:rPr>
              <w:t>正偏离或完全满足</w:t>
            </w:r>
            <w:r>
              <w:rPr>
                <w:rFonts w:hint="eastAsia" w:hAnsi="宋体" w:cs="宋体"/>
                <w:bCs/>
                <w:color w:val="auto"/>
                <w:szCs w:val="21"/>
              </w:rPr>
              <w:t>“●”条款并能提供佐证材料的得1分，满分16分。</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注明：佐证材料可以是由国家认可的第三方检测机构出具的检测报告或厂家官网截图或产品说明书或产品界面截图，</w:t>
            </w:r>
            <w:r>
              <w:rPr>
                <w:rFonts w:hint="eastAsia" w:hAnsi="宋体" w:cs="宋体"/>
                <w:color w:val="auto"/>
                <w:kern w:val="0"/>
                <w:szCs w:val="21"/>
              </w:rPr>
              <w:t>非正偏离或</w:t>
            </w:r>
            <w:r>
              <w:rPr>
                <w:rFonts w:hint="eastAsia" w:hAnsi="宋体" w:cs="宋体"/>
                <w:bCs/>
                <w:color w:val="auto"/>
                <w:szCs w:val="21"/>
              </w:rPr>
              <w:t>不完全满足或未提供佐证材料的不得分。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color w:val="auto"/>
                <w:spacing w:val="-18"/>
                <w:szCs w:val="21"/>
              </w:rPr>
            </w:pPr>
          </w:p>
        </w:tc>
        <w:tc>
          <w:tcPr>
            <w:tcW w:w="1330" w:type="dxa"/>
            <w:vAlign w:val="center"/>
          </w:tcPr>
          <w:p>
            <w:pPr>
              <w:widowControl/>
              <w:snapToGrid w:val="0"/>
              <w:spacing w:after="0" w:line="440" w:lineRule="atLeast"/>
              <w:jc w:val="center"/>
              <w:rPr>
                <w:rFonts w:hint="eastAsia" w:ascii="宋体" w:hAnsi="宋体" w:cs="宋体"/>
                <w:b/>
                <w:color w:val="auto"/>
                <w:szCs w:val="21"/>
              </w:rPr>
            </w:pPr>
            <w:r>
              <w:rPr>
                <w:rFonts w:hint="eastAsia" w:ascii="宋体" w:hAnsi="宋体" w:cs="宋体"/>
                <w:b/>
                <w:color w:val="auto"/>
                <w:szCs w:val="21"/>
              </w:rPr>
              <w:t>2.2项目实施方案分</w:t>
            </w:r>
          </w:p>
          <w:p>
            <w:pPr>
              <w:adjustRightInd w:val="0"/>
              <w:spacing w:after="0" w:line="440" w:lineRule="atLeast"/>
              <w:jc w:val="center"/>
              <w:textAlignment w:val="baseline"/>
              <w:rPr>
                <w:rFonts w:hint="eastAsia" w:ascii="宋体" w:hAnsi="宋体" w:cs="宋体"/>
                <w:color w:val="auto"/>
                <w:szCs w:val="21"/>
                <w:u w:val="single"/>
              </w:rPr>
            </w:pPr>
            <w:r>
              <w:rPr>
                <w:rFonts w:hint="eastAsia" w:ascii="宋体" w:hAnsi="宋体" w:cs="宋体"/>
                <w:b/>
                <w:color w:val="auto"/>
                <w:szCs w:val="21"/>
              </w:rPr>
              <w:t>（满分12分）</w:t>
            </w:r>
          </w:p>
        </w:tc>
        <w:tc>
          <w:tcPr>
            <w:tcW w:w="6029" w:type="dxa"/>
            <w:vAlign w:val="center"/>
          </w:tcPr>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一档（3分）：提供有项目的实施</w:t>
            </w:r>
            <w:r>
              <w:rPr>
                <w:rFonts w:hint="eastAsia" w:hAnsi="宋体" w:cs="宋体"/>
                <w:color w:val="auto"/>
                <w:szCs w:val="21"/>
              </w:rPr>
              <w:t>进度安排</w:t>
            </w:r>
            <w:r>
              <w:rPr>
                <w:rFonts w:hint="eastAsia" w:hAnsi="宋体" w:cs="宋体"/>
                <w:bCs/>
                <w:color w:val="auto"/>
                <w:szCs w:val="21"/>
              </w:rPr>
              <w:t>、实施环节步骤；</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二档（6分）：提供有项目实施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各个阶段工作安排，提出本项目的风险预见和技术重点、难点</w:t>
            </w:r>
            <w:r>
              <w:rPr>
                <w:rFonts w:hint="eastAsia" w:hAnsi="宋体" w:cs="宋体"/>
                <w:bCs/>
                <w:color w:val="auto"/>
                <w:szCs w:val="21"/>
              </w:rPr>
              <w:t>；</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三档（9分）：有详细的项目实施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，有人员岗位安排</w:t>
            </w:r>
            <w:r>
              <w:rPr>
                <w:rFonts w:hint="eastAsia" w:hAnsi="宋体" w:cs="宋体"/>
                <w:color w:val="auto"/>
                <w:szCs w:val="21"/>
              </w:rPr>
              <w:t>，人员配置有保障，</w:t>
            </w:r>
            <w:r>
              <w:rPr>
                <w:rFonts w:hint="eastAsia" w:hAnsi="宋体" w:cs="宋体"/>
                <w:bCs/>
                <w:color w:val="auto"/>
                <w:szCs w:val="21"/>
              </w:rPr>
              <w:t>实施环节步骤详细，</w:t>
            </w:r>
            <w:r>
              <w:rPr>
                <w:rFonts w:hint="eastAsia" w:hAnsi="宋体" w:cs="宋体"/>
                <w:color w:val="auto"/>
                <w:szCs w:val="21"/>
              </w:rPr>
              <w:t>能说明各个阶段工作安排，提出本项目的风险预见及措施</w:t>
            </w:r>
            <w:r>
              <w:rPr>
                <w:rFonts w:hint="eastAsia" w:hAnsi="宋体" w:cs="宋体"/>
                <w:bCs/>
                <w:color w:val="auto"/>
                <w:szCs w:val="21"/>
              </w:rPr>
              <w:t>；分析了</w:t>
            </w:r>
            <w:r>
              <w:rPr>
                <w:rFonts w:hint="eastAsia" w:hAnsi="宋体" w:cs="宋体"/>
                <w:color w:val="auto"/>
                <w:szCs w:val="21"/>
              </w:rPr>
              <w:t>本项目的技术重点、难点</w:t>
            </w:r>
            <w:r>
              <w:rPr>
                <w:rFonts w:hint="eastAsia" w:hAnsi="宋体" w:cs="宋体"/>
                <w:bCs/>
                <w:color w:val="auto"/>
                <w:szCs w:val="21"/>
              </w:rPr>
              <w:t>及提供相应建议，满足项目要求；</w:t>
            </w:r>
          </w:p>
          <w:p>
            <w:pPr>
              <w:pStyle w:val="14"/>
              <w:spacing w:after="0" w:line="440" w:lineRule="atLeast"/>
              <w:ind w:firstLine="420" w:firstLineChars="200"/>
              <w:rPr>
                <w:rFonts w:hint="eastAsia" w:hAnsi="宋体" w:cs="宋体"/>
                <w:bCs/>
                <w:color w:val="auto"/>
                <w:szCs w:val="21"/>
              </w:rPr>
            </w:pPr>
            <w:r>
              <w:rPr>
                <w:rFonts w:hint="eastAsia" w:hAnsi="宋体" w:cs="宋体"/>
                <w:bCs/>
                <w:color w:val="auto"/>
                <w:szCs w:val="21"/>
              </w:rPr>
              <w:t>四档（12分）：有严谨的项目实施</w:t>
            </w:r>
            <w:r>
              <w:rPr>
                <w:rFonts w:hint="eastAsia" w:hAnsi="宋体" w:cs="宋体"/>
                <w:color w:val="auto"/>
                <w:szCs w:val="21"/>
              </w:rPr>
              <w:t>进度安排</w:t>
            </w:r>
            <w:r>
              <w:rPr>
                <w:rFonts w:hint="eastAsia" w:hAnsi="宋体" w:cs="宋体"/>
                <w:bCs/>
                <w:color w:val="auto"/>
                <w:szCs w:val="21"/>
              </w:rPr>
              <w:t>和</w:t>
            </w:r>
            <w:r>
              <w:rPr>
                <w:rFonts w:hint="eastAsia" w:hAnsi="宋体" w:cs="宋体"/>
                <w:color w:val="auto"/>
                <w:szCs w:val="21"/>
              </w:rPr>
              <w:t>保障措施</w:t>
            </w:r>
            <w:r>
              <w:rPr>
                <w:rFonts w:hint="eastAsia" w:hAnsi="宋体" w:cs="宋体"/>
                <w:bCs/>
                <w:color w:val="auto"/>
                <w:szCs w:val="21"/>
              </w:rPr>
              <w:t>，</w:t>
            </w:r>
            <w:r>
              <w:rPr>
                <w:rFonts w:hint="eastAsia" w:hAnsi="宋体" w:cs="宋体"/>
                <w:color w:val="auto"/>
                <w:szCs w:val="21"/>
              </w:rPr>
              <w:t>分工与职责明确，人员配置有保障，</w:t>
            </w:r>
            <w:r>
              <w:rPr>
                <w:rFonts w:hint="eastAsia" w:hAnsi="宋体" w:cs="宋体"/>
                <w:bCs/>
                <w:color w:val="auto"/>
                <w:szCs w:val="21"/>
              </w:rPr>
              <w:t>各实施环节步骤详细清晰，</w:t>
            </w:r>
            <w:r>
              <w:rPr>
                <w:rFonts w:hint="eastAsia" w:hAnsi="宋体" w:cs="宋体"/>
                <w:color w:val="auto"/>
                <w:szCs w:val="21"/>
              </w:rPr>
              <w:t>能说明各个阶段关键工作安排及关键部分的分析准确，分析本项目的风险预见及风险应对措施</w:t>
            </w:r>
            <w:r>
              <w:rPr>
                <w:rFonts w:hint="eastAsia" w:hAnsi="宋体" w:cs="宋体"/>
                <w:bCs/>
                <w:color w:val="auto"/>
                <w:szCs w:val="21"/>
              </w:rPr>
              <w:t>；能</w:t>
            </w:r>
            <w:r>
              <w:rPr>
                <w:rFonts w:hint="eastAsia" w:hAnsi="宋体" w:cs="宋体"/>
                <w:color w:val="auto"/>
                <w:szCs w:val="21"/>
              </w:rPr>
              <w:t>把握本项目的技术重点、难点</w:t>
            </w:r>
            <w:r>
              <w:rPr>
                <w:rFonts w:hint="eastAsia" w:hAnsi="宋体" w:cs="宋体"/>
                <w:bCs/>
                <w:color w:val="auto"/>
                <w:szCs w:val="21"/>
              </w:rPr>
              <w:t>，切合实际且有针对性，</w:t>
            </w:r>
            <w:r>
              <w:rPr>
                <w:rFonts w:hint="eastAsia" w:hAnsi="宋体" w:cs="宋体"/>
                <w:color w:val="auto"/>
                <w:szCs w:val="21"/>
              </w:rPr>
              <w:t>利于项目实施，</w:t>
            </w:r>
            <w:r>
              <w:rPr>
                <w:rFonts w:hint="eastAsia" w:hAnsi="宋体" w:cs="宋体"/>
                <w:bCs/>
                <w:color w:val="auto"/>
                <w:szCs w:val="21"/>
              </w:rPr>
              <w:t>能保障推进项目实施。</w:t>
            </w:r>
          </w:p>
          <w:p>
            <w:pPr>
              <w:pStyle w:val="17"/>
              <w:spacing w:after="0" w:line="440" w:lineRule="atLeast"/>
              <w:ind w:firstLine="420" w:firstLineChars="200"/>
              <w:rPr>
                <w:rFonts w:hint="eastAsia" w:ascii="宋体" w:hAnsi="宋体" w:cs="宋体"/>
                <w:bCs/>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color w:val="auto"/>
                <w:szCs w:val="21"/>
                <w:u w:val="single"/>
              </w:rPr>
            </w:pPr>
            <w:r>
              <w:rPr>
                <w:rFonts w:hint="eastAsia" w:ascii="宋体" w:hAnsi="宋体" w:cs="宋体"/>
                <w:b/>
                <w:bCs/>
                <w:color w:val="auto"/>
                <w:kern w:val="0"/>
                <w:szCs w:val="21"/>
              </w:rPr>
              <w:t xml:space="preserve">2.3 </w:t>
            </w:r>
            <w:r>
              <w:rPr>
                <w:rFonts w:hint="eastAsia" w:ascii="宋体" w:hAnsi="宋体" w:cs="宋体"/>
                <w:b/>
                <w:color w:val="auto"/>
                <w:szCs w:val="21"/>
              </w:rPr>
              <w:t>安装调试方案（5分）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一档（1分）：提供有本项目安装、配送、调试描述</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二档（3分）：提供有本项目安装、配送、调试技术说明及实施措施，分析本项目安装、配送、调试的关键点，能把握项目的总体要求</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档（5分）：提供有切合本项目的安装、配送、调试技术说明及实施措施，条理清晰，能结合本项目实际情况分析本项目安装、配送、调试的难点及关键点，总体思路清晰、切合项目特点，并提出有针对性的意见和建议。</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vAlign w:val="center"/>
          </w:tcPr>
          <w:p>
            <w:pPr>
              <w:adjustRightInd w:val="0"/>
              <w:spacing w:after="0" w:line="440" w:lineRule="atLeast"/>
              <w:jc w:val="center"/>
              <w:textAlignment w:val="baseline"/>
              <w:rPr>
                <w:rFonts w:hint="eastAsia" w:ascii="宋体" w:hAnsi="宋体" w:cs="宋体"/>
                <w:b/>
                <w:color w:val="auto"/>
                <w:szCs w:val="21"/>
              </w:rPr>
            </w:pPr>
          </w:p>
        </w:tc>
        <w:tc>
          <w:tcPr>
            <w:tcW w:w="1566" w:type="dxa"/>
            <w:vMerge w:val="continue"/>
            <w:vAlign w:val="center"/>
          </w:tcPr>
          <w:p>
            <w:pPr>
              <w:adjustRightInd w:val="0"/>
              <w:spacing w:after="0" w:line="440" w:lineRule="atLeast"/>
              <w:ind w:left="-105" w:leftChars="-50" w:right="-105" w:rightChars="-50"/>
              <w:jc w:val="center"/>
              <w:textAlignment w:val="baseline"/>
              <w:rPr>
                <w:rFonts w:hint="eastAsia" w:ascii="宋体" w:hAnsi="宋体" w:cs="宋体"/>
                <w:bCs/>
                <w:color w:val="auto"/>
                <w:szCs w:val="21"/>
              </w:rPr>
            </w:pPr>
          </w:p>
        </w:tc>
        <w:tc>
          <w:tcPr>
            <w:tcW w:w="1330" w:type="dxa"/>
            <w:vAlign w:val="center"/>
          </w:tcPr>
          <w:p>
            <w:pPr>
              <w:widowControl/>
              <w:snapToGrid w:val="0"/>
              <w:spacing w:after="0" w:line="440" w:lineRule="atLeast"/>
              <w:jc w:val="center"/>
              <w:rPr>
                <w:rFonts w:hint="eastAsia" w:ascii="宋体" w:hAnsi="宋体" w:cs="宋体"/>
                <w:b/>
                <w:bCs/>
                <w:color w:val="auto"/>
                <w:kern w:val="0"/>
                <w:szCs w:val="21"/>
              </w:rPr>
            </w:pPr>
            <w:r>
              <w:rPr>
                <w:rFonts w:hint="eastAsia" w:ascii="宋体" w:hAnsi="宋体" w:cs="宋体"/>
                <w:b/>
                <w:bCs/>
                <w:color w:val="auto"/>
                <w:kern w:val="0"/>
                <w:szCs w:val="21"/>
              </w:rPr>
              <w:t>2.4售后服务分（满分12分）</w:t>
            </w:r>
          </w:p>
        </w:tc>
        <w:tc>
          <w:tcPr>
            <w:tcW w:w="6029" w:type="dxa"/>
            <w:vAlign w:val="center"/>
          </w:tcPr>
          <w:p>
            <w:pPr>
              <w:pStyle w:val="14"/>
              <w:spacing w:after="0" w:line="440" w:lineRule="atLeast"/>
              <w:ind w:firstLine="420" w:firstLineChars="200"/>
              <w:rPr>
                <w:rFonts w:hint="eastAsia" w:hAnsi="宋体" w:cs="宋体"/>
                <w:color w:val="auto"/>
                <w:szCs w:val="21"/>
              </w:rPr>
            </w:pPr>
            <w:r>
              <w:rPr>
                <w:rFonts w:hint="eastAsia" w:hAnsi="宋体" w:cs="宋体"/>
                <w:color w:val="auto"/>
                <w:szCs w:val="21"/>
                <w:lang w:eastAsia="zh-Hans"/>
              </w:rPr>
              <w:t>一档（</w:t>
            </w:r>
            <w:r>
              <w:rPr>
                <w:rFonts w:hint="eastAsia" w:hAnsi="宋体" w:cs="宋体"/>
                <w:color w:val="auto"/>
                <w:szCs w:val="21"/>
              </w:rPr>
              <w:t>3</w:t>
            </w:r>
            <w:r>
              <w:rPr>
                <w:rFonts w:hint="eastAsia" w:hAnsi="宋体" w:cs="宋体"/>
                <w:color w:val="auto"/>
                <w:szCs w:val="21"/>
                <w:lang w:eastAsia="zh-Hans"/>
              </w:rPr>
              <w:t>分）：提供有培训计划、售后服务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，并承诺能在接到采购人通知后24小时内到达现场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lang w:eastAsia="zh-Hans"/>
              </w:rPr>
            </w:pPr>
            <w:r>
              <w:rPr>
                <w:rFonts w:hint="eastAsia" w:hAnsi="宋体" w:cs="宋体"/>
                <w:color w:val="auto"/>
                <w:szCs w:val="21"/>
                <w:lang w:eastAsia="zh-Hans"/>
              </w:rPr>
              <w:t>二档（</w:t>
            </w:r>
            <w:r>
              <w:rPr>
                <w:rFonts w:hint="eastAsia" w:hAnsi="宋体" w:cs="宋体"/>
                <w:color w:val="auto"/>
                <w:szCs w:val="21"/>
              </w:rPr>
              <w:t>6</w:t>
            </w:r>
            <w:r>
              <w:rPr>
                <w:rFonts w:hint="eastAsia" w:hAnsi="宋体" w:cs="宋体"/>
                <w:color w:val="auto"/>
                <w:szCs w:val="21"/>
                <w:lang w:eastAsia="zh-Hans"/>
              </w:rPr>
              <w:t>分）：</w:t>
            </w:r>
            <w:r>
              <w:rPr>
                <w:rFonts w:hint="eastAsia" w:hAnsi="宋体" w:cs="宋体"/>
                <w:color w:val="auto"/>
                <w:szCs w:val="21"/>
              </w:rPr>
              <w:t>提供</w:t>
            </w:r>
            <w:r>
              <w:rPr>
                <w:rFonts w:hint="eastAsia" w:hAnsi="宋体" w:cs="宋体"/>
                <w:color w:val="auto"/>
                <w:szCs w:val="21"/>
                <w:lang w:eastAsia="zh-Hans"/>
              </w:rPr>
              <w:t>有培训计划、售后服务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w:t>
            </w:r>
            <w:r>
              <w:rPr>
                <w:rFonts w:hint="eastAsia" w:hAnsi="宋体" w:cs="宋体"/>
                <w:color w:val="auto"/>
                <w:szCs w:val="21"/>
                <w:lang w:eastAsia="zh-Hans"/>
              </w:rPr>
              <w:t>保障措施</w:t>
            </w:r>
            <w:r>
              <w:rPr>
                <w:rFonts w:hint="eastAsia" w:hAnsi="宋体" w:cs="宋体"/>
                <w:color w:val="auto"/>
                <w:szCs w:val="21"/>
              </w:rPr>
              <w:t>，并承诺能在接到采购人通知后12小时内到达现场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三</w:t>
            </w:r>
            <w:r>
              <w:rPr>
                <w:rFonts w:hint="eastAsia" w:hAnsi="宋体" w:cs="宋体"/>
                <w:color w:val="auto"/>
                <w:szCs w:val="21"/>
                <w:lang w:eastAsia="zh-Hans"/>
              </w:rPr>
              <w:t>档（</w:t>
            </w:r>
            <w:r>
              <w:rPr>
                <w:rFonts w:hint="eastAsia" w:hAnsi="宋体" w:cs="宋体"/>
                <w:color w:val="auto"/>
                <w:szCs w:val="21"/>
              </w:rPr>
              <w:t>9</w:t>
            </w:r>
            <w:r>
              <w:rPr>
                <w:rFonts w:hint="eastAsia" w:hAnsi="宋体" w:cs="宋体"/>
                <w:color w:val="auto"/>
                <w:szCs w:val="21"/>
                <w:lang w:eastAsia="zh-Hans"/>
              </w:rPr>
              <w:t>分）：</w:t>
            </w:r>
            <w:r>
              <w:rPr>
                <w:rFonts w:hint="eastAsia" w:hAnsi="宋体" w:cs="宋体"/>
                <w:color w:val="auto"/>
                <w:szCs w:val="21"/>
              </w:rPr>
              <w:t>提供有详细</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保障措施，有售后技术服务队伍</w:t>
            </w:r>
            <w:r>
              <w:rPr>
                <w:rFonts w:hint="eastAsia" w:hAnsi="宋体" w:cs="宋体"/>
                <w:color w:val="auto"/>
                <w:szCs w:val="21"/>
              </w:rPr>
              <w:t>。承诺能在接到采购人通知后6小时内到达现场</w:t>
            </w:r>
            <w:r>
              <w:rPr>
                <w:rFonts w:hint="eastAsia" w:hAnsi="宋体" w:cs="宋体"/>
                <w:bCs/>
                <w:color w:val="auto"/>
                <w:szCs w:val="21"/>
              </w:rPr>
              <w:t>；</w:t>
            </w:r>
          </w:p>
          <w:p>
            <w:pPr>
              <w:pStyle w:val="14"/>
              <w:spacing w:after="0" w:line="440" w:lineRule="atLeast"/>
              <w:ind w:firstLine="420" w:firstLineChars="200"/>
              <w:rPr>
                <w:rFonts w:hint="eastAsia" w:hAnsi="宋体" w:cs="宋体"/>
                <w:color w:val="auto"/>
                <w:szCs w:val="21"/>
              </w:rPr>
            </w:pPr>
            <w:r>
              <w:rPr>
                <w:rFonts w:hint="eastAsia" w:hAnsi="宋体" w:cs="宋体"/>
                <w:color w:val="auto"/>
                <w:szCs w:val="21"/>
              </w:rPr>
              <w:t>四</w:t>
            </w:r>
            <w:r>
              <w:rPr>
                <w:rFonts w:hint="eastAsia" w:hAnsi="宋体" w:cs="宋体"/>
                <w:color w:val="auto"/>
                <w:szCs w:val="21"/>
                <w:lang w:eastAsia="zh-Hans"/>
              </w:rPr>
              <w:t>档（</w:t>
            </w:r>
            <w:r>
              <w:rPr>
                <w:rFonts w:hint="eastAsia" w:hAnsi="宋体" w:cs="宋体"/>
                <w:color w:val="auto"/>
                <w:szCs w:val="21"/>
              </w:rPr>
              <w:t>12</w:t>
            </w:r>
            <w:r>
              <w:rPr>
                <w:rFonts w:hint="eastAsia" w:hAnsi="宋体" w:cs="宋体"/>
                <w:color w:val="auto"/>
                <w:szCs w:val="21"/>
                <w:lang w:eastAsia="zh-Hans"/>
              </w:rPr>
              <w:t>分）：</w:t>
            </w:r>
            <w:r>
              <w:rPr>
                <w:rFonts w:hint="eastAsia" w:hAnsi="宋体" w:cs="宋体"/>
                <w:color w:val="auto"/>
                <w:szCs w:val="21"/>
              </w:rPr>
              <w:t>提供有针对性</w:t>
            </w:r>
            <w:r>
              <w:rPr>
                <w:rFonts w:hint="eastAsia" w:hAnsi="宋体" w:cs="宋体"/>
                <w:color w:val="auto"/>
                <w:szCs w:val="21"/>
                <w:lang w:eastAsia="zh-Hans"/>
              </w:rPr>
              <w:t>的培训计划、售后服务</w:t>
            </w:r>
            <w:r>
              <w:rPr>
                <w:rFonts w:hint="eastAsia" w:hAnsi="宋体" w:cs="宋体"/>
                <w:color w:val="auto"/>
                <w:szCs w:val="21"/>
              </w:rPr>
              <w:t>方式</w:t>
            </w:r>
            <w:r>
              <w:rPr>
                <w:rFonts w:hint="eastAsia" w:hAnsi="宋体" w:cs="宋体"/>
                <w:color w:val="auto"/>
                <w:szCs w:val="21"/>
                <w:lang w:eastAsia="zh-Hans"/>
              </w:rPr>
              <w:t>、售后服务流程、应急预案</w:t>
            </w:r>
            <w:r>
              <w:rPr>
                <w:rFonts w:hint="eastAsia" w:hAnsi="宋体" w:cs="宋体"/>
                <w:color w:val="auto"/>
                <w:szCs w:val="21"/>
              </w:rPr>
              <w:t>及相应的</w:t>
            </w:r>
            <w:r>
              <w:rPr>
                <w:rFonts w:hint="eastAsia" w:hAnsi="宋体" w:cs="宋体"/>
                <w:color w:val="auto"/>
                <w:szCs w:val="21"/>
                <w:lang w:eastAsia="zh-Hans"/>
              </w:rPr>
              <w:t>保障措施，措施</w:t>
            </w:r>
            <w:r>
              <w:rPr>
                <w:rFonts w:hint="eastAsia" w:hAnsi="宋体" w:cs="宋体"/>
                <w:color w:val="auto"/>
                <w:szCs w:val="21"/>
              </w:rPr>
              <w:t>具体严谨</w:t>
            </w:r>
            <w:r>
              <w:rPr>
                <w:rFonts w:hint="eastAsia" w:hAnsi="宋体" w:cs="宋体"/>
                <w:color w:val="auto"/>
                <w:szCs w:val="21"/>
                <w:lang w:eastAsia="zh-Hans"/>
              </w:rPr>
              <w:t>，有</w:t>
            </w:r>
            <w:r>
              <w:rPr>
                <w:rFonts w:hint="eastAsia" w:hAnsi="宋体" w:cs="宋体"/>
                <w:color w:val="auto"/>
                <w:szCs w:val="21"/>
              </w:rPr>
              <w:t>明确</w:t>
            </w:r>
            <w:r>
              <w:rPr>
                <w:rFonts w:hint="eastAsia" w:hAnsi="宋体" w:cs="宋体"/>
                <w:color w:val="auto"/>
                <w:szCs w:val="21"/>
                <w:lang w:eastAsia="zh-Hans"/>
              </w:rPr>
              <w:t>的售后技术服务队伍人员</w:t>
            </w:r>
            <w:r>
              <w:rPr>
                <w:rFonts w:hint="eastAsia" w:hAnsi="宋体" w:cs="宋体"/>
                <w:color w:val="auto"/>
                <w:szCs w:val="21"/>
              </w:rPr>
              <w:t>及</w:t>
            </w:r>
            <w:r>
              <w:rPr>
                <w:rFonts w:hint="eastAsia" w:hAnsi="宋体" w:cs="宋体"/>
                <w:color w:val="auto"/>
                <w:szCs w:val="21"/>
                <w:lang w:eastAsia="zh-Hans"/>
              </w:rPr>
              <w:t>相应售后技术实力</w:t>
            </w:r>
            <w:r>
              <w:rPr>
                <w:rFonts w:hint="eastAsia" w:hAnsi="宋体" w:cs="宋体"/>
                <w:color w:val="auto"/>
                <w:szCs w:val="21"/>
              </w:rPr>
              <w:t>。承诺能在接到采购人通知后3小时内到达现场。</w:t>
            </w:r>
          </w:p>
          <w:p>
            <w:pPr>
              <w:pStyle w:val="17"/>
              <w:spacing w:after="0" w:line="440" w:lineRule="atLeast"/>
              <w:ind w:firstLine="420" w:firstLineChars="200"/>
              <w:rPr>
                <w:rFonts w:hint="eastAsia" w:ascii="宋体" w:hAnsi="宋体" w:cs="宋体"/>
                <w:color w:val="auto"/>
                <w:sz w:val="21"/>
                <w:szCs w:val="21"/>
              </w:rPr>
            </w:pPr>
            <w:r>
              <w:rPr>
                <w:rFonts w:hint="eastAsia" w:ascii="宋体" w:hAnsi="宋体" w:cs="宋体"/>
                <w:color w:val="auto"/>
                <w:sz w:val="21"/>
                <w:szCs w:val="21"/>
              </w:rPr>
              <w:t>注明：不满足入档要求的，得0分。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w:t>
            </w:r>
          </w:p>
        </w:tc>
        <w:tc>
          <w:tcPr>
            <w:tcW w:w="1566" w:type="dxa"/>
            <w:vAlign w:val="center"/>
          </w:tcPr>
          <w:p>
            <w:pPr>
              <w:adjustRightInd w:val="0"/>
              <w:spacing w:after="0" w:line="440" w:lineRule="atLeast"/>
              <w:jc w:val="center"/>
              <w:textAlignment w:val="baseline"/>
              <w:rPr>
                <w:rFonts w:hint="eastAsia" w:ascii="宋体" w:hAnsi="宋体" w:cs="宋体"/>
                <w:bCs/>
                <w:color w:val="auto"/>
                <w:szCs w:val="21"/>
              </w:rPr>
            </w:pPr>
            <w:r>
              <w:rPr>
                <w:rFonts w:hint="eastAsia" w:ascii="宋体" w:hAnsi="宋体" w:cs="宋体"/>
                <w:b/>
                <w:color w:val="auto"/>
                <w:szCs w:val="21"/>
              </w:rPr>
              <w:t>商务分（满分5分）</w:t>
            </w:r>
          </w:p>
        </w:tc>
        <w:tc>
          <w:tcPr>
            <w:tcW w:w="1330" w:type="dxa"/>
            <w:vAlign w:val="center"/>
          </w:tcPr>
          <w:p>
            <w:pPr>
              <w:spacing w:after="0" w:line="440" w:lineRule="atLeast"/>
              <w:jc w:val="center"/>
              <w:rPr>
                <w:rFonts w:hint="eastAsia" w:ascii="宋体" w:hAnsi="宋体" w:cs="宋体"/>
                <w:b/>
                <w:color w:val="auto"/>
                <w:szCs w:val="21"/>
              </w:rPr>
            </w:pPr>
            <w:r>
              <w:rPr>
                <w:rFonts w:hint="eastAsia" w:ascii="宋体" w:hAnsi="宋体" w:cs="宋体"/>
                <w:b/>
                <w:color w:val="auto"/>
                <w:szCs w:val="21"/>
              </w:rPr>
              <w:t>3.1业绩分</w:t>
            </w:r>
          </w:p>
          <w:p>
            <w:pPr>
              <w:spacing w:after="0" w:line="440" w:lineRule="atLeast"/>
              <w:jc w:val="center"/>
              <w:rPr>
                <w:rFonts w:hint="eastAsia" w:ascii="宋体" w:hAnsi="宋体" w:cs="宋体"/>
                <w:b/>
                <w:bCs/>
                <w:color w:val="auto"/>
                <w:kern w:val="0"/>
                <w:szCs w:val="21"/>
              </w:rPr>
            </w:pPr>
            <w:r>
              <w:rPr>
                <w:rFonts w:hint="eastAsia" w:ascii="宋体" w:hAnsi="宋体" w:cs="宋体"/>
                <w:b/>
                <w:color w:val="auto"/>
                <w:szCs w:val="21"/>
              </w:rPr>
              <w:t>（满分5分）</w:t>
            </w:r>
          </w:p>
        </w:tc>
        <w:tc>
          <w:tcPr>
            <w:tcW w:w="6029" w:type="dxa"/>
            <w:vAlign w:val="center"/>
          </w:tcPr>
          <w:p>
            <w:pPr>
              <w:widowControl/>
              <w:adjustRightInd w:val="0"/>
              <w:snapToGrid w:val="0"/>
              <w:spacing w:after="0" w:line="44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投标人自2022年1月1日至投标文件递交截止之日，承担过</w:t>
            </w:r>
            <w:r>
              <w:rPr>
                <w:rFonts w:hint="eastAsia" w:ascii="宋体" w:hAnsi="宋体" w:cs="宋体"/>
                <w:color w:val="auto"/>
                <w:szCs w:val="21"/>
              </w:rPr>
              <w:t>与本次采购内容有关的类似项目业绩</w:t>
            </w:r>
            <w:r>
              <w:rPr>
                <w:rFonts w:hint="eastAsia" w:ascii="宋体" w:hAnsi="宋体" w:cs="宋体"/>
                <w:color w:val="auto"/>
                <w:kern w:val="0"/>
                <w:szCs w:val="21"/>
              </w:rPr>
              <w:t>，每有1个业绩得1分，满分5分。</w:t>
            </w:r>
          </w:p>
          <w:p>
            <w:pPr>
              <w:widowControl/>
              <w:adjustRightInd w:val="0"/>
              <w:snapToGrid w:val="0"/>
              <w:spacing w:after="0" w:line="440" w:lineRule="atLeast"/>
              <w:ind w:firstLine="420" w:firstLineChars="200"/>
              <w:rPr>
                <w:rFonts w:hint="eastAsia" w:ascii="宋体" w:hAnsi="宋体" w:cs="宋体"/>
                <w:color w:val="auto"/>
                <w:szCs w:val="21"/>
              </w:rPr>
            </w:pPr>
            <w:r>
              <w:rPr>
                <w:rFonts w:hint="eastAsia" w:ascii="宋体" w:hAnsi="宋体" w:cs="宋体"/>
                <w:color w:val="auto"/>
                <w:kern w:val="0"/>
                <w:szCs w:val="21"/>
              </w:rPr>
              <w:t>注明：投标文件中须提供中标（成交）通知书或合同复印件并加盖投标人公章，否则不予计分。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vAlign w:val="center"/>
          </w:tcPr>
          <w:p>
            <w:pPr>
              <w:widowControl/>
              <w:adjustRightInd w:val="0"/>
              <w:snapToGrid w:val="0"/>
              <w:spacing w:after="0" w:line="440" w:lineRule="atLeast"/>
              <w:rPr>
                <w:rFonts w:hint="eastAsia" w:ascii="宋体" w:hAnsi="宋体" w:cs="宋体"/>
                <w:color w:val="auto"/>
                <w:kern w:val="0"/>
                <w:szCs w:val="21"/>
              </w:rPr>
            </w:pPr>
            <w:r>
              <w:rPr>
                <w:rFonts w:hint="eastAsia" w:ascii="宋体" w:hAnsi="宋体" w:cs="宋体"/>
                <w:b/>
                <w:bCs/>
                <w:color w:val="auto"/>
                <w:szCs w:val="21"/>
              </w:rPr>
              <w:t>总得分=1+2+3</w:t>
            </w:r>
          </w:p>
        </w:tc>
      </w:tr>
    </w:tbl>
    <w:p>
      <w:pPr>
        <w:pStyle w:val="11"/>
        <w:rPr>
          <w:color w:val="auto"/>
        </w:rPr>
      </w:pPr>
    </w:p>
    <w:p>
      <w:pPr>
        <w:pStyle w:val="11"/>
        <w:rPr>
          <w:color w:val="auto"/>
        </w:rPr>
      </w:pPr>
    </w:p>
    <w:p>
      <w:pPr>
        <w:pStyle w:val="11"/>
        <w:rPr>
          <w:color w:val="auto"/>
        </w:rPr>
      </w:pPr>
    </w:p>
    <w:p>
      <w:pPr>
        <w:pStyle w:val="3"/>
        <w:jc w:val="center"/>
        <w:rPr>
          <w:rFonts w:hint="eastAsia" w:ascii="宋体" w:hAnsi="宋体" w:eastAsia="宋体" w:cs="宋体"/>
          <w:b w:val="0"/>
          <w:color w:val="auto"/>
          <w:sz w:val="30"/>
          <w:szCs w:val="30"/>
        </w:rPr>
      </w:pPr>
      <w:bookmarkStart w:id="269" w:name="_Toc28332"/>
      <w:bookmarkStart w:id="270" w:name="_Toc30734"/>
      <w:bookmarkStart w:id="271" w:name="_Toc16607"/>
      <w:bookmarkStart w:id="272" w:name="_Toc1251"/>
      <w:bookmarkStart w:id="273" w:name="_Toc5054"/>
      <w:r>
        <w:rPr>
          <w:rFonts w:hint="eastAsia" w:ascii="宋体" w:hAnsi="宋体" w:eastAsia="宋体" w:cs="宋体"/>
          <w:b w:val="0"/>
          <w:color w:val="auto"/>
          <w:sz w:val="30"/>
          <w:szCs w:val="30"/>
        </w:rPr>
        <w:t>第四节 中标候选人推荐原则</w:t>
      </w:r>
      <w:bookmarkEnd w:id="269"/>
      <w:bookmarkEnd w:id="270"/>
      <w:bookmarkEnd w:id="271"/>
      <w:bookmarkEnd w:id="272"/>
      <w:bookmarkEnd w:id="273"/>
    </w:p>
    <w:p>
      <w:pPr>
        <w:pStyle w:val="14"/>
        <w:numPr>
          <w:ilvl w:val="0"/>
          <w:numId w:val="8"/>
        </w:numPr>
        <w:spacing w:line="360" w:lineRule="auto"/>
        <w:contextualSpacing/>
        <w:rPr>
          <w:rFonts w:hint="eastAsia" w:hAnsi="宋体" w:cs="宋体"/>
          <w:b/>
          <w:bCs/>
          <w:color w:val="auto"/>
          <w:sz w:val="24"/>
          <w:szCs w:val="24"/>
        </w:rPr>
      </w:pPr>
      <w:r>
        <w:rPr>
          <w:rFonts w:hint="eastAsia" w:hAnsi="宋体" w:cs="宋体"/>
          <w:b/>
          <w:bCs/>
          <w:color w:val="auto"/>
          <w:sz w:val="24"/>
          <w:szCs w:val="24"/>
        </w:rPr>
        <w:t>综合评分法</w:t>
      </w:r>
    </w:p>
    <w:p>
      <w:pPr>
        <w:pStyle w:val="14"/>
        <w:spacing w:line="360" w:lineRule="auto"/>
        <w:ind w:firstLine="420" w:firstLineChars="200"/>
        <w:rPr>
          <w:rFonts w:hint="eastAsia" w:hAnsi="宋体" w:cs="宋体"/>
          <w:color w:val="auto"/>
        </w:rPr>
      </w:pPr>
      <w:r>
        <w:rPr>
          <w:rFonts w:hint="eastAsia" w:hAnsi="宋体" w:cs="宋体"/>
          <w:color w:val="auto"/>
        </w:rPr>
        <w:t>1.评标委员会将根据评审后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pPr>
        <w:pStyle w:val="14"/>
        <w:spacing w:line="360" w:lineRule="auto"/>
        <w:ind w:firstLine="420" w:firstLineChars="200"/>
        <w:rPr>
          <w:rFonts w:hint="eastAsia" w:hAnsi="宋体" w:cs="宋体"/>
          <w:color w:val="auto"/>
        </w:rPr>
      </w:pPr>
      <w:r>
        <w:rPr>
          <w:rFonts w:hint="eastAsia" w:hAnsi="宋体" w:cs="宋体"/>
          <w:color w:val="auto"/>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8.4条款的规定推荐，确定后其他同品牌投标人不作为中标候选人。</w:t>
      </w:r>
    </w:p>
    <w:p>
      <w:pPr>
        <w:pStyle w:val="14"/>
        <w:spacing w:line="360" w:lineRule="auto"/>
        <w:ind w:firstLine="420" w:firstLineChars="200"/>
        <w:rPr>
          <w:rFonts w:hint="eastAsia" w:hAnsi="宋体" w:cs="宋体"/>
          <w:color w:val="auto"/>
        </w:rPr>
      </w:pPr>
    </w:p>
    <w:p>
      <w:pPr>
        <w:pStyle w:val="14"/>
        <w:tabs>
          <w:tab w:val="left" w:pos="2472"/>
        </w:tabs>
        <w:spacing w:line="480" w:lineRule="exact"/>
        <w:ind w:firstLine="420" w:firstLineChars="200"/>
        <w:rPr>
          <w:rFonts w:hint="eastAsia" w:hAnsi="宋体" w:cs="宋体"/>
          <w:color w:val="auto"/>
        </w:rPr>
      </w:pPr>
    </w:p>
    <w:p>
      <w:pPr>
        <w:pStyle w:val="3"/>
        <w:spacing w:before="0" w:after="0" w:line="360" w:lineRule="auto"/>
        <w:ind w:firstLine="600" w:firstLineChars="200"/>
        <w:jc w:val="center"/>
        <w:rPr>
          <w:rFonts w:hint="eastAsia" w:ascii="宋体" w:hAnsi="宋体" w:eastAsia="宋体" w:cs="宋体"/>
          <w:b w:val="0"/>
          <w:color w:val="auto"/>
          <w:sz w:val="30"/>
          <w:szCs w:val="30"/>
        </w:rPr>
      </w:pPr>
      <w:bookmarkStart w:id="274" w:name="_Toc8014"/>
      <w:bookmarkStart w:id="275" w:name="_Toc24005"/>
      <w:bookmarkStart w:id="276" w:name="_Toc21738"/>
      <w:bookmarkStart w:id="277" w:name="_Toc671"/>
      <w:bookmarkStart w:id="278" w:name="_Toc29998"/>
      <w:r>
        <w:rPr>
          <w:rFonts w:hint="eastAsia" w:ascii="宋体" w:hAnsi="宋体" w:eastAsia="宋体" w:cs="宋体"/>
          <w:b w:val="0"/>
          <w:color w:val="auto"/>
          <w:sz w:val="30"/>
          <w:szCs w:val="30"/>
        </w:rPr>
        <w:t>第五节 评标报告</w:t>
      </w:r>
      <w:bookmarkEnd w:id="274"/>
      <w:bookmarkEnd w:id="275"/>
      <w:bookmarkEnd w:id="276"/>
      <w:bookmarkEnd w:id="277"/>
      <w:bookmarkEnd w:id="278"/>
    </w:p>
    <w:p>
      <w:pPr>
        <w:pStyle w:val="46"/>
        <w:spacing w:before="0"/>
        <w:ind w:firstLine="482"/>
        <w:rPr>
          <w:rFonts w:hint="eastAsia" w:ascii="宋体" w:hAnsi="宋体" w:cs="宋体"/>
          <w:b/>
          <w:bCs/>
          <w:color w:val="auto"/>
          <w:szCs w:val="24"/>
        </w:rPr>
      </w:pPr>
      <w:r>
        <w:rPr>
          <w:rFonts w:hint="eastAsia" w:ascii="宋体" w:hAnsi="宋体" w:cs="宋体"/>
          <w:b/>
          <w:bCs/>
          <w:color w:val="auto"/>
          <w:szCs w:val="24"/>
        </w:rPr>
        <w:t>（一）评标报告与推荐中标候选人</w:t>
      </w:r>
    </w:p>
    <w:p>
      <w:pPr>
        <w:pStyle w:val="14"/>
        <w:tabs>
          <w:tab w:val="left" w:pos="2472"/>
        </w:tabs>
        <w:spacing w:line="360" w:lineRule="auto"/>
        <w:ind w:firstLine="420" w:firstLineChars="200"/>
        <w:rPr>
          <w:rFonts w:hint="eastAsia" w:hAnsi="宋体" w:cs="宋体"/>
          <w:color w:val="auto"/>
        </w:rPr>
      </w:pPr>
      <w:r>
        <w:rPr>
          <w:rFonts w:hint="eastAsia" w:hAnsi="宋体" w:cs="宋体"/>
          <w:color w:val="auto"/>
        </w:rPr>
        <w:t>评标委员会根据原始评标记录和评标结果编写评标报告，并通过电子交易平台向采购人、采购代理机构提交。</w:t>
      </w:r>
    </w:p>
    <w:p>
      <w:pPr>
        <w:widowControl/>
        <w:spacing w:line="360" w:lineRule="auto"/>
        <w:ind w:firstLine="482" w:firstLineChars="200"/>
        <w:jc w:val="left"/>
        <w:rPr>
          <w:rFonts w:hint="eastAsia" w:ascii="宋体" w:hAnsi="宋体" w:cs="宋体"/>
          <w:b/>
          <w:bCs/>
          <w:color w:val="auto"/>
          <w:sz w:val="24"/>
        </w:rPr>
      </w:pPr>
      <w:r>
        <w:rPr>
          <w:rFonts w:hint="eastAsia" w:ascii="宋体" w:hAnsi="宋体" w:cs="宋体"/>
          <w:b/>
          <w:bCs/>
          <w:color w:val="auto"/>
          <w:sz w:val="24"/>
        </w:rPr>
        <w:t>（二）评标争议事项处理</w:t>
      </w:r>
    </w:p>
    <w:p>
      <w:pPr>
        <w:pStyle w:val="14"/>
        <w:tabs>
          <w:tab w:val="left" w:pos="2472"/>
        </w:tabs>
        <w:spacing w:line="360" w:lineRule="auto"/>
        <w:ind w:firstLine="420" w:firstLineChars="200"/>
        <w:rPr>
          <w:rFonts w:hint="eastAsia" w:hAnsi="宋体" w:cs="宋体"/>
          <w:color w:val="auto"/>
        </w:rPr>
      </w:pPr>
      <w:r>
        <w:rPr>
          <w:rFonts w:hint="eastAsia" w:hAnsi="宋体" w:cs="宋体"/>
          <w:color w:val="auto"/>
        </w:rPr>
        <w:t>评标委员会成员对需要共同认定的事项存在争议的，应当按照少数服从多数的原则作出结论。持不同意见的评标委员会成员应当在评标报告上签署不同意见及理由，否则视为同意评标报告。</w:t>
      </w:r>
    </w:p>
    <w:p>
      <w:pPr>
        <w:widowControl/>
        <w:jc w:val="left"/>
        <w:rPr>
          <w:rFonts w:hint="eastAsia" w:ascii="宋体" w:hAnsi="宋体" w:cs="宋体"/>
          <w:b/>
          <w:color w:val="auto"/>
          <w:sz w:val="36"/>
          <w:szCs w:val="20"/>
        </w:rPr>
        <w:sectPr>
          <w:pgSz w:w="11906" w:h="16838"/>
          <w:pgMar w:top="1134" w:right="1020" w:bottom="1020" w:left="1134" w:header="720" w:footer="720" w:gutter="0"/>
          <w:cols w:space="720" w:num="1"/>
          <w:docGrid w:type="lines" w:linePitch="331" w:charSpace="0"/>
        </w:sect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bookmarkStart w:id="279" w:name="_Toc30669"/>
      <w:bookmarkStart w:id="280" w:name="_Toc1174"/>
      <w:bookmarkStart w:id="281" w:name="_Toc1169"/>
      <w:bookmarkStart w:id="282" w:name="_Toc15462"/>
      <w:bookmarkStart w:id="283" w:name="_Toc5426"/>
      <w:bookmarkStart w:id="284" w:name="_Toc14956"/>
      <w:bookmarkStart w:id="285" w:name="_Toc24905"/>
      <w:bookmarkStart w:id="286" w:name="_Toc27349"/>
      <w:bookmarkStart w:id="287" w:name="_Toc17443"/>
      <w:bookmarkStart w:id="288" w:name="_Toc3087"/>
      <w:bookmarkStart w:id="289" w:name="_Toc14385"/>
      <w:r>
        <w:rPr>
          <w:rFonts w:hint="eastAsia" w:hAnsi="宋体" w:cs="宋体"/>
          <w:b/>
          <w:color w:val="auto"/>
          <w:sz w:val="36"/>
        </w:rPr>
        <w:t>第五章 拟签订的合同文本</w:t>
      </w:r>
      <w:bookmarkEnd w:id="279"/>
      <w:bookmarkEnd w:id="280"/>
      <w:bookmarkEnd w:id="281"/>
      <w:bookmarkEnd w:id="282"/>
      <w:bookmarkEnd w:id="283"/>
      <w:bookmarkEnd w:id="284"/>
      <w:bookmarkEnd w:id="285"/>
      <w:bookmarkEnd w:id="286"/>
      <w:bookmarkEnd w:id="287"/>
      <w:bookmarkEnd w:id="288"/>
      <w:bookmarkEnd w:id="289"/>
    </w:p>
    <w:p>
      <w:pPr>
        <w:widowControl/>
        <w:jc w:val="left"/>
        <w:rPr>
          <w:rFonts w:hint="eastAsia" w:ascii="宋体" w:hAnsi="宋体" w:cs="宋体"/>
          <w:bCs/>
          <w:color w:val="auto"/>
          <w:szCs w:val="20"/>
        </w:rPr>
        <w:sectPr>
          <w:pgSz w:w="11906" w:h="16838"/>
          <w:pgMar w:top="1134" w:right="1020" w:bottom="1020" w:left="1134" w:header="720" w:footer="720" w:gutter="0"/>
          <w:cols w:space="720" w:num="1"/>
          <w:docGrid w:type="lines" w:linePitch="331" w:charSpace="0"/>
        </w:sectPr>
      </w:pPr>
    </w:p>
    <w:p>
      <w:pPr>
        <w:jc w:val="center"/>
        <w:rPr>
          <w:rFonts w:hint="eastAsia" w:ascii="宋体" w:hAnsi="宋体"/>
          <w:bCs/>
          <w:color w:val="auto"/>
          <w:sz w:val="72"/>
          <w:szCs w:val="72"/>
        </w:rPr>
      </w:pPr>
    </w:p>
    <w:p>
      <w:pPr>
        <w:jc w:val="center"/>
        <w:rPr>
          <w:rFonts w:hint="eastAsia" w:ascii="宋体" w:hAnsi="宋体"/>
          <w:bCs/>
          <w:color w:val="auto"/>
          <w:sz w:val="72"/>
          <w:szCs w:val="72"/>
        </w:rPr>
      </w:pPr>
    </w:p>
    <w:p>
      <w:pPr>
        <w:jc w:val="center"/>
        <w:rPr>
          <w:rFonts w:hint="eastAsia" w:ascii="宋体" w:hAnsi="宋体"/>
          <w:bCs/>
          <w:color w:val="auto"/>
          <w:sz w:val="72"/>
          <w:szCs w:val="72"/>
        </w:rPr>
      </w:pPr>
    </w:p>
    <w:p>
      <w:pPr>
        <w:jc w:val="center"/>
        <w:rPr>
          <w:rFonts w:hint="eastAsia" w:ascii="宋体" w:hAnsi="宋体"/>
          <w:bCs/>
          <w:color w:val="auto"/>
          <w:sz w:val="72"/>
          <w:szCs w:val="72"/>
        </w:rPr>
      </w:pPr>
      <w:r>
        <w:rPr>
          <w:rFonts w:ascii="宋体" w:hAnsi="宋体"/>
          <w:bCs/>
          <w:color w:val="auto"/>
          <w:sz w:val="72"/>
          <w:szCs w:val="72"/>
        </w:rPr>
        <w:t>采购合同</w:t>
      </w:r>
    </w:p>
    <w:p>
      <w:pPr>
        <w:rPr>
          <w:rFonts w:hint="eastAsia" w:ascii="宋体" w:hAnsi="宋体"/>
          <w:color w:val="auto"/>
          <w:szCs w:val="20"/>
        </w:rPr>
      </w:pPr>
    </w:p>
    <w:p>
      <w:pPr>
        <w:rPr>
          <w:rFonts w:hint="eastAsia" w:ascii="宋体" w:hAnsi="宋体"/>
          <w:color w:val="auto"/>
          <w:szCs w:val="20"/>
        </w:rPr>
      </w:pPr>
    </w:p>
    <w:p>
      <w:pPr>
        <w:rPr>
          <w:rFonts w:hint="eastAsia" w:ascii="宋体" w:hAnsi="宋体"/>
          <w:color w:val="auto"/>
          <w:szCs w:val="20"/>
        </w:rPr>
      </w:pPr>
    </w:p>
    <w:p>
      <w:pPr>
        <w:rPr>
          <w:rFonts w:hint="eastAsia" w:ascii="宋体" w:hAnsi="宋体"/>
          <w:color w:val="auto"/>
          <w:szCs w:val="20"/>
        </w:rPr>
      </w:pPr>
    </w:p>
    <w:p>
      <w:pPr>
        <w:rPr>
          <w:rFonts w:hint="eastAsia" w:ascii="宋体" w:hAnsi="宋体"/>
          <w:color w:val="auto"/>
          <w:szCs w:val="20"/>
        </w:rPr>
      </w:pPr>
    </w:p>
    <w:p>
      <w:pPr>
        <w:rPr>
          <w:rFonts w:hint="eastAsia" w:ascii="宋体" w:hAnsi="宋体"/>
          <w:color w:val="auto"/>
          <w:szCs w:val="20"/>
        </w:rPr>
      </w:pPr>
    </w:p>
    <w:p>
      <w:pPr>
        <w:rPr>
          <w:rFonts w:hint="eastAsia" w:ascii="宋体" w:hAnsi="宋体"/>
          <w:color w:val="auto"/>
          <w:szCs w:val="20"/>
        </w:rPr>
      </w:pPr>
    </w:p>
    <w:p>
      <w:pPr>
        <w:ind w:firstLine="1584" w:firstLineChars="495"/>
        <w:rPr>
          <w:rFonts w:hint="eastAsia" w:ascii="宋体" w:hAnsi="宋体"/>
          <w:bCs/>
          <w:color w:val="auto"/>
          <w:sz w:val="32"/>
          <w:szCs w:val="32"/>
          <w:u w:val="single"/>
        </w:rPr>
      </w:pPr>
      <w:r>
        <w:rPr>
          <w:rFonts w:ascii="宋体" w:hAnsi="宋体"/>
          <w:bCs/>
          <w:color w:val="auto"/>
          <w:sz w:val="32"/>
          <w:szCs w:val="32"/>
        </w:rPr>
        <w:t>合同名称：</w:t>
      </w:r>
      <w:r>
        <w:rPr>
          <w:rFonts w:ascii="宋体" w:hAnsi="宋体"/>
          <w:bCs/>
          <w:color w:val="auto"/>
          <w:sz w:val="32"/>
          <w:szCs w:val="32"/>
          <w:u w:val="single"/>
        </w:rPr>
        <w:t xml:space="preserve">                    </w:t>
      </w:r>
    </w:p>
    <w:p>
      <w:pPr>
        <w:ind w:firstLine="1584" w:firstLineChars="495"/>
        <w:rPr>
          <w:rFonts w:hint="eastAsia" w:ascii="宋体" w:hAnsi="宋体"/>
          <w:bCs/>
          <w:color w:val="auto"/>
          <w:sz w:val="32"/>
          <w:szCs w:val="32"/>
          <w:u w:val="single"/>
        </w:rPr>
      </w:pPr>
    </w:p>
    <w:p>
      <w:pPr>
        <w:ind w:firstLine="1584" w:firstLineChars="495"/>
        <w:rPr>
          <w:rFonts w:hint="eastAsia" w:ascii="宋体" w:hAnsi="宋体"/>
          <w:bCs/>
          <w:color w:val="auto"/>
          <w:sz w:val="32"/>
          <w:szCs w:val="32"/>
          <w:u w:val="single"/>
        </w:rPr>
      </w:pPr>
      <w:r>
        <w:rPr>
          <w:rFonts w:ascii="宋体" w:hAnsi="宋体"/>
          <w:bCs/>
          <w:color w:val="auto"/>
          <w:sz w:val="32"/>
          <w:szCs w:val="32"/>
        </w:rPr>
        <w:t>合同编号：</w:t>
      </w:r>
      <w:r>
        <w:rPr>
          <w:rFonts w:ascii="宋体" w:hAnsi="宋体"/>
          <w:bCs/>
          <w:color w:val="auto"/>
          <w:sz w:val="32"/>
          <w:szCs w:val="32"/>
          <w:u w:val="single"/>
        </w:rPr>
        <w:t xml:space="preserve">                    </w:t>
      </w:r>
    </w:p>
    <w:p>
      <w:pPr>
        <w:jc w:val="center"/>
        <w:rPr>
          <w:rFonts w:hint="eastAsia" w:ascii="宋体" w:hAnsi="宋体"/>
          <w:bCs/>
          <w:color w:val="auto"/>
          <w:szCs w:val="20"/>
        </w:rPr>
      </w:pPr>
    </w:p>
    <w:p>
      <w:pPr>
        <w:jc w:val="center"/>
        <w:rPr>
          <w:rFonts w:hint="eastAsia" w:ascii="宋体" w:hAnsi="宋体"/>
          <w:bCs/>
          <w:color w:val="auto"/>
          <w:szCs w:val="20"/>
        </w:rPr>
      </w:pPr>
    </w:p>
    <w:p>
      <w:pPr>
        <w:jc w:val="center"/>
        <w:rPr>
          <w:rFonts w:hint="eastAsia" w:ascii="宋体" w:hAnsi="宋体"/>
          <w:bCs/>
          <w:color w:val="auto"/>
          <w:szCs w:val="20"/>
        </w:rPr>
      </w:pPr>
    </w:p>
    <w:p>
      <w:pPr>
        <w:jc w:val="center"/>
        <w:rPr>
          <w:rFonts w:hint="eastAsia" w:ascii="宋体" w:hAnsi="宋体"/>
          <w:bCs/>
          <w:color w:val="auto"/>
          <w:szCs w:val="20"/>
        </w:rPr>
      </w:pPr>
    </w:p>
    <w:p>
      <w:pPr>
        <w:jc w:val="center"/>
        <w:rPr>
          <w:rFonts w:hint="eastAsia" w:ascii="宋体" w:hAnsi="宋体"/>
          <w:bCs/>
          <w:color w:val="auto"/>
          <w:szCs w:val="20"/>
        </w:rPr>
      </w:pPr>
    </w:p>
    <w:p>
      <w:pPr>
        <w:spacing w:line="340" w:lineRule="exact"/>
        <w:ind w:firstLine="1584" w:firstLineChars="495"/>
        <w:rPr>
          <w:rFonts w:hint="eastAsia" w:ascii="宋体" w:hAnsi="宋体"/>
          <w:bCs/>
          <w:color w:val="auto"/>
          <w:sz w:val="32"/>
          <w:szCs w:val="32"/>
        </w:rPr>
      </w:pPr>
      <w:r>
        <w:rPr>
          <w:rFonts w:hint="eastAsia" w:ascii="宋体" w:hAnsi="宋体"/>
          <w:bCs/>
          <w:color w:val="auto"/>
          <w:sz w:val="32"/>
          <w:szCs w:val="32"/>
        </w:rPr>
        <w:t>采购人</w:t>
      </w:r>
      <w:r>
        <w:rPr>
          <w:rFonts w:ascii="宋体" w:hAnsi="宋体"/>
          <w:bCs/>
          <w:color w:val="auto"/>
          <w:sz w:val="32"/>
          <w:szCs w:val="32"/>
        </w:rPr>
        <w:t>（甲方）</w:t>
      </w:r>
      <w:r>
        <w:rPr>
          <w:rFonts w:ascii="宋体" w:hAnsi="宋体"/>
          <w:bCs/>
          <w:color w:val="auto"/>
          <w:sz w:val="32"/>
          <w:szCs w:val="32"/>
          <w:u w:val="single"/>
        </w:rPr>
        <w:t xml:space="preserve">                    </w:t>
      </w:r>
    </w:p>
    <w:p>
      <w:pPr>
        <w:spacing w:line="340" w:lineRule="exact"/>
        <w:ind w:firstLine="1584" w:firstLineChars="495"/>
        <w:rPr>
          <w:rFonts w:hint="eastAsia" w:ascii="宋体" w:hAnsi="宋体"/>
          <w:bCs/>
          <w:color w:val="auto"/>
          <w:sz w:val="32"/>
          <w:szCs w:val="32"/>
        </w:rPr>
      </w:pPr>
    </w:p>
    <w:p>
      <w:pPr>
        <w:spacing w:line="340" w:lineRule="exact"/>
        <w:rPr>
          <w:rFonts w:hint="eastAsia" w:ascii="宋体" w:hAnsi="宋体"/>
          <w:bCs/>
          <w:color w:val="auto"/>
          <w:sz w:val="32"/>
          <w:szCs w:val="32"/>
        </w:rPr>
      </w:pPr>
    </w:p>
    <w:p>
      <w:pPr>
        <w:spacing w:line="340" w:lineRule="exact"/>
        <w:ind w:firstLine="1584" w:firstLineChars="495"/>
        <w:rPr>
          <w:rFonts w:hint="eastAsia" w:ascii="宋体" w:hAnsi="宋体"/>
          <w:bCs/>
          <w:color w:val="auto"/>
          <w:sz w:val="32"/>
          <w:szCs w:val="32"/>
        </w:rPr>
      </w:pPr>
      <w:r>
        <w:rPr>
          <w:rFonts w:hint="eastAsia" w:ascii="宋体" w:hAnsi="宋体"/>
          <w:bCs/>
          <w:color w:val="auto"/>
          <w:sz w:val="32"/>
          <w:szCs w:val="32"/>
        </w:rPr>
        <w:t>中标人</w:t>
      </w:r>
      <w:r>
        <w:rPr>
          <w:rFonts w:ascii="宋体" w:hAnsi="宋体"/>
          <w:bCs/>
          <w:color w:val="auto"/>
          <w:sz w:val="32"/>
          <w:szCs w:val="32"/>
        </w:rPr>
        <w:t>（乙方）</w:t>
      </w:r>
      <w:r>
        <w:rPr>
          <w:rFonts w:ascii="宋体" w:hAnsi="宋体"/>
          <w:bCs/>
          <w:color w:val="auto"/>
          <w:sz w:val="32"/>
          <w:szCs w:val="32"/>
          <w:u w:val="single"/>
        </w:rPr>
        <w:t xml:space="preserve">                   </w:t>
      </w:r>
    </w:p>
    <w:p>
      <w:pPr>
        <w:pStyle w:val="11"/>
        <w:spacing w:line="242" w:lineRule="auto"/>
        <w:rPr>
          <w:color w:val="auto"/>
        </w:rPr>
      </w:pPr>
    </w:p>
    <w:p>
      <w:pPr>
        <w:pStyle w:val="11"/>
        <w:spacing w:line="242" w:lineRule="auto"/>
        <w:rPr>
          <w:color w:val="auto"/>
        </w:rPr>
      </w:pPr>
    </w:p>
    <w:p>
      <w:pPr>
        <w:pStyle w:val="11"/>
        <w:spacing w:line="242" w:lineRule="auto"/>
        <w:rPr>
          <w:color w:val="auto"/>
        </w:rPr>
      </w:pPr>
    </w:p>
    <w:p>
      <w:pPr>
        <w:pStyle w:val="11"/>
        <w:spacing w:line="243" w:lineRule="auto"/>
        <w:rPr>
          <w:color w:val="auto"/>
        </w:rPr>
      </w:pPr>
    </w:p>
    <w:p>
      <w:pPr>
        <w:pStyle w:val="11"/>
        <w:spacing w:line="243" w:lineRule="auto"/>
        <w:rPr>
          <w:color w:val="auto"/>
        </w:rPr>
      </w:pPr>
    </w:p>
    <w:p>
      <w:pPr>
        <w:pStyle w:val="11"/>
        <w:spacing w:line="243" w:lineRule="auto"/>
        <w:rPr>
          <w:color w:val="auto"/>
        </w:rPr>
      </w:pPr>
    </w:p>
    <w:p>
      <w:pPr>
        <w:spacing w:line="220" w:lineRule="auto"/>
        <w:rPr>
          <w:rFonts w:hint="eastAsia" w:ascii="宋体" w:hAnsi="宋体" w:cs="宋体"/>
          <w:color w:val="auto"/>
          <w:sz w:val="28"/>
          <w:szCs w:val="28"/>
        </w:rPr>
        <w:sectPr>
          <w:footerReference r:id="rId8" w:type="default"/>
          <w:pgSz w:w="11910" w:h="16840"/>
          <w:pgMar w:top="400" w:right="1210" w:bottom="1091" w:left="1217" w:header="0" w:footer="929" w:gutter="0"/>
          <w:cols w:space="720" w:num="1"/>
        </w:sectPr>
      </w:pPr>
    </w:p>
    <w:p>
      <w:pPr>
        <w:spacing w:line="300" w:lineRule="auto"/>
        <w:jc w:val="center"/>
        <w:rPr>
          <w:rFonts w:hint="eastAsia" w:ascii="宋体" w:hAnsi="宋体"/>
          <w:b/>
          <w:color w:val="auto"/>
          <w:sz w:val="44"/>
          <w:szCs w:val="44"/>
        </w:rPr>
      </w:pPr>
    </w:p>
    <w:p>
      <w:pPr>
        <w:spacing w:line="300" w:lineRule="auto"/>
        <w:jc w:val="center"/>
        <w:rPr>
          <w:rFonts w:hint="eastAsia" w:ascii="宋体" w:hAnsi="宋体"/>
          <w:b/>
          <w:bCs/>
          <w:color w:val="auto"/>
          <w:sz w:val="44"/>
          <w:szCs w:val="44"/>
        </w:rPr>
      </w:pPr>
      <w:r>
        <w:rPr>
          <w:rFonts w:ascii="宋体" w:hAnsi="宋体"/>
          <w:b/>
          <w:color w:val="auto"/>
          <w:sz w:val="44"/>
          <w:szCs w:val="44"/>
        </w:rPr>
        <w:t>采购</w:t>
      </w:r>
      <w:r>
        <w:rPr>
          <w:rFonts w:ascii="宋体" w:hAnsi="宋体"/>
          <w:b/>
          <w:bCs/>
          <w:color w:val="auto"/>
          <w:sz w:val="44"/>
          <w:szCs w:val="44"/>
        </w:rPr>
        <w:t>合同</w:t>
      </w:r>
    </w:p>
    <w:p>
      <w:pPr>
        <w:snapToGrid w:val="0"/>
        <w:spacing w:line="360" w:lineRule="exact"/>
        <w:ind w:right="480"/>
        <w:jc w:val="center"/>
        <w:rPr>
          <w:rFonts w:hint="eastAsia" w:ascii="宋体" w:hAnsi="宋体"/>
          <w:bCs/>
          <w:color w:val="auto"/>
          <w:szCs w:val="21"/>
        </w:rPr>
      </w:pPr>
      <w:r>
        <w:rPr>
          <w:rFonts w:ascii="宋体" w:hAnsi="宋体"/>
          <w:bCs/>
          <w:color w:val="auto"/>
          <w:szCs w:val="21"/>
        </w:rPr>
        <w:t xml:space="preserve">                                       合同编号：</w:t>
      </w:r>
    </w:p>
    <w:p>
      <w:pPr>
        <w:snapToGrid w:val="0"/>
        <w:spacing w:line="360" w:lineRule="exact"/>
        <w:ind w:firstLine="3685" w:firstLineChars="1748"/>
        <w:rPr>
          <w:rFonts w:hint="eastAsia" w:ascii="宋体" w:hAnsi="宋体"/>
          <w:b/>
          <w:color w:val="auto"/>
          <w:szCs w:val="21"/>
        </w:rPr>
      </w:pPr>
    </w:p>
    <w:p>
      <w:pPr>
        <w:snapToGrid w:val="0"/>
        <w:spacing w:line="360" w:lineRule="exact"/>
        <w:rPr>
          <w:rFonts w:hint="eastAsia" w:ascii="宋体" w:hAnsi="宋体"/>
          <w:color w:val="auto"/>
          <w:szCs w:val="21"/>
        </w:rPr>
      </w:pPr>
      <w:r>
        <w:rPr>
          <w:rFonts w:ascii="宋体" w:hAnsi="宋体"/>
          <w:color w:val="auto"/>
          <w:szCs w:val="21"/>
        </w:rPr>
        <w:t xml:space="preserve">采购单位（甲方）                            </w:t>
      </w:r>
      <w:r>
        <w:rPr>
          <w:rFonts w:ascii="宋体" w:hAnsi="宋体"/>
          <w:color w:val="auto"/>
          <w:spacing w:val="-20"/>
          <w:szCs w:val="21"/>
        </w:rPr>
        <w:t xml:space="preserve"> 采 购 计 划 号      </w:t>
      </w:r>
      <w:r>
        <w:rPr>
          <w:rFonts w:ascii="宋体" w:hAnsi="宋体"/>
          <w:color w:val="auto"/>
          <w:szCs w:val="21"/>
        </w:rPr>
        <w:t xml:space="preserve">                                                  </w:t>
      </w:r>
    </w:p>
    <w:p>
      <w:pPr>
        <w:snapToGrid w:val="0"/>
        <w:spacing w:line="360" w:lineRule="exact"/>
        <w:rPr>
          <w:rFonts w:hint="eastAsia" w:ascii="宋体" w:hAnsi="宋体"/>
          <w:color w:val="auto"/>
          <w:szCs w:val="21"/>
        </w:rPr>
      </w:pPr>
      <w:r>
        <w:rPr>
          <w:rFonts w:ascii="宋体" w:hAnsi="宋体"/>
          <w:color w:val="auto"/>
          <w:szCs w:val="21"/>
        </w:rPr>
        <w:t xml:space="preserve">供 应 商（乙方）                             项目名称和编号                        </w:t>
      </w:r>
    </w:p>
    <w:p>
      <w:pPr>
        <w:spacing w:line="400" w:lineRule="exact"/>
        <w:rPr>
          <w:rFonts w:hint="eastAsia" w:ascii="宋体" w:hAnsi="宋体"/>
          <w:color w:val="auto"/>
          <w:szCs w:val="21"/>
          <w:u w:val="single"/>
        </w:rPr>
      </w:pPr>
      <w:r>
        <w:rPr>
          <w:rFonts w:ascii="宋体" w:hAnsi="宋体"/>
          <w:color w:val="auto"/>
          <w:szCs w:val="21"/>
        </w:rPr>
        <w:t xml:space="preserve">签  订  地  点                               签 订 时 间 </w:t>
      </w:r>
      <w:r>
        <w:rPr>
          <w:rFonts w:ascii="宋体" w:hAnsi="宋体"/>
          <w:color w:val="auto"/>
          <w:szCs w:val="21"/>
          <w:u w:val="single"/>
        </w:rPr>
        <w:t xml:space="preserve">                   </w:t>
      </w:r>
    </w:p>
    <w:p>
      <w:pPr>
        <w:spacing w:line="400" w:lineRule="exact"/>
        <w:ind w:firstLine="420" w:firstLineChars="200"/>
        <w:rPr>
          <w:rFonts w:hint="eastAsia" w:ascii="宋体" w:hAnsi="宋体"/>
          <w:color w:val="auto"/>
          <w:szCs w:val="20"/>
        </w:rPr>
      </w:pPr>
      <w:r>
        <w:rPr>
          <w:rFonts w:ascii="宋体" w:hAnsi="宋体"/>
          <w:color w:val="auto"/>
          <w:szCs w:val="20"/>
        </w:rPr>
        <w:t>根据《中华人民共和国政府采购法》、《中华人民共和国民法典》等法律、法规规定，按照招标文件规定条款和中标人投标文件及其承诺，甲乙双方签订本合同。</w:t>
      </w:r>
    </w:p>
    <w:p>
      <w:pPr>
        <w:widowControl/>
        <w:adjustRightInd w:val="0"/>
        <w:snapToGrid w:val="0"/>
        <w:spacing w:line="400" w:lineRule="exact"/>
        <w:ind w:firstLine="422" w:firstLineChars="200"/>
        <w:jc w:val="left"/>
        <w:rPr>
          <w:rFonts w:hint="eastAsia" w:ascii="宋体" w:hAnsi="宋体"/>
          <w:b/>
          <w:bCs/>
          <w:color w:val="auto"/>
          <w:kern w:val="0"/>
          <w:szCs w:val="21"/>
        </w:rPr>
      </w:pPr>
      <w:r>
        <w:rPr>
          <w:rFonts w:ascii="宋体" w:hAnsi="宋体"/>
          <w:b/>
          <w:bCs/>
          <w:color w:val="auto"/>
          <w:kern w:val="0"/>
          <w:szCs w:val="21"/>
        </w:rPr>
        <w:t>第一条  合同标的</w:t>
      </w:r>
    </w:p>
    <w:p>
      <w:pPr>
        <w:snapToGrid w:val="0"/>
        <w:spacing w:line="360" w:lineRule="exact"/>
        <w:ind w:firstLine="420" w:firstLineChars="200"/>
        <w:rPr>
          <w:rFonts w:hint="eastAsia" w:ascii="宋体" w:hAnsi="宋体"/>
          <w:color w:val="auto"/>
          <w:szCs w:val="21"/>
        </w:rPr>
      </w:pPr>
      <w:r>
        <w:rPr>
          <w:rFonts w:ascii="宋体" w:hAnsi="宋体"/>
          <w:color w:val="auto"/>
          <w:szCs w:val="21"/>
        </w:rPr>
        <w:t>1.供货一览表</w:t>
      </w:r>
    </w:p>
    <w:tbl>
      <w:tblPr>
        <w:tblStyle w:val="26"/>
        <w:tblW w:w="9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286"/>
        <w:gridCol w:w="1062"/>
        <w:gridCol w:w="2361"/>
        <w:gridCol w:w="794"/>
        <w:gridCol w:w="909"/>
        <w:gridCol w:w="1064"/>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9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ascii="宋体" w:hAnsi="宋体"/>
                <w:color w:val="auto"/>
                <w:szCs w:val="21"/>
              </w:rPr>
              <w:t>序号</w:t>
            </w:r>
          </w:p>
        </w:tc>
        <w:tc>
          <w:tcPr>
            <w:tcW w:w="12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ascii="宋体" w:hAnsi="宋体"/>
                <w:color w:val="auto"/>
                <w:szCs w:val="21"/>
              </w:rPr>
              <w:t>标的</w:t>
            </w:r>
          </w:p>
          <w:p>
            <w:pPr>
              <w:snapToGrid w:val="0"/>
              <w:jc w:val="center"/>
              <w:rPr>
                <w:rFonts w:hint="eastAsia" w:ascii="宋体" w:hAnsi="宋体"/>
                <w:color w:val="auto"/>
                <w:szCs w:val="21"/>
              </w:rPr>
            </w:pPr>
            <w:r>
              <w:rPr>
                <w:rFonts w:ascii="宋体" w:hAnsi="宋体"/>
                <w:color w:val="auto"/>
                <w:szCs w:val="21"/>
              </w:rPr>
              <w:t>名称</w:t>
            </w:r>
          </w:p>
        </w:tc>
        <w:tc>
          <w:tcPr>
            <w:tcW w:w="10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hint="eastAsia" w:ascii="宋体" w:hAnsi="宋体" w:cs="宋体"/>
                <w:color w:val="auto"/>
                <w:szCs w:val="22"/>
              </w:rPr>
              <w:t>品牌（如有）</w:t>
            </w:r>
          </w:p>
        </w:tc>
        <w:tc>
          <w:tcPr>
            <w:tcW w:w="23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hint="eastAsia" w:ascii="宋体" w:hAnsi="宋体" w:cs="宋体"/>
                <w:color w:val="auto"/>
                <w:szCs w:val="22"/>
              </w:rPr>
              <w:t>规格型号</w:t>
            </w:r>
          </w:p>
        </w:tc>
        <w:tc>
          <w:tcPr>
            <w:tcW w:w="7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ascii="宋体" w:hAnsi="宋体"/>
                <w:color w:val="auto"/>
                <w:szCs w:val="21"/>
              </w:rPr>
              <w:t>数量</w:t>
            </w:r>
          </w:p>
        </w:tc>
        <w:tc>
          <w:tcPr>
            <w:tcW w:w="9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ascii="宋体" w:hAnsi="宋体"/>
                <w:color w:val="auto"/>
                <w:szCs w:val="21"/>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ascii="宋体" w:hAnsi="宋体"/>
                <w:color w:val="auto"/>
                <w:szCs w:val="21"/>
              </w:rPr>
              <w:t>单价</w:t>
            </w:r>
          </w:p>
          <w:p>
            <w:pPr>
              <w:snapToGrid w:val="0"/>
              <w:jc w:val="center"/>
              <w:rPr>
                <w:rFonts w:hint="eastAsia" w:ascii="宋体" w:hAnsi="宋体"/>
                <w:color w:val="auto"/>
                <w:szCs w:val="21"/>
              </w:rPr>
            </w:pPr>
            <w:r>
              <w:rPr>
                <w:rFonts w:ascii="宋体" w:hAnsi="宋体"/>
                <w:color w:val="auto"/>
                <w:szCs w:val="21"/>
              </w:rPr>
              <w:t>（元）</w:t>
            </w: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rPr>
            </w:pPr>
            <w:r>
              <w:rPr>
                <w:rFonts w:hint="eastAsia" w:ascii="宋体" w:hAnsi="宋体"/>
                <w:color w:val="auto"/>
                <w:szCs w:val="21"/>
              </w:rPr>
              <w:t>单价合计</w:t>
            </w:r>
            <w:r>
              <w:rPr>
                <w:rFonts w:ascii="宋体" w:hAnsi="宋体"/>
                <w:color w:val="auto"/>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r>
              <w:rPr>
                <w:rFonts w:ascii="宋体" w:hAnsi="宋体"/>
                <w:color w:val="auto"/>
                <w:szCs w:val="21"/>
              </w:rPr>
              <w:t>1</w:t>
            </w:r>
          </w:p>
        </w:tc>
        <w:tc>
          <w:tcPr>
            <w:tcW w:w="128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236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r>
              <w:rPr>
                <w:rFonts w:ascii="宋体" w:hAnsi="宋体"/>
                <w:color w:val="auto"/>
                <w:szCs w:val="21"/>
              </w:rPr>
              <w:t>2</w:t>
            </w:r>
          </w:p>
        </w:tc>
        <w:tc>
          <w:tcPr>
            <w:tcW w:w="128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236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r>
              <w:rPr>
                <w:rFonts w:ascii="宋体" w:hAnsi="宋体"/>
                <w:color w:val="auto"/>
                <w:szCs w:val="21"/>
              </w:rPr>
              <w:t>…</w:t>
            </w:r>
          </w:p>
        </w:tc>
        <w:tc>
          <w:tcPr>
            <w:tcW w:w="128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236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9921" w:type="dxa"/>
            <w:gridSpan w:val="8"/>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jc w:val="left"/>
              <w:rPr>
                <w:rFonts w:hint="eastAsia" w:ascii="宋体" w:hAnsi="宋体"/>
                <w:color w:val="auto"/>
                <w:szCs w:val="21"/>
                <w:u w:val="single"/>
              </w:rPr>
            </w:pPr>
            <w:r>
              <w:rPr>
                <w:rFonts w:ascii="宋体" w:hAnsi="宋体"/>
                <w:color w:val="auto"/>
                <w:szCs w:val="21"/>
              </w:rPr>
              <w:t>人民币合计金额（大写）</w:t>
            </w:r>
            <w:r>
              <w:rPr>
                <w:rFonts w:ascii="宋体" w:hAnsi="宋体"/>
                <w:color w:val="auto"/>
                <w:szCs w:val="21"/>
                <w:u w:val="single"/>
              </w:rPr>
              <w:t xml:space="preserve">                                  </w:t>
            </w:r>
            <w:r>
              <w:rPr>
                <w:rFonts w:ascii="宋体" w:hAnsi="宋体"/>
                <w:color w:val="auto"/>
                <w:szCs w:val="21"/>
              </w:rPr>
              <w:t>（小写）</w:t>
            </w:r>
          </w:p>
        </w:tc>
      </w:tr>
    </w:tbl>
    <w:p>
      <w:pPr>
        <w:snapToGrid w:val="0"/>
        <w:spacing w:line="360" w:lineRule="exact"/>
        <w:ind w:firstLine="420" w:firstLineChars="200"/>
        <w:rPr>
          <w:rFonts w:hint="eastAsia" w:ascii="宋体" w:hAnsi="宋体"/>
          <w:color w:val="auto"/>
          <w:szCs w:val="21"/>
        </w:rPr>
      </w:pPr>
      <w:r>
        <w:rPr>
          <w:rFonts w:ascii="宋体" w:hAnsi="宋体"/>
          <w:color w:val="auto"/>
          <w:szCs w:val="21"/>
        </w:rPr>
        <w:t>2.合同</w:t>
      </w:r>
      <w:r>
        <w:rPr>
          <w:rFonts w:hint="eastAsia" w:ascii="宋体" w:hAnsi="宋体"/>
          <w:color w:val="auto"/>
          <w:szCs w:val="21"/>
        </w:rPr>
        <w:t>总</w:t>
      </w:r>
      <w:r>
        <w:rPr>
          <w:rFonts w:ascii="宋体" w:hAnsi="宋体"/>
          <w:color w:val="auto"/>
          <w:szCs w:val="21"/>
        </w:rPr>
        <w:t>金额为</w:t>
      </w:r>
      <w:r>
        <w:rPr>
          <w:rFonts w:ascii="宋体" w:hAnsi="宋体"/>
          <w:color w:val="auto"/>
        </w:rPr>
        <w:t>甲方</w:t>
      </w:r>
      <w:r>
        <w:rPr>
          <w:rFonts w:ascii="宋体" w:hAnsi="宋体"/>
          <w:color w:val="auto"/>
          <w:szCs w:val="21"/>
        </w:rPr>
        <w:t>指定地点的现场交货价，包括：</w:t>
      </w:r>
      <w:r>
        <w:rPr>
          <w:rFonts w:hint="eastAsia" w:ascii="宋体" w:hAnsi="宋体" w:cs="宋体"/>
          <w:color w:val="auto"/>
          <w:szCs w:val="21"/>
        </w:rPr>
        <w:t>本项目报价为产品送达采购人指定地点进行安装，经采购人验收合格所发生的一切费用，其包括但不限于以下费用：产品（含主要设备、配件、辅材）供应、运输装卸费、保险费、安装费、调试费、税费、产品检验检测、本项目所有平台、系统对接费、操作人员培训费、管理费、验收费、售后服务、质保期技术支持及维护费用、必要的保险费用和各项税金、招标代理服务费等与本项目相关的一切费用。</w:t>
      </w:r>
    </w:p>
    <w:p>
      <w:pPr>
        <w:snapToGrid w:val="0"/>
        <w:spacing w:line="360" w:lineRule="exact"/>
        <w:ind w:firstLine="420" w:firstLineChars="200"/>
        <w:rPr>
          <w:rFonts w:hint="eastAsia" w:ascii="宋体" w:hAnsi="宋体"/>
          <w:color w:val="auto"/>
          <w:szCs w:val="21"/>
        </w:rPr>
      </w:pPr>
      <w:r>
        <w:rPr>
          <w:rFonts w:ascii="宋体" w:hAnsi="宋体"/>
          <w:color w:val="auto"/>
          <w:szCs w:val="21"/>
        </w:rPr>
        <w:t>3.</w:t>
      </w:r>
      <w:r>
        <w:rPr>
          <w:rFonts w:hint="eastAsia" w:ascii="宋体" w:hAnsi="宋体"/>
          <w:color w:val="auto"/>
          <w:szCs w:val="21"/>
        </w:rPr>
        <w:t>本</w:t>
      </w:r>
      <w:r>
        <w:rPr>
          <w:rFonts w:ascii="宋体" w:hAnsi="宋体"/>
          <w:color w:val="auto"/>
          <w:szCs w:val="21"/>
        </w:rPr>
        <w:t>合同</w:t>
      </w:r>
      <w:r>
        <w:rPr>
          <w:rFonts w:hint="eastAsia" w:ascii="宋体" w:hAnsi="宋体"/>
          <w:color w:val="auto"/>
          <w:szCs w:val="21"/>
        </w:rPr>
        <w:t>签订后</w:t>
      </w:r>
      <w:r>
        <w:rPr>
          <w:rFonts w:ascii="宋体" w:hAnsi="宋体"/>
          <w:color w:val="auto"/>
          <w:szCs w:val="21"/>
        </w:rPr>
        <w:t>，</w:t>
      </w:r>
      <w:r>
        <w:rPr>
          <w:rFonts w:hint="eastAsia" w:ascii="宋体" w:hAnsi="宋体"/>
          <w:color w:val="auto"/>
          <w:szCs w:val="21"/>
        </w:rPr>
        <w:t>若</w:t>
      </w:r>
      <w:r>
        <w:rPr>
          <w:rFonts w:ascii="宋体" w:hAnsi="宋体"/>
          <w:color w:val="auto"/>
          <w:szCs w:val="21"/>
        </w:rPr>
        <w:t>甲方需</w:t>
      </w:r>
      <w:r>
        <w:rPr>
          <w:rFonts w:hint="eastAsia" w:ascii="宋体" w:hAnsi="宋体"/>
          <w:color w:val="auto"/>
          <w:szCs w:val="21"/>
        </w:rPr>
        <w:t>增加</w:t>
      </w:r>
      <w:r>
        <w:rPr>
          <w:rFonts w:ascii="宋体" w:hAnsi="宋体"/>
          <w:color w:val="auto"/>
          <w:szCs w:val="21"/>
        </w:rPr>
        <w:t>与合同标的相同的货物的，在不改变合同其他条款的前提下，可以与乙方协商签订补充合同，但所有补充协议的采购金额不得超过本合同总价的10%。</w:t>
      </w:r>
    </w:p>
    <w:p>
      <w:pPr>
        <w:snapToGrid w:val="0"/>
        <w:spacing w:line="400" w:lineRule="exact"/>
        <w:ind w:firstLine="422" w:firstLineChars="200"/>
        <w:rPr>
          <w:rFonts w:hint="eastAsia" w:ascii="宋体" w:hAnsi="宋体"/>
          <w:color w:val="auto"/>
          <w:szCs w:val="21"/>
        </w:rPr>
      </w:pPr>
      <w:r>
        <w:rPr>
          <w:rFonts w:ascii="宋体" w:hAnsi="宋体"/>
          <w:b/>
          <w:bCs/>
          <w:color w:val="auto"/>
          <w:szCs w:val="21"/>
        </w:rPr>
        <w:t>第二条　质量保证</w:t>
      </w:r>
    </w:p>
    <w:p>
      <w:pPr>
        <w:snapToGrid w:val="0"/>
        <w:spacing w:line="400" w:lineRule="exact"/>
        <w:ind w:firstLine="420" w:firstLineChars="200"/>
        <w:rPr>
          <w:rFonts w:hint="eastAsia" w:ascii="宋体" w:hAnsi="宋体"/>
          <w:color w:val="auto"/>
          <w:szCs w:val="21"/>
        </w:rPr>
      </w:pPr>
      <w:r>
        <w:rPr>
          <w:rFonts w:ascii="宋体" w:hAnsi="宋体"/>
          <w:color w:val="auto"/>
          <w:szCs w:val="21"/>
        </w:rPr>
        <w:t>1．乙方所提供的货物型号、技术规格、技术参数等质量必须与招标文件、</w:t>
      </w:r>
      <w:r>
        <w:rPr>
          <w:rFonts w:hint="eastAsia" w:ascii="宋体" w:hAnsi="宋体"/>
          <w:color w:val="auto"/>
          <w:szCs w:val="21"/>
        </w:rPr>
        <w:t>投标</w:t>
      </w:r>
      <w:r>
        <w:rPr>
          <w:rFonts w:ascii="宋体" w:hAnsi="宋体"/>
          <w:color w:val="auto"/>
          <w:szCs w:val="21"/>
        </w:rPr>
        <w:t>文件</w:t>
      </w:r>
      <w:r>
        <w:rPr>
          <w:rFonts w:hint="eastAsia" w:ascii="宋体" w:hAnsi="宋体"/>
          <w:color w:val="auto"/>
          <w:szCs w:val="21"/>
        </w:rPr>
        <w:t>的</w:t>
      </w:r>
      <w:r>
        <w:rPr>
          <w:rFonts w:ascii="宋体" w:hAnsi="宋体"/>
          <w:color w:val="auto"/>
          <w:szCs w:val="21"/>
        </w:rPr>
        <w:t>承诺一致。乙方提供的节能和环保产品必须是列入政府采购清单的产品。</w:t>
      </w:r>
    </w:p>
    <w:p>
      <w:pPr>
        <w:snapToGrid w:val="0"/>
        <w:spacing w:line="400" w:lineRule="exact"/>
        <w:ind w:firstLine="420" w:firstLineChars="200"/>
        <w:rPr>
          <w:rFonts w:hint="eastAsia" w:ascii="宋体" w:hAnsi="宋体"/>
          <w:color w:val="auto"/>
          <w:szCs w:val="21"/>
        </w:rPr>
      </w:pPr>
      <w:r>
        <w:rPr>
          <w:rFonts w:ascii="宋体" w:hAnsi="宋体"/>
          <w:color w:val="auto"/>
          <w:szCs w:val="21"/>
        </w:rPr>
        <w:t>2．乙方所提供的货物必须是全新、未经使用的原装产品，且在正常安装、使用和保养条件下，其使用寿命期内各项指标均达到质量要求。</w:t>
      </w:r>
    </w:p>
    <w:p>
      <w:pPr>
        <w:snapToGrid w:val="0"/>
        <w:spacing w:line="400" w:lineRule="exact"/>
        <w:ind w:firstLine="420" w:firstLineChars="200"/>
        <w:rPr>
          <w:rFonts w:hint="eastAsia" w:ascii="宋体" w:hAnsi="宋体"/>
          <w:color w:val="auto"/>
          <w:szCs w:val="21"/>
        </w:rPr>
      </w:pPr>
      <w:r>
        <w:rPr>
          <w:rFonts w:hint="eastAsia" w:ascii="宋体" w:hAnsi="宋体"/>
          <w:color w:val="auto"/>
          <w:szCs w:val="21"/>
        </w:rPr>
        <w:t>3.软件类产品须为市场合法合规的成品正版软件，无任何版权及知识产权权属纠纷，其功能模块、操作流程、数据兼容性、终端适配性等须完全满足招标文件及投标文件承诺，能在约定硬件环境或兼容环境中稳定运行。</w:t>
      </w:r>
    </w:p>
    <w:p>
      <w:pPr>
        <w:snapToGrid w:val="0"/>
        <w:spacing w:line="400" w:lineRule="exact"/>
        <w:ind w:firstLine="422" w:firstLineChars="200"/>
        <w:rPr>
          <w:rFonts w:hint="eastAsia" w:ascii="宋体" w:hAnsi="宋体"/>
          <w:color w:val="auto"/>
          <w:szCs w:val="21"/>
        </w:rPr>
      </w:pPr>
      <w:r>
        <w:rPr>
          <w:rFonts w:ascii="宋体" w:hAnsi="宋体"/>
          <w:b/>
          <w:bCs/>
          <w:color w:val="auto"/>
          <w:szCs w:val="21"/>
        </w:rPr>
        <w:t>第三条　权利保证</w:t>
      </w:r>
    </w:p>
    <w:p>
      <w:pPr>
        <w:snapToGrid w:val="0"/>
        <w:spacing w:line="400" w:lineRule="exact"/>
        <w:ind w:firstLine="420" w:firstLineChars="200"/>
        <w:rPr>
          <w:rFonts w:hint="eastAsia" w:ascii="宋体" w:hAnsi="宋体"/>
          <w:color w:val="auto"/>
          <w:szCs w:val="21"/>
        </w:rPr>
      </w:pPr>
      <w:r>
        <w:rPr>
          <w:rFonts w:ascii="宋体" w:hAnsi="宋体"/>
          <w:color w:val="auto"/>
          <w:szCs w:val="21"/>
        </w:rPr>
        <w:t>1.乙方应保证所提供货物在使用时不会侵犯任何第三方的专利权、商标权、工业设计权或其他权利。乙方提供的货物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pPr>
        <w:snapToGrid w:val="0"/>
        <w:spacing w:line="400" w:lineRule="exact"/>
        <w:ind w:firstLine="420" w:firstLineChars="200"/>
        <w:rPr>
          <w:rFonts w:hint="eastAsia" w:ascii="宋体" w:hAnsi="宋体"/>
          <w:color w:val="auto"/>
          <w:szCs w:val="21"/>
        </w:rPr>
      </w:pPr>
      <w:r>
        <w:rPr>
          <w:rFonts w:ascii="宋体" w:hAnsi="宋体"/>
          <w:color w:val="auto"/>
          <w:szCs w:val="21"/>
        </w:rPr>
        <w:t>2.乙方应按</w:t>
      </w:r>
      <w:r>
        <w:rPr>
          <w:rFonts w:hint="eastAsia" w:ascii="宋体" w:hAnsi="宋体"/>
          <w:color w:val="auto"/>
          <w:szCs w:val="21"/>
        </w:rPr>
        <w:t>招标文件</w:t>
      </w:r>
      <w:r>
        <w:rPr>
          <w:rFonts w:ascii="宋体" w:hAnsi="宋体"/>
          <w:color w:val="auto"/>
          <w:szCs w:val="21"/>
        </w:rPr>
        <w:t>规定的时间向甲方提供使用货物的有关完整的技术资料。</w:t>
      </w:r>
    </w:p>
    <w:p>
      <w:pPr>
        <w:snapToGrid w:val="0"/>
        <w:spacing w:line="400" w:lineRule="exact"/>
        <w:ind w:firstLine="420" w:firstLineChars="200"/>
        <w:rPr>
          <w:rFonts w:hint="eastAsia" w:ascii="宋体" w:hAnsi="宋体"/>
          <w:color w:val="auto"/>
          <w:szCs w:val="21"/>
        </w:rPr>
      </w:pPr>
      <w:r>
        <w:rPr>
          <w:rFonts w:ascii="宋体" w:hAnsi="宋体"/>
          <w:color w:val="auto"/>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乙方违反上述规定泄露甲方相关资料、保密信息的，乙方应当支付甲方因此造成的损失，甲方损失能够计算的按照实际损失赔偿，甲方的损失无法具体计算的，乙方应当按照合同价款2%进行赔偿。乙方还应当向甲方支付合同价款20%的违约金。</w:t>
      </w:r>
    </w:p>
    <w:p>
      <w:pPr>
        <w:snapToGrid w:val="0"/>
        <w:spacing w:line="400" w:lineRule="exact"/>
        <w:ind w:firstLine="420" w:firstLineChars="200"/>
        <w:rPr>
          <w:rFonts w:hint="eastAsia" w:ascii="宋体" w:hAnsi="宋体"/>
          <w:color w:val="auto"/>
          <w:szCs w:val="21"/>
        </w:rPr>
      </w:pPr>
      <w:r>
        <w:rPr>
          <w:rFonts w:ascii="宋体" w:hAnsi="宋体"/>
          <w:color w:val="auto"/>
          <w:szCs w:val="21"/>
        </w:rPr>
        <w:t>4.乙方保证所交付的货物的所有权完全属于乙方且无任何抵押、质押、查封等产权瑕疵，如乙方提供的货物存在产权瑕疵则应当向甲方支付因此造成的损失。</w:t>
      </w:r>
    </w:p>
    <w:p>
      <w:pPr>
        <w:snapToGrid w:val="0"/>
        <w:spacing w:line="400" w:lineRule="exact"/>
        <w:ind w:firstLine="420" w:firstLineChars="200"/>
        <w:rPr>
          <w:rFonts w:hint="eastAsia" w:ascii="宋体" w:hAnsi="宋体"/>
          <w:color w:val="auto"/>
          <w:szCs w:val="21"/>
        </w:rPr>
      </w:pPr>
      <w:r>
        <w:rPr>
          <w:rFonts w:ascii="宋体" w:hAnsi="宋体"/>
          <w:color w:val="auto"/>
          <w:szCs w:val="21"/>
        </w:rPr>
        <w:t>5.乙方对自身提供的报价文件、资质、承诺等均客观、真实，不得虚构或隐瞒事实影响本合同的履行，否则乙方应当对甲方承担缔约过失责任，赔偿甲方的损失。</w:t>
      </w:r>
    </w:p>
    <w:p>
      <w:pPr>
        <w:snapToGrid w:val="0"/>
        <w:spacing w:line="400" w:lineRule="exact"/>
        <w:ind w:firstLine="422" w:firstLineChars="200"/>
        <w:rPr>
          <w:rFonts w:hint="eastAsia" w:ascii="宋体" w:hAnsi="宋体"/>
          <w:b/>
          <w:bCs/>
          <w:color w:val="auto"/>
          <w:szCs w:val="21"/>
        </w:rPr>
      </w:pPr>
      <w:r>
        <w:rPr>
          <w:rFonts w:ascii="宋体" w:hAnsi="宋体"/>
          <w:b/>
          <w:bCs/>
          <w:color w:val="auto"/>
          <w:szCs w:val="21"/>
        </w:rPr>
        <w:t>第四条　包装和运输</w:t>
      </w:r>
    </w:p>
    <w:p>
      <w:pPr>
        <w:snapToGrid w:val="0"/>
        <w:spacing w:line="400" w:lineRule="exact"/>
        <w:ind w:firstLine="420" w:firstLineChars="200"/>
        <w:rPr>
          <w:rFonts w:hint="eastAsia" w:ascii="宋体" w:hAnsi="宋体"/>
          <w:color w:val="auto"/>
          <w:szCs w:val="21"/>
        </w:rPr>
      </w:pPr>
      <w:r>
        <w:rPr>
          <w:rFonts w:ascii="宋体" w:hAnsi="宋体"/>
          <w:color w:val="auto"/>
          <w:szCs w:val="21"/>
        </w:rPr>
        <w:t>1.乙方提供的货物均应按招标文件、</w:t>
      </w:r>
      <w:r>
        <w:rPr>
          <w:rFonts w:hint="eastAsia" w:ascii="宋体" w:hAnsi="宋体"/>
          <w:color w:val="auto"/>
          <w:szCs w:val="21"/>
        </w:rPr>
        <w:t>投标文件</w:t>
      </w:r>
      <w:r>
        <w:rPr>
          <w:rFonts w:ascii="宋体" w:hAnsi="宋体"/>
          <w:color w:val="auto"/>
          <w:szCs w:val="21"/>
        </w:rPr>
        <w:t>要求的包装材料、包装标准、包装方式进行包装，每一包装单元内应附详细的装箱单和质量合格证。</w:t>
      </w:r>
    </w:p>
    <w:p>
      <w:pPr>
        <w:snapToGrid w:val="0"/>
        <w:spacing w:line="400" w:lineRule="exact"/>
        <w:ind w:firstLine="420" w:firstLineChars="200"/>
        <w:rPr>
          <w:rFonts w:hint="eastAsia" w:ascii="宋体" w:hAnsi="宋体"/>
          <w:color w:val="auto"/>
          <w:szCs w:val="21"/>
        </w:rPr>
      </w:pPr>
      <w:r>
        <w:rPr>
          <w:rFonts w:ascii="宋体" w:hAnsi="宋体"/>
          <w:color w:val="auto"/>
          <w:szCs w:val="21"/>
        </w:rPr>
        <w:t>2.货物的运输方式：</w:t>
      </w:r>
      <w:r>
        <w:rPr>
          <w:rFonts w:ascii="宋体" w:hAnsi="宋体"/>
          <w:color w:val="auto"/>
          <w:szCs w:val="21"/>
          <w:u w:val="single"/>
        </w:rPr>
        <w:t xml:space="preserve"> 由乙方按</w:t>
      </w:r>
      <w:r>
        <w:rPr>
          <w:rFonts w:hint="eastAsia" w:ascii="宋体" w:hAnsi="宋体"/>
          <w:color w:val="auto"/>
          <w:szCs w:val="21"/>
          <w:u w:val="single"/>
        </w:rPr>
        <w:t>招标文件</w:t>
      </w:r>
      <w:r>
        <w:rPr>
          <w:rFonts w:ascii="宋体" w:hAnsi="宋体"/>
          <w:color w:val="auto"/>
          <w:szCs w:val="21"/>
          <w:u w:val="single"/>
        </w:rPr>
        <w:t>要求自定 。</w:t>
      </w:r>
    </w:p>
    <w:p>
      <w:pPr>
        <w:snapToGrid w:val="0"/>
        <w:spacing w:line="400" w:lineRule="exact"/>
        <w:ind w:firstLine="420" w:firstLineChars="200"/>
        <w:rPr>
          <w:rFonts w:hint="eastAsia" w:ascii="宋体" w:hAnsi="宋体"/>
          <w:color w:val="auto"/>
          <w:szCs w:val="21"/>
          <w:u w:val="single"/>
        </w:rPr>
      </w:pPr>
      <w:r>
        <w:rPr>
          <w:rFonts w:ascii="宋体" w:hAnsi="宋体"/>
          <w:color w:val="auto"/>
          <w:szCs w:val="21"/>
        </w:rPr>
        <w:t>3.乙方负责货物运输，货物运输合理损耗及计算方法：</w:t>
      </w:r>
      <w:r>
        <w:rPr>
          <w:rFonts w:ascii="宋体" w:hAnsi="宋体"/>
          <w:color w:val="auto"/>
          <w:szCs w:val="21"/>
          <w:u w:val="single"/>
        </w:rPr>
        <w:t xml:space="preserve"> 由乙方负责。</w:t>
      </w:r>
    </w:p>
    <w:p>
      <w:pPr>
        <w:snapToGrid w:val="0"/>
        <w:spacing w:line="400" w:lineRule="exact"/>
        <w:ind w:firstLine="422" w:firstLineChars="200"/>
        <w:rPr>
          <w:rFonts w:hint="eastAsia" w:ascii="宋体" w:hAnsi="宋体"/>
          <w:color w:val="auto"/>
          <w:szCs w:val="21"/>
        </w:rPr>
      </w:pPr>
      <w:r>
        <w:rPr>
          <w:rFonts w:ascii="宋体" w:hAnsi="宋体"/>
          <w:b/>
          <w:bCs/>
          <w:color w:val="auto"/>
          <w:szCs w:val="21"/>
        </w:rPr>
        <w:t>第五条　交付和验收</w:t>
      </w:r>
    </w:p>
    <w:p>
      <w:pPr>
        <w:snapToGrid w:val="0"/>
        <w:spacing w:line="360" w:lineRule="exact"/>
        <w:ind w:firstLine="420" w:firstLineChars="200"/>
        <w:rPr>
          <w:rFonts w:hint="eastAsia" w:ascii="宋体" w:hAnsi="宋体"/>
          <w:color w:val="auto"/>
          <w:szCs w:val="21"/>
        </w:rPr>
      </w:pPr>
      <w:r>
        <w:rPr>
          <w:rFonts w:ascii="宋体" w:hAnsi="宋体"/>
          <w:color w:val="auto"/>
          <w:szCs w:val="21"/>
        </w:rPr>
        <w:t>1.交货时间：</w:t>
      </w:r>
      <w:r>
        <w:rPr>
          <w:rFonts w:hint="eastAsia" w:ascii="宋体" w:hAnsi="宋体"/>
          <w:color w:val="auto"/>
          <w:szCs w:val="21"/>
        </w:rPr>
        <w:t>自</w:t>
      </w:r>
      <w:r>
        <w:rPr>
          <w:rFonts w:hint="eastAsia" w:ascii="宋体" w:hAnsi="宋体" w:cs="宋体"/>
          <w:color w:val="auto"/>
          <w:kern w:val="0"/>
          <w:szCs w:val="21"/>
          <w:lang w:bidi="ar"/>
        </w:rPr>
        <w:t>合同签订之日起    个工作日内将货物运至</w:t>
      </w:r>
      <w:r>
        <w:rPr>
          <w:rFonts w:hint="eastAsia" w:ascii="宋体" w:hAnsi="宋体"/>
          <w:color w:val="auto"/>
          <w:szCs w:val="21"/>
        </w:rPr>
        <w:t>甲方</w:t>
      </w:r>
      <w:r>
        <w:rPr>
          <w:rFonts w:hint="eastAsia" w:ascii="宋体" w:hAnsi="宋体" w:cs="宋体"/>
          <w:color w:val="auto"/>
          <w:kern w:val="0"/>
          <w:szCs w:val="21"/>
          <w:lang w:bidi="ar"/>
        </w:rPr>
        <w:t>指定地点，并完成安装调试。</w:t>
      </w:r>
      <w:r>
        <w:rPr>
          <w:rFonts w:hint="eastAsia" w:ascii="宋体" w:hAnsi="宋体"/>
          <w:color w:val="auto"/>
          <w:szCs w:val="21"/>
        </w:rPr>
        <w:t>。</w:t>
      </w:r>
    </w:p>
    <w:p>
      <w:pPr>
        <w:snapToGrid w:val="0"/>
        <w:spacing w:line="360" w:lineRule="exact"/>
        <w:ind w:firstLine="420" w:firstLineChars="200"/>
        <w:rPr>
          <w:rFonts w:hint="eastAsia" w:ascii="宋体" w:hAnsi="宋体"/>
          <w:color w:val="auto"/>
          <w:szCs w:val="21"/>
        </w:rPr>
      </w:pPr>
      <w:r>
        <w:rPr>
          <w:rFonts w:ascii="宋体" w:hAnsi="宋体"/>
          <w:color w:val="auto"/>
          <w:szCs w:val="21"/>
        </w:rPr>
        <w:t>2.</w:t>
      </w:r>
      <w:r>
        <w:rPr>
          <w:rFonts w:ascii="宋体" w:hAnsi="宋体"/>
          <w:color w:val="auto"/>
          <w:spacing w:val="4"/>
          <w:szCs w:val="21"/>
        </w:rPr>
        <w:t xml:space="preserve"> 甲方在到货时有权依照招标文件与</w:t>
      </w:r>
      <w:r>
        <w:rPr>
          <w:rFonts w:hint="eastAsia" w:ascii="宋体" w:hAnsi="宋体"/>
          <w:color w:val="auto"/>
          <w:spacing w:val="4"/>
          <w:szCs w:val="21"/>
        </w:rPr>
        <w:t>投标文件</w:t>
      </w:r>
      <w:r>
        <w:rPr>
          <w:rFonts w:ascii="宋体" w:hAnsi="宋体"/>
          <w:color w:val="auto"/>
          <w:spacing w:val="4"/>
          <w:szCs w:val="21"/>
        </w:rPr>
        <w:t>的规定对货物进行到货验收，</w:t>
      </w:r>
      <w:r>
        <w:rPr>
          <w:rFonts w:ascii="宋体" w:hAnsi="宋体"/>
          <w:color w:val="auto"/>
          <w:szCs w:val="21"/>
        </w:rPr>
        <w:t>对于不符合招标文件、</w:t>
      </w:r>
      <w:r>
        <w:rPr>
          <w:rFonts w:hint="eastAsia" w:ascii="宋体" w:hAnsi="宋体"/>
          <w:color w:val="auto"/>
          <w:szCs w:val="21"/>
        </w:rPr>
        <w:t>投标文件</w:t>
      </w:r>
      <w:r>
        <w:rPr>
          <w:rFonts w:ascii="宋体" w:hAnsi="宋体"/>
          <w:color w:val="auto"/>
          <w:szCs w:val="21"/>
        </w:rPr>
        <w:t>规定和本合同约定的货物，甲方有权拒绝接收并要求乙方另行发货，乙方另行发出货物后未在本条第1款约定的时间内</w:t>
      </w:r>
      <w:r>
        <w:rPr>
          <w:rFonts w:ascii="宋体" w:hAnsi="宋体"/>
          <w:color w:val="auto"/>
          <w:szCs w:val="21"/>
          <w:u w:val="single"/>
        </w:rPr>
        <w:t>完成安装调试</w:t>
      </w:r>
      <w:r>
        <w:rPr>
          <w:rFonts w:ascii="宋体" w:hAnsi="宋体"/>
          <w:color w:val="auto"/>
          <w:szCs w:val="21"/>
        </w:rPr>
        <w:t>的，</w:t>
      </w:r>
      <w:r>
        <w:rPr>
          <w:rFonts w:hint="eastAsia" w:ascii="宋体" w:hAnsi="宋体"/>
          <w:color w:val="auto"/>
          <w:szCs w:val="21"/>
        </w:rPr>
        <w:t>应按本合同约定承担逾期的违约责任</w:t>
      </w:r>
      <w:r>
        <w:rPr>
          <w:rFonts w:ascii="宋体" w:hAnsi="宋体"/>
          <w:color w:val="auto"/>
          <w:szCs w:val="21"/>
        </w:rPr>
        <w:t>。</w:t>
      </w:r>
    </w:p>
    <w:p>
      <w:pPr>
        <w:snapToGrid w:val="0"/>
        <w:spacing w:line="400" w:lineRule="exact"/>
        <w:ind w:firstLine="420" w:firstLineChars="200"/>
        <w:rPr>
          <w:rFonts w:hint="eastAsia" w:ascii="宋体" w:hAnsi="宋体"/>
          <w:color w:val="auto"/>
          <w:szCs w:val="21"/>
        </w:rPr>
      </w:pPr>
      <w:r>
        <w:rPr>
          <w:rFonts w:ascii="宋体" w:hAnsi="宋体"/>
          <w:color w:val="auto"/>
          <w:szCs w:val="21"/>
        </w:rPr>
        <w:t>3.乙方应将所提供货物的装箱清单、用户手册、原厂保修卡、随机资料、工具和备品、备件等交付给甲方，如有缺失应在</w:t>
      </w:r>
      <w:r>
        <w:rPr>
          <w:rFonts w:ascii="宋体" w:hAnsi="宋体"/>
          <w:color w:val="auto"/>
          <w:szCs w:val="21"/>
          <w:u w:val="single"/>
        </w:rPr>
        <w:t>完成安装调试</w:t>
      </w:r>
      <w:r>
        <w:rPr>
          <w:rFonts w:ascii="宋体" w:hAnsi="宋体"/>
          <w:color w:val="auto"/>
          <w:szCs w:val="21"/>
        </w:rPr>
        <w:t>之前补齐，乙方不能补齐的，按验收不合格处理。</w:t>
      </w:r>
    </w:p>
    <w:p>
      <w:pPr>
        <w:snapToGrid w:val="0"/>
        <w:spacing w:line="360" w:lineRule="exact"/>
        <w:ind w:firstLine="420" w:firstLineChars="200"/>
        <w:rPr>
          <w:rFonts w:hint="eastAsia" w:ascii="宋体" w:hAnsi="宋体"/>
          <w:color w:val="auto"/>
          <w:szCs w:val="21"/>
        </w:rPr>
      </w:pPr>
      <w:r>
        <w:rPr>
          <w:rFonts w:ascii="宋体" w:hAnsi="宋体"/>
          <w:color w:val="auto"/>
          <w:szCs w:val="21"/>
        </w:rPr>
        <w:t>4.</w:t>
      </w:r>
      <w:r>
        <w:rPr>
          <w:rFonts w:hint="eastAsia" w:ascii="宋体" w:hAnsi="宋体"/>
          <w:color w:val="auto"/>
          <w:szCs w:val="21"/>
        </w:rPr>
        <w:t>甲方应当在全部有形产品完成调试、全部软件系统产品完成全功能运行后，根据本合同附件（验收方案）启动验收流程。验收流程应包括不少于15日的试运行期，试运行期内，乙方应保证货物运行稳定，功能、性能及技术参数持续满足本合同及招标文件的要求。如因甲方原因暂时不能调试、全功能试运行的货物，经双方签字确认后可延期组织验收。验收合格后由甲、乙双方签署货物验收合格单（加盖甲方公章方为有效），甲、乙双方各执一份</w:t>
      </w:r>
      <w:r>
        <w:rPr>
          <w:rFonts w:ascii="宋体" w:hAnsi="宋体"/>
          <w:color w:val="auto"/>
          <w:szCs w:val="21"/>
        </w:rPr>
        <w:t>。</w:t>
      </w:r>
    </w:p>
    <w:p>
      <w:pPr>
        <w:snapToGrid w:val="0"/>
        <w:spacing w:line="360" w:lineRule="exact"/>
        <w:ind w:firstLine="420" w:firstLineChars="200"/>
        <w:rPr>
          <w:rFonts w:hint="eastAsia" w:ascii="宋体" w:hAnsi="宋体"/>
          <w:color w:val="auto"/>
          <w:szCs w:val="21"/>
        </w:rPr>
      </w:pPr>
      <w:r>
        <w:rPr>
          <w:rFonts w:ascii="宋体" w:hAnsi="宋体"/>
          <w:color w:val="auto"/>
          <w:szCs w:val="21"/>
        </w:rPr>
        <w:t>5.</w:t>
      </w:r>
      <w:r>
        <w:rPr>
          <w:rFonts w:hint="eastAsia" w:ascii="宋体" w:hAnsi="宋体"/>
          <w:color w:val="auto"/>
          <w:szCs w:val="21"/>
        </w:rPr>
        <w:t>验收时，对于采购需求中以“≥”、“可触及”、“真实”等定性或范围描述的指标，验收依据应以国家标准、行业标准优先；若无上述标准，则以双方共同确认的样品、产品说明书、官方宣传彩页或第三方检测报告为准。</w:t>
      </w:r>
      <w:r>
        <w:rPr>
          <w:rFonts w:ascii="宋体" w:hAnsi="宋体"/>
          <w:color w:val="auto"/>
          <w:szCs w:val="21"/>
        </w:rPr>
        <w:t>甲方委托第三方组织的验收项目，其验收时间以该项目验收方案确定的验收时间为准，验收结果以该项目验收报告结论为准。在验收过程中发现乙方有违约情形的，甲方有权暂不支付已到达支付条件的货款，待乙方违约问题解决后再行办理货款结算。</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6.软件系统产品的交付验收需额外满足：试运行期间需确保软件无重大故障、数据传输安全稳定，且功能模块、操作流程、数据兼容性、终端适配性等完全符合招标文件及投标文件约定标准；乙方需同步交付软件合法有效的使用授权证明文件、完整的部署手册、操作指南、维护手册、案例库及相关技术资料，确保甲方可正常行使永久使用权；甲方组织验收时，将对软件的功能实现、性能表现、数据安全性等进行专项测试，测试合格后方可认定为验收合格，若软件存在功能缺失、性能不达标、技术资料不全或未满足使用权相关约定等问题，按验收不合格处理，乙方需在甲方指定期限内完成整改，逾期未整改合格的，按本合同约定承担逾期的违约责任。</w:t>
      </w:r>
    </w:p>
    <w:p>
      <w:pPr>
        <w:snapToGrid w:val="0"/>
        <w:spacing w:line="400" w:lineRule="exact"/>
        <w:ind w:firstLine="422" w:firstLineChars="200"/>
        <w:rPr>
          <w:rFonts w:hint="eastAsia" w:ascii="宋体" w:hAnsi="宋体"/>
          <w:b/>
          <w:bCs/>
          <w:color w:val="auto"/>
          <w:szCs w:val="21"/>
        </w:rPr>
      </w:pPr>
      <w:r>
        <w:rPr>
          <w:rFonts w:ascii="宋体" w:hAnsi="宋体"/>
          <w:b/>
          <w:bCs/>
          <w:color w:val="auto"/>
          <w:szCs w:val="21"/>
        </w:rPr>
        <w:t>第六条　安装和培训</w:t>
      </w:r>
    </w:p>
    <w:p>
      <w:pPr>
        <w:snapToGrid w:val="0"/>
        <w:spacing w:line="400" w:lineRule="exact"/>
        <w:ind w:firstLine="420" w:firstLineChars="200"/>
        <w:rPr>
          <w:rFonts w:hint="eastAsia" w:ascii="宋体" w:hAnsi="宋体"/>
          <w:color w:val="auto"/>
          <w:szCs w:val="21"/>
        </w:rPr>
      </w:pPr>
      <w:r>
        <w:rPr>
          <w:rFonts w:ascii="宋体" w:hAnsi="宋体"/>
          <w:color w:val="auto"/>
          <w:szCs w:val="21"/>
        </w:rPr>
        <w:t>1.甲方应提供必要安装条件（如场地、电源、水源等）。</w:t>
      </w:r>
    </w:p>
    <w:p>
      <w:pPr>
        <w:snapToGrid w:val="0"/>
        <w:spacing w:line="400" w:lineRule="exact"/>
        <w:ind w:firstLine="420" w:firstLineChars="200"/>
        <w:rPr>
          <w:rFonts w:hint="eastAsia" w:ascii="宋体" w:hAnsi="宋体"/>
          <w:color w:val="auto"/>
          <w:szCs w:val="21"/>
          <w:u w:val="single"/>
        </w:rPr>
      </w:pPr>
      <w:r>
        <w:rPr>
          <w:rFonts w:ascii="宋体" w:hAnsi="宋体"/>
          <w:color w:val="auto"/>
          <w:szCs w:val="21"/>
        </w:rPr>
        <w:t>2.乙方负责甲方有关人员的培训。培训时间、地点：</w:t>
      </w:r>
      <w:r>
        <w:rPr>
          <w:rFonts w:ascii="宋体" w:hAnsi="宋体"/>
          <w:color w:val="auto"/>
          <w:szCs w:val="21"/>
          <w:u w:val="single"/>
        </w:rPr>
        <w:t xml:space="preserve"> 由甲方决定。</w:t>
      </w:r>
    </w:p>
    <w:p>
      <w:pPr>
        <w:snapToGrid w:val="0"/>
        <w:spacing w:line="400" w:lineRule="exact"/>
        <w:ind w:firstLine="422" w:firstLineChars="200"/>
        <w:rPr>
          <w:rFonts w:hint="eastAsia" w:ascii="宋体" w:hAnsi="宋体"/>
          <w:b/>
          <w:bCs/>
          <w:color w:val="auto"/>
          <w:szCs w:val="21"/>
        </w:rPr>
      </w:pPr>
      <w:r>
        <w:rPr>
          <w:rFonts w:ascii="宋体" w:hAnsi="宋体"/>
          <w:b/>
          <w:bCs/>
          <w:color w:val="auto"/>
          <w:szCs w:val="21"/>
        </w:rPr>
        <w:t>第七条  售后服务</w:t>
      </w:r>
      <w:r>
        <w:rPr>
          <w:rFonts w:ascii="宋体" w:hAnsi="宋体"/>
          <w:color w:val="auto"/>
          <w:szCs w:val="21"/>
        </w:rPr>
        <w:t>、质量保证期</w:t>
      </w:r>
    </w:p>
    <w:p>
      <w:pPr>
        <w:snapToGrid w:val="0"/>
        <w:spacing w:line="400" w:lineRule="exact"/>
        <w:ind w:firstLine="420" w:firstLineChars="200"/>
        <w:rPr>
          <w:rFonts w:hint="eastAsia" w:ascii="宋体" w:hAnsi="宋体"/>
          <w:color w:val="auto"/>
          <w:szCs w:val="21"/>
        </w:rPr>
      </w:pPr>
      <w:r>
        <w:rPr>
          <w:rFonts w:ascii="宋体" w:hAnsi="宋体"/>
          <w:color w:val="auto"/>
          <w:szCs w:val="21"/>
        </w:rPr>
        <w:t>1.乙方应按照国家有关法律法规和“三包”规定提供售后服务。</w:t>
      </w:r>
    </w:p>
    <w:p>
      <w:pPr>
        <w:snapToGrid w:val="0"/>
        <w:spacing w:line="360" w:lineRule="exact"/>
        <w:ind w:firstLine="420" w:firstLineChars="200"/>
        <w:rPr>
          <w:rFonts w:hint="eastAsia" w:ascii="宋体" w:hAnsi="宋体"/>
          <w:color w:val="auto"/>
        </w:rPr>
      </w:pPr>
      <w:r>
        <w:rPr>
          <w:rFonts w:ascii="宋体" w:hAnsi="宋体"/>
          <w:color w:val="auto"/>
          <w:szCs w:val="21"/>
        </w:rPr>
        <w:t>2.货物质量保证期：</w:t>
      </w:r>
      <w:r>
        <w:rPr>
          <w:rFonts w:ascii="宋体" w:hAnsi="宋体"/>
          <w:color w:val="auto"/>
          <w:szCs w:val="21"/>
          <w:u w:val="single"/>
        </w:rPr>
        <w:t>除“技术需求及要求”中另有约定外，其余货物按国家有关产品“三包”规定执行“三包”。</w:t>
      </w:r>
      <w:r>
        <w:rPr>
          <w:rFonts w:ascii="宋体" w:hAnsi="宋体"/>
          <w:color w:val="auto"/>
        </w:rPr>
        <w:t>货物的质量保证期自验收合格之日起计</w:t>
      </w:r>
      <w:r>
        <w:rPr>
          <w:rFonts w:ascii="宋体" w:hAnsi="宋体"/>
          <w:color w:val="auto"/>
          <w:u w:val="single"/>
        </w:rPr>
        <w:t>不应少于1年；若相关货物生产商、销售商所承诺的</w:t>
      </w:r>
      <w:r>
        <w:rPr>
          <w:rFonts w:ascii="宋体" w:hAnsi="宋体"/>
          <w:color w:val="auto"/>
        </w:rPr>
        <w:t>质量保证期</w:t>
      </w:r>
      <w:r>
        <w:rPr>
          <w:rFonts w:ascii="宋体" w:hAnsi="宋体"/>
          <w:color w:val="auto"/>
          <w:u w:val="single"/>
        </w:rPr>
        <w:t>超过1年的，该等货物的</w:t>
      </w:r>
      <w:r>
        <w:rPr>
          <w:rFonts w:ascii="宋体" w:hAnsi="宋体"/>
          <w:color w:val="auto"/>
        </w:rPr>
        <w:t>质量保证期以</w:t>
      </w:r>
      <w:r>
        <w:rPr>
          <w:rFonts w:ascii="宋体" w:hAnsi="宋体"/>
          <w:color w:val="auto"/>
          <w:u w:val="single"/>
        </w:rPr>
        <w:t>生产商、销售商承诺的</w:t>
      </w:r>
      <w:r>
        <w:rPr>
          <w:rFonts w:ascii="宋体" w:hAnsi="宋体"/>
          <w:color w:val="auto"/>
        </w:rPr>
        <w:t>质量保证期</w:t>
      </w:r>
      <w:r>
        <w:rPr>
          <w:rFonts w:ascii="宋体" w:hAnsi="宋体"/>
          <w:color w:val="auto"/>
          <w:u w:val="single"/>
        </w:rPr>
        <w:t>为准</w:t>
      </w:r>
      <w:r>
        <w:rPr>
          <w:rFonts w:ascii="宋体" w:hAnsi="宋体"/>
          <w:color w:val="auto"/>
        </w:rPr>
        <w:t>。</w:t>
      </w:r>
    </w:p>
    <w:p>
      <w:pPr>
        <w:snapToGrid w:val="0"/>
        <w:spacing w:line="360" w:lineRule="exact"/>
        <w:ind w:firstLine="420" w:firstLineChars="200"/>
        <w:rPr>
          <w:rFonts w:hint="eastAsia" w:ascii="宋体" w:hAnsi="宋体"/>
          <w:color w:val="auto"/>
          <w:szCs w:val="21"/>
          <w:u w:val="single"/>
        </w:rPr>
      </w:pPr>
      <w:r>
        <w:rPr>
          <w:rFonts w:ascii="宋体" w:hAnsi="宋体"/>
          <w:color w:val="auto"/>
          <w:szCs w:val="21"/>
        </w:rPr>
        <w:t>3.乙方提供的服务承诺和售后服务及质量保证期责任等其它具体约定事项。（见合同附件）</w:t>
      </w:r>
    </w:p>
    <w:p>
      <w:pPr>
        <w:snapToGrid w:val="0"/>
        <w:spacing w:line="400" w:lineRule="exact"/>
        <w:ind w:firstLine="422" w:firstLineChars="200"/>
        <w:rPr>
          <w:rFonts w:hint="eastAsia" w:ascii="宋体" w:hAnsi="宋体"/>
          <w:color w:val="auto"/>
          <w:szCs w:val="21"/>
        </w:rPr>
      </w:pPr>
      <w:r>
        <w:rPr>
          <w:rFonts w:ascii="宋体" w:hAnsi="宋体"/>
          <w:b/>
          <w:color w:val="auto"/>
          <w:szCs w:val="21"/>
        </w:rPr>
        <w:t>第八条　付款方式</w:t>
      </w:r>
    </w:p>
    <w:p>
      <w:pPr>
        <w:snapToGrid w:val="0"/>
        <w:spacing w:line="400" w:lineRule="exact"/>
        <w:ind w:firstLine="420" w:firstLineChars="200"/>
        <w:rPr>
          <w:rFonts w:hint="eastAsia" w:ascii="宋体" w:hAnsi="宋体"/>
          <w:color w:val="auto"/>
          <w:kern w:val="0"/>
          <w:szCs w:val="21"/>
        </w:rPr>
      </w:pPr>
      <w:r>
        <w:rPr>
          <w:rFonts w:ascii="宋体" w:hAnsi="宋体"/>
          <w:bCs/>
          <w:color w:val="auto"/>
          <w:kern w:val="0"/>
          <w:szCs w:val="21"/>
        </w:rPr>
        <w:t>1.</w:t>
      </w:r>
      <w:r>
        <w:rPr>
          <w:rFonts w:ascii="宋体" w:hAnsi="宋体"/>
          <w:color w:val="auto"/>
          <w:kern w:val="0"/>
          <w:szCs w:val="21"/>
        </w:rPr>
        <w:t>当采购数量与实际使用数量不一致时，乙方应根据实际使用量供货，合同的最终结算金额按实际使用量乘以成交单价进行计算，但是增加的金额不能超过原合同金额的10%。</w:t>
      </w:r>
    </w:p>
    <w:p>
      <w:pPr>
        <w:snapToGrid w:val="0"/>
        <w:spacing w:line="400" w:lineRule="exact"/>
        <w:ind w:firstLine="420" w:firstLineChars="200"/>
        <w:rPr>
          <w:rFonts w:hint="eastAsia" w:ascii="宋体" w:hAnsi="宋体"/>
          <w:color w:val="auto"/>
          <w:szCs w:val="21"/>
          <w:u w:val="single"/>
        </w:rPr>
      </w:pPr>
      <w:r>
        <w:rPr>
          <w:rFonts w:ascii="宋体" w:hAnsi="宋体"/>
          <w:color w:val="auto"/>
          <w:szCs w:val="21"/>
        </w:rPr>
        <w:t>2.资金性质：</w:t>
      </w:r>
      <w:r>
        <w:rPr>
          <w:rFonts w:ascii="宋体" w:hAnsi="宋体"/>
          <w:color w:val="auto"/>
          <w:szCs w:val="21"/>
          <w:u w:val="single"/>
        </w:rPr>
        <w:t xml:space="preserve">  财政性资金  </w:t>
      </w:r>
      <w:r>
        <w:rPr>
          <w:rFonts w:ascii="宋体" w:hAnsi="宋体"/>
          <w:color w:val="auto"/>
          <w:szCs w:val="21"/>
        </w:rPr>
        <w:t>。</w:t>
      </w:r>
    </w:p>
    <w:p>
      <w:pPr>
        <w:snapToGrid w:val="0"/>
        <w:spacing w:line="400" w:lineRule="exact"/>
        <w:ind w:firstLine="420" w:firstLineChars="200"/>
        <w:rPr>
          <w:rFonts w:hint="eastAsia" w:ascii="宋体" w:hAnsi="宋体"/>
          <w:color w:val="auto"/>
          <w:szCs w:val="21"/>
          <w:u w:val="single"/>
        </w:rPr>
      </w:pPr>
      <w:r>
        <w:rPr>
          <w:rFonts w:ascii="宋体" w:hAnsi="宋体"/>
          <w:color w:val="auto"/>
          <w:szCs w:val="21"/>
        </w:rPr>
        <w:t>3.付款方式：</w:t>
      </w:r>
      <w:r>
        <w:rPr>
          <w:rFonts w:hint="eastAsia" w:ascii="宋体" w:hAnsi="宋体"/>
          <w:color w:val="auto"/>
          <w:szCs w:val="21"/>
        </w:rPr>
        <w:t>自签订合同之日起十个工作日内，甲方支付合同款总额30%作为预付款，货物交付并验收合格，乙方提供相应金额真实、合法、有效的正式发票后，甲方十个工作日内支付剩余款项。【乙方应提供货款全额的发票（货物采购须开具增值税专用发票）】。</w:t>
      </w:r>
    </w:p>
    <w:p>
      <w:pPr>
        <w:snapToGrid w:val="0"/>
        <w:spacing w:line="400" w:lineRule="exact"/>
        <w:ind w:firstLine="422" w:firstLineChars="200"/>
        <w:rPr>
          <w:rFonts w:hint="eastAsia" w:ascii="宋体" w:hAnsi="宋体"/>
          <w:color w:val="auto"/>
          <w:szCs w:val="21"/>
        </w:rPr>
      </w:pPr>
      <w:r>
        <w:rPr>
          <w:rFonts w:ascii="宋体" w:hAnsi="宋体"/>
          <w:b/>
          <w:color w:val="auto"/>
          <w:szCs w:val="21"/>
        </w:rPr>
        <w:t>第九条　履约保证金：</w:t>
      </w:r>
      <w:r>
        <w:rPr>
          <w:rFonts w:ascii="宋体" w:hAnsi="宋体"/>
          <w:bCs/>
          <w:color w:val="auto"/>
          <w:szCs w:val="21"/>
          <w:u w:val="single"/>
        </w:rPr>
        <w:t xml:space="preserve">   /   。</w:t>
      </w:r>
    </w:p>
    <w:p>
      <w:pPr>
        <w:snapToGrid w:val="0"/>
        <w:spacing w:line="420" w:lineRule="exact"/>
        <w:ind w:firstLine="422" w:firstLineChars="200"/>
        <w:rPr>
          <w:rFonts w:hint="eastAsia" w:ascii="宋体" w:hAnsi="宋体"/>
          <w:b/>
          <w:bCs/>
          <w:color w:val="auto"/>
          <w:szCs w:val="21"/>
        </w:rPr>
      </w:pPr>
      <w:r>
        <w:rPr>
          <w:rFonts w:ascii="宋体" w:hAnsi="宋体"/>
          <w:b/>
          <w:bCs/>
          <w:color w:val="auto"/>
          <w:szCs w:val="21"/>
        </w:rPr>
        <w:t>第十条</w:t>
      </w:r>
      <w:r>
        <w:rPr>
          <w:rFonts w:ascii="宋体" w:hAnsi="宋体"/>
          <w:b/>
          <w:color w:val="auto"/>
          <w:szCs w:val="21"/>
        </w:rPr>
        <w:t>　</w:t>
      </w:r>
      <w:r>
        <w:rPr>
          <w:rFonts w:ascii="宋体" w:hAnsi="宋体"/>
          <w:b/>
          <w:bCs/>
          <w:color w:val="auto"/>
          <w:szCs w:val="21"/>
        </w:rPr>
        <w:t>税费本合同执行中相关的一切税费均由乙方负担。</w:t>
      </w:r>
    </w:p>
    <w:p>
      <w:pPr>
        <w:snapToGrid w:val="0"/>
        <w:spacing w:line="420" w:lineRule="exact"/>
        <w:ind w:firstLine="422" w:firstLineChars="200"/>
        <w:rPr>
          <w:rFonts w:hint="eastAsia" w:ascii="宋体" w:hAnsi="宋体"/>
          <w:b/>
          <w:bCs/>
          <w:color w:val="auto"/>
          <w:szCs w:val="21"/>
        </w:rPr>
      </w:pPr>
      <w:r>
        <w:rPr>
          <w:rFonts w:ascii="宋体" w:hAnsi="宋体"/>
          <w:b/>
          <w:bCs/>
          <w:color w:val="auto"/>
          <w:szCs w:val="21"/>
        </w:rPr>
        <w:t>第十一条</w:t>
      </w:r>
      <w:r>
        <w:rPr>
          <w:rFonts w:ascii="宋体" w:hAnsi="宋体"/>
          <w:b/>
          <w:color w:val="auto"/>
          <w:szCs w:val="21"/>
        </w:rPr>
        <w:t>　</w:t>
      </w:r>
      <w:r>
        <w:rPr>
          <w:rFonts w:ascii="宋体" w:hAnsi="宋体"/>
          <w:b/>
          <w:bCs/>
          <w:color w:val="auto"/>
          <w:szCs w:val="21"/>
        </w:rPr>
        <w:t>质量保证及售后服务</w:t>
      </w:r>
    </w:p>
    <w:p>
      <w:pPr>
        <w:snapToGrid w:val="0"/>
        <w:spacing w:line="360" w:lineRule="exact"/>
        <w:ind w:firstLine="420" w:firstLineChars="200"/>
        <w:rPr>
          <w:rFonts w:hint="eastAsia" w:ascii="宋体" w:hAnsi="宋体"/>
          <w:color w:val="auto"/>
          <w:szCs w:val="21"/>
        </w:rPr>
      </w:pPr>
      <w:r>
        <w:rPr>
          <w:rFonts w:ascii="宋体" w:hAnsi="宋体"/>
          <w:color w:val="auto"/>
          <w:szCs w:val="21"/>
        </w:rPr>
        <w:t>1.乙方应按</w:t>
      </w:r>
      <w:r>
        <w:rPr>
          <w:rFonts w:hint="eastAsia" w:ascii="宋体" w:hAnsi="宋体"/>
          <w:color w:val="auto"/>
          <w:szCs w:val="21"/>
        </w:rPr>
        <w:t>招标文件</w:t>
      </w:r>
      <w:r>
        <w:rPr>
          <w:rFonts w:ascii="宋体" w:hAnsi="宋体"/>
          <w:color w:val="auto"/>
          <w:szCs w:val="21"/>
        </w:rPr>
        <w:t>规定的货物性能、技术要求、质量标准向甲方提供未经使用的全新产品。乙方提供货物的质量保证期按交货最终验收合格之日起计</w:t>
      </w:r>
      <w:r>
        <w:rPr>
          <w:rFonts w:hint="eastAsia" w:ascii="宋体" w:hAnsi="宋体"/>
          <w:color w:val="auto"/>
          <w:u w:val="single"/>
        </w:rPr>
        <w:t xml:space="preserve">      </w:t>
      </w:r>
      <w:r>
        <w:rPr>
          <w:rFonts w:ascii="宋体" w:hAnsi="宋体"/>
          <w:color w:val="auto"/>
          <w:u w:val="single"/>
        </w:rPr>
        <w:t>年</w:t>
      </w:r>
      <w:r>
        <w:rPr>
          <w:rFonts w:ascii="宋体" w:hAnsi="宋体"/>
          <w:color w:val="auto"/>
          <w:szCs w:val="21"/>
          <w:u w:val="single"/>
        </w:rPr>
        <w:t>，部分货物有更长的质量保证期限的按照利于甲方的质量保证期限计算质保时间）</w:t>
      </w:r>
      <w:r>
        <w:rPr>
          <w:rFonts w:ascii="宋体" w:hAnsi="宋体"/>
          <w:color w:val="auto"/>
          <w:szCs w:val="21"/>
        </w:rPr>
        <w:t>。如因甲方原因暂时不能安装、调试视同验收合格的货物，质量保证期从安装、调试完成之日起计算，或者从项目整体最终验收之日起质量保证期满后再延长1年，以先到时间为准。在保证期内因货物本身的质量问题发生故障，乙方应负责免费修理和更换零部件。对达不到技术要求者，根据实际情况，经双方协商，可按以下办法处理：</w:t>
      </w:r>
    </w:p>
    <w:p>
      <w:pPr>
        <w:snapToGrid w:val="0"/>
        <w:spacing w:line="360" w:lineRule="exact"/>
        <w:ind w:firstLine="420" w:firstLineChars="200"/>
        <w:rPr>
          <w:rFonts w:hint="eastAsia" w:ascii="宋体" w:hAnsi="宋体"/>
          <w:color w:val="auto"/>
          <w:szCs w:val="21"/>
        </w:rPr>
      </w:pPr>
      <w:r>
        <w:rPr>
          <w:rFonts w:ascii="宋体" w:hAnsi="宋体"/>
          <w:color w:val="auto"/>
          <w:szCs w:val="21"/>
        </w:rPr>
        <w:t>（1）更换：由乙方承担所发生的全部费用。</w:t>
      </w:r>
    </w:p>
    <w:p>
      <w:pPr>
        <w:snapToGrid w:val="0"/>
        <w:spacing w:line="360" w:lineRule="exact"/>
        <w:ind w:firstLine="420" w:firstLineChars="200"/>
        <w:rPr>
          <w:rFonts w:hint="eastAsia" w:ascii="宋体" w:hAnsi="宋体"/>
          <w:color w:val="auto"/>
          <w:szCs w:val="21"/>
        </w:rPr>
      </w:pPr>
      <w:r>
        <w:rPr>
          <w:rFonts w:ascii="宋体" w:hAnsi="宋体"/>
          <w:color w:val="auto"/>
          <w:szCs w:val="21"/>
        </w:rPr>
        <w:t>（2）贬值处理：由甲乙双方合议定价，无法合议定价的以评估价进行认定，因评估而产生的费用由乙方承担，乙方不愿承担评估费的则甲方有权按照本条第三款规定的退货处理。</w:t>
      </w:r>
    </w:p>
    <w:p>
      <w:pPr>
        <w:snapToGrid w:val="0"/>
        <w:spacing w:line="360" w:lineRule="exact"/>
        <w:ind w:firstLine="420" w:firstLineChars="200"/>
        <w:rPr>
          <w:rFonts w:hint="eastAsia" w:ascii="宋体" w:hAnsi="宋体"/>
          <w:color w:val="auto"/>
          <w:szCs w:val="21"/>
        </w:rPr>
      </w:pPr>
      <w:r>
        <w:rPr>
          <w:rFonts w:ascii="宋体" w:hAnsi="宋体"/>
          <w:color w:val="auto"/>
          <w:szCs w:val="21"/>
        </w:rPr>
        <w:t>（3）退货处理：乙方应退还甲方支付的合同款，同时应承担该货物的直接费用（人工、运输、保险、检验、货款利息及银行手续费等）。</w:t>
      </w:r>
    </w:p>
    <w:p>
      <w:pPr>
        <w:snapToGrid w:val="0"/>
        <w:spacing w:before="120" w:after="120" w:line="360" w:lineRule="exact"/>
        <w:ind w:firstLine="420" w:firstLineChars="200"/>
        <w:rPr>
          <w:rFonts w:hint="eastAsia" w:ascii="宋体" w:hAnsi="宋体"/>
          <w:color w:val="auto"/>
          <w:szCs w:val="21"/>
        </w:rPr>
      </w:pPr>
      <w:r>
        <w:rPr>
          <w:rFonts w:ascii="宋体" w:hAnsi="宋体"/>
          <w:color w:val="auto"/>
          <w:szCs w:val="21"/>
        </w:rPr>
        <w:t>2.如在使用过程中发生质量问题，乙方在接到甲方通知后</w:t>
      </w:r>
      <w:r>
        <w:rPr>
          <w:rFonts w:ascii="宋体" w:hAnsi="宋体"/>
          <w:color w:val="auto"/>
          <w:szCs w:val="21"/>
          <w:u w:val="single"/>
        </w:rPr>
        <w:t xml:space="preserve">    小时内</w:t>
      </w:r>
      <w:r>
        <w:rPr>
          <w:rFonts w:ascii="宋体" w:hAnsi="宋体"/>
          <w:color w:val="auto"/>
          <w:szCs w:val="21"/>
        </w:rPr>
        <w:t>作出响应，</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小时内</w:t>
      </w:r>
      <w:r>
        <w:rPr>
          <w:rFonts w:ascii="宋体" w:hAnsi="宋体"/>
          <w:color w:val="auto"/>
          <w:szCs w:val="21"/>
        </w:rPr>
        <w:t>到达现场进行处理。（按乙方投标响应时间执行）</w:t>
      </w:r>
    </w:p>
    <w:p>
      <w:pPr>
        <w:snapToGrid w:val="0"/>
        <w:spacing w:before="120" w:after="120" w:line="360" w:lineRule="exact"/>
        <w:ind w:firstLine="420" w:firstLineChars="200"/>
        <w:rPr>
          <w:rFonts w:hint="eastAsia" w:ascii="宋体" w:hAnsi="宋体"/>
          <w:color w:val="auto"/>
          <w:szCs w:val="21"/>
        </w:rPr>
      </w:pPr>
      <w:r>
        <w:rPr>
          <w:rFonts w:ascii="宋体" w:hAnsi="宋体"/>
          <w:color w:val="auto"/>
          <w:szCs w:val="21"/>
        </w:rPr>
        <w:t>3.在质量保证期内，乙方应对货物出现的质量及安全问题负责处理解决并承担一切费用，否则甲方可以另行委托第三方维修，由此产生的费用由乙方承担。</w:t>
      </w:r>
    </w:p>
    <w:p>
      <w:pPr>
        <w:snapToGrid w:val="0"/>
        <w:spacing w:before="120" w:after="120" w:line="360" w:lineRule="exact"/>
        <w:ind w:firstLine="420" w:firstLineChars="200"/>
        <w:rPr>
          <w:rFonts w:hint="eastAsia" w:ascii="宋体" w:hAnsi="宋体"/>
          <w:color w:val="auto"/>
          <w:szCs w:val="21"/>
        </w:rPr>
      </w:pPr>
      <w:r>
        <w:rPr>
          <w:rFonts w:ascii="宋体" w:hAnsi="宋体"/>
          <w:color w:val="auto"/>
          <w:szCs w:val="21"/>
        </w:rPr>
        <w:t>4.上述的货物因人为因素出现的故障不在免费保修范围内。超过质量保证期的机器设备的维修或人为因素引发的故障由乙方按投标文件承诺执行，乙方不得拒绝维修。</w:t>
      </w:r>
    </w:p>
    <w:p>
      <w:pPr>
        <w:snapToGrid w:val="0"/>
        <w:spacing w:before="120" w:after="120" w:line="360" w:lineRule="exact"/>
        <w:ind w:firstLine="420" w:firstLineChars="200"/>
        <w:rPr>
          <w:rFonts w:hint="eastAsia" w:ascii="宋体" w:hAnsi="宋体"/>
          <w:color w:val="auto"/>
          <w:szCs w:val="21"/>
        </w:rPr>
      </w:pPr>
      <w:r>
        <w:rPr>
          <w:rFonts w:hint="eastAsia" w:ascii="宋体" w:hAnsi="宋体"/>
          <w:color w:val="auto"/>
          <w:szCs w:val="21"/>
        </w:rPr>
        <w:t>5.针对软件系统产品，乙方额外承诺：软件系统产品质量保证期自验收合格之日起计算，不少于 1 年（若生产商、销售商承诺期限更长则从其承诺）；质保期内提供 7×24 小时技术支持，2 小时内响应、2 小时内现场（远程无法解决时）故障排除，免费提供运行故障修复、基础功能升级及安全漏洞修复（不含定制化开发、重大版本迭代），不得非法收集、存储甲方及使用者个人信息、教学数据等敏感信息，保障软件运行稳定性与数据安全性。软件使用权归甲方永久所有，乙方及原生产厂家不得设置使用年限限制或擅自收回、限制使用权限；软件须为合法合规正版成品，无盗版、侵权组件，涉及第三方授权组件的，乙方已获完整授权且相关费用包含在合同价款中。质保期后提供终身优惠维保，常规维保（含系统维护、基础升级、资源更新等）费用单次或按年收取，最高不超过对应产品成交金额的 8%，定制化开发、重大功能升级等超出常规维保范畴的需求由双方另行协商；乙方须履行现场培训义务，确保甲方使用人员熟练掌握软件全部功能，每季度至少开展 1 次强化培训，相关培训费用已包含在投标报价中。</w:t>
      </w:r>
    </w:p>
    <w:p>
      <w:pPr>
        <w:snapToGrid w:val="0"/>
        <w:spacing w:line="420" w:lineRule="exact"/>
        <w:ind w:firstLine="422" w:firstLineChars="200"/>
        <w:rPr>
          <w:rFonts w:hint="eastAsia" w:ascii="宋体" w:hAnsi="宋体"/>
          <w:b/>
          <w:bCs/>
          <w:color w:val="auto"/>
          <w:szCs w:val="20"/>
        </w:rPr>
      </w:pPr>
      <w:r>
        <w:rPr>
          <w:rFonts w:ascii="宋体" w:hAnsi="宋体"/>
          <w:b/>
          <w:bCs/>
          <w:color w:val="auto"/>
          <w:szCs w:val="20"/>
        </w:rPr>
        <w:t>第十二条</w:t>
      </w:r>
      <w:r>
        <w:rPr>
          <w:rFonts w:ascii="宋体" w:hAnsi="宋体"/>
          <w:b/>
          <w:color w:val="auto"/>
          <w:szCs w:val="20"/>
        </w:rPr>
        <w:t>　</w:t>
      </w:r>
      <w:r>
        <w:rPr>
          <w:rFonts w:ascii="宋体" w:hAnsi="宋体"/>
          <w:b/>
          <w:bCs/>
          <w:color w:val="auto"/>
          <w:szCs w:val="20"/>
        </w:rPr>
        <w:t>调试和验收</w:t>
      </w:r>
    </w:p>
    <w:p>
      <w:pPr>
        <w:snapToGrid w:val="0"/>
        <w:spacing w:line="420" w:lineRule="exact"/>
        <w:ind w:firstLine="420" w:firstLineChars="200"/>
        <w:jc w:val="left"/>
        <w:rPr>
          <w:rFonts w:hint="eastAsia" w:ascii="宋体" w:hAnsi="宋体"/>
          <w:color w:val="auto"/>
          <w:szCs w:val="20"/>
        </w:rPr>
      </w:pPr>
      <w:r>
        <w:rPr>
          <w:rFonts w:ascii="宋体" w:hAnsi="宋体"/>
          <w:color w:val="auto"/>
          <w:szCs w:val="20"/>
        </w:rPr>
        <w:t>1. 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420" w:lineRule="exact"/>
        <w:ind w:firstLine="420" w:firstLineChars="200"/>
        <w:rPr>
          <w:rFonts w:hint="eastAsia" w:ascii="宋体" w:hAnsi="宋体"/>
          <w:color w:val="auto"/>
          <w:szCs w:val="20"/>
        </w:rPr>
      </w:pPr>
      <w:r>
        <w:rPr>
          <w:rFonts w:ascii="宋体" w:hAnsi="宋体"/>
          <w:color w:val="auto"/>
          <w:szCs w:val="20"/>
        </w:rPr>
        <w:t>2. 乙方交货前应对产品作出全面检查和对验收文件进行整理，并列出清单，作为甲方收货验收和使用的技术条件依据，检验的结果应随货物交甲方。</w:t>
      </w:r>
    </w:p>
    <w:p>
      <w:pPr>
        <w:snapToGrid w:val="0"/>
        <w:spacing w:line="420" w:lineRule="exact"/>
        <w:ind w:firstLine="420" w:firstLineChars="200"/>
        <w:rPr>
          <w:rFonts w:hint="eastAsia" w:ascii="宋体" w:hAnsi="宋体"/>
          <w:color w:val="auto"/>
          <w:szCs w:val="20"/>
          <w:u w:val="single"/>
        </w:rPr>
      </w:pPr>
      <w:r>
        <w:rPr>
          <w:rFonts w:ascii="宋体" w:hAnsi="宋体"/>
          <w:color w:val="auto"/>
          <w:szCs w:val="20"/>
        </w:rPr>
        <w:t>3. 甲方对乙方提供的货物在使用前进行调试时，乙方需负责安装并培训甲方的使用操作人员，并协助甲方一起调试，直到符合技术要求，甲方才做最终验收。</w:t>
      </w:r>
    </w:p>
    <w:p>
      <w:pPr>
        <w:snapToGrid w:val="0"/>
        <w:spacing w:line="420" w:lineRule="exact"/>
        <w:ind w:firstLine="420" w:firstLineChars="200"/>
        <w:rPr>
          <w:rFonts w:hint="eastAsia" w:ascii="宋体" w:hAnsi="宋体"/>
          <w:color w:val="auto"/>
          <w:szCs w:val="20"/>
        </w:rPr>
      </w:pPr>
      <w:r>
        <w:rPr>
          <w:rFonts w:ascii="宋体" w:hAnsi="宋体"/>
          <w:color w:val="auto"/>
          <w:szCs w:val="20"/>
        </w:rPr>
        <w:t>4. 对技术复杂的货物，甲方应请国家认可的专业检测机构参与初步验收及最终验收，并由其出具质量检测报告。</w:t>
      </w:r>
    </w:p>
    <w:p>
      <w:pPr>
        <w:snapToGrid w:val="0"/>
        <w:spacing w:line="420" w:lineRule="exact"/>
        <w:ind w:firstLine="420" w:firstLineChars="200"/>
        <w:rPr>
          <w:rFonts w:hint="eastAsia" w:ascii="宋体" w:hAnsi="宋体"/>
          <w:color w:val="auto"/>
          <w:szCs w:val="20"/>
        </w:rPr>
      </w:pPr>
      <w:r>
        <w:rPr>
          <w:rFonts w:ascii="宋体" w:hAnsi="宋体"/>
          <w:color w:val="auto"/>
          <w:szCs w:val="20"/>
        </w:rPr>
        <w:t>5. 验收时乙方必须在现场，验收完毕后作出验收结果报告；验收费用由乙方负责。</w:t>
      </w:r>
    </w:p>
    <w:p>
      <w:pPr>
        <w:snapToGrid w:val="0"/>
        <w:spacing w:line="420" w:lineRule="exact"/>
        <w:ind w:firstLine="420" w:firstLineChars="200"/>
        <w:rPr>
          <w:rFonts w:hint="eastAsia" w:ascii="宋体" w:hAnsi="宋体"/>
          <w:color w:val="auto"/>
          <w:szCs w:val="20"/>
        </w:rPr>
      </w:pPr>
      <w:r>
        <w:rPr>
          <w:rFonts w:hint="eastAsia" w:ascii="宋体" w:hAnsi="宋体"/>
          <w:color w:val="auto"/>
          <w:szCs w:val="20"/>
        </w:rPr>
        <w:t>6.针对软件系统产品的要求；软件系统产品全功能试运行期间需确保无重大故障、数据传输安全稳定，且所有承诺功能均能正常实现。验收时，乙方需配合甲方对软件的功能完整性、操作流畅性、数据兼容性、终端适配性等进行专项测试，同时提交合法有效的软件使用授权证明文件、完整的部署手册、操作指南、维护手册及相关技术资料；若测试过程中发现功能缺失、性能不达标或技术资料不全等问题，乙方需在甲方指定期限内完成整改，直至符合验收标准，整改期间产生的相关费用由乙方承担。验收时乙方技术人员必须到场，配合解决验收过程中出现的问题，验收相关费用（含专项测试费）均由乙方承担。</w:t>
      </w:r>
    </w:p>
    <w:p>
      <w:pPr>
        <w:snapToGrid w:val="0"/>
        <w:spacing w:line="420" w:lineRule="exact"/>
        <w:ind w:firstLine="422" w:firstLineChars="200"/>
        <w:rPr>
          <w:rFonts w:hint="eastAsia" w:ascii="宋体" w:hAnsi="宋体"/>
          <w:b/>
          <w:bCs/>
          <w:color w:val="auto"/>
          <w:szCs w:val="20"/>
        </w:rPr>
      </w:pPr>
      <w:r>
        <w:rPr>
          <w:rFonts w:ascii="宋体" w:hAnsi="宋体"/>
          <w:b/>
          <w:bCs/>
          <w:color w:val="auto"/>
          <w:szCs w:val="20"/>
        </w:rPr>
        <w:t>第十三条</w:t>
      </w:r>
      <w:r>
        <w:rPr>
          <w:rFonts w:ascii="宋体" w:hAnsi="宋体"/>
          <w:b/>
          <w:color w:val="auto"/>
          <w:szCs w:val="20"/>
        </w:rPr>
        <w:t>　</w:t>
      </w:r>
      <w:r>
        <w:rPr>
          <w:rFonts w:ascii="宋体" w:hAnsi="宋体"/>
          <w:b/>
          <w:bCs/>
          <w:color w:val="auto"/>
          <w:szCs w:val="20"/>
        </w:rPr>
        <w:t>货物包装、发运及运输</w:t>
      </w:r>
    </w:p>
    <w:p>
      <w:pPr>
        <w:snapToGrid w:val="0"/>
        <w:spacing w:line="420" w:lineRule="exact"/>
        <w:ind w:firstLine="420" w:firstLineChars="200"/>
        <w:rPr>
          <w:rFonts w:hint="eastAsia" w:ascii="宋体" w:hAnsi="宋体"/>
          <w:color w:val="auto"/>
          <w:szCs w:val="20"/>
        </w:rPr>
      </w:pPr>
      <w:r>
        <w:rPr>
          <w:rFonts w:ascii="宋体" w:hAnsi="宋体"/>
          <w:color w:val="auto"/>
          <w:szCs w:val="20"/>
        </w:rPr>
        <w:t>1. 乙方应在货物发运前对其进行满足运输距离、防潮、防震、防锈和防破损装卸等要求包装，以</w:t>
      </w:r>
    </w:p>
    <w:p>
      <w:pPr>
        <w:snapToGrid w:val="0"/>
        <w:spacing w:line="420" w:lineRule="exact"/>
        <w:ind w:firstLine="420" w:firstLineChars="200"/>
        <w:rPr>
          <w:rFonts w:hint="eastAsia" w:ascii="宋体" w:hAnsi="宋体"/>
          <w:color w:val="auto"/>
          <w:szCs w:val="20"/>
        </w:rPr>
      </w:pPr>
      <w:r>
        <w:rPr>
          <w:rFonts w:ascii="宋体" w:hAnsi="宋体"/>
          <w:color w:val="auto"/>
          <w:szCs w:val="20"/>
        </w:rPr>
        <w:t>保证货物安全运达甲方指定地点。</w:t>
      </w:r>
    </w:p>
    <w:p>
      <w:pPr>
        <w:snapToGrid w:val="0"/>
        <w:spacing w:line="420" w:lineRule="exact"/>
        <w:ind w:firstLine="420" w:firstLineChars="200"/>
        <w:rPr>
          <w:rFonts w:hint="eastAsia" w:ascii="宋体" w:hAnsi="宋体"/>
          <w:color w:val="auto"/>
          <w:szCs w:val="20"/>
        </w:rPr>
      </w:pPr>
      <w:r>
        <w:rPr>
          <w:rFonts w:ascii="宋体" w:hAnsi="宋体"/>
          <w:color w:val="auto"/>
          <w:szCs w:val="20"/>
        </w:rPr>
        <w:t>2. 使用说明书、质量检验证明书、随配附件和工具以及清单一并附于货物内。</w:t>
      </w:r>
    </w:p>
    <w:p>
      <w:pPr>
        <w:snapToGrid w:val="0"/>
        <w:spacing w:line="420" w:lineRule="exact"/>
        <w:ind w:firstLine="420" w:firstLineChars="200"/>
        <w:rPr>
          <w:rFonts w:hint="eastAsia" w:ascii="宋体" w:hAnsi="宋体"/>
          <w:color w:val="auto"/>
          <w:szCs w:val="20"/>
        </w:rPr>
      </w:pPr>
      <w:r>
        <w:rPr>
          <w:rFonts w:ascii="宋体" w:hAnsi="宋体"/>
          <w:color w:val="auto"/>
          <w:szCs w:val="20"/>
        </w:rPr>
        <w:t>3. 乙方在货物发运手续办理完毕后二十四小时内或货到甲方四十八小时前通知甲方，以准备接货。</w:t>
      </w:r>
    </w:p>
    <w:p>
      <w:pPr>
        <w:snapToGrid w:val="0"/>
        <w:spacing w:line="420" w:lineRule="exact"/>
        <w:ind w:firstLine="420" w:firstLineChars="200"/>
        <w:rPr>
          <w:rFonts w:hint="eastAsia" w:ascii="宋体" w:hAnsi="宋体"/>
          <w:color w:val="auto"/>
          <w:szCs w:val="20"/>
        </w:rPr>
      </w:pPr>
      <w:r>
        <w:rPr>
          <w:rFonts w:ascii="宋体" w:hAnsi="宋体"/>
          <w:color w:val="auto"/>
          <w:szCs w:val="20"/>
        </w:rPr>
        <w:t>4. 货物在交付甲方前发生的风险均由乙方负责。</w:t>
      </w:r>
    </w:p>
    <w:p>
      <w:pPr>
        <w:snapToGrid w:val="0"/>
        <w:spacing w:line="420" w:lineRule="exact"/>
        <w:ind w:firstLine="420" w:firstLineChars="200"/>
        <w:rPr>
          <w:rFonts w:hint="eastAsia" w:ascii="宋体" w:hAnsi="宋体"/>
          <w:color w:val="auto"/>
          <w:spacing w:val="-8"/>
          <w:szCs w:val="20"/>
        </w:rPr>
      </w:pPr>
      <w:r>
        <w:rPr>
          <w:rFonts w:ascii="宋体" w:hAnsi="宋体"/>
          <w:color w:val="auto"/>
          <w:szCs w:val="20"/>
        </w:rPr>
        <w:t>5. 货</w:t>
      </w:r>
      <w:r>
        <w:rPr>
          <w:rFonts w:ascii="宋体" w:hAnsi="宋体"/>
          <w:color w:val="auto"/>
          <w:spacing w:val="-8"/>
          <w:szCs w:val="20"/>
        </w:rPr>
        <w:t>物在规定的交付期限内由乙方送达甲方指定的地点视为交付，乙方同时需通知甲方货物已送达。</w:t>
      </w:r>
    </w:p>
    <w:p>
      <w:pPr>
        <w:snapToGrid w:val="0"/>
        <w:spacing w:line="420" w:lineRule="exact"/>
        <w:ind w:firstLine="422" w:firstLineChars="200"/>
        <w:rPr>
          <w:rFonts w:hint="eastAsia" w:ascii="宋体" w:hAnsi="宋体"/>
          <w:b/>
          <w:bCs/>
          <w:color w:val="auto"/>
          <w:szCs w:val="21"/>
        </w:rPr>
      </w:pPr>
      <w:r>
        <w:rPr>
          <w:rFonts w:ascii="宋体" w:hAnsi="宋体"/>
          <w:b/>
          <w:bCs/>
          <w:color w:val="auto"/>
          <w:szCs w:val="21"/>
        </w:rPr>
        <w:t>第十四条　违约责任</w:t>
      </w:r>
    </w:p>
    <w:p>
      <w:pPr>
        <w:snapToGrid w:val="0"/>
        <w:spacing w:line="360" w:lineRule="exact"/>
        <w:ind w:firstLine="420" w:firstLineChars="200"/>
        <w:rPr>
          <w:rFonts w:hint="eastAsia" w:ascii="宋体" w:hAnsi="宋体"/>
          <w:color w:val="auto"/>
          <w:szCs w:val="21"/>
        </w:rPr>
      </w:pPr>
      <w:r>
        <w:rPr>
          <w:rFonts w:ascii="宋体" w:hAnsi="宋体"/>
          <w:color w:val="auto"/>
          <w:szCs w:val="21"/>
        </w:rPr>
        <w:t>1.乙方所提供的货物规格、技术标准、材料等质量不合格的且更换不及时的按逾期交货处罚；因质量问题甲方不同意接收的或特殊情况甲方同意接收的，乙方应向甲方支付违约</w:t>
      </w:r>
      <w:r>
        <w:rPr>
          <w:rFonts w:hint="eastAsia" w:ascii="宋体" w:hAnsi="宋体"/>
          <w:color w:val="auto"/>
          <w:szCs w:val="21"/>
        </w:rPr>
        <w:t>部分产品</w:t>
      </w:r>
      <w:r>
        <w:rPr>
          <w:rFonts w:ascii="宋体" w:hAnsi="宋体"/>
          <w:color w:val="auto"/>
          <w:szCs w:val="21"/>
        </w:rPr>
        <w:t>货款</w:t>
      </w:r>
      <w:r>
        <w:rPr>
          <w:rFonts w:hint="eastAsia" w:ascii="宋体" w:hAnsi="宋体"/>
          <w:color w:val="auto"/>
          <w:szCs w:val="21"/>
        </w:rPr>
        <w:t>金</w:t>
      </w:r>
      <w:r>
        <w:rPr>
          <w:rFonts w:ascii="宋体" w:hAnsi="宋体"/>
          <w:color w:val="auto"/>
          <w:szCs w:val="21"/>
        </w:rPr>
        <w:t>额</w:t>
      </w:r>
      <w:r>
        <w:rPr>
          <w:rFonts w:ascii="宋体" w:hAnsi="宋体"/>
          <w:color w:val="auto"/>
          <w:szCs w:val="21"/>
          <w:u w:val="single"/>
        </w:rPr>
        <w:t>5%</w:t>
      </w:r>
      <w:r>
        <w:rPr>
          <w:rFonts w:ascii="宋体" w:hAnsi="宋体"/>
          <w:color w:val="auto"/>
          <w:szCs w:val="21"/>
        </w:rPr>
        <w:t>违约金并赔偿甲方经济损失</w:t>
      </w:r>
      <w:r>
        <w:rPr>
          <w:rFonts w:hint="eastAsia" w:ascii="宋体" w:hAnsi="宋体"/>
          <w:color w:val="auto"/>
          <w:szCs w:val="21"/>
          <w:lang w:eastAsia="zh-CN"/>
        </w:rPr>
        <w:t>，逾期超过</w:t>
      </w:r>
      <w:r>
        <w:rPr>
          <w:rFonts w:hint="eastAsia" w:ascii="宋体" w:hAnsi="宋体"/>
          <w:color w:val="auto"/>
          <w:szCs w:val="21"/>
          <w:lang w:val="en-US" w:eastAsia="zh-CN"/>
        </w:rPr>
        <w:t>15</w:t>
      </w:r>
      <w:r>
        <w:rPr>
          <w:rFonts w:hint="eastAsia" w:ascii="宋体" w:hAnsi="宋体"/>
          <w:color w:val="auto"/>
          <w:szCs w:val="21"/>
          <w:lang w:eastAsia="zh-CN"/>
        </w:rPr>
        <w:t>天的，甲方有权单方解除合同</w:t>
      </w:r>
      <w:r>
        <w:rPr>
          <w:rFonts w:ascii="宋体" w:hAnsi="宋体"/>
          <w:color w:val="auto"/>
          <w:szCs w:val="21"/>
        </w:rPr>
        <w:t>。</w:t>
      </w:r>
    </w:p>
    <w:p>
      <w:pPr>
        <w:snapToGrid w:val="0"/>
        <w:spacing w:line="420" w:lineRule="exact"/>
        <w:ind w:firstLine="420" w:firstLineChars="200"/>
        <w:rPr>
          <w:rFonts w:hint="eastAsia" w:ascii="宋体" w:hAnsi="宋体"/>
          <w:color w:val="auto"/>
        </w:rPr>
      </w:pPr>
      <w:r>
        <w:rPr>
          <w:rFonts w:hint="eastAsia" w:ascii="宋体" w:hAnsi="宋体"/>
          <w:color w:val="auto"/>
        </w:rPr>
        <w:t>2.乙方提供的货物如侵犯了第三方合法权益而引发的任何纠纷或诉讼，均由乙方负责交涉并承担全部责任，如甲方因此向第三方承担了相关责任有权向乙方追偿全部损失。若因此导致甲方经济损失的，乙方应当予以赔偿，赔偿范围包括但不限于实际发生的经济损失以及甲方为解决纠纷、维护自身合法权益而产生的律师费、诉讼费、保全费、财产保全保函费、差旅费等。</w:t>
      </w:r>
    </w:p>
    <w:p>
      <w:pPr>
        <w:snapToGrid w:val="0"/>
        <w:spacing w:line="420" w:lineRule="exact"/>
        <w:ind w:firstLine="420" w:firstLineChars="200"/>
        <w:rPr>
          <w:rFonts w:hint="eastAsia" w:ascii="宋体" w:hAnsi="宋体"/>
          <w:color w:val="auto"/>
        </w:rPr>
      </w:pPr>
      <w:r>
        <w:rPr>
          <w:rFonts w:hint="eastAsia" w:ascii="宋体" w:hAnsi="宋体"/>
          <w:color w:val="auto"/>
        </w:rPr>
        <w:t>3.因包装、运输引起的货物损坏，按质量不合格处罚，甲方有权要求乙方重新交付合格的货物，乙方重新交付合格货物后完成安装、全功能试运行的期限不变。若乙方不能重新交付合格货物或重新交付的货物的质量仍不合格的，甲方有权部分解除合同即不再接受乙方供应所涉货物且不向乙方支付相应货款，并要求乙方向甲方支付违约部分产品货款金额 5%的违约金。</w:t>
      </w:r>
    </w:p>
    <w:p>
      <w:pPr>
        <w:snapToGrid w:val="0"/>
        <w:spacing w:line="420" w:lineRule="exact"/>
        <w:ind w:firstLine="420" w:firstLineChars="200"/>
        <w:rPr>
          <w:rFonts w:hint="eastAsia" w:ascii="宋体" w:hAnsi="宋体"/>
          <w:color w:val="auto"/>
        </w:rPr>
      </w:pPr>
      <w:r>
        <w:rPr>
          <w:rFonts w:hint="eastAsia" w:ascii="宋体" w:hAnsi="宋体"/>
          <w:color w:val="auto"/>
        </w:rPr>
        <w:t>4.甲方无故延期接收货物、乙方逾期完成有形产品调试或软件系统产品全功能试运行的，每天向对方支付逾期部分产品货款万分之三的的逾期违约金。甲方逾期支付货款的，每天向乙方支付应付未付金额万分之三的逾期违约金（若甲方因特殊情形无法按时支付货款的，经乙方同意可以延期付款，乙方同意延期付款的不视为甲方违约）。</w:t>
      </w:r>
    </w:p>
    <w:p>
      <w:pPr>
        <w:snapToGrid w:val="0"/>
        <w:spacing w:line="420" w:lineRule="exact"/>
        <w:ind w:firstLine="420" w:firstLineChars="200"/>
        <w:rPr>
          <w:rFonts w:hint="eastAsia" w:ascii="宋体" w:hAnsi="宋体"/>
          <w:color w:val="auto"/>
        </w:rPr>
      </w:pPr>
      <w:r>
        <w:rPr>
          <w:rFonts w:hint="eastAsia" w:ascii="宋体" w:hAnsi="宋体"/>
          <w:color w:val="auto"/>
        </w:rPr>
        <w:t>一方应向对方支付的逾期违约金累计不得超过违约部分产品货款金额的5%。乙方逾期完成有形产品调试或软件系统产品全功能试运行超过 17 天，或甲方逾期支付应付货款超过 17 天的，违约方承担因此给对方造成经济损失。</w:t>
      </w:r>
    </w:p>
    <w:p>
      <w:pPr>
        <w:snapToGrid w:val="0"/>
        <w:spacing w:line="420" w:lineRule="exact"/>
        <w:ind w:firstLine="420" w:firstLineChars="200"/>
        <w:rPr>
          <w:rFonts w:hint="eastAsia" w:ascii="宋体" w:hAnsi="宋体"/>
          <w:color w:val="auto"/>
        </w:rPr>
      </w:pPr>
      <w:r>
        <w:rPr>
          <w:rFonts w:hint="eastAsia" w:ascii="宋体" w:hAnsi="宋体"/>
          <w:color w:val="auto"/>
        </w:rPr>
        <w:t>若因为乙方违约造成甲方解除合同的，乙方应在合同解除之日起五日内全额无息退还甲方已付款项；若因为甲方违约造成乙方解除合同的，乙方有权收回已交付的货物，运费由甲方承担，应在合同解除之日起五日内全额无息退还甲方已付款项。</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5. 货物最终验收结果为不合格且乙方无法通过更换、重做等补救措施达到合格标准的，视为乙方根本性违约，</w:t>
      </w:r>
      <w:r>
        <w:rPr>
          <w:rFonts w:hint="eastAsia" w:ascii="宋体" w:hAnsi="宋体"/>
          <w:color w:val="auto"/>
          <w:szCs w:val="21"/>
          <w:lang w:val="en-US" w:eastAsia="zh-CN"/>
        </w:rPr>
        <w:t>并承担因此产生的一切费用；</w:t>
      </w:r>
      <w:r>
        <w:rPr>
          <w:rFonts w:hint="eastAsia" w:ascii="宋体" w:hAnsi="宋体"/>
          <w:color w:val="auto"/>
          <w:szCs w:val="21"/>
        </w:rPr>
        <w:t>甲方有权解除本合同，乙方应退还甲方已付全部费用并向甲方支付合同总价20%的违约金，乙方支付的违约金不足以弥补甲方损失的，甲方仍有权要求乙方赔偿实际损失。</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6.乙方未按本合同和投标文件中规定的服务承诺提供售后服务的</w:t>
      </w:r>
      <w:r>
        <w:rPr>
          <w:rFonts w:hint="eastAsia" w:ascii="宋体" w:hAnsi="宋体"/>
          <w:color w:val="auto"/>
          <w:szCs w:val="21"/>
          <w:lang w:val="en-US" w:eastAsia="zh-CN"/>
        </w:rPr>
        <w:t>或</w:t>
      </w:r>
      <w:r>
        <w:rPr>
          <w:rFonts w:hint="eastAsia" w:ascii="宋体" w:hAnsi="宋体" w:eastAsiaTheme="minorEastAsia" w:cstheme="minorBidi"/>
          <w:i w:val="0"/>
          <w:iCs w:val="0"/>
          <w:caps w:val="0"/>
          <w:color w:val="auto"/>
          <w:spacing w:val="0"/>
          <w:sz w:val="21"/>
          <w:szCs w:val="21"/>
          <w:shd w:val="clear" w:fill="auto"/>
        </w:rPr>
        <w:t>未经甲方书面同意，乙方不得擅自更换投标文件中承诺的项目经理及主要技术负责人</w:t>
      </w:r>
      <w:r>
        <w:rPr>
          <w:rFonts w:hint="eastAsia" w:ascii="宋体" w:hAnsi="宋体"/>
          <w:color w:val="auto"/>
          <w:szCs w:val="21"/>
        </w:rPr>
        <w:t>，乙方应按本合同总金额5%向甲方支付违约金。</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7.乙方提供的货物在质量保证期内，因设计、工艺或材料的缺陷和其它质量原因造成的问题，由乙方负责修复，如无法修复的乙方负责更换全新货物，或者按合同价向甲方赔偿经济损失，乙方维修的费用及更换全新货物的费用由乙方自行承担，甲方不支付任何费用。</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8.其它违约行为按违约货款额5%收取违约金并赔偿经济损失。</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9.乙方擅自将合同义务转给第三方履行的，一经发现，甲方有权解除合同并要求乙方支付合同金额的20%的违约金，并赔偿给甲方造成的损失。</w:t>
      </w:r>
    </w:p>
    <w:p>
      <w:pPr>
        <w:snapToGrid w:val="0"/>
        <w:spacing w:line="360" w:lineRule="exact"/>
        <w:ind w:firstLine="420" w:firstLineChars="200"/>
        <w:rPr>
          <w:rFonts w:hint="eastAsia" w:ascii="宋体" w:hAnsi="宋体"/>
          <w:color w:val="auto"/>
          <w:szCs w:val="21"/>
        </w:rPr>
      </w:pPr>
      <w:r>
        <w:rPr>
          <w:rFonts w:hint="eastAsia" w:ascii="宋体" w:hAnsi="宋体"/>
          <w:color w:val="auto"/>
          <w:szCs w:val="21"/>
        </w:rPr>
        <w:t>10.乙方自甲方通知有形产品调试、软件系统产品全功能试运行之日起十日内未配合甲方开始相关工作的，乙方应按本合同总价的 5%向甲方支付违约金，情形严重的，甲方有权拒绝支付货款、委托第三方协助调试、全功能试运行，甲方有权要求乙方承担甲方因此向第三方支付的的费用。</w:t>
      </w:r>
    </w:p>
    <w:p>
      <w:pPr>
        <w:snapToGrid w:val="0"/>
        <w:spacing w:line="360" w:lineRule="exact"/>
        <w:ind w:firstLine="420" w:firstLineChars="200"/>
        <w:rPr>
          <w:rFonts w:hint="eastAsia" w:ascii="宋体" w:hAnsi="宋体"/>
          <w:strike/>
          <w:color w:val="auto"/>
        </w:rPr>
      </w:pPr>
      <w:r>
        <w:rPr>
          <w:rFonts w:hint="eastAsia" w:ascii="宋体" w:hAnsi="宋体"/>
          <w:color w:val="auto"/>
          <w:szCs w:val="21"/>
        </w:rPr>
        <w:t>本合同约定的违约责任或经济损失包括但不限于实际造成的经济损失、为实现债权而支出的全部合理费用，包括但不限于律师费、诉讼费、保全费、保全保函费、执行费、鉴定费、公证费、评估费、差旅费等。</w:t>
      </w:r>
    </w:p>
    <w:p>
      <w:pPr>
        <w:snapToGrid w:val="0"/>
        <w:spacing w:line="420" w:lineRule="exact"/>
        <w:ind w:firstLine="422" w:firstLineChars="200"/>
        <w:rPr>
          <w:rFonts w:hint="eastAsia" w:ascii="宋体" w:hAnsi="宋体"/>
          <w:b/>
          <w:bCs/>
          <w:color w:val="auto"/>
          <w:szCs w:val="20"/>
        </w:rPr>
      </w:pPr>
      <w:r>
        <w:rPr>
          <w:rFonts w:ascii="宋体" w:hAnsi="宋体"/>
          <w:b/>
          <w:bCs/>
          <w:color w:val="auto"/>
          <w:szCs w:val="20"/>
        </w:rPr>
        <w:t>第十五条</w:t>
      </w:r>
      <w:r>
        <w:rPr>
          <w:rFonts w:ascii="宋体" w:hAnsi="宋体"/>
          <w:b/>
          <w:color w:val="auto"/>
          <w:szCs w:val="20"/>
        </w:rPr>
        <w:t>　</w:t>
      </w:r>
      <w:r>
        <w:rPr>
          <w:rFonts w:ascii="宋体" w:hAnsi="宋体"/>
          <w:b/>
          <w:bCs/>
          <w:color w:val="auto"/>
          <w:szCs w:val="20"/>
        </w:rPr>
        <w:t>不可抗力事件处理</w:t>
      </w:r>
    </w:p>
    <w:p>
      <w:pPr>
        <w:snapToGrid w:val="0"/>
        <w:spacing w:line="420" w:lineRule="exact"/>
        <w:ind w:firstLine="420" w:firstLineChars="200"/>
        <w:rPr>
          <w:rFonts w:hint="eastAsia" w:ascii="宋体" w:hAnsi="宋体"/>
          <w:color w:val="auto"/>
          <w:szCs w:val="20"/>
        </w:rPr>
      </w:pPr>
      <w:r>
        <w:rPr>
          <w:rFonts w:ascii="宋体" w:hAnsi="宋体"/>
          <w:color w:val="auto"/>
          <w:szCs w:val="20"/>
        </w:rPr>
        <w:t>1. 在合同有效期内，任何一方因不可抗力事件导致不能履行合同，则合同履行期可延长，其延长期与不可抗力影响期相同。</w:t>
      </w:r>
    </w:p>
    <w:p>
      <w:pPr>
        <w:snapToGrid w:val="0"/>
        <w:spacing w:line="420" w:lineRule="exact"/>
        <w:ind w:firstLine="420" w:firstLineChars="200"/>
        <w:rPr>
          <w:rFonts w:hint="eastAsia" w:ascii="宋体" w:hAnsi="宋体"/>
          <w:color w:val="auto"/>
          <w:szCs w:val="20"/>
        </w:rPr>
      </w:pPr>
      <w:r>
        <w:rPr>
          <w:rFonts w:ascii="宋体" w:hAnsi="宋体"/>
          <w:color w:val="auto"/>
          <w:szCs w:val="20"/>
        </w:rPr>
        <w:t>2. 不可抗力事件发生后，应立即通知对方，并寄送有关权威机构出具的证明。</w:t>
      </w:r>
    </w:p>
    <w:p>
      <w:pPr>
        <w:snapToGrid w:val="0"/>
        <w:spacing w:line="420" w:lineRule="exact"/>
        <w:ind w:firstLine="420" w:firstLineChars="200"/>
        <w:rPr>
          <w:rFonts w:hint="eastAsia" w:ascii="宋体" w:hAnsi="宋体"/>
          <w:color w:val="auto"/>
          <w:szCs w:val="20"/>
        </w:rPr>
      </w:pPr>
      <w:r>
        <w:rPr>
          <w:rFonts w:ascii="宋体" w:hAnsi="宋体"/>
          <w:color w:val="auto"/>
          <w:szCs w:val="20"/>
        </w:rPr>
        <w:t>3. 不可抗力事件延续一百二十天以上，双方应通过友好协商，确定是否继续履行合同。</w:t>
      </w:r>
    </w:p>
    <w:p>
      <w:pPr>
        <w:snapToGrid w:val="0"/>
        <w:spacing w:line="420" w:lineRule="exact"/>
        <w:ind w:firstLine="422" w:firstLineChars="200"/>
        <w:rPr>
          <w:rFonts w:hint="eastAsia" w:ascii="宋体" w:hAnsi="宋体"/>
          <w:color w:val="auto"/>
          <w:szCs w:val="21"/>
        </w:rPr>
      </w:pPr>
      <w:r>
        <w:rPr>
          <w:rFonts w:ascii="宋体" w:hAnsi="宋体"/>
          <w:b/>
          <w:bCs/>
          <w:color w:val="auto"/>
          <w:szCs w:val="21"/>
        </w:rPr>
        <w:t>第十六条</w:t>
      </w:r>
      <w:r>
        <w:rPr>
          <w:rFonts w:ascii="宋体" w:hAnsi="宋体"/>
          <w:b/>
          <w:color w:val="auto"/>
          <w:szCs w:val="21"/>
        </w:rPr>
        <w:t>　</w:t>
      </w:r>
      <w:r>
        <w:rPr>
          <w:rFonts w:ascii="宋体" w:hAnsi="宋体"/>
          <w:b/>
          <w:bCs/>
          <w:color w:val="auto"/>
          <w:szCs w:val="21"/>
        </w:rPr>
        <w:t>合同争议解决</w:t>
      </w:r>
    </w:p>
    <w:p>
      <w:pPr>
        <w:snapToGrid w:val="0"/>
        <w:spacing w:line="420" w:lineRule="exact"/>
        <w:ind w:firstLine="420" w:firstLineChars="200"/>
        <w:rPr>
          <w:rFonts w:hint="eastAsia" w:ascii="宋体" w:hAnsi="宋体"/>
          <w:color w:val="auto"/>
          <w:szCs w:val="21"/>
        </w:rPr>
      </w:pPr>
      <w:r>
        <w:rPr>
          <w:rFonts w:ascii="宋体" w:hAnsi="宋体"/>
          <w:color w:val="auto"/>
          <w:szCs w:val="21"/>
        </w:rPr>
        <w:t>1.因货物质量问题发生争议的，应邀请国家认可的质量检测机构对货物质量进行鉴定。货物符合标准的，鉴定费由甲方承担；货物不符合标准的，鉴定费由乙方承担。</w:t>
      </w:r>
    </w:p>
    <w:p>
      <w:pPr>
        <w:snapToGrid w:val="0"/>
        <w:spacing w:line="420" w:lineRule="exact"/>
        <w:ind w:firstLine="420" w:firstLineChars="200"/>
        <w:rPr>
          <w:rFonts w:hint="eastAsia" w:ascii="宋体" w:hAnsi="宋体"/>
          <w:color w:val="auto"/>
          <w:szCs w:val="21"/>
        </w:rPr>
      </w:pPr>
      <w:r>
        <w:rPr>
          <w:rFonts w:ascii="宋体" w:hAnsi="宋体"/>
          <w:color w:val="auto"/>
          <w:szCs w:val="21"/>
        </w:rPr>
        <w:t>2.因履行本合同引起的或与本合同有关的争议，甲乙双方应首先通过友好协商解决，如果协商不能解决，可向甲方所在地有管辖权的人民法院提起诉讼。</w:t>
      </w:r>
    </w:p>
    <w:p>
      <w:pPr>
        <w:snapToGrid w:val="0"/>
        <w:spacing w:line="420" w:lineRule="exact"/>
        <w:ind w:firstLine="420" w:firstLineChars="200"/>
        <w:rPr>
          <w:rFonts w:hint="eastAsia" w:ascii="宋体" w:hAnsi="宋体"/>
          <w:color w:val="auto"/>
          <w:szCs w:val="21"/>
        </w:rPr>
      </w:pPr>
      <w:r>
        <w:rPr>
          <w:rFonts w:ascii="宋体" w:hAnsi="宋体"/>
          <w:color w:val="auto"/>
          <w:szCs w:val="21"/>
        </w:rPr>
        <w:t>3.仲裁或诉讼期间，本合同继续履行。</w:t>
      </w:r>
    </w:p>
    <w:p>
      <w:pPr>
        <w:snapToGrid w:val="0"/>
        <w:spacing w:line="420" w:lineRule="exact"/>
        <w:ind w:firstLine="422" w:firstLineChars="200"/>
        <w:rPr>
          <w:rFonts w:hint="eastAsia" w:ascii="宋体" w:hAnsi="宋体"/>
          <w:b/>
          <w:bCs/>
          <w:color w:val="auto"/>
          <w:szCs w:val="20"/>
        </w:rPr>
      </w:pPr>
      <w:r>
        <w:rPr>
          <w:rFonts w:ascii="宋体" w:hAnsi="宋体"/>
          <w:b/>
          <w:bCs/>
          <w:color w:val="auto"/>
          <w:szCs w:val="20"/>
        </w:rPr>
        <w:t>第十七条</w:t>
      </w:r>
      <w:r>
        <w:rPr>
          <w:rFonts w:ascii="宋体" w:hAnsi="宋体"/>
          <w:b/>
          <w:color w:val="auto"/>
          <w:szCs w:val="20"/>
        </w:rPr>
        <w:t>　</w:t>
      </w:r>
      <w:r>
        <w:rPr>
          <w:rFonts w:ascii="宋体" w:hAnsi="宋体"/>
          <w:b/>
          <w:bCs/>
          <w:color w:val="auto"/>
          <w:szCs w:val="20"/>
        </w:rPr>
        <w:t>合同生效及其它</w:t>
      </w:r>
    </w:p>
    <w:p>
      <w:pPr>
        <w:snapToGrid w:val="0"/>
        <w:spacing w:line="420" w:lineRule="exact"/>
        <w:ind w:firstLine="420" w:firstLineChars="200"/>
        <w:rPr>
          <w:rFonts w:hint="eastAsia" w:ascii="宋体" w:hAnsi="宋体"/>
          <w:bCs/>
          <w:color w:val="auto"/>
          <w:szCs w:val="20"/>
        </w:rPr>
      </w:pPr>
      <w:r>
        <w:rPr>
          <w:rFonts w:ascii="宋体" w:hAnsi="宋体"/>
          <w:bCs/>
          <w:color w:val="auto"/>
          <w:szCs w:val="20"/>
        </w:rPr>
        <w:t>1．合同经双方法定代表人(负责人)或授权代表（委托代理人）签字并加盖单位公章后生效。</w:t>
      </w:r>
    </w:p>
    <w:p>
      <w:pPr>
        <w:snapToGrid w:val="0"/>
        <w:spacing w:line="420" w:lineRule="exact"/>
        <w:ind w:firstLine="420" w:firstLineChars="200"/>
        <w:rPr>
          <w:rFonts w:hint="eastAsia" w:ascii="宋体" w:hAnsi="宋体"/>
          <w:bCs/>
          <w:color w:val="auto"/>
          <w:szCs w:val="20"/>
        </w:rPr>
      </w:pPr>
      <w:r>
        <w:rPr>
          <w:rFonts w:ascii="宋体" w:hAnsi="宋体"/>
          <w:bCs/>
          <w:color w:val="auto"/>
          <w:szCs w:val="20"/>
        </w:rPr>
        <w:t>2．合同执行中涉及采购资金和采购内容修改或补充的，须经广西区财政厅政府采购监督管理处审批，并签书面补充协议报广西区财政厅政府采购监督管理处备案，方可作为主合同不可分割的一部分。</w:t>
      </w:r>
    </w:p>
    <w:p>
      <w:pPr>
        <w:snapToGrid w:val="0"/>
        <w:spacing w:line="420" w:lineRule="exact"/>
        <w:ind w:firstLine="420" w:firstLineChars="200"/>
        <w:rPr>
          <w:rFonts w:hint="eastAsia" w:ascii="宋体" w:hAnsi="宋体"/>
          <w:bCs/>
          <w:color w:val="auto"/>
          <w:szCs w:val="20"/>
        </w:rPr>
      </w:pPr>
      <w:r>
        <w:rPr>
          <w:rFonts w:ascii="宋体" w:hAnsi="宋体"/>
          <w:bCs/>
          <w:color w:val="auto"/>
          <w:szCs w:val="20"/>
        </w:rPr>
        <w:t>3．本合同未尽事宜，遵照</w:t>
      </w:r>
      <w:r>
        <w:rPr>
          <w:rFonts w:ascii="宋体" w:hAnsi="宋体"/>
          <w:color w:val="auto"/>
          <w:szCs w:val="20"/>
        </w:rPr>
        <w:t>《中华人民共和国民法典》</w:t>
      </w:r>
      <w:r>
        <w:rPr>
          <w:rFonts w:ascii="宋体" w:hAnsi="宋体"/>
          <w:bCs/>
          <w:color w:val="auto"/>
          <w:szCs w:val="20"/>
        </w:rPr>
        <w:t>有关条文执行。</w:t>
      </w:r>
    </w:p>
    <w:p>
      <w:pPr>
        <w:snapToGrid w:val="0"/>
        <w:spacing w:line="420" w:lineRule="exact"/>
        <w:ind w:firstLine="422" w:firstLineChars="200"/>
        <w:rPr>
          <w:rFonts w:hint="eastAsia" w:ascii="宋体" w:hAnsi="宋体"/>
          <w:b/>
          <w:bCs/>
          <w:color w:val="auto"/>
          <w:szCs w:val="21"/>
        </w:rPr>
      </w:pPr>
      <w:r>
        <w:rPr>
          <w:rFonts w:ascii="宋体" w:hAnsi="宋体"/>
          <w:b/>
          <w:bCs/>
          <w:color w:val="auto"/>
          <w:szCs w:val="21"/>
        </w:rPr>
        <w:t>第十八条　合同的变更、终止与转让</w:t>
      </w:r>
    </w:p>
    <w:p>
      <w:pPr>
        <w:snapToGrid w:val="0"/>
        <w:spacing w:line="420" w:lineRule="exact"/>
        <w:ind w:firstLine="420" w:firstLineChars="200"/>
        <w:rPr>
          <w:rFonts w:hint="eastAsia" w:ascii="宋体" w:hAnsi="宋体"/>
          <w:color w:val="auto"/>
          <w:szCs w:val="21"/>
        </w:rPr>
      </w:pPr>
      <w:r>
        <w:rPr>
          <w:rFonts w:ascii="宋体" w:hAnsi="宋体"/>
          <w:color w:val="auto"/>
          <w:szCs w:val="21"/>
        </w:rPr>
        <w:t>1．除《中华人民共和国政府采购法》第五十条规定的情形外，本合同一经签订，甲乙双方不得擅自变更、中止或终止。</w:t>
      </w:r>
    </w:p>
    <w:p>
      <w:pPr>
        <w:snapToGrid w:val="0"/>
        <w:spacing w:line="420" w:lineRule="exact"/>
        <w:ind w:firstLine="420" w:firstLineChars="200"/>
        <w:rPr>
          <w:rFonts w:hint="eastAsia" w:ascii="宋体" w:hAnsi="宋体"/>
          <w:b/>
          <w:bCs/>
          <w:color w:val="auto"/>
          <w:szCs w:val="20"/>
        </w:rPr>
      </w:pPr>
      <w:r>
        <w:rPr>
          <w:rFonts w:ascii="宋体" w:hAnsi="宋体"/>
          <w:color w:val="auto"/>
          <w:szCs w:val="20"/>
        </w:rPr>
        <w:t>2．乙方不得擅自转让（无进口资格的</w:t>
      </w:r>
      <w:r>
        <w:rPr>
          <w:rFonts w:hint="eastAsia" w:ascii="宋体" w:hAnsi="宋体"/>
          <w:color w:val="auto"/>
          <w:szCs w:val="20"/>
        </w:rPr>
        <w:t>投标人</w:t>
      </w:r>
      <w:r>
        <w:rPr>
          <w:rFonts w:ascii="宋体" w:hAnsi="宋体"/>
          <w:color w:val="auto"/>
          <w:szCs w:val="20"/>
        </w:rPr>
        <w:t>委托进口货物除外）其应履行的合同义务。</w:t>
      </w:r>
    </w:p>
    <w:p>
      <w:pPr>
        <w:snapToGrid w:val="0"/>
        <w:spacing w:line="360" w:lineRule="exact"/>
        <w:ind w:firstLine="438" w:firstLineChars="200"/>
        <w:rPr>
          <w:rFonts w:hint="eastAsia" w:ascii="宋体" w:hAnsi="宋体"/>
          <w:b/>
          <w:color w:val="auto"/>
          <w:spacing w:val="4"/>
          <w:szCs w:val="21"/>
        </w:rPr>
      </w:pPr>
      <w:r>
        <w:rPr>
          <w:rFonts w:ascii="宋体" w:hAnsi="宋体"/>
          <w:b/>
          <w:color w:val="auto"/>
          <w:spacing w:val="4"/>
          <w:szCs w:val="21"/>
        </w:rPr>
        <w:t>第十九条  签订本合同依据</w:t>
      </w:r>
    </w:p>
    <w:p>
      <w:pPr>
        <w:snapToGrid w:val="0"/>
        <w:spacing w:line="360" w:lineRule="exact"/>
        <w:ind w:firstLine="420" w:firstLineChars="200"/>
        <w:rPr>
          <w:rFonts w:hint="eastAsia" w:ascii="宋体" w:hAnsi="宋体"/>
          <w:color w:val="auto"/>
          <w:szCs w:val="21"/>
        </w:rPr>
      </w:pPr>
      <w:r>
        <w:rPr>
          <w:rFonts w:ascii="宋体" w:hAnsi="宋体"/>
          <w:color w:val="auto"/>
          <w:szCs w:val="21"/>
        </w:rPr>
        <w:t>1、招标文件</w:t>
      </w:r>
    </w:p>
    <w:p>
      <w:pPr>
        <w:snapToGrid w:val="0"/>
        <w:spacing w:line="360" w:lineRule="exact"/>
        <w:ind w:firstLine="420" w:firstLineChars="200"/>
        <w:rPr>
          <w:rFonts w:hint="eastAsia" w:ascii="宋体" w:hAnsi="宋体"/>
          <w:color w:val="auto"/>
          <w:szCs w:val="21"/>
        </w:rPr>
      </w:pPr>
      <w:r>
        <w:rPr>
          <w:rFonts w:ascii="宋体" w:hAnsi="宋体"/>
          <w:color w:val="auto"/>
          <w:szCs w:val="21"/>
        </w:rPr>
        <w:t>2、乙方投标文件</w:t>
      </w:r>
    </w:p>
    <w:p>
      <w:pPr>
        <w:snapToGrid w:val="0"/>
        <w:spacing w:line="360" w:lineRule="exact"/>
        <w:ind w:firstLine="420" w:firstLineChars="200"/>
        <w:rPr>
          <w:rFonts w:hint="eastAsia" w:ascii="宋体" w:hAnsi="宋体"/>
          <w:color w:val="auto"/>
          <w:szCs w:val="21"/>
        </w:rPr>
      </w:pPr>
      <w:r>
        <w:rPr>
          <w:rFonts w:ascii="宋体" w:hAnsi="宋体"/>
          <w:color w:val="auto"/>
          <w:szCs w:val="21"/>
        </w:rPr>
        <w:t>3、中标通知书</w:t>
      </w:r>
    </w:p>
    <w:p>
      <w:pPr>
        <w:snapToGrid w:val="0"/>
        <w:spacing w:line="360" w:lineRule="exact"/>
        <w:ind w:firstLine="420" w:firstLineChars="200"/>
        <w:rPr>
          <w:rFonts w:hint="eastAsia" w:ascii="宋体" w:hAnsi="宋体"/>
          <w:color w:val="auto"/>
          <w:szCs w:val="21"/>
          <w:u w:val="single"/>
        </w:rPr>
      </w:pPr>
      <w:r>
        <w:rPr>
          <w:rFonts w:ascii="宋体" w:hAnsi="宋体"/>
          <w:color w:val="auto"/>
          <w:szCs w:val="21"/>
        </w:rPr>
        <w:t>4、其他约定附件</w:t>
      </w:r>
    </w:p>
    <w:p>
      <w:pPr>
        <w:snapToGrid w:val="0"/>
        <w:spacing w:line="420" w:lineRule="exact"/>
        <w:ind w:firstLine="422" w:firstLineChars="200"/>
        <w:rPr>
          <w:rFonts w:hint="eastAsia" w:ascii="宋体" w:hAnsi="宋体"/>
          <w:color w:val="auto"/>
          <w:szCs w:val="21"/>
        </w:rPr>
      </w:pPr>
      <w:r>
        <w:rPr>
          <w:rFonts w:ascii="宋体" w:hAnsi="宋体"/>
          <w:b/>
          <w:bCs/>
          <w:color w:val="auto"/>
          <w:szCs w:val="21"/>
        </w:rPr>
        <w:t>第二十条　</w:t>
      </w:r>
      <w:r>
        <w:rPr>
          <w:rFonts w:ascii="宋体" w:hAnsi="宋体"/>
          <w:color w:val="auto"/>
          <w:szCs w:val="21"/>
        </w:rPr>
        <w:t>本合同一式伍份，具有同等法律效力，采购代理机构存档壹份，甲方执叁份，乙方执壹份。</w:t>
      </w:r>
    </w:p>
    <w:p>
      <w:pPr>
        <w:snapToGrid w:val="0"/>
        <w:spacing w:line="360" w:lineRule="auto"/>
        <w:ind w:left="-61" w:firstLine="514"/>
        <w:rPr>
          <w:rFonts w:hint="eastAsia" w:ascii="宋体" w:hAnsi="宋体" w:cs="宋体"/>
          <w:color w:val="auto"/>
          <w:szCs w:val="21"/>
        </w:rPr>
      </w:pPr>
      <w:r>
        <w:rPr>
          <w:rFonts w:hint="eastAsia" w:ascii="宋体" w:hAnsi="宋体" w:cs="宋体"/>
          <w:color w:val="auto"/>
          <w:szCs w:val="21"/>
        </w:rPr>
        <w:t>本合同甲乙双方签字盖章后生效。本合同自签订之日起2个工作日内，甲方应当将采购合同在广西壮族自治区财政厅指定的媒体上公告。</w:t>
      </w:r>
    </w:p>
    <w:tbl>
      <w:tblPr>
        <w:tblStyle w:val="26"/>
        <w:tblpPr w:leftFromText="180" w:rightFromText="180" w:vertAnchor="text" w:horzAnchor="page" w:tblpX="1171" w:tblpY="880"/>
        <w:tblOverlap w:val="never"/>
        <w:tblW w:w="983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929"/>
        <w:gridCol w:w="490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187" w:hRule="atLeast"/>
        </w:trPr>
        <w:tc>
          <w:tcPr>
            <w:tcW w:w="4929" w:type="dxa"/>
          </w:tcPr>
          <w:p>
            <w:pPr>
              <w:spacing w:line="360" w:lineRule="auto"/>
              <w:rPr>
                <w:color w:val="auto"/>
              </w:rPr>
            </w:pPr>
            <w:r>
              <w:rPr>
                <w:rFonts w:hint="eastAsia"/>
                <w:color w:val="auto"/>
              </w:rPr>
              <w:t>甲方（章）：</w:t>
            </w:r>
          </w:p>
          <w:p>
            <w:pPr>
              <w:spacing w:line="360" w:lineRule="auto"/>
              <w:ind w:firstLine="420" w:firstLineChars="200"/>
              <w:rPr>
                <w:color w:val="auto"/>
              </w:rPr>
            </w:pPr>
          </w:p>
          <w:p>
            <w:pPr>
              <w:spacing w:line="360" w:lineRule="auto"/>
              <w:ind w:firstLine="420" w:firstLineChars="200"/>
              <w:rPr>
                <w:color w:val="auto"/>
              </w:rPr>
            </w:pPr>
          </w:p>
          <w:p>
            <w:pPr>
              <w:spacing w:line="360" w:lineRule="auto"/>
              <w:ind w:firstLine="420" w:firstLineChars="200"/>
              <w:rPr>
                <w:color w:val="auto"/>
              </w:rPr>
            </w:pPr>
          </w:p>
          <w:p>
            <w:pPr>
              <w:spacing w:line="360" w:lineRule="auto"/>
              <w:ind w:firstLine="420" w:firstLineChars="200"/>
              <w:rPr>
                <w:color w:val="auto"/>
              </w:rPr>
            </w:pPr>
          </w:p>
          <w:p>
            <w:pPr>
              <w:spacing w:line="360" w:lineRule="auto"/>
              <w:ind w:firstLine="420" w:firstLineChars="200"/>
              <w:rPr>
                <w:color w:val="auto"/>
              </w:rPr>
            </w:pPr>
          </w:p>
          <w:p>
            <w:pPr>
              <w:spacing w:line="360" w:lineRule="auto"/>
              <w:rPr>
                <w:color w:val="auto"/>
              </w:rPr>
            </w:pPr>
            <w:r>
              <w:rPr>
                <w:rFonts w:hint="eastAsia"/>
                <w:color w:val="auto"/>
              </w:rPr>
              <w:t>签订日期：     年   月   日</w:t>
            </w:r>
          </w:p>
        </w:tc>
        <w:tc>
          <w:tcPr>
            <w:tcW w:w="4903" w:type="dxa"/>
          </w:tcPr>
          <w:p>
            <w:pPr>
              <w:spacing w:line="360" w:lineRule="auto"/>
              <w:rPr>
                <w:color w:val="auto"/>
              </w:rPr>
            </w:pPr>
            <w:r>
              <w:rPr>
                <w:rFonts w:hint="eastAsia"/>
                <w:color w:val="auto"/>
              </w:rPr>
              <w:t>乙方（章）：</w:t>
            </w:r>
          </w:p>
          <w:p>
            <w:pPr>
              <w:spacing w:line="360" w:lineRule="auto"/>
              <w:ind w:firstLine="420" w:firstLineChars="200"/>
              <w:rPr>
                <w:color w:val="auto"/>
              </w:rPr>
            </w:pPr>
          </w:p>
          <w:p>
            <w:pPr>
              <w:spacing w:line="360" w:lineRule="auto"/>
              <w:ind w:firstLine="420" w:firstLineChars="200"/>
              <w:rPr>
                <w:color w:val="auto"/>
              </w:rPr>
            </w:pPr>
          </w:p>
          <w:p>
            <w:pPr>
              <w:spacing w:line="360" w:lineRule="auto"/>
              <w:ind w:firstLine="420" w:firstLineChars="200"/>
              <w:rPr>
                <w:color w:val="auto"/>
              </w:rPr>
            </w:pPr>
          </w:p>
          <w:p>
            <w:pPr>
              <w:spacing w:line="360" w:lineRule="auto"/>
              <w:ind w:firstLine="420" w:firstLineChars="200"/>
              <w:rPr>
                <w:color w:val="auto"/>
              </w:rPr>
            </w:pPr>
          </w:p>
          <w:p>
            <w:pPr>
              <w:spacing w:line="360" w:lineRule="auto"/>
              <w:rPr>
                <w:color w:val="auto"/>
              </w:rPr>
            </w:pPr>
          </w:p>
          <w:p>
            <w:pPr>
              <w:spacing w:line="360" w:lineRule="auto"/>
              <w:rPr>
                <w:color w:val="auto"/>
              </w:rPr>
            </w:pPr>
            <w:r>
              <w:rPr>
                <w:rFonts w:hint="eastAsia"/>
                <w:color w:val="auto"/>
              </w:rPr>
              <w:t>签订日期：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8" w:hRule="atLeast"/>
        </w:trPr>
        <w:tc>
          <w:tcPr>
            <w:tcW w:w="4929" w:type="dxa"/>
            <w:vAlign w:val="center"/>
          </w:tcPr>
          <w:p>
            <w:pPr>
              <w:spacing w:line="360" w:lineRule="auto"/>
              <w:rPr>
                <w:color w:val="auto"/>
              </w:rPr>
            </w:pPr>
            <w:r>
              <w:rPr>
                <w:rFonts w:hint="eastAsia"/>
                <w:color w:val="auto"/>
              </w:rPr>
              <w:t>单位地址：广西南宁市青秀区桃源路 69 号</w:t>
            </w:r>
          </w:p>
        </w:tc>
        <w:tc>
          <w:tcPr>
            <w:tcW w:w="4903" w:type="dxa"/>
            <w:vAlign w:val="center"/>
          </w:tcPr>
          <w:p>
            <w:pPr>
              <w:spacing w:line="360" w:lineRule="auto"/>
              <w:rPr>
                <w:color w:val="auto"/>
              </w:rPr>
            </w:pPr>
            <w:r>
              <w:rPr>
                <w:rFonts w:hint="eastAsia"/>
                <w:color w:val="auto"/>
              </w:rPr>
              <w:t>单位地址：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9" w:hRule="atLeast"/>
        </w:trPr>
        <w:tc>
          <w:tcPr>
            <w:tcW w:w="4929" w:type="dxa"/>
            <w:vAlign w:val="center"/>
          </w:tcPr>
          <w:p>
            <w:pPr>
              <w:spacing w:line="360" w:lineRule="auto"/>
              <w:rPr>
                <w:color w:val="auto"/>
              </w:rPr>
            </w:pPr>
            <w:r>
              <w:rPr>
                <w:rFonts w:hint="eastAsia" w:ascii="宋体" w:hAnsi="宋体" w:cs="宋体"/>
                <w:color w:val="auto"/>
                <w:szCs w:val="21"/>
              </w:rPr>
              <w:t>法定代表人或者其委托代理人</w:t>
            </w:r>
            <w:r>
              <w:rPr>
                <w:rFonts w:hint="eastAsia"/>
                <w:color w:val="auto"/>
              </w:rPr>
              <w:t>：</w:t>
            </w:r>
          </w:p>
        </w:tc>
        <w:tc>
          <w:tcPr>
            <w:tcW w:w="4903" w:type="dxa"/>
            <w:vAlign w:val="center"/>
          </w:tcPr>
          <w:p>
            <w:pPr>
              <w:spacing w:line="360" w:lineRule="auto"/>
              <w:rPr>
                <w:color w:val="auto"/>
              </w:rPr>
            </w:pPr>
            <w:r>
              <w:rPr>
                <w:rFonts w:hint="eastAsia" w:ascii="宋体" w:hAnsi="宋体" w:cs="宋体"/>
                <w:color w:val="auto"/>
                <w:szCs w:val="21"/>
              </w:rPr>
              <w:t>法定代表人或者其委托代理人</w:t>
            </w:r>
            <w:r>
              <w:rPr>
                <w:rFonts w:hint="eastAsia"/>
                <w:color w:val="auto"/>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0" w:hRule="atLeast"/>
        </w:trPr>
        <w:tc>
          <w:tcPr>
            <w:tcW w:w="4929" w:type="dxa"/>
            <w:vAlign w:val="center"/>
          </w:tcPr>
          <w:p>
            <w:pPr>
              <w:spacing w:line="360" w:lineRule="auto"/>
              <w:rPr>
                <w:color w:val="auto"/>
              </w:rPr>
            </w:pPr>
            <w:r>
              <w:rPr>
                <w:rFonts w:hint="eastAsia"/>
                <w:color w:val="auto"/>
              </w:rPr>
              <w:t>经办人：</w:t>
            </w:r>
          </w:p>
        </w:tc>
        <w:tc>
          <w:tcPr>
            <w:tcW w:w="4903" w:type="dxa"/>
            <w:vAlign w:val="center"/>
          </w:tcPr>
          <w:p>
            <w:pPr>
              <w:spacing w:line="360" w:lineRule="auto"/>
              <w:rPr>
                <w:color w:val="auto"/>
              </w:rPr>
            </w:pPr>
            <w:r>
              <w:rPr>
                <w:rFonts w:hint="eastAsia"/>
                <w:color w:val="auto"/>
              </w:rPr>
              <w:t>电  话：</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0" w:hRule="atLeast"/>
        </w:trPr>
        <w:tc>
          <w:tcPr>
            <w:tcW w:w="4929" w:type="dxa"/>
            <w:vAlign w:val="center"/>
          </w:tcPr>
          <w:p>
            <w:pPr>
              <w:spacing w:line="360" w:lineRule="auto"/>
              <w:rPr>
                <w:color w:val="auto"/>
              </w:rPr>
            </w:pPr>
            <w:r>
              <w:rPr>
                <w:rFonts w:hint="eastAsia"/>
                <w:color w:val="auto"/>
              </w:rPr>
              <w:t>电  话：</w:t>
            </w:r>
          </w:p>
        </w:tc>
        <w:tc>
          <w:tcPr>
            <w:tcW w:w="4903" w:type="dxa"/>
            <w:vAlign w:val="center"/>
          </w:tcPr>
          <w:p>
            <w:pPr>
              <w:spacing w:line="360" w:lineRule="auto"/>
              <w:rPr>
                <w:color w:val="auto"/>
              </w:rPr>
            </w:pPr>
            <w:r>
              <w:rPr>
                <w:rFonts w:hint="eastAsia"/>
                <w:color w:val="auto"/>
              </w:rPr>
              <w:t>开户银行：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9" w:hRule="atLeast"/>
        </w:trPr>
        <w:tc>
          <w:tcPr>
            <w:tcW w:w="4929" w:type="dxa"/>
            <w:vAlign w:val="center"/>
          </w:tcPr>
          <w:p>
            <w:pPr>
              <w:spacing w:line="360" w:lineRule="auto"/>
              <w:rPr>
                <w:color w:val="auto"/>
              </w:rPr>
            </w:pPr>
          </w:p>
        </w:tc>
        <w:tc>
          <w:tcPr>
            <w:tcW w:w="4903" w:type="dxa"/>
            <w:vAlign w:val="center"/>
          </w:tcPr>
          <w:p>
            <w:pPr>
              <w:spacing w:line="360" w:lineRule="auto"/>
              <w:rPr>
                <w:color w:val="auto"/>
              </w:rPr>
            </w:pPr>
            <w:r>
              <w:rPr>
                <w:rFonts w:hint="eastAsia"/>
                <w:color w:val="auto"/>
              </w:rPr>
              <w:t>账    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9" w:hRule="atLeast"/>
        </w:trPr>
        <w:tc>
          <w:tcPr>
            <w:tcW w:w="4929" w:type="dxa"/>
            <w:vAlign w:val="center"/>
          </w:tcPr>
          <w:p>
            <w:pPr>
              <w:spacing w:line="360" w:lineRule="auto"/>
              <w:rPr>
                <w:color w:val="auto"/>
              </w:rPr>
            </w:pPr>
          </w:p>
        </w:tc>
        <w:tc>
          <w:tcPr>
            <w:tcW w:w="4903" w:type="dxa"/>
            <w:vAlign w:val="center"/>
          </w:tcPr>
          <w:p>
            <w:pPr>
              <w:spacing w:line="360" w:lineRule="auto"/>
              <w:rPr>
                <w:color w:val="auto"/>
              </w:rPr>
            </w:pPr>
            <w:r>
              <w:rPr>
                <w:rFonts w:hint="eastAsia"/>
                <w:color w:val="auto"/>
              </w:rPr>
              <w:t>统一社会信用代码：</w:t>
            </w:r>
          </w:p>
        </w:tc>
      </w:tr>
    </w:tbl>
    <w:p>
      <w:pPr>
        <w:spacing w:line="360" w:lineRule="auto"/>
        <w:ind w:firstLine="420" w:firstLineChars="200"/>
        <w:rPr>
          <w:color w:val="auto"/>
        </w:rPr>
        <w:sectPr>
          <w:footerReference r:id="rId9" w:type="default"/>
          <w:pgSz w:w="11910" w:h="16840"/>
          <w:pgMar w:top="400" w:right="1065" w:bottom="1091" w:left="1140" w:header="0" w:footer="929" w:gutter="0"/>
          <w:cols w:space="720" w:num="1"/>
        </w:sectPr>
      </w:pPr>
    </w:p>
    <w:p>
      <w:pPr>
        <w:pStyle w:val="14"/>
        <w:spacing w:line="360" w:lineRule="auto"/>
        <w:rPr>
          <w:rFonts w:hint="eastAsia" w:hAnsi="宋体" w:cs="宋体"/>
          <w:color w:val="auto"/>
        </w:rPr>
      </w:pPr>
    </w:p>
    <w:p>
      <w:pPr>
        <w:rPr>
          <w:color w:val="auto"/>
        </w:rPr>
      </w:pPr>
    </w:p>
    <w:p>
      <w:pPr>
        <w:pStyle w:val="14"/>
        <w:tabs>
          <w:tab w:val="left" w:pos="2472"/>
        </w:tabs>
        <w:spacing w:line="460" w:lineRule="exact"/>
        <w:rPr>
          <w:rFonts w:hint="eastAsia" w:hAnsi="宋体" w:cs="宋体"/>
          <w:b/>
          <w:color w:val="auto"/>
          <w:sz w:val="36"/>
        </w:rPr>
      </w:pPr>
    </w:p>
    <w:p>
      <w:pPr>
        <w:pStyle w:val="14"/>
        <w:tabs>
          <w:tab w:val="left" w:pos="2472"/>
        </w:tabs>
        <w:spacing w:line="460" w:lineRule="exact"/>
        <w:rPr>
          <w:rFonts w:hint="eastAsia" w:hAnsi="宋体" w:cs="宋体"/>
          <w:b/>
          <w:color w:val="auto"/>
          <w:sz w:val="36"/>
        </w:rPr>
      </w:pPr>
    </w:p>
    <w:p>
      <w:pPr>
        <w:pStyle w:val="14"/>
        <w:tabs>
          <w:tab w:val="left" w:pos="2472"/>
        </w:tabs>
        <w:spacing w:line="460" w:lineRule="exact"/>
        <w:rPr>
          <w:rFonts w:hint="eastAsia" w:hAnsi="宋体" w:cs="宋体"/>
          <w:b/>
          <w:color w:val="auto"/>
          <w:sz w:val="36"/>
        </w:rPr>
      </w:pPr>
    </w:p>
    <w:p>
      <w:pPr>
        <w:pStyle w:val="14"/>
        <w:tabs>
          <w:tab w:val="left" w:pos="2472"/>
        </w:tabs>
        <w:spacing w:line="460" w:lineRule="exact"/>
        <w:rPr>
          <w:rFonts w:hint="eastAsia" w:hAnsi="宋体" w:cs="宋体"/>
          <w:b/>
          <w:color w:val="auto"/>
          <w:sz w:val="36"/>
        </w:rPr>
      </w:pPr>
    </w:p>
    <w:p>
      <w:pPr>
        <w:pStyle w:val="14"/>
        <w:tabs>
          <w:tab w:val="left" w:pos="2472"/>
        </w:tabs>
        <w:spacing w:line="460" w:lineRule="exact"/>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bookmarkStart w:id="290" w:name="_Toc10298"/>
      <w:bookmarkStart w:id="291" w:name="_Toc20288"/>
      <w:bookmarkStart w:id="292" w:name="_Toc21691"/>
      <w:bookmarkStart w:id="293" w:name="_Toc8784"/>
      <w:bookmarkStart w:id="294" w:name="_Toc19166"/>
      <w:bookmarkStart w:id="295" w:name="_Toc7880"/>
      <w:bookmarkStart w:id="296" w:name="_Toc14291"/>
      <w:bookmarkStart w:id="297" w:name="_Toc27021"/>
      <w:bookmarkStart w:id="298" w:name="_Toc23759"/>
      <w:bookmarkStart w:id="299" w:name="_Toc8074"/>
      <w:bookmarkStart w:id="300" w:name="_Toc6639"/>
    </w:p>
    <w:p>
      <w:pPr>
        <w:pStyle w:val="14"/>
        <w:tabs>
          <w:tab w:val="left" w:pos="2472"/>
        </w:tabs>
        <w:spacing w:line="460" w:lineRule="exact"/>
        <w:jc w:val="center"/>
        <w:outlineLvl w:val="0"/>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p>
    <w:p>
      <w:pPr>
        <w:pStyle w:val="14"/>
        <w:tabs>
          <w:tab w:val="left" w:pos="2472"/>
        </w:tabs>
        <w:spacing w:line="460" w:lineRule="exact"/>
        <w:jc w:val="center"/>
        <w:outlineLvl w:val="0"/>
        <w:rPr>
          <w:rFonts w:hint="eastAsia" w:hAnsi="宋体" w:cs="宋体"/>
          <w:b/>
          <w:color w:val="auto"/>
          <w:sz w:val="36"/>
        </w:rPr>
      </w:pPr>
      <w:r>
        <w:rPr>
          <w:rFonts w:hint="eastAsia" w:hAnsi="宋体" w:cs="宋体"/>
          <w:b/>
          <w:color w:val="auto"/>
          <w:sz w:val="36"/>
        </w:rPr>
        <w:t>第六章 投标文件格式</w:t>
      </w:r>
      <w:bookmarkEnd w:id="290"/>
      <w:bookmarkEnd w:id="291"/>
      <w:bookmarkEnd w:id="292"/>
      <w:bookmarkEnd w:id="293"/>
      <w:bookmarkEnd w:id="294"/>
      <w:bookmarkEnd w:id="295"/>
      <w:bookmarkEnd w:id="296"/>
      <w:bookmarkEnd w:id="297"/>
      <w:bookmarkEnd w:id="298"/>
      <w:bookmarkEnd w:id="299"/>
      <w:bookmarkEnd w:id="300"/>
    </w:p>
    <w:p>
      <w:pPr>
        <w:widowControl/>
        <w:spacing w:beforeAutospacing="1" w:line="360" w:lineRule="auto"/>
        <w:jc w:val="left"/>
        <w:rPr>
          <w:rFonts w:hint="eastAsia" w:ascii="宋体" w:hAnsi="宋体" w:cs="宋体"/>
          <w:color w:val="auto"/>
          <w:szCs w:val="20"/>
        </w:rPr>
        <w:sectPr>
          <w:pgSz w:w="11906" w:h="16838"/>
          <w:pgMar w:top="1134" w:right="1020" w:bottom="1020" w:left="1134" w:header="720" w:footer="720" w:gutter="0"/>
          <w:cols w:space="720" w:num="1"/>
          <w:docGrid w:type="lines" w:linePitch="331" w:charSpace="0"/>
        </w:sectPr>
      </w:pPr>
    </w:p>
    <w:p>
      <w:pPr>
        <w:pStyle w:val="14"/>
        <w:jc w:val="center"/>
        <w:outlineLvl w:val="1"/>
        <w:rPr>
          <w:rFonts w:hint="eastAsia" w:hAnsi="宋体" w:cs="宋体"/>
          <w:b/>
          <w:bCs/>
          <w:color w:val="auto"/>
          <w:sz w:val="28"/>
          <w:szCs w:val="28"/>
        </w:rPr>
      </w:pPr>
      <w:bookmarkStart w:id="301" w:name="_Toc247"/>
      <w:bookmarkStart w:id="302" w:name="_Toc16447"/>
      <w:bookmarkStart w:id="303" w:name="_Toc26915"/>
      <w:bookmarkStart w:id="304" w:name="_Toc30455"/>
      <w:bookmarkStart w:id="305" w:name="_Toc29743"/>
      <w:r>
        <w:rPr>
          <w:rFonts w:hint="eastAsia" w:hAnsi="宋体" w:cs="宋体"/>
          <w:b/>
          <w:bCs/>
          <w:color w:val="auto"/>
          <w:sz w:val="28"/>
          <w:szCs w:val="28"/>
        </w:rPr>
        <w:t>第一节 资格文件格式</w:t>
      </w:r>
      <w:bookmarkEnd w:id="301"/>
      <w:bookmarkEnd w:id="302"/>
      <w:bookmarkEnd w:id="303"/>
      <w:bookmarkEnd w:id="304"/>
      <w:bookmarkEnd w:id="305"/>
    </w:p>
    <w:p>
      <w:pPr>
        <w:pStyle w:val="14"/>
        <w:spacing w:line="360" w:lineRule="auto"/>
        <w:ind w:firstLine="420"/>
        <w:rPr>
          <w:rFonts w:hint="eastAsia" w:hAnsi="宋体" w:cs="宋体"/>
          <w:color w:val="auto"/>
          <w:sz w:val="24"/>
          <w:szCs w:val="24"/>
        </w:rPr>
      </w:pPr>
    </w:p>
    <w:p>
      <w:pPr>
        <w:pStyle w:val="14"/>
        <w:spacing w:line="360" w:lineRule="auto"/>
        <w:ind w:firstLine="420"/>
        <w:rPr>
          <w:rFonts w:hint="eastAsia" w:hAnsi="宋体" w:cs="宋体"/>
          <w:b/>
          <w:bCs/>
          <w:color w:val="auto"/>
          <w:sz w:val="24"/>
          <w:szCs w:val="24"/>
        </w:rPr>
      </w:pPr>
      <w:r>
        <w:rPr>
          <w:rFonts w:hint="eastAsia" w:hAnsi="宋体" w:cs="宋体"/>
          <w:b/>
          <w:bCs/>
          <w:color w:val="auto"/>
          <w:sz w:val="28"/>
          <w:szCs w:val="28"/>
        </w:rPr>
        <w:t>1.资格文件封面的格式</w:t>
      </w:r>
      <w:r>
        <w:rPr>
          <w:rFonts w:hint="eastAsia" w:hAnsi="宋体" w:cs="宋体"/>
          <w:b/>
          <w:color w:val="auto"/>
          <w:sz w:val="28"/>
          <w:szCs w:val="28"/>
        </w:rPr>
        <w:t>（参照此格式自拟）</w:t>
      </w:r>
      <w:r>
        <w:rPr>
          <w:rFonts w:hint="eastAsia" w:hAnsi="宋体" w:cs="宋体"/>
          <w:b/>
          <w:bCs/>
          <w:color w:val="auto"/>
          <w:sz w:val="28"/>
          <w:szCs w:val="28"/>
        </w:rPr>
        <w:t>：</w:t>
      </w:r>
      <w:r>
        <w:rPr>
          <w:rFonts w:hint="eastAsia" w:hAnsi="宋体" w:cs="宋体"/>
          <w:b/>
          <w:bCs/>
          <w:color w:val="auto"/>
          <w:sz w:val="24"/>
          <w:szCs w:val="24"/>
        </w:rPr>
        <w:t xml:space="preserve"> </w:t>
      </w:r>
    </w:p>
    <w:p>
      <w:pPr>
        <w:pStyle w:val="9"/>
        <w:rPr>
          <w:color w:val="auto"/>
        </w:rPr>
      </w:pPr>
    </w:p>
    <w:p>
      <w:pPr>
        <w:snapToGrid w:val="0"/>
        <w:spacing w:before="165" w:beforeLines="50" w:after="50"/>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Cs/>
          <w:color w:val="auto"/>
        </w:rPr>
        <w:t>电子版投标文件</w:t>
      </w:r>
    </w:p>
    <w:p>
      <w:pPr>
        <w:snapToGrid w:val="0"/>
        <w:spacing w:before="165" w:beforeLines="50" w:after="50"/>
        <w:rPr>
          <w:rFonts w:hint="eastAsia" w:ascii="宋体" w:hAnsi="宋体" w:cs="宋体"/>
          <w:color w:val="auto"/>
          <w:sz w:val="24"/>
          <w:szCs w:val="20"/>
        </w:rPr>
      </w:pPr>
    </w:p>
    <w:p>
      <w:pPr>
        <w:snapToGrid w:val="0"/>
        <w:spacing w:before="165" w:beforeLines="50" w:after="50"/>
        <w:jc w:val="center"/>
        <w:rPr>
          <w:rFonts w:hint="eastAsia" w:ascii="宋体" w:hAnsi="宋体" w:cs="宋体"/>
          <w:b/>
          <w:color w:val="auto"/>
          <w:sz w:val="32"/>
          <w:szCs w:val="32"/>
        </w:rPr>
      </w:pPr>
    </w:p>
    <w:p>
      <w:pPr>
        <w:snapToGrid w:val="0"/>
        <w:spacing w:before="165" w:beforeLines="50" w:after="50"/>
        <w:jc w:val="center"/>
        <w:rPr>
          <w:rFonts w:hint="eastAsia" w:ascii="宋体" w:hAnsi="宋体" w:cs="宋体"/>
          <w:b/>
          <w:color w:val="auto"/>
          <w:sz w:val="24"/>
          <w:szCs w:val="20"/>
        </w:rPr>
      </w:pPr>
      <w:r>
        <w:rPr>
          <w:rFonts w:hint="eastAsia" w:ascii="宋体" w:hAnsi="宋体" w:cs="宋体"/>
          <w:b/>
          <w:color w:val="auto"/>
          <w:sz w:val="32"/>
          <w:szCs w:val="32"/>
        </w:rPr>
        <w:t>资格文件</w:t>
      </w: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rPr>
          <w:rFonts w:hint="eastAsia" w:ascii="宋体" w:hAnsi="宋体" w:cs="宋体"/>
          <w:bCs/>
          <w:color w:val="auto"/>
          <w:sz w:val="24"/>
          <w:szCs w:val="20"/>
        </w:rPr>
      </w:pPr>
    </w:p>
    <w:p>
      <w:pPr>
        <w:snapToGrid w:val="0"/>
        <w:spacing w:before="165" w:beforeLines="50" w:after="50"/>
        <w:ind w:firstLine="540" w:firstLineChars="225"/>
        <w:rPr>
          <w:rFonts w:hint="eastAsia" w:ascii="宋体" w:hAnsi="宋体" w:cs="宋体"/>
          <w:bCs/>
          <w:color w:val="auto"/>
          <w:sz w:val="24"/>
          <w:szCs w:val="20"/>
        </w:rPr>
      </w:pPr>
      <w:r>
        <w:rPr>
          <w:rFonts w:hint="eastAsia" w:ascii="宋体" w:hAnsi="宋体" w:cs="宋体"/>
          <w:bCs/>
          <w:color w:val="auto"/>
          <w:sz w:val="24"/>
        </w:rPr>
        <w:t>项目名称：</w:t>
      </w:r>
    </w:p>
    <w:p>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项目编号：</w:t>
      </w:r>
    </w:p>
    <w:p>
      <w:pPr>
        <w:snapToGrid w:val="0"/>
        <w:spacing w:before="165" w:beforeLines="50" w:after="50"/>
        <w:ind w:firstLine="540" w:firstLineChars="225"/>
        <w:rPr>
          <w:rFonts w:hint="eastAsia" w:ascii="宋体" w:hAnsi="宋体" w:cs="宋体"/>
          <w:bCs/>
          <w:color w:val="auto"/>
          <w:sz w:val="24"/>
          <w:szCs w:val="20"/>
        </w:rPr>
      </w:pPr>
      <w:r>
        <w:rPr>
          <w:rFonts w:hint="eastAsia" w:ascii="宋体" w:hAnsi="宋体" w:cs="宋体"/>
          <w:bCs/>
          <w:color w:val="auto"/>
          <w:sz w:val="24"/>
        </w:rPr>
        <w:t xml:space="preserve"> </w:t>
      </w:r>
    </w:p>
    <w:p>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所投分标（如有则填写，无分标时填写“无”或者留空）：</w:t>
      </w:r>
    </w:p>
    <w:p>
      <w:pPr>
        <w:pStyle w:val="7"/>
        <w:snapToGrid w:val="0"/>
        <w:spacing w:before="50" w:after="50"/>
        <w:ind w:firstLine="540" w:firstLineChars="225"/>
        <w:rPr>
          <w:rFonts w:hint="eastAsia" w:ascii="宋体" w:hAnsi="宋体" w:cs="宋体"/>
          <w:bCs/>
          <w:color w:val="auto"/>
          <w:sz w:val="24"/>
          <w:szCs w:val="24"/>
        </w:rPr>
      </w:pPr>
    </w:p>
    <w:p>
      <w:pPr>
        <w:pStyle w:val="7"/>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投标人名称：</w:t>
      </w:r>
    </w:p>
    <w:p>
      <w:pPr>
        <w:pStyle w:val="7"/>
        <w:snapToGrid w:val="0"/>
        <w:spacing w:before="50" w:after="50"/>
        <w:ind w:firstLine="540" w:firstLineChars="225"/>
        <w:rPr>
          <w:rFonts w:hint="eastAsia" w:ascii="宋体" w:hAnsi="宋体" w:cs="宋体"/>
          <w:bCs/>
          <w:color w:val="auto"/>
          <w:sz w:val="24"/>
          <w:szCs w:val="24"/>
        </w:rPr>
      </w:pPr>
    </w:p>
    <w:p>
      <w:pPr>
        <w:pStyle w:val="7"/>
        <w:snapToGrid w:val="0"/>
        <w:spacing w:before="50" w:after="50"/>
        <w:ind w:firstLine="960" w:firstLineChars="400"/>
        <w:rPr>
          <w:rFonts w:hint="eastAsia" w:ascii="宋体" w:hAnsi="宋体" w:cs="宋体"/>
          <w:bCs/>
          <w:color w:val="auto"/>
          <w:sz w:val="24"/>
          <w:szCs w:val="24"/>
        </w:rPr>
      </w:pPr>
    </w:p>
    <w:p>
      <w:pPr>
        <w:snapToGrid w:val="0"/>
        <w:spacing w:before="165" w:beforeLines="50" w:after="50"/>
        <w:ind w:firstLine="645"/>
        <w:jc w:val="center"/>
        <w:rPr>
          <w:rFonts w:hint="eastAsia" w:ascii="宋体" w:hAnsi="宋体" w:cs="宋体"/>
          <w:color w:val="auto"/>
          <w:sz w:val="24"/>
        </w:rPr>
      </w:pPr>
      <w:r>
        <w:rPr>
          <w:rFonts w:hint="eastAsia" w:ascii="宋体" w:hAnsi="宋体" w:cs="宋体"/>
          <w:color w:val="auto"/>
          <w:sz w:val="24"/>
        </w:rPr>
        <w:t>年  月  日</w:t>
      </w:r>
    </w:p>
    <w:p>
      <w:pPr>
        <w:widowControl/>
        <w:spacing w:line="360" w:lineRule="auto"/>
        <w:jc w:val="left"/>
        <w:rPr>
          <w:rFonts w:hint="eastAsia" w:ascii="宋体" w:hAnsi="宋体" w:cs="宋体"/>
          <w:color w:val="auto"/>
          <w:sz w:val="30"/>
          <w:szCs w:val="20"/>
        </w:rPr>
        <w:sectPr>
          <w:pgSz w:w="11906" w:h="16838"/>
          <w:pgMar w:top="1134" w:right="1020" w:bottom="1020" w:left="1134" w:header="720" w:footer="720" w:gutter="0"/>
          <w:cols w:space="720" w:num="1"/>
          <w:docGrid w:type="lines" w:linePitch="331" w:charSpace="0"/>
        </w:sectPr>
      </w:pPr>
    </w:p>
    <w:p>
      <w:pPr>
        <w:rPr>
          <w:rFonts w:hint="eastAsia" w:ascii="宋体" w:hAnsi="宋体" w:cs="宋体"/>
          <w:b/>
          <w:color w:val="auto"/>
          <w:kern w:val="0"/>
          <w:sz w:val="28"/>
          <w:szCs w:val="28"/>
        </w:rPr>
      </w:pPr>
      <w:r>
        <w:rPr>
          <w:rFonts w:hint="eastAsia" w:ascii="宋体" w:hAnsi="宋体" w:cs="宋体"/>
          <w:b/>
          <w:color w:val="auto"/>
          <w:kern w:val="0"/>
          <w:sz w:val="28"/>
          <w:szCs w:val="28"/>
        </w:rPr>
        <w:t>2.资格文件目录</w:t>
      </w:r>
    </w:p>
    <w:p>
      <w:pPr>
        <w:snapToGrid w:val="0"/>
        <w:spacing w:line="360" w:lineRule="auto"/>
        <w:rPr>
          <w:rFonts w:hint="eastAsia" w:ascii="宋体" w:hAnsi="宋体" w:cs="宋体"/>
          <w:color w:val="auto"/>
          <w:kern w:val="0"/>
          <w:sz w:val="24"/>
        </w:rPr>
      </w:pPr>
      <w:r>
        <w:rPr>
          <w:rFonts w:hint="eastAsia" w:ascii="宋体" w:hAnsi="宋体" w:cs="宋体"/>
          <w:color w:val="auto"/>
          <w:kern w:val="0"/>
          <w:sz w:val="24"/>
        </w:rPr>
        <w:t>根据招标文件规定及投标人提供的材料自行编写目录（部分格式后附）。</w:t>
      </w:r>
    </w:p>
    <w:p>
      <w:pPr>
        <w:snapToGrid w:val="0"/>
        <w:spacing w:line="360" w:lineRule="auto"/>
        <w:rPr>
          <w:rFonts w:hint="eastAsia" w:ascii="宋体" w:hAnsi="宋体" w:cs="宋体"/>
          <w:b/>
          <w:color w:val="auto"/>
          <w:kern w:val="0"/>
          <w:sz w:val="32"/>
          <w:szCs w:val="32"/>
          <w:lang w:val="zh-CN"/>
        </w:rPr>
      </w:pPr>
    </w:p>
    <w:p>
      <w:pPr>
        <w:snapToGrid w:val="0"/>
        <w:spacing w:line="360" w:lineRule="auto"/>
        <w:ind w:firstLine="5160" w:firstLineChars="2150"/>
        <w:rPr>
          <w:rFonts w:hint="eastAsia" w:ascii="宋体" w:hAnsi="宋体" w:cs="宋体"/>
          <w:color w:val="auto"/>
          <w:kern w:val="0"/>
          <w:sz w:val="24"/>
          <w:lang w:val="zh-CN"/>
        </w:rPr>
      </w:pPr>
    </w:p>
    <w:p>
      <w:pPr>
        <w:snapToGrid w:val="0"/>
        <w:spacing w:line="360" w:lineRule="auto"/>
        <w:ind w:right="480"/>
        <w:jc w:val="center"/>
        <w:rPr>
          <w:rFonts w:hint="eastAsia" w:ascii="宋体" w:hAnsi="宋体" w:cs="宋体"/>
          <w:b/>
          <w:color w:val="auto"/>
          <w:kern w:val="0"/>
          <w:sz w:val="32"/>
          <w:szCs w:val="32"/>
          <w:lang w:val="zh-CN"/>
        </w:rPr>
      </w:pPr>
    </w:p>
    <w:p>
      <w:pPr>
        <w:snapToGrid w:val="0"/>
        <w:spacing w:line="360" w:lineRule="auto"/>
        <w:ind w:right="480"/>
        <w:rPr>
          <w:rFonts w:hint="eastAsia" w:ascii="宋体" w:hAnsi="宋体" w:cs="宋体"/>
          <w:b/>
          <w:color w:val="auto"/>
          <w:kern w:val="0"/>
          <w:sz w:val="32"/>
          <w:szCs w:val="32"/>
        </w:rPr>
      </w:pPr>
      <w:r>
        <w:rPr>
          <w:rFonts w:hint="eastAsia" w:ascii="宋体" w:hAnsi="宋体" w:cs="宋体"/>
          <w:b/>
          <w:color w:val="auto"/>
          <w:kern w:val="0"/>
          <w:sz w:val="32"/>
          <w:szCs w:val="32"/>
        </w:rPr>
        <w:br w:type="page"/>
      </w:r>
      <w:r>
        <w:rPr>
          <w:rFonts w:hint="eastAsia" w:ascii="宋体" w:hAnsi="宋体" w:cs="宋体"/>
          <w:b/>
          <w:color w:val="auto"/>
          <w:kern w:val="0"/>
          <w:sz w:val="28"/>
          <w:szCs w:val="28"/>
        </w:rPr>
        <w:t>3.投标人直接控股股东信息表格式</w:t>
      </w:r>
    </w:p>
    <w:p>
      <w:pPr>
        <w:snapToGrid w:val="0"/>
        <w:spacing w:before="50" w:after="165" w:afterLines="50" w:line="360" w:lineRule="auto"/>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kern w:val="0"/>
          <w:sz w:val="32"/>
          <w:szCs w:val="32"/>
        </w:rPr>
        <w:t>投标人直接控股股东信息表</w:t>
      </w:r>
    </w:p>
    <w:tbl>
      <w:tblPr>
        <w:tblStyle w:val="26"/>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bl>
    <w:p>
      <w:pPr>
        <w:snapToGrid w:val="0"/>
        <w:spacing w:line="360" w:lineRule="auto"/>
        <w:jc w:val="left"/>
        <w:rPr>
          <w:rFonts w:hint="eastAsia" w:ascii="宋体" w:hAnsi="宋体"/>
          <w:color w:val="auto"/>
          <w:sz w:val="24"/>
        </w:rPr>
      </w:pPr>
      <w:r>
        <w:rPr>
          <w:rFonts w:hint="eastAsia" w:ascii="宋体" w:hAnsi="宋体"/>
          <w:color w:val="auto"/>
          <w:sz w:val="24"/>
        </w:rPr>
        <w:t>注：</w:t>
      </w:r>
    </w:p>
    <w:p>
      <w:pPr>
        <w:snapToGrid w:val="0"/>
        <w:spacing w:line="360" w:lineRule="auto"/>
        <w:jc w:val="left"/>
        <w:rPr>
          <w:rFonts w:hint="eastAsia"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jc w:val="left"/>
        <w:rPr>
          <w:rFonts w:hint="eastAsia"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pPr>
        <w:snapToGrid w:val="0"/>
        <w:spacing w:line="360" w:lineRule="auto"/>
        <w:jc w:val="left"/>
        <w:rPr>
          <w:rFonts w:hint="eastAsia" w:ascii="宋体" w:hAnsi="宋体"/>
          <w:color w:val="auto"/>
          <w:sz w:val="24"/>
        </w:rPr>
      </w:pPr>
      <w:r>
        <w:rPr>
          <w:rFonts w:hint="eastAsia" w:ascii="宋体" w:hAnsi="宋体"/>
          <w:color w:val="auto"/>
          <w:sz w:val="24"/>
        </w:rPr>
        <w:t>3.投标人不存在直接控股股东的，则填“无”。</w:t>
      </w:r>
    </w:p>
    <w:p>
      <w:pPr>
        <w:snapToGrid w:val="0"/>
        <w:spacing w:line="360" w:lineRule="auto"/>
        <w:jc w:val="left"/>
        <w:rPr>
          <w:rFonts w:hint="eastAsia" w:ascii="宋体" w:hAnsi="宋体"/>
          <w:color w:val="auto"/>
          <w:sz w:val="24"/>
        </w:rPr>
      </w:pPr>
    </w:p>
    <w:p>
      <w:pPr>
        <w:snapToGrid w:val="0"/>
        <w:spacing w:line="360" w:lineRule="auto"/>
        <w:jc w:val="left"/>
        <w:rPr>
          <w:rFonts w:hint="eastAsia" w:ascii="宋体" w:hAnsi="宋体"/>
          <w:color w:val="auto"/>
          <w:sz w:val="24"/>
        </w:rPr>
      </w:pPr>
    </w:p>
    <w:p>
      <w:pP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投标人名称(盖公章)：</w:t>
      </w:r>
    </w:p>
    <w:p>
      <w:pP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pPr>
        <w:snapToGrid w:val="0"/>
        <w:spacing w:line="360" w:lineRule="auto"/>
        <w:ind w:right="480"/>
        <w:rPr>
          <w:rFonts w:hint="eastAsia" w:ascii="宋体" w:hAnsi="宋体" w:cs="宋体"/>
          <w:b/>
          <w:color w:val="auto"/>
          <w:kern w:val="0"/>
          <w:sz w:val="32"/>
          <w:szCs w:val="32"/>
        </w:rPr>
      </w:pPr>
      <w:r>
        <w:rPr>
          <w:rFonts w:hint="eastAsia" w:ascii="宋体" w:hAnsi="宋体" w:cs="宋体"/>
          <w:b/>
          <w:color w:val="auto"/>
          <w:kern w:val="0"/>
          <w:sz w:val="32"/>
          <w:szCs w:val="32"/>
        </w:rPr>
        <w:br w:type="page"/>
      </w:r>
      <w:r>
        <w:rPr>
          <w:rFonts w:hint="eastAsia" w:ascii="宋体" w:hAnsi="宋体" w:cs="宋体"/>
          <w:b/>
          <w:color w:val="auto"/>
          <w:kern w:val="0"/>
          <w:sz w:val="28"/>
          <w:szCs w:val="28"/>
        </w:rPr>
        <w:t>4.投标人直接管理关系信息表格式</w:t>
      </w:r>
    </w:p>
    <w:p>
      <w:pPr>
        <w:snapToGrid w:val="0"/>
        <w:spacing w:line="360" w:lineRule="auto"/>
        <w:jc w:val="center"/>
        <w:rPr>
          <w:rFonts w:hint="eastAsia" w:ascii="宋体" w:hAnsi="宋体"/>
          <w:color w:val="auto"/>
          <w:sz w:val="32"/>
          <w:szCs w:val="32"/>
        </w:rPr>
      </w:pPr>
      <w:r>
        <w:rPr>
          <w:rFonts w:hint="eastAsia" w:ascii="宋体" w:hAnsi="宋体"/>
          <w:b/>
          <w:color w:val="auto"/>
          <w:sz w:val="32"/>
          <w:szCs w:val="32"/>
        </w:rPr>
        <w:t>投标人直接管理关系信息表</w:t>
      </w:r>
    </w:p>
    <w:tbl>
      <w:tblPr>
        <w:tblStyle w:val="26"/>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rPr>
            </w:pPr>
          </w:p>
        </w:tc>
      </w:tr>
    </w:tbl>
    <w:p>
      <w:pPr>
        <w:snapToGrid w:val="0"/>
        <w:spacing w:line="360" w:lineRule="auto"/>
        <w:jc w:val="left"/>
        <w:rPr>
          <w:rFonts w:hint="eastAsia" w:ascii="宋体" w:hAnsi="宋体"/>
          <w:color w:val="auto"/>
          <w:sz w:val="24"/>
        </w:rPr>
      </w:pPr>
      <w:r>
        <w:rPr>
          <w:rFonts w:hint="eastAsia" w:ascii="宋体" w:hAnsi="宋体"/>
          <w:color w:val="auto"/>
          <w:sz w:val="24"/>
        </w:rPr>
        <w:t>注：</w:t>
      </w:r>
    </w:p>
    <w:p>
      <w:pP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3.投标人不存在直接管理关系的，则填“无”。</w:t>
      </w:r>
    </w:p>
    <w:p>
      <w:pPr>
        <w:snapToGrid w:val="0"/>
        <w:spacing w:line="360" w:lineRule="auto"/>
        <w:jc w:val="left"/>
        <w:rPr>
          <w:color w:val="auto"/>
          <w:sz w:val="24"/>
        </w:rPr>
      </w:pPr>
    </w:p>
    <w:p>
      <w:pPr>
        <w:snapToGrid w:val="0"/>
        <w:spacing w:line="360" w:lineRule="auto"/>
        <w:jc w:val="left"/>
        <w:rPr>
          <w:rFonts w:hint="eastAsia" w:ascii="宋体" w:hAnsi="宋体"/>
          <w:color w:val="auto"/>
          <w:sz w:val="24"/>
        </w:rPr>
      </w:pPr>
    </w:p>
    <w:p>
      <w:pPr>
        <w:snapToGrid w:val="0"/>
        <w:spacing w:line="360" w:lineRule="auto"/>
        <w:jc w:val="left"/>
        <w:rPr>
          <w:rFonts w:hint="eastAsia" w:ascii="宋体" w:hAnsi="宋体"/>
          <w:color w:val="auto"/>
          <w:sz w:val="24"/>
        </w:rPr>
      </w:pPr>
    </w:p>
    <w:p>
      <w:pP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投标人名称(盖公章)：</w:t>
      </w:r>
    </w:p>
    <w:p>
      <w:pP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w:t>
      </w: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w:t>
      </w:r>
    </w:p>
    <w:p>
      <w:pPr>
        <w:snapToGrid w:val="0"/>
        <w:spacing w:line="360" w:lineRule="auto"/>
        <w:ind w:right="480"/>
        <w:rPr>
          <w:rFonts w:hint="eastAsia" w:ascii="宋体" w:hAnsi="宋体" w:cs="宋体"/>
          <w:b/>
          <w:color w:val="auto"/>
          <w:kern w:val="0"/>
          <w:sz w:val="32"/>
          <w:szCs w:val="32"/>
        </w:rPr>
      </w:pPr>
    </w:p>
    <w:p>
      <w:pPr>
        <w:snapToGrid w:val="0"/>
        <w:spacing w:line="360" w:lineRule="auto"/>
        <w:ind w:right="480"/>
        <w:rPr>
          <w:rFonts w:hint="eastAsia" w:ascii="宋体" w:hAnsi="宋体" w:cs="宋体"/>
          <w:b/>
          <w:color w:val="auto"/>
          <w:kern w:val="0"/>
          <w:sz w:val="32"/>
          <w:szCs w:val="32"/>
        </w:rPr>
      </w:pPr>
      <w:r>
        <w:rPr>
          <w:rFonts w:hint="eastAsia" w:ascii="宋体" w:hAnsi="宋体" w:cs="宋体"/>
          <w:b/>
          <w:color w:val="auto"/>
          <w:kern w:val="0"/>
          <w:sz w:val="32"/>
          <w:szCs w:val="32"/>
        </w:rPr>
        <w:br w:type="page"/>
      </w:r>
      <w:r>
        <w:rPr>
          <w:rFonts w:hint="eastAsia" w:ascii="宋体" w:hAnsi="宋体" w:cs="宋体"/>
          <w:b/>
          <w:color w:val="auto"/>
          <w:kern w:val="0"/>
          <w:sz w:val="32"/>
          <w:szCs w:val="32"/>
        </w:rPr>
        <w:t>5.</w:t>
      </w:r>
      <w:r>
        <w:rPr>
          <w:rFonts w:hint="eastAsia" w:ascii="宋体" w:hAnsi="宋体" w:cs="宋体"/>
          <w:b/>
          <w:color w:val="auto"/>
          <w:sz w:val="28"/>
          <w:szCs w:val="28"/>
        </w:rPr>
        <w:t>声明函的格式</w:t>
      </w:r>
      <w:r>
        <w:rPr>
          <w:rFonts w:hint="eastAsia"/>
          <w:color w:val="auto"/>
          <w:sz w:val="28"/>
          <w:szCs w:val="28"/>
        </w:rPr>
        <w:t>：</w:t>
      </w:r>
    </w:p>
    <w:p>
      <w:pPr>
        <w:pStyle w:val="17"/>
        <w:rPr>
          <w:color w:val="auto"/>
        </w:rPr>
      </w:pPr>
    </w:p>
    <w:p>
      <w:pPr>
        <w:snapToGrid w:val="0"/>
        <w:spacing w:before="50" w:after="165" w:afterLines="50"/>
        <w:jc w:val="center"/>
        <w:rPr>
          <w:rFonts w:hint="eastAsia" w:ascii="宋体" w:hAnsi="宋体" w:cs="宋体"/>
          <w:b/>
          <w:color w:val="auto"/>
          <w:sz w:val="28"/>
          <w:szCs w:val="28"/>
        </w:rPr>
      </w:pPr>
      <w:r>
        <w:rPr>
          <w:rFonts w:hint="eastAsia" w:ascii="宋体" w:hAnsi="宋体" w:cs="宋体"/>
          <w:b/>
          <w:color w:val="auto"/>
          <w:sz w:val="28"/>
          <w:szCs w:val="28"/>
        </w:rPr>
        <w:t>声明函</w:t>
      </w:r>
    </w:p>
    <w:p>
      <w:pPr>
        <w:tabs>
          <w:tab w:val="left" w:pos="7200"/>
        </w:tabs>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bookmarkStart w:id="306" w:name="PO_3000001919_PM031"/>
      <w:r>
        <w:rPr>
          <w:rFonts w:hint="eastAsia" w:ascii="宋体" w:hAnsi="宋体" w:cs="宋体"/>
          <w:color w:val="auto"/>
          <w:szCs w:val="21"/>
          <w:u w:val="single"/>
        </w:rPr>
        <w:t>广西科联招标中心有限公司</w:t>
      </w:r>
      <w:bookmarkEnd w:id="306"/>
    </w:p>
    <w:p>
      <w:pPr>
        <w:pStyle w:val="17"/>
        <w:spacing w:line="360" w:lineRule="auto"/>
        <w:ind w:firstLine="420" w:firstLineChars="200"/>
        <w:rPr>
          <w:color w:val="auto"/>
          <w:sz w:val="21"/>
          <w:szCs w:val="21"/>
        </w:rPr>
      </w:pPr>
      <w:r>
        <w:rPr>
          <w:rFonts w:hint="eastAsia" w:ascii="宋体" w:hAnsi="宋体" w:cs="宋体"/>
          <w:i/>
          <w:iCs/>
          <w:color w:val="auto"/>
          <w:sz w:val="21"/>
          <w:szCs w:val="21"/>
          <w:u w:val="single"/>
        </w:rPr>
        <w:t>（投标人名称）</w:t>
      </w:r>
      <w:r>
        <w:rPr>
          <w:rFonts w:hint="eastAsia" w:ascii="宋体" w:hAnsi="宋体" w:cs="宋体"/>
          <w:color w:val="auto"/>
          <w:sz w:val="21"/>
          <w:szCs w:val="21"/>
        </w:rPr>
        <w:t>系中华人民共和国合法供应商，经营地址</w:t>
      </w:r>
      <w:r>
        <w:rPr>
          <w:rFonts w:hint="eastAsia" w:ascii="宋体" w:hAnsi="宋体" w:cs="宋体"/>
          <w:color w:val="auto"/>
          <w:sz w:val="21"/>
          <w:szCs w:val="21"/>
          <w:u w:val="single"/>
        </w:rPr>
        <w:t xml:space="preserve">                              </w:t>
      </w:r>
      <w:r>
        <w:rPr>
          <w:rFonts w:hint="eastAsia" w:ascii="宋体" w:hAnsi="宋体" w:cs="宋体"/>
          <w:color w:val="auto"/>
          <w:sz w:val="21"/>
          <w:szCs w:val="21"/>
        </w:rPr>
        <w:t>。</w:t>
      </w:r>
    </w:p>
    <w:p>
      <w:pP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我方愿意参加贵方组织的</w:t>
      </w:r>
      <w:r>
        <w:rPr>
          <w:rFonts w:hint="eastAsia" w:ascii="宋体" w:hAnsi="宋体"/>
          <w:i/>
          <w:iCs/>
          <w:color w:val="auto"/>
          <w:szCs w:val="21"/>
          <w:u w:val="single"/>
        </w:rPr>
        <w:t xml:space="preserve">（项目名称） </w:t>
      </w:r>
      <w:r>
        <w:rPr>
          <w:rFonts w:hint="eastAsia" w:ascii="宋体" w:hAnsi="宋体"/>
          <w:color w:val="auto"/>
          <w:szCs w:val="21"/>
        </w:rPr>
        <w:t>（项目编号：            ）项目的投标，为便于贵方公正、择优地确定中标人，我方就本次投标有关事项郑重声明如下：</w:t>
      </w:r>
    </w:p>
    <w:p>
      <w:pPr>
        <w:pStyle w:val="17"/>
        <w:spacing w:line="360" w:lineRule="auto"/>
        <w:ind w:firstLine="420" w:firstLineChars="200"/>
        <w:rPr>
          <w:color w:val="auto"/>
          <w:sz w:val="21"/>
          <w:szCs w:val="21"/>
        </w:rPr>
      </w:pPr>
      <w:r>
        <w:rPr>
          <w:rFonts w:hint="eastAsia" w:ascii="宋体" w:hAnsi="宋体" w:cs="宋体"/>
          <w:color w:val="auto"/>
          <w:sz w:val="21"/>
          <w:szCs w:val="21"/>
        </w:rPr>
        <w:t>1.我方向贵方提交的所有投标文件、资料都是准确的和真实的。</w:t>
      </w:r>
    </w:p>
    <w:p>
      <w:pP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3.在此，我方宣布同意如下：</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（1）将按招标文件的约定履行合同责任和义务；</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（2）已详细审查招标文件的全部</w:t>
      </w:r>
      <w:r>
        <w:rPr>
          <w:rFonts w:hint="eastAsia" w:ascii="宋体" w:hAnsi="宋体" w:cs="宋体"/>
          <w:color w:val="auto"/>
          <w:kern w:val="0"/>
          <w:szCs w:val="21"/>
        </w:rPr>
        <w:t>内容</w:t>
      </w:r>
      <w:r>
        <w:rPr>
          <w:rFonts w:hint="eastAsia" w:ascii="宋体" w:hAnsi="宋体" w:cs="宋体"/>
          <w:color w:val="auto"/>
          <w:szCs w:val="21"/>
        </w:rPr>
        <w:t>，包括澄清或者更正公告（如有）；</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（3）同意提供按照贵方可能要求的与投标有关的一切数据或者资料。</w:t>
      </w:r>
    </w:p>
    <w:p>
      <w:pPr>
        <w:spacing w:line="360" w:lineRule="auto"/>
        <w:ind w:firstLine="420" w:firstLineChars="200"/>
        <w:rPr>
          <w:rFonts w:hint="eastAsia" w:ascii="宋体" w:hAnsi="宋体"/>
          <w:color w:val="auto"/>
          <w:szCs w:val="21"/>
        </w:rPr>
      </w:pPr>
      <w:r>
        <w:rPr>
          <w:rFonts w:hint="eastAsia" w:ascii="宋体" w:hAnsi="宋体"/>
          <w:color w:val="auto"/>
          <w:szCs w:val="21"/>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pPr>
        <w:spacing w:line="360" w:lineRule="auto"/>
        <w:ind w:firstLine="420" w:firstLineChars="200"/>
        <w:contextualSpacing/>
        <w:rPr>
          <w:rFonts w:hint="eastAsia" w:ascii="宋体" w:hAnsi="宋体" w:cs="宋体"/>
          <w:i/>
          <w:iCs/>
          <w:color w:val="auto"/>
          <w:szCs w:val="21"/>
        </w:rPr>
      </w:pPr>
      <w:r>
        <w:rPr>
          <w:rFonts w:hint="eastAsia" w:ascii="宋体" w:hAnsi="宋体"/>
          <w:color w:val="auto"/>
          <w:szCs w:val="21"/>
        </w:rPr>
        <w:t>5.</w:t>
      </w:r>
      <w:r>
        <w:rPr>
          <w:rFonts w:hint="eastAsia" w:ascii="宋体" w:hAnsi="宋体" w:cs="宋体"/>
          <w:color w:val="auto"/>
          <w:szCs w:val="21"/>
        </w:rPr>
        <w:t>根据《中华人民共和国政府采购法实施条例》第五十条要求对政府采购合同进行公告，但政府采购合同中涉及国家秘密、商业秘密的内容除外。我方就对本次投标文件进行注明如下：</w:t>
      </w:r>
      <w:r>
        <w:rPr>
          <w:rFonts w:hint="eastAsia" w:ascii="宋体" w:hAnsi="宋体" w:cs="宋体"/>
          <w:i/>
          <w:iCs/>
          <w:color w:val="auto"/>
          <w:szCs w:val="21"/>
        </w:rPr>
        <w:t>（两项内容中必须选择一项）</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□我方本次投标文件</w:t>
      </w:r>
      <w:r>
        <w:rPr>
          <w:rFonts w:hint="eastAsia" w:ascii="宋体" w:hAnsi="宋体" w:cs="宋体"/>
          <w:color w:val="auto"/>
          <w:kern w:val="0"/>
          <w:szCs w:val="21"/>
        </w:rPr>
        <w:t>内容中</w:t>
      </w:r>
      <w:r>
        <w:rPr>
          <w:rFonts w:hint="eastAsia" w:ascii="宋体" w:hAnsi="宋体" w:cs="宋体"/>
          <w:color w:val="auto"/>
          <w:szCs w:val="21"/>
        </w:rPr>
        <w:t>未</w:t>
      </w:r>
      <w:r>
        <w:rPr>
          <w:rFonts w:hint="eastAsia" w:ascii="宋体" w:hAnsi="宋体" w:cs="宋体"/>
          <w:color w:val="auto"/>
          <w:kern w:val="0"/>
          <w:szCs w:val="21"/>
        </w:rPr>
        <w:t>涉及商业秘密。</w:t>
      </w:r>
    </w:p>
    <w:p>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□我方本次投标文件</w:t>
      </w:r>
      <w:r>
        <w:rPr>
          <w:rFonts w:hint="eastAsia" w:ascii="宋体" w:hAnsi="宋体" w:cs="宋体"/>
          <w:color w:val="auto"/>
          <w:kern w:val="0"/>
          <w:szCs w:val="21"/>
        </w:rPr>
        <w:t>涉及商业秘密的内容有：</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pPr>
        <w:pStyle w:val="17"/>
        <w:spacing w:line="360" w:lineRule="auto"/>
        <w:rPr>
          <w:color w:val="auto"/>
        </w:rPr>
      </w:pPr>
    </w:p>
    <w:p>
      <w:pP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6.以上事项如有虚假或者隐瞒，我方愿意承担一切后果，并不再寻求任何旨在减轻或者免除法律责任的辩解。 </w:t>
      </w:r>
    </w:p>
    <w:p>
      <w:pPr>
        <w:tabs>
          <w:tab w:val="left" w:pos="939"/>
        </w:tabs>
        <w:spacing w:line="360" w:lineRule="auto"/>
        <w:ind w:left="141" w:leftChars="67" w:firstLine="315" w:firstLineChars="150"/>
        <w:contextualSpacing/>
        <w:rPr>
          <w:rFonts w:hint="eastAsia" w:ascii="宋体" w:hAnsi="宋体" w:cs="宋体"/>
          <w:color w:val="auto"/>
          <w:szCs w:val="21"/>
        </w:rPr>
      </w:pPr>
      <w:r>
        <w:rPr>
          <w:rFonts w:hint="eastAsia" w:ascii="宋体" w:hAnsi="宋体" w:cs="宋体"/>
          <w:color w:val="auto"/>
          <w:szCs w:val="21"/>
        </w:rPr>
        <w:t>特此承诺。</w:t>
      </w:r>
    </w:p>
    <w:p>
      <w:pPr>
        <w:snapToGrid w:val="0"/>
        <w:spacing w:line="360" w:lineRule="auto"/>
        <w:ind w:firstLine="181" w:firstLineChars="100"/>
        <w:jc w:val="left"/>
        <w:rPr>
          <w:rFonts w:hint="eastAsia" w:ascii="宋体" w:hAnsi="宋体"/>
          <w:color w:val="auto"/>
          <w:sz w:val="18"/>
          <w:szCs w:val="18"/>
        </w:rPr>
      </w:pPr>
      <w:r>
        <w:rPr>
          <w:rFonts w:hint="eastAsia" w:ascii="宋体" w:hAnsi="宋体"/>
          <w:b/>
          <w:color w:val="auto"/>
          <w:sz w:val="18"/>
          <w:szCs w:val="18"/>
        </w:rPr>
        <w:t xml:space="preserve">   注： 如为联合体投标，盖章处须加盖联合体各方公章，否则</w:t>
      </w:r>
      <w:r>
        <w:rPr>
          <w:rFonts w:hint="eastAsia" w:ascii="宋体" w:hAnsi="宋体" w:cs="宋体"/>
          <w:b/>
          <w:bCs/>
          <w:color w:val="auto"/>
          <w:sz w:val="18"/>
          <w:szCs w:val="18"/>
        </w:rPr>
        <w:t>其投标文件作无效响应处理</w:t>
      </w:r>
      <w:r>
        <w:rPr>
          <w:rFonts w:hint="eastAsia" w:ascii="宋体" w:hAnsi="宋体"/>
          <w:b/>
          <w:color w:val="auto"/>
          <w:sz w:val="18"/>
          <w:szCs w:val="18"/>
        </w:rPr>
        <w:t>。</w:t>
      </w:r>
    </w:p>
    <w:p>
      <w:pPr>
        <w:snapToGrid w:val="0"/>
        <w:spacing w:before="50" w:after="331" w:afterLines="100" w:line="360" w:lineRule="auto"/>
        <w:ind w:left="7428" w:leftChars="2223" w:hanging="2760" w:hangingChars="1150"/>
        <w:jc w:val="left"/>
        <w:rPr>
          <w:rFonts w:hint="eastAsia" w:ascii="宋体" w:hAnsi="宋体" w:cs="宋体"/>
          <w:color w:val="auto"/>
          <w:kern w:val="0"/>
          <w:sz w:val="24"/>
          <w:lang w:val="zh-CN"/>
        </w:rPr>
      </w:pPr>
      <w:r>
        <w:rPr>
          <w:rFonts w:hint="eastAsia" w:ascii="宋体" w:hAnsi="宋体" w:cs="宋体"/>
          <w:color w:val="auto"/>
          <w:sz w:val="24"/>
        </w:rPr>
        <w:t xml:space="preserve">  </w:t>
      </w:r>
      <w:r>
        <w:rPr>
          <w:rFonts w:hint="eastAsia" w:ascii="宋体" w:hAnsi="宋体" w:cs="宋体"/>
          <w:color w:val="auto"/>
          <w:kern w:val="0"/>
          <w:sz w:val="24"/>
          <w:lang w:val="zh-CN"/>
        </w:rPr>
        <w:t>投标人名称(盖公章)：</w:t>
      </w:r>
      <w:r>
        <w:rPr>
          <w:rFonts w:hint="eastAsia" w:ascii="宋体" w:hAnsi="宋体" w:cs="宋体"/>
          <w:color w:val="auto"/>
          <w:szCs w:val="21"/>
        </w:rPr>
        <w:t xml:space="preserve">                                     </w:t>
      </w:r>
      <w:r>
        <w:rPr>
          <w:rFonts w:hint="eastAsia" w:ascii="宋体" w:hAnsi="宋体" w:cs="宋体"/>
          <w:color w:val="auto"/>
          <w:sz w:val="24"/>
        </w:rPr>
        <w:t>年    月    日</w:t>
      </w:r>
    </w:p>
    <w:p>
      <w:pPr>
        <w:pStyle w:val="14"/>
        <w:rPr>
          <w:rFonts w:hint="eastAsia" w:hAnsi="宋体" w:cs="宋体"/>
          <w:b/>
          <w:bCs/>
          <w:color w:val="auto"/>
          <w:sz w:val="28"/>
          <w:szCs w:val="28"/>
        </w:rPr>
      </w:pPr>
      <w:r>
        <w:rPr>
          <w:rFonts w:hint="eastAsia" w:hAnsi="宋体" w:cs="宋体"/>
          <w:b/>
          <w:bCs/>
          <w:color w:val="auto"/>
          <w:sz w:val="28"/>
          <w:szCs w:val="28"/>
        </w:rPr>
        <w:br w:type="page"/>
      </w:r>
      <w:r>
        <w:rPr>
          <w:rFonts w:hint="eastAsia" w:hAnsi="宋体" w:cs="宋体"/>
          <w:b/>
          <w:bCs/>
          <w:color w:val="auto"/>
          <w:sz w:val="28"/>
          <w:szCs w:val="28"/>
        </w:rPr>
        <w:t>6.联合体投标协议书的格式：</w:t>
      </w:r>
    </w:p>
    <w:p>
      <w:pPr>
        <w:pStyle w:val="14"/>
        <w:jc w:val="center"/>
        <w:rPr>
          <w:rFonts w:hint="eastAsia" w:hAnsi="宋体" w:cs="宋体"/>
          <w:color w:val="auto"/>
          <w:sz w:val="28"/>
          <w:szCs w:val="28"/>
        </w:rPr>
      </w:pPr>
      <w:r>
        <w:rPr>
          <w:rFonts w:hint="eastAsia" w:hAnsi="宋体" w:cs="宋体"/>
          <w:b/>
          <w:bCs/>
          <w:color w:val="auto"/>
          <w:sz w:val="28"/>
          <w:szCs w:val="28"/>
        </w:rPr>
        <w:t>联合体投标协议书</w:t>
      </w:r>
    </w:p>
    <w:p>
      <w:pPr>
        <w:autoSpaceDE w:val="0"/>
        <w:autoSpaceDN w:val="0"/>
        <w:adjustRightInd w:val="0"/>
        <w:jc w:val="left"/>
        <w:rPr>
          <w:rFonts w:hint="eastAsia" w:ascii="宋体" w:hAnsi="宋体" w:cs="宋体"/>
          <w:color w:val="auto"/>
          <w:kern w:val="0"/>
          <w:szCs w:val="21"/>
          <w:u w:val="single"/>
        </w:rPr>
      </w:pP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u w:val="single"/>
        </w:rPr>
        <w:t xml:space="preserve">                                                  </w:t>
      </w:r>
      <w:r>
        <w:rPr>
          <w:rFonts w:hint="eastAsia" w:ascii="宋体" w:hAnsi="宋体" w:cs="宋体"/>
          <w:color w:val="auto"/>
          <w:kern w:val="0"/>
          <w:szCs w:val="21"/>
        </w:rPr>
        <w:t>（所有成员单位名称）自愿组成联合体，共同参加</w:t>
      </w:r>
      <w:r>
        <w:rPr>
          <w:rFonts w:hint="eastAsia" w:ascii="宋体" w:hAnsi="宋体" w:cs="宋体"/>
          <w:color w:val="auto"/>
          <w:kern w:val="0"/>
          <w:szCs w:val="21"/>
          <w:u w:val="single"/>
        </w:rPr>
        <w:t xml:space="preserve">    </w:t>
      </w:r>
      <w:bookmarkStart w:id="307" w:name="PO_3000001919_PM031_1"/>
      <w:r>
        <w:rPr>
          <w:rFonts w:hint="eastAsia" w:ascii="宋体" w:hAnsi="宋体" w:cs="宋体"/>
          <w:color w:val="auto"/>
          <w:kern w:val="0"/>
          <w:szCs w:val="21"/>
          <w:u w:val="single"/>
        </w:rPr>
        <w:t>广西科联招标中心有限公司</w:t>
      </w:r>
      <w:bookmarkEnd w:id="307"/>
      <w:r>
        <w:rPr>
          <w:rFonts w:hint="eastAsia" w:ascii="宋体" w:hAnsi="宋体" w:cs="宋体"/>
          <w:color w:val="auto"/>
          <w:kern w:val="0"/>
          <w:szCs w:val="21"/>
          <w:u w:val="single"/>
        </w:rPr>
        <w:t xml:space="preserve">   </w:t>
      </w:r>
      <w:r>
        <w:rPr>
          <w:rFonts w:hint="eastAsia" w:ascii="宋体" w:hAnsi="宋体" w:cs="宋体"/>
          <w:color w:val="auto"/>
          <w:kern w:val="0"/>
          <w:szCs w:val="21"/>
        </w:rPr>
        <w:t>组织的</w:t>
      </w:r>
      <w:r>
        <w:rPr>
          <w:rFonts w:hint="eastAsia" w:ascii="宋体" w:hAnsi="宋体" w:cs="宋体"/>
          <w:color w:val="auto"/>
          <w:kern w:val="0"/>
          <w:szCs w:val="21"/>
          <w:u w:val="single"/>
        </w:rPr>
        <w:t xml:space="preserve">   </w:t>
      </w:r>
      <w:r>
        <w:rPr>
          <w:rFonts w:hint="eastAsia" w:ascii="宋体" w:hAnsi="宋体" w:cs="宋体"/>
          <w:i/>
          <w:iCs/>
          <w:color w:val="auto"/>
          <w:kern w:val="0"/>
          <w:szCs w:val="21"/>
          <w:u w:val="single"/>
        </w:rPr>
        <w:t>（项目名称）</w:t>
      </w:r>
      <w:r>
        <w:rPr>
          <w:rFonts w:hint="eastAsia" w:ascii="宋体" w:hAnsi="宋体" w:cs="宋体"/>
          <w:color w:val="auto"/>
          <w:kern w:val="0"/>
          <w:szCs w:val="21"/>
          <w:u w:val="single"/>
        </w:rPr>
        <w:t xml:space="preserve">  </w:t>
      </w:r>
      <w:r>
        <w:rPr>
          <w:rFonts w:hint="eastAsia" w:ascii="宋体" w:hAnsi="宋体" w:cs="宋体"/>
          <w:color w:val="auto"/>
          <w:kern w:val="0"/>
          <w:szCs w:val="21"/>
        </w:rPr>
        <w:t>（项目编号：</w:t>
      </w:r>
      <w:r>
        <w:rPr>
          <w:rFonts w:hint="eastAsia" w:ascii="宋体" w:hAnsi="宋体" w:cs="宋体"/>
          <w:color w:val="auto"/>
          <w:kern w:val="0"/>
          <w:szCs w:val="21"/>
          <w:u w:val="single"/>
        </w:rPr>
        <w:t xml:space="preserve">           </w:t>
      </w:r>
      <w:r>
        <w:rPr>
          <w:rFonts w:hint="eastAsia" w:ascii="宋体" w:hAnsi="宋体" w:cs="宋体"/>
          <w:color w:val="auto"/>
          <w:kern w:val="0"/>
          <w:szCs w:val="21"/>
        </w:rPr>
        <w:t>）投标。现就联合体投标事宜订立如下协议：</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w:t>
      </w:r>
      <w:r>
        <w:rPr>
          <w:rFonts w:hint="eastAsia" w:ascii="宋体" w:hAnsi="宋体" w:cs="宋体"/>
          <w:color w:val="auto"/>
          <w:kern w:val="0"/>
          <w:szCs w:val="21"/>
        </w:rPr>
        <w:t>（某成员单位名称）为联合体名称牵头人。</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3.联合体牵头人在本项目中签署和盖章的一切文件和处理的一切事宜，联合体各成员均予以承认。 联合体各成员将严格按照招标文件、投标文件和合同的要求全面履行义务，并向采购人承担连带责任。</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4.联合体各成员单位内部的职责分工如下：</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pPr>
        <w:pStyle w:val="14"/>
        <w:spacing w:line="440" w:lineRule="exact"/>
        <w:ind w:firstLine="420" w:firstLineChars="200"/>
        <w:rPr>
          <w:rFonts w:hint="eastAsia" w:hAnsi="宋体" w:cs="宋体"/>
          <w:color w:val="auto"/>
          <w:szCs w:val="21"/>
        </w:rPr>
      </w:pPr>
      <w:r>
        <w:rPr>
          <w:rFonts w:hint="eastAsia" w:hAnsi="宋体" w:cs="宋体"/>
          <w:color w:val="auto"/>
          <w:kern w:val="0"/>
        </w:rPr>
        <w:t>5.本联合体中，</w:t>
      </w:r>
      <w:r>
        <w:rPr>
          <w:rFonts w:hint="eastAsia" w:hAnsi="宋体" w:cs="宋体"/>
          <w:color w:val="auto"/>
          <w:kern w:val="0"/>
          <w:szCs w:val="21"/>
          <w:u w:val="single"/>
        </w:rPr>
        <w:t xml:space="preserve">                                   </w:t>
      </w:r>
      <w:r>
        <w:rPr>
          <w:rFonts w:hint="eastAsia" w:hAnsi="宋体" w:cs="宋体"/>
          <w:color w:val="auto"/>
          <w:kern w:val="0"/>
          <w:u w:val="single"/>
        </w:rPr>
        <w:t>（某成员单位名称）为</w:t>
      </w:r>
      <w:r>
        <w:rPr>
          <w:rFonts w:hint="eastAsia" w:hAnsi="宋体" w:cs="宋体"/>
          <w:color w:val="auto"/>
          <w:kern w:val="0"/>
          <w:szCs w:val="21"/>
          <w:u w:val="single"/>
        </w:rPr>
        <w:t xml:space="preserve">        </w:t>
      </w:r>
      <w:r>
        <w:rPr>
          <w:rFonts w:hint="eastAsia" w:hAnsi="宋体" w:cs="宋体"/>
          <w:color w:val="auto"/>
        </w:rPr>
        <w:t>（请填写：中型、小型、微型）企业，其协议合同金额占联合体协议合同总金额的</w:t>
      </w:r>
      <w:r>
        <w:rPr>
          <w:rFonts w:hint="eastAsia" w:hAnsi="宋体" w:cs="宋体"/>
          <w:color w:val="auto"/>
          <w:kern w:val="0"/>
          <w:szCs w:val="21"/>
          <w:u w:val="single"/>
        </w:rPr>
        <w:t xml:space="preserve">        </w:t>
      </w:r>
      <w:r>
        <w:rPr>
          <w:rFonts w:hint="eastAsia" w:hAnsi="宋体" w:cs="宋体"/>
          <w:color w:val="auto"/>
        </w:rPr>
        <w:t>%。【如联合体成员中有小型、微型企业的，请填写此条，否则无需填写；如联合体成员中有多个小型、微型企业的，请逐一列出】</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6.本协议书自签署之日起生效，合同履行完毕后自动失效。</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7.本协议书一式</w:t>
      </w:r>
      <w:r>
        <w:rPr>
          <w:rFonts w:hint="eastAsia" w:ascii="宋体" w:hAnsi="宋体" w:cs="宋体"/>
          <w:color w:val="auto"/>
          <w:kern w:val="0"/>
          <w:szCs w:val="21"/>
          <w:u w:val="single"/>
        </w:rPr>
        <w:t xml:space="preserve">    </w:t>
      </w:r>
      <w:r>
        <w:rPr>
          <w:rFonts w:hint="eastAsia" w:ascii="宋体" w:hAnsi="宋体" w:cs="宋体"/>
          <w:color w:val="auto"/>
          <w:kern w:val="0"/>
          <w:szCs w:val="21"/>
        </w:rPr>
        <w:t>份，联合体成员和采购代理机构各执一份。</w:t>
      </w:r>
    </w:p>
    <w:p>
      <w:pPr>
        <w:autoSpaceDE w:val="0"/>
        <w:autoSpaceDN w:val="0"/>
        <w:adjustRightInd w:val="0"/>
        <w:spacing w:line="440" w:lineRule="exact"/>
        <w:ind w:firstLine="420"/>
        <w:jc w:val="left"/>
        <w:rPr>
          <w:rFonts w:hint="eastAsia" w:ascii="宋体" w:hAnsi="宋体" w:cs="宋体"/>
          <w:color w:val="auto"/>
          <w:kern w:val="0"/>
          <w:szCs w:val="21"/>
        </w:rPr>
      </w:pPr>
      <w:r>
        <w:rPr>
          <w:rFonts w:hint="eastAsia" w:ascii="宋体" w:hAnsi="宋体" w:cs="宋体"/>
          <w:color w:val="auto"/>
          <w:kern w:val="0"/>
          <w:szCs w:val="21"/>
        </w:rPr>
        <w:t>注：本协议书由法定代表人签字的，应附法定代表人身份证明；本协议书由委托代理人签字的，应附法定代表人授权委托书。</w:t>
      </w: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rPr>
        <w:t>牵头人名称：</w:t>
      </w:r>
      <w:r>
        <w:rPr>
          <w:rFonts w:hint="eastAsia" w:ascii="宋体" w:hAnsi="宋体" w:cs="宋体"/>
          <w:color w:val="auto"/>
          <w:kern w:val="0"/>
          <w:szCs w:val="21"/>
          <w:u w:val="single"/>
        </w:rPr>
        <w:t xml:space="preserve">                                       </w:t>
      </w:r>
      <w:r>
        <w:rPr>
          <w:rFonts w:hint="eastAsia" w:ascii="宋体" w:hAnsi="宋体" w:cs="宋体"/>
          <w:color w:val="auto"/>
          <w:kern w:val="0"/>
          <w:szCs w:val="21"/>
        </w:rPr>
        <w:t>（盖公章）</w:t>
      </w: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rPr>
        <w:t>法定代表人或其委托代理人：</w:t>
      </w:r>
      <w:r>
        <w:rPr>
          <w:rFonts w:hint="eastAsia" w:ascii="宋体" w:hAnsi="宋体" w:cs="宋体"/>
          <w:color w:val="auto"/>
          <w:kern w:val="0"/>
          <w:szCs w:val="21"/>
          <w:u w:val="single"/>
        </w:rPr>
        <w:t xml:space="preserve">                         </w:t>
      </w:r>
      <w:r>
        <w:rPr>
          <w:rFonts w:hint="eastAsia" w:ascii="宋体" w:hAnsi="宋体" w:cs="宋体"/>
          <w:color w:val="auto"/>
          <w:kern w:val="0"/>
          <w:szCs w:val="21"/>
        </w:rPr>
        <w:t>（签字）</w:t>
      </w:r>
    </w:p>
    <w:p>
      <w:pPr>
        <w:autoSpaceDE w:val="0"/>
        <w:autoSpaceDN w:val="0"/>
        <w:adjustRightInd w:val="0"/>
        <w:spacing w:line="440" w:lineRule="exact"/>
        <w:jc w:val="left"/>
        <w:rPr>
          <w:rFonts w:hint="eastAsia" w:ascii="宋体" w:hAnsi="宋体" w:cs="宋体"/>
          <w:color w:val="auto"/>
          <w:kern w:val="0"/>
          <w:szCs w:val="21"/>
        </w:rPr>
      </w:pP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rPr>
        <w:t>成员一名称：</w:t>
      </w:r>
      <w:r>
        <w:rPr>
          <w:rFonts w:hint="eastAsia" w:ascii="宋体" w:hAnsi="宋体" w:cs="宋体"/>
          <w:color w:val="auto"/>
          <w:kern w:val="0"/>
          <w:szCs w:val="21"/>
          <w:u w:val="single"/>
        </w:rPr>
        <w:t xml:space="preserve">                                       </w:t>
      </w:r>
      <w:r>
        <w:rPr>
          <w:rFonts w:hint="eastAsia" w:ascii="宋体" w:hAnsi="宋体" w:cs="宋体"/>
          <w:color w:val="auto"/>
          <w:kern w:val="0"/>
          <w:szCs w:val="21"/>
        </w:rPr>
        <w:t>（盖公章）</w:t>
      </w: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rPr>
        <w:t>法定代表人或其委托代理人：</w:t>
      </w:r>
      <w:r>
        <w:rPr>
          <w:rFonts w:hint="eastAsia" w:ascii="宋体" w:hAnsi="宋体" w:cs="宋体"/>
          <w:color w:val="auto"/>
          <w:kern w:val="0"/>
          <w:szCs w:val="21"/>
          <w:u w:val="single"/>
        </w:rPr>
        <w:t xml:space="preserve">                         </w:t>
      </w:r>
      <w:r>
        <w:rPr>
          <w:rFonts w:hint="eastAsia" w:ascii="宋体" w:hAnsi="宋体" w:cs="宋体"/>
          <w:color w:val="auto"/>
          <w:kern w:val="0"/>
          <w:szCs w:val="21"/>
        </w:rPr>
        <w:t>（签字）</w:t>
      </w:r>
    </w:p>
    <w:p>
      <w:pPr>
        <w:autoSpaceDE w:val="0"/>
        <w:autoSpaceDN w:val="0"/>
        <w:adjustRightInd w:val="0"/>
        <w:spacing w:line="440" w:lineRule="exact"/>
        <w:jc w:val="left"/>
        <w:rPr>
          <w:rFonts w:hint="eastAsia" w:ascii="宋体" w:hAnsi="宋体" w:cs="宋体"/>
          <w:color w:val="auto"/>
          <w:kern w:val="0"/>
          <w:szCs w:val="21"/>
        </w:rPr>
      </w:pPr>
    </w:p>
    <w:p>
      <w:pPr>
        <w:autoSpaceDE w:val="0"/>
        <w:autoSpaceDN w:val="0"/>
        <w:adjustRightInd w:val="0"/>
        <w:spacing w:line="440" w:lineRule="exact"/>
        <w:jc w:val="left"/>
        <w:rPr>
          <w:rFonts w:hint="eastAsia" w:ascii="宋体" w:hAnsi="宋体" w:cs="宋体"/>
          <w:color w:val="auto"/>
          <w:kern w:val="0"/>
          <w:szCs w:val="21"/>
        </w:rPr>
      </w:pPr>
      <w:r>
        <w:rPr>
          <w:rFonts w:hint="eastAsia" w:ascii="宋体" w:hAnsi="宋体" w:cs="宋体"/>
          <w:color w:val="auto"/>
          <w:kern w:val="0"/>
          <w:szCs w:val="21"/>
        </w:rPr>
        <w:t>成员二名称：</w:t>
      </w:r>
      <w:r>
        <w:rPr>
          <w:rFonts w:hint="eastAsia" w:ascii="宋体" w:hAnsi="宋体" w:cs="宋体"/>
          <w:color w:val="auto"/>
          <w:kern w:val="0"/>
          <w:szCs w:val="21"/>
          <w:u w:val="single"/>
        </w:rPr>
        <w:t xml:space="preserve">                                       </w:t>
      </w:r>
      <w:r>
        <w:rPr>
          <w:rFonts w:hint="eastAsia" w:ascii="宋体" w:hAnsi="宋体" w:cs="宋体"/>
          <w:color w:val="auto"/>
          <w:kern w:val="0"/>
          <w:szCs w:val="21"/>
        </w:rPr>
        <w:t>（盖公章）</w:t>
      </w:r>
    </w:p>
    <w:p>
      <w:pPr>
        <w:pStyle w:val="14"/>
        <w:spacing w:line="440" w:lineRule="exact"/>
        <w:rPr>
          <w:rFonts w:hint="eastAsia" w:hAnsi="宋体" w:cs="宋体"/>
          <w:color w:val="auto"/>
          <w:kern w:val="0"/>
          <w:szCs w:val="21"/>
        </w:rPr>
      </w:pPr>
      <w:r>
        <w:rPr>
          <w:rFonts w:hint="eastAsia" w:hAnsi="宋体" w:cs="宋体"/>
          <w:color w:val="auto"/>
          <w:kern w:val="0"/>
          <w:szCs w:val="21"/>
        </w:rPr>
        <w:t>法定代表人或其委托代理人：</w:t>
      </w:r>
      <w:r>
        <w:rPr>
          <w:rFonts w:hint="eastAsia" w:hAnsi="宋体" w:cs="宋体"/>
          <w:color w:val="auto"/>
          <w:kern w:val="0"/>
          <w:szCs w:val="21"/>
          <w:u w:val="single"/>
        </w:rPr>
        <w:t xml:space="preserve">                         </w:t>
      </w:r>
      <w:r>
        <w:rPr>
          <w:rFonts w:hint="eastAsia" w:hAnsi="宋体" w:cs="宋体"/>
          <w:color w:val="auto"/>
          <w:kern w:val="0"/>
          <w:szCs w:val="21"/>
        </w:rPr>
        <w:t>（签字）</w:t>
      </w:r>
    </w:p>
    <w:p>
      <w:pPr>
        <w:pStyle w:val="7"/>
        <w:overflowPunct w:val="0"/>
        <w:spacing w:line="440" w:lineRule="exact"/>
        <w:ind w:firstLineChars="175"/>
        <w:rPr>
          <w:rFonts w:hint="eastAsia" w:ascii="宋体" w:hAnsi="宋体" w:cs="宋体"/>
          <w:color w:val="auto"/>
          <w:sz w:val="24"/>
        </w:rPr>
      </w:pPr>
      <w:r>
        <w:rPr>
          <w:rFonts w:hint="eastAsia" w:ascii="宋体" w:hAnsi="宋体" w:cs="宋体"/>
          <w:color w:val="auto"/>
          <w:sz w:val="24"/>
        </w:rPr>
        <w:t>……</w:t>
      </w:r>
    </w:p>
    <w:p>
      <w:pPr>
        <w:pStyle w:val="7"/>
        <w:overflowPunct w:val="0"/>
        <w:spacing w:line="480" w:lineRule="exact"/>
        <w:ind w:firstLineChars="175"/>
        <w:rPr>
          <w:rFonts w:hint="eastAsia" w:ascii="宋体" w:hAnsi="宋体" w:cs="宋体"/>
          <w:color w:val="auto"/>
          <w:sz w:val="24"/>
        </w:rPr>
      </w:pPr>
    </w:p>
    <w:p>
      <w:pPr>
        <w:pStyle w:val="7"/>
        <w:overflowPunct w:val="0"/>
        <w:ind w:firstLine="7140" w:firstLineChars="2975"/>
        <w:rPr>
          <w:rFonts w:hint="eastAsia"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rPr>
        <w:tab/>
      </w:r>
      <w:r>
        <w:rPr>
          <w:rFonts w:hint="eastAsia" w:ascii="宋体" w:hAnsi="宋体" w:cs="宋体"/>
          <w:color w:val="auto"/>
          <w:sz w:val="24"/>
        </w:rPr>
        <w:t xml:space="preserve">年  </w:t>
      </w:r>
      <w:r>
        <w:rPr>
          <w:rFonts w:hint="eastAsia" w:ascii="宋体" w:hAnsi="宋体" w:cs="宋体"/>
          <w:color w:val="auto"/>
          <w:sz w:val="24"/>
        </w:rPr>
        <w:tab/>
      </w:r>
      <w:r>
        <w:rPr>
          <w:rFonts w:hint="eastAsia" w:ascii="宋体" w:hAnsi="宋体" w:cs="宋体"/>
          <w:color w:val="auto"/>
          <w:sz w:val="24"/>
        </w:rPr>
        <w:t xml:space="preserve">月  </w:t>
      </w:r>
      <w:r>
        <w:rPr>
          <w:rFonts w:hint="eastAsia" w:ascii="宋体" w:hAnsi="宋体" w:cs="宋体"/>
          <w:color w:val="auto"/>
          <w:sz w:val="24"/>
        </w:rPr>
        <w:tab/>
      </w:r>
      <w:r>
        <w:rPr>
          <w:rFonts w:hint="eastAsia" w:ascii="宋体" w:hAnsi="宋体" w:cs="宋体"/>
          <w:color w:val="auto"/>
          <w:sz w:val="24"/>
        </w:rPr>
        <w:t>日</w:t>
      </w:r>
    </w:p>
    <w:p>
      <w:pPr>
        <w:pStyle w:val="14"/>
        <w:spacing w:line="600" w:lineRule="exact"/>
        <w:jc w:val="center"/>
        <w:rPr>
          <w:rFonts w:hint="eastAsia" w:hAnsi="宋体" w:cs="宋体"/>
          <w:color w:val="auto"/>
        </w:rPr>
      </w:pPr>
    </w:p>
    <w:p>
      <w:pPr>
        <w:widowControl/>
        <w:spacing w:line="360" w:lineRule="auto"/>
        <w:jc w:val="left"/>
        <w:rPr>
          <w:rFonts w:hint="eastAsia" w:ascii="宋体" w:hAnsi="宋体" w:cs="宋体"/>
          <w:color w:val="auto"/>
          <w:szCs w:val="21"/>
        </w:rPr>
        <w:sectPr>
          <w:pgSz w:w="11906" w:h="16838"/>
          <w:pgMar w:top="1134" w:right="1020" w:bottom="1020" w:left="1134" w:header="720" w:footer="720" w:gutter="0"/>
          <w:cols w:space="720" w:num="1"/>
          <w:docGrid w:type="lines" w:linePitch="331" w:charSpace="0"/>
        </w:sectPr>
      </w:pPr>
    </w:p>
    <w:p>
      <w:pPr>
        <w:pStyle w:val="14"/>
        <w:jc w:val="center"/>
        <w:outlineLvl w:val="1"/>
        <w:rPr>
          <w:rFonts w:hint="eastAsia" w:hAnsi="宋体" w:cs="宋体"/>
          <w:color w:val="auto"/>
          <w:szCs w:val="21"/>
        </w:rPr>
      </w:pPr>
    </w:p>
    <w:p>
      <w:pPr>
        <w:pStyle w:val="14"/>
        <w:jc w:val="center"/>
        <w:outlineLvl w:val="1"/>
        <w:rPr>
          <w:rFonts w:hint="eastAsia" w:hAnsi="宋体" w:cs="宋体"/>
          <w:b/>
          <w:bCs/>
          <w:color w:val="auto"/>
          <w:sz w:val="28"/>
          <w:szCs w:val="28"/>
        </w:rPr>
      </w:pPr>
      <w:bookmarkStart w:id="308" w:name="_Toc13859"/>
      <w:bookmarkStart w:id="309" w:name="_Toc13558"/>
      <w:bookmarkStart w:id="310" w:name="_Toc15031"/>
      <w:bookmarkStart w:id="311" w:name="_Toc19686838"/>
      <w:bookmarkStart w:id="312" w:name="_Toc32555"/>
      <w:bookmarkStart w:id="313" w:name="_Toc22991"/>
      <w:r>
        <w:rPr>
          <w:rFonts w:hint="eastAsia" w:hAnsi="宋体" w:cs="宋体"/>
          <w:b/>
          <w:bCs/>
          <w:color w:val="auto"/>
          <w:sz w:val="28"/>
          <w:szCs w:val="28"/>
        </w:rPr>
        <w:t>第二节 商务技术文件格式</w:t>
      </w:r>
      <w:bookmarkEnd w:id="308"/>
      <w:bookmarkEnd w:id="309"/>
      <w:bookmarkEnd w:id="310"/>
      <w:bookmarkEnd w:id="311"/>
      <w:bookmarkEnd w:id="312"/>
      <w:bookmarkEnd w:id="313"/>
    </w:p>
    <w:p>
      <w:pPr>
        <w:snapToGrid w:val="0"/>
        <w:spacing w:before="165" w:beforeLines="50" w:after="50"/>
        <w:rPr>
          <w:rFonts w:hint="eastAsia" w:ascii="宋体" w:hAnsi="宋体" w:cs="宋体"/>
          <w:color w:val="auto"/>
          <w:sz w:val="30"/>
          <w:szCs w:val="20"/>
        </w:rPr>
      </w:pPr>
    </w:p>
    <w:p>
      <w:pPr>
        <w:snapToGrid w:val="0"/>
        <w:spacing w:before="165" w:beforeLines="50" w:after="50"/>
        <w:rPr>
          <w:rFonts w:hint="eastAsia" w:ascii="宋体" w:hAnsi="宋体" w:cs="宋体"/>
          <w:b/>
          <w:color w:val="auto"/>
          <w:sz w:val="28"/>
          <w:szCs w:val="28"/>
        </w:rPr>
      </w:pPr>
      <w:r>
        <w:rPr>
          <w:rFonts w:hint="eastAsia" w:ascii="宋体" w:hAnsi="宋体" w:cs="宋体"/>
          <w:b/>
          <w:color w:val="auto"/>
          <w:sz w:val="28"/>
          <w:szCs w:val="28"/>
        </w:rPr>
        <w:t>1.商务技术文件封面的格式（参照此格式自拟）：</w:t>
      </w:r>
    </w:p>
    <w:p>
      <w:pPr>
        <w:pStyle w:val="17"/>
        <w:rPr>
          <w:color w:val="auto"/>
        </w:rPr>
      </w:pPr>
    </w:p>
    <w:p>
      <w:pPr>
        <w:snapToGrid w:val="0"/>
        <w:spacing w:before="165" w:beforeLines="50" w:after="50"/>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Cs/>
          <w:color w:val="auto"/>
        </w:rPr>
        <w:t xml:space="preserve">             电子版投标文件</w:t>
      </w:r>
    </w:p>
    <w:p>
      <w:pPr>
        <w:snapToGrid w:val="0"/>
        <w:spacing w:before="165" w:beforeLines="50" w:after="50"/>
        <w:rPr>
          <w:rFonts w:hint="eastAsia" w:ascii="宋体" w:hAnsi="宋体" w:cs="宋体"/>
          <w:color w:val="auto"/>
          <w:sz w:val="24"/>
          <w:szCs w:val="20"/>
        </w:rPr>
      </w:pPr>
    </w:p>
    <w:p>
      <w:pPr>
        <w:snapToGrid w:val="0"/>
        <w:spacing w:before="165" w:beforeLines="50" w:after="50"/>
        <w:jc w:val="center"/>
        <w:rPr>
          <w:rFonts w:hint="eastAsia" w:ascii="宋体" w:hAnsi="宋体" w:cs="宋体"/>
          <w:b/>
          <w:color w:val="auto"/>
          <w:sz w:val="32"/>
          <w:szCs w:val="32"/>
        </w:rPr>
      </w:pPr>
    </w:p>
    <w:p>
      <w:pPr>
        <w:snapToGrid w:val="0"/>
        <w:spacing w:before="165" w:beforeLines="50" w:after="50"/>
        <w:jc w:val="center"/>
        <w:rPr>
          <w:rFonts w:hint="eastAsia" w:ascii="宋体" w:hAnsi="宋体" w:cs="宋体"/>
          <w:bCs/>
          <w:color w:val="auto"/>
          <w:sz w:val="24"/>
          <w:szCs w:val="20"/>
        </w:rPr>
      </w:pPr>
      <w:r>
        <w:rPr>
          <w:rFonts w:hint="eastAsia" w:ascii="宋体" w:hAnsi="宋体" w:cs="宋体"/>
          <w:b/>
          <w:color w:val="auto"/>
          <w:sz w:val="32"/>
          <w:szCs w:val="32"/>
        </w:rPr>
        <w:t>商务技术文件</w:t>
      </w:r>
    </w:p>
    <w:p>
      <w:pPr>
        <w:snapToGrid w:val="0"/>
        <w:spacing w:before="165" w:beforeLines="50" w:after="50"/>
        <w:ind w:firstLine="540" w:firstLineChars="225"/>
        <w:rPr>
          <w:rFonts w:hint="eastAsia" w:ascii="宋体" w:hAnsi="宋体" w:cs="宋体"/>
          <w:bCs/>
          <w:color w:val="auto"/>
          <w:sz w:val="24"/>
        </w:rPr>
      </w:pPr>
    </w:p>
    <w:p>
      <w:pPr>
        <w:snapToGrid w:val="0"/>
        <w:spacing w:before="165" w:beforeLines="50" w:after="50"/>
        <w:ind w:firstLine="540" w:firstLineChars="225"/>
        <w:rPr>
          <w:rFonts w:hint="eastAsia" w:ascii="宋体" w:hAnsi="宋体" w:cs="宋体"/>
          <w:bCs/>
          <w:color w:val="auto"/>
          <w:sz w:val="24"/>
        </w:rPr>
      </w:pPr>
    </w:p>
    <w:p>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项目名称：</w:t>
      </w:r>
    </w:p>
    <w:p>
      <w:pPr>
        <w:snapToGrid w:val="0"/>
        <w:spacing w:before="165" w:beforeLines="50" w:after="50"/>
        <w:ind w:firstLine="540" w:firstLineChars="225"/>
        <w:rPr>
          <w:rFonts w:hint="eastAsia" w:ascii="宋体" w:hAnsi="宋体" w:cs="宋体"/>
          <w:bCs/>
          <w:color w:val="auto"/>
          <w:sz w:val="24"/>
          <w:szCs w:val="20"/>
        </w:rPr>
      </w:pPr>
    </w:p>
    <w:p>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项目编号：</w:t>
      </w:r>
    </w:p>
    <w:p>
      <w:pPr>
        <w:snapToGrid w:val="0"/>
        <w:spacing w:before="165" w:beforeLines="50" w:after="50"/>
        <w:ind w:firstLine="540" w:firstLineChars="225"/>
        <w:rPr>
          <w:rFonts w:hint="eastAsia" w:ascii="宋体" w:hAnsi="宋体" w:cs="宋体"/>
          <w:bCs/>
          <w:color w:val="auto"/>
          <w:sz w:val="24"/>
          <w:szCs w:val="20"/>
        </w:rPr>
      </w:pPr>
      <w:r>
        <w:rPr>
          <w:rFonts w:hint="eastAsia" w:ascii="宋体" w:hAnsi="宋体" w:cs="宋体"/>
          <w:bCs/>
          <w:color w:val="auto"/>
          <w:sz w:val="24"/>
        </w:rPr>
        <w:t xml:space="preserve"> </w:t>
      </w:r>
    </w:p>
    <w:p>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所投分标（如有则填写，无分标时填写“无”或者留空）：</w:t>
      </w:r>
    </w:p>
    <w:p>
      <w:pPr>
        <w:snapToGrid w:val="0"/>
        <w:spacing w:before="165" w:beforeLines="50" w:after="50"/>
        <w:ind w:firstLine="540" w:firstLineChars="225"/>
        <w:rPr>
          <w:rFonts w:hint="eastAsia" w:ascii="宋体" w:hAnsi="宋体" w:cs="宋体"/>
          <w:bCs/>
          <w:color w:val="auto"/>
          <w:sz w:val="24"/>
          <w:szCs w:val="20"/>
        </w:rPr>
      </w:pPr>
    </w:p>
    <w:p>
      <w:pPr>
        <w:pStyle w:val="7"/>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投标人名称：</w:t>
      </w:r>
    </w:p>
    <w:p>
      <w:pPr>
        <w:pStyle w:val="7"/>
        <w:snapToGrid w:val="0"/>
        <w:spacing w:before="50" w:after="50"/>
        <w:ind w:firstLine="540" w:firstLineChars="225"/>
        <w:rPr>
          <w:rFonts w:hint="eastAsia" w:ascii="宋体" w:hAnsi="宋体" w:cs="宋体"/>
          <w:bCs/>
          <w:color w:val="auto"/>
          <w:sz w:val="24"/>
          <w:szCs w:val="24"/>
        </w:rPr>
      </w:pPr>
    </w:p>
    <w:p>
      <w:pPr>
        <w:pStyle w:val="7"/>
        <w:snapToGrid w:val="0"/>
        <w:spacing w:before="50" w:after="50"/>
        <w:ind w:firstLine="960" w:firstLineChars="400"/>
        <w:rPr>
          <w:rFonts w:hint="eastAsia" w:ascii="宋体" w:hAnsi="宋体" w:cs="宋体"/>
          <w:bCs/>
          <w:color w:val="auto"/>
          <w:sz w:val="24"/>
          <w:szCs w:val="24"/>
        </w:rPr>
      </w:pPr>
    </w:p>
    <w:p>
      <w:pPr>
        <w:snapToGrid w:val="0"/>
        <w:spacing w:before="165" w:beforeLines="50" w:after="50"/>
        <w:ind w:firstLine="645"/>
        <w:rPr>
          <w:rFonts w:hint="eastAsia" w:ascii="宋体" w:hAnsi="宋体" w:cs="宋体"/>
          <w:color w:val="auto"/>
          <w:sz w:val="24"/>
        </w:rPr>
      </w:pPr>
      <w:r>
        <w:rPr>
          <w:rFonts w:hint="eastAsia" w:ascii="宋体" w:hAnsi="宋体" w:cs="宋体"/>
          <w:color w:val="auto"/>
          <w:sz w:val="24"/>
        </w:rPr>
        <w:t xml:space="preserve">                        </w:t>
      </w:r>
    </w:p>
    <w:p>
      <w:pPr>
        <w:snapToGrid w:val="0"/>
        <w:spacing w:before="165" w:beforeLines="50" w:after="50"/>
        <w:ind w:firstLine="645"/>
        <w:rPr>
          <w:rFonts w:hint="eastAsia" w:ascii="宋体" w:hAnsi="宋体" w:cs="宋体"/>
          <w:color w:val="auto"/>
          <w:sz w:val="24"/>
        </w:rPr>
      </w:pPr>
    </w:p>
    <w:p>
      <w:pPr>
        <w:snapToGrid w:val="0"/>
        <w:spacing w:before="165" w:beforeLines="50" w:after="50"/>
        <w:ind w:firstLine="4329" w:firstLineChars="1804"/>
        <w:rPr>
          <w:rFonts w:hint="eastAsia" w:ascii="宋体" w:hAnsi="宋体" w:cs="宋体"/>
          <w:color w:val="auto"/>
          <w:sz w:val="24"/>
        </w:rPr>
      </w:pPr>
      <w:r>
        <w:rPr>
          <w:rFonts w:hint="eastAsia" w:ascii="宋体" w:hAnsi="宋体" w:cs="宋体"/>
          <w:color w:val="auto"/>
          <w:sz w:val="24"/>
        </w:rPr>
        <w:t>年   月   日</w:t>
      </w:r>
    </w:p>
    <w:p>
      <w:pPr>
        <w:snapToGrid w:val="0"/>
        <w:spacing w:before="165" w:beforeLines="50" w:after="50"/>
        <w:rPr>
          <w:rFonts w:hint="eastAsia" w:ascii="宋体" w:hAnsi="宋体" w:cs="宋体"/>
          <w:color w:val="auto"/>
          <w:sz w:val="24"/>
          <w:szCs w:val="20"/>
        </w:rPr>
      </w:pPr>
      <w:r>
        <w:rPr>
          <w:rFonts w:hint="eastAsia" w:ascii="宋体" w:hAnsi="宋体" w:cs="宋体"/>
          <w:color w:val="auto"/>
          <w:sz w:val="24"/>
          <w:szCs w:val="20"/>
        </w:rPr>
        <w:t xml:space="preserve"> </w:t>
      </w:r>
    </w:p>
    <w:p>
      <w:pPr>
        <w:spacing w:line="360" w:lineRule="auto"/>
        <w:ind w:right="420"/>
        <w:rPr>
          <w:rFonts w:hint="eastAsia" w:ascii="宋体" w:hAnsi="宋体" w:cs="宋体"/>
          <w:color w:val="auto"/>
          <w:sz w:val="24"/>
          <w:szCs w:val="20"/>
        </w:rPr>
      </w:pPr>
    </w:p>
    <w:p>
      <w:pPr>
        <w:spacing w:line="360" w:lineRule="auto"/>
        <w:ind w:right="420"/>
        <w:rPr>
          <w:rFonts w:hint="eastAsia" w:ascii="宋体" w:hAnsi="宋体" w:cs="宋体"/>
          <w:color w:val="auto"/>
          <w:sz w:val="24"/>
          <w:szCs w:val="20"/>
        </w:rPr>
      </w:pPr>
    </w:p>
    <w:p>
      <w:pPr>
        <w:spacing w:line="360" w:lineRule="auto"/>
        <w:ind w:right="420"/>
        <w:rPr>
          <w:rFonts w:hint="eastAsia" w:ascii="宋体" w:hAnsi="宋体" w:cs="宋体"/>
          <w:color w:val="auto"/>
          <w:sz w:val="24"/>
          <w:szCs w:val="20"/>
        </w:rPr>
      </w:pPr>
    </w:p>
    <w:p>
      <w:pPr>
        <w:spacing w:line="360" w:lineRule="auto"/>
        <w:ind w:right="420"/>
        <w:rPr>
          <w:rFonts w:hint="eastAsia" w:ascii="宋体" w:hAnsi="宋体" w:cs="宋体"/>
          <w:color w:val="auto"/>
          <w:sz w:val="24"/>
          <w:szCs w:val="20"/>
        </w:rPr>
      </w:pPr>
    </w:p>
    <w:p>
      <w:pPr>
        <w:spacing w:line="360" w:lineRule="auto"/>
        <w:ind w:right="420"/>
        <w:rPr>
          <w:rFonts w:hint="eastAsia" w:ascii="宋体" w:hAnsi="宋体" w:cs="宋体"/>
          <w:color w:val="auto"/>
          <w:sz w:val="24"/>
          <w:szCs w:val="20"/>
        </w:rPr>
      </w:pPr>
    </w:p>
    <w:p>
      <w:pPr>
        <w:spacing w:line="360" w:lineRule="auto"/>
        <w:ind w:right="420"/>
        <w:rPr>
          <w:rFonts w:hint="eastAsia" w:ascii="宋体" w:hAnsi="宋体" w:cs="宋体"/>
          <w:b/>
          <w:bCs/>
          <w:color w:val="auto"/>
          <w:sz w:val="28"/>
          <w:szCs w:val="28"/>
        </w:rPr>
      </w:pPr>
    </w:p>
    <w:p>
      <w:pPr>
        <w:spacing w:line="360" w:lineRule="auto"/>
        <w:ind w:right="420"/>
        <w:rPr>
          <w:rFonts w:hint="eastAsia" w:ascii="宋体" w:hAnsi="宋体" w:cs="宋体"/>
          <w:color w:val="auto"/>
          <w:sz w:val="24"/>
          <w:szCs w:val="20"/>
        </w:rPr>
      </w:pPr>
      <w:r>
        <w:rPr>
          <w:rFonts w:hint="eastAsia" w:ascii="宋体" w:hAnsi="宋体" w:cs="宋体"/>
          <w:b/>
          <w:bCs/>
          <w:color w:val="auto"/>
          <w:sz w:val="28"/>
          <w:szCs w:val="28"/>
        </w:rPr>
        <w:t>2.商务技术文件目录</w:t>
      </w:r>
    </w:p>
    <w:p>
      <w:pPr>
        <w:spacing w:line="360" w:lineRule="auto"/>
        <w:ind w:right="420"/>
        <w:rPr>
          <w:rFonts w:hint="eastAsia" w:ascii="宋体" w:hAnsi="宋体" w:cs="宋体"/>
          <w:b/>
          <w:color w:val="auto"/>
          <w:kern w:val="0"/>
          <w:sz w:val="36"/>
          <w:szCs w:val="36"/>
        </w:rPr>
      </w:pPr>
      <w:r>
        <w:rPr>
          <w:rFonts w:hint="eastAsia" w:ascii="宋体" w:hAnsi="宋体" w:cs="宋体"/>
          <w:color w:val="auto"/>
          <w:kern w:val="0"/>
          <w:sz w:val="24"/>
        </w:rPr>
        <w:t>根据招标文件规定及投标人提供的材料自行编写目录（部分格式后附）。</w:t>
      </w:r>
    </w:p>
    <w:p>
      <w:pPr>
        <w:rPr>
          <w:rFonts w:hint="eastAsia" w:ascii="宋体" w:hAnsi="宋体" w:cs="宋体"/>
          <w:b/>
          <w:color w:val="auto"/>
          <w:kern w:val="0"/>
          <w:sz w:val="24"/>
        </w:rPr>
      </w:pPr>
    </w:p>
    <w:p>
      <w:pPr>
        <w:spacing w:line="360" w:lineRule="auto"/>
        <w:rPr>
          <w:rFonts w:hint="eastAsia" w:ascii="宋体" w:hAnsi="宋体" w:cs="宋体"/>
          <w:b/>
          <w:bCs/>
          <w:color w:val="auto"/>
          <w:sz w:val="24"/>
        </w:rPr>
      </w:pPr>
    </w:p>
    <w:p>
      <w:pPr>
        <w:widowControl/>
        <w:spacing w:line="360" w:lineRule="auto"/>
        <w:jc w:val="left"/>
        <w:rPr>
          <w:rFonts w:hint="eastAsia" w:ascii="宋体" w:hAnsi="宋体" w:cs="宋体"/>
          <w:color w:val="auto"/>
        </w:rPr>
        <w:sectPr>
          <w:pgSz w:w="11906" w:h="16838"/>
          <w:pgMar w:top="1134" w:right="1020" w:bottom="1020" w:left="1134" w:header="720" w:footer="720" w:gutter="0"/>
          <w:cols w:space="720" w:num="1"/>
          <w:docGrid w:type="lines" w:linePitch="331" w:charSpace="0"/>
        </w:sectPr>
      </w:pPr>
    </w:p>
    <w:p>
      <w:pPr>
        <w:snapToGrid w:val="0"/>
        <w:spacing w:before="165" w:beforeLines="50" w:after="50"/>
        <w:rPr>
          <w:rFonts w:hint="eastAsia" w:ascii="宋体" w:hAnsi="宋体" w:cs="宋体"/>
          <w:b/>
          <w:bCs/>
          <w:color w:val="auto"/>
          <w:sz w:val="28"/>
          <w:szCs w:val="28"/>
        </w:rPr>
      </w:pPr>
      <w:r>
        <w:rPr>
          <w:rFonts w:hint="eastAsia" w:ascii="宋体" w:hAnsi="宋体" w:cs="宋体"/>
          <w:b/>
          <w:bCs/>
          <w:color w:val="auto"/>
          <w:sz w:val="28"/>
          <w:szCs w:val="28"/>
        </w:rPr>
        <w:t>3.无串通投标行为的承诺函的格式：</w:t>
      </w:r>
    </w:p>
    <w:p>
      <w:pPr>
        <w:snapToGrid w:val="0"/>
        <w:spacing w:before="165" w:beforeLines="50" w:after="50"/>
        <w:ind w:left="420"/>
        <w:jc w:val="center"/>
        <w:rPr>
          <w:rFonts w:hint="eastAsia" w:ascii="宋体" w:hAnsi="宋体" w:cs="宋体"/>
          <w:b/>
          <w:color w:val="auto"/>
          <w:sz w:val="28"/>
          <w:szCs w:val="28"/>
        </w:rPr>
      </w:pPr>
    </w:p>
    <w:p>
      <w:pPr>
        <w:snapToGrid w:val="0"/>
        <w:spacing w:before="165" w:beforeLines="50" w:after="50"/>
        <w:ind w:left="420"/>
        <w:jc w:val="center"/>
        <w:rPr>
          <w:rFonts w:hint="eastAsia" w:ascii="宋体" w:hAnsi="宋体" w:cs="宋体"/>
          <w:b/>
          <w:color w:val="auto"/>
          <w:sz w:val="28"/>
          <w:szCs w:val="28"/>
        </w:rPr>
      </w:pPr>
      <w:r>
        <w:rPr>
          <w:rFonts w:hint="eastAsia" w:ascii="宋体" w:hAnsi="宋体" w:cs="宋体"/>
          <w:b/>
          <w:color w:val="auto"/>
          <w:sz w:val="28"/>
          <w:szCs w:val="28"/>
        </w:rPr>
        <w:t>参加本项目无</w:t>
      </w:r>
      <w:r>
        <w:rPr>
          <w:rFonts w:hint="eastAsia" w:ascii="宋体" w:hAnsi="宋体" w:cs="宋体"/>
          <w:b/>
          <w:bCs/>
          <w:color w:val="auto"/>
          <w:sz w:val="28"/>
          <w:szCs w:val="28"/>
        </w:rPr>
        <w:t>串通投标</w:t>
      </w:r>
      <w:r>
        <w:rPr>
          <w:rFonts w:hint="eastAsia" w:ascii="宋体" w:hAnsi="宋体" w:cs="宋体"/>
          <w:b/>
          <w:color w:val="auto"/>
          <w:sz w:val="28"/>
          <w:szCs w:val="28"/>
        </w:rPr>
        <w:t>行为的承诺函</w:t>
      </w:r>
    </w:p>
    <w:p>
      <w:pPr>
        <w:snapToGrid w:val="0"/>
        <w:spacing w:before="165" w:beforeLines="50" w:after="50"/>
        <w:rPr>
          <w:rFonts w:hint="eastAsia" w:ascii="宋体" w:hAnsi="宋体" w:cs="宋体"/>
          <w:b/>
          <w:color w:val="auto"/>
          <w:szCs w:val="21"/>
        </w:rPr>
      </w:pPr>
    </w:p>
    <w:p>
      <w:pPr>
        <w:snapToGrid w:val="0"/>
        <w:spacing w:before="165" w:beforeLines="50" w:after="50" w:line="360" w:lineRule="auto"/>
        <w:jc w:val="left"/>
        <w:rPr>
          <w:rFonts w:hint="eastAsia" w:ascii="宋体" w:hAnsi="宋体" w:cs="宋体"/>
          <w:b/>
          <w:color w:val="auto"/>
          <w:szCs w:val="21"/>
        </w:rPr>
      </w:pPr>
      <w:r>
        <w:rPr>
          <w:rFonts w:hint="eastAsia" w:ascii="宋体" w:hAnsi="宋体" w:cs="宋体"/>
          <w:b/>
          <w:color w:val="auto"/>
          <w:szCs w:val="21"/>
        </w:rPr>
        <w:t>一、我方承诺无下列相互串通投标的情形：</w:t>
      </w:r>
    </w:p>
    <w:p>
      <w:pPr>
        <w:pStyle w:val="10"/>
        <w:ind w:firstLine="420" w:firstLineChars="200"/>
        <w:rPr>
          <w:rFonts w:hint="eastAsia" w:ascii="宋体" w:hAnsi="宋体" w:cs="宋体"/>
          <w:color w:val="auto"/>
          <w:szCs w:val="21"/>
        </w:rPr>
      </w:pPr>
      <w:r>
        <w:rPr>
          <w:rFonts w:hint="eastAsia" w:ascii="宋体" w:hAnsi="宋体" w:cs="宋体"/>
          <w:color w:val="auto"/>
          <w:szCs w:val="21"/>
        </w:rPr>
        <w:t>1.不同投标人的投标文件由同一单位或者个人编制；或者不同投标人报名的IP地址一致的；</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2.不同投标人委托同一单位或者个人办理投标事宜；</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3.不同的投标人的投标文件载明的项目管理员为同一个人；</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4.不同投标人的投标文件异常一致或者投标报价呈规律性差异；</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5.不同投标人的投标文件相互混装；</w:t>
      </w:r>
    </w:p>
    <w:p>
      <w:pPr>
        <w:snapToGrid w:val="0"/>
        <w:spacing w:before="165" w:beforeLines="50" w:after="50" w:line="360" w:lineRule="auto"/>
        <w:ind w:firstLine="411" w:firstLineChars="196"/>
        <w:jc w:val="left"/>
        <w:rPr>
          <w:rFonts w:hint="eastAsia" w:ascii="宋体" w:hAnsi="宋体" w:cs="宋体"/>
          <w:color w:val="auto"/>
          <w:szCs w:val="21"/>
        </w:rPr>
      </w:pPr>
      <w:r>
        <w:rPr>
          <w:rFonts w:ascii="宋体" w:hAnsi="宋体" w:cs="宋体"/>
          <w:color w:val="auto"/>
          <w:szCs w:val="21"/>
        </w:rPr>
        <w:t>6</w:t>
      </w:r>
      <w:r>
        <w:rPr>
          <w:rFonts w:hint="eastAsia" w:ascii="宋体" w:hAnsi="宋体" w:cs="宋体"/>
          <w:color w:val="auto"/>
          <w:szCs w:val="21"/>
        </w:rPr>
        <w:t>.不同投标人的投标保证金从同一单位或者个人账户转出。</w:t>
      </w:r>
    </w:p>
    <w:p>
      <w:pPr>
        <w:snapToGrid w:val="0"/>
        <w:spacing w:before="165" w:beforeLines="50" w:after="50" w:line="360" w:lineRule="auto"/>
        <w:jc w:val="left"/>
        <w:rPr>
          <w:rFonts w:hint="eastAsia" w:ascii="宋体" w:hAnsi="宋体" w:cs="宋体"/>
          <w:color w:val="auto"/>
          <w:szCs w:val="21"/>
        </w:rPr>
      </w:pPr>
      <w:r>
        <w:rPr>
          <w:rFonts w:hint="eastAsia" w:ascii="宋体" w:hAnsi="宋体" w:cs="宋体"/>
          <w:b/>
          <w:color w:val="auto"/>
          <w:szCs w:val="21"/>
        </w:rPr>
        <w:t>二、我方承诺无下列恶意串通的情形：</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1.投标人直接或者间接从采购人或者采购代理机构处获得其他投标人的相关信息并修改其投标文件；</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2.投标人按照采购人或者采购代理机构的授意撤换、修改投标文件；</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3.投标人之间协商报价、技术方案等投标文件的实质性内容；</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4.属于同一集团、协会、商会等组织成员的投标人按照该组织要求协同参加政府采购活动；</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5.投标人之间事先约定一致抬高或者压低投标报价，或者在招标项目中事先约定轮流以高价位或者低价位中标，或者事先约定由某一特定投标人中标，然后再参加投标；</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6.投标人之间商定部分投标人放弃参加政府采购活动或者放弃中标；</w:t>
      </w:r>
    </w:p>
    <w:p>
      <w:pPr>
        <w:snapToGrid w:val="0"/>
        <w:spacing w:before="165" w:beforeLines="50" w:after="50" w:line="360" w:lineRule="auto"/>
        <w:ind w:firstLine="411" w:firstLineChars="196"/>
        <w:jc w:val="left"/>
        <w:rPr>
          <w:rFonts w:hint="eastAsia" w:ascii="宋体" w:hAnsi="宋体" w:cs="宋体"/>
          <w:color w:val="auto"/>
          <w:szCs w:val="21"/>
        </w:rPr>
      </w:pPr>
      <w:r>
        <w:rPr>
          <w:rFonts w:hint="eastAsia" w:ascii="宋体" w:hAnsi="宋体" w:cs="宋体"/>
          <w:color w:val="auto"/>
          <w:szCs w:val="21"/>
        </w:rPr>
        <w:t>7.投标人与采购人或者采购代理机构之间、投标人相互之间，为谋求特定投标人中标或者排斥其他投标人的其他串通行为。</w:t>
      </w:r>
    </w:p>
    <w:p>
      <w:pPr>
        <w:snapToGrid w:val="0"/>
        <w:spacing w:before="165" w:beforeLines="50" w:after="50" w:line="360" w:lineRule="auto"/>
        <w:ind w:firstLine="413" w:firstLineChars="196"/>
        <w:jc w:val="left"/>
        <w:rPr>
          <w:rFonts w:hint="eastAsia" w:ascii="宋体" w:hAnsi="宋体" w:cs="宋体"/>
          <w:b/>
          <w:color w:val="auto"/>
          <w:szCs w:val="21"/>
        </w:rPr>
      </w:pPr>
      <w:r>
        <w:rPr>
          <w:rFonts w:hint="eastAsia" w:ascii="宋体" w:hAnsi="宋体" w:cs="宋体"/>
          <w:b/>
          <w:bCs/>
          <w:color w:val="auto"/>
          <w:szCs w:val="21"/>
        </w:rPr>
        <w:t>以上情形一经核查属实，接受政府采购监管部门对我方认定存在围标串标行为，我方愿意承担一切后果，并不再寻求任何旨在减轻或者免除法律责任的辩解</w:t>
      </w:r>
      <w:r>
        <w:rPr>
          <w:rFonts w:hint="eastAsia" w:ascii="宋体" w:hAnsi="宋体" w:cs="宋体"/>
          <w:b/>
          <w:color w:val="auto"/>
          <w:szCs w:val="21"/>
        </w:rPr>
        <w:t>。</w:t>
      </w:r>
    </w:p>
    <w:p>
      <w:pPr>
        <w:pStyle w:val="17"/>
        <w:rPr>
          <w:rFonts w:hint="eastAsia" w:ascii="宋体" w:hAnsi="宋体" w:cs="宋体"/>
          <w:b/>
          <w:color w:val="auto"/>
          <w:szCs w:val="21"/>
        </w:rPr>
      </w:pPr>
    </w:p>
    <w:p>
      <w:pPr>
        <w:pStyle w:val="17"/>
        <w:rPr>
          <w:rFonts w:hint="eastAsia" w:ascii="宋体" w:hAnsi="宋体" w:cs="宋体"/>
          <w:b/>
          <w:color w:val="auto"/>
          <w:szCs w:val="21"/>
        </w:rPr>
      </w:pPr>
    </w:p>
    <w:p>
      <w:pPr>
        <w:snapToGrid w:val="0"/>
        <w:spacing w:line="360" w:lineRule="auto"/>
        <w:ind w:firstLine="4935" w:firstLineChars="2350"/>
        <w:rPr>
          <w:rFonts w:hint="eastAsia"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pStyle w:val="14"/>
        <w:snapToGrid w:val="0"/>
        <w:spacing w:before="295" w:after="295" w:line="360" w:lineRule="auto"/>
        <w:rPr>
          <w:rFonts w:hint="eastAsia" w:hAnsi="宋体" w:cs="宋体"/>
          <w:b/>
          <w:color w:val="auto"/>
          <w:sz w:val="24"/>
        </w:rPr>
      </w:pPr>
      <w:r>
        <w:rPr>
          <w:rFonts w:hint="eastAsia" w:hAnsi="宋体" w:cs="宋体"/>
          <w:b/>
          <w:color w:val="auto"/>
          <w:sz w:val="24"/>
        </w:rPr>
        <w:br w:type="page"/>
      </w:r>
      <w:r>
        <w:rPr>
          <w:rFonts w:hint="eastAsia" w:hAnsi="宋体" w:cs="宋体"/>
          <w:b/>
          <w:bCs/>
          <w:color w:val="auto"/>
          <w:sz w:val="28"/>
          <w:szCs w:val="28"/>
        </w:rPr>
        <w:t>4.法定代表人身份证明的格式：</w:t>
      </w:r>
    </w:p>
    <w:p>
      <w:pPr>
        <w:spacing w:before="331" w:beforeLines="100" w:after="165" w:afterLines="50"/>
        <w:ind w:left="540"/>
        <w:jc w:val="center"/>
        <w:rPr>
          <w:rFonts w:hint="eastAsia" w:ascii="宋体" w:hAnsi="宋体" w:cs="宋体"/>
          <w:b/>
          <w:color w:val="auto"/>
          <w:sz w:val="32"/>
          <w:szCs w:val="32"/>
        </w:rPr>
      </w:pPr>
    </w:p>
    <w:p>
      <w:pPr>
        <w:spacing w:before="331" w:beforeLines="100" w:after="165" w:afterLines="50"/>
        <w:ind w:left="540"/>
        <w:jc w:val="center"/>
        <w:rPr>
          <w:rFonts w:hint="eastAsia" w:ascii="宋体" w:hAnsi="宋体" w:cs="宋体"/>
          <w:color w:val="auto"/>
          <w:sz w:val="32"/>
          <w:szCs w:val="32"/>
        </w:rPr>
      </w:pPr>
      <w:r>
        <w:rPr>
          <w:rFonts w:hint="eastAsia" w:ascii="宋体" w:hAnsi="宋体" w:cs="宋体"/>
          <w:b/>
          <w:color w:val="auto"/>
          <w:sz w:val="32"/>
          <w:szCs w:val="32"/>
        </w:rPr>
        <w:t>法定代表人身份证明</w:t>
      </w:r>
    </w:p>
    <w:p>
      <w:pPr>
        <w:spacing w:line="500" w:lineRule="exact"/>
        <w:ind w:left="540"/>
        <w:rPr>
          <w:rFonts w:hint="eastAsia" w:ascii="宋体" w:hAnsi="宋体" w:cs="宋体"/>
          <w:color w:val="auto"/>
          <w:sz w:val="24"/>
        </w:rPr>
      </w:pPr>
      <w:r>
        <w:rPr>
          <w:rFonts w:hint="eastAsia" w:ascii="宋体" w:hAnsi="宋体" w:cs="宋体"/>
          <w:color w:val="auto"/>
          <w:sz w:val="24"/>
        </w:rPr>
        <w:t>投 标 人：</w:t>
      </w:r>
      <w:r>
        <w:rPr>
          <w:rFonts w:hint="eastAsia" w:ascii="宋体" w:hAnsi="宋体" w:cs="宋体"/>
          <w:color w:val="auto"/>
          <w:sz w:val="24"/>
          <w:u w:val="single"/>
        </w:rPr>
        <w:t xml:space="preserve">                                                        </w:t>
      </w:r>
    </w:p>
    <w:p>
      <w:pPr>
        <w:spacing w:line="500" w:lineRule="exact"/>
        <w:ind w:left="540"/>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500" w:lineRule="exact"/>
        <w:ind w:left="540"/>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pPr>
        <w:spacing w:line="500" w:lineRule="exact"/>
        <w:ind w:left="540"/>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pPr>
        <w:spacing w:line="500" w:lineRule="exact"/>
        <w:ind w:left="540"/>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pPr>
        <w:spacing w:line="500" w:lineRule="exact"/>
        <w:ind w:left="540"/>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（投标人名称）              </w:t>
      </w:r>
      <w:r>
        <w:rPr>
          <w:rFonts w:hint="eastAsia" w:ascii="宋体" w:hAnsi="宋体" w:cs="宋体"/>
          <w:color w:val="auto"/>
          <w:sz w:val="24"/>
        </w:rPr>
        <w:t>的法定代表人。</w:t>
      </w:r>
    </w:p>
    <w:p>
      <w:pPr>
        <w:spacing w:line="500" w:lineRule="exact"/>
        <w:ind w:left="540"/>
        <w:rPr>
          <w:rFonts w:hint="eastAsia" w:ascii="宋体" w:hAnsi="宋体" w:cs="宋体"/>
          <w:color w:val="auto"/>
          <w:sz w:val="24"/>
        </w:rPr>
      </w:pPr>
      <w:r>
        <w:rPr>
          <w:rFonts w:hint="eastAsia" w:ascii="宋体" w:hAnsi="宋体" w:cs="宋体"/>
          <w:color w:val="auto"/>
          <w:sz w:val="24"/>
        </w:rPr>
        <w:t>特此证明。</w:t>
      </w:r>
    </w:p>
    <w:p>
      <w:pPr>
        <w:spacing w:line="500" w:lineRule="exact"/>
        <w:ind w:left="540"/>
        <w:rPr>
          <w:rFonts w:hint="eastAsia" w:ascii="宋体" w:hAnsi="宋体" w:cs="宋体"/>
          <w:color w:val="auto"/>
          <w:sz w:val="24"/>
        </w:rPr>
      </w:pPr>
    </w:p>
    <w:p>
      <w:pPr>
        <w:spacing w:line="500" w:lineRule="exact"/>
        <w:ind w:left="540"/>
        <w:rPr>
          <w:rFonts w:hint="eastAsia" w:ascii="宋体" w:hAnsi="宋体" w:cs="宋体"/>
          <w:color w:val="auto"/>
          <w:sz w:val="24"/>
        </w:rPr>
      </w:pPr>
    </w:p>
    <w:p>
      <w:pPr>
        <w:spacing w:line="500" w:lineRule="exact"/>
        <w:ind w:left="540"/>
        <w:rPr>
          <w:rFonts w:hint="eastAsia" w:ascii="宋体" w:hAnsi="宋体" w:cs="宋体"/>
          <w:color w:val="auto"/>
          <w:sz w:val="24"/>
        </w:rPr>
      </w:pPr>
      <w:r>
        <w:rPr>
          <w:rFonts w:hint="eastAsia" w:ascii="宋体" w:hAnsi="宋体" w:cs="宋体"/>
          <w:color w:val="auto"/>
          <w:sz w:val="24"/>
        </w:rPr>
        <w:t>附件：法定代表人有效身份证（正反面）复印件</w:t>
      </w:r>
    </w:p>
    <w:p>
      <w:pPr>
        <w:spacing w:line="500" w:lineRule="exact"/>
        <w:ind w:left="540"/>
        <w:rPr>
          <w:rFonts w:hint="eastAsia" w:ascii="宋体" w:hAnsi="宋体" w:cs="宋体"/>
          <w:color w:val="auto"/>
          <w:sz w:val="24"/>
        </w:rPr>
      </w:pPr>
    </w:p>
    <w:p>
      <w:pPr>
        <w:snapToGrid w:val="0"/>
        <w:spacing w:line="360" w:lineRule="auto"/>
        <w:ind w:firstLine="4935" w:firstLineChars="2350"/>
        <w:rPr>
          <w:rFonts w:hint="eastAsia"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snapToGrid w:val="0"/>
        <w:spacing w:before="165" w:beforeLines="50" w:after="50"/>
        <w:jc w:val="center"/>
        <w:rPr>
          <w:rFonts w:hint="eastAsia" w:ascii="宋体" w:hAnsi="宋体" w:cs="宋体"/>
          <w:b/>
          <w:color w:val="auto"/>
          <w:sz w:val="24"/>
        </w:rPr>
      </w:pPr>
    </w:p>
    <w:p>
      <w:pPr>
        <w:snapToGrid w:val="0"/>
        <w:spacing w:before="165" w:beforeLines="50" w:after="50"/>
        <w:ind w:firstLine="600" w:firstLineChars="250"/>
        <w:jc w:val="left"/>
        <w:rPr>
          <w:rFonts w:hint="eastAsia" w:ascii="宋体" w:hAnsi="宋体" w:cs="宋体"/>
          <w:color w:val="auto"/>
          <w:sz w:val="24"/>
        </w:rPr>
      </w:pPr>
      <w:r>
        <w:rPr>
          <w:rFonts w:hint="eastAsia" w:ascii="宋体" w:hAnsi="宋体" w:cs="宋体"/>
          <w:color w:val="auto"/>
          <w:sz w:val="24"/>
        </w:rPr>
        <w:t>注：自然人投标的无需提供</w:t>
      </w:r>
    </w:p>
    <w:p>
      <w:pPr>
        <w:snapToGrid w:val="0"/>
        <w:spacing w:before="165" w:beforeLines="50" w:after="50"/>
        <w:ind w:firstLine="600" w:firstLineChars="250"/>
        <w:jc w:val="left"/>
        <w:rPr>
          <w:rFonts w:hint="eastAsia" w:ascii="宋体" w:hAnsi="宋体" w:cs="宋体"/>
          <w:color w:val="auto"/>
          <w:sz w:val="24"/>
        </w:rPr>
      </w:pPr>
    </w:p>
    <w:p>
      <w:pPr>
        <w:snapToGrid w:val="0"/>
        <w:spacing w:before="165" w:beforeLines="50" w:after="50"/>
        <w:ind w:firstLine="602" w:firstLineChars="250"/>
        <w:jc w:val="left"/>
        <w:rPr>
          <w:rFonts w:hint="eastAsia" w:ascii="宋体" w:hAnsi="宋体" w:cs="宋体"/>
          <w:b/>
          <w:color w:val="auto"/>
          <w:sz w:val="24"/>
          <w:szCs w:val="20"/>
        </w:rPr>
      </w:pPr>
    </w:p>
    <w:tbl>
      <w:tblPr>
        <w:tblStyle w:val="26"/>
        <w:tblpPr w:leftFromText="180" w:rightFromText="180" w:vertAnchor="text" w:horzAnchor="margin" w:tblpXSpec="center" w:tblpY="116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r>
              <w:rPr>
                <w:rFonts w:hint="eastAsia" w:ascii="宋体" w:hAnsi="宋体" w:cs="宋体"/>
                <w:color w:val="auto"/>
                <w:sz w:val="24"/>
              </w:rPr>
              <w:t>法定代表人有效身份证（正反面）复印件</w:t>
            </w:r>
          </w:p>
        </w:tc>
      </w:tr>
    </w:tbl>
    <w:p>
      <w:pPr>
        <w:pStyle w:val="14"/>
        <w:snapToGrid w:val="0"/>
        <w:spacing w:before="295" w:after="295" w:line="360" w:lineRule="auto"/>
        <w:ind w:left="3" w:leftChars="-295" w:hanging="622" w:hangingChars="258"/>
        <w:jc w:val="left"/>
        <w:rPr>
          <w:rFonts w:hint="eastAsia" w:hAnsi="宋体" w:cs="宋体"/>
          <w:b/>
          <w:color w:val="auto"/>
          <w:sz w:val="24"/>
        </w:rPr>
      </w:pPr>
      <w:r>
        <w:rPr>
          <w:rFonts w:hint="eastAsia" w:hAnsi="宋体" w:cs="宋体"/>
          <w:b/>
          <w:color w:val="auto"/>
          <w:sz w:val="24"/>
        </w:rPr>
        <w:t>附件：</w:t>
      </w:r>
      <w:r>
        <w:rPr>
          <w:rFonts w:hint="eastAsia" w:hAnsi="宋体" w:cs="宋体"/>
          <w:b/>
          <w:color w:val="auto"/>
          <w:sz w:val="24"/>
        </w:rPr>
        <w:br w:type="page"/>
      </w:r>
      <w:r>
        <w:rPr>
          <w:rFonts w:hint="eastAsia" w:hAnsi="宋体" w:cs="宋体"/>
          <w:b/>
          <w:bCs/>
          <w:color w:val="auto"/>
          <w:sz w:val="30"/>
          <w:szCs w:val="30"/>
        </w:rPr>
        <w:t>5.法定代表人授权委托书的格式：</w:t>
      </w:r>
    </w:p>
    <w:p>
      <w:pPr>
        <w:snapToGrid w:val="0"/>
        <w:spacing w:before="165" w:beforeLines="50" w:after="50"/>
        <w:jc w:val="center"/>
        <w:rPr>
          <w:rFonts w:hint="eastAsia" w:ascii="宋体" w:hAnsi="宋体"/>
          <w:b/>
          <w:color w:val="auto"/>
          <w:sz w:val="32"/>
          <w:szCs w:val="32"/>
        </w:rPr>
      </w:pPr>
      <w:r>
        <w:rPr>
          <w:rFonts w:hint="eastAsia" w:ascii="宋体" w:hAnsi="宋体"/>
          <w:b/>
          <w:color w:val="auto"/>
          <w:sz w:val="32"/>
          <w:szCs w:val="32"/>
        </w:rPr>
        <w:t>授权委托书（非联合体投标格式）</w:t>
      </w:r>
    </w:p>
    <w:p>
      <w:pPr>
        <w:snapToGrid w:val="0"/>
        <w:spacing w:before="165" w:beforeLines="50" w:after="50"/>
        <w:jc w:val="center"/>
        <w:rPr>
          <w:rFonts w:hint="eastAsia" w:ascii="宋体" w:hAnsi="宋体"/>
          <w:bCs/>
          <w:color w:val="auto"/>
          <w:sz w:val="24"/>
        </w:rPr>
      </w:pPr>
      <w:r>
        <w:rPr>
          <w:rFonts w:hint="eastAsia" w:ascii="宋体" w:hAnsi="宋体"/>
          <w:b/>
          <w:color w:val="auto"/>
          <w:sz w:val="32"/>
          <w:szCs w:val="32"/>
        </w:rPr>
        <w:t>（如有委托时）</w:t>
      </w:r>
    </w:p>
    <w:p>
      <w:pPr>
        <w:snapToGrid w:val="0"/>
        <w:spacing w:before="165" w:beforeLines="50" w:after="50" w:line="360" w:lineRule="auto"/>
        <w:jc w:val="left"/>
        <w:rPr>
          <w:rFonts w:hint="eastAsia" w:ascii="宋体" w:hAnsi="宋体"/>
          <w:bCs/>
          <w:color w:val="auto"/>
          <w:sz w:val="24"/>
        </w:rPr>
      </w:pP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致：</w:t>
      </w:r>
      <w:r>
        <w:rPr>
          <w:rFonts w:hint="eastAsia" w:ascii="宋体" w:hAnsi="宋体"/>
          <w:bCs/>
          <w:color w:val="auto"/>
          <w:sz w:val="24"/>
          <w:u w:val="single"/>
        </w:rPr>
        <w:t>广西科联招标中心有限公司</w:t>
      </w:r>
      <w:r>
        <w:rPr>
          <w:rFonts w:hint="eastAsia" w:ascii="宋体" w:hAnsi="宋体"/>
          <w:bCs/>
          <w:color w:val="auto"/>
          <w:sz w:val="24"/>
        </w:rPr>
        <w:t>：</w:t>
      </w:r>
    </w:p>
    <w:p>
      <w:pPr>
        <w:snapToGrid w:val="0"/>
        <w:spacing w:before="165" w:beforeLines="50" w:after="50" w:line="360" w:lineRule="auto"/>
        <w:ind w:firstLine="480" w:firstLineChars="200"/>
        <w:jc w:val="left"/>
        <w:rPr>
          <w:rFonts w:hint="eastAsia" w:ascii="宋体" w:hAnsi="宋体"/>
          <w:bCs/>
          <w:color w:val="auto"/>
          <w:sz w:val="24"/>
        </w:rPr>
      </w:pPr>
      <w:r>
        <w:rPr>
          <w:rFonts w:hint="eastAsia" w:ascii="宋体" w:hAnsi="宋体"/>
          <w:bCs/>
          <w:color w:val="auto"/>
          <w:sz w:val="24"/>
        </w:rPr>
        <w:t>我</w:t>
      </w:r>
      <w:r>
        <w:rPr>
          <w:rFonts w:hint="eastAsia" w:ascii="宋体" w:hAnsi="宋体"/>
          <w:bCs/>
          <w:color w:val="auto"/>
          <w:sz w:val="24"/>
          <w:u w:val="single"/>
        </w:rPr>
        <w:t xml:space="preserve">  </w:t>
      </w:r>
      <w:r>
        <w:rPr>
          <w:rFonts w:hint="eastAsia" w:ascii="宋体" w:hAnsi="宋体"/>
          <w:bCs/>
          <w:i/>
          <w:iCs/>
          <w:color w:val="auto"/>
          <w:sz w:val="24"/>
          <w:u w:val="single"/>
        </w:rPr>
        <w:t>（姓名）</w:t>
      </w:r>
      <w:r>
        <w:rPr>
          <w:rFonts w:hint="eastAsia" w:ascii="宋体" w:hAnsi="宋体"/>
          <w:bCs/>
          <w:color w:val="auto"/>
          <w:sz w:val="24"/>
          <w:u w:val="single"/>
        </w:rPr>
        <w:t xml:space="preserve">  </w:t>
      </w:r>
      <w:r>
        <w:rPr>
          <w:rFonts w:hint="eastAsia" w:ascii="宋体" w:hAnsi="宋体"/>
          <w:bCs/>
          <w:color w:val="auto"/>
          <w:sz w:val="24"/>
        </w:rPr>
        <w:t>系</w:t>
      </w:r>
      <w:r>
        <w:rPr>
          <w:rFonts w:hint="eastAsia" w:ascii="宋体" w:hAnsi="宋体"/>
          <w:bCs/>
          <w:color w:val="auto"/>
          <w:sz w:val="24"/>
          <w:u w:val="single"/>
        </w:rPr>
        <w:t xml:space="preserve">  </w:t>
      </w:r>
      <w:r>
        <w:rPr>
          <w:rFonts w:hint="eastAsia" w:ascii="宋体" w:hAnsi="宋体"/>
          <w:bCs/>
          <w:i/>
          <w:iCs/>
          <w:color w:val="auto"/>
          <w:sz w:val="24"/>
          <w:u w:val="single"/>
        </w:rPr>
        <w:t>（投标人名称）</w:t>
      </w:r>
      <w:r>
        <w:rPr>
          <w:rFonts w:hint="eastAsia" w:ascii="宋体" w:hAnsi="宋体"/>
          <w:bCs/>
          <w:color w:val="auto"/>
          <w:sz w:val="24"/>
          <w:u w:val="single"/>
        </w:rPr>
        <w:t xml:space="preserve">  </w:t>
      </w:r>
      <w:r>
        <w:rPr>
          <w:rFonts w:hint="eastAsia" w:ascii="宋体" w:hAnsi="宋体"/>
          <w:bCs/>
          <w:color w:val="auto"/>
          <w:sz w:val="24"/>
        </w:rPr>
        <w:t xml:space="preserve">的（□法定代表人/□负责人/□自然人本人），现授权 </w:t>
      </w:r>
      <w:r>
        <w:rPr>
          <w:rFonts w:hint="eastAsia" w:ascii="宋体" w:hAnsi="宋体"/>
          <w:bCs/>
          <w:i/>
          <w:iCs/>
          <w:color w:val="auto"/>
          <w:sz w:val="24"/>
          <w:u w:val="single"/>
        </w:rPr>
        <w:t>（姓名）</w:t>
      </w:r>
      <w:r>
        <w:rPr>
          <w:rFonts w:hint="eastAsia" w:ascii="宋体" w:hAnsi="宋体"/>
          <w:bCs/>
          <w:color w:val="auto"/>
          <w:sz w:val="24"/>
        </w:rPr>
        <w:t xml:space="preserve"> 以我方的名义参加</w:t>
      </w:r>
      <w:r>
        <w:rPr>
          <w:rFonts w:hint="eastAsia" w:ascii="宋体" w:hAnsi="宋体"/>
          <w:bCs/>
          <w:color w:val="auto"/>
          <w:sz w:val="24"/>
          <w:u w:val="single"/>
        </w:rPr>
        <w:t xml:space="preserve">  （</w:t>
      </w:r>
      <w:r>
        <w:rPr>
          <w:rFonts w:hint="eastAsia" w:ascii="宋体" w:hAnsi="宋体"/>
          <w:bCs/>
          <w:i/>
          <w:iCs/>
          <w:color w:val="auto"/>
          <w:sz w:val="24"/>
          <w:u w:val="single"/>
        </w:rPr>
        <w:t>项目名称</w:t>
      </w:r>
      <w:r>
        <w:rPr>
          <w:rFonts w:hint="eastAsia" w:ascii="宋体" w:hAnsi="宋体"/>
          <w:bCs/>
          <w:color w:val="auto"/>
          <w:sz w:val="24"/>
          <w:u w:val="single"/>
        </w:rPr>
        <w:t>）</w:t>
      </w:r>
      <w:r>
        <w:rPr>
          <w:rFonts w:hint="eastAsia" w:ascii="宋体" w:hAnsi="宋体"/>
          <w:bCs/>
          <w:color w:val="auto"/>
          <w:sz w:val="24"/>
        </w:rPr>
        <w:t>项目的投标活动，并代表我方全权办理针对上述项目的所有采购程序和环节的具体事务和签署相关文件。</w:t>
      </w: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 xml:space="preserve">    我方对委托代理人的签字事项负全部责任。</w:t>
      </w:r>
    </w:p>
    <w:p>
      <w:pPr>
        <w:snapToGrid w:val="0"/>
        <w:spacing w:before="165" w:beforeLines="50" w:after="50" w:line="360" w:lineRule="auto"/>
        <w:ind w:firstLine="480" w:firstLineChars="200"/>
        <w:jc w:val="left"/>
        <w:rPr>
          <w:rFonts w:hint="eastAsia" w:ascii="宋体" w:hAnsi="宋体"/>
          <w:bCs/>
          <w:color w:val="auto"/>
          <w:sz w:val="24"/>
        </w:rPr>
      </w:pPr>
      <w:r>
        <w:rPr>
          <w:rFonts w:hint="eastAsia" w:ascii="宋体" w:hAnsi="宋体"/>
          <w:bCs/>
          <w:color w:val="auto"/>
          <w:sz w:val="24"/>
        </w:rPr>
        <w:t>本授权书自签署之日起生效，在撤销授权的书面通知以前，本授权书一直有效。委托代理人在授权书有效期内签署的所有文件不因授权的撤销而失效。</w:t>
      </w:r>
    </w:p>
    <w:p>
      <w:pPr>
        <w:snapToGrid w:val="0"/>
        <w:spacing w:before="165" w:beforeLines="50" w:after="50" w:line="360" w:lineRule="auto"/>
        <w:ind w:firstLine="480" w:firstLineChars="200"/>
        <w:jc w:val="left"/>
        <w:rPr>
          <w:rFonts w:hint="eastAsia" w:ascii="宋体" w:hAnsi="宋体"/>
          <w:bCs/>
          <w:color w:val="auto"/>
          <w:sz w:val="24"/>
        </w:rPr>
      </w:pPr>
      <w:r>
        <w:rPr>
          <w:rFonts w:hint="eastAsia" w:ascii="宋体" w:hAnsi="宋体"/>
          <w:bCs/>
          <w:color w:val="auto"/>
          <w:sz w:val="24"/>
        </w:rPr>
        <w:t>委托代理人无转委托权，特此委托。</w:t>
      </w:r>
    </w:p>
    <w:p>
      <w:pPr>
        <w:snapToGrid w:val="0"/>
        <w:spacing w:before="165" w:beforeLines="50" w:after="50" w:line="360" w:lineRule="auto"/>
        <w:ind w:firstLine="480" w:firstLineChars="200"/>
        <w:jc w:val="left"/>
        <w:rPr>
          <w:rFonts w:hint="eastAsia" w:ascii="宋体" w:hAnsi="宋体"/>
          <w:bCs/>
          <w:color w:val="auto"/>
          <w:sz w:val="24"/>
        </w:rPr>
      </w:pPr>
      <w:r>
        <w:rPr>
          <w:rFonts w:hint="eastAsia" w:ascii="宋体" w:hAnsi="宋体"/>
          <w:bCs/>
          <w:color w:val="auto"/>
          <w:sz w:val="24"/>
        </w:rPr>
        <w:t>附：委托代理人有效身份证正反面复印件</w:t>
      </w:r>
    </w:p>
    <w:p>
      <w:pPr>
        <w:snapToGrid w:val="0"/>
        <w:spacing w:before="165" w:beforeLines="50" w:after="50" w:line="360" w:lineRule="auto"/>
        <w:jc w:val="left"/>
        <w:rPr>
          <w:rFonts w:hint="eastAsia" w:ascii="宋体" w:hAnsi="宋体"/>
          <w:bCs/>
          <w:color w:val="auto"/>
          <w:sz w:val="24"/>
        </w:rPr>
      </w:pP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 xml:space="preserve">委托代理人（签字）：                    法定代表人（签字）：                    </w:t>
      </w: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 xml:space="preserve">委托代理人身份证号码：                              </w:t>
      </w: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 xml:space="preserve">                                  投标人名称（盖公章）：</w:t>
      </w:r>
    </w:p>
    <w:p>
      <w:pPr>
        <w:snapToGrid w:val="0"/>
        <w:spacing w:before="165" w:beforeLines="50" w:after="50" w:line="360" w:lineRule="auto"/>
        <w:jc w:val="left"/>
        <w:rPr>
          <w:rFonts w:hint="eastAsia" w:ascii="宋体" w:hAnsi="宋体"/>
          <w:bCs/>
          <w:color w:val="auto"/>
          <w:sz w:val="24"/>
        </w:rPr>
      </w:pPr>
      <w:r>
        <w:rPr>
          <w:rFonts w:hint="eastAsia" w:ascii="宋体" w:hAnsi="宋体"/>
          <w:bCs/>
          <w:color w:val="auto"/>
          <w:sz w:val="24"/>
        </w:rPr>
        <w:t xml:space="preserve">                                                   日期：  年  月   日</w:t>
      </w:r>
    </w:p>
    <w:p>
      <w:pPr>
        <w:pStyle w:val="17"/>
        <w:spacing w:line="360" w:lineRule="exact"/>
        <w:rPr>
          <w:color w:val="auto"/>
        </w:rPr>
      </w:pP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注：</w:t>
      </w:r>
    </w:p>
    <w:p>
      <w:pPr>
        <w:snapToGrid w:val="0"/>
        <w:spacing w:line="380" w:lineRule="exact"/>
        <w:ind w:firstLine="420" w:firstLineChars="200"/>
        <w:jc w:val="left"/>
        <w:rPr>
          <w:rFonts w:hint="eastAsia" w:ascii="宋体" w:hAnsi="宋体"/>
          <w:bCs/>
          <w:color w:val="auto"/>
          <w:szCs w:val="21"/>
        </w:rPr>
      </w:pPr>
      <w:r>
        <w:rPr>
          <w:rFonts w:hint="eastAsia" w:ascii="宋体" w:hAnsi="宋体"/>
          <w:bCs/>
          <w:color w:val="auto"/>
          <w:szCs w:val="21"/>
        </w:rPr>
        <w:t>1.法定代表人和委托代理人必须在授权委托书上签字，</w:t>
      </w:r>
      <w:r>
        <w:rPr>
          <w:rFonts w:hint="eastAsia" w:ascii="宋体" w:hAnsi="宋体"/>
          <w:b/>
          <w:color w:val="auto"/>
          <w:szCs w:val="21"/>
        </w:rPr>
        <w:t>否则其投标文件按无效响应处理</w:t>
      </w:r>
      <w:r>
        <w:rPr>
          <w:rFonts w:hint="eastAsia" w:ascii="宋体" w:hAnsi="宋体"/>
          <w:bCs/>
          <w:color w:val="auto"/>
          <w:szCs w:val="21"/>
        </w:rPr>
        <w:t>。</w:t>
      </w:r>
    </w:p>
    <w:p>
      <w:pPr>
        <w:snapToGrid w:val="0"/>
        <w:spacing w:before="165" w:beforeLines="50" w:after="50" w:line="380" w:lineRule="exact"/>
        <w:ind w:firstLine="420" w:firstLineChars="200"/>
        <w:jc w:val="left"/>
        <w:rPr>
          <w:rFonts w:hint="eastAsia" w:ascii="宋体" w:hAnsi="宋体"/>
          <w:bCs/>
          <w:color w:val="auto"/>
          <w:szCs w:val="21"/>
        </w:rPr>
      </w:pPr>
      <w:r>
        <w:rPr>
          <w:rFonts w:hint="eastAsia" w:ascii="宋体" w:hAnsi="宋体"/>
          <w:bCs/>
          <w:color w:val="auto"/>
          <w:szCs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pPr>
        <w:spacing w:line="360" w:lineRule="auto"/>
        <w:ind w:firstLine="420" w:firstLineChars="200"/>
        <w:rPr>
          <w:rFonts w:hint="eastAsia" w:ascii="宋体" w:hAnsi="宋体"/>
          <w:bCs/>
          <w:color w:val="auto"/>
          <w:szCs w:val="21"/>
        </w:rPr>
      </w:pPr>
      <w:r>
        <w:rPr>
          <w:rFonts w:hint="eastAsia" w:ascii="宋体" w:hAnsi="宋体"/>
          <w:bCs/>
          <w:color w:val="auto"/>
          <w:szCs w:val="21"/>
        </w:rPr>
        <w:t>3.法人、其他组织投标时“我方”是指“我单位”，自然人投标时“我方”是指“本人”。</w:t>
      </w:r>
    </w:p>
    <w:p>
      <w:pPr>
        <w:rPr>
          <w:rFonts w:hint="eastAsia" w:ascii="宋体" w:hAnsi="宋体"/>
          <w:bCs/>
          <w:color w:val="auto"/>
          <w:szCs w:val="21"/>
        </w:rPr>
      </w:pPr>
      <w:r>
        <w:rPr>
          <w:rFonts w:hint="eastAsia" w:ascii="宋体" w:hAnsi="宋体"/>
          <w:bCs/>
          <w:color w:val="auto"/>
          <w:szCs w:val="21"/>
        </w:rPr>
        <w:br w:type="page"/>
      </w:r>
    </w:p>
    <w:p>
      <w:pPr>
        <w:snapToGrid w:val="0"/>
        <w:spacing w:before="165" w:beforeLines="50" w:after="50" w:line="380" w:lineRule="exact"/>
        <w:jc w:val="left"/>
        <w:rPr>
          <w:rFonts w:hint="eastAsia" w:ascii="宋体" w:hAnsi="宋体" w:cs="宋体"/>
          <w:b/>
          <w:bCs/>
          <w:color w:val="auto"/>
          <w:sz w:val="32"/>
          <w:szCs w:val="32"/>
        </w:rPr>
      </w:pPr>
      <w:r>
        <w:rPr>
          <w:rFonts w:hint="eastAsia" w:ascii="宋体" w:hAnsi="宋体" w:cs="宋体"/>
          <w:b/>
          <w:bCs/>
          <w:color w:val="auto"/>
          <w:sz w:val="32"/>
          <w:szCs w:val="32"/>
        </w:rPr>
        <w:t>授权委托书（联合体投标格式）</w:t>
      </w:r>
    </w:p>
    <w:p>
      <w:pPr>
        <w:spacing w:line="500" w:lineRule="exact"/>
        <w:jc w:val="center"/>
        <w:rPr>
          <w:rFonts w:hint="eastAsia" w:ascii="宋体" w:hAnsi="宋体" w:cs="宋体"/>
          <w:b/>
          <w:bCs/>
          <w:color w:val="auto"/>
          <w:sz w:val="32"/>
          <w:szCs w:val="32"/>
        </w:rPr>
      </w:pPr>
      <w:r>
        <w:rPr>
          <w:rFonts w:hint="eastAsia" w:ascii="宋体" w:hAnsi="宋体" w:cs="宋体"/>
          <w:b/>
          <w:bCs/>
          <w:color w:val="auto"/>
          <w:sz w:val="32"/>
          <w:szCs w:val="32"/>
        </w:rPr>
        <w:t>（如有委托时）</w:t>
      </w:r>
    </w:p>
    <w:p>
      <w:pPr>
        <w:spacing w:line="500" w:lineRule="exact"/>
        <w:jc w:val="center"/>
        <w:rPr>
          <w:rFonts w:hint="eastAsia" w:ascii="方正小标宋简体" w:hAnsi="方正小标宋简体" w:eastAsia="方正小标宋简体" w:cs="方正小标宋简体"/>
          <w:color w:val="auto"/>
          <w:sz w:val="44"/>
          <w:szCs w:val="44"/>
        </w:rPr>
      </w:pP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根据</w:t>
      </w:r>
      <w:r>
        <w:rPr>
          <w:rFonts w:hint="eastAsia" w:ascii="宋体" w:hAnsi="宋体" w:cs="宋体"/>
          <w:color w:val="auto"/>
          <w:sz w:val="24"/>
          <w:u w:val="single"/>
        </w:rPr>
        <w:t xml:space="preserve">                </w:t>
      </w:r>
      <w:r>
        <w:rPr>
          <w:rFonts w:hint="eastAsia" w:ascii="宋体" w:hAnsi="宋体" w:cs="宋体"/>
          <w:color w:val="auto"/>
          <w:sz w:val="24"/>
        </w:rPr>
        <w:t>（牵头人名称）与</w:t>
      </w:r>
      <w:r>
        <w:rPr>
          <w:rFonts w:hint="eastAsia" w:ascii="宋体" w:hAnsi="宋体" w:cs="宋体"/>
          <w:color w:val="auto"/>
          <w:sz w:val="24"/>
          <w:u w:val="single"/>
        </w:rPr>
        <w:t xml:space="preserve">              </w:t>
      </w:r>
      <w:r>
        <w:rPr>
          <w:rFonts w:hint="eastAsia" w:ascii="宋体" w:hAnsi="宋体" w:cs="宋体"/>
          <w:color w:val="auto"/>
          <w:sz w:val="24"/>
        </w:rPr>
        <w:t>（联合体其他成员名称）签订的《联合体投标协议书》的内容，</w:t>
      </w:r>
      <w:r>
        <w:rPr>
          <w:rFonts w:hint="eastAsia" w:ascii="宋体" w:hAnsi="宋体" w:cs="宋体"/>
          <w:color w:val="auto"/>
          <w:sz w:val="24"/>
          <w:u w:val="single"/>
        </w:rPr>
        <w:t xml:space="preserve">                       </w:t>
      </w:r>
      <w:r>
        <w:rPr>
          <w:rFonts w:hint="eastAsia" w:ascii="宋体" w:hAnsi="宋体" w:cs="宋体"/>
          <w:color w:val="auto"/>
          <w:sz w:val="24"/>
        </w:rPr>
        <w:t>（牵头人名称）的法定代表人</w:t>
      </w:r>
      <w:r>
        <w:rPr>
          <w:rFonts w:hint="eastAsia" w:ascii="宋体" w:hAnsi="宋体" w:cs="宋体"/>
          <w:color w:val="auto"/>
          <w:sz w:val="24"/>
          <w:u w:val="single"/>
        </w:rPr>
        <w:t xml:space="preserve">      </w:t>
      </w:r>
      <w:r>
        <w:rPr>
          <w:rFonts w:hint="eastAsia" w:ascii="宋体" w:hAnsi="宋体" w:cs="宋体"/>
          <w:i/>
          <w:iCs/>
          <w:color w:val="auto"/>
          <w:sz w:val="24"/>
          <w:u w:val="single"/>
        </w:rPr>
        <w:t>（姓名）</w:t>
      </w:r>
      <w:r>
        <w:rPr>
          <w:rFonts w:hint="eastAsia" w:ascii="宋体" w:hAnsi="宋体" w:cs="宋体"/>
          <w:color w:val="auto"/>
          <w:sz w:val="24"/>
        </w:rPr>
        <w:t>现授权</w:t>
      </w:r>
      <w:r>
        <w:rPr>
          <w:rFonts w:hint="eastAsia" w:ascii="宋体" w:hAnsi="宋体" w:cs="宋体"/>
          <w:color w:val="auto"/>
          <w:sz w:val="24"/>
          <w:u w:val="single"/>
        </w:rPr>
        <w:t xml:space="preserve">     </w:t>
      </w:r>
      <w:r>
        <w:rPr>
          <w:rFonts w:hint="eastAsia" w:ascii="宋体" w:hAnsi="宋体" w:cs="宋体"/>
          <w:i/>
          <w:iCs/>
          <w:color w:val="auto"/>
          <w:sz w:val="24"/>
          <w:u w:val="single"/>
        </w:rPr>
        <w:t xml:space="preserve"> （姓名）</w:t>
      </w:r>
      <w:r>
        <w:rPr>
          <w:rFonts w:hint="eastAsia" w:ascii="宋体" w:hAnsi="宋体" w:cs="宋体"/>
          <w:color w:val="auto"/>
          <w:sz w:val="24"/>
        </w:rPr>
        <w:t>为联合委托代理人，并代表我方全权办理针对上述项目的所有采购程序和环节的具体事务和签署相关文件。</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我方对委托代理人的签字事项负全部责任。</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委托代理人无转委托权，特此委托。</w:t>
      </w:r>
    </w:p>
    <w:p>
      <w:pPr>
        <w:snapToGrid w:val="0"/>
        <w:spacing w:before="165" w:beforeLines="50" w:after="50" w:line="360" w:lineRule="auto"/>
        <w:ind w:firstLine="480" w:firstLineChars="200"/>
        <w:jc w:val="left"/>
        <w:rPr>
          <w:rFonts w:hint="eastAsia" w:ascii="宋体" w:hAnsi="宋体"/>
          <w:bCs/>
          <w:color w:val="auto"/>
          <w:sz w:val="24"/>
        </w:rPr>
      </w:pPr>
      <w:r>
        <w:rPr>
          <w:rFonts w:hint="eastAsia" w:ascii="宋体" w:hAnsi="宋体"/>
          <w:bCs/>
          <w:color w:val="auto"/>
          <w:sz w:val="24"/>
        </w:rPr>
        <w:t>附：委托代理人有效身份证正反面复印件</w:t>
      </w:r>
    </w:p>
    <w:p>
      <w:pPr>
        <w:spacing w:line="360" w:lineRule="auto"/>
        <w:rPr>
          <w:rFonts w:hint="eastAsia" w:ascii="宋体" w:hAnsi="宋体" w:cs="宋体"/>
          <w:color w:val="auto"/>
          <w:sz w:val="24"/>
        </w:rPr>
      </w:pPr>
    </w:p>
    <w:p>
      <w:pPr>
        <w:spacing w:line="360" w:lineRule="auto"/>
        <w:ind w:firstLine="1560" w:firstLineChars="650"/>
        <w:rPr>
          <w:rFonts w:hint="eastAsia" w:ascii="宋体" w:hAnsi="宋体" w:cs="宋体"/>
          <w:color w:val="auto"/>
          <w:sz w:val="24"/>
        </w:rPr>
      </w:pPr>
      <w:r>
        <w:rPr>
          <w:rFonts w:hint="eastAsia" w:ascii="宋体" w:hAnsi="宋体" w:cs="宋体"/>
          <w:color w:val="auto"/>
          <w:sz w:val="24"/>
        </w:rPr>
        <w:t>牵头人法定代表人（签字）：</w:t>
      </w:r>
    </w:p>
    <w:p>
      <w:pPr>
        <w:spacing w:line="360" w:lineRule="auto"/>
        <w:ind w:firstLine="1519" w:firstLineChars="633"/>
        <w:rPr>
          <w:rFonts w:hint="eastAsia" w:ascii="宋体" w:hAnsi="宋体" w:cs="宋体"/>
          <w:color w:val="auto"/>
          <w:sz w:val="24"/>
        </w:rPr>
      </w:pPr>
      <w:r>
        <w:rPr>
          <w:rFonts w:hint="eastAsia" w:ascii="宋体" w:hAnsi="宋体" w:cs="宋体"/>
          <w:color w:val="auto"/>
          <w:sz w:val="24"/>
        </w:rPr>
        <w:t>牵头人名称（盖公章）：</w:t>
      </w:r>
    </w:p>
    <w:p>
      <w:pPr>
        <w:spacing w:line="360" w:lineRule="auto"/>
        <w:ind w:firstLine="3840" w:firstLineChars="1600"/>
        <w:rPr>
          <w:rFonts w:hint="eastAsia" w:ascii="宋体" w:hAnsi="宋体" w:cs="宋体"/>
          <w:color w:val="auto"/>
          <w:sz w:val="24"/>
        </w:rPr>
      </w:pPr>
      <w:r>
        <w:rPr>
          <w:rFonts w:hint="eastAsia" w:ascii="宋体" w:hAnsi="宋体" w:cs="宋体"/>
          <w:color w:val="auto"/>
          <w:sz w:val="24"/>
        </w:rPr>
        <w:t>日期：    年   月   日</w:t>
      </w:r>
    </w:p>
    <w:p>
      <w:pPr>
        <w:spacing w:line="360" w:lineRule="auto"/>
        <w:rPr>
          <w:rFonts w:hint="eastAsia" w:ascii="宋体" w:hAnsi="宋体" w:cs="宋体"/>
          <w:color w:val="auto"/>
          <w:sz w:val="24"/>
        </w:rPr>
      </w:pPr>
    </w:p>
    <w:p>
      <w:pPr>
        <w:spacing w:line="360" w:lineRule="auto"/>
        <w:ind w:firstLine="1440" w:firstLineChars="600"/>
        <w:rPr>
          <w:rFonts w:hint="eastAsia" w:ascii="宋体" w:hAnsi="宋体" w:cs="宋体"/>
          <w:color w:val="auto"/>
          <w:sz w:val="24"/>
        </w:rPr>
      </w:pPr>
      <w:r>
        <w:rPr>
          <w:rFonts w:hint="eastAsia" w:ascii="宋体" w:hAnsi="宋体" w:cs="宋体"/>
          <w:color w:val="auto"/>
          <w:sz w:val="24"/>
        </w:rPr>
        <w:t>委托代理人（签字）：</w:t>
      </w:r>
    </w:p>
    <w:p>
      <w:pPr>
        <w:spacing w:line="360" w:lineRule="auto"/>
        <w:ind w:firstLine="3840" w:firstLineChars="1600"/>
        <w:rPr>
          <w:rFonts w:hint="eastAsia" w:ascii="宋体" w:hAnsi="宋体" w:cs="宋体"/>
          <w:color w:val="auto"/>
          <w:sz w:val="24"/>
        </w:rPr>
      </w:pPr>
      <w:r>
        <w:rPr>
          <w:rFonts w:hint="eastAsia" w:ascii="宋体" w:hAnsi="宋体" w:cs="宋体"/>
          <w:color w:val="auto"/>
          <w:sz w:val="24"/>
        </w:rPr>
        <w:t>日期：    年   月   日</w:t>
      </w:r>
    </w:p>
    <w:p>
      <w:pPr>
        <w:spacing w:line="360" w:lineRule="auto"/>
        <w:rPr>
          <w:rFonts w:hint="eastAsia" w:ascii="宋体" w:hAnsi="宋体" w:cs="宋体"/>
          <w:color w:val="auto"/>
          <w:szCs w:val="21"/>
        </w:rPr>
      </w:pPr>
    </w:p>
    <w:p>
      <w:pPr>
        <w:spacing w:line="360" w:lineRule="auto"/>
        <w:rPr>
          <w:rFonts w:hint="eastAsia" w:ascii="宋体" w:hAnsi="宋体" w:cs="宋体"/>
          <w:color w:val="auto"/>
          <w:szCs w:val="21"/>
        </w:rPr>
      </w:pPr>
      <w:r>
        <w:rPr>
          <w:rFonts w:hint="eastAsia" w:ascii="宋体" w:hAnsi="宋体" w:cs="宋体"/>
          <w:color w:val="auto"/>
          <w:szCs w:val="21"/>
        </w:rPr>
        <w:t>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 法定代表人和委托代理人必须在授权委托书上签字，</w:t>
      </w:r>
      <w:r>
        <w:rPr>
          <w:rFonts w:hint="eastAsia" w:ascii="宋体" w:hAnsi="宋体" w:cs="宋体"/>
          <w:b/>
          <w:color w:val="auto"/>
          <w:szCs w:val="21"/>
        </w:rPr>
        <w:t>否则其投标文件按无效响应处理。</w:t>
      </w:r>
    </w:p>
    <w:p>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2.本授权委托书应由联合体牵头人的法定代表人按上述规定签署。</w:t>
      </w:r>
    </w:p>
    <w:p>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3.投标人为其他组织或者自然人时，本招标文件规定的法定代表人指负责人或者自然人。本招标文件所称负责人是指参加投标的其他组织营业执照上的负责人，本招标文件所称自然人指参与投标的自然人本人。</w:t>
      </w:r>
    </w:p>
    <w:p>
      <w:pPr>
        <w:spacing w:line="360" w:lineRule="auto"/>
        <w:ind w:firstLine="420" w:firstLineChars="200"/>
        <w:rPr>
          <w:rFonts w:ascii="宋体"/>
          <w:b/>
          <w:color w:val="auto"/>
          <w:sz w:val="24"/>
        </w:rPr>
      </w:pPr>
      <w:r>
        <w:rPr>
          <w:rFonts w:hint="eastAsia" w:ascii="宋体" w:hAnsi="宋体" w:cs="宋体"/>
          <w:color w:val="auto"/>
          <w:szCs w:val="21"/>
        </w:rPr>
        <w:t>4.法人、其他组织投标时“我方”是指“我单位”，自然人投标时“我方”是指“本人”。</w:t>
      </w:r>
    </w:p>
    <w:p>
      <w:pPr>
        <w:spacing w:line="360" w:lineRule="auto"/>
        <w:ind w:firstLine="420" w:firstLineChars="200"/>
        <w:rPr>
          <w:rFonts w:hint="eastAsia" w:ascii="宋体" w:hAnsi="宋体"/>
          <w:bCs/>
          <w:color w:val="auto"/>
          <w:szCs w:val="21"/>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r>
        <w:rPr>
          <w:rFonts w:hint="eastAsia" w:ascii="宋体" w:hAnsi="宋体" w:cs="宋体"/>
          <w:b/>
          <w:color w:val="auto"/>
          <w:sz w:val="24"/>
        </w:rPr>
        <w:br w:type="page"/>
      </w:r>
      <w:r>
        <w:rPr>
          <w:rFonts w:hint="eastAsia" w:ascii="宋体" w:hAnsi="宋体" w:cs="宋体"/>
          <w:b/>
          <w:color w:val="auto"/>
          <w:sz w:val="24"/>
        </w:rPr>
        <w:t>附件：</w:t>
      </w:r>
    </w:p>
    <w:tbl>
      <w:tblPr>
        <w:tblStyle w:val="26"/>
        <w:tblpPr w:leftFromText="180" w:rightFromText="180" w:vertAnchor="text" w:horzAnchor="margin" w:tblpXSpec="center" w:tblpY="263"/>
        <w:tblW w:w="7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8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r>
              <w:rPr>
                <w:rFonts w:hint="eastAsia" w:ascii="宋体" w:hAnsi="宋体" w:cs="宋体"/>
                <w:b/>
                <w:bCs/>
                <w:color w:val="auto"/>
                <w:sz w:val="24"/>
              </w:rPr>
              <w:t>委托代理人有效</w:t>
            </w:r>
            <w:r>
              <w:rPr>
                <w:rFonts w:hint="eastAsia" w:ascii="宋体" w:hAnsi="宋体" w:cs="宋体"/>
                <w:b/>
                <w:color w:val="auto"/>
                <w:sz w:val="24"/>
              </w:rPr>
              <w:t>身份证（正反面）复印件</w:t>
            </w:r>
          </w:p>
        </w:tc>
      </w:tr>
    </w:tbl>
    <w:p>
      <w:pPr>
        <w:rPr>
          <w:rFonts w:hint="eastAsia" w:ascii="宋体" w:hAnsi="宋体" w:cs="宋体"/>
          <w:b/>
          <w:color w:val="auto"/>
          <w:sz w:val="24"/>
          <w:szCs w:val="20"/>
        </w:rPr>
      </w:pPr>
      <w:r>
        <w:rPr>
          <w:rFonts w:hint="eastAsia" w:ascii="宋体" w:hAnsi="宋体" w:cs="宋体"/>
          <w:color w:val="auto"/>
          <w:sz w:val="24"/>
        </w:rPr>
        <w:br w:type="page"/>
      </w:r>
      <w:r>
        <w:rPr>
          <w:rFonts w:hint="eastAsia" w:ascii="宋体" w:hAnsi="宋体" w:cs="宋体"/>
          <w:b/>
          <w:color w:val="auto"/>
          <w:sz w:val="28"/>
          <w:szCs w:val="28"/>
        </w:rPr>
        <w:t>6.商务条款偏离表的格式：</w:t>
      </w:r>
    </w:p>
    <w:p>
      <w:pPr>
        <w:snapToGrid w:val="0"/>
        <w:spacing w:before="165" w:beforeLines="50" w:after="50"/>
        <w:rPr>
          <w:rFonts w:hint="eastAsia" w:ascii="宋体" w:hAnsi="宋体" w:cs="宋体"/>
          <w:color w:val="auto"/>
        </w:rPr>
      </w:pPr>
    </w:p>
    <w:p>
      <w:pPr>
        <w:jc w:val="center"/>
        <w:rPr>
          <w:rFonts w:hint="eastAsia" w:ascii="宋体" w:hAnsi="宋体" w:cs="宋体"/>
          <w:b/>
          <w:bCs/>
          <w:color w:val="auto"/>
          <w:sz w:val="30"/>
          <w:szCs w:val="30"/>
        </w:rPr>
      </w:pPr>
      <w:r>
        <w:rPr>
          <w:rFonts w:hint="eastAsia" w:ascii="宋体" w:hAnsi="宋体" w:cs="宋体"/>
          <w:b/>
          <w:bCs/>
          <w:color w:val="auto"/>
          <w:sz w:val="30"/>
          <w:szCs w:val="30"/>
        </w:rPr>
        <w:t>商务条款偏离表</w:t>
      </w:r>
    </w:p>
    <w:p>
      <w:pPr>
        <w:jc w:val="center"/>
        <w:rPr>
          <w:rFonts w:hint="eastAsia" w:ascii="宋体" w:hAnsi="宋体" w:cs="宋体"/>
          <w:color w:val="auto"/>
          <w:sz w:val="30"/>
          <w:szCs w:val="20"/>
        </w:rPr>
      </w:pPr>
    </w:p>
    <w:p>
      <w:pPr>
        <w:spacing w:line="360" w:lineRule="auto"/>
        <w:contextualSpacing/>
        <w:rPr>
          <w:rFonts w:hint="eastAsia" w:ascii="宋体" w:hAnsi="宋体" w:cs="宋体"/>
          <w:color w:val="auto"/>
          <w:sz w:val="24"/>
        </w:rPr>
      </w:pPr>
    </w:p>
    <w:p>
      <w:pPr>
        <w:spacing w:line="480" w:lineRule="auto"/>
        <w:contextualSpacing/>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cs="宋体"/>
          <w:color w:val="auto"/>
          <w:sz w:val="24"/>
          <w:u w:val="single"/>
        </w:rPr>
        <w:t xml:space="preserve">                 </w:t>
      </w:r>
    </w:p>
    <w:p>
      <w:pPr>
        <w:spacing w:line="480" w:lineRule="auto"/>
        <w:contextualSpacing/>
        <w:jc w:val="left"/>
        <w:rPr>
          <w:rFonts w:hint="eastAsia" w:ascii="宋体" w:hAnsi="宋体" w:cs="宋体"/>
          <w:color w:val="auto"/>
          <w:sz w:val="24"/>
        </w:rPr>
      </w:pPr>
      <w:r>
        <w:rPr>
          <w:rFonts w:hint="eastAsia" w:ascii="宋体" w:hAnsi="宋体" w:cs="宋体"/>
          <w:color w:val="auto"/>
          <w:sz w:val="24"/>
        </w:rPr>
        <w:t>项目编号：</w:t>
      </w:r>
      <w:r>
        <w:rPr>
          <w:rFonts w:hint="eastAsia" w:ascii="宋体" w:hAnsi="宋体" w:cs="宋体"/>
          <w:color w:val="auto"/>
          <w:sz w:val="24"/>
          <w:u w:val="single"/>
        </w:rPr>
        <w:t xml:space="preserve">                 </w:t>
      </w:r>
    </w:p>
    <w:p>
      <w:pPr>
        <w:pStyle w:val="14"/>
        <w:spacing w:line="480" w:lineRule="auto"/>
        <w:ind w:left="-422" w:leftChars="-201" w:firstLine="424"/>
        <w:rPr>
          <w:rFonts w:hint="eastAsia" w:hAnsi="宋体" w:cs="宋体"/>
          <w:color w:val="auto"/>
          <w:sz w:val="24"/>
          <w:szCs w:val="24"/>
        </w:rPr>
      </w:pPr>
      <w:r>
        <w:rPr>
          <w:rFonts w:hint="eastAsia" w:hAnsi="宋体" w:cs="宋体"/>
          <w:color w:val="auto"/>
          <w:sz w:val="24"/>
          <w:szCs w:val="24"/>
        </w:rPr>
        <w:t>所投分标</w:t>
      </w:r>
      <w:r>
        <w:rPr>
          <w:rFonts w:hint="eastAsia" w:hAnsi="宋体" w:cs="宋体"/>
          <w:color w:val="auto"/>
          <w:szCs w:val="21"/>
        </w:rPr>
        <w:t>（此处有分标时填写具体分标号，无分标时填写“无”）</w:t>
      </w:r>
      <w:r>
        <w:rPr>
          <w:rFonts w:hint="eastAsia" w:hAnsi="宋体" w:cs="宋体"/>
          <w:color w:val="auto"/>
          <w:sz w:val="24"/>
          <w:szCs w:val="24"/>
        </w:rPr>
        <w:t>：</w:t>
      </w:r>
      <w:r>
        <w:rPr>
          <w:rFonts w:hint="eastAsia" w:hAnsi="宋体" w:cs="宋体"/>
          <w:color w:val="auto"/>
          <w:sz w:val="24"/>
          <w:u w:val="single"/>
        </w:rPr>
        <w:t xml:space="preserve">           </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2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项号</w:t>
            </w:r>
          </w:p>
        </w:tc>
        <w:tc>
          <w:tcPr>
            <w:tcW w:w="342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招标文件的商务条款</w:t>
            </w:r>
          </w:p>
        </w:tc>
        <w:tc>
          <w:tcPr>
            <w:tcW w:w="322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投标文件响应的商务条款</w:t>
            </w:r>
          </w:p>
        </w:tc>
        <w:tc>
          <w:tcPr>
            <w:tcW w:w="114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一</w:t>
            </w:r>
          </w:p>
        </w:tc>
        <w:tc>
          <w:tcPr>
            <w:tcW w:w="34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1146"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二</w:t>
            </w:r>
          </w:p>
        </w:tc>
        <w:tc>
          <w:tcPr>
            <w:tcW w:w="34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1146"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宋体"/>
                <w:color w:val="auto"/>
                <w:szCs w:val="21"/>
              </w:rPr>
            </w:pPr>
            <w:r>
              <w:rPr>
                <w:rFonts w:hint="eastAsia" w:ascii="宋体" w:hAnsi="宋体" w:cs="宋体"/>
                <w:color w:val="auto"/>
                <w:szCs w:val="21"/>
              </w:rPr>
              <w:t>...</w:t>
            </w:r>
          </w:p>
        </w:tc>
        <w:tc>
          <w:tcPr>
            <w:tcW w:w="34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pPr>
              <w:spacing w:line="340" w:lineRule="exact"/>
              <w:rPr>
                <w:rFonts w:hint="eastAsia" w:ascii="宋体" w:hAnsi="宋体" w:cs="宋体"/>
                <w:color w:val="auto"/>
                <w:szCs w:val="21"/>
              </w:rPr>
            </w:pPr>
          </w:p>
        </w:tc>
        <w:tc>
          <w:tcPr>
            <w:tcW w:w="1146"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cs="宋体"/>
                <w:color w:val="auto"/>
                <w:szCs w:val="21"/>
              </w:rPr>
            </w:pPr>
          </w:p>
        </w:tc>
      </w:tr>
    </w:tbl>
    <w:p>
      <w:pPr>
        <w:pStyle w:val="14"/>
        <w:spacing w:line="360" w:lineRule="auto"/>
        <w:ind w:left="-708" w:leftChars="-337"/>
        <w:rPr>
          <w:rFonts w:hint="eastAsia" w:hAnsi="宋体" w:cs="宋体"/>
          <w:color w:val="auto"/>
        </w:rPr>
      </w:pPr>
    </w:p>
    <w:p>
      <w:pPr>
        <w:pStyle w:val="14"/>
        <w:spacing w:line="360" w:lineRule="auto"/>
        <w:ind w:left="-708" w:leftChars="-337" w:firstLine="420" w:firstLineChars="200"/>
        <w:rPr>
          <w:rFonts w:hint="eastAsia" w:hAnsi="宋体" w:cs="宋体"/>
          <w:color w:val="auto"/>
        </w:rPr>
      </w:pPr>
      <w:r>
        <w:rPr>
          <w:rFonts w:hint="eastAsia" w:hAnsi="宋体" w:cs="宋体"/>
          <w:color w:val="auto"/>
        </w:rPr>
        <w:t>注：</w:t>
      </w:r>
    </w:p>
    <w:p>
      <w:pPr>
        <w:pStyle w:val="14"/>
        <w:spacing w:line="360" w:lineRule="auto"/>
        <w:ind w:left="-708" w:leftChars="-337" w:firstLine="420" w:firstLineChars="200"/>
        <w:rPr>
          <w:rFonts w:hint="eastAsia" w:hAnsi="宋体" w:cs="宋体"/>
          <w:color w:val="auto"/>
        </w:rPr>
      </w:pPr>
      <w:r>
        <w:rPr>
          <w:rFonts w:hint="eastAsia" w:hAnsi="宋体" w:cs="宋体"/>
          <w:color w:val="auto"/>
        </w:rPr>
        <w:t>1.表格内容均需按要求填写并加盖投标人公章。</w:t>
      </w:r>
    </w:p>
    <w:p>
      <w:pPr>
        <w:pStyle w:val="14"/>
        <w:spacing w:line="360" w:lineRule="auto"/>
        <w:ind w:left="-708" w:leftChars="-337" w:firstLine="420" w:firstLineChars="200"/>
        <w:rPr>
          <w:rFonts w:hint="eastAsia" w:hAnsi="宋体" w:cs="宋体"/>
          <w:color w:val="auto"/>
          <w:sz w:val="24"/>
          <w:szCs w:val="24"/>
        </w:rPr>
      </w:pPr>
      <w:r>
        <w:rPr>
          <w:rFonts w:hint="eastAsia" w:hAnsi="宋体" w:cs="宋体"/>
          <w:color w:val="auto"/>
        </w:rPr>
        <w:t>2.对本项目招标文件“第二章  采购需求”中“商务条款”的全部要求，详细填写响应的具体内容，并作出偏离说明。“偏离说明”一栏应当选择“正偏离”或“负偏离”或“无偏离”进行填写。</w:t>
      </w:r>
    </w:p>
    <w:p>
      <w:pPr>
        <w:pStyle w:val="14"/>
        <w:spacing w:line="360" w:lineRule="auto"/>
        <w:ind w:left="-708" w:leftChars="-337" w:firstLine="420" w:firstLineChars="200"/>
        <w:rPr>
          <w:rFonts w:hint="eastAsia" w:hAnsi="宋体" w:cs="宋体"/>
          <w:color w:val="auto"/>
        </w:rPr>
      </w:pPr>
      <w:r>
        <w:rPr>
          <w:rFonts w:hint="eastAsia" w:hAnsi="宋体" w:cs="宋体"/>
          <w:color w:val="auto"/>
        </w:rPr>
        <w:t>3.当投标文件的商务内容低于招标文件要求时，投标人应当如实写明“负偏离”。</w:t>
      </w:r>
    </w:p>
    <w:p>
      <w:pPr>
        <w:snapToGrid w:val="0"/>
        <w:spacing w:before="50" w:after="50"/>
        <w:rPr>
          <w:rFonts w:hint="eastAsia" w:ascii="宋体" w:hAnsi="宋体" w:cs="宋体"/>
          <w:color w:val="auto"/>
          <w:sz w:val="24"/>
        </w:rPr>
      </w:pPr>
    </w:p>
    <w:p>
      <w:pPr>
        <w:snapToGrid w:val="0"/>
        <w:spacing w:line="360" w:lineRule="auto"/>
        <w:ind w:firstLine="4935" w:firstLineChars="2350"/>
        <w:rPr>
          <w:rFonts w:hint="eastAsia"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widowControl/>
        <w:jc w:val="left"/>
        <w:rPr>
          <w:rFonts w:hint="eastAsia" w:ascii="宋体" w:hAnsi="宋体" w:cs="宋体"/>
          <w:color w:val="auto"/>
          <w:szCs w:val="21"/>
        </w:rPr>
        <w:sectPr>
          <w:pgSz w:w="11906" w:h="16838"/>
          <w:pgMar w:top="1134" w:right="1020" w:bottom="1020" w:left="1134" w:header="720" w:footer="720" w:gutter="0"/>
          <w:cols w:space="720" w:num="1"/>
          <w:docGrid w:type="lines" w:linePitch="331" w:charSpace="0"/>
        </w:sectPr>
      </w:pPr>
    </w:p>
    <w:p>
      <w:pPr>
        <w:pStyle w:val="20"/>
        <w:snapToGrid w:val="0"/>
        <w:ind w:left="-420" w:leftChars="-200" w:firstLine="0" w:firstLineChars="0"/>
        <w:rPr>
          <w:rFonts w:hint="eastAsia" w:ascii="宋体" w:hAnsi="宋体" w:cs="宋体"/>
          <w:i/>
          <w:iCs/>
          <w:color w:val="auto"/>
          <w:szCs w:val="28"/>
        </w:rPr>
      </w:pPr>
      <w:r>
        <w:rPr>
          <w:rFonts w:hint="eastAsia" w:ascii="宋体" w:hAnsi="宋体" w:cs="宋体"/>
          <w:b/>
          <w:bCs/>
          <w:color w:val="auto"/>
          <w:sz w:val="30"/>
          <w:szCs w:val="30"/>
        </w:rPr>
        <w:t>7.投标人类似的业绩证明文件（如有要求）：</w:t>
      </w:r>
    </w:p>
    <w:p>
      <w:pPr>
        <w:spacing w:line="360" w:lineRule="auto"/>
        <w:ind w:firstLine="2880" w:firstLineChars="900"/>
        <w:contextualSpacing/>
        <w:rPr>
          <w:rFonts w:hint="eastAsia" w:ascii="宋体" w:hAnsi="宋体" w:cs="宋体"/>
          <w:color w:val="auto"/>
          <w:sz w:val="32"/>
          <w:szCs w:val="32"/>
        </w:rPr>
      </w:pPr>
      <w:r>
        <w:rPr>
          <w:rFonts w:hint="eastAsia" w:ascii="宋体" w:hAnsi="宋体" w:cs="宋体"/>
          <w:color w:val="auto"/>
          <w:sz w:val="32"/>
          <w:szCs w:val="32"/>
        </w:rPr>
        <w:t>类似项目的业绩一览表</w:t>
      </w:r>
    </w:p>
    <w:p>
      <w:pPr>
        <w:autoSpaceDE w:val="0"/>
        <w:autoSpaceDN w:val="0"/>
        <w:spacing w:line="360" w:lineRule="auto"/>
        <w:jc w:val="left"/>
        <w:rPr>
          <w:rFonts w:hint="eastAsia" w:ascii="宋体" w:hAnsi="宋体" w:cs="宋体"/>
          <w:color w:val="auto"/>
          <w:sz w:val="24"/>
        </w:rPr>
      </w:pPr>
    </w:p>
    <w:p>
      <w:pPr>
        <w:autoSpaceDE w:val="0"/>
        <w:autoSpaceDN w:val="0"/>
        <w:spacing w:line="360" w:lineRule="auto"/>
        <w:jc w:val="left"/>
        <w:rPr>
          <w:rFonts w:hint="eastAsia" w:ascii="宋体" w:hAnsi="宋体" w:cs="宋体"/>
          <w:color w:val="auto"/>
          <w:sz w:val="24"/>
        </w:rPr>
      </w:pPr>
      <w:r>
        <w:rPr>
          <w:rFonts w:hint="eastAsia" w:ascii="宋体" w:hAnsi="宋体" w:cs="宋体"/>
          <w:color w:val="auto"/>
          <w:sz w:val="24"/>
        </w:rPr>
        <w:t>所投分标（如有则填写，无分标时填写“无”或者留空）：</w:t>
      </w:r>
    </w:p>
    <w:tbl>
      <w:tblPr>
        <w:tblStyle w:val="26"/>
        <w:tblW w:w="971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采购人</w:t>
            </w:r>
          </w:p>
          <w:p>
            <w:pPr>
              <w:snapToGrid w:val="0"/>
              <w:spacing w:line="240" w:lineRule="exact"/>
              <w:jc w:val="center"/>
              <w:rPr>
                <w:rFonts w:hint="eastAsia" w:ascii="宋体" w:hAnsi="宋体" w:cs="宋体"/>
                <w:color w:val="auto"/>
                <w:sz w:val="24"/>
              </w:rPr>
            </w:pPr>
            <w:r>
              <w:rPr>
                <w:rFonts w:hint="eastAsia" w:ascii="宋体" w:hAnsi="宋体" w:cs="宋体"/>
                <w:color w:val="auto"/>
                <w:sz w:val="24"/>
              </w:rPr>
              <w:t>名称</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项目名称</w:t>
            </w:r>
          </w:p>
        </w:tc>
        <w:tc>
          <w:tcPr>
            <w:tcW w:w="168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合同金额</w:t>
            </w:r>
          </w:p>
          <w:p>
            <w:pPr>
              <w:snapToGrid w:val="0"/>
              <w:spacing w:line="240" w:lineRule="exact"/>
              <w:jc w:val="center"/>
              <w:rPr>
                <w:rFonts w:hint="eastAsia" w:ascii="宋体" w:hAnsi="宋体" w:cs="宋体"/>
                <w:color w:val="auto"/>
                <w:sz w:val="24"/>
              </w:rPr>
            </w:pPr>
            <w:r>
              <w:rPr>
                <w:rFonts w:hint="eastAsia" w:ascii="宋体" w:hAnsi="宋体" w:cs="宋体"/>
                <w:color w:val="auto"/>
                <w:sz w:val="24"/>
              </w:rPr>
              <w:t>（万元）</w:t>
            </w:r>
          </w:p>
        </w:tc>
        <w:tc>
          <w:tcPr>
            <w:tcW w:w="305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采购人联系人及</w:t>
            </w:r>
          </w:p>
          <w:p>
            <w:pPr>
              <w:snapToGrid w:val="0"/>
              <w:spacing w:line="240" w:lineRule="exact"/>
              <w:jc w:val="center"/>
              <w:rPr>
                <w:rFonts w:hint="eastAsia" w:ascii="宋体" w:hAnsi="宋体" w:cs="宋体"/>
                <w:color w:val="auto"/>
                <w:sz w:val="24"/>
              </w:rPr>
            </w:pPr>
            <w:r>
              <w:rPr>
                <w:rFonts w:hint="eastAsia" w:ascii="宋体" w:hAnsi="宋体" w:cs="宋体"/>
                <w:color w:val="auto"/>
                <w:sz w:val="24"/>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4"/>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4"/>
              </w:rPr>
            </w:pPr>
          </w:p>
        </w:tc>
        <w:tc>
          <w:tcPr>
            <w:tcW w:w="16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合同</w:t>
            </w:r>
          </w:p>
        </w:tc>
        <w:tc>
          <w:tcPr>
            <w:tcW w:w="1016"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验收</w:t>
            </w:r>
          </w:p>
          <w:p>
            <w:pPr>
              <w:snapToGrid w:val="0"/>
              <w:spacing w:line="240" w:lineRule="exact"/>
              <w:jc w:val="center"/>
              <w:rPr>
                <w:rFonts w:hint="eastAsia" w:ascii="宋体" w:hAnsi="宋体" w:cs="宋体"/>
                <w:color w:val="auto"/>
                <w:sz w:val="24"/>
              </w:rPr>
            </w:pPr>
            <w:r>
              <w:rPr>
                <w:rFonts w:hint="eastAsia" w:ascii="宋体" w:hAnsi="宋体" w:cs="宋体"/>
                <w:color w:val="auto"/>
                <w:sz w:val="24"/>
              </w:rPr>
              <w:t>报告</w:t>
            </w:r>
          </w:p>
        </w:tc>
        <w:tc>
          <w:tcPr>
            <w:tcW w:w="101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int="eastAsia" w:ascii="宋体" w:hAnsi="宋体" w:cs="宋体"/>
                <w:color w:val="auto"/>
                <w:sz w:val="24"/>
              </w:rPr>
            </w:pPr>
            <w:r>
              <w:rPr>
                <w:rFonts w:hint="eastAsia" w:ascii="宋体" w:hAnsi="宋体" w:cs="宋体"/>
                <w:color w:val="auto"/>
                <w:sz w:val="24"/>
              </w:rPr>
              <w:t>用户</w:t>
            </w:r>
          </w:p>
          <w:p>
            <w:pPr>
              <w:snapToGrid w:val="0"/>
              <w:spacing w:line="240" w:lineRule="exact"/>
              <w:jc w:val="center"/>
              <w:rPr>
                <w:rFonts w:hint="eastAsia" w:ascii="宋体" w:hAnsi="宋体" w:cs="宋体"/>
                <w:color w:val="auto"/>
                <w:sz w:val="24"/>
              </w:rPr>
            </w:pPr>
            <w:r>
              <w:rPr>
                <w:rFonts w:hint="eastAsia" w:ascii="宋体" w:hAnsi="宋体" w:cs="宋体"/>
                <w:color w:val="auto"/>
                <w:sz w:val="24"/>
              </w:rPr>
              <w:t>评价</w:t>
            </w:r>
          </w:p>
        </w:tc>
        <w:tc>
          <w:tcPr>
            <w:tcW w:w="19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24"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813"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687"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01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c>
          <w:tcPr>
            <w:tcW w:w="193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687"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93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687"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93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687"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93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687"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6"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01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c>
          <w:tcPr>
            <w:tcW w:w="1938" w:type="dxa"/>
            <w:tcBorders>
              <w:top w:val="single" w:color="auto" w:sz="4" w:space="0"/>
              <w:left w:val="single" w:color="auto" w:sz="4" w:space="0"/>
              <w:bottom w:val="single" w:color="auto" w:sz="4" w:space="0"/>
              <w:right w:val="single" w:color="auto" w:sz="4" w:space="0"/>
            </w:tcBorders>
          </w:tcPr>
          <w:p>
            <w:pPr>
              <w:snapToGrid w:val="0"/>
              <w:spacing w:before="50" w:after="165" w:afterLines="50" w:line="400" w:lineRule="exact"/>
              <w:jc w:val="left"/>
              <w:rPr>
                <w:rFonts w:hint="eastAsia" w:ascii="宋体" w:hAnsi="宋体" w:cs="宋体"/>
                <w:color w:val="auto"/>
                <w:sz w:val="24"/>
              </w:rPr>
            </w:pPr>
          </w:p>
        </w:tc>
      </w:tr>
    </w:tbl>
    <w:p>
      <w:pPr>
        <w:pStyle w:val="14"/>
        <w:spacing w:line="360" w:lineRule="auto"/>
        <w:ind w:left="72"/>
        <w:rPr>
          <w:rFonts w:hint="eastAsia" w:hAnsi="宋体" w:cs="宋体"/>
          <w:color w:val="auto"/>
        </w:rPr>
      </w:pPr>
      <w:r>
        <w:rPr>
          <w:rFonts w:hint="eastAsia" w:hAnsi="宋体" w:cs="宋体"/>
          <w:color w:val="auto"/>
        </w:rPr>
        <w:t>注：</w:t>
      </w:r>
      <w:r>
        <w:rPr>
          <w:rFonts w:hint="eastAsia" w:hAnsi="宋体" w:cs="宋体"/>
          <w:color w:val="auto"/>
          <w:szCs w:val="21"/>
        </w:rPr>
        <w:t>在填写时，如本表格不适合投标人的实际情况，可参照本表格式自行制表填写，并附上相关证明材料</w:t>
      </w:r>
      <w:r>
        <w:rPr>
          <w:rFonts w:hint="eastAsia" w:hAnsi="宋体" w:cs="宋体"/>
          <w:color w:val="auto"/>
        </w:rPr>
        <w:t>。</w:t>
      </w:r>
    </w:p>
    <w:p>
      <w:pPr>
        <w:snapToGrid w:val="0"/>
        <w:spacing w:line="360" w:lineRule="auto"/>
        <w:ind w:firstLine="4935" w:firstLineChars="2350"/>
        <w:rPr>
          <w:rFonts w:hint="eastAsia" w:ascii="宋体" w:hAnsi="宋体" w:cs="宋体"/>
          <w:color w:val="auto"/>
          <w:szCs w:val="21"/>
        </w:rPr>
      </w:pPr>
      <w:r>
        <w:rPr>
          <w:rFonts w:hint="eastAsia" w:ascii="宋体" w:hAnsi="宋体" w:cs="宋体"/>
          <w:color w:val="auto"/>
          <w:szCs w:val="21"/>
        </w:rPr>
        <w:t xml:space="preserve"> </w:t>
      </w:r>
    </w:p>
    <w:p>
      <w:pPr>
        <w:snapToGrid w:val="0"/>
        <w:spacing w:line="360" w:lineRule="auto"/>
        <w:ind w:firstLine="4935" w:firstLineChars="2350"/>
        <w:rPr>
          <w:rFonts w:hint="eastAsia" w:ascii="宋体" w:hAnsi="宋体" w:cs="宋体"/>
          <w:color w:val="auto"/>
          <w:szCs w:val="21"/>
        </w:rPr>
      </w:pPr>
    </w:p>
    <w:p>
      <w:pPr>
        <w:snapToGrid w:val="0"/>
        <w:spacing w:line="360" w:lineRule="auto"/>
        <w:ind w:left="5187" w:leftChars="2470" w:firstLine="4620" w:firstLineChars="2200"/>
        <w:rPr>
          <w:rFonts w:hint="eastAsia"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lang w:val="zh-CN"/>
        </w:rPr>
        <w:t>投标人名称(盖公章)：</w:t>
      </w:r>
    </w:p>
    <w:p>
      <w:pPr>
        <w:snapToGrid w:val="0"/>
        <w:spacing w:line="360" w:lineRule="auto"/>
        <w:ind w:firstLine="5280" w:firstLineChars="2200"/>
        <w:rPr>
          <w:rFonts w:hint="eastAsia" w:ascii="宋体" w:hAnsi="宋体" w:cs="宋体"/>
          <w:b/>
          <w:color w:val="auto"/>
          <w:sz w:val="24"/>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snapToGrid w:val="0"/>
        <w:spacing w:before="165" w:beforeLines="50" w:after="50"/>
        <w:ind w:left="143" w:leftChars="68" w:firstLine="472" w:firstLineChars="196"/>
        <w:jc w:val="left"/>
        <w:rPr>
          <w:rFonts w:hint="eastAsia" w:ascii="宋体" w:hAnsi="宋体" w:cs="宋体"/>
          <w:b/>
          <w:color w:val="auto"/>
          <w:sz w:val="24"/>
        </w:rPr>
      </w:pPr>
    </w:p>
    <w:p>
      <w:pPr>
        <w:pStyle w:val="14"/>
        <w:spacing w:line="500" w:lineRule="exact"/>
        <w:jc w:val="left"/>
        <w:rPr>
          <w:rFonts w:hint="eastAsia" w:hAnsi="宋体" w:cs="宋体"/>
          <w:b/>
          <w:bCs/>
          <w:color w:val="auto"/>
          <w:sz w:val="30"/>
          <w:szCs w:val="30"/>
        </w:rPr>
      </w:pPr>
      <w:r>
        <w:rPr>
          <w:rFonts w:hint="eastAsia" w:hAnsi="宋体" w:cs="宋体"/>
          <w:b/>
          <w:bCs/>
          <w:color w:val="auto"/>
          <w:sz w:val="30"/>
          <w:szCs w:val="30"/>
        </w:rPr>
        <w:br w:type="page"/>
      </w:r>
      <w:r>
        <w:rPr>
          <w:rFonts w:hint="eastAsia" w:hAnsi="宋体" w:cs="宋体"/>
          <w:b/>
          <w:color w:val="auto"/>
          <w:sz w:val="28"/>
          <w:szCs w:val="28"/>
        </w:rPr>
        <w:t>8. 技术需求偏离表的格式：</w:t>
      </w:r>
    </w:p>
    <w:p>
      <w:pPr>
        <w:pStyle w:val="14"/>
        <w:spacing w:line="500" w:lineRule="exact"/>
        <w:jc w:val="center"/>
        <w:rPr>
          <w:rFonts w:hint="eastAsia" w:hAnsi="宋体" w:cs="宋体"/>
          <w:b/>
          <w:bCs/>
          <w:color w:val="auto"/>
          <w:sz w:val="30"/>
          <w:szCs w:val="30"/>
        </w:rPr>
      </w:pPr>
      <w:r>
        <w:rPr>
          <w:rFonts w:hint="eastAsia" w:hAnsi="宋体" w:cs="宋体"/>
          <w:b/>
          <w:bCs/>
          <w:color w:val="auto"/>
          <w:sz w:val="30"/>
          <w:szCs w:val="30"/>
        </w:rPr>
        <w:t>技术需求偏离表</w:t>
      </w:r>
    </w:p>
    <w:p>
      <w:pPr>
        <w:pStyle w:val="14"/>
        <w:spacing w:line="440" w:lineRule="exact"/>
        <w:ind w:firstLine="420" w:firstLineChars="200"/>
        <w:rPr>
          <w:rFonts w:hint="eastAsia" w:hAnsi="宋体" w:cs="宋体"/>
          <w:color w:val="auto"/>
        </w:rPr>
      </w:pPr>
    </w:p>
    <w:p>
      <w:pPr>
        <w:spacing w:line="480" w:lineRule="auto"/>
        <w:contextualSpacing/>
        <w:rPr>
          <w:rFonts w:hint="eastAsia" w:ascii="宋体" w:hAnsi="宋体" w:cs="宋体"/>
          <w:color w:val="auto"/>
          <w:sz w:val="24"/>
          <w:u w:val="single"/>
        </w:rPr>
      </w:pPr>
      <w:r>
        <w:rPr>
          <w:rFonts w:hint="eastAsia" w:ascii="宋体" w:hAnsi="宋体" w:cs="宋体"/>
          <w:color w:val="auto"/>
          <w:sz w:val="24"/>
        </w:rPr>
        <w:t>项目</w:t>
      </w:r>
      <w:r>
        <w:rPr>
          <w:rFonts w:hint="eastAsia" w:hAnsi="宋体" w:cs="宋体"/>
          <w:color w:val="auto"/>
          <w:sz w:val="24"/>
        </w:rPr>
        <w:t>名称</w:t>
      </w:r>
      <w:r>
        <w:rPr>
          <w:rFonts w:hint="eastAsia" w:ascii="宋体" w:hAnsi="宋体" w:cs="宋体"/>
          <w:color w:val="auto"/>
          <w:sz w:val="24"/>
        </w:rPr>
        <w:t>：</w:t>
      </w:r>
      <w:r>
        <w:rPr>
          <w:rFonts w:hint="eastAsia" w:ascii="宋体" w:hAnsi="宋体" w:cs="宋体"/>
          <w:color w:val="auto"/>
          <w:sz w:val="24"/>
          <w:u w:val="single"/>
        </w:rPr>
        <w:t xml:space="preserve">                 </w:t>
      </w:r>
    </w:p>
    <w:p>
      <w:pPr>
        <w:pStyle w:val="14"/>
        <w:spacing w:line="480" w:lineRule="auto"/>
        <w:rPr>
          <w:color w:val="auto"/>
        </w:rPr>
      </w:pPr>
      <w:r>
        <w:rPr>
          <w:rFonts w:hint="eastAsia" w:hAnsi="宋体" w:cs="宋体"/>
          <w:color w:val="auto"/>
          <w:sz w:val="24"/>
        </w:rPr>
        <w:t>项目编号：</w:t>
      </w:r>
      <w:r>
        <w:rPr>
          <w:rFonts w:hint="eastAsia" w:hAnsi="宋体" w:cs="宋体"/>
          <w:color w:val="auto"/>
          <w:sz w:val="24"/>
          <w:u w:val="single"/>
        </w:rPr>
        <w:t xml:space="preserve">                 </w:t>
      </w:r>
    </w:p>
    <w:p>
      <w:pPr>
        <w:pStyle w:val="14"/>
        <w:spacing w:line="480" w:lineRule="auto"/>
        <w:rPr>
          <w:color w:val="auto"/>
        </w:rPr>
      </w:pPr>
      <w:r>
        <w:rPr>
          <w:rFonts w:hint="eastAsia" w:hAnsi="宋体" w:cs="宋体"/>
          <w:color w:val="auto"/>
          <w:sz w:val="24"/>
        </w:rPr>
        <w:t>所投分标</w:t>
      </w:r>
      <w:r>
        <w:rPr>
          <w:rFonts w:hint="eastAsia" w:hAnsi="宋体" w:cs="宋体"/>
          <w:color w:val="auto"/>
          <w:szCs w:val="21"/>
        </w:rPr>
        <w:t>（此处有分标时填写具体分标号，无分标时填写“无”）</w:t>
      </w:r>
      <w:r>
        <w:rPr>
          <w:rFonts w:hint="eastAsia" w:hAnsi="宋体" w:cs="宋体"/>
          <w:color w:val="auto"/>
          <w:sz w:val="24"/>
          <w:szCs w:val="24"/>
        </w:rPr>
        <w:t>：</w:t>
      </w:r>
      <w:r>
        <w:rPr>
          <w:rFonts w:hint="eastAsia" w:hAnsi="宋体" w:cs="宋体"/>
          <w:color w:val="auto"/>
          <w:sz w:val="24"/>
          <w:u w:val="single"/>
        </w:rPr>
        <w:t xml:space="preserve">           </w:t>
      </w:r>
    </w:p>
    <w:tbl>
      <w:tblPr>
        <w:tblStyle w:val="26"/>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58"/>
        <w:gridCol w:w="3280"/>
        <w:gridCol w:w="3612"/>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rPr>
            </w:pPr>
            <w:r>
              <w:rPr>
                <w:rFonts w:hint="eastAsia" w:ascii="宋体" w:hAnsi="宋体" w:cs="宋体"/>
                <w:color w:val="auto"/>
                <w:szCs w:val="21"/>
              </w:rPr>
              <w:t>项号</w:t>
            </w:r>
          </w:p>
        </w:tc>
        <w:tc>
          <w:tcPr>
            <w:tcW w:w="10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rPr>
            </w:pPr>
            <w:r>
              <w:rPr>
                <w:rFonts w:hint="eastAsia" w:ascii="宋体" w:hAnsi="宋体" w:cs="宋体"/>
                <w:color w:val="auto"/>
                <w:szCs w:val="21"/>
              </w:rPr>
              <w:t>标的名称</w:t>
            </w:r>
          </w:p>
        </w:tc>
        <w:tc>
          <w:tcPr>
            <w:tcW w:w="32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rPr>
            </w:pPr>
            <w:r>
              <w:rPr>
                <w:rFonts w:hint="eastAsia" w:ascii="宋体" w:hAnsi="宋体"/>
                <w:color w:val="auto"/>
                <w:szCs w:val="21"/>
              </w:rPr>
              <w:t>招标文件采购需求-附件工作表中-规格、参数</w:t>
            </w:r>
          </w:p>
        </w:tc>
        <w:tc>
          <w:tcPr>
            <w:tcW w:w="36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rPr>
            </w:pPr>
            <w:r>
              <w:rPr>
                <w:rFonts w:hint="eastAsia" w:ascii="宋体" w:hAnsi="宋体"/>
                <w:color w:val="auto"/>
                <w:szCs w:val="21"/>
              </w:rPr>
              <w:t>投标文件响应的规格、参数</w:t>
            </w:r>
          </w:p>
        </w:tc>
        <w:tc>
          <w:tcPr>
            <w:tcW w:w="1130"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rPr>
            </w:pPr>
            <w:r>
              <w:rPr>
                <w:rFonts w:hint="eastAsia" w:ascii="宋体" w:hAnsi="宋体"/>
                <w:color w:val="auto"/>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rPr>
            </w:pPr>
            <w:r>
              <w:rPr>
                <w:rFonts w:hint="eastAsia" w:ascii="宋体" w:hAnsi="宋体" w:cs="宋体"/>
                <w:color w:val="auto"/>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2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rPr>
            </w:pPr>
            <w:r>
              <w:rPr>
                <w:rFonts w:hint="eastAsia" w:ascii="宋体" w:hAnsi="宋体" w:cs="宋体"/>
                <w:color w:val="auto"/>
                <w:szCs w:val="21"/>
              </w:rPr>
              <w:t>2</w:t>
            </w:r>
          </w:p>
        </w:tc>
        <w:tc>
          <w:tcPr>
            <w:tcW w:w="105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2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r>
              <w:rPr>
                <w:rFonts w:hint="eastAsia" w:ascii="宋体" w:hAnsi="宋体" w:cs="宋体"/>
                <w:color w:val="auto"/>
                <w:szCs w:val="21"/>
              </w:rPr>
              <w:t>...</w:t>
            </w:r>
          </w:p>
        </w:tc>
        <w:tc>
          <w:tcPr>
            <w:tcW w:w="105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2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3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4"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1"/>
              </w:rPr>
            </w:pPr>
            <w:r>
              <w:rPr>
                <w:rFonts w:hint="eastAsia" w:ascii="宋体" w:hAnsi="宋体" w:cs="宋体"/>
                <w:color w:val="auto"/>
                <w:szCs w:val="21"/>
              </w:rPr>
              <w:t>投标货物中，属于优先采购节能产品</w:t>
            </w:r>
            <w:r>
              <w:rPr>
                <w:rFonts w:hint="eastAsia" w:ascii="宋体" w:hAnsi="宋体" w:cs="宋体"/>
                <w:color w:val="auto"/>
              </w:rPr>
              <w:t>为</w:t>
            </w:r>
            <w:r>
              <w:rPr>
                <w:rFonts w:hint="eastAsia" w:ascii="宋体" w:hAnsi="宋体" w:cs="宋体"/>
                <w:color w:val="auto"/>
                <w:szCs w:val="21"/>
              </w:rPr>
              <w:t>本项目招标文件“第二章 采购需求”中</w:t>
            </w:r>
            <w:r>
              <w:rPr>
                <w:rFonts w:hint="eastAsia" w:ascii="宋体" w:hAnsi="宋体" w:cs="宋体"/>
                <w:color w:val="auto"/>
              </w:rPr>
              <w:t>“</w:t>
            </w:r>
            <w:r>
              <w:rPr>
                <w:rFonts w:hint="eastAsia" w:ascii="宋体" w:hAnsi="宋体" w:cs="宋体"/>
                <w:color w:val="auto"/>
                <w:szCs w:val="21"/>
              </w:rPr>
              <w:t>需求一览表</w:t>
            </w:r>
            <w:r>
              <w:rPr>
                <w:rFonts w:hint="eastAsia" w:ascii="宋体" w:hAnsi="宋体" w:cs="宋体"/>
                <w:color w:val="auto"/>
              </w:rPr>
              <w:t>”的第   项产品：</w:t>
            </w:r>
            <w:r>
              <w:rPr>
                <w:rFonts w:hint="eastAsia" w:ascii="宋体" w:hAnsi="宋体" w:cs="宋体"/>
                <w:color w:val="auto"/>
                <w:u w:val="single"/>
              </w:rPr>
              <w:t xml:space="preserve">        </w:t>
            </w:r>
            <w:r>
              <w:rPr>
                <w:rFonts w:hint="eastAsia" w:ascii="宋体" w:hAnsi="宋体" w:cs="宋体"/>
                <w:color w:val="auto"/>
              </w:rPr>
              <w:t>，合计</w:t>
            </w:r>
            <w:r>
              <w:rPr>
                <w:rFonts w:hint="eastAsia" w:ascii="宋体" w:hAnsi="宋体" w:cs="宋体"/>
                <w:color w:val="auto"/>
                <w:u w:val="single"/>
              </w:rPr>
              <w:t xml:space="preserve">     </w:t>
            </w:r>
            <w:r>
              <w:rPr>
                <w:rFonts w:hint="eastAsia" w:ascii="宋体" w:hAnsi="宋体" w:cs="宋体"/>
                <w:color w:val="auto"/>
              </w:rPr>
              <w:t>项</w:t>
            </w:r>
            <w:r>
              <w:rPr>
                <w:rFonts w:hint="eastAsia" w:ascii="宋体" w:hAnsi="宋体" w:cs="宋体"/>
                <w:color w:val="auto"/>
                <w:szCs w:val="21"/>
              </w:rPr>
              <w:t>；属于优先采购环境标志产品为本项目招标文件“第二章 采购需求”中</w:t>
            </w:r>
            <w:r>
              <w:rPr>
                <w:rFonts w:hint="eastAsia" w:ascii="宋体" w:hAnsi="宋体" w:cs="宋体"/>
                <w:color w:val="auto"/>
              </w:rPr>
              <w:t>“</w:t>
            </w:r>
            <w:r>
              <w:rPr>
                <w:rFonts w:hint="eastAsia" w:ascii="宋体" w:hAnsi="宋体" w:cs="宋体"/>
                <w:color w:val="auto"/>
                <w:szCs w:val="21"/>
              </w:rPr>
              <w:t>需求一览表</w:t>
            </w:r>
            <w:r>
              <w:rPr>
                <w:rFonts w:hint="eastAsia" w:ascii="宋体" w:hAnsi="宋体" w:cs="宋体"/>
                <w:color w:val="auto"/>
              </w:rPr>
              <w:t>”的第   项产品：</w:t>
            </w:r>
            <w:r>
              <w:rPr>
                <w:rFonts w:hint="eastAsia" w:ascii="宋体" w:hAnsi="宋体" w:cs="宋体"/>
                <w:color w:val="auto"/>
                <w:u w:val="single"/>
              </w:rPr>
              <w:t xml:space="preserve">        </w:t>
            </w:r>
            <w:r>
              <w:rPr>
                <w:rFonts w:hint="eastAsia" w:ascii="宋体" w:hAnsi="宋体" w:cs="宋体"/>
                <w:color w:val="auto"/>
              </w:rPr>
              <w:t>，合计</w:t>
            </w:r>
            <w:r>
              <w:rPr>
                <w:rFonts w:hint="eastAsia" w:ascii="宋体" w:hAnsi="宋体" w:cs="宋体"/>
                <w:color w:val="auto"/>
                <w:u w:val="single"/>
              </w:rPr>
              <w:t xml:space="preserve">     </w:t>
            </w:r>
            <w:r>
              <w:rPr>
                <w:rFonts w:hint="eastAsia" w:ascii="宋体" w:hAnsi="宋体" w:cs="宋体"/>
                <w:color w:val="auto"/>
              </w:rPr>
              <w:t>项</w:t>
            </w:r>
            <w:r>
              <w:rPr>
                <w:rFonts w:hint="eastAsia" w:ascii="宋体" w:hAnsi="宋体" w:cs="宋体"/>
                <w:color w:val="auto"/>
                <w:szCs w:val="21"/>
              </w:rPr>
              <w:t>。</w:t>
            </w:r>
            <w:r>
              <w:rPr>
                <w:rFonts w:hint="eastAsia" w:ascii="宋体" w:hAnsi="宋体" w:cs="宋体"/>
                <w:color w:val="auto"/>
              </w:rPr>
              <w:t xml:space="preserve"> </w:t>
            </w:r>
            <w:r>
              <w:rPr>
                <w:rFonts w:hint="eastAsia" w:ascii="宋体" w:hAnsi="宋体" w:cs="宋体"/>
                <w:b/>
                <w:bCs/>
                <w:color w:val="auto"/>
                <w:szCs w:val="21"/>
              </w:rPr>
              <w:t>（注：如有，请逐项列出，如无填写“无”或者留空。）</w:t>
            </w:r>
          </w:p>
        </w:tc>
      </w:tr>
    </w:tbl>
    <w:p>
      <w:pPr>
        <w:pStyle w:val="14"/>
        <w:spacing w:line="360" w:lineRule="auto"/>
        <w:rPr>
          <w:rFonts w:hint="eastAsia" w:hAnsi="宋体" w:cs="宋体"/>
          <w:color w:val="auto"/>
          <w:szCs w:val="21"/>
        </w:rPr>
      </w:pPr>
    </w:p>
    <w:p>
      <w:pPr>
        <w:pStyle w:val="14"/>
        <w:spacing w:line="360" w:lineRule="auto"/>
        <w:rPr>
          <w:rFonts w:hint="eastAsia" w:hAnsi="宋体" w:cs="宋体"/>
          <w:color w:val="auto"/>
          <w:szCs w:val="21"/>
        </w:rPr>
      </w:pPr>
      <w:r>
        <w:rPr>
          <w:rFonts w:hint="eastAsia" w:hAnsi="宋体" w:cs="宋体"/>
          <w:color w:val="auto"/>
          <w:szCs w:val="21"/>
        </w:rPr>
        <w:t>注：</w:t>
      </w:r>
    </w:p>
    <w:p>
      <w:pPr>
        <w:pStyle w:val="14"/>
        <w:spacing w:line="360" w:lineRule="auto"/>
        <w:ind w:firstLine="420" w:firstLineChars="200"/>
        <w:rPr>
          <w:rFonts w:hint="eastAsia" w:hAnsi="宋体" w:cs="宋体"/>
          <w:color w:val="auto"/>
          <w:szCs w:val="21"/>
        </w:rPr>
      </w:pPr>
      <w:r>
        <w:rPr>
          <w:rFonts w:hint="eastAsia" w:hAnsi="宋体" w:cs="宋体"/>
          <w:color w:val="auto"/>
          <w:szCs w:val="21"/>
        </w:rPr>
        <w:t>1.表格内容均需按要求填写并加盖投标人公章。</w:t>
      </w:r>
    </w:p>
    <w:p>
      <w:pPr>
        <w:pStyle w:val="14"/>
        <w:spacing w:line="360" w:lineRule="auto"/>
        <w:ind w:firstLine="420" w:firstLineChars="200"/>
        <w:rPr>
          <w:rFonts w:hint="eastAsia" w:hAnsi="宋体" w:cs="宋体"/>
          <w:color w:val="auto"/>
          <w:szCs w:val="21"/>
        </w:rPr>
      </w:pPr>
      <w:r>
        <w:rPr>
          <w:rFonts w:hint="eastAsia" w:hAnsi="宋体" w:cs="宋体"/>
          <w:bCs/>
          <w:color w:val="auto"/>
          <w:szCs w:val="21"/>
        </w:rPr>
        <w:t>2.对本项目招标文件“第二章  采购需求”中“技术参数及配置”的全部条款，详细填写响应的具体内容，并作出偏离说明。“偏离说明”一栏应当选择“正偏离”或“负偏离”或“无偏离”进行填写</w:t>
      </w:r>
      <w:r>
        <w:rPr>
          <w:rFonts w:hint="eastAsia" w:hAnsi="宋体" w:cs="宋体"/>
          <w:color w:val="auto"/>
          <w:szCs w:val="21"/>
        </w:rPr>
        <w:t>。</w:t>
      </w:r>
    </w:p>
    <w:p>
      <w:pPr>
        <w:pStyle w:val="14"/>
        <w:spacing w:line="360" w:lineRule="auto"/>
        <w:ind w:firstLine="420" w:firstLineChars="200"/>
        <w:rPr>
          <w:rFonts w:hint="eastAsia" w:hAnsi="宋体" w:cs="宋体"/>
          <w:color w:val="auto"/>
          <w:szCs w:val="21"/>
        </w:rPr>
      </w:pPr>
      <w:r>
        <w:rPr>
          <w:rFonts w:hint="eastAsia" w:hAnsi="宋体" w:cs="宋体"/>
          <w:bCs/>
          <w:color w:val="auto"/>
          <w:szCs w:val="21"/>
        </w:rPr>
        <w:t>3.当投标文件的</w:t>
      </w:r>
      <w:r>
        <w:rPr>
          <w:rFonts w:hint="eastAsia" w:hAnsi="宋体" w:cs="宋体"/>
          <w:color w:val="auto"/>
          <w:szCs w:val="21"/>
        </w:rPr>
        <w:t>技术参数及配置</w:t>
      </w:r>
      <w:r>
        <w:rPr>
          <w:rFonts w:hint="eastAsia" w:hAnsi="宋体" w:cs="宋体"/>
          <w:bCs/>
          <w:color w:val="auto"/>
          <w:szCs w:val="21"/>
        </w:rPr>
        <w:t>内容低于招标文件要求时，投标人应当如实写明“负偏离”。</w:t>
      </w:r>
    </w:p>
    <w:p>
      <w:pPr>
        <w:snapToGrid w:val="0"/>
        <w:spacing w:line="360" w:lineRule="auto"/>
        <w:ind w:firstLine="5640" w:firstLineChars="2350"/>
        <w:rPr>
          <w:rFonts w:hint="eastAsia" w:ascii="宋体" w:hAnsi="宋体" w:cs="宋体"/>
          <w:color w:val="auto"/>
          <w:kern w:val="0"/>
          <w:sz w:val="24"/>
          <w:lang w:val="zh-CN"/>
        </w:rPr>
      </w:pPr>
    </w:p>
    <w:p>
      <w:pPr>
        <w:pStyle w:val="17"/>
        <w:rPr>
          <w:color w:val="auto"/>
          <w:lang w:val="zh-CN"/>
        </w:rPr>
      </w:pPr>
    </w:p>
    <w:p>
      <w:pPr>
        <w:snapToGrid w:val="0"/>
        <w:spacing w:line="360" w:lineRule="auto"/>
        <w:ind w:firstLine="5880" w:firstLineChars="245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ind w:firstLine="5880" w:firstLineChars="24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widowControl/>
        <w:jc w:val="left"/>
        <w:rPr>
          <w:rFonts w:hint="eastAsia" w:ascii="宋体" w:hAnsi="宋体" w:cs="宋体"/>
          <w:color w:val="auto"/>
          <w:sz w:val="30"/>
          <w:szCs w:val="20"/>
        </w:rPr>
        <w:sectPr>
          <w:pgSz w:w="11906" w:h="16838"/>
          <w:pgMar w:top="1134" w:right="1020" w:bottom="1020" w:left="1134" w:header="720" w:footer="720" w:gutter="0"/>
          <w:cols w:space="720" w:num="1"/>
          <w:docGrid w:type="lines" w:linePitch="331" w:charSpace="0"/>
        </w:sectPr>
      </w:pPr>
    </w:p>
    <w:p>
      <w:pPr>
        <w:pStyle w:val="20"/>
        <w:snapToGrid w:val="0"/>
        <w:ind w:left="562" w:hanging="562"/>
        <w:rPr>
          <w:rFonts w:hint="eastAsia" w:ascii="宋体" w:hAnsi="宋体" w:cs="宋体"/>
          <w:i/>
          <w:iCs/>
          <w:color w:val="auto"/>
          <w:sz w:val="24"/>
        </w:rPr>
      </w:pPr>
      <w:r>
        <w:rPr>
          <w:rFonts w:hint="eastAsia" w:ascii="宋体" w:hAnsi="宋体" w:cs="宋体"/>
          <w:b/>
          <w:color w:val="auto"/>
          <w:szCs w:val="28"/>
        </w:rPr>
        <w:t>9. 项目实施人员一览表、售后服务人员情况表的格式</w:t>
      </w:r>
      <w:r>
        <w:rPr>
          <w:rFonts w:hint="eastAsia" w:ascii="宋体" w:hAnsi="宋体" w:cs="宋体"/>
          <w:b/>
          <w:bCs/>
          <w:color w:val="auto"/>
          <w:sz w:val="30"/>
          <w:szCs w:val="30"/>
        </w:rPr>
        <w:t>：</w:t>
      </w:r>
    </w:p>
    <w:p>
      <w:pPr>
        <w:autoSpaceDE w:val="0"/>
        <w:autoSpaceDN w:val="0"/>
        <w:spacing w:line="360" w:lineRule="auto"/>
        <w:jc w:val="left"/>
        <w:rPr>
          <w:rFonts w:hint="eastAsia" w:ascii="宋体" w:hAnsi="宋体" w:cs="宋体"/>
          <w:color w:val="auto"/>
          <w:szCs w:val="21"/>
        </w:rPr>
      </w:pPr>
    </w:p>
    <w:p>
      <w:pPr>
        <w:snapToGrid w:val="0"/>
        <w:spacing w:line="360" w:lineRule="auto"/>
        <w:rPr>
          <w:rFonts w:hint="eastAsia" w:ascii="宋体" w:hAnsi="宋体" w:cs="宋体"/>
          <w:b/>
          <w:color w:val="auto"/>
          <w:sz w:val="24"/>
        </w:rPr>
      </w:pPr>
    </w:p>
    <w:p>
      <w:pPr>
        <w:pStyle w:val="17"/>
        <w:rPr>
          <w:color w:val="auto"/>
        </w:rPr>
      </w:pPr>
    </w:p>
    <w:p>
      <w:pPr>
        <w:snapToGrid w:val="0"/>
        <w:spacing w:line="360" w:lineRule="auto"/>
        <w:ind w:firstLine="472" w:firstLineChars="196"/>
        <w:jc w:val="center"/>
        <w:rPr>
          <w:rFonts w:hint="eastAsia" w:ascii="宋体" w:hAnsi="宋体" w:cs="宋体"/>
          <w:b/>
          <w:bCs/>
          <w:color w:val="auto"/>
          <w:kern w:val="0"/>
          <w:sz w:val="24"/>
          <w:lang w:val="zh-CN"/>
        </w:rPr>
      </w:pPr>
      <w:r>
        <w:rPr>
          <w:rFonts w:hint="eastAsia" w:ascii="宋体" w:hAnsi="宋体" w:cs="宋体"/>
          <w:b/>
          <w:bCs/>
          <w:color w:val="auto"/>
          <w:kern w:val="0"/>
          <w:sz w:val="24"/>
          <w:lang w:val="zh-CN"/>
        </w:rPr>
        <w:t>项目实施人员一览表（如有要求）</w:t>
      </w:r>
    </w:p>
    <w:p>
      <w:pPr>
        <w:pStyle w:val="14"/>
        <w:rPr>
          <w:color w:val="auto"/>
          <w:sz w:val="24"/>
          <w:szCs w:val="24"/>
        </w:rPr>
      </w:pPr>
    </w:p>
    <w:p>
      <w:pPr>
        <w:pStyle w:val="14"/>
        <w:rPr>
          <w:color w:val="auto"/>
          <w:lang w:val="zh-CN"/>
        </w:rPr>
      </w:pPr>
      <w:r>
        <w:rPr>
          <w:rFonts w:hint="eastAsia"/>
          <w:color w:val="auto"/>
          <w:sz w:val="24"/>
          <w:szCs w:val="24"/>
        </w:rPr>
        <w:t>所投分标（此处有分标时填写具体分标号，无分标时填写“无”）：</w:t>
      </w:r>
      <w:r>
        <w:rPr>
          <w:rFonts w:hint="eastAsia"/>
          <w:color w:val="auto"/>
          <w:sz w:val="24"/>
          <w:szCs w:val="24"/>
          <w:u w:val="single"/>
        </w:rPr>
        <w:t xml:space="preserve">        </w:t>
      </w:r>
    </w:p>
    <w:p>
      <w:pPr>
        <w:pStyle w:val="17"/>
        <w:rPr>
          <w:rFonts w:hint="eastAsia" w:ascii="宋体" w:hAnsi="宋体" w:cs="宋体"/>
          <w:b/>
          <w:color w:val="auto"/>
          <w:sz w:val="21"/>
          <w:szCs w:val="21"/>
        </w:rPr>
      </w:pPr>
    </w:p>
    <w:tbl>
      <w:tblPr>
        <w:tblStyle w:val="26"/>
        <w:tblW w:w="9408" w:type="dxa"/>
        <w:tblInd w:w="108" w:type="dxa"/>
        <w:tblLayout w:type="fixed"/>
        <w:tblCellMar>
          <w:top w:w="0" w:type="dxa"/>
          <w:left w:w="108" w:type="dxa"/>
          <w:bottom w:w="0" w:type="dxa"/>
          <w:right w:w="108" w:type="dxa"/>
        </w:tblCellMar>
      </w:tblPr>
      <w:tblGrid>
        <w:gridCol w:w="420"/>
        <w:gridCol w:w="787"/>
        <w:gridCol w:w="489"/>
        <w:gridCol w:w="509"/>
        <w:gridCol w:w="1035"/>
        <w:gridCol w:w="1080"/>
        <w:gridCol w:w="1080"/>
        <w:gridCol w:w="2001"/>
        <w:gridCol w:w="2007"/>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姓名</w:t>
            </w:r>
          </w:p>
        </w:tc>
        <w:tc>
          <w:tcPr>
            <w:tcW w:w="489"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性别</w:t>
            </w:r>
          </w:p>
        </w:tc>
        <w:tc>
          <w:tcPr>
            <w:tcW w:w="509"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学历</w:t>
            </w:r>
          </w:p>
          <w:p>
            <w:pPr>
              <w:autoSpaceDE w:val="0"/>
              <w:autoSpaceDN w:val="0"/>
              <w:jc w:val="center"/>
              <w:rPr>
                <w:rFonts w:hint="eastAsia" w:ascii="宋体" w:hAnsi="宋体" w:cs="宋体"/>
                <w:color w:val="auto"/>
                <w:szCs w:val="21"/>
              </w:rPr>
            </w:pPr>
            <w:r>
              <w:rPr>
                <w:rFonts w:hint="eastAsia" w:ascii="宋体" w:hAnsi="宋体" w:cs="宋体"/>
                <w:color w:val="auto"/>
                <w:szCs w:val="21"/>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专业</w:t>
            </w:r>
          </w:p>
          <w:p>
            <w:pPr>
              <w:autoSpaceDE w:val="0"/>
              <w:autoSpaceDN w:val="0"/>
              <w:jc w:val="center"/>
              <w:rPr>
                <w:rFonts w:hint="eastAsia" w:ascii="宋体" w:hAnsi="宋体" w:cs="宋体"/>
                <w:color w:val="auto"/>
                <w:szCs w:val="21"/>
              </w:rPr>
            </w:pPr>
            <w:r>
              <w:rPr>
                <w:rFonts w:hint="eastAsia" w:ascii="宋体" w:hAnsi="宋体" w:cs="宋体"/>
                <w:color w:val="auto"/>
                <w:szCs w:val="21"/>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职称或职业资格证书</w:t>
            </w:r>
          </w:p>
          <w:p>
            <w:pPr>
              <w:autoSpaceDE w:val="0"/>
              <w:autoSpaceDN w:val="0"/>
              <w:jc w:val="center"/>
              <w:rPr>
                <w:rFonts w:hint="eastAsia" w:ascii="宋体" w:hAnsi="宋体" w:cs="宋体"/>
                <w:color w:val="auto"/>
                <w:szCs w:val="21"/>
              </w:rPr>
            </w:pPr>
            <w:r>
              <w:rPr>
                <w:rFonts w:hint="eastAsia" w:ascii="宋体" w:hAnsi="宋体" w:cs="宋体"/>
                <w:color w:val="auto"/>
                <w:szCs w:val="21"/>
              </w:rPr>
              <w:t>(页码)</w:t>
            </w:r>
          </w:p>
        </w:tc>
        <w:tc>
          <w:tcPr>
            <w:tcW w:w="2001"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本项目中的职责</w:t>
            </w:r>
          </w:p>
        </w:tc>
        <w:tc>
          <w:tcPr>
            <w:tcW w:w="200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类似项目经历</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jc w:val="center"/>
              <w:rPr>
                <w:rFonts w:hint="eastAsia" w:ascii="宋体" w:hAnsi="宋体" w:cs="宋体"/>
                <w:color w:val="auto"/>
                <w:szCs w:val="21"/>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489"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509"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2001"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c>
          <w:tcPr>
            <w:tcW w:w="2007" w:type="dxa"/>
            <w:tcBorders>
              <w:top w:val="single" w:color="auto" w:sz="6" w:space="0"/>
              <w:left w:val="single" w:color="auto" w:sz="6" w:space="0"/>
              <w:bottom w:val="single" w:color="auto" w:sz="6" w:space="0"/>
              <w:right w:val="single" w:color="auto" w:sz="6" w:space="0"/>
            </w:tcBorders>
          </w:tcPr>
          <w:p>
            <w:pPr>
              <w:autoSpaceDE w:val="0"/>
              <w:autoSpaceDN w:val="0"/>
              <w:rPr>
                <w:rFonts w:hint="eastAsia" w:ascii="宋体" w:hAnsi="宋体" w:cs="宋体"/>
                <w:color w:val="auto"/>
                <w:szCs w:val="21"/>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int="eastAsia" w:ascii="宋体" w:hAnsi="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48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5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200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c>
          <w:tcPr>
            <w:tcW w:w="200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cs="宋体"/>
                <w:color w:val="auto"/>
                <w:sz w:val="24"/>
              </w:rPr>
            </w:pPr>
          </w:p>
        </w:tc>
      </w:tr>
    </w:tbl>
    <w:p>
      <w:pPr>
        <w:spacing w:line="360" w:lineRule="auto"/>
        <w:rPr>
          <w:rFonts w:hint="eastAsia" w:ascii="宋体" w:hAnsi="宋体" w:cs="宋体"/>
          <w:b/>
          <w:bCs/>
          <w:color w:val="auto"/>
          <w:szCs w:val="21"/>
        </w:rPr>
      </w:pPr>
      <w:r>
        <w:rPr>
          <w:rFonts w:hint="eastAsia" w:ascii="宋体" w:hAnsi="宋体" w:cs="宋体"/>
          <w:b/>
          <w:color w:val="auto"/>
          <w:szCs w:val="21"/>
        </w:rPr>
        <w:t>注：投标人可参照上述的格式自行编制，并注明所在商务技术文件页码。</w:t>
      </w:r>
    </w:p>
    <w:p>
      <w:pPr>
        <w:snapToGrid w:val="0"/>
        <w:spacing w:line="360" w:lineRule="auto"/>
        <w:ind w:firstLine="472" w:firstLineChars="196"/>
        <w:rPr>
          <w:rFonts w:hint="eastAsia" w:ascii="宋体" w:hAnsi="宋体" w:cs="宋体"/>
          <w:b/>
          <w:bCs/>
          <w:color w:val="auto"/>
          <w:kern w:val="0"/>
          <w:sz w:val="24"/>
          <w:lang w:val="zh-CN"/>
        </w:rPr>
      </w:pPr>
    </w:p>
    <w:p>
      <w:pPr>
        <w:snapToGrid w:val="0"/>
        <w:spacing w:line="360" w:lineRule="auto"/>
        <w:ind w:firstLine="5280" w:firstLineChars="220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ind w:firstLine="5280" w:firstLineChars="2200"/>
        <w:jc w:val="left"/>
        <w:rPr>
          <w:rFonts w:hint="eastAsia" w:ascii="宋体" w:hAnsi="宋体" w:cs="宋体"/>
          <w:b/>
          <w:bCs/>
          <w:color w:val="auto"/>
          <w:sz w:val="24"/>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snapToGrid w:val="0"/>
        <w:spacing w:line="360" w:lineRule="auto"/>
        <w:jc w:val="center"/>
        <w:rPr>
          <w:rFonts w:hint="eastAsia" w:ascii="宋体" w:hAnsi="宋体" w:cs="宋体"/>
          <w:b/>
          <w:bCs/>
          <w:color w:val="auto"/>
          <w:sz w:val="24"/>
        </w:rPr>
      </w:pPr>
    </w:p>
    <w:p>
      <w:pPr>
        <w:snapToGrid w:val="0"/>
        <w:spacing w:line="360" w:lineRule="auto"/>
        <w:jc w:val="center"/>
        <w:rPr>
          <w:rFonts w:hint="eastAsia" w:ascii="宋体" w:hAnsi="宋体" w:cs="宋体"/>
          <w:b/>
          <w:bCs/>
          <w:color w:val="auto"/>
          <w:sz w:val="24"/>
        </w:rPr>
      </w:pPr>
      <w:r>
        <w:rPr>
          <w:rFonts w:hint="eastAsia" w:ascii="宋体" w:hAnsi="宋体" w:cs="宋体"/>
          <w:b/>
          <w:bCs/>
          <w:color w:val="auto"/>
          <w:sz w:val="24"/>
        </w:rPr>
        <w:t xml:space="preserve">                    </w:t>
      </w:r>
    </w:p>
    <w:p>
      <w:pPr>
        <w:autoSpaceDE w:val="0"/>
        <w:autoSpaceDN w:val="0"/>
        <w:spacing w:line="360" w:lineRule="auto"/>
        <w:rPr>
          <w:rFonts w:hint="eastAsia" w:ascii="宋体" w:hAnsi="宋体" w:cs="宋体"/>
          <w:color w:val="auto"/>
          <w:sz w:val="24"/>
        </w:rPr>
      </w:pPr>
      <w:r>
        <w:rPr>
          <w:rFonts w:hint="eastAsia" w:ascii="宋体" w:hAnsi="宋体" w:cs="宋体"/>
          <w:b/>
          <w:bCs/>
          <w:color w:val="auto"/>
          <w:sz w:val="24"/>
        </w:rPr>
        <w:t xml:space="preserve">                            </w:t>
      </w:r>
      <w:r>
        <w:rPr>
          <w:rFonts w:hint="eastAsia" w:ascii="宋体" w:hAnsi="宋体" w:cs="宋体"/>
          <w:b/>
          <w:color w:val="auto"/>
          <w:kern w:val="0"/>
          <w:sz w:val="24"/>
        </w:rPr>
        <w:t>售后服务人员情况表</w:t>
      </w:r>
      <w:r>
        <w:rPr>
          <w:rFonts w:hint="eastAsia" w:ascii="宋体" w:hAnsi="宋体" w:cs="宋体"/>
          <w:color w:val="auto"/>
          <w:sz w:val="24"/>
        </w:rPr>
        <w:t>（如有要求，参照此格式自制）</w:t>
      </w:r>
    </w:p>
    <w:p>
      <w:pPr>
        <w:pStyle w:val="17"/>
        <w:rPr>
          <w:color w:val="auto"/>
        </w:rPr>
      </w:pPr>
    </w:p>
    <w:tbl>
      <w:tblPr>
        <w:tblStyle w:val="26"/>
        <w:tblW w:w="9854" w:type="dxa"/>
        <w:jc w:val="center"/>
        <w:tblLayout w:type="fixed"/>
        <w:tblCellMar>
          <w:top w:w="0" w:type="dxa"/>
          <w:left w:w="108" w:type="dxa"/>
          <w:bottom w:w="0" w:type="dxa"/>
          <w:right w:w="108" w:type="dxa"/>
        </w:tblCellMar>
      </w:tblPr>
      <w:tblGrid>
        <w:gridCol w:w="451"/>
        <w:gridCol w:w="971"/>
        <w:gridCol w:w="725"/>
        <w:gridCol w:w="406"/>
        <w:gridCol w:w="886"/>
        <w:gridCol w:w="2128"/>
        <w:gridCol w:w="1064"/>
        <w:gridCol w:w="1242"/>
        <w:gridCol w:w="886"/>
        <w:gridCol w:w="1095"/>
      </w:tblGrid>
      <w:tr>
        <w:tblPrEx>
          <w:tblCellMar>
            <w:top w:w="0" w:type="dxa"/>
            <w:left w:w="108" w:type="dxa"/>
            <w:bottom w:w="0" w:type="dxa"/>
            <w:right w:w="108" w:type="dxa"/>
          </w:tblCellMar>
        </w:tblPrEx>
        <w:trPr>
          <w:jc w:val="center"/>
        </w:trPr>
        <w:tc>
          <w:tcPr>
            <w:tcW w:w="451"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序号</w:t>
            </w:r>
          </w:p>
        </w:tc>
        <w:tc>
          <w:tcPr>
            <w:tcW w:w="971"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类别</w:t>
            </w:r>
          </w:p>
        </w:tc>
        <w:tc>
          <w:tcPr>
            <w:tcW w:w="72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姓名</w:t>
            </w:r>
          </w:p>
        </w:tc>
        <w:tc>
          <w:tcPr>
            <w:tcW w:w="40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性别</w:t>
            </w: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年龄</w:t>
            </w:r>
          </w:p>
        </w:tc>
        <w:tc>
          <w:tcPr>
            <w:tcW w:w="2128"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学历及专业</w:t>
            </w:r>
          </w:p>
        </w:tc>
        <w:tc>
          <w:tcPr>
            <w:tcW w:w="1064"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职称/职业资格证书</w:t>
            </w:r>
          </w:p>
        </w:tc>
        <w:tc>
          <w:tcPr>
            <w:tcW w:w="124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本项目中的职责</w:t>
            </w: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响应时间</w:t>
            </w:r>
          </w:p>
        </w:tc>
        <w:tc>
          <w:tcPr>
            <w:tcW w:w="109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到达现场时间</w:t>
            </w:r>
          </w:p>
        </w:tc>
      </w:tr>
      <w:tr>
        <w:tblPrEx>
          <w:tblCellMar>
            <w:top w:w="0" w:type="dxa"/>
            <w:left w:w="108" w:type="dxa"/>
            <w:bottom w:w="0" w:type="dxa"/>
            <w:right w:w="108" w:type="dxa"/>
          </w:tblCellMar>
        </w:tblPrEx>
        <w:trPr>
          <w:trHeight w:val="607" w:hRule="atLeast"/>
          <w:jc w:val="center"/>
        </w:trPr>
        <w:tc>
          <w:tcPr>
            <w:tcW w:w="451"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hint="eastAsia" w:ascii="宋体" w:hAnsi="宋体" w:cs="宋体"/>
                <w:color w:val="auto"/>
                <w:szCs w:val="21"/>
              </w:rPr>
            </w:pPr>
          </w:p>
        </w:tc>
        <w:tc>
          <w:tcPr>
            <w:tcW w:w="971"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负责人</w:t>
            </w:r>
          </w:p>
        </w:tc>
        <w:tc>
          <w:tcPr>
            <w:tcW w:w="72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40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2128"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9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r>
      <w:tr>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hint="eastAsia" w:ascii="宋体" w:hAnsi="宋体" w:cs="宋体"/>
                <w:color w:val="auto"/>
                <w:szCs w:val="21"/>
              </w:rPr>
            </w:pPr>
          </w:p>
        </w:tc>
        <w:tc>
          <w:tcPr>
            <w:tcW w:w="971"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售后人员</w:t>
            </w:r>
          </w:p>
        </w:tc>
        <w:tc>
          <w:tcPr>
            <w:tcW w:w="72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40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2128"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9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r>
      <w:tr>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hint="eastAsia" w:ascii="宋体" w:hAnsi="宋体" w:cs="宋体"/>
                <w:color w:val="auto"/>
                <w:szCs w:val="21"/>
              </w:rPr>
            </w:pPr>
          </w:p>
        </w:tc>
        <w:tc>
          <w:tcPr>
            <w:tcW w:w="971"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r>
              <w:rPr>
                <w:rFonts w:hint="eastAsia" w:ascii="宋体" w:hAnsi="宋体" w:cs="宋体"/>
                <w:color w:val="auto"/>
                <w:szCs w:val="21"/>
              </w:rPr>
              <w:t>......</w:t>
            </w:r>
          </w:p>
        </w:tc>
        <w:tc>
          <w:tcPr>
            <w:tcW w:w="72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40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2128"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886"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c>
          <w:tcPr>
            <w:tcW w:w="109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eastAsia" w:ascii="宋体" w:hAnsi="宋体" w:cs="宋体"/>
                <w:color w:val="auto"/>
                <w:szCs w:val="21"/>
              </w:rPr>
            </w:pPr>
          </w:p>
        </w:tc>
      </w:tr>
    </w:tbl>
    <w:p>
      <w:pPr>
        <w:pStyle w:val="17"/>
        <w:rPr>
          <w:rFonts w:hint="eastAsia" w:ascii="宋体" w:hAnsi="宋体" w:cs="宋体"/>
          <w:color w:val="auto"/>
          <w:sz w:val="21"/>
          <w:szCs w:val="21"/>
        </w:rPr>
      </w:pPr>
    </w:p>
    <w:p>
      <w:pPr>
        <w:pStyle w:val="17"/>
        <w:rPr>
          <w:color w:val="auto"/>
        </w:rPr>
      </w:pPr>
    </w:p>
    <w:p>
      <w:pPr>
        <w:snapToGrid w:val="0"/>
        <w:spacing w:line="360" w:lineRule="auto"/>
        <w:ind w:firstLine="5280" w:firstLineChars="220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jc w:val="center"/>
        <w:rPr>
          <w:rFonts w:hint="eastAsia" w:ascii="宋体" w:hAnsi="宋体" w:cs="宋体"/>
          <w:b/>
          <w:bCs/>
          <w:color w:val="auto"/>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snapToGrid w:val="0"/>
        <w:spacing w:line="360" w:lineRule="auto"/>
        <w:jc w:val="center"/>
        <w:rPr>
          <w:rFonts w:hint="eastAsia" w:ascii="宋体" w:hAnsi="宋体" w:cs="宋体"/>
          <w:b/>
          <w:bCs/>
          <w:color w:val="auto"/>
          <w:sz w:val="24"/>
        </w:rPr>
      </w:pPr>
    </w:p>
    <w:p>
      <w:pPr>
        <w:pStyle w:val="14"/>
        <w:jc w:val="center"/>
        <w:outlineLvl w:val="1"/>
        <w:rPr>
          <w:rFonts w:hint="eastAsia" w:hAnsi="宋体" w:cs="宋体"/>
          <w:b/>
          <w:bCs/>
          <w:color w:val="auto"/>
          <w:sz w:val="28"/>
          <w:szCs w:val="28"/>
        </w:rPr>
      </w:pPr>
      <w:r>
        <w:rPr>
          <w:rFonts w:hint="eastAsia" w:hAnsi="宋体" w:cs="宋体"/>
          <w:b/>
          <w:bCs/>
          <w:color w:val="auto"/>
          <w:sz w:val="24"/>
          <w:szCs w:val="24"/>
        </w:rPr>
        <w:br w:type="page"/>
      </w:r>
      <w:bookmarkStart w:id="314" w:name="_Toc27076"/>
      <w:bookmarkStart w:id="315" w:name="_Toc10710"/>
      <w:bookmarkStart w:id="316" w:name="_Toc31296"/>
      <w:bookmarkStart w:id="317" w:name="_Toc17482"/>
      <w:bookmarkStart w:id="318" w:name="_Toc21638"/>
      <w:r>
        <w:rPr>
          <w:rFonts w:hint="eastAsia" w:hAnsi="宋体" w:cs="宋体"/>
          <w:b/>
          <w:bCs/>
          <w:color w:val="auto"/>
          <w:sz w:val="28"/>
          <w:szCs w:val="28"/>
        </w:rPr>
        <w:t>第三节 报价文件格式</w:t>
      </w:r>
      <w:bookmarkEnd w:id="314"/>
      <w:bookmarkEnd w:id="315"/>
      <w:bookmarkEnd w:id="316"/>
      <w:bookmarkEnd w:id="317"/>
      <w:bookmarkEnd w:id="318"/>
    </w:p>
    <w:p>
      <w:pPr>
        <w:snapToGrid w:val="0"/>
        <w:spacing w:before="165" w:beforeLines="50" w:after="50" w:line="400" w:lineRule="exact"/>
        <w:jc w:val="left"/>
        <w:rPr>
          <w:rFonts w:hint="eastAsia" w:ascii="宋体" w:hAnsi="宋体" w:cs="宋体"/>
          <w:color w:val="auto"/>
          <w:sz w:val="24"/>
        </w:rPr>
      </w:pPr>
    </w:p>
    <w:p>
      <w:pPr>
        <w:snapToGrid w:val="0"/>
        <w:spacing w:before="165" w:beforeLines="50" w:after="50" w:line="400" w:lineRule="exact"/>
        <w:jc w:val="left"/>
        <w:rPr>
          <w:rFonts w:hint="eastAsia" w:ascii="宋体" w:hAnsi="宋体" w:cs="宋体"/>
          <w:b/>
          <w:bCs/>
          <w:color w:val="auto"/>
          <w:sz w:val="28"/>
          <w:szCs w:val="28"/>
        </w:rPr>
      </w:pPr>
      <w:r>
        <w:rPr>
          <w:rFonts w:hint="eastAsia" w:ascii="宋体" w:hAnsi="宋体" w:cs="宋体"/>
          <w:color w:val="auto"/>
          <w:sz w:val="24"/>
        </w:rPr>
        <w:t xml:space="preserve"> </w:t>
      </w:r>
      <w:r>
        <w:rPr>
          <w:rFonts w:hint="eastAsia" w:ascii="宋体" w:hAnsi="宋体" w:cs="宋体"/>
          <w:b/>
          <w:bCs/>
          <w:color w:val="auto"/>
          <w:sz w:val="28"/>
          <w:szCs w:val="28"/>
        </w:rPr>
        <w:t>1.报价文件封面的格式</w:t>
      </w:r>
      <w:r>
        <w:rPr>
          <w:rFonts w:hint="eastAsia" w:ascii="宋体" w:hAnsi="宋体" w:cs="宋体"/>
          <w:b/>
          <w:color w:val="auto"/>
          <w:sz w:val="28"/>
          <w:szCs w:val="28"/>
        </w:rPr>
        <w:t>（参照此格式自拟）</w:t>
      </w:r>
      <w:r>
        <w:rPr>
          <w:rFonts w:hint="eastAsia" w:ascii="宋体" w:hAnsi="宋体" w:cs="宋体"/>
          <w:b/>
          <w:bCs/>
          <w:color w:val="auto"/>
          <w:sz w:val="28"/>
          <w:szCs w:val="28"/>
        </w:rPr>
        <w:t xml:space="preserve">： </w:t>
      </w:r>
    </w:p>
    <w:p>
      <w:pPr>
        <w:snapToGrid w:val="0"/>
        <w:spacing w:before="165" w:beforeLines="50" w:after="50" w:line="400" w:lineRule="exact"/>
        <w:jc w:val="left"/>
        <w:rPr>
          <w:rFonts w:hint="eastAsia" w:ascii="宋体" w:hAnsi="宋体" w:cs="宋体"/>
          <w:b/>
          <w:bCs/>
          <w:color w:val="auto"/>
          <w:sz w:val="28"/>
          <w:szCs w:val="28"/>
        </w:rPr>
      </w:pPr>
    </w:p>
    <w:p>
      <w:pPr>
        <w:snapToGrid w:val="0"/>
        <w:spacing w:before="165" w:beforeLines="50" w:after="50" w:line="400" w:lineRule="exact"/>
        <w:jc w:val="left"/>
        <w:rPr>
          <w:rFonts w:hint="eastAsia" w:ascii="宋体" w:hAnsi="宋体" w:cs="宋体"/>
          <w:color w:val="auto"/>
          <w:sz w:val="24"/>
        </w:rPr>
      </w:pPr>
      <w:r>
        <w:rPr>
          <w:rFonts w:hint="eastAsia" w:ascii="宋体" w:hAnsi="宋体" w:cs="宋体"/>
          <w:b/>
          <w:bCs/>
          <w:color w:val="auto"/>
          <w:sz w:val="28"/>
          <w:szCs w:val="28"/>
        </w:rPr>
        <w:t xml:space="preserve">   </w:t>
      </w:r>
      <w:r>
        <w:rPr>
          <w:rFonts w:hint="eastAsia" w:ascii="宋体" w:hAnsi="宋体" w:cs="宋体"/>
          <w:color w:val="auto"/>
          <w:sz w:val="24"/>
        </w:rPr>
        <w:t xml:space="preserve">                                            </w:t>
      </w:r>
    </w:p>
    <w:p>
      <w:pPr>
        <w:snapToGrid w:val="0"/>
        <w:spacing w:before="165" w:beforeLines="50" w:after="50" w:line="400" w:lineRule="exact"/>
        <w:ind w:firstLine="5760" w:firstLineChars="2400"/>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Cs/>
          <w:color w:val="auto"/>
        </w:rPr>
        <w:t>电子版投标文件</w:t>
      </w:r>
    </w:p>
    <w:p>
      <w:pPr>
        <w:snapToGrid w:val="0"/>
        <w:spacing w:before="165" w:beforeLines="50" w:after="50" w:line="400" w:lineRule="exact"/>
        <w:jc w:val="center"/>
        <w:rPr>
          <w:rFonts w:hint="eastAsia" w:ascii="宋体" w:hAnsi="宋体" w:cs="宋体"/>
          <w:bCs/>
          <w:color w:val="auto"/>
          <w:sz w:val="24"/>
          <w:szCs w:val="20"/>
        </w:rPr>
      </w:pPr>
    </w:p>
    <w:p>
      <w:pPr>
        <w:snapToGrid w:val="0"/>
        <w:spacing w:before="165" w:beforeLines="50" w:after="50" w:line="400" w:lineRule="exact"/>
        <w:jc w:val="center"/>
        <w:rPr>
          <w:rFonts w:hint="eastAsia" w:ascii="宋体" w:hAnsi="宋体" w:cs="宋体"/>
          <w:b/>
          <w:bCs/>
          <w:color w:val="auto"/>
          <w:sz w:val="32"/>
          <w:szCs w:val="32"/>
        </w:rPr>
      </w:pPr>
    </w:p>
    <w:p>
      <w:pPr>
        <w:snapToGrid w:val="0"/>
        <w:spacing w:before="165" w:beforeLines="50" w:after="50" w:line="400" w:lineRule="exact"/>
        <w:jc w:val="center"/>
        <w:rPr>
          <w:rFonts w:hint="eastAsia" w:ascii="宋体" w:hAnsi="宋体" w:cs="宋体"/>
          <w:b/>
          <w:bCs/>
          <w:color w:val="auto"/>
          <w:sz w:val="32"/>
          <w:szCs w:val="32"/>
        </w:rPr>
      </w:pPr>
      <w:r>
        <w:rPr>
          <w:rFonts w:hint="eastAsia" w:ascii="宋体" w:hAnsi="宋体" w:cs="宋体"/>
          <w:b/>
          <w:bCs/>
          <w:color w:val="auto"/>
          <w:sz w:val="32"/>
          <w:szCs w:val="32"/>
        </w:rPr>
        <w:t>报价文件</w:t>
      </w:r>
    </w:p>
    <w:p>
      <w:pPr>
        <w:snapToGrid w:val="0"/>
        <w:spacing w:before="165" w:beforeLines="50" w:after="50" w:line="400" w:lineRule="exact"/>
        <w:rPr>
          <w:rFonts w:hint="eastAsia" w:ascii="宋体" w:hAnsi="宋体" w:cs="宋体"/>
          <w:bCs/>
          <w:color w:val="auto"/>
          <w:sz w:val="24"/>
          <w:szCs w:val="20"/>
        </w:rPr>
      </w:pPr>
    </w:p>
    <w:p>
      <w:pPr>
        <w:snapToGrid w:val="0"/>
        <w:spacing w:before="165" w:beforeLines="50" w:after="50" w:line="400" w:lineRule="exact"/>
        <w:rPr>
          <w:rFonts w:hint="eastAsia" w:ascii="宋体" w:hAnsi="宋体" w:cs="宋体"/>
          <w:bCs/>
          <w:color w:val="auto"/>
          <w:sz w:val="24"/>
          <w:szCs w:val="20"/>
        </w:rPr>
      </w:pPr>
    </w:p>
    <w:p>
      <w:pPr>
        <w:snapToGrid w:val="0"/>
        <w:spacing w:before="165" w:beforeLines="50" w:after="50" w:line="400" w:lineRule="exact"/>
        <w:rPr>
          <w:rFonts w:hint="eastAsia" w:ascii="宋体" w:hAnsi="宋体" w:cs="宋体"/>
          <w:bCs/>
          <w:color w:val="auto"/>
          <w:sz w:val="24"/>
          <w:szCs w:val="20"/>
        </w:rPr>
      </w:pPr>
    </w:p>
    <w:p>
      <w:pPr>
        <w:snapToGrid w:val="0"/>
        <w:spacing w:before="165" w:beforeLines="50" w:after="50" w:line="400" w:lineRule="exact"/>
        <w:rPr>
          <w:rFonts w:hint="eastAsia" w:ascii="宋体" w:hAnsi="宋体" w:cs="宋体"/>
          <w:bCs/>
          <w:color w:val="auto"/>
          <w:sz w:val="24"/>
          <w:szCs w:val="20"/>
        </w:rPr>
      </w:pPr>
    </w:p>
    <w:p>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 xml:space="preserve">项目名称： </w:t>
      </w:r>
    </w:p>
    <w:p>
      <w:pPr>
        <w:snapToGrid w:val="0"/>
        <w:spacing w:before="165" w:beforeLines="50" w:after="50" w:line="400" w:lineRule="exact"/>
        <w:ind w:firstLine="360" w:firstLineChars="150"/>
        <w:rPr>
          <w:rFonts w:hint="eastAsia" w:ascii="宋体" w:hAnsi="宋体" w:cs="宋体"/>
          <w:bCs/>
          <w:color w:val="auto"/>
          <w:sz w:val="24"/>
        </w:rPr>
      </w:pPr>
    </w:p>
    <w:p>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 xml:space="preserve">项目编号： </w:t>
      </w:r>
    </w:p>
    <w:p>
      <w:pPr>
        <w:snapToGrid w:val="0"/>
        <w:spacing w:before="165" w:beforeLines="50" w:after="50" w:line="400" w:lineRule="exact"/>
        <w:ind w:firstLine="360" w:firstLineChars="150"/>
        <w:rPr>
          <w:rFonts w:hint="eastAsia" w:ascii="宋体" w:hAnsi="宋体" w:cs="宋体"/>
          <w:bCs/>
          <w:color w:val="auto"/>
          <w:sz w:val="24"/>
        </w:rPr>
      </w:pPr>
    </w:p>
    <w:p>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所投分标（如有则填写，无分标时填写“无”或者留空）：</w:t>
      </w:r>
    </w:p>
    <w:p>
      <w:pPr>
        <w:snapToGrid w:val="0"/>
        <w:spacing w:before="165" w:beforeLines="50" w:after="50" w:line="400" w:lineRule="exact"/>
        <w:ind w:firstLine="360" w:firstLineChars="150"/>
        <w:rPr>
          <w:rFonts w:hint="eastAsia" w:ascii="宋体" w:hAnsi="宋体" w:cs="宋体"/>
          <w:bCs/>
          <w:color w:val="auto"/>
          <w:sz w:val="24"/>
        </w:rPr>
      </w:pPr>
    </w:p>
    <w:p>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投标人名称：</w:t>
      </w:r>
    </w:p>
    <w:p>
      <w:pPr>
        <w:snapToGrid w:val="0"/>
        <w:spacing w:before="165" w:beforeLines="50" w:after="50" w:line="400" w:lineRule="exact"/>
        <w:ind w:firstLine="360" w:firstLineChars="150"/>
        <w:rPr>
          <w:rFonts w:hint="eastAsia" w:ascii="宋体" w:hAnsi="宋体" w:cs="宋体"/>
          <w:bCs/>
          <w:color w:val="auto"/>
          <w:sz w:val="24"/>
        </w:rPr>
      </w:pPr>
    </w:p>
    <w:p>
      <w:pPr>
        <w:pStyle w:val="7"/>
        <w:snapToGrid w:val="0"/>
        <w:spacing w:before="50" w:after="50" w:line="400" w:lineRule="exact"/>
        <w:ind w:firstLine="960" w:firstLineChars="400"/>
        <w:rPr>
          <w:rFonts w:hint="eastAsia" w:ascii="宋体" w:hAnsi="宋体" w:cs="宋体"/>
          <w:bCs/>
          <w:color w:val="auto"/>
          <w:sz w:val="24"/>
          <w:szCs w:val="24"/>
        </w:rPr>
      </w:pPr>
    </w:p>
    <w:p>
      <w:pPr>
        <w:snapToGrid w:val="0"/>
        <w:spacing w:before="165" w:beforeLines="50" w:after="50" w:line="400" w:lineRule="exact"/>
        <w:rPr>
          <w:rFonts w:hint="eastAsia" w:ascii="宋体" w:hAnsi="宋体" w:cs="宋体"/>
          <w:color w:val="auto"/>
          <w:sz w:val="24"/>
        </w:rPr>
      </w:pPr>
      <w:r>
        <w:rPr>
          <w:rFonts w:hint="eastAsia" w:ascii="宋体" w:hAnsi="宋体" w:cs="宋体"/>
          <w:color w:val="auto"/>
          <w:sz w:val="24"/>
        </w:rPr>
        <w:t xml:space="preserve">                                      年   月   日</w:t>
      </w:r>
    </w:p>
    <w:p>
      <w:pPr>
        <w:widowControl/>
        <w:jc w:val="left"/>
        <w:rPr>
          <w:rFonts w:hint="eastAsia" w:ascii="宋体" w:hAnsi="宋体" w:cs="宋体"/>
          <w:color w:val="auto"/>
          <w:sz w:val="24"/>
        </w:rPr>
        <w:sectPr>
          <w:pgSz w:w="11906" w:h="16838"/>
          <w:pgMar w:top="1134" w:right="1020" w:bottom="1020" w:left="1134" w:header="720" w:footer="720" w:gutter="0"/>
          <w:cols w:space="720" w:num="1"/>
          <w:docGrid w:type="lines" w:linePitch="331" w:charSpace="0"/>
        </w:sectPr>
      </w:pPr>
    </w:p>
    <w:p>
      <w:pPr>
        <w:snapToGrid w:val="0"/>
        <w:spacing w:before="165" w:beforeLines="50" w:after="50" w:line="360" w:lineRule="auto"/>
        <w:jc w:val="left"/>
        <w:rPr>
          <w:rFonts w:hint="eastAsia" w:ascii="宋体" w:hAnsi="宋体" w:cs="宋体"/>
          <w:color w:val="auto"/>
          <w:sz w:val="28"/>
          <w:szCs w:val="28"/>
        </w:rPr>
      </w:pPr>
      <w:r>
        <w:rPr>
          <w:rFonts w:hint="eastAsia" w:ascii="宋体" w:hAnsi="宋体" w:cs="宋体"/>
          <w:b/>
          <w:color w:val="auto"/>
          <w:sz w:val="28"/>
          <w:szCs w:val="28"/>
        </w:rPr>
        <w:t>2.</w:t>
      </w:r>
      <w:r>
        <w:rPr>
          <w:rFonts w:hint="eastAsia" w:ascii="宋体" w:hAnsi="宋体" w:cs="宋体"/>
          <w:b/>
          <w:bCs/>
          <w:color w:val="auto"/>
          <w:sz w:val="28"/>
          <w:szCs w:val="28"/>
        </w:rPr>
        <w:t>报价文件目录</w:t>
      </w:r>
    </w:p>
    <w:p>
      <w:pPr>
        <w:snapToGrid w:val="0"/>
        <w:spacing w:before="50" w:after="165" w:afterLines="50" w:line="360" w:lineRule="auto"/>
        <w:jc w:val="left"/>
        <w:rPr>
          <w:rFonts w:hint="eastAsia" w:ascii="宋体" w:hAnsi="宋体" w:cs="宋体"/>
          <w:b/>
          <w:color w:val="auto"/>
          <w:sz w:val="28"/>
          <w:szCs w:val="28"/>
        </w:rPr>
      </w:pPr>
      <w:r>
        <w:rPr>
          <w:rFonts w:hint="eastAsia" w:ascii="宋体" w:hAnsi="宋体" w:cs="宋体"/>
          <w:color w:val="auto"/>
          <w:sz w:val="28"/>
          <w:szCs w:val="28"/>
        </w:rPr>
        <w:t>根据招标文件规定及投标人提供的材料自行编写目录</w:t>
      </w:r>
      <w:r>
        <w:rPr>
          <w:rFonts w:hint="eastAsia" w:ascii="宋体" w:hAnsi="宋体" w:cs="宋体"/>
          <w:color w:val="auto"/>
          <w:kern w:val="0"/>
          <w:sz w:val="28"/>
          <w:szCs w:val="28"/>
        </w:rPr>
        <w:t>（部分格式后附）</w:t>
      </w:r>
      <w:r>
        <w:rPr>
          <w:rFonts w:hint="eastAsia" w:ascii="宋体" w:hAnsi="宋体" w:cs="宋体"/>
          <w:color w:val="auto"/>
          <w:sz w:val="28"/>
          <w:szCs w:val="28"/>
        </w:rPr>
        <w:t>。</w:t>
      </w:r>
    </w:p>
    <w:p>
      <w:pPr>
        <w:spacing w:line="360" w:lineRule="auto"/>
        <w:rPr>
          <w:rFonts w:hint="eastAsia" w:ascii="宋体" w:hAnsi="宋体" w:cs="宋体"/>
          <w:color w:val="auto"/>
          <w:sz w:val="24"/>
        </w:rPr>
      </w:pPr>
      <w:r>
        <w:rPr>
          <w:rFonts w:hint="eastAsia" w:ascii="宋体" w:hAnsi="宋体" w:cs="宋体"/>
          <w:color w:val="auto"/>
          <w:sz w:val="24"/>
        </w:rPr>
        <w:br w:type="page"/>
      </w:r>
      <w:r>
        <w:rPr>
          <w:rFonts w:hint="eastAsia" w:ascii="宋体" w:hAnsi="宋体" w:cs="宋体"/>
          <w:b/>
          <w:bCs/>
          <w:color w:val="auto"/>
          <w:sz w:val="28"/>
          <w:szCs w:val="28"/>
        </w:rPr>
        <w:t>3.投标函的格式：</w:t>
      </w:r>
    </w:p>
    <w:p>
      <w:pPr>
        <w:pStyle w:val="14"/>
        <w:spacing w:line="500" w:lineRule="exact"/>
        <w:jc w:val="center"/>
        <w:rPr>
          <w:rFonts w:hint="eastAsia" w:hAnsi="宋体" w:cs="宋体"/>
          <w:b/>
          <w:bCs/>
          <w:color w:val="auto"/>
          <w:sz w:val="30"/>
          <w:szCs w:val="30"/>
        </w:rPr>
      </w:pPr>
      <w:r>
        <w:rPr>
          <w:rFonts w:hint="eastAsia" w:hAnsi="宋体" w:cs="宋体"/>
          <w:b/>
          <w:bCs/>
          <w:color w:val="auto"/>
          <w:sz w:val="30"/>
          <w:szCs w:val="30"/>
        </w:rPr>
        <w:t>投标函</w:t>
      </w:r>
    </w:p>
    <w:p>
      <w:pPr>
        <w:pStyle w:val="14"/>
        <w:spacing w:line="440" w:lineRule="exact"/>
        <w:ind w:firstLine="420" w:firstLineChars="200"/>
        <w:rPr>
          <w:rFonts w:hint="eastAsia" w:hAnsi="宋体" w:cs="宋体"/>
          <w:color w:val="auto"/>
        </w:rPr>
      </w:pPr>
    </w:p>
    <w:p>
      <w:pPr>
        <w:pStyle w:val="14"/>
        <w:spacing w:line="440" w:lineRule="exact"/>
        <w:ind w:firstLine="420" w:firstLineChars="200"/>
        <w:rPr>
          <w:rFonts w:hint="eastAsia" w:hAnsi="宋体" w:cs="宋体"/>
          <w:color w:val="auto"/>
        </w:rPr>
      </w:pPr>
      <w:r>
        <w:rPr>
          <w:rFonts w:hint="eastAsia" w:hAnsi="宋体" w:cs="宋体"/>
          <w:color w:val="auto"/>
        </w:rPr>
        <w:t>致：</w:t>
      </w:r>
      <w:bookmarkStart w:id="319" w:name="PO_3000001867_PM031_4"/>
      <w:r>
        <w:rPr>
          <w:rFonts w:hint="eastAsia" w:hAnsi="宋体" w:cs="宋体"/>
          <w:color w:val="auto"/>
          <w:u w:val="single"/>
        </w:rPr>
        <w:t>广西科联招标中心有限公司</w:t>
      </w:r>
      <w:bookmarkEnd w:id="319"/>
      <w:r>
        <w:rPr>
          <w:rFonts w:hint="eastAsia" w:hAnsi="宋体" w:cs="宋体"/>
          <w:color w:val="auto"/>
        </w:rPr>
        <w:t xml:space="preserve"> </w:t>
      </w:r>
    </w:p>
    <w:p>
      <w:pPr>
        <w:pStyle w:val="14"/>
        <w:spacing w:line="440" w:lineRule="exact"/>
        <w:ind w:firstLine="420" w:firstLineChars="200"/>
        <w:rPr>
          <w:rFonts w:hint="eastAsia" w:hAnsi="宋体" w:cs="宋体"/>
          <w:color w:val="auto"/>
        </w:rPr>
      </w:pPr>
      <w:r>
        <w:rPr>
          <w:rFonts w:hint="eastAsia" w:hAnsi="宋体" w:cs="宋体"/>
          <w:color w:val="auto"/>
        </w:rPr>
        <w:t>我方已仔细阅读了贵方组织的</w:t>
      </w:r>
      <w:r>
        <w:rPr>
          <w:rFonts w:hint="eastAsia" w:hAnsi="宋体" w:cs="宋体"/>
          <w:color w:val="auto"/>
          <w:u w:val="single"/>
        </w:rPr>
        <w:t xml:space="preserve">  </w:t>
      </w:r>
      <w:r>
        <w:rPr>
          <w:rFonts w:hint="eastAsia" w:hAnsi="宋体" w:cs="宋体"/>
          <w:i/>
          <w:iCs/>
          <w:color w:val="auto"/>
          <w:u w:val="single"/>
        </w:rPr>
        <w:t>（项目名称）</w:t>
      </w:r>
      <w:r>
        <w:rPr>
          <w:rFonts w:hint="eastAsia" w:hAnsi="宋体" w:cs="宋体"/>
          <w:color w:val="auto"/>
          <w:u w:val="single"/>
        </w:rPr>
        <w:t xml:space="preserve">  </w:t>
      </w:r>
      <w:r>
        <w:rPr>
          <w:rFonts w:hint="eastAsia" w:hAnsi="宋体" w:cs="宋体"/>
          <w:color w:val="auto"/>
        </w:rPr>
        <w:t>项目（项目编号：        ）的招标文件的全部内容，授权</w:t>
      </w:r>
      <w:r>
        <w:rPr>
          <w:rFonts w:hint="eastAsia" w:hAnsi="宋体" w:cs="宋体"/>
          <w:color w:val="auto"/>
          <w:u w:val="single"/>
        </w:rPr>
        <w:t xml:space="preserve">                      </w:t>
      </w:r>
      <w:r>
        <w:rPr>
          <w:rFonts w:hint="eastAsia" w:hAnsi="宋体" w:cs="宋体"/>
          <w:color w:val="auto"/>
        </w:rPr>
        <w:t>(全权代表姓名)</w:t>
      </w:r>
      <w:r>
        <w:rPr>
          <w:rFonts w:hint="eastAsia" w:hAnsi="宋体" w:cs="宋体"/>
          <w:color w:val="auto"/>
          <w:u w:val="single"/>
        </w:rPr>
        <w:t xml:space="preserve">          </w:t>
      </w:r>
      <w:r>
        <w:rPr>
          <w:rFonts w:hint="eastAsia" w:hAnsi="宋体" w:cs="宋体"/>
          <w:color w:val="auto"/>
        </w:rPr>
        <w:t xml:space="preserve"> (职务、职称)为全权代表，现正式提交下述文件参加贵方组织的本次政府采购活动： </w:t>
      </w:r>
    </w:p>
    <w:p>
      <w:pPr>
        <w:pStyle w:val="14"/>
        <w:spacing w:line="440" w:lineRule="exact"/>
        <w:ind w:firstLine="420" w:firstLineChars="200"/>
        <w:rPr>
          <w:rFonts w:hint="eastAsia" w:hAnsi="宋体" w:cs="宋体"/>
          <w:color w:val="auto"/>
        </w:rPr>
      </w:pPr>
      <w:r>
        <w:rPr>
          <w:rFonts w:hint="eastAsia" w:hAnsi="宋体" w:cs="宋体"/>
          <w:color w:val="auto"/>
        </w:rPr>
        <w:t>一、报价文件电子版（包含按投标人须知前附表要求提交的全部文件）；</w:t>
      </w:r>
    </w:p>
    <w:p>
      <w:pPr>
        <w:pStyle w:val="14"/>
        <w:spacing w:line="440" w:lineRule="exact"/>
        <w:ind w:firstLine="482"/>
        <w:rPr>
          <w:rFonts w:hint="eastAsia" w:hAnsi="宋体" w:cs="宋体"/>
          <w:color w:val="auto"/>
        </w:rPr>
      </w:pPr>
      <w:r>
        <w:rPr>
          <w:rFonts w:hint="eastAsia" w:hAnsi="宋体" w:cs="宋体"/>
          <w:color w:val="auto"/>
        </w:rPr>
        <w:t>二、资格文件电子版（包含按投标人须知前附表要求提交的全部文件）；</w:t>
      </w:r>
    </w:p>
    <w:p>
      <w:pPr>
        <w:pStyle w:val="14"/>
        <w:spacing w:line="440" w:lineRule="exact"/>
        <w:ind w:firstLine="482"/>
        <w:rPr>
          <w:rFonts w:hint="eastAsia" w:hAnsi="宋体" w:cs="宋体"/>
          <w:color w:val="auto"/>
        </w:rPr>
      </w:pPr>
      <w:r>
        <w:rPr>
          <w:rFonts w:hint="eastAsia" w:hAnsi="宋体" w:cs="宋体"/>
          <w:color w:val="auto"/>
        </w:rPr>
        <w:t>三、商务技术文件电子版（包含按投标人须知前附表要求提交的全部文件）；</w:t>
      </w:r>
    </w:p>
    <w:p>
      <w:pPr>
        <w:pStyle w:val="14"/>
        <w:spacing w:line="440" w:lineRule="exact"/>
        <w:ind w:firstLine="482"/>
        <w:rPr>
          <w:rFonts w:hint="eastAsia" w:hAnsi="宋体" w:cs="宋体"/>
          <w:color w:val="auto"/>
        </w:rPr>
      </w:pPr>
      <w:r>
        <w:rPr>
          <w:rFonts w:hint="eastAsia" w:hAnsi="宋体" w:cs="宋体"/>
          <w:color w:val="auto"/>
        </w:rPr>
        <w:t>据此函，我方兹宣布：</w:t>
      </w:r>
    </w:p>
    <w:p>
      <w:pPr>
        <w:pStyle w:val="14"/>
        <w:spacing w:line="360" w:lineRule="exact"/>
        <w:ind w:firstLine="420" w:firstLineChars="200"/>
        <w:rPr>
          <w:rFonts w:hint="eastAsia" w:hAnsi="宋体" w:cs="宋体"/>
          <w:color w:val="auto"/>
          <w:u w:val="single"/>
        </w:rPr>
      </w:pPr>
      <w:r>
        <w:rPr>
          <w:rFonts w:hint="eastAsia" w:hAnsi="宋体" w:cs="宋体"/>
          <w:color w:val="auto"/>
        </w:rPr>
        <w:t>1.我方愿意以投标时提供的开标一览表中的投标总报价</w:t>
      </w:r>
      <w:r>
        <w:rPr>
          <w:rFonts w:hint="eastAsia" w:hAnsi="宋体" w:cs="宋体"/>
          <w:color w:val="auto"/>
          <w:szCs w:val="22"/>
        </w:rPr>
        <w:t>，</w:t>
      </w:r>
      <w:r>
        <w:rPr>
          <w:rFonts w:hint="eastAsia" w:hAnsi="宋体" w:cs="宋体"/>
          <w:color w:val="auto"/>
        </w:rPr>
        <w:t>提供本项目招标文件“第二章  采购需求”中的相应的采购内容，具体详见开标一览表。</w:t>
      </w:r>
    </w:p>
    <w:p>
      <w:pPr>
        <w:pStyle w:val="14"/>
        <w:spacing w:line="360" w:lineRule="exact"/>
        <w:ind w:firstLine="420" w:firstLineChars="200"/>
        <w:rPr>
          <w:rFonts w:hint="eastAsia" w:hAnsi="宋体" w:cs="宋体"/>
          <w:color w:val="auto"/>
          <w:u w:val="single"/>
        </w:rPr>
      </w:pPr>
      <w:r>
        <w:rPr>
          <w:rFonts w:hint="eastAsia" w:hAnsi="宋体" w:cs="宋体"/>
          <w:color w:val="auto"/>
        </w:rPr>
        <w:t>2.我方同意自本项目招标文件“第三章 投标人须知”第一节 投标人须知前附表 第21.1项规定的投标截止时间（开标时间）起遵循本投标函，并承诺在“投标人须知前附表”第17.2项规定的投标有效期内不修改、撤销投标文件。</w:t>
      </w:r>
    </w:p>
    <w:p>
      <w:pPr>
        <w:pStyle w:val="14"/>
        <w:spacing w:line="360" w:lineRule="exact"/>
        <w:ind w:firstLine="420" w:firstLineChars="200"/>
        <w:rPr>
          <w:rFonts w:hint="eastAsia" w:hAnsi="宋体" w:cs="宋体"/>
          <w:color w:val="auto"/>
          <w:u w:val="single"/>
        </w:rPr>
      </w:pPr>
      <w:r>
        <w:rPr>
          <w:rFonts w:hint="eastAsia" w:hAnsi="宋体" w:cs="宋体"/>
          <w:color w:val="auto"/>
        </w:rPr>
        <w:t>3.我方所提交的投标文件及有关资料都是内容完整、真实和准确的。</w:t>
      </w:r>
    </w:p>
    <w:p>
      <w:pPr>
        <w:pStyle w:val="14"/>
        <w:spacing w:line="440" w:lineRule="exact"/>
        <w:ind w:firstLine="482"/>
        <w:rPr>
          <w:rFonts w:hint="eastAsia" w:hAnsi="宋体" w:cs="宋体"/>
          <w:color w:val="auto"/>
        </w:rPr>
      </w:pPr>
      <w:r>
        <w:rPr>
          <w:rFonts w:hint="eastAsia" w:hAnsi="宋体" w:cs="宋体"/>
          <w:color w:val="auto"/>
        </w:rPr>
        <w:t>4.</w:t>
      </w:r>
      <w:r>
        <w:rPr>
          <w:rFonts w:hint="eastAsia" w:hAnsi="宋体" w:cs="宋体"/>
          <w:color w:val="auto"/>
          <w:szCs w:val="21"/>
        </w:rPr>
        <w:t>如本项目采购内容涉及须符合国家强制规定的，我方承诺我方本次投标（包括资格条件和所投产品）均符合国家有关强制规定。</w:t>
      </w:r>
    </w:p>
    <w:p>
      <w:pPr>
        <w:pStyle w:val="14"/>
        <w:spacing w:line="440" w:lineRule="exact"/>
        <w:ind w:firstLine="420" w:firstLineChars="200"/>
        <w:rPr>
          <w:rFonts w:hint="eastAsia" w:hAnsi="宋体" w:cs="宋体"/>
          <w:color w:val="auto"/>
        </w:rPr>
      </w:pPr>
      <w:r>
        <w:rPr>
          <w:rFonts w:hint="eastAsia" w:hAnsi="宋体" w:cs="宋体"/>
          <w:color w:val="auto"/>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pPr>
        <w:pStyle w:val="14"/>
        <w:spacing w:line="440" w:lineRule="exact"/>
        <w:ind w:firstLine="420" w:firstLineChars="200"/>
        <w:rPr>
          <w:rFonts w:hint="eastAsia" w:hAnsi="宋体" w:cs="宋体"/>
          <w:color w:val="auto"/>
        </w:rPr>
      </w:pPr>
      <w:r>
        <w:rPr>
          <w:rFonts w:hint="eastAsia" w:hAnsi="宋体" w:cs="宋体"/>
          <w:color w:val="auto"/>
        </w:rPr>
        <w:t>6.我方已详细审核招标文件，我方知道必须放弃提出含糊不清或误解问题的权利。</w:t>
      </w:r>
    </w:p>
    <w:p>
      <w:pPr>
        <w:pStyle w:val="14"/>
        <w:spacing w:line="440" w:lineRule="exact"/>
        <w:ind w:firstLine="420" w:firstLineChars="200"/>
        <w:rPr>
          <w:rFonts w:hint="eastAsia" w:hAnsi="宋体" w:cs="宋体"/>
          <w:color w:val="auto"/>
        </w:rPr>
      </w:pPr>
      <w:r>
        <w:rPr>
          <w:rFonts w:hint="eastAsia" w:hAnsi="宋体" w:cs="宋体"/>
          <w:color w:val="auto"/>
        </w:rPr>
        <w:t>7.我方同意应贵方要求提供与本投标有关的任何数据或资料。若贵方需要，我方愿意提供我方作出的一切承诺的证明材料。</w:t>
      </w:r>
    </w:p>
    <w:p>
      <w:pPr>
        <w:pStyle w:val="14"/>
        <w:spacing w:line="440" w:lineRule="exact"/>
        <w:ind w:firstLine="420" w:firstLineChars="200"/>
        <w:rPr>
          <w:rFonts w:hint="eastAsia" w:hAnsi="宋体" w:cs="宋体"/>
          <w:color w:val="auto"/>
        </w:rPr>
      </w:pPr>
      <w:r>
        <w:rPr>
          <w:rFonts w:hint="eastAsia" w:hAnsi="宋体" w:cs="宋体"/>
          <w:color w:val="auto"/>
        </w:rPr>
        <w:t>8.我方完全理解贵方不一定接受投标报价最低的投标人为中标人的行为。</w:t>
      </w:r>
    </w:p>
    <w:p>
      <w:pPr>
        <w:pStyle w:val="14"/>
        <w:spacing w:line="440" w:lineRule="exact"/>
        <w:ind w:firstLine="420" w:firstLineChars="200"/>
        <w:rPr>
          <w:rFonts w:hint="eastAsia" w:hAnsi="宋体" w:cs="宋体"/>
          <w:color w:val="auto"/>
        </w:rPr>
      </w:pPr>
      <w:r>
        <w:rPr>
          <w:rFonts w:hint="eastAsia" w:hAnsi="宋体" w:cs="宋体"/>
          <w:color w:val="auto"/>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4"/>
        <w:numPr>
          <w:ilvl w:val="0"/>
          <w:numId w:val="9"/>
        </w:numPr>
        <w:spacing w:line="440" w:lineRule="exact"/>
        <w:rPr>
          <w:rFonts w:hint="eastAsia" w:hAnsi="宋体" w:cs="宋体"/>
          <w:color w:val="auto"/>
        </w:rPr>
      </w:pPr>
      <w:r>
        <w:rPr>
          <w:rFonts w:hint="eastAsia" w:hAnsi="宋体" w:cs="宋体"/>
          <w:color w:val="auto"/>
        </w:rPr>
        <w:t>提供虚假材料谋取中标、成交的；</w:t>
      </w:r>
    </w:p>
    <w:p>
      <w:pPr>
        <w:pStyle w:val="14"/>
        <w:numPr>
          <w:ilvl w:val="0"/>
          <w:numId w:val="9"/>
        </w:numPr>
        <w:spacing w:line="440" w:lineRule="exact"/>
        <w:rPr>
          <w:rFonts w:hint="eastAsia" w:hAnsi="宋体" w:cs="宋体"/>
          <w:color w:val="auto"/>
        </w:rPr>
      </w:pPr>
      <w:r>
        <w:rPr>
          <w:rFonts w:hint="eastAsia" w:hAnsi="宋体" w:cs="宋体"/>
          <w:color w:val="auto"/>
        </w:rPr>
        <w:t>采取不正当手段诋毁、排挤其他供应商的；</w:t>
      </w:r>
    </w:p>
    <w:p>
      <w:pPr>
        <w:pStyle w:val="14"/>
        <w:numPr>
          <w:ilvl w:val="0"/>
          <w:numId w:val="9"/>
        </w:numPr>
        <w:spacing w:line="440" w:lineRule="exact"/>
        <w:rPr>
          <w:rFonts w:hint="eastAsia" w:hAnsi="宋体" w:cs="宋体"/>
          <w:color w:val="auto"/>
        </w:rPr>
      </w:pPr>
      <w:r>
        <w:rPr>
          <w:rFonts w:hint="eastAsia" w:hAnsi="宋体" w:cs="宋体"/>
          <w:color w:val="auto"/>
        </w:rPr>
        <w:t>与采购人、其他供应商或者采购代理机构恶意串通的；</w:t>
      </w:r>
    </w:p>
    <w:p>
      <w:pPr>
        <w:pStyle w:val="14"/>
        <w:numPr>
          <w:ilvl w:val="0"/>
          <w:numId w:val="9"/>
        </w:numPr>
        <w:spacing w:line="440" w:lineRule="exact"/>
        <w:rPr>
          <w:rFonts w:hint="eastAsia" w:hAnsi="宋体" w:cs="宋体"/>
          <w:color w:val="auto"/>
        </w:rPr>
      </w:pPr>
      <w:r>
        <w:rPr>
          <w:rFonts w:hint="eastAsia" w:hAnsi="宋体" w:cs="宋体"/>
          <w:color w:val="auto"/>
        </w:rPr>
        <w:t>向采购人、采购代理机构行贿或者提供其他不正当利益的；</w:t>
      </w:r>
    </w:p>
    <w:p>
      <w:pPr>
        <w:pStyle w:val="14"/>
        <w:numPr>
          <w:ilvl w:val="0"/>
          <w:numId w:val="9"/>
        </w:numPr>
        <w:spacing w:line="440" w:lineRule="exact"/>
        <w:rPr>
          <w:rFonts w:hint="eastAsia" w:hAnsi="宋体" w:cs="宋体"/>
          <w:color w:val="auto"/>
        </w:rPr>
      </w:pPr>
      <w:r>
        <w:rPr>
          <w:rFonts w:hint="eastAsia" w:hAnsi="宋体" w:cs="宋体"/>
          <w:color w:val="auto"/>
        </w:rPr>
        <w:t>在招标采购过程中与采购人进行协商谈判的；</w:t>
      </w:r>
    </w:p>
    <w:p>
      <w:pPr>
        <w:pStyle w:val="14"/>
        <w:numPr>
          <w:ilvl w:val="0"/>
          <w:numId w:val="9"/>
        </w:numPr>
        <w:spacing w:line="440" w:lineRule="exact"/>
        <w:rPr>
          <w:rFonts w:hint="eastAsia" w:hAnsi="宋体" w:cs="宋体"/>
          <w:color w:val="auto"/>
        </w:rPr>
      </w:pPr>
      <w:r>
        <w:rPr>
          <w:rFonts w:hint="eastAsia" w:hAnsi="宋体" w:cs="宋体"/>
          <w:color w:val="auto"/>
        </w:rPr>
        <w:t>拒绝有关部门监督检查或提供虚假情况的。</w:t>
      </w:r>
    </w:p>
    <w:p>
      <w:pPr>
        <w:pStyle w:val="14"/>
        <w:spacing w:line="360" w:lineRule="auto"/>
        <w:ind w:firstLine="420"/>
        <w:rPr>
          <w:rFonts w:hint="eastAsia" w:hAnsi="宋体" w:cs="宋体"/>
          <w:color w:val="auto"/>
        </w:rPr>
      </w:pPr>
      <w:r>
        <w:rPr>
          <w:rFonts w:hint="eastAsia" w:hAnsi="宋体" w:cs="宋体"/>
          <w:color w:val="auto"/>
        </w:rPr>
        <w:t>10.以上事项如有虚假或者隐瞒，我方愿意承担一切后果，并不再寻求任何旨在减轻或者免除法律责任的辩解。</w:t>
      </w:r>
    </w:p>
    <w:p>
      <w:pPr>
        <w:pStyle w:val="14"/>
        <w:spacing w:line="360" w:lineRule="auto"/>
        <w:ind w:firstLine="420"/>
        <w:rPr>
          <w:rFonts w:hint="eastAsia" w:hAnsi="宋体" w:cs="宋体"/>
          <w:color w:val="auto"/>
        </w:rPr>
      </w:pPr>
      <w:r>
        <w:rPr>
          <w:rFonts w:hint="eastAsia" w:hAnsi="宋体" w:cs="宋体"/>
          <w:color w:val="auto"/>
        </w:rPr>
        <w:t>11.与本投标有关的一切正式往来信函请寄：</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投标人全称：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u w:val="single"/>
        </w:rPr>
      </w:pPr>
      <w:r>
        <w:rPr>
          <w:rFonts w:hint="eastAsia" w:ascii="宋体" w:hAnsi="宋体" w:cs="宋体"/>
          <w:color w:val="auto"/>
          <w:szCs w:val="21"/>
        </w:rPr>
        <w:t>投标人统一社会信用代码：</w:t>
      </w:r>
      <w:r>
        <w:rPr>
          <w:rFonts w:hint="eastAsia" w:ascii="宋体" w:hAnsi="宋体" w:cs="宋体"/>
          <w:color w:val="auto"/>
          <w:szCs w:val="21"/>
          <w:u w:val="single"/>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开户行及账号：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投标人联系电话：</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投标人地址：</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邮编：</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电子邮箱：</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法定代表人姓名：</w:t>
      </w:r>
      <w:r>
        <w:rPr>
          <w:rFonts w:hint="eastAsia" w:ascii="宋体" w:hAnsi="宋体" w:cs="宋体"/>
          <w:color w:val="auto"/>
          <w:szCs w:val="21"/>
          <w:u w:val="single"/>
        </w:rPr>
        <w:t xml:space="preserve">         　　　</w:t>
      </w:r>
      <w:r>
        <w:rPr>
          <w:rFonts w:hint="eastAsia" w:ascii="宋体" w:hAnsi="宋体" w:cs="宋体"/>
          <w:color w:val="auto"/>
          <w:szCs w:val="21"/>
        </w:rPr>
        <w:t>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法定代表人身份证号码：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授权委托代理人姓名：</w:t>
      </w:r>
      <w:r>
        <w:rPr>
          <w:rFonts w:hint="eastAsia" w:ascii="宋体" w:hAnsi="宋体" w:cs="宋体"/>
          <w:color w:val="auto"/>
          <w:szCs w:val="21"/>
          <w:u w:val="single"/>
        </w:rPr>
        <w:t xml:space="preserve">        　　　　　　</w:t>
      </w:r>
      <w:r>
        <w:rPr>
          <w:rFonts w:hint="eastAsia" w:ascii="宋体" w:hAnsi="宋体" w:cs="宋体"/>
          <w:color w:val="auto"/>
          <w:szCs w:val="21"/>
        </w:rPr>
        <w:t>　        </w:t>
      </w:r>
    </w:p>
    <w:p>
      <w:pPr>
        <w:snapToGrid w:val="0"/>
        <w:spacing w:line="360" w:lineRule="exact"/>
        <w:ind w:left="976" w:leftChars="200" w:hanging="556" w:hangingChars="265"/>
        <w:rPr>
          <w:rFonts w:hint="eastAsia" w:ascii="宋体" w:hAnsi="宋体" w:cs="宋体"/>
          <w:color w:val="auto"/>
          <w:szCs w:val="21"/>
          <w:u w:val="single"/>
        </w:rPr>
      </w:pPr>
      <w:r>
        <w:rPr>
          <w:rFonts w:hint="eastAsia" w:ascii="宋体" w:hAnsi="宋体" w:cs="宋体"/>
          <w:color w:val="auto"/>
          <w:szCs w:val="21"/>
        </w:rPr>
        <w:t>授权委托代理人身份证号码：</w:t>
      </w:r>
      <w:r>
        <w:rPr>
          <w:rFonts w:hint="eastAsia" w:ascii="宋体" w:hAnsi="宋体" w:cs="宋体"/>
          <w:color w:val="auto"/>
          <w:szCs w:val="21"/>
          <w:u w:val="single"/>
        </w:rPr>
        <w:t xml:space="preserve">             　 </w:t>
      </w:r>
    </w:p>
    <w:p>
      <w:pPr>
        <w:pStyle w:val="14"/>
        <w:spacing w:line="440" w:lineRule="exact"/>
        <w:ind w:firstLine="420"/>
        <w:rPr>
          <w:rFonts w:hint="eastAsia" w:hAnsi="宋体" w:cs="宋体"/>
          <w:color w:val="auto"/>
          <w:szCs w:val="21"/>
          <w:u w:val="single"/>
        </w:rPr>
      </w:pPr>
      <w:r>
        <w:rPr>
          <w:rFonts w:hint="eastAsia" w:hAnsi="宋体" w:cs="宋体"/>
          <w:color w:val="auto"/>
          <w:szCs w:val="21"/>
        </w:rPr>
        <w:t>授权委托代理人手机号码：</w:t>
      </w:r>
      <w:r>
        <w:rPr>
          <w:rFonts w:hint="eastAsia" w:hAnsi="宋体" w:cs="宋体"/>
          <w:color w:val="auto"/>
          <w:szCs w:val="21"/>
          <w:u w:val="single"/>
        </w:rPr>
        <w:t xml:space="preserve">             　 </w:t>
      </w:r>
    </w:p>
    <w:p>
      <w:pPr>
        <w:snapToGrid w:val="0"/>
        <w:spacing w:line="360" w:lineRule="auto"/>
        <w:ind w:firstLine="5040" w:firstLineChars="2100"/>
        <w:rPr>
          <w:rFonts w:hint="eastAsia" w:ascii="宋体" w:hAnsi="宋体" w:cs="宋体"/>
          <w:color w:val="auto"/>
          <w:kern w:val="0"/>
          <w:sz w:val="24"/>
          <w:lang w:val="zh-CN"/>
        </w:rPr>
      </w:pPr>
    </w:p>
    <w:p>
      <w:pPr>
        <w:snapToGrid w:val="0"/>
        <w:spacing w:line="360" w:lineRule="auto"/>
        <w:ind w:firstLine="5040" w:firstLineChars="2100"/>
        <w:rPr>
          <w:rFonts w:hint="eastAsia" w:ascii="宋体" w:hAnsi="宋体" w:cs="宋体"/>
          <w:color w:val="auto"/>
          <w:kern w:val="0"/>
          <w:sz w:val="24"/>
          <w:lang w:val="zh-CN"/>
        </w:rPr>
      </w:pPr>
    </w:p>
    <w:p>
      <w:pPr>
        <w:snapToGrid w:val="0"/>
        <w:spacing w:line="360" w:lineRule="auto"/>
        <w:ind w:firstLine="5040" w:firstLineChars="210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widowControl/>
        <w:spacing w:line="360" w:lineRule="auto"/>
        <w:jc w:val="left"/>
        <w:rPr>
          <w:rFonts w:hint="eastAsia" w:ascii="宋体" w:hAnsi="宋体" w:cs="宋体"/>
          <w:color w:val="auto"/>
          <w:kern w:val="0"/>
          <w:sz w:val="24"/>
          <w:lang w:val="zh-CN"/>
        </w:rPr>
        <w:sectPr>
          <w:pgSz w:w="11906" w:h="16838"/>
          <w:pgMar w:top="1134" w:right="1020" w:bottom="1020" w:left="1134" w:header="720" w:footer="720" w:gutter="0"/>
          <w:cols w:space="720" w:num="1"/>
          <w:docGrid w:type="lines" w:linePitch="331" w:charSpace="0"/>
        </w:sectPr>
      </w:pPr>
    </w:p>
    <w:p>
      <w:pPr>
        <w:pStyle w:val="14"/>
        <w:spacing w:line="360" w:lineRule="auto"/>
        <w:jc w:val="left"/>
        <w:rPr>
          <w:rFonts w:hint="eastAsia" w:hAnsi="宋体" w:cs="宋体"/>
          <w:b/>
          <w:color w:val="auto"/>
          <w:sz w:val="28"/>
          <w:szCs w:val="28"/>
        </w:rPr>
      </w:pPr>
      <w:r>
        <w:rPr>
          <w:rFonts w:hint="eastAsia" w:hAnsi="宋体" w:cs="宋体"/>
          <w:b/>
          <w:color w:val="auto"/>
          <w:sz w:val="28"/>
          <w:szCs w:val="28"/>
        </w:rPr>
        <w:t>4. 开标一览表的格式：</w:t>
      </w:r>
    </w:p>
    <w:p>
      <w:pPr>
        <w:pStyle w:val="14"/>
        <w:spacing w:line="360" w:lineRule="auto"/>
        <w:jc w:val="center"/>
        <w:rPr>
          <w:rFonts w:hint="eastAsia" w:hAnsi="宋体" w:cs="宋体"/>
          <w:b/>
          <w:color w:val="auto"/>
          <w:sz w:val="30"/>
          <w:szCs w:val="30"/>
        </w:rPr>
      </w:pPr>
      <w:r>
        <w:rPr>
          <w:rFonts w:hint="eastAsia" w:hAnsi="宋体" w:cs="宋体"/>
          <w:b/>
          <w:color w:val="auto"/>
          <w:sz w:val="30"/>
          <w:szCs w:val="30"/>
        </w:rPr>
        <w:t>开标一览表</w:t>
      </w:r>
      <w:r>
        <w:rPr>
          <w:rFonts w:hint="eastAsia" w:hAnsi="宋体" w:cs="宋体"/>
          <w:b/>
          <w:color w:val="auto"/>
          <w:kern w:val="0"/>
          <w:sz w:val="24"/>
          <w:lang w:val="zh-CN"/>
        </w:rPr>
        <w:t>(单位均为人民币元)</w:t>
      </w:r>
    </w:p>
    <w:p>
      <w:pPr>
        <w:snapToGrid w:val="0"/>
        <w:spacing w:before="50" w:after="50" w:line="480" w:lineRule="auto"/>
        <w:rPr>
          <w:rFonts w:hint="eastAsia"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snapToGrid w:val="0"/>
        <w:spacing w:before="50" w:after="50" w:line="480" w:lineRule="auto"/>
        <w:rPr>
          <w:rFonts w:hint="eastAsia" w:ascii="宋体" w:hAnsi="宋体" w:cs="宋体"/>
          <w:color w:val="auto"/>
          <w:sz w:val="24"/>
          <w:u w:val="single"/>
        </w:rPr>
      </w:pPr>
      <w:r>
        <w:rPr>
          <w:rFonts w:hint="eastAsia" w:ascii="宋体" w:hAnsi="宋体" w:cs="宋体"/>
          <w:color w:val="auto"/>
          <w:sz w:val="24"/>
        </w:rPr>
        <w:t>项目编号：</w:t>
      </w:r>
      <w:r>
        <w:rPr>
          <w:rFonts w:hint="eastAsia" w:ascii="宋体" w:hAnsi="宋体" w:cs="宋体"/>
          <w:color w:val="auto"/>
          <w:sz w:val="24"/>
          <w:u w:val="single"/>
        </w:rPr>
        <w:t xml:space="preserve"> </w:t>
      </w:r>
      <w:bookmarkStart w:id="320" w:name="PO_3000001867_PM001_7"/>
      <w:r>
        <w:rPr>
          <w:rFonts w:hint="eastAsia" w:ascii="宋体" w:hAnsi="宋体" w:cs="宋体"/>
          <w:color w:val="auto"/>
          <w:sz w:val="24"/>
          <w:u w:val="single"/>
        </w:rPr>
        <w:t xml:space="preserve">                      </w:t>
      </w:r>
      <w:bookmarkEnd w:id="320"/>
    </w:p>
    <w:p>
      <w:pPr>
        <w:pStyle w:val="17"/>
        <w:rPr>
          <w:color w:val="auto"/>
        </w:rPr>
      </w:pPr>
      <w:r>
        <w:rPr>
          <w:rFonts w:hint="eastAsia" w:ascii="宋体" w:hAnsi="宋体" w:cs="宋体"/>
          <w:bCs/>
          <w:color w:val="auto"/>
          <w:sz w:val="24"/>
        </w:rPr>
        <w:t>所投分标（如有则填写，无分标时填写“无”或者留空）：</w:t>
      </w:r>
      <w:r>
        <w:rPr>
          <w:rFonts w:hint="eastAsia" w:ascii="宋体" w:hAnsi="宋体" w:cs="宋体"/>
          <w:color w:val="auto"/>
          <w:sz w:val="24"/>
          <w:u w:val="single"/>
        </w:rPr>
        <w:t xml:space="preserve">           </w:t>
      </w:r>
      <w:r>
        <w:rPr>
          <w:rFonts w:hint="eastAsia" w:hAnsi="宋体" w:cs="宋体"/>
          <w:color w:val="auto"/>
          <w:sz w:val="24"/>
        </w:rPr>
        <w:t xml:space="preserve">  </w:t>
      </w:r>
    </w:p>
    <w:tbl>
      <w:tblPr>
        <w:tblStyle w:val="26"/>
        <w:tblW w:w="99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25"/>
        <w:gridCol w:w="930"/>
        <w:gridCol w:w="1601"/>
        <w:gridCol w:w="714"/>
        <w:gridCol w:w="685"/>
        <w:gridCol w:w="1169"/>
        <w:gridCol w:w="1509"/>
        <w:gridCol w:w="846"/>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r>
              <w:rPr>
                <w:rFonts w:hint="eastAsia" w:ascii="宋体" w:hAnsi="宋体" w:cs="宋体"/>
                <w:color w:val="auto"/>
                <w:szCs w:val="22"/>
              </w:rPr>
              <w:t>序号</w:t>
            </w:r>
          </w:p>
        </w:tc>
        <w:tc>
          <w:tcPr>
            <w:tcW w:w="102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r>
              <w:rPr>
                <w:rFonts w:hint="eastAsia" w:ascii="宋体" w:hAnsi="宋体" w:cs="宋体"/>
                <w:color w:val="auto"/>
                <w:szCs w:val="22"/>
              </w:rPr>
              <w:t>标的名称</w:t>
            </w:r>
          </w:p>
        </w:tc>
        <w:tc>
          <w:tcPr>
            <w:tcW w:w="93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品牌（如有）</w:t>
            </w:r>
          </w:p>
        </w:tc>
        <w:tc>
          <w:tcPr>
            <w:tcW w:w="16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规格型号</w:t>
            </w:r>
          </w:p>
        </w:tc>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数量</w:t>
            </w:r>
          </w:p>
          <w:p>
            <w:pPr>
              <w:jc w:val="center"/>
              <w:rPr>
                <w:rFonts w:hint="eastAsia" w:ascii="宋体" w:hAnsi="宋体" w:cs="宋体"/>
                <w:color w:val="auto"/>
                <w:szCs w:val="22"/>
              </w:rPr>
            </w:pPr>
            <w:r>
              <w:rPr>
                <w:rFonts w:hint="eastAsia" w:ascii="宋体" w:hAnsi="宋体" w:cs="宋体"/>
                <w:color w:val="auto"/>
                <w:szCs w:val="22"/>
              </w:rPr>
              <w:t>①</w:t>
            </w:r>
          </w:p>
        </w:tc>
        <w:tc>
          <w:tcPr>
            <w:tcW w:w="6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单位</w:t>
            </w:r>
          </w:p>
        </w:tc>
        <w:tc>
          <w:tcPr>
            <w:tcW w:w="11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单价(元)</w:t>
            </w:r>
          </w:p>
          <w:p>
            <w:pPr>
              <w:jc w:val="center"/>
              <w:rPr>
                <w:rFonts w:hint="eastAsia" w:ascii="宋体" w:hAnsi="宋体" w:cs="宋体"/>
                <w:color w:val="auto"/>
                <w:szCs w:val="22"/>
              </w:rPr>
            </w:pPr>
            <w:r>
              <w:rPr>
                <w:rFonts w:hint="eastAsia" w:ascii="宋体" w:hAnsi="宋体" w:cs="宋体"/>
                <w:color w:val="auto"/>
                <w:szCs w:val="22"/>
              </w:rPr>
              <w:t>②</w:t>
            </w:r>
          </w:p>
        </w:tc>
        <w:tc>
          <w:tcPr>
            <w:tcW w:w="15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单项合计（元）</w:t>
            </w:r>
          </w:p>
          <w:p>
            <w:pPr>
              <w:jc w:val="center"/>
              <w:rPr>
                <w:rFonts w:hint="eastAsia" w:ascii="宋体" w:hAnsi="宋体" w:cs="宋体"/>
                <w:color w:val="auto"/>
                <w:szCs w:val="22"/>
              </w:rPr>
            </w:pPr>
            <w:r>
              <w:rPr>
                <w:rFonts w:hint="eastAsia" w:ascii="宋体" w:hAnsi="宋体" w:cs="宋体"/>
                <w:color w:val="auto"/>
                <w:szCs w:val="22"/>
              </w:rPr>
              <w:t>③＝①×②</w:t>
            </w:r>
          </w:p>
        </w:tc>
        <w:tc>
          <w:tcPr>
            <w:tcW w:w="846" w:type="dxa"/>
            <w:tcBorders>
              <w:top w:val="single" w:color="auto" w:sz="4" w:space="0"/>
              <w:left w:val="single" w:color="auto" w:sz="4" w:space="0"/>
              <w:bottom w:val="single" w:color="auto" w:sz="4" w:space="0"/>
              <w:right w:val="single" w:color="auto" w:sz="4" w:space="0"/>
            </w:tcBorders>
          </w:tcPr>
          <w:p>
            <w:pPr>
              <w:rPr>
                <w:color w:val="auto"/>
              </w:rPr>
            </w:pPr>
          </w:p>
          <w:p>
            <w:pPr>
              <w:jc w:val="center"/>
              <w:rPr>
                <w:color w:val="auto"/>
              </w:rPr>
            </w:pPr>
            <w:r>
              <w:rPr>
                <w:rFonts w:hint="eastAsia"/>
                <w:color w:val="auto"/>
              </w:rPr>
              <w:t>制造商名称</w:t>
            </w:r>
          </w:p>
        </w:tc>
        <w:tc>
          <w:tcPr>
            <w:tcW w:w="777" w:type="dxa"/>
            <w:tcBorders>
              <w:top w:val="single" w:color="auto" w:sz="4" w:space="0"/>
              <w:left w:val="single" w:color="auto" w:sz="4" w:space="0"/>
              <w:bottom w:val="single" w:color="auto" w:sz="4" w:space="0"/>
              <w:right w:val="single" w:color="auto" w:sz="4" w:space="0"/>
            </w:tcBorders>
            <w:vAlign w:val="center"/>
          </w:tcPr>
          <w:p>
            <w:pPr>
              <w:rPr>
                <w:color w:val="auto"/>
              </w:rPr>
            </w:pPr>
            <w:r>
              <w:rPr>
                <w:rFonts w:hint="eastAsia" w:ascii="宋体" w:hAnsi="宋体" w:cs="宋体"/>
                <w:color w:val="auto"/>
                <w:szCs w:val="22"/>
              </w:rPr>
              <w:t>标的产地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1</w:t>
            </w:r>
          </w:p>
        </w:tc>
        <w:tc>
          <w:tcPr>
            <w:tcW w:w="102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9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601"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71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68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16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5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846"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c>
          <w:tcPr>
            <w:tcW w:w="777"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2</w:t>
            </w:r>
          </w:p>
        </w:tc>
        <w:tc>
          <w:tcPr>
            <w:tcW w:w="102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9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601"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71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68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16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5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846"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c>
          <w:tcPr>
            <w:tcW w:w="777"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2"/>
              </w:rPr>
            </w:pPr>
            <w:r>
              <w:rPr>
                <w:rFonts w:hint="eastAsia" w:ascii="宋体" w:hAnsi="宋体" w:cs="宋体"/>
                <w:color w:val="auto"/>
                <w:szCs w:val="22"/>
              </w:rPr>
              <w:t>...</w:t>
            </w:r>
          </w:p>
        </w:tc>
        <w:tc>
          <w:tcPr>
            <w:tcW w:w="102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93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601"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71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68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16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150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p>
        </w:tc>
        <w:tc>
          <w:tcPr>
            <w:tcW w:w="846"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c>
          <w:tcPr>
            <w:tcW w:w="777" w:type="dxa"/>
            <w:tcBorders>
              <w:top w:val="single" w:color="auto" w:sz="4" w:space="0"/>
              <w:left w:val="single" w:color="auto" w:sz="4" w:space="0"/>
              <w:bottom w:val="single" w:color="auto" w:sz="4" w:space="0"/>
              <w:right w:val="single" w:color="auto" w:sz="4" w:space="0"/>
            </w:tcBorders>
          </w:tcPr>
          <w:p>
            <w:pPr>
              <w:rPr>
                <w:rFonts w:hint="eastAsia" w:ascii="宋体" w:hAnsi="宋体" w:cs="宋体"/>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75" w:type="dxa"/>
            <w:gridSpan w:val="10"/>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r>
              <w:rPr>
                <w:rFonts w:hint="eastAsia" w:hAnsi="宋体" w:cs="宋体"/>
                <w:color w:val="auto"/>
              </w:rPr>
              <w:t>投标总</w:t>
            </w:r>
            <w:r>
              <w:rPr>
                <w:rFonts w:hint="eastAsia" w:ascii="宋体" w:hAnsi="宋体" w:cs="宋体"/>
                <w:color w:val="auto"/>
                <w:szCs w:val="22"/>
              </w:rPr>
              <w:t xml:space="preserve">报价（包含税费等所有费用）：（大写）人民币 </w:t>
            </w:r>
            <w:r>
              <w:rPr>
                <w:rFonts w:hint="eastAsia" w:ascii="宋体" w:hAnsi="宋体" w:cs="宋体"/>
                <w:color w:val="auto"/>
                <w:szCs w:val="22"/>
                <w:u w:val="single"/>
              </w:rPr>
              <w:t xml:space="preserve">                        </w:t>
            </w:r>
            <w:r>
              <w:rPr>
                <w:rFonts w:hint="eastAsia" w:ascii="宋体" w:hAnsi="宋体" w:cs="宋体"/>
                <w:color w:val="auto"/>
                <w:szCs w:val="22"/>
              </w:rPr>
              <w:t xml:space="preserve">（小写）¥ </w:t>
            </w:r>
            <w:r>
              <w:rPr>
                <w:rFonts w:hint="eastAsia" w:ascii="宋体" w:hAnsi="宋体" w:cs="宋体"/>
                <w:color w:val="auto"/>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7"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Cs w:val="22"/>
              </w:rPr>
            </w:pPr>
            <w:r>
              <w:rPr>
                <w:rFonts w:hint="eastAsia" w:ascii="宋体" w:hAnsi="宋体" w:cs="宋体"/>
                <w:color w:val="auto"/>
                <w:szCs w:val="21"/>
              </w:rPr>
              <w:t>备注</w:t>
            </w:r>
          </w:p>
        </w:tc>
        <w:tc>
          <w:tcPr>
            <w:tcW w:w="9256" w:type="dxa"/>
            <w:gridSpan w:val="9"/>
            <w:tcBorders>
              <w:top w:val="single" w:color="auto" w:sz="4" w:space="0"/>
              <w:left w:val="single" w:color="auto" w:sz="4" w:space="0"/>
              <w:bottom w:val="single" w:color="auto" w:sz="4" w:space="0"/>
              <w:right w:val="single" w:color="auto" w:sz="4" w:space="0"/>
            </w:tcBorders>
            <w:vAlign w:val="center"/>
          </w:tcPr>
          <w:p>
            <w:pPr>
              <w:ind w:firstLine="420" w:firstLineChars="200"/>
              <w:rPr>
                <w:rFonts w:hint="eastAsia" w:ascii="宋体" w:hAnsi="宋体" w:cs="宋体"/>
                <w:color w:val="auto"/>
              </w:rPr>
            </w:pPr>
            <w:r>
              <w:rPr>
                <w:rFonts w:hint="eastAsia" w:ascii="宋体" w:hAnsi="宋体" w:cs="宋体"/>
                <w:color w:val="auto"/>
                <w:szCs w:val="21"/>
              </w:rPr>
              <w:t>根据《国务院办公厅关于在政府采购中实施本国产品标准及相关政策的通知》国办发〔2025〕34号的规定，我方为</w:t>
            </w:r>
            <w:r>
              <w:rPr>
                <w:rFonts w:hint="eastAsia" w:ascii="宋体" w:hAnsi="宋体" w:cs="宋体"/>
                <w:color w:val="auto"/>
                <w:szCs w:val="21"/>
                <w:shd w:val="clear" w:color="auto" w:fill="FFFFFF"/>
              </w:rPr>
              <w:t>本政府采购项目提供的符合本国产品标准的产品成本之和占全部投标产品成本之和的比例达到</w:t>
            </w:r>
            <w:r>
              <w:rPr>
                <w:rFonts w:hint="eastAsia" w:ascii="宋体" w:hAnsi="宋体" w:cs="宋体"/>
                <w:color w:val="auto"/>
                <w:szCs w:val="21"/>
                <w:u w:val="single"/>
                <w:shd w:val="clear" w:color="auto" w:fill="FFFFFF"/>
              </w:rPr>
              <w:t xml:space="preserve">        %</w:t>
            </w:r>
            <w:r>
              <w:rPr>
                <w:rFonts w:hint="eastAsia" w:ascii="宋体" w:hAnsi="宋体" w:cs="宋体"/>
                <w:color w:val="auto"/>
                <w:szCs w:val="21"/>
                <w:shd w:val="clear" w:color="auto" w:fill="FFFFFF"/>
              </w:rPr>
              <w:t>。</w:t>
            </w:r>
          </w:p>
        </w:tc>
      </w:tr>
    </w:tbl>
    <w:p>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注： </w:t>
      </w:r>
    </w:p>
    <w:p>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1</w:t>
      </w:r>
      <w:r>
        <w:rPr>
          <w:rFonts w:hint="eastAsia" w:ascii="宋体" w:hAnsi="宋体" w:cs="宋体"/>
          <w:color w:val="auto"/>
          <w:kern w:val="0"/>
          <w:szCs w:val="21"/>
        </w:rPr>
        <w:t>.</w:t>
      </w:r>
      <w:r>
        <w:rPr>
          <w:rFonts w:hint="eastAsia" w:ascii="宋体" w:hAnsi="宋体" w:cs="宋体"/>
          <w:color w:val="auto"/>
          <w:kern w:val="0"/>
          <w:szCs w:val="21"/>
          <w:lang w:val="zh-CN"/>
        </w:rPr>
        <w:t>投标人需按本表格式填写，不得自行更改，也不得留空，如有多分标，按分标分别提供开标一览表，必须加盖投标人有效公章，</w:t>
      </w:r>
      <w:r>
        <w:rPr>
          <w:rFonts w:hint="eastAsia" w:ascii="宋体" w:hAnsi="宋体" w:cs="宋体"/>
          <w:b/>
          <w:color w:val="auto"/>
          <w:kern w:val="0"/>
          <w:szCs w:val="21"/>
          <w:lang w:val="zh-CN"/>
        </w:rPr>
        <w:t>否则其投标作无效标处理。</w:t>
      </w:r>
    </w:p>
    <w:p>
      <w:pPr>
        <w:snapToGrid w:val="0"/>
        <w:spacing w:before="50" w:after="50"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w:t>
      </w:r>
      <w:r>
        <w:rPr>
          <w:rFonts w:hint="eastAsia" w:ascii="宋体" w:hAnsi="宋体" w:cs="宋体"/>
          <w:color w:val="auto"/>
          <w:kern w:val="0"/>
          <w:szCs w:val="21"/>
        </w:rPr>
        <w:t>.</w:t>
      </w:r>
      <w:r>
        <w:rPr>
          <w:rFonts w:hint="eastAsia" w:ascii="宋体" w:hAnsi="宋体" w:cs="宋体"/>
          <w:color w:val="auto"/>
          <w:kern w:val="0"/>
          <w:szCs w:val="21"/>
          <w:lang w:val="zh-CN"/>
        </w:rPr>
        <w:t>本表内容均不能涂改，</w:t>
      </w:r>
      <w:r>
        <w:rPr>
          <w:rFonts w:hint="eastAsia" w:ascii="宋体" w:hAnsi="宋体" w:cs="宋体"/>
          <w:b/>
          <w:color w:val="auto"/>
          <w:kern w:val="0"/>
          <w:szCs w:val="21"/>
          <w:lang w:val="zh-CN"/>
        </w:rPr>
        <w:t>否则其投标作无效标处理。</w:t>
      </w:r>
    </w:p>
    <w:p>
      <w:pPr>
        <w:snapToGrid w:val="0"/>
        <w:spacing w:before="50" w:after="50" w:line="360" w:lineRule="auto"/>
        <w:ind w:firstLine="420" w:firstLineChars="200"/>
        <w:jc w:val="left"/>
        <w:rPr>
          <w:rFonts w:hint="eastAsia" w:ascii="宋体" w:hAnsi="宋体" w:cs="宋体"/>
          <w:b/>
          <w:color w:val="auto"/>
          <w:kern w:val="0"/>
          <w:szCs w:val="21"/>
          <w:lang w:val="zh-CN"/>
        </w:rPr>
      </w:pPr>
      <w:r>
        <w:rPr>
          <w:rFonts w:hint="eastAsia" w:ascii="宋体" w:hAnsi="宋体" w:cs="宋体"/>
          <w:color w:val="auto"/>
          <w:kern w:val="0"/>
          <w:szCs w:val="21"/>
          <w:lang w:val="zh-CN"/>
        </w:rPr>
        <w:t>3</w:t>
      </w:r>
      <w:r>
        <w:rPr>
          <w:rFonts w:hint="eastAsia" w:ascii="宋体" w:hAnsi="宋体" w:cs="宋体"/>
          <w:color w:val="auto"/>
          <w:kern w:val="0"/>
          <w:szCs w:val="21"/>
        </w:rPr>
        <w:t>.</w:t>
      </w:r>
      <w:r>
        <w:rPr>
          <w:rFonts w:hint="eastAsia" w:ascii="宋体" w:hAnsi="宋体" w:cs="宋体"/>
          <w:color w:val="auto"/>
          <w:kern w:val="0"/>
          <w:szCs w:val="21"/>
          <w:lang w:val="zh-CN"/>
        </w:rPr>
        <w:t>如为联合体投标，“投标人名称”处必须列明联合体各方名称，并标注联合体牵头人名称，且盖章处须加盖联合体各方公章，</w:t>
      </w:r>
      <w:r>
        <w:rPr>
          <w:rFonts w:hint="eastAsia" w:ascii="宋体" w:hAnsi="宋体" w:cs="宋体"/>
          <w:b/>
          <w:color w:val="auto"/>
          <w:kern w:val="0"/>
          <w:szCs w:val="21"/>
          <w:lang w:val="zh-CN"/>
        </w:rPr>
        <w:t>否则其投标作无效标处理。</w:t>
      </w:r>
    </w:p>
    <w:p>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4</w:t>
      </w:r>
      <w:r>
        <w:rPr>
          <w:rFonts w:hint="eastAsia" w:ascii="宋体" w:hAnsi="宋体" w:cs="宋体"/>
          <w:color w:val="auto"/>
          <w:kern w:val="0"/>
          <w:szCs w:val="21"/>
        </w:rPr>
        <w:t>.</w:t>
      </w:r>
      <w:r>
        <w:rPr>
          <w:rFonts w:hint="eastAsia" w:ascii="宋体" w:hAnsi="宋体" w:cs="宋体"/>
          <w:color w:val="auto"/>
          <w:kern w:val="0"/>
          <w:szCs w:val="21"/>
          <w:lang w:val="zh-CN"/>
        </w:rPr>
        <w:t>以上表格要求细分项目及报价，在“</w:t>
      </w:r>
      <w:r>
        <w:rPr>
          <w:rFonts w:hint="eastAsia" w:ascii="宋体" w:hAnsi="宋体" w:cs="宋体"/>
          <w:color w:val="auto"/>
          <w:szCs w:val="22"/>
        </w:rPr>
        <w:t>标的名称</w:t>
      </w:r>
      <w:r>
        <w:rPr>
          <w:rFonts w:hint="eastAsia" w:ascii="宋体" w:hAnsi="宋体" w:cs="宋体"/>
          <w:color w:val="auto"/>
          <w:kern w:val="0"/>
          <w:szCs w:val="21"/>
          <w:lang w:val="zh-CN"/>
        </w:rPr>
        <w:t>”一栏中，填写具体货物，在“规格型号”一栏中，填写具体货物</w:t>
      </w:r>
      <w:r>
        <w:rPr>
          <w:rFonts w:hint="eastAsia" w:ascii="宋体" w:hAnsi="宋体" w:cs="宋体"/>
          <w:color w:val="auto"/>
          <w:kern w:val="0"/>
          <w:szCs w:val="21"/>
        </w:rPr>
        <w:t>的</w:t>
      </w:r>
      <w:r>
        <w:rPr>
          <w:rFonts w:hint="eastAsia" w:ascii="宋体" w:hAnsi="宋体" w:cs="宋体"/>
          <w:color w:val="auto"/>
          <w:kern w:val="0"/>
          <w:szCs w:val="21"/>
          <w:lang w:val="zh-CN"/>
        </w:rPr>
        <w:t>规格和型号（</w:t>
      </w:r>
      <w:r>
        <w:rPr>
          <w:rFonts w:hint="eastAsia"/>
          <w:color w:val="auto"/>
        </w:rPr>
        <w:t>如为定制产品，“规格型号”栏可以填写“定制”</w:t>
      </w:r>
      <w:r>
        <w:rPr>
          <w:rFonts w:hint="eastAsia" w:ascii="宋体" w:hAnsi="宋体" w:cs="宋体"/>
          <w:color w:val="auto"/>
          <w:kern w:val="0"/>
          <w:szCs w:val="21"/>
          <w:lang w:val="zh-CN"/>
        </w:rPr>
        <w:t>），</w:t>
      </w:r>
      <w:r>
        <w:rPr>
          <w:rFonts w:hint="eastAsia" w:ascii="宋体" w:hAnsi="宋体" w:cs="宋体"/>
          <w:b/>
          <w:color w:val="auto"/>
          <w:kern w:val="0"/>
          <w:szCs w:val="21"/>
          <w:lang w:val="zh-CN"/>
        </w:rPr>
        <w:t>否则其投标作无效标处理。</w:t>
      </w:r>
    </w:p>
    <w:p>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rPr>
        <w:t>5.</w:t>
      </w:r>
      <w:r>
        <w:rPr>
          <w:rFonts w:hint="eastAsia" w:ascii="宋体" w:hAnsi="宋体" w:cs="宋体"/>
          <w:color w:val="auto"/>
          <w:kern w:val="0"/>
          <w:szCs w:val="21"/>
          <w:lang w:val="zh-CN"/>
        </w:rPr>
        <w:t>特别提示：采购代理机构将对项目名称和项目编号，中标人名称、地址和中标金额，主要中标标的名称、</w:t>
      </w:r>
      <w:r>
        <w:rPr>
          <w:rFonts w:hint="eastAsia" w:ascii="宋体" w:hAnsi="宋体" w:cs="宋体"/>
          <w:color w:val="auto"/>
          <w:kern w:val="0"/>
          <w:szCs w:val="21"/>
        </w:rPr>
        <w:t>品牌（如有）、</w:t>
      </w:r>
      <w:r>
        <w:rPr>
          <w:rFonts w:hint="eastAsia" w:ascii="宋体" w:hAnsi="宋体" w:cs="宋体"/>
          <w:color w:val="auto"/>
          <w:kern w:val="0"/>
          <w:szCs w:val="21"/>
          <w:lang w:val="zh-CN"/>
        </w:rPr>
        <w:t>规格型号、数量、单价等予以公示。</w:t>
      </w:r>
    </w:p>
    <w:p>
      <w:pPr>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rPr>
        <w:t>6.</w:t>
      </w:r>
      <w:r>
        <w:rPr>
          <w:rFonts w:hint="eastAsia" w:ascii="宋体" w:hAnsi="宋体" w:cs="宋体"/>
          <w:color w:val="auto"/>
          <w:kern w:val="0"/>
          <w:szCs w:val="21"/>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napToGrid w:val="0"/>
        <w:spacing w:line="360" w:lineRule="auto"/>
        <w:ind w:firstLine="5760" w:firstLineChars="240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ind w:firstLine="5880" w:firstLineChars="24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widowControl/>
        <w:jc w:val="left"/>
        <w:rPr>
          <w:rFonts w:hint="eastAsia" w:ascii="宋体" w:hAnsi="宋体" w:cs="宋体"/>
          <w:color w:val="auto"/>
          <w:sz w:val="30"/>
          <w:szCs w:val="20"/>
        </w:rPr>
        <w:sectPr>
          <w:pgSz w:w="11906" w:h="16838"/>
          <w:pgMar w:top="1134" w:right="1020" w:bottom="1020" w:left="1134" w:header="720" w:footer="720" w:gutter="0"/>
          <w:cols w:space="720" w:num="1"/>
          <w:docGrid w:type="lines" w:linePitch="331" w:charSpace="0"/>
        </w:sectPr>
      </w:pPr>
    </w:p>
    <w:p>
      <w:pPr>
        <w:snapToGrid w:val="0"/>
        <w:spacing w:before="165" w:beforeLines="50" w:after="50"/>
        <w:jc w:val="center"/>
        <w:outlineLvl w:val="1"/>
        <w:rPr>
          <w:rFonts w:hint="eastAsia" w:ascii="宋体" w:hAnsi="宋体" w:cs="宋体"/>
          <w:b/>
          <w:bCs/>
          <w:color w:val="auto"/>
          <w:sz w:val="28"/>
          <w:szCs w:val="28"/>
        </w:rPr>
      </w:pPr>
      <w:bookmarkStart w:id="321" w:name="_Toc19036"/>
      <w:bookmarkStart w:id="322" w:name="_Toc8131"/>
      <w:bookmarkStart w:id="323" w:name="_Toc19686840"/>
      <w:bookmarkStart w:id="324" w:name="_Toc24690"/>
      <w:bookmarkStart w:id="325" w:name="_Toc12749"/>
      <w:bookmarkStart w:id="326" w:name="_Toc26722"/>
      <w:r>
        <w:rPr>
          <w:rFonts w:hint="eastAsia" w:ascii="宋体" w:hAnsi="宋体" w:cs="宋体"/>
          <w:b/>
          <w:bCs/>
          <w:color w:val="auto"/>
          <w:sz w:val="28"/>
          <w:szCs w:val="28"/>
        </w:rPr>
        <w:t>第四节 其他文书、文件格式</w:t>
      </w:r>
      <w:bookmarkEnd w:id="321"/>
      <w:bookmarkEnd w:id="322"/>
      <w:bookmarkEnd w:id="323"/>
      <w:bookmarkEnd w:id="324"/>
      <w:bookmarkEnd w:id="325"/>
      <w:bookmarkEnd w:id="326"/>
    </w:p>
    <w:p>
      <w:pPr>
        <w:pStyle w:val="14"/>
        <w:jc w:val="left"/>
        <w:rPr>
          <w:rFonts w:hint="eastAsia" w:hAnsi="宋体" w:cs="宋体"/>
          <w:b/>
          <w:color w:val="auto"/>
          <w:sz w:val="28"/>
          <w:szCs w:val="28"/>
        </w:rPr>
      </w:pPr>
      <w:r>
        <w:rPr>
          <w:rFonts w:hint="eastAsia" w:hAnsi="宋体" w:cs="宋体"/>
          <w:b/>
          <w:color w:val="auto"/>
          <w:sz w:val="28"/>
          <w:szCs w:val="28"/>
        </w:rPr>
        <w:t>1.中小企业声明函的格式：</w:t>
      </w:r>
    </w:p>
    <w:p>
      <w:pPr>
        <w:pStyle w:val="14"/>
        <w:jc w:val="center"/>
        <w:rPr>
          <w:rFonts w:ascii="Times New Roman" w:hAnsi="Times New Roman"/>
          <w:b/>
          <w:color w:val="auto"/>
          <w:sz w:val="30"/>
          <w:szCs w:val="30"/>
        </w:rPr>
      </w:pPr>
      <w:r>
        <w:rPr>
          <w:rFonts w:hint="eastAsia" w:ascii="Times New Roman" w:hAnsi="Times New Roman"/>
          <w:b/>
          <w:color w:val="auto"/>
          <w:sz w:val="30"/>
          <w:szCs w:val="30"/>
        </w:rPr>
        <w:t>中小企业声明函</w:t>
      </w:r>
    </w:p>
    <w:p>
      <w:pPr>
        <w:pStyle w:val="12"/>
        <w:spacing w:line="360" w:lineRule="exact"/>
        <w:ind w:firstLine="404" w:firstLineChars="200"/>
        <w:rPr>
          <w:rFonts w:hint="eastAsia" w:hAnsi="宋体" w:cs="宋体"/>
          <w:color w:val="auto"/>
          <w:sz w:val="21"/>
          <w:szCs w:val="21"/>
        </w:rPr>
      </w:pPr>
    </w:p>
    <w:p>
      <w:pPr>
        <w:pStyle w:val="11"/>
        <w:spacing w:line="360" w:lineRule="exact"/>
        <w:ind w:left="-426" w:leftChars="-203" w:right="142" w:firstLine="480" w:firstLineChars="200"/>
        <w:contextualSpacing/>
        <w:rPr>
          <w:rFonts w:hint="eastAsia" w:ascii="宋体" w:hAnsi="宋体" w:cs="宋体"/>
          <w:color w:val="auto"/>
          <w:kern w:val="24"/>
          <w:sz w:val="24"/>
        </w:rPr>
      </w:pPr>
      <w:r>
        <w:rPr>
          <w:rFonts w:hint="eastAsia" w:ascii="宋体" w:hAnsi="宋体" w:cs="宋体"/>
          <w:color w:val="auto"/>
          <w:kern w:val="24"/>
          <w:sz w:val="24"/>
        </w:rPr>
        <w:t>本公司（联合体）郑重声明，根据《政府采购促进中小企业发展管理办法》（财库﹝2020﹞46号）的规定，本公司（联合体）参加</w:t>
      </w:r>
      <w:r>
        <w:rPr>
          <w:rFonts w:hint="eastAsia" w:ascii="宋体" w:hAnsi="宋体" w:cs="宋体"/>
          <w:i/>
          <w:iCs/>
          <w:color w:val="auto"/>
          <w:kern w:val="24"/>
          <w:sz w:val="24"/>
          <w:u w:val="single"/>
        </w:rPr>
        <w:t>（单位名称）</w:t>
      </w:r>
      <w:r>
        <w:rPr>
          <w:rFonts w:hint="eastAsia" w:ascii="宋体" w:hAnsi="宋体" w:cs="宋体"/>
          <w:color w:val="auto"/>
          <w:kern w:val="24"/>
          <w:sz w:val="24"/>
        </w:rPr>
        <w:t>的</w:t>
      </w:r>
      <w:r>
        <w:rPr>
          <w:rFonts w:hint="eastAsia" w:ascii="宋体" w:hAnsi="宋体" w:cs="宋体"/>
          <w:i/>
          <w:iCs/>
          <w:color w:val="auto"/>
          <w:kern w:val="24"/>
          <w:sz w:val="24"/>
          <w:u w:val="single"/>
        </w:rPr>
        <w:t>（项目名称）</w:t>
      </w:r>
      <w:r>
        <w:rPr>
          <w:rFonts w:hint="eastAsia" w:ascii="宋体" w:hAnsi="宋体" w:cs="宋体"/>
          <w:color w:val="auto"/>
          <w:kern w:val="24"/>
          <w:sz w:val="24"/>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exact"/>
        <w:ind w:left="-426" w:right="-58" w:firstLine="655"/>
        <w:contextualSpacing/>
        <w:rPr>
          <w:rFonts w:hint="eastAsia" w:ascii="宋体" w:hAnsi="宋体" w:cs="宋体"/>
          <w:color w:val="auto"/>
          <w:kern w:val="24"/>
          <w:sz w:val="24"/>
        </w:rPr>
      </w:pPr>
      <w:r>
        <w:rPr>
          <w:rFonts w:hint="eastAsia" w:ascii="宋体" w:hAnsi="宋体" w:cs="宋体"/>
          <w:color w:val="auto"/>
          <w:kern w:val="24"/>
          <w:sz w:val="24"/>
        </w:rPr>
        <w:t>1.</w:t>
      </w:r>
      <w:r>
        <w:rPr>
          <w:rFonts w:hint="eastAsia" w:ascii="宋体" w:hAnsi="宋体" w:cs="宋体"/>
          <w:i/>
          <w:iCs/>
          <w:color w:val="auto"/>
          <w:kern w:val="24"/>
          <w:sz w:val="24"/>
          <w:u w:val="single"/>
        </w:rPr>
        <w:t>（标的名称）</w:t>
      </w:r>
      <w:r>
        <w:rPr>
          <w:rFonts w:hint="eastAsia" w:ascii="宋体" w:hAnsi="宋体" w:cs="宋体"/>
          <w:color w:val="auto"/>
          <w:kern w:val="24"/>
          <w:sz w:val="24"/>
        </w:rPr>
        <w:t>，属于</w:t>
      </w:r>
      <w:r>
        <w:rPr>
          <w:rFonts w:hint="eastAsia" w:ascii="宋体" w:hAnsi="宋体" w:cs="宋体"/>
          <w:i/>
          <w:iCs/>
          <w:color w:val="auto"/>
          <w:kern w:val="24"/>
          <w:sz w:val="24"/>
          <w:u w:val="single"/>
        </w:rPr>
        <w:t>（采购文件中明确的所属行业）行业</w:t>
      </w:r>
      <w:r>
        <w:rPr>
          <w:rFonts w:hint="eastAsia" w:ascii="宋体" w:hAnsi="宋体" w:cs="宋体"/>
          <w:color w:val="auto"/>
          <w:kern w:val="24"/>
          <w:sz w:val="24"/>
        </w:rPr>
        <w:t>；制造商为</w:t>
      </w:r>
      <w:r>
        <w:rPr>
          <w:rFonts w:hint="eastAsia" w:ascii="宋体" w:hAnsi="宋体" w:cs="宋体"/>
          <w:i/>
          <w:iCs/>
          <w:color w:val="auto"/>
          <w:kern w:val="24"/>
          <w:sz w:val="24"/>
          <w:u w:val="single"/>
        </w:rPr>
        <w:t>（企业名称）</w:t>
      </w:r>
      <w:r>
        <w:rPr>
          <w:rFonts w:hint="eastAsia" w:ascii="宋体" w:hAnsi="宋体" w:cs="宋体"/>
          <w:color w:val="auto"/>
          <w:kern w:val="24"/>
          <w:sz w:val="24"/>
        </w:rPr>
        <w:t>，从业人员</w:t>
      </w:r>
      <w:r>
        <w:rPr>
          <w:rFonts w:hint="eastAsia" w:ascii="宋体" w:hAnsi="宋体" w:cs="宋体"/>
          <w:color w:val="auto"/>
          <w:kern w:val="24"/>
          <w:sz w:val="24"/>
          <w:u w:val="single"/>
        </w:rPr>
        <w:t xml:space="preserve">      </w:t>
      </w:r>
      <w:r>
        <w:rPr>
          <w:rFonts w:hint="eastAsia" w:ascii="宋体" w:hAnsi="宋体" w:cs="宋体"/>
          <w:color w:val="auto"/>
          <w:kern w:val="24"/>
          <w:sz w:val="24"/>
        </w:rPr>
        <w:t>人，营业收入为</w:t>
      </w:r>
      <w:r>
        <w:rPr>
          <w:rFonts w:hint="eastAsia" w:ascii="宋体" w:hAnsi="宋体" w:cs="宋体"/>
          <w:color w:val="auto"/>
          <w:kern w:val="24"/>
          <w:sz w:val="24"/>
          <w:u w:val="single"/>
        </w:rPr>
        <w:t xml:space="preserve">      </w:t>
      </w:r>
      <w:r>
        <w:rPr>
          <w:rFonts w:hint="eastAsia" w:ascii="宋体" w:hAnsi="宋体" w:cs="宋体"/>
          <w:color w:val="auto"/>
          <w:kern w:val="24"/>
          <w:sz w:val="24"/>
        </w:rPr>
        <w:t>万元，资产总额为</w:t>
      </w:r>
      <w:r>
        <w:rPr>
          <w:rFonts w:hint="eastAsia" w:ascii="宋体" w:hAnsi="宋体" w:cs="宋体"/>
          <w:color w:val="auto"/>
          <w:kern w:val="24"/>
          <w:sz w:val="24"/>
          <w:u w:val="single"/>
        </w:rPr>
        <w:t xml:space="preserve">      </w:t>
      </w:r>
      <w:r>
        <w:rPr>
          <w:rFonts w:hint="eastAsia" w:ascii="宋体" w:hAnsi="宋体" w:cs="宋体"/>
          <w:color w:val="auto"/>
          <w:kern w:val="24"/>
          <w:sz w:val="24"/>
        </w:rPr>
        <w:t>万元，属于</w:t>
      </w:r>
      <w:r>
        <w:rPr>
          <w:rFonts w:hint="eastAsia" w:ascii="宋体" w:hAnsi="宋体" w:cs="宋体"/>
          <w:i/>
          <w:iCs/>
          <w:color w:val="auto"/>
          <w:kern w:val="24"/>
          <w:sz w:val="24"/>
          <w:u w:val="single"/>
        </w:rPr>
        <w:t>（中型企业、小型企业、微型企业）</w:t>
      </w:r>
      <w:r>
        <w:rPr>
          <w:rFonts w:hint="eastAsia" w:ascii="宋体" w:hAnsi="宋体" w:cs="宋体"/>
          <w:color w:val="auto"/>
          <w:kern w:val="24"/>
          <w:sz w:val="24"/>
        </w:rPr>
        <w:t>；</w:t>
      </w:r>
    </w:p>
    <w:p>
      <w:pPr>
        <w:tabs>
          <w:tab w:val="left" w:pos="1065"/>
          <w:tab w:val="left" w:pos="6477"/>
        </w:tabs>
        <w:spacing w:line="360" w:lineRule="exact"/>
        <w:ind w:left="-426" w:right="-58" w:firstLine="655"/>
        <w:contextualSpacing/>
        <w:rPr>
          <w:rFonts w:hint="eastAsia" w:ascii="宋体" w:hAnsi="宋体" w:cs="宋体"/>
          <w:color w:val="auto"/>
          <w:kern w:val="24"/>
          <w:sz w:val="24"/>
        </w:rPr>
      </w:pPr>
      <w:r>
        <w:rPr>
          <w:rFonts w:hint="eastAsia" w:ascii="宋体" w:hAnsi="宋体" w:cs="宋体"/>
          <w:color w:val="auto"/>
          <w:kern w:val="24"/>
          <w:sz w:val="24"/>
        </w:rPr>
        <w:t>2.</w:t>
      </w:r>
      <w:r>
        <w:rPr>
          <w:rFonts w:hint="eastAsia" w:ascii="宋体" w:hAnsi="宋体" w:cs="宋体"/>
          <w:i/>
          <w:iCs/>
          <w:color w:val="auto"/>
          <w:kern w:val="24"/>
          <w:sz w:val="24"/>
          <w:u w:val="single"/>
        </w:rPr>
        <w:t>（标的名称）</w:t>
      </w:r>
      <w:r>
        <w:rPr>
          <w:rFonts w:hint="eastAsia" w:ascii="宋体" w:hAnsi="宋体" w:cs="宋体"/>
          <w:color w:val="auto"/>
          <w:kern w:val="24"/>
          <w:sz w:val="24"/>
        </w:rPr>
        <w:t>，属于</w:t>
      </w:r>
      <w:r>
        <w:rPr>
          <w:rFonts w:hint="eastAsia" w:ascii="宋体" w:hAnsi="宋体" w:cs="宋体"/>
          <w:i/>
          <w:iCs/>
          <w:color w:val="auto"/>
          <w:kern w:val="24"/>
          <w:sz w:val="24"/>
          <w:u w:val="single"/>
        </w:rPr>
        <w:t>（采购文件中明确的所属行业）行业</w:t>
      </w:r>
      <w:r>
        <w:rPr>
          <w:rFonts w:hint="eastAsia" w:ascii="宋体" w:hAnsi="宋体" w:cs="宋体"/>
          <w:color w:val="auto"/>
          <w:kern w:val="24"/>
          <w:sz w:val="24"/>
        </w:rPr>
        <w:t>；制造商为</w:t>
      </w:r>
      <w:r>
        <w:rPr>
          <w:rFonts w:hint="eastAsia" w:ascii="宋体" w:hAnsi="宋体" w:cs="宋体"/>
          <w:i/>
          <w:iCs/>
          <w:color w:val="auto"/>
          <w:kern w:val="24"/>
          <w:sz w:val="24"/>
          <w:u w:val="single"/>
        </w:rPr>
        <w:t>（企业名称）</w:t>
      </w:r>
      <w:r>
        <w:rPr>
          <w:rFonts w:hint="eastAsia" w:ascii="宋体" w:hAnsi="宋体" w:cs="宋体"/>
          <w:color w:val="auto"/>
          <w:kern w:val="24"/>
          <w:sz w:val="24"/>
        </w:rPr>
        <w:t>，从业人员</w:t>
      </w:r>
      <w:r>
        <w:rPr>
          <w:rFonts w:hint="eastAsia" w:ascii="宋体" w:hAnsi="宋体" w:cs="宋体"/>
          <w:color w:val="auto"/>
          <w:kern w:val="24"/>
          <w:sz w:val="24"/>
          <w:u w:val="single"/>
        </w:rPr>
        <w:t xml:space="preserve">      </w:t>
      </w:r>
      <w:r>
        <w:rPr>
          <w:rFonts w:hint="eastAsia" w:ascii="宋体" w:hAnsi="宋体" w:cs="宋体"/>
          <w:color w:val="auto"/>
          <w:kern w:val="24"/>
          <w:sz w:val="24"/>
        </w:rPr>
        <w:t>人，营业收入为</w:t>
      </w:r>
      <w:r>
        <w:rPr>
          <w:rFonts w:hint="eastAsia" w:ascii="宋体" w:hAnsi="宋体" w:cs="宋体"/>
          <w:color w:val="auto"/>
          <w:kern w:val="24"/>
          <w:sz w:val="24"/>
          <w:u w:val="single"/>
        </w:rPr>
        <w:t xml:space="preserve">      </w:t>
      </w:r>
      <w:r>
        <w:rPr>
          <w:rFonts w:hint="eastAsia" w:ascii="宋体" w:hAnsi="宋体" w:cs="宋体"/>
          <w:color w:val="auto"/>
          <w:kern w:val="24"/>
          <w:sz w:val="24"/>
        </w:rPr>
        <w:t>万元，资产总额为</w:t>
      </w:r>
      <w:r>
        <w:rPr>
          <w:rFonts w:hint="eastAsia" w:ascii="宋体" w:hAnsi="宋体" w:cs="宋体"/>
          <w:color w:val="auto"/>
          <w:kern w:val="24"/>
          <w:sz w:val="24"/>
          <w:u w:val="single"/>
        </w:rPr>
        <w:t xml:space="preserve">      </w:t>
      </w:r>
      <w:r>
        <w:rPr>
          <w:rFonts w:hint="eastAsia" w:ascii="宋体" w:hAnsi="宋体" w:cs="宋体"/>
          <w:color w:val="auto"/>
          <w:kern w:val="24"/>
          <w:sz w:val="24"/>
        </w:rPr>
        <w:t>万元，属于</w:t>
      </w:r>
      <w:r>
        <w:rPr>
          <w:rFonts w:hint="eastAsia" w:ascii="宋体" w:hAnsi="宋体" w:cs="宋体"/>
          <w:i/>
          <w:iCs/>
          <w:color w:val="auto"/>
          <w:kern w:val="24"/>
          <w:sz w:val="24"/>
          <w:u w:val="single"/>
        </w:rPr>
        <w:t>（中型企业、小型企业、微型企业）</w:t>
      </w:r>
      <w:r>
        <w:rPr>
          <w:rFonts w:hint="eastAsia" w:ascii="宋体" w:hAnsi="宋体" w:cs="宋体"/>
          <w:color w:val="auto"/>
          <w:kern w:val="24"/>
          <w:sz w:val="24"/>
        </w:rPr>
        <w:t>；</w:t>
      </w:r>
    </w:p>
    <w:p>
      <w:pPr>
        <w:pStyle w:val="11"/>
        <w:spacing w:line="360" w:lineRule="exact"/>
        <w:ind w:left="142" w:right="142"/>
        <w:contextualSpacing/>
        <w:rPr>
          <w:rFonts w:hint="eastAsia" w:ascii="宋体" w:hAnsi="宋体" w:cs="宋体"/>
          <w:color w:val="auto"/>
          <w:kern w:val="24"/>
        </w:rPr>
      </w:pPr>
      <w:r>
        <w:rPr>
          <w:rFonts w:hint="eastAsia" w:ascii="宋体" w:hAnsi="宋体" w:cs="宋体"/>
          <w:color w:val="auto"/>
          <w:kern w:val="24"/>
        </w:rPr>
        <w:t xml:space="preserve">…… </w:t>
      </w:r>
    </w:p>
    <w:p>
      <w:pPr>
        <w:pStyle w:val="11"/>
        <w:spacing w:line="360" w:lineRule="exact"/>
        <w:ind w:left="-405" w:leftChars="-193" w:right="142" w:firstLine="453" w:firstLineChars="189"/>
        <w:contextualSpacing/>
        <w:rPr>
          <w:rFonts w:hint="eastAsia" w:ascii="宋体" w:hAnsi="宋体" w:cs="宋体"/>
          <w:color w:val="auto"/>
          <w:kern w:val="24"/>
          <w:sz w:val="24"/>
        </w:rPr>
      </w:pPr>
      <w:r>
        <w:rPr>
          <w:rFonts w:hint="eastAsia" w:ascii="宋体" w:hAnsi="宋体" w:cs="宋体"/>
          <w:color w:val="auto"/>
          <w:kern w:val="24"/>
          <w:sz w:val="24"/>
        </w:rPr>
        <w:t>以上企业，不属于大企业的分支机构，不存在控股股东为大企业的情形，也不存在与大企业的负责人为同一人的情形。</w:t>
      </w:r>
    </w:p>
    <w:p>
      <w:pPr>
        <w:pStyle w:val="11"/>
        <w:spacing w:line="360" w:lineRule="exact"/>
        <w:ind w:left="-426" w:right="142" w:firstLine="420"/>
        <w:contextualSpacing/>
        <w:rPr>
          <w:rFonts w:hint="eastAsia" w:ascii="宋体" w:hAnsi="宋体" w:cs="宋体"/>
          <w:color w:val="auto"/>
          <w:kern w:val="24"/>
          <w:sz w:val="24"/>
        </w:rPr>
      </w:pPr>
      <w:r>
        <w:rPr>
          <w:rFonts w:hint="eastAsia" w:ascii="宋体" w:hAnsi="宋体" w:cs="宋体"/>
          <w:color w:val="auto"/>
          <w:kern w:val="24"/>
          <w:sz w:val="24"/>
        </w:rPr>
        <w:t>本企业对上述声明内容的真实性负责。如有虚假，将依法承担相应责任。</w:t>
      </w:r>
    </w:p>
    <w:p>
      <w:pPr>
        <w:pStyle w:val="14"/>
        <w:spacing w:line="360" w:lineRule="auto"/>
        <w:ind w:firstLine="480" w:firstLineChars="200"/>
        <w:rPr>
          <w:rFonts w:hint="eastAsia" w:hAnsi="宋体" w:cs="宋体"/>
          <w:color w:val="auto"/>
          <w:sz w:val="24"/>
          <w:szCs w:val="24"/>
        </w:rPr>
      </w:pPr>
    </w:p>
    <w:p>
      <w:pPr>
        <w:pStyle w:val="14"/>
        <w:spacing w:line="360" w:lineRule="auto"/>
        <w:ind w:firstLine="480" w:firstLineChars="200"/>
        <w:rPr>
          <w:rFonts w:hint="eastAsia" w:hAnsi="宋体" w:cs="宋体"/>
          <w:color w:val="auto"/>
          <w:sz w:val="24"/>
          <w:szCs w:val="24"/>
        </w:rPr>
      </w:pPr>
    </w:p>
    <w:p>
      <w:pPr>
        <w:snapToGrid w:val="0"/>
        <w:spacing w:line="360" w:lineRule="auto"/>
        <w:ind w:firstLine="5040" w:firstLineChars="2100"/>
        <w:rPr>
          <w:rFonts w:hint="eastAsia" w:ascii="宋体" w:hAnsi="宋体" w:cs="宋体"/>
          <w:color w:val="auto"/>
          <w:kern w:val="0"/>
          <w:sz w:val="24"/>
        </w:rPr>
      </w:pP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pStyle w:val="14"/>
        <w:spacing w:line="360" w:lineRule="auto"/>
        <w:ind w:firstLine="420" w:firstLineChars="200"/>
        <w:rPr>
          <w:rFonts w:hint="eastAsia" w:hAnsi="宋体" w:cs="宋体"/>
          <w:color w:val="auto"/>
          <w:szCs w:val="21"/>
        </w:rPr>
      </w:pPr>
    </w:p>
    <w:p>
      <w:pPr>
        <w:pStyle w:val="12"/>
        <w:spacing w:before="50" w:after="165" w:afterLines="50" w:line="360" w:lineRule="auto"/>
        <w:ind w:firstLine="404" w:firstLineChars="200"/>
        <w:rPr>
          <w:rFonts w:hint="eastAsia" w:hAnsi="宋体" w:cs="宋体"/>
          <w:color w:val="auto"/>
          <w:sz w:val="21"/>
          <w:szCs w:val="21"/>
        </w:rPr>
      </w:pPr>
      <w:r>
        <w:rPr>
          <w:rFonts w:hint="eastAsia" w:hAnsi="宋体" w:cs="宋体"/>
          <w:color w:val="auto"/>
          <w:sz w:val="21"/>
          <w:szCs w:val="21"/>
        </w:rPr>
        <w:t>注：</w:t>
      </w:r>
    </w:p>
    <w:p>
      <w:pPr>
        <w:pStyle w:val="12"/>
        <w:spacing w:before="50" w:after="165" w:afterLines="50" w:line="360" w:lineRule="auto"/>
        <w:ind w:firstLine="404" w:firstLineChars="200"/>
        <w:rPr>
          <w:rFonts w:hint="eastAsia" w:hAnsi="宋体" w:cs="宋体"/>
          <w:color w:val="auto"/>
          <w:sz w:val="21"/>
          <w:szCs w:val="21"/>
        </w:rPr>
      </w:pPr>
      <w:r>
        <w:rPr>
          <w:rFonts w:hint="eastAsia" w:hAnsi="宋体" w:cs="宋体"/>
          <w:color w:val="auto"/>
          <w:sz w:val="21"/>
          <w:szCs w:val="21"/>
        </w:rPr>
        <w:t>1.从业人员、营业收入、资产总额填报上一年度数据，无上一年度数据的新成立企业可不填报。</w:t>
      </w:r>
    </w:p>
    <w:p>
      <w:pPr>
        <w:pStyle w:val="12"/>
        <w:spacing w:line="360" w:lineRule="auto"/>
        <w:ind w:firstLine="404" w:firstLineChars="200"/>
        <w:rPr>
          <w:rFonts w:hint="eastAsia" w:hAnsi="宋体" w:cs="宋体"/>
          <w:color w:val="auto"/>
          <w:sz w:val="21"/>
          <w:szCs w:val="21"/>
        </w:rPr>
      </w:pPr>
      <w:r>
        <w:rPr>
          <w:rFonts w:hint="eastAsia" w:hAnsi="宋体" w:cs="宋体"/>
          <w:color w:val="auto"/>
          <w:sz w:val="21"/>
          <w:szCs w:val="21"/>
        </w:rPr>
        <w:t>2.请根据自己的真实情况出具《中小企业声明函》。依法享受中小企业扶持政策的，采购人或者采购代理机构在公告中标结果时，同时公告其《中小企业声明函》，接受社会监督。</w:t>
      </w:r>
    </w:p>
    <w:p>
      <w:pPr>
        <w:pStyle w:val="12"/>
        <w:spacing w:line="360" w:lineRule="auto"/>
        <w:ind w:firstLine="406" w:firstLineChars="200"/>
        <w:rPr>
          <w:rFonts w:hint="eastAsia" w:hAnsi="宋体" w:cs="宋体"/>
          <w:b/>
          <w:bCs/>
          <w:color w:val="auto"/>
          <w:sz w:val="21"/>
          <w:szCs w:val="21"/>
        </w:rPr>
      </w:pPr>
      <w:r>
        <w:rPr>
          <w:rFonts w:hint="eastAsia" w:hAnsi="宋体" w:cs="宋体"/>
          <w:b/>
          <w:bCs/>
          <w:color w:val="auto"/>
          <w:sz w:val="21"/>
          <w:szCs w:val="21"/>
        </w:rPr>
        <w:t>3.本声明函主要供参加政府采购活动的中小企业填写，非中小企业无需填写。</w:t>
      </w:r>
    </w:p>
    <w:p>
      <w:pPr>
        <w:pStyle w:val="12"/>
        <w:spacing w:line="360" w:lineRule="auto"/>
        <w:ind w:firstLine="406" w:firstLineChars="200"/>
        <w:rPr>
          <w:rFonts w:hint="eastAsia" w:hAnsi="宋体" w:cs="宋体"/>
          <w:b/>
          <w:bCs/>
          <w:color w:val="auto"/>
          <w:sz w:val="21"/>
          <w:szCs w:val="21"/>
        </w:rPr>
      </w:pPr>
      <w:r>
        <w:rPr>
          <w:rFonts w:hint="eastAsia" w:hAnsi="宋体" w:cs="宋体"/>
          <w:b/>
          <w:bCs/>
          <w:color w:val="auto"/>
          <w:sz w:val="21"/>
          <w:szCs w:val="21"/>
        </w:rPr>
        <w:t>4.小型、微型企业提供中型企业提供的货物的，视同为中型企业。</w:t>
      </w:r>
    </w:p>
    <w:p>
      <w:pPr>
        <w:pStyle w:val="12"/>
        <w:spacing w:line="360" w:lineRule="auto"/>
        <w:ind w:firstLine="404" w:firstLineChars="200"/>
        <w:rPr>
          <w:rFonts w:hint="eastAsia" w:hAnsi="宋体" w:cs="宋体"/>
          <w:color w:val="auto"/>
          <w:sz w:val="21"/>
          <w:szCs w:val="21"/>
        </w:rPr>
        <w:sectPr>
          <w:pgSz w:w="11906" w:h="16838"/>
          <w:pgMar w:top="1134" w:right="1020" w:bottom="1020" w:left="1134" w:header="720" w:footer="720" w:gutter="0"/>
          <w:cols w:space="720" w:num="1"/>
          <w:docGrid w:type="lines" w:linePitch="331" w:charSpace="0"/>
        </w:sectPr>
      </w:pPr>
    </w:p>
    <w:p>
      <w:pPr>
        <w:pStyle w:val="14"/>
        <w:spacing w:line="360" w:lineRule="auto"/>
        <w:jc w:val="left"/>
        <w:rPr>
          <w:rFonts w:hint="eastAsia" w:hAnsi="宋体" w:cs="宋体"/>
          <w:b/>
          <w:color w:val="auto"/>
          <w:sz w:val="28"/>
          <w:szCs w:val="28"/>
        </w:rPr>
      </w:pPr>
      <w:r>
        <w:rPr>
          <w:rFonts w:hint="eastAsia" w:hAnsi="宋体" w:cs="宋体"/>
          <w:b/>
          <w:color w:val="auto"/>
          <w:sz w:val="28"/>
          <w:szCs w:val="28"/>
        </w:rPr>
        <w:t>2.残疾人福利性单位声明函的格式：</w:t>
      </w:r>
    </w:p>
    <w:p>
      <w:pPr>
        <w:pStyle w:val="14"/>
        <w:spacing w:line="360" w:lineRule="auto"/>
        <w:jc w:val="center"/>
        <w:rPr>
          <w:rFonts w:hint="eastAsia" w:hAnsi="宋体" w:cs="宋体"/>
          <w:b/>
          <w:color w:val="auto"/>
          <w:sz w:val="30"/>
          <w:szCs w:val="30"/>
        </w:rPr>
      </w:pPr>
    </w:p>
    <w:p>
      <w:pPr>
        <w:pStyle w:val="14"/>
        <w:spacing w:line="360" w:lineRule="auto"/>
        <w:jc w:val="center"/>
        <w:rPr>
          <w:rFonts w:hint="eastAsia" w:hAnsi="宋体" w:cs="宋体"/>
          <w:b/>
          <w:color w:val="auto"/>
          <w:sz w:val="30"/>
          <w:szCs w:val="30"/>
        </w:rPr>
      </w:pPr>
      <w:r>
        <w:rPr>
          <w:rFonts w:hint="eastAsia" w:hAnsi="宋体" w:cs="宋体"/>
          <w:b/>
          <w:color w:val="auto"/>
          <w:sz w:val="30"/>
          <w:szCs w:val="30"/>
        </w:rPr>
        <w:t>残疾人福利性单位声明函</w:t>
      </w:r>
    </w:p>
    <w:p>
      <w:pPr>
        <w:pStyle w:val="14"/>
        <w:spacing w:line="360" w:lineRule="auto"/>
        <w:jc w:val="center"/>
        <w:rPr>
          <w:rFonts w:hint="eastAsia" w:hAnsi="宋体" w:cs="宋体"/>
          <w:b/>
          <w:color w:val="auto"/>
          <w:sz w:val="30"/>
          <w:szCs w:val="30"/>
        </w:rPr>
      </w:pP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u w:val="single"/>
        </w:rPr>
        <w:t xml:space="preserve">        </w:t>
      </w:r>
      <w:r>
        <w:rPr>
          <w:rFonts w:hint="eastAsia" w:ascii="宋体" w:hAnsi="宋体" w:cs="宋体"/>
          <w:color w:val="auto"/>
          <w:sz w:val="24"/>
        </w:rPr>
        <w:t>单位的</w:t>
      </w:r>
      <w:r>
        <w:rPr>
          <w:rFonts w:hint="eastAsia" w:ascii="宋体" w:hAnsi="宋体" w:cs="宋体"/>
          <w:color w:val="auto"/>
          <w:sz w:val="24"/>
          <w:u w:val="single"/>
        </w:rPr>
        <w:t xml:space="preserve">           </w:t>
      </w:r>
      <w:r>
        <w:rPr>
          <w:rFonts w:hint="eastAsia" w:ascii="宋体" w:hAnsi="宋体" w:cs="宋体"/>
          <w:color w:val="auto"/>
          <w:sz w:val="24"/>
        </w:rPr>
        <w:t>项目采购活动提供本单位制造的货物（由本单位承担工程/提供服务），或者提供其他残疾人福利性单位制造的货物（不包括使用非残疾人福利性单位注册商标的货物）。</w:t>
      </w:r>
    </w:p>
    <w:p>
      <w:pPr>
        <w:pStyle w:val="14"/>
        <w:spacing w:line="360" w:lineRule="auto"/>
        <w:ind w:firstLine="480" w:firstLineChars="200"/>
        <w:jc w:val="left"/>
        <w:rPr>
          <w:rFonts w:hint="eastAsia" w:hAnsi="宋体" w:cs="宋体"/>
          <w:color w:val="auto"/>
          <w:sz w:val="30"/>
          <w:szCs w:val="30"/>
        </w:rPr>
      </w:pPr>
      <w:r>
        <w:rPr>
          <w:rFonts w:hint="eastAsia" w:hAnsi="宋体" w:cs="宋体"/>
          <w:color w:val="auto"/>
          <w:sz w:val="24"/>
          <w:szCs w:val="24"/>
        </w:rPr>
        <w:t>本单位对上述声明的真实性负责。如有虚假，将依法承担相应责任。</w:t>
      </w:r>
    </w:p>
    <w:p>
      <w:pPr>
        <w:pStyle w:val="14"/>
        <w:spacing w:line="360" w:lineRule="auto"/>
        <w:jc w:val="left"/>
        <w:rPr>
          <w:rFonts w:hint="eastAsia" w:hAnsi="宋体" w:cs="宋体"/>
          <w:b/>
          <w:color w:val="auto"/>
          <w:szCs w:val="21"/>
        </w:rPr>
      </w:pPr>
    </w:p>
    <w:p>
      <w:pPr>
        <w:pStyle w:val="14"/>
        <w:spacing w:line="360" w:lineRule="auto"/>
        <w:jc w:val="left"/>
        <w:rPr>
          <w:rFonts w:hint="eastAsia" w:hAnsi="宋体" w:cs="宋体"/>
          <w:b/>
          <w:color w:val="auto"/>
          <w:szCs w:val="21"/>
        </w:rPr>
      </w:pPr>
    </w:p>
    <w:p>
      <w:pPr>
        <w:snapToGrid w:val="0"/>
        <w:spacing w:line="360" w:lineRule="auto"/>
        <w:ind w:left="5137" w:leftChars="1736" w:hanging="1491" w:hangingChars="825"/>
        <w:rPr>
          <w:rFonts w:hint="eastAsia" w:ascii="宋体" w:hAnsi="宋体" w:cs="宋体"/>
          <w:color w:val="auto"/>
          <w:kern w:val="0"/>
          <w:sz w:val="24"/>
        </w:rPr>
      </w:pPr>
      <w:r>
        <w:rPr>
          <w:rFonts w:hint="eastAsia" w:ascii="宋体" w:hAnsi="宋体" w:cs="宋体"/>
          <w:b/>
          <w:color w:val="auto"/>
          <w:sz w:val="18"/>
          <w:szCs w:val="18"/>
        </w:rPr>
        <w:t xml:space="preserve">                                                                    </w:t>
      </w:r>
      <w:r>
        <w:rPr>
          <w:rFonts w:hint="eastAsia" w:ascii="宋体" w:hAnsi="宋体" w:cs="宋体"/>
          <w:color w:val="auto"/>
          <w:kern w:val="0"/>
          <w:sz w:val="24"/>
          <w:lang w:val="zh-CN"/>
        </w:rPr>
        <w:t>投标人名称(盖公章)：</w:t>
      </w:r>
    </w:p>
    <w:p>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pPr>
        <w:pStyle w:val="14"/>
        <w:spacing w:line="360" w:lineRule="auto"/>
        <w:ind w:left="5132" w:leftChars="1979" w:hanging="976" w:hangingChars="488"/>
        <w:rPr>
          <w:rFonts w:hint="eastAsia" w:hAnsi="宋体" w:cs="宋体"/>
          <w:color w:val="auto"/>
          <w:sz w:val="20"/>
        </w:rPr>
      </w:pPr>
    </w:p>
    <w:p>
      <w:pPr>
        <w:spacing w:line="360" w:lineRule="auto"/>
        <w:ind w:right="420" w:firstLine="420" w:firstLineChars="200"/>
        <w:rPr>
          <w:rFonts w:hint="eastAsia" w:ascii="宋体" w:hAnsi="宋体" w:cs="宋体"/>
          <w:color w:val="auto"/>
          <w:szCs w:val="21"/>
        </w:rPr>
      </w:pPr>
      <w:r>
        <w:rPr>
          <w:rFonts w:hint="eastAsia" w:ascii="宋体" w:hAnsi="宋体" w:cs="宋体"/>
          <w:color w:val="auto"/>
          <w:szCs w:val="21"/>
        </w:rPr>
        <w:t>注：请根据自己的真实情况出具《残疾人福利性单位声明函》。依法享受中小企业扶持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23"/>
        <w:shd w:val="clear" w:color="auto" w:fill="FFFFFF"/>
        <w:spacing w:before="30" w:beforeAutospacing="0" w:after="30" w:afterAutospacing="0"/>
        <w:rPr>
          <w:rFonts w:hint="eastAsia"/>
          <w:b/>
          <w:color w:val="auto"/>
          <w:kern w:val="2"/>
          <w:sz w:val="30"/>
          <w:szCs w:val="30"/>
        </w:rPr>
      </w:pPr>
      <w:r>
        <w:rPr>
          <w:rFonts w:hint="eastAsia"/>
          <w:color w:val="auto"/>
          <w:szCs w:val="21"/>
        </w:rPr>
        <w:br w:type="page"/>
      </w:r>
      <w:r>
        <w:rPr>
          <w:rFonts w:hint="eastAsia"/>
          <w:b/>
          <w:color w:val="auto"/>
          <w:sz w:val="28"/>
          <w:szCs w:val="28"/>
        </w:rPr>
        <w:t>3.关于符合本国产品标准的声明函的格式：</w:t>
      </w:r>
    </w:p>
    <w:p>
      <w:pPr>
        <w:widowControl/>
        <w:shd w:val="clear" w:color="auto" w:fill="FFFFFF"/>
        <w:spacing w:before="30" w:after="30"/>
        <w:jc w:val="center"/>
        <w:rPr>
          <w:rFonts w:hint="eastAsia" w:ascii="宋体" w:hAnsi="宋体" w:cs="宋体"/>
          <w:b/>
          <w:color w:val="auto"/>
          <w:sz w:val="30"/>
          <w:szCs w:val="30"/>
        </w:rPr>
      </w:pPr>
    </w:p>
    <w:p>
      <w:pPr>
        <w:widowControl/>
        <w:shd w:val="clear" w:color="auto" w:fill="FFFFFF"/>
        <w:spacing w:before="30" w:after="30"/>
        <w:jc w:val="center"/>
        <w:rPr>
          <w:rFonts w:hint="eastAsia" w:ascii="宋体" w:hAnsi="宋体" w:cs="宋体"/>
          <w:color w:val="auto"/>
          <w:sz w:val="24"/>
        </w:rPr>
      </w:pPr>
      <w:r>
        <w:rPr>
          <w:rFonts w:hint="eastAsia" w:ascii="宋体" w:hAnsi="宋体" w:cs="宋体"/>
          <w:b/>
          <w:color w:val="auto"/>
          <w:sz w:val="30"/>
          <w:szCs w:val="30"/>
        </w:rPr>
        <w:t>关于符合本国产品标准的声明函</w:t>
      </w:r>
    </w:p>
    <w:p>
      <w:pPr>
        <w:widowControl/>
        <w:shd w:val="clear" w:color="auto" w:fill="FFFFFF"/>
        <w:spacing w:before="30" w:after="30"/>
        <w:ind w:firstLine="420"/>
        <w:jc w:val="left"/>
        <w:rPr>
          <w:rFonts w:hint="eastAsia" w:ascii="宋体" w:hAnsi="宋体" w:cs="宋体"/>
          <w:color w:val="auto"/>
          <w:sz w:val="24"/>
        </w:rPr>
      </w:pPr>
    </w:p>
    <w:p>
      <w:pPr>
        <w:widowControl/>
        <w:shd w:val="clear" w:color="auto" w:fill="FFFFFF"/>
        <w:spacing w:before="30" w:after="30" w:line="360" w:lineRule="auto"/>
        <w:ind w:firstLine="420"/>
        <w:jc w:val="left"/>
        <w:rPr>
          <w:rFonts w:hint="eastAsia" w:ascii="宋体" w:hAnsi="宋体" w:cs="宋体"/>
          <w:color w:val="auto"/>
          <w:sz w:val="24"/>
        </w:rPr>
      </w:pP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pPr>
        <w:widowControl/>
        <w:shd w:val="clear" w:color="auto" w:fill="FFFFFF"/>
        <w:spacing w:before="30" w:after="30" w:line="360" w:lineRule="auto"/>
        <w:ind w:firstLine="420"/>
        <w:jc w:val="left"/>
        <w:rPr>
          <w:rFonts w:hint="eastAsia" w:ascii="宋体" w:hAnsi="宋体" w:cs="宋体"/>
          <w:color w:val="auto"/>
          <w:sz w:val="24"/>
        </w:rPr>
      </w:pPr>
      <w:r>
        <w:rPr>
          <w:rFonts w:hint="eastAsia" w:ascii="宋体" w:hAnsi="宋体" w:cs="宋体"/>
          <w:color w:val="auto"/>
          <w:sz w:val="24"/>
        </w:rPr>
        <w:t>1.（产品名称1）1，生产厂为（厂名）2，厂址为（生产厂址）。（产品名称1）的中国境内生产的组件成本占比≥（规定比例）3。（产品名称1）的（关键组件）4在中国境内生产。（产品名称1）的（关键工序）5在中国境内完成。</w:t>
      </w:r>
    </w:p>
    <w:p>
      <w:pPr>
        <w:widowControl/>
        <w:shd w:val="clear" w:color="auto" w:fill="FFFFFF"/>
        <w:spacing w:before="30" w:after="30" w:line="360" w:lineRule="auto"/>
        <w:ind w:firstLine="420"/>
        <w:jc w:val="left"/>
        <w:rPr>
          <w:rFonts w:hint="eastAsia" w:ascii="宋体" w:hAnsi="宋体" w:cs="宋体"/>
          <w:color w:val="auto"/>
          <w:sz w:val="24"/>
        </w:rPr>
      </w:pPr>
      <w:r>
        <w:rPr>
          <w:rFonts w:hint="eastAsia" w:ascii="宋体" w:hAnsi="宋体" w:cs="宋体"/>
          <w:color w:val="auto"/>
          <w:sz w:val="24"/>
        </w:rPr>
        <w:t>2.（产品名称2），生产厂为（厂名），厂址为（生产厂址）。（产品名称2）的中国境内生产的组件成本占比≥（规定比例）。（产品名称2）的（关键组件）在中国境内生产。（产品名称2）的（关键工序）在中国境内完成。</w:t>
      </w:r>
    </w:p>
    <w:p>
      <w:pPr>
        <w:widowControl/>
        <w:shd w:val="clear" w:color="auto" w:fill="FFFFFF"/>
        <w:spacing w:before="30" w:after="30" w:line="360" w:lineRule="auto"/>
        <w:ind w:firstLine="420"/>
        <w:jc w:val="left"/>
        <w:rPr>
          <w:rFonts w:hint="eastAsia" w:ascii="宋体" w:hAnsi="宋体" w:cs="宋体"/>
          <w:color w:val="auto"/>
          <w:sz w:val="24"/>
        </w:rPr>
      </w:pPr>
      <w:r>
        <w:rPr>
          <w:rFonts w:hint="eastAsia" w:ascii="宋体" w:hAnsi="宋体" w:cs="宋体"/>
          <w:color w:val="auto"/>
          <w:sz w:val="24"/>
        </w:rPr>
        <w:t>……</w:t>
      </w:r>
    </w:p>
    <w:p>
      <w:pPr>
        <w:widowControl/>
        <w:shd w:val="clear" w:color="auto" w:fill="FFFFFF"/>
        <w:spacing w:before="30" w:after="30" w:line="360" w:lineRule="auto"/>
        <w:ind w:firstLine="420"/>
        <w:jc w:val="left"/>
        <w:rPr>
          <w:rFonts w:hint="eastAsia" w:ascii="宋体" w:hAnsi="宋体" w:cs="宋体"/>
          <w:color w:val="auto"/>
          <w:sz w:val="24"/>
        </w:rPr>
      </w:pPr>
      <w:bookmarkStart w:id="327" w:name="OLE_LINK6"/>
      <w:r>
        <w:rPr>
          <w:rFonts w:hint="eastAsia" w:ascii="宋体" w:hAnsi="宋体" w:cs="宋体"/>
          <w:color w:val="auto"/>
          <w:sz w:val="24"/>
        </w:rPr>
        <w:t>本公司（单位）对上述声明内容的真实性负责。如有虚假，愿承担相应法律责任。</w:t>
      </w:r>
    </w:p>
    <w:p>
      <w:pPr>
        <w:widowControl/>
        <w:shd w:val="clear" w:color="auto" w:fill="FFFFFF"/>
        <w:spacing w:before="30" w:after="30" w:line="360" w:lineRule="auto"/>
        <w:jc w:val="left"/>
        <w:rPr>
          <w:rFonts w:hint="eastAsia" w:ascii="宋体" w:hAnsi="宋体" w:cs="宋体"/>
          <w:color w:val="auto"/>
          <w:sz w:val="24"/>
        </w:rPr>
      </w:pPr>
    </w:p>
    <w:p>
      <w:pPr>
        <w:widowControl/>
        <w:shd w:val="clear" w:color="auto" w:fill="FFFFFF"/>
        <w:spacing w:before="30" w:after="30" w:line="360" w:lineRule="auto"/>
        <w:jc w:val="right"/>
        <w:rPr>
          <w:rFonts w:hint="eastAsia" w:ascii="宋体" w:hAnsi="宋体" w:cs="宋体"/>
          <w:color w:val="auto"/>
          <w:sz w:val="24"/>
        </w:rPr>
      </w:pPr>
      <w:r>
        <w:rPr>
          <w:rFonts w:hint="eastAsia" w:ascii="宋体" w:hAnsi="宋体" w:cs="宋体"/>
          <w:color w:val="auto"/>
          <w:sz w:val="24"/>
        </w:rPr>
        <w:t>公司（单位）名称（盖章）：　        </w:t>
      </w:r>
    </w:p>
    <w:p>
      <w:pPr>
        <w:widowControl/>
        <w:shd w:val="clear" w:color="auto" w:fill="FFFFFF"/>
        <w:spacing w:before="30" w:after="30" w:line="360" w:lineRule="auto"/>
        <w:jc w:val="right"/>
        <w:rPr>
          <w:rFonts w:hint="eastAsia" w:ascii="宋体" w:hAnsi="宋体" w:cs="宋体"/>
          <w:color w:val="auto"/>
          <w:sz w:val="24"/>
        </w:rPr>
      </w:pPr>
      <w:r>
        <w:rPr>
          <w:rFonts w:hint="eastAsia" w:ascii="宋体" w:hAnsi="宋体" w:cs="宋体"/>
          <w:color w:val="auto"/>
          <w:sz w:val="24"/>
        </w:rPr>
        <w:t>日期：　     年　  月　  日    </w:t>
      </w:r>
      <w:bookmarkEnd w:id="327"/>
      <w:r>
        <w:rPr>
          <w:rFonts w:hint="eastAsia" w:ascii="宋体" w:hAnsi="宋体" w:cs="宋体"/>
          <w:color w:val="auto"/>
          <w:sz w:val="24"/>
        </w:rPr>
        <w:t>     </w:t>
      </w:r>
    </w:p>
    <w:p>
      <w:pPr>
        <w:widowControl/>
        <w:shd w:val="clear" w:color="auto" w:fill="FFFFFF"/>
        <w:spacing w:before="30" w:after="30" w:line="360" w:lineRule="auto"/>
        <w:jc w:val="left"/>
        <w:rPr>
          <w:rFonts w:hint="eastAsia" w:ascii="宋体" w:hAnsi="宋体" w:cs="宋体"/>
          <w:color w:val="auto"/>
          <w:sz w:val="24"/>
        </w:rPr>
      </w:pPr>
      <w:r>
        <w:rPr>
          <w:rFonts w:hint="eastAsia" w:ascii="宋体" w:hAnsi="宋体" w:cs="宋体"/>
          <w:color w:val="auto"/>
          <w:sz w:val="24"/>
        </w:rPr>
        <w:t>__________________</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1.产品如有型号，请在“产品名称”栏一并填写。</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2.生产厂名与厂址应与生产厂营业执照载明的相关信息保持一致。</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3.该产品的中国境内生产的组件成本占比相关要求实施前，“规定比例”栏可不填，下同。</w:t>
      </w:r>
    </w:p>
    <w:p>
      <w:pPr>
        <w:widowControl/>
        <w:shd w:val="clear" w:color="auto" w:fill="FFFFFF"/>
        <w:spacing w:before="30" w:after="30" w:line="360" w:lineRule="auto"/>
        <w:ind w:firstLine="420"/>
        <w:jc w:val="left"/>
        <w:rPr>
          <w:rFonts w:hint="eastAsia" w:ascii="宋体" w:hAnsi="宋体" w:cs="宋体"/>
          <w:color w:val="auto"/>
          <w:szCs w:val="21"/>
        </w:rPr>
      </w:pPr>
      <w:r>
        <w:rPr>
          <w:rFonts w:hint="eastAsia" w:ascii="宋体" w:hAnsi="宋体" w:cs="宋体"/>
          <w:color w:val="auto"/>
          <w:szCs w:val="21"/>
        </w:rPr>
        <w:t>4.该产品的关键组件要求实施前，“关键组件”栏可不填，下同。</w:t>
      </w:r>
    </w:p>
    <w:p>
      <w:pPr>
        <w:spacing w:line="360" w:lineRule="auto"/>
        <w:ind w:right="420" w:firstLine="420" w:firstLineChars="200"/>
        <w:rPr>
          <w:rFonts w:hint="eastAsia" w:ascii="宋体" w:hAnsi="宋体" w:cs="宋体"/>
          <w:color w:val="auto"/>
          <w:szCs w:val="21"/>
        </w:rPr>
      </w:pPr>
      <w:r>
        <w:rPr>
          <w:rFonts w:hint="eastAsia" w:ascii="宋体" w:hAnsi="宋体" w:cs="宋体"/>
          <w:color w:val="auto"/>
          <w:szCs w:val="21"/>
        </w:rPr>
        <w:t>5.该产品的关键工序要求实施前，“关键工序”栏可不填，下同。</w:t>
      </w:r>
    </w:p>
    <w:p>
      <w:pPr>
        <w:widowControl/>
        <w:shd w:val="clear" w:color="auto" w:fill="FFFFFF"/>
        <w:spacing w:before="30" w:after="30"/>
        <w:jc w:val="center"/>
        <w:rPr>
          <w:rFonts w:hint="eastAsia" w:ascii="宋体" w:hAnsi="宋体" w:cs="宋体"/>
          <w:color w:val="auto"/>
          <w:kern w:val="0"/>
          <w:sz w:val="24"/>
          <w:shd w:val="clear" w:color="auto" w:fill="FFFFFF"/>
        </w:rPr>
      </w:pPr>
    </w:p>
    <w:p>
      <w:pPr>
        <w:widowControl/>
        <w:shd w:val="clear" w:color="auto" w:fill="FFFFFF"/>
        <w:spacing w:before="30" w:after="30"/>
        <w:jc w:val="center"/>
        <w:rPr>
          <w:rFonts w:hint="eastAsia" w:ascii="宋体" w:hAnsi="宋体" w:cs="宋体"/>
          <w:b/>
          <w:color w:val="auto"/>
          <w:sz w:val="30"/>
          <w:szCs w:val="30"/>
        </w:rPr>
      </w:pPr>
      <w:r>
        <w:rPr>
          <w:rFonts w:hint="eastAsia" w:ascii="宋体" w:hAnsi="宋体" w:cs="宋体"/>
          <w:color w:val="auto"/>
          <w:kern w:val="0"/>
          <w:sz w:val="24"/>
          <w:shd w:val="clear" w:color="auto" w:fill="FFFFFF"/>
        </w:rPr>
        <w:t>注：中标供应商提供的《声明函》或有关证明文件随中标结果同时公告。</w:t>
      </w:r>
    </w:p>
    <w:p>
      <w:pPr>
        <w:shd w:val="clear" w:color="auto" w:fill="FFFFFF"/>
        <w:spacing w:line="480" w:lineRule="atLeast"/>
        <w:jc w:val="left"/>
        <w:rPr>
          <w:rFonts w:hint="eastAsia" w:ascii="宋体" w:hAnsi="宋体" w:cs="宋体"/>
          <w:color w:val="auto"/>
          <w:szCs w:val="21"/>
        </w:rPr>
      </w:pPr>
    </w:p>
    <w:p>
      <w:pPr>
        <w:shd w:val="clear" w:color="auto" w:fill="FFFFFF"/>
        <w:spacing w:line="480" w:lineRule="atLeast"/>
        <w:jc w:val="left"/>
        <w:rPr>
          <w:color w:val="auto"/>
        </w:rPr>
      </w:pPr>
      <w:r>
        <w:rPr>
          <w:rFonts w:ascii="宋体" w:hAnsi="宋体" w:cs="宋体"/>
          <w:color w:val="auto"/>
          <w:sz w:val="28"/>
          <w:szCs w:val="28"/>
        </w:rPr>
        <w:br w:type="page"/>
      </w:r>
      <w:r>
        <w:rPr>
          <w:rFonts w:hint="eastAsia" w:ascii="宋体" w:hAnsi="宋体" w:cs="宋体"/>
          <w:color w:val="auto"/>
          <w:sz w:val="28"/>
          <w:szCs w:val="28"/>
        </w:rPr>
        <w:t>4.</w:t>
      </w:r>
      <w:r>
        <w:rPr>
          <w:rFonts w:hint="eastAsia" w:ascii="宋体" w:hAnsi="宋体" w:cs="宋体"/>
          <w:color w:val="auto"/>
          <w:kern w:val="0"/>
          <w:sz w:val="28"/>
          <w:szCs w:val="28"/>
        </w:rPr>
        <w:t>广西壮族自治区政府采购项目合同验收书的格式：</w:t>
      </w:r>
    </w:p>
    <w:p>
      <w:pPr>
        <w:shd w:val="clear" w:color="auto" w:fill="FFFFFF"/>
        <w:spacing w:line="480" w:lineRule="atLeast"/>
        <w:jc w:val="center"/>
        <w:rPr>
          <w:rFonts w:hint="eastAsia" w:ascii="宋体" w:hAnsi="宋体" w:cs="宋体"/>
          <w:color w:val="auto"/>
          <w:kern w:val="0"/>
          <w:sz w:val="32"/>
          <w:szCs w:val="32"/>
        </w:rPr>
      </w:pPr>
    </w:p>
    <w:p>
      <w:pPr>
        <w:shd w:val="clear" w:color="auto" w:fill="FFFFFF"/>
        <w:spacing w:line="480" w:lineRule="atLeast"/>
        <w:jc w:val="center"/>
        <w:rPr>
          <w:rFonts w:hint="eastAsia" w:ascii="宋体" w:hAnsi="宋体" w:cs="宋体"/>
          <w:color w:val="auto"/>
          <w:kern w:val="0"/>
          <w:sz w:val="32"/>
          <w:szCs w:val="32"/>
        </w:rPr>
      </w:pPr>
      <w:r>
        <w:rPr>
          <w:rFonts w:hint="eastAsia" w:ascii="宋体" w:hAnsi="宋体" w:cs="宋体"/>
          <w:color w:val="auto"/>
          <w:kern w:val="0"/>
          <w:sz w:val="32"/>
          <w:szCs w:val="32"/>
        </w:rPr>
        <w:t>广西壮族自治区政府采购项目合同验收书</w:t>
      </w:r>
    </w:p>
    <w:p>
      <w:pPr>
        <w:shd w:val="clear" w:color="auto" w:fill="FFFFFF"/>
        <w:spacing w:line="480" w:lineRule="atLeast"/>
        <w:jc w:val="center"/>
        <w:rPr>
          <w:rFonts w:hint="eastAsia" w:ascii="宋体" w:hAnsi="宋体" w:cs="宋体"/>
          <w:color w:val="auto"/>
          <w:kern w:val="0"/>
          <w:sz w:val="32"/>
          <w:szCs w:val="32"/>
        </w:rPr>
      </w:pPr>
    </w:p>
    <w:p>
      <w:pPr>
        <w:shd w:val="clear" w:color="auto" w:fill="FFFFFF"/>
        <w:snapToGrid w:val="0"/>
        <w:spacing w:line="320" w:lineRule="atLeast"/>
        <w:ind w:firstLine="480"/>
        <w:jc w:val="left"/>
        <w:rPr>
          <w:rFonts w:hint="eastAsia" w:ascii="宋体" w:hAnsi="宋体" w:cs="宋体"/>
          <w:color w:val="auto"/>
          <w:kern w:val="0"/>
          <w:szCs w:val="21"/>
        </w:rPr>
      </w:pPr>
      <w:r>
        <w:rPr>
          <w:rFonts w:hint="eastAsia" w:ascii="宋体" w:hAnsi="宋体" w:cs="宋体"/>
          <w:color w:val="auto"/>
          <w:kern w:val="0"/>
          <w:szCs w:val="21"/>
        </w:rPr>
        <w:t>根据政府采购项目（</w:t>
      </w:r>
      <w:r>
        <w:rPr>
          <w:rFonts w:hint="eastAsia" w:ascii="宋体" w:hAnsi="宋体" w:cs="宋体"/>
          <w:color w:val="auto"/>
          <w:kern w:val="0"/>
          <w:szCs w:val="21"/>
          <w:u w:val="single"/>
        </w:rPr>
        <w:t>采购合同编号：</w:t>
      </w:r>
      <w:r>
        <w:rPr>
          <w:rFonts w:hint="eastAsia" w:ascii="宋体" w:hAnsi="宋体" w:cs="宋体"/>
          <w:color w:val="auto"/>
          <w:kern w:val="0"/>
          <w:szCs w:val="21"/>
          <w:u w:val="single"/>
        </w:rPr>
        <w:softHyphen/>
      </w:r>
      <w:r>
        <w:rPr>
          <w:rFonts w:hint="eastAsia" w:ascii="宋体" w:hAnsi="宋体" w:cs="宋体"/>
          <w:color w:val="auto"/>
          <w:kern w:val="0"/>
          <w:szCs w:val="21"/>
          <w:u w:val="single"/>
        </w:rPr>
        <w:t xml:space="preserve"> </w:t>
      </w:r>
      <w:r>
        <w:rPr>
          <w:rFonts w:hint="eastAsia" w:ascii="宋体" w:hAnsi="宋体" w:cs="宋体"/>
          <w:color w:val="auto"/>
          <w:kern w:val="0"/>
          <w:szCs w:val="21"/>
        </w:rPr>
        <w:t>）的约定，我单位对（</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 政府采购项目中标（或者成交）投标人（</w:t>
      </w:r>
      <w:r>
        <w:rPr>
          <w:rFonts w:hint="eastAsia" w:ascii="宋体" w:hAnsi="宋体" w:cs="宋体"/>
          <w:color w:val="auto"/>
          <w:kern w:val="0"/>
          <w:szCs w:val="21"/>
          <w:u w:val="single"/>
        </w:rPr>
        <w:t xml:space="preserve"> 公司名称 </w:t>
      </w:r>
      <w:r>
        <w:rPr>
          <w:rFonts w:hint="eastAsia" w:ascii="宋体" w:hAnsi="宋体" w:cs="宋体"/>
          <w:color w:val="auto"/>
          <w:kern w:val="0"/>
          <w:szCs w:val="21"/>
        </w:rPr>
        <w:t>） 提供的货物（或者工程、服务）进行了验收，验收情况如下：</w:t>
      </w:r>
    </w:p>
    <w:tbl>
      <w:tblPr>
        <w:tblStyle w:val="26"/>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pPr>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pPr>
              <w:snapToGrid w:val="0"/>
              <w:spacing w:before="100" w:beforeAutospacing="1" w:after="100" w:afterAutospacing="1" w:line="320" w:lineRule="atLeast"/>
              <w:ind w:firstLine="480"/>
              <w:jc w:val="center"/>
              <w:rPr>
                <w:rFonts w:hint="eastAsia" w:ascii="宋体" w:hAnsi="宋体" w:cs="宋体"/>
                <w:color w:val="auto"/>
                <w:kern w:val="0"/>
                <w:szCs w:val="21"/>
              </w:rPr>
            </w:pPr>
            <w:r>
              <w:rPr>
                <w:rFonts w:hint="eastAsia" w:ascii="宋体" w:hAnsi="宋体" w:cs="宋体"/>
                <w:color w:val="auto"/>
                <w:kern w:val="0"/>
                <w:szCs w:val="21"/>
              </w:rPr>
              <w:t>□自行验收 □委托验收</w:t>
            </w:r>
          </w:p>
        </w:tc>
      </w:tr>
      <w:tr>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序号</w:t>
            </w:r>
          </w:p>
        </w:tc>
        <w:tc>
          <w:tcPr>
            <w:tcW w:w="1921" w:type="dxa"/>
            <w:tcBorders>
              <w:top w:val="nil"/>
              <w:left w:val="nil"/>
              <w:bottom w:val="single" w:color="auto" w:sz="8" w:space="0"/>
              <w:right w:val="single" w:color="auto" w:sz="8" w:space="0"/>
            </w:tcBorders>
            <w:vAlign w:val="center"/>
          </w:tcPr>
          <w:p>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名 称</w:t>
            </w:r>
          </w:p>
        </w:tc>
        <w:tc>
          <w:tcPr>
            <w:tcW w:w="2902" w:type="dxa"/>
            <w:gridSpan w:val="3"/>
            <w:tcBorders>
              <w:top w:val="nil"/>
              <w:left w:val="nil"/>
              <w:bottom w:val="single" w:color="auto" w:sz="8" w:space="0"/>
              <w:right w:val="single" w:color="auto" w:sz="8" w:space="0"/>
            </w:tcBorders>
            <w:vAlign w:val="center"/>
          </w:tcPr>
          <w:p>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pPr>
              <w:snapToGrid w:val="0"/>
              <w:spacing w:before="100" w:beforeAutospacing="1" w:after="100" w:afterAutospacing="1" w:line="320" w:lineRule="atLeast"/>
              <w:jc w:val="center"/>
              <w:rPr>
                <w:rFonts w:hint="eastAsia" w:ascii="宋体" w:hAnsi="宋体" w:cs="宋体"/>
                <w:color w:val="auto"/>
                <w:kern w:val="0"/>
                <w:szCs w:val="21"/>
              </w:rPr>
            </w:pPr>
            <w:r>
              <w:rPr>
                <w:rFonts w:hint="eastAsia" w:ascii="宋体" w:hAnsi="宋体" w:cs="宋体"/>
                <w:color w:val="auto"/>
                <w:kern w:val="0"/>
                <w:szCs w:val="21"/>
              </w:rPr>
              <w:t>数量</w:t>
            </w:r>
          </w:p>
        </w:tc>
        <w:tc>
          <w:tcPr>
            <w:tcW w:w="2354" w:type="dxa"/>
            <w:tcBorders>
              <w:top w:val="nil"/>
              <w:left w:val="nil"/>
              <w:bottom w:val="single" w:color="auto" w:sz="8" w:space="0"/>
              <w:right w:val="single" w:color="auto" w:sz="8" w:space="0"/>
            </w:tcBorders>
            <w:vAlign w:val="center"/>
          </w:tcPr>
          <w:p>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金 额</w:t>
            </w: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1921"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902" w:type="dxa"/>
            <w:gridSpan w:val="3"/>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863"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pPr>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合 计</w:t>
            </w:r>
          </w:p>
        </w:tc>
        <w:tc>
          <w:tcPr>
            <w:tcW w:w="863"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354" w:type="dxa"/>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pPr>
              <w:snapToGrid w:val="0"/>
              <w:spacing w:before="100" w:beforeAutospacing="1" w:after="100" w:afterAutospacing="1" w:line="320" w:lineRule="atLeast"/>
              <w:ind w:firstLine="2"/>
              <w:jc w:val="left"/>
              <w:rPr>
                <w:rFonts w:hint="eastAsia" w:ascii="宋体" w:hAnsi="宋体" w:cs="宋体"/>
                <w:color w:val="auto"/>
                <w:kern w:val="0"/>
                <w:szCs w:val="21"/>
              </w:rPr>
            </w:pPr>
            <w:r>
              <w:rPr>
                <w:rFonts w:hint="eastAsia" w:ascii="宋体" w:hAnsi="宋体" w:cs="宋体"/>
                <w:color w:val="auto"/>
                <w:kern w:val="0"/>
                <w:szCs w:val="21"/>
              </w:rPr>
              <w:t>合计大写金额： 亿 仟 佰 拾 万 仟 佰 拾 元</w:t>
            </w:r>
          </w:p>
        </w:tc>
      </w:tr>
      <w:tr>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pPr>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实际供货日期</w:t>
            </w:r>
          </w:p>
        </w:tc>
        <w:tc>
          <w:tcPr>
            <w:tcW w:w="2719"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282" w:type="dxa"/>
            <w:gridSpan w:val="3"/>
            <w:tcBorders>
              <w:top w:val="nil"/>
              <w:left w:val="nil"/>
              <w:bottom w:val="single" w:color="auto" w:sz="8" w:space="0"/>
              <w:right w:val="single" w:color="auto" w:sz="8" w:space="0"/>
            </w:tcBorders>
            <w:vAlign w:val="center"/>
          </w:tcPr>
          <w:p>
            <w:pPr>
              <w:snapToGrid w:val="0"/>
              <w:spacing w:before="100" w:beforeAutospacing="1" w:after="100" w:afterAutospacing="1" w:line="320" w:lineRule="atLeast"/>
              <w:ind w:firstLine="46"/>
              <w:jc w:val="center"/>
              <w:rPr>
                <w:rFonts w:hint="eastAsia" w:ascii="宋体" w:hAnsi="宋体" w:cs="宋体"/>
                <w:color w:val="auto"/>
                <w:kern w:val="0"/>
                <w:szCs w:val="21"/>
              </w:rPr>
            </w:pPr>
            <w:r>
              <w:rPr>
                <w:rFonts w:hint="eastAsia" w:ascii="宋体" w:hAnsi="宋体" w:cs="宋体"/>
                <w:color w:val="auto"/>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719"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2282" w:type="dxa"/>
            <w:gridSpan w:val="3"/>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c>
          <w:tcPr>
            <w:tcW w:w="3039" w:type="dxa"/>
            <w:gridSpan w:val="2"/>
            <w:tcBorders>
              <w:top w:val="nil"/>
              <w:left w:val="nil"/>
              <w:bottom w:val="single" w:color="auto" w:sz="8" w:space="0"/>
              <w:right w:val="single" w:color="auto" w:sz="8" w:space="0"/>
            </w:tcBorders>
            <w:vAlign w:val="center"/>
          </w:tcPr>
          <w:p>
            <w:pPr>
              <w:spacing w:before="100" w:beforeAutospacing="1" w:after="100" w:afterAutospacing="1" w:line="240" w:lineRule="atLeast"/>
              <w:jc w:val="center"/>
              <w:rPr>
                <w:rFonts w:hint="eastAsia" w:ascii="宋体" w:hAnsi="宋体" w:cs="宋体"/>
                <w:color w:val="auto"/>
                <w:kern w:val="0"/>
                <w:szCs w:val="21"/>
              </w:rPr>
            </w:pPr>
          </w:p>
        </w:tc>
      </w:tr>
      <w:tr>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验收小组意见</w:t>
            </w:r>
          </w:p>
        </w:tc>
        <w:tc>
          <w:tcPr>
            <w:tcW w:w="8040" w:type="dxa"/>
            <w:gridSpan w:val="7"/>
            <w:tcBorders>
              <w:top w:val="nil"/>
              <w:left w:val="nil"/>
              <w:bottom w:val="single" w:color="auto" w:sz="8" w:space="0"/>
              <w:right w:val="single" w:color="auto" w:sz="8" w:space="0"/>
            </w:tcBorders>
            <w:vAlign w:val="center"/>
          </w:tcPr>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验收结论性意见：</w:t>
            </w:r>
          </w:p>
        </w:tc>
      </w:tr>
      <w:tr>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pPr>
              <w:jc w:val="left"/>
              <w:rPr>
                <w:rFonts w:hint="eastAsia" w:ascii="宋体" w:hAnsi="宋体" w:cs="宋体"/>
                <w:color w:val="auto"/>
                <w:kern w:val="0"/>
                <w:szCs w:val="21"/>
              </w:rPr>
            </w:pPr>
          </w:p>
        </w:tc>
        <w:tc>
          <w:tcPr>
            <w:tcW w:w="8040" w:type="dxa"/>
            <w:gridSpan w:val="7"/>
            <w:tcBorders>
              <w:top w:val="nil"/>
              <w:left w:val="nil"/>
              <w:bottom w:val="single" w:color="auto" w:sz="8" w:space="0"/>
              <w:right w:val="single" w:color="auto" w:sz="8" w:space="0"/>
            </w:tcBorders>
            <w:vAlign w:val="center"/>
          </w:tcPr>
          <w:p>
            <w:pPr>
              <w:spacing w:before="100" w:beforeAutospacing="1" w:after="100" w:afterAutospacing="1" w:line="320" w:lineRule="atLeast"/>
              <w:ind w:firstLine="96"/>
              <w:jc w:val="left"/>
              <w:rPr>
                <w:rFonts w:hint="eastAsia" w:ascii="宋体" w:hAnsi="宋体" w:cs="宋体"/>
                <w:color w:val="auto"/>
                <w:kern w:val="0"/>
                <w:szCs w:val="21"/>
              </w:rPr>
            </w:pPr>
            <w:r>
              <w:rPr>
                <w:rFonts w:hint="eastAsia" w:ascii="宋体" w:hAnsi="宋体" w:cs="宋体"/>
                <w:color w:val="auto"/>
                <w:kern w:val="0"/>
                <w:szCs w:val="21"/>
              </w:rPr>
              <w:t>有异议的意见和说明理由：</w:t>
            </w:r>
          </w:p>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签字：</w:t>
            </w:r>
          </w:p>
        </w:tc>
      </w:tr>
      <w:tr>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验收小组成员签字：</w:t>
            </w:r>
          </w:p>
        </w:tc>
      </w:tr>
      <w:tr>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监督人员或者其他相关人员签字：</w:t>
            </w:r>
          </w:p>
          <w:p>
            <w:pPr>
              <w:spacing w:before="100" w:beforeAutospacing="1" w:after="100" w:afterAutospacing="1" w:line="320" w:lineRule="atLeast"/>
              <w:ind w:firstLine="74"/>
              <w:jc w:val="left"/>
              <w:rPr>
                <w:rFonts w:hint="eastAsia" w:ascii="宋体" w:hAnsi="宋体" w:cs="宋体"/>
                <w:color w:val="auto"/>
                <w:kern w:val="0"/>
                <w:szCs w:val="21"/>
              </w:rPr>
            </w:pPr>
            <w:r>
              <w:rPr>
                <w:rFonts w:hint="eastAsia" w:ascii="宋体" w:hAnsi="宋体" w:cs="宋体"/>
                <w:color w:val="auto"/>
                <w:kern w:val="0"/>
                <w:szCs w:val="21"/>
              </w:rPr>
              <w:t>或者受邀机构的意见（盖章）：</w:t>
            </w:r>
          </w:p>
        </w:tc>
      </w:tr>
      <w:tr>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pPr>
              <w:spacing w:before="100" w:beforeAutospacing="1" w:after="100" w:afterAutospacing="1" w:line="320" w:lineRule="atLeast"/>
              <w:ind w:firstLine="74"/>
              <w:jc w:val="left"/>
              <w:rPr>
                <w:rFonts w:hint="eastAsia" w:ascii="宋体" w:hAnsi="宋体" w:cs="宋体"/>
                <w:color w:val="auto"/>
                <w:kern w:val="0"/>
                <w:szCs w:val="21"/>
              </w:rPr>
            </w:pPr>
            <w:r>
              <w:rPr>
                <w:rFonts w:hint="eastAsia" w:ascii="宋体" w:hAnsi="宋体" w:cs="宋体"/>
                <w:color w:val="auto"/>
                <w:kern w:val="0"/>
                <w:szCs w:val="21"/>
              </w:rPr>
              <w:t>中标或者成交人负责人签字或者盖章：</w:t>
            </w:r>
          </w:p>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 xml:space="preserve">联系电话： </w:t>
            </w:r>
          </w:p>
          <w:p>
            <w:pPr>
              <w:spacing w:before="100" w:beforeAutospacing="1" w:after="100" w:afterAutospacing="1" w:line="320" w:lineRule="atLeast"/>
              <w:ind w:firstLine="2940" w:firstLineChars="1400"/>
              <w:jc w:val="left"/>
              <w:rPr>
                <w:rFonts w:hint="eastAsia" w:ascii="宋体" w:hAnsi="宋体" w:cs="宋体"/>
                <w:color w:val="auto"/>
                <w:kern w:val="0"/>
                <w:szCs w:val="21"/>
              </w:rPr>
            </w:pPr>
            <w:r>
              <w:rPr>
                <w:rFonts w:hint="eastAsia" w:ascii="宋体" w:hAnsi="宋体" w:cs="宋体"/>
                <w:color w:val="auto"/>
                <w:kern w:val="0"/>
                <w:szCs w:val="21"/>
              </w:rPr>
              <w:t>年 月 日</w:t>
            </w:r>
          </w:p>
        </w:tc>
        <w:tc>
          <w:tcPr>
            <w:tcW w:w="5219" w:type="dxa"/>
            <w:gridSpan w:val="4"/>
            <w:tcBorders>
              <w:top w:val="nil"/>
              <w:left w:val="single" w:color="auto" w:sz="4" w:space="0"/>
              <w:bottom w:val="single" w:color="auto" w:sz="8" w:space="0"/>
              <w:right w:val="single" w:color="auto" w:sz="8" w:space="0"/>
            </w:tcBorders>
            <w:vAlign w:val="center"/>
          </w:tcPr>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采购人或者受托机构的意见（盖章）：</w:t>
            </w:r>
          </w:p>
          <w:p>
            <w:pPr>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 xml:space="preserve">联系电话： </w:t>
            </w:r>
          </w:p>
          <w:p>
            <w:pPr>
              <w:spacing w:before="100" w:beforeAutospacing="1" w:after="100" w:afterAutospacing="1" w:line="320" w:lineRule="atLeast"/>
              <w:ind w:firstLine="3780" w:firstLineChars="1800"/>
              <w:jc w:val="left"/>
              <w:rPr>
                <w:rFonts w:hint="eastAsia" w:ascii="宋体" w:hAnsi="宋体" w:cs="宋体"/>
                <w:color w:val="auto"/>
                <w:kern w:val="0"/>
                <w:szCs w:val="21"/>
              </w:rPr>
            </w:pPr>
            <w:r>
              <w:rPr>
                <w:rFonts w:hint="eastAsia" w:ascii="宋体" w:hAnsi="宋体" w:cs="宋体"/>
                <w:color w:val="auto"/>
                <w:kern w:val="0"/>
                <w:szCs w:val="21"/>
              </w:rPr>
              <w:t>年 月 日</w:t>
            </w:r>
          </w:p>
        </w:tc>
      </w:tr>
    </w:tbl>
    <w:p>
      <w:pPr>
        <w:jc w:val="left"/>
        <w:rPr>
          <w:rFonts w:hint="eastAsia" w:ascii="宋体" w:hAnsi="宋体" w:cs="宋体"/>
          <w:color w:val="auto"/>
        </w:rPr>
      </w:pPr>
      <w:r>
        <w:rPr>
          <w:rFonts w:hint="eastAsia" w:ascii="宋体" w:hAnsi="宋体" w:cs="宋体"/>
          <w:color w:val="auto"/>
        </w:rPr>
        <w:br w:type="page"/>
      </w:r>
      <w:r>
        <w:rPr>
          <w:rFonts w:hint="eastAsia" w:ascii="宋体" w:hAnsi="宋体" w:cs="宋体"/>
          <w:color w:val="auto"/>
          <w:sz w:val="28"/>
          <w:szCs w:val="28"/>
        </w:rPr>
        <w:t>5.政府采购项目履约保证金退付意见书的格式：</w:t>
      </w:r>
    </w:p>
    <w:p>
      <w:pPr>
        <w:jc w:val="center"/>
        <w:rPr>
          <w:rFonts w:hint="eastAsia" w:ascii="宋体" w:hAnsi="宋体" w:cs="宋体"/>
          <w:color w:val="auto"/>
          <w:sz w:val="32"/>
          <w:szCs w:val="32"/>
        </w:rPr>
      </w:pPr>
    </w:p>
    <w:p>
      <w:pPr>
        <w:jc w:val="center"/>
        <w:rPr>
          <w:rFonts w:hint="eastAsia" w:ascii="宋体" w:hAnsi="宋体" w:cs="宋体"/>
          <w:color w:val="auto"/>
          <w:sz w:val="32"/>
          <w:szCs w:val="32"/>
        </w:rPr>
      </w:pPr>
      <w:r>
        <w:rPr>
          <w:rFonts w:hint="eastAsia" w:ascii="宋体" w:hAnsi="宋体" w:cs="宋体"/>
          <w:color w:val="auto"/>
          <w:sz w:val="32"/>
          <w:szCs w:val="32"/>
        </w:rPr>
        <w:t>政府采购项目履约保证金退付意见书（参考）</w:t>
      </w:r>
    </w:p>
    <w:p>
      <w:pPr>
        <w:jc w:val="center"/>
        <w:rPr>
          <w:rFonts w:hint="eastAsia" w:ascii="宋体" w:hAnsi="宋体" w:cs="宋体"/>
          <w:color w:val="auto"/>
          <w:sz w:val="36"/>
          <w:szCs w:val="36"/>
        </w:rPr>
      </w:pPr>
    </w:p>
    <w:tbl>
      <w:tblPr>
        <w:tblStyle w:val="26"/>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pPr>
              <w:jc w:val="center"/>
              <w:rPr>
                <w:rFonts w:hint="eastAsia" w:ascii="宋体" w:hAnsi="宋体" w:cs="宋体"/>
                <w:color w:val="auto"/>
                <w:sz w:val="24"/>
              </w:rPr>
            </w:pPr>
            <w:r>
              <w:rPr>
                <w:rFonts w:hint="eastAsia" w:ascii="宋体" w:hAnsi="宋体" w:cs="宋体"/>
                <w:color w:val="auto"/>
                <w:sz w:val="24"/>
              </w:rPr>
              <w:t>供</w:t>
            </w:r>
          </w:p>
          <w:p>
            <w:pPr>
              <w:jc w:val="center"/>
              <w:rPr>
                <w:rFonts w:hint="eastAsia" w:ascii="宋体" w:hAnsi="宋体" w:cs="宋体"/>
                <w:color w:val="auto"/>
                <w:sz w:val="24"/>
              </w:rPr>
            </w:pPr>
            <w:r>
              <w:rPr>
                <w:rFonts w:hint="eastAsia" w:ascii="宋体" w:hAnsi="宋体" w:cs="宋体"/>
                <w:color w:val="auto"/>
                <w:sz w:val="24"/>
              </w:rPr>
              <w:t>应</w:t>
            </w:r>
          </w:p>
          <w:p>
            <w:pPr>
              <w:jc w:val="center"/>
              <w:rPr>
                <w:rFonts w:hint="eastAsia" w:ascii="宋体" w:hAnsi="宋体" w:cs="宋体"/>
                <w:color w:val="auto"/>
                <w:sz w:val="24"/>
              </w:rPr>
            </w:pPr>
            <w:r>
              <w:rPr>
                <w:rFonts w:hint="eastAsia" w:ascii="宋体" w:hAnsi="宋体" w:cs="宋体"/>
                <w:color w:val="auto"/>
                <w:sz w:val="24"/>
              </w:rPr>
              <w:t>商</w:t>
            </w:r>
          </w:p>
          <w:p>
            <w:pPr>
              <w:jc w:val="center"/>
              <w:rPr>
                <w:rFonts w:hint="eastAsia" w:ascii="宋体" w:hAnsi="宋体" w:cs="宋体"/>
                <w:color w:val="auto"/>
                <w:sz w:val="24"/>
              </w:rPr>
            </w:pPr>
            <w:r>
              <w:rPr>
                <w:rFonts w:hint="eastAsia" w:ascii="宋体" w:hAnsi="宋体" w:cs="宋体"/>
                <w:color w:val="auto"/>
                <w:sz w:val="24"/>
              </w:rPr>
              <w:t>申</w:t>
            </w:r>
          </w:p>
          <w:p>
            <w:pPr>
              <w:jc w:val="center"/>
              <w:rPr>
                <w:rFonts w:hint="eastAsia" w:ascii="宋体" w:hAnsi="宋体" w:cs="宋体"/>
                <w:color w:val="auto"/>
                <w:sz w:val="24"/>
              </w:rPr>
            </w:pPr>
            <w:r>
              <w:rPr>
                <w:rFonts w:hint="eastAsia" w:ascii="宋体" w:hAnsi="宋体" w:cs="宋体"/>
                <w:color w:val="auto"/>
                <w:sz w:val="24"/>
              </w:rPr>
              <w:t>请</w:t>
            </w:r>
          </w:p>
        </w:tc>
        <w:tc>
          <w:tcPr>
            <w:tcW w:w="8456" w:type="dxa"/>
            <w:vAlign w:val="center"/>
          </w:tcPr>
          <w:p>
            <w:pPr>
              <w:rPr>
                <w:rFonts w:hint="eastAsia" w:ascii="宋体" w:hAnsi="宋体" w:cs="宋体"/>
                <w:color w:val="auto"/>
                <w:sz w:val="24"/>
              </w:rPr>
            </w:pPr>
            <w:r>
              <w:rPr>
                <w:rFonts w:hint="eastAsia" w:ascii="宋体" w:hAnsi="宋体" w:cs="宋体"/>
                <w:color w:val="auto"/>
                <w:sz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pPr>
              <w:rPr>
                <w:rFonts w:hint="eastAsia" w:ascii="宋体" w:hAnsi="宋体" w:cs="宋体"/>
                <w:color w:val="auto"/>
                <w:sz w:val="24"/>
              </w:rPr>
            </w:pPr>
          </w:p>
        </w:tc>
        <w:tc>
          <w:tcPr>
            <w:tcW w:w="8456" w:type="dxa"/>
            <w:vAlign w:val="center"/>
          </w:tcPr>
          <w:p>
            <w:pPr>
              <w:rPr>
                <w:rFonts w:hint="eastAsia" w:ascii="宋体" w:hAnsi="宋体" w:cs="宋体"/>
                <w:color w:val="auto"/>
                <w:sz w:val="24"/>
              </w:rPr>
            </w:pPr>
            <w:r>
              <w:rPr>
                <w:rFonts w:hint="eastAsia" w:ascii="宋体" w:hAnsi="宋体" w:cs="宋体"/>
                <w:color w:val="auto"/>
                <w:sz w:val="24"/>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pPr>
              <w:rPr>
                <w:rFonts w:hint="eastAsia" w:ascii="宋体" w:hAnsi="宋体" w:cs="宋体"/>
                <w:color w:val="auto"/>
                <w:sz w:val="24"/>
              </w:rPr>
            </w:pPr>
          </w:p>
        </w:tc>
        <w:tc>
          <w:tcPr>
            <w:tcW w:w="8456" w:type="dxa"/>
          </w:tcPr>
          <w:p>
            <w:pPr>
              <w:rPr>
                <w:rFonts w:hint="eastAsia" w:ascii="宋体" w:hAnsi="宋体" w:cs="宋体"/>
                <w:color w:val="auto"/>
                <w:sz w:val="24"/>
              </w:rPr>
            </w:pPr>
            <w:r>
              <w:rPr>
                <w:rFonts w:hint="eastAsia" w:ascii="宋体" w:hAnsi="宋体" w:cs="宋体"/>
                <w:color w:val="auto"/>
                <w:sz w:val="24"/>
              </w:rPr>
              <w:t xml:space="preserve">  </w:t>
            </w:r>
          </w:p>
          <w:p>
            <w:pPr>
              <w:spacing w:line="400" w:lineRule="exact"/>
              <w:ind w:firstLine="480" w:firstLineChars="200"/>
              <w:rPr>
                <w:rFonts w:hint="eastAsia" w:ascii="宋体" w:hAnsi="宋体" w:cs="宋体"/>
                <w:color w:val="auto"/>
                <w:sz w:val="24"/>
              </w:rPr>
            </w:pPr>
            <w:r>
              <w:rPr>
                <w:rFonts w:hint="eastAsia" w:ascii="宋体" w:hAnsi="宋体" w:cs="宋体"/>
                <w:color w:val="auto"/>
                <w:sz w:val="24"/>
              </w:rPr>
              <w:t>该项目已于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日验收并交付使用。根据合同规定，该项目的履约保证金期限于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日已满，请将履约保证金（大写）人民币                              （小写）¥</w:t>
            </w:r>
            <w:r>
              <w:rPr>
                <w:rFonts w:hint="eastAsia" w:ascii="宋体" w:hAnsi="宋体" w:cs="宋体"/>
                <w:color w:val="auto"/>
                <w:sz w:val="24"/>
                <w:u w:val="single"/>
              </w:rPr>
              <w:t xml:space="preserve">           </w:t>
            </w:r>
            <w:r>
              <w:rPr>
                <w:rFonts w:hint="eastAsia" w:ascii="宋体" w:hAnsi="宋体" w:cs="宋体"/>
                <w:color w:val="auto"/>
                <w:sz w:val="24"/>
              </w:rPr>
              <w:t>退付到达以下账户。</w:t>
            </w:r>
          </w:p>
          <w:p>
            <w:pPr>
              <w:spacing w:line="400" w:lineRule="exact"/>
              <w:rPr>
                <w:rFonts w:hint="eastAsia" w:ascii="宋体" w:hAnsi="宋体" w:cs="宋体"/>
                <w:color w:val="auto"/>
                <w:sz w:val="24"/>
              </w:rPr>
            </w:pPr>
          </w:p>
          <w:p>
            <w:pPr>
              <w:spacing w:line="400" w:lineRule="exact"/>
              <w:ind w:firstLine="480" w:firstLineChars="200"/>
              <w:rPr>
                <w:rFonts w:hint="eastAsia" w:ascii="宋体" w:hAnsi="宋体" w:cs="宋体"/>
                <w:color w:val="auto"/>
                <w:sz w:val="24"/>
              </w:rPr>
            </w:pPr>
            <w:r>
              <w:rPr>
                <w:rFonts w:hint="eastAsia" w:ascii="宋体" w:hAnsi="宋体" w:cs="宋体"/>
                <w:color w:val="auto"/>
                <w:sz w:val="24"/>
              </w:rPr>
              <w:t>单位名称：</w:t>
            </w:r>
          </w:p>
          <w:p>
            <w:pPr>
              <w:spacing w:line="400" w:lineRule="exact"/>
              <w:ind w:firstLine="480" w:firstLineChars="200"/>
              <w:rPr>
                <w:rFonts w:hint="eastAsia" w:ascii="宋体" w:hAnsi="宋体" w:cs="宋体"/>
                <w:color w:val="auto"/>
                <w:sz w:val="24"/>
              </w:rPr>
            </w:pPr>
            <w:r>
              <w:rPr>
                <w:rFonts w:hint="eastAsia" w:ascii="宋体" w:hAnsi="宋体" w:cs="宋体"/>
                <w:color w:val="auto"/>
                <w:sz w:val="24"/>
              </w:rPr>
              <w:t>开户银行：</w:t>
            </w:r>
          </w:p>
          <w:p>
            <w:pPr>
              <w:spacing w:line="400" w:lineRule="exact"/>
              <w:ind w:firstLine="480" w:firstLineChars="200"/>
              <w:rPr>
                <w:rFonts w:hint="eastAsia" w:ascii="宋体" w:hAnsi="宋体" w:cs="宋体"/>
                <w:color w:val="auto"/>
                <w:sz w:val="24"/>
              </w:rPr>
            </w:pPr>
            <w:r>
              <w:rPr>
                <w:rFonts w:hint="eastAsia" w:ascii="宋体" w:hAnsi="宋体" w:cs="宋体"/>
                <w:color w:val="auto"/>
                <w:sz w:val="24"/>
              </w:rPr>
              <w:t>账   号：</w:t>
            </w:r>
          </w:p>
          <w:p>
            <w:pPr>
              <w:spacing w:line="400" w:lineRule="exact"/>
              <w:ind w:firstLine="480" w:firstLineChars="200"/>
              <w:rPr>
                <w:rFonts w:hint="eastAsia" w:ascii="宋体" w:hAnsi="宋体" w:cs="宋体"/>
                <w:color w:val="auto"/>
                <w:sz w:val="24"/>
              </w:rPr>
            </w:pPr>
            <w:r>
              <w:rPr>
                <w:rFonts w:hint="eastAsia" w:ascii="宋体" w:hAnsi="宋体" w:cs="宋体"/>
                <w:color w:val="auto"/>
                <w:sz w:val="24"/>
              </w:rPr>
              <w:t>联系人及电话：</w:t>
            </w:r>
          </w:p>
          <w:p>
            <w:pPr>
              <w:spacing w:line="400" w:lineRule="exact"/>
              <w:rPr>
                <w:rFonts w:hint="eastAsia" w:ascii="宋体" w:hAnsi="宋体" w:cs="宋体"/>
                <w:color w:val="auto"/>
                <w:sz w:val="24"/>
              </w:rPr>
            </w:pPr>
          </w:p>
          <w:p>
            <w:pPr>
              <w:spacing w:line="520" w:lineRule="exact"/>
              <w:jc w:val="center"/>
              <w:rPr>
                <w:rFonts w:hint="eastAsia" w:ascii="宋体" w:hAnsi="宋体" w:cs="宋体"/>
                <w:color w:val="auto"/>
                <w:sz w:val="24"/>
              </w:rPr>
            </w:pPr>
            <w:r>
              <w:rPr>
                <w:rFonts w:hint="eastAsia" w:ascii="宋体" w:hAnsi="宋体" w:cs="宋体"/>
                <w:color w:val="auto"/>
                <w:sz w:val="24"/>
              </w:rPr>
              <w:t xml:space="preserve">         投标人签章：</w:t>
            </w:r>
          </w:p>
          <w:p>
            <w:pPr>
              <w:spacing w:line="520" w:lineRule="exact"/>
              <w:jc w:val="center"/>
              <w:rPr>
                <w:rFonts w:hint="eastAsia" w:ascii="宋体" w:hAnsi="宋体" w:cs="宋体"/>
                <w:color w:val="auto"/>
                <w:sz w:val="24"/>
              </w:rPr>
            </w:pPr>
            <w:r>
              <w:rPr>
                <w:rFonts w:hint="eastAsia" w:ascii="宋体" w:hAnsi="宋体" w:cs="宋体"/>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pPr>
              <w:jc w:val="center"/>
              <w:rPr>
                <w:rFonts w:hint="eastAsia" w:ascii="宋体" w:hAnsi="宋体" w:cs="宋体"/>
                <w:color w:val="auto"/>
                <w:sz w:val="24"/>
              </w:rPr>
            </w:pPr>
            <w:r>
              <w:rPr>
                <w:rFonts w:hint="eastAsia" w:ascii="宋体" w:hAnsi="宋体" w:cs="宋体"/>
                <w:color w:val="auto"/>
                <w:sz w:val="24"/>
              </w:rPr>
              <w:t>采</w:t>
            </w:r>
          </w:p>
          <w:p>
            <w:pPr>
              <w:jc w:val="center"/>
              <w:rPr>
                <w:rFonts w:hint="eastAsia" w:ascii="宋体" w:hAnsi="宋体" w:cs="宋体"/>
                <w:color w:val="auto"/>
                <w:sz w:val="24"/>
              </w:rPr>
            </w:pPr>
            <w:r>
              <w:rPr>
                <w:rFonts w:hint="eastAsia" w:ascii="宋体" w:hAnsi="宋体" w:cs="宋体"/>
                <w:color w:val="auto"/>
                <w:sz w:val="24"/>
              </w:rPr>
              <w:t>购</w:t>
            </w:r>
          </w:p>
          <w:p>
            <w:pPr>
              <w:jc w:val="center"/>
              <w:rPr>
                <w:rFonts w:hint="eastAsia" w:ascii="宋体" w:hAnsi="宋体" w:cs="宋体"/>
                <w:color w:val="auto"/>
                <w:sz w:val="24"/>
              </w:rPr>
            </w:pPr>
            <w:r>
              <w:rPr>
                <w:rFonts w:hint="eastAsia" w:ascii="宋体" w:hAnsi="宋体" w:cs="宋体"/>
                <w:color w:val="auto"/>
                <w:sz w:val="24"/>
              </w:rPr>
              <w:t>人</w:t>
            </w:r>
          </w:p>
          <w:p>
            <w:pPr>
              <w:jc w:val="center"/>
              <w:rPr>
                <w:rFonts w:hint="eastAsia" w:ascii="宋体" w:hAnsi="宋体" w:cs="宋体"/>
                <w:color w:val="auto"/>
                <w:sz w:val="24"/>
              </w:rPr>
            </w:pPr>
            <w:r>
              <w:rPr>
                <w:rFonts w:hint="eastAsia" w:ascii="宋体" w:hAnsi="宋体" w:cs="宋体"/>
                <w:color w:val="auto"/>
                <w:sz w:val="24"/>
              </w:rPr>
              <w:t>意</w:t>
            </w:r>
          </w:p>
          <w:p>
            <w:pPr>
              <w:jc w:val="center"/>
              <w:rPr>
                <w:rFonts w:hint="eastAsia" w:ascii="宋体" w:hAnsi="宋体" w:cs="宋体"/>
                <w:color w:val="auto"/>
                <w:sz w:val="24"/>
              </w:rPr>
            </w:pPr>
            <w:r>
              <w:rPr>
                <w:rFonts w:hint="eastAsia" w:ascii="宋体" w:hAnsi="宋体" w:cs="宋体"/>
                <w:color w:val="auto"/>
                <w:sz w:val="24"/>
              </w:rPr>
              <w:t>见</w:t>
            </w:r>
          </w:p>
        </w:tc>
        <w:tc>
          <w:tcPr>
            <w:tcW w:w="8456" w:type="dxa"/>
          </w:tcPr>
          <w:p>
            <w:pPr>
              <w:rPr>
                <w:rFonts w:hint="eastAsia" w:ascii="宋体" w:hAnsi="宋体" w:cs="宋体"/>
                <w:color w:val="auto"/>
                <w:sz w:val="24"/>
              </w:rPr>
            </w:pPr>
          </w:p>
          <w:p>
            <w:pPr>
              <w:rPr>
                <w:rFonts w:hint="eastAsia" w:ascii="宋体" w:hAnsi="宋体" w:cs="宋体"/>
                <w:color w:val="auto"/>
                <w:sz w:val="24"/>
              </w:rPr>
            </w:pPr>
            <w:r>
              <w:rPr>
                <w:rFonts w:hint="eastAsia" w:ascii="宋体" w:hAnsi="宋体" w:cs="宋体"/>
                <w:color w:val="auto"/>
                <w:sz w:val="24"/>
              </w:rPr>
              <w:t>退付意见：（是否同意退付履约保证金及退付金额）</w:t>
            </w: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spacing w:line="520" w:lineRule="exact"/>
              <w:rPr>
                <w:rFonts w:hint="eastAsia" w:ascii="宋体" w:hAnsi="宋体" w:cs="宋体"/>
                <w:color w:val="auto"/>
                <w:sz w:val="24"/>
              </w:rPr>
            </w:pPr>
            <w:r>
              <w:rPr>
                <w:rFonts w:hint="eastAsia" w:ascii="宋体" w:hAnsi="宋体" w:cs="宋体"/>
                <w:color w:val="auto"/>
                <w:sz w:val="24"/>
              </w:rPr>
              <w:t>联系人及电话：                         采购人签章</w:t>
            </w:r>
          </w:p>
          <w:p>
            <w:pPr>
              <w:spacing w:line="520" w:lineRule="exact"/>
              <w:jc w:val="center"/>
              <w:rPr>
                <w:rFonts w:hint="eastAsia" w:ascii="宋体" w:hAnsi="宋体" w:cs="宋体"/>
                <w:color w:val="auto"/>
                <w:sz w:val="24"/>
              </w:rPr>
            </w:pPr>
            <w:r>
              <w:rPr>
                <w:rFonts w:hint="eastAsia" w:ascii="宋体" w:hAnsi="宋体" w:cs="宋体"/>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pPr>
              <w:jc w:val="center"/>
              <w:rPr>
                <w:rFonts w:hint="eastAsia" w:ascii="宋体" w:hAnsi="宋体" w:cs="宋体"/>
                <w:color w:val="auto"/>
                <w:sz w:val="24"/>
              </w:rPr>
            </w:pPr>
            <w:r>
              <w:rPr>
                <w:rFonts w:hint="eastAsia" w:ascii="宋体" w:hAnsi="宋体" w:cs="宋体"/>
                <w:color w:val="auto"/>
                <w:sz w:val="24"/>
              </w:rPr>
              <w:t>备注</w:t>
            </w:r>
          </w:p>
        </w:tc>
        <w:tc>
          <w:tcPr>
            <w:tcW w:w="8456" w:type="dxa"/>
          </w:tcPr>
          <w:p>
            <w:pPr>
              <w:rPr>
                <w:rFonts w:hint="eastAsia" w:ascii="宋体" w:hAnsi="宋体" w:cs="宋体"/>
                <w:color w:val="auto"/>
                <w:sz w:val="24"/>
              </w:rPr>
            </w:pPr>
          </w:p>
        </w:tc>
      </w:tr>
    </w:tbl>
    <w:p>
      <w:pPr>
        <w:pStyle w:val="11"/>
        <w:ind w:left="420" w:leftChars="114" w:hanging="181" w:hangingChars="100"/>
        <w:rPr>
          <w:rFonts w:hint="eastAsia" w:ascii="宋体" w:hAnsi="宋体" w:cs="宋体"/>
          <w:b/>
          <w:bCs/>
          <w:color w:val="auto"/>
          <w:sz w:val="18"/>
        </w:rPr>
      </w:pPr>
      <w:r>
        <w:rPr>
          <w:rFonts w:hint="eastAsia" w:ascii="宋体" w:hAnsi="宋体" w:cs="宋体"/>
          <w:b/>
          <w:bCs/>
          <w:color w:val="auto"/>
          <w:sz w:val="18"/>
        </w:rPr>
        <w:t>注：投标人凭经采购人审批的退付意见书到履约保证金收取单位办理履约保证金退付事宜。</w:t>
      </w:r>
    </w:p>
    <w:p>
      <w:pPr>
        <w:widowControl/>
        <w:spacing w:line="360" w:lineRule="auto"/>
        <w:jc w:val="left"/>
        <w:rPr>
          <w:rFonts w:hint="eastAsia" w:ascii="宋体" w:hAnsi="宋体" w:cs="宋体"/>
          <w:color w:val="auto"/>
          <w:szCs w:val="21"/>
        </w:rPr>
        <w:sectPr>
          <w:pgSz w:w="11906" w:h="16838"/>
          <w:pgMar w:top="1134" w:right="1020" w:bottom="1020" w:left="1134" w:header="720" w:footer="720" w:gutter="0"/>
          <w:cols w:space="720" w:num="1"/>
          <w:docGrid w:type="lines" w:linePitch="331" w:charSpace="0"/>
        </w:sectPr>
      </w:pPr>
    </w:p>
    <w:p>
      <w:pPr>
        <w:snapToGrid w:val="0"/>
        <w:spacing w:before="50" w:after="165" w:afterLines="50" w:line="360" w:lineRule="auto"/>
        <w:jc w:val="left"/>
        <w:rPr>
          <w:rFonts w:hint="eastAsia" w:ascii="宋体" w:hAnsi="宋体" w:cs="宋体"/>
          <w:color w:val="auto"/>
          <w:sz w:val="20"/>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rPr>
          <w:rFonts w:hint="eastAsia" w:hAnsi="宋体" w:cs="宋体"/>
          <w:b/>
          <w:color w:val="auto"/>
          <w:sz w:val="36"/>
        </w:rPr>
      </w:pPr>
    </w:p>
    <w:p>
      <w:pPr>
        <w:pStyle w:val="14"/>
        <w:tabs>
          <w:tab w:val="left" w:pos="2472"/>
        </w:tabs>
        <w:spacing w:line="460" w:lineRule="exact"/>
        <w:jc w:val="center"/>
        <w:outlineLvl w:val="0"/>
        <w:rPr>
          <w:rFonts w:hint="eastAsia" w:hAnsi="宋体" w:cs="宋体"/>
          <w:color w:val="auto"/>
          <w:sz w:val="20"/>
        </w:rPr>
        <w:sectPr>
          <w:pgSz w:w="11906" w:h="16838"/>
          <w:pgMar w:top="1134" w:right="1020" w:bottom="1020" w:left="1134" w:header="720" w:footer="720" w:gutter="0"/>
          <w:cols w:space="720" w:num="1"/>
          <w:docGrid w:type="lines" w:linePitch="331" w:charSpace="0"/>
        </w:sectPr>
      </w:pPr>
      <w:bookmarkStart w:id="328" w:name="_Toc30176"/>
      <w:bookmarkStart w:id="329" w:name="_Toc19823"/>
      <w:bookmarkStart w:id="330" w:name="_Toc8663"/>
      <w:bookmarkStart w:id="331" w:name="_Toc1424"/>
      <w:bookmarkStart w:id="332" w:name="_Toc15281"/>
      <w:bookmarkStart w:id="333" w:name="_Toc10282"/>
      <w:bookmarkStart w:id="334" w:name="_Toc29827"/>
      <w:bookmarkStart w:id="335" w:name="_Toc4526"/>
      <w:bookmarkStart w:id="336" w:name="_Toc18201"/>
      <w:bookmarkStart w:id="337" w:name="_Toc8319"/>
      <w:bookmarkStart w:id="338" w:name="_Toc22405"/>
      <w:r>
        <w:rPr>
          <w:rFonts w:hint="eastAsia" w:hAnsi="宋体" w:cs="宋体"/>
          <w:b/>
          <w:color w:val="auto"/>
          <w:sz w:val="36"/>
        </w:rPr>
        <w:t>第七章 质疑、投诉材料格</w:t>
      </w:r>
      <w:bookmarkEnd w:id="328"/>
      <w:bookmarkEnd w:id="329"/>
      <w:bookmarkEnd w:id="330"/>
      <w:r>
        <w:rPr>
          <w:rFonts w:hint="eastAsia" w:hAnsi="宋体" w:cs="宋体"/>
          <w:b/>
          <w:color w:val="auto"/>
          <w:sz w:val="36"/>
        </w:rPr>
        <w:t>式</w:t>
      </w:r>
      <w:bookmarkEnd w:id="331"/>
      <w:bookmarkEnd w:id="332"/>
      <w:bookmarkEnd w:id="333"/>
      <w:bookmarkEnd w:id="334"/>
      <w:bookmarkEnd w:id="335"/>
      <w:bookmarkEnd w:id="336"/>
      <w:bookmarkEnd w:id="337"/>
      <w:bookmarkEnd w:id="338"/>
    </w:p>
    <w:p>
      <w:pPr>
        <w:pStyle w:val="3"/>
        <w:jc w:val="center"/>
        <w:rPr>
          <w:rFonts w:hint="eastAsia" w:ascii="宋体" w:hAnsi="宋体" w:eastAsia="宋体" w:cs="宋体"/>
          <w:b w:val="0"/>
          <w:bCs w:val="0"/>
          <w:color w:val="auto"/>
        </w:rPr>
      </w:pPr>
      <w:bookmarkStart w:id="339" w:name="_Toc12534"/>
      <w:bookmarkStart w:id="340" w:name="_Toc25079"/>
      <w:bookmarkStart w:id="341" w:name="_Toc18910"/>
      <w:bookmarkStart w:id="342" w:name="_Toc5790"/>
      <w:bookmarkStart w:id="343" w:name="_Toc19413"/>
      <w:r>
        <w:rPr>
          <w:rFonts w:hint="eastAsia" w:ascii="宋体" w:hAnsi="宋体" w:eastAsia="宋体" w:cs="宋体"/>
          <w:b w:val="0"/>
          <w:bCs w:val="0"/>
          <w:color w:val="auto"/>
        </w:rPr>
        <w:t>第一节 质疑函（格式）</w:t>
      </w:r>
      <w:bookmarkEnd w:id="339"/>
      <w:bookmarkEnd w:id="340"/>
      <w:bookmarkEnd w:id="341"/>
      <w:bookmarkEnd w:id="342"/>
      <w:bookmarkEnd w:id="343"/>
    </w:p>
    <w:p>
      <w:pPr>
        <w:jc w:val="center"/>
        <w:rPr>
          <w:rFonts w:hint="eastAsia" w:ascii="宋体" w:hAnsi="宋体" w:cs="宋体"/>
          <w:b/>
          <w:bCs/>
          <w:color w:val="auto"/>
          <w:sz w:val="44"/>
          <w:szCs w:val="44"/>
        </w:rPr>
      </w:pPr>
      <w:r>
        <w:rPr>
          <w:rFonts w:hint="eastAsia" w:ascii="宋体" w:hAnsi="宋体" w:cs="宋体"/>
          <w:b/>
          <w:bCs/>
          <w:color w:val="auto"/>
          <w:sz w:val="30"/>
          <w:szCs w:val="30"/>
        </w:rPr>
        <w:t>质疑函</w:t>
      </w:r>
    </w:p>
    <w:p>
      <w:pPr>
        <w:adjustRightInd w:val="0"/>
        <w:snapToGrid w:val="0"/>
        <w:spacing w:before="240" w:beforeLines="100" w:line="360" w:lineRule="auto"/>
        <w:rPr>
          <w:rFonts w:hint="eastAsia" w:ascii="宋体" w:hAnsi="宋体" w:cs="宋体"/>
          <w:bCs/>
          <w:color w:val="auto"/>
          <w:sz w:val="24"/>
        </w:rPr>
      </w:pPr>
      <w:r>
        <w:rPr>
          <w:rFonts w:hint="eastAsia" w:ascii="宋体" w:hAnsi="宋体" w:cs="宋体"/>
          <w:bCs/>
          <w:color w:val="auto"/>
          <w:sz w:val="24"/>
        </w:rPr>
        <w:t>一、质疑供应商基本信息</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bCs/>
          <w:color w:val="auto"/>
          <w:sz w:val="24"/>
        </w:rPr>
      </w:pPr>
      <w:r>
        <w:rPr>
          <w:rFonts w:hint="eastAsia" w:ascii="宋体" w:hAnsi="宋体" w:cs="宋体"/>
          <w:bCs/>
          <w:color w:val="auto"/>
          <w:sz w:val="24"/>
        </w:rPr>
        <w:t>二、质疑项目基本情况</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bookmarkStart w:id="344" w:name="PO_3000001867_PM026_5"/>
      <w:r>
        <w:rPr>
          <w:rFonts w:hint="eastAsia" w:ascii="宋体" w:hAnsi="宋体" w:cs="宋体"/>
          <w:color w:val="auto"/>
          <w:sz w:val="24"/>
          <w:u w:val="dotted"/>
        </w:rPr>
        <w:t xml:space="preserve">                        </w:t>
      </w:r>
      <w:bookmarkEnd w:id="344"/>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lang w:val="zh-CN"/>
        </w:rPr>
      </w:pPr>
      <w:r>
        <w:rPr>
          <w:rFonts w:hint="eastAsia" w:ascii="宋体" w:hAnsi="宋体" w:cs="宋体"/>
          <w:color w:val="auto"/>
          <w:sz w:val="24"/>
          <w:lang w:val="zh-CN"/>
        </w:rPr>
        <w:t>质疑事项：</w:t>
      </w:r>
    </w:p>
    <w:p>
      <w:pPr>
        <w:adjustRightInd w:val="0"/>
        <w:snapToGrid w:val="0"/>
        <w:spacing w:line="360" w:lineRule="auto"/>
        <w:rPr>
          <w:rFonts w:hint="eastAsia" w:ascii="宋体" w:hAnsi="宋体" w:cs="宋体"/>
          <w:color w:val="auto"/>
          <w:sz w:val="24"/>
          <w:lang w:val="zh-CN"/>
        </w:rPr>
      </w:pPr>
      <w:r>
        <w:rPr>
          <w:rFonts w:hint="eastAsia" w:ascii="宋体" w:hAnsi="宋体" w:cs="宋体"/>
          <w:color w:val="auto"/>
          <w:sz w:val="24"/>
          <w:lang w:val="zh-CN"/>
        </w:rPr>
        <w:t>□采购文件   采购文件获取日期：</w:t>
      </w:r>
      <w:r>
        <w:rPr>
          <w:rFonts w:hint="eastAsia" w:ascii="宋体" w:hAnsi="宋体" w:cs="宋体"/>
          <w:color w:val="auto"/>
          <w:sz w:val="24"/>
          <w:u w:val="dotted"/>
        </w:rPr>
        <w:t xml:space="preserve">                         </w:t>
      </w:r>
      <w:r>
        <w:rPr>
          <w:rFonts w:hint="eastAsia" w:ascii="宋体" w:hAnsi="宋体" w:cs="宋体"/>
          <w:color w:val="auto"/>
          <w:sz w:val="24"/>
          <w:lang w:val="zh-CN"/>
        </w:rPr>
        <w:t xml:space="preserve">  </w:t>
      </w:r>
    </w:p>
    <w:p>
      <w:pPr>
        <w:adjustRightInd w:val="0"/>
        <w:snapToGrid w:val="0"/>
        <w:spacing w:line="360" w:lineRule="auto"/>
        <w:rPr>
          <w:rFonts w:hint="eastAsia" w:ascii="宋体" w:hAnsi="宋体" w:cs="宋体"/>
          <w:color w:val="auto"/>
          <w:sz w:val="24"/>
          <w:lang w:val="zh-CN"/>
        </w:rPr>
      </w:pPr>
      <w:r>
        <w:rPr>
          <w:rFonts w:hint="eastAsia" w:ascii="宋体" w:hAnsi="宋体" w:cs="宋体"/>
          <w:color w:val="auto"/>
          <w:sz w:val="24"/>
          <w:lang w:val="zh-CN"/>
        </w:rPr>
        <w:t xml:space="preserve">□采购过程   </w:t>
      </w:r>
    </w:p>
    <w:p>
      <w:pPr>
        <w:adjustRightInd w:val="0"/>
        <w:snapToGrid w:val="0"/>
        <w:spacing w:line="360" w:lineRule="auto"/>
        <w:rPr>
          <w:rFonts w:hint="eastAsia" w:ascii="宋体" w:hAnsi="宋体" w:cs="宋体"/>
          <w:color w:val="auto"/>
          <w:sz w:val="24"/>
          <w:lang w:val="zh-CN"/>
        </w:rPr>
      </w:pPr>
      <w:r>
        <w:rPr>
          <w:rFonts w:hint="eastAsia" w:ascii="宋体" w:hAnsi="宋体" w:cs="宋体"/>
          <w:color w:val="auto"/>
          <w:sz w:val="24"/>
          <w:lang w:val="zh-CN"/>
        </w:rPr>
        <w:t xml:space="preserve">□中标结果   </w:t>
      </w:r>
    </w:p>
    <w:p>
      <w:pPr>
        <w:adjustRightInd w:val="0"/>
        <w:snapToGrid w:val="0"/>
        <w:spacing w:line="360" w:lineRule="auto"/>
        <w:rPr>
          <w:rFonts w:hint="eastAsia" w:ascii="宋体" w:hAnsi="宋体" w:cs="宋体"/>
          <w:bCs/>
          <w:color w:val="auto"/>
          <w:sz w:val="24"/>
        </w:rPr>
      </w:pPr>
      <w:r>
        <w:rPr>
          <w:rFonts w:hint="eastAsia" w:ascii="宋体" w:hAnsi="宋体" w:cs="宋体"/>
          <w:bCs/>
          <w:color w:val="auto"/>
          <w:sz w:val="24"/>
        </w:rPr>
        <w:t>三、质疑事项具体内容</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u w:val="dotted"/>
        </w:rPr>
        <w:t xml:space="preserve">                                                     </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质疑事项2</w:t>
      </w: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w:t>
      </w:r>
    </w:p>
    <w:p>
      <w:pPr>
        <w:adjustRightInd w:val="0"/>
        <w:snapToGrid w:val="0"/>
        <w:spacing w:line="360" w:lineRule="auto"/>
        <w:rPr>
          <w:rFonts w:hint="eastAsia" w:ascii="宋体" w:hAnsi="宋体" w:cs="宋体"/>
          <w:bCs/>
          <w:color w:val="auto"/>
          <w:sz w:val="24"/>
        </w:rPr>
      </w:pPr>
      <w:r>
        <w:rPr>
          <w:rFonts w:hint="eastAsia" w:ascii="宋体" w:hAnsi="宋体" w:cs="宋体"/>
          <w:bCs/>
          <w:color w:val="auto"/>
          <w:sz w:val="24"/>
        </w:rPr>
        <w:t>四、与质疑事项相关的质疑请求</w:t>
      </w:r>
    </w:p>
    <w:p>
      <w:pPr>
        <w:adjustRightInd w:val="0"/>
        <w:snapToGrid w:val="0"/>
        <w:spacing w:line="360" w:lineRule="auto"/>
        <w:rPr>
          <w:rFonts w:hint="eastAsia"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rPr>
          <w:rFonts w:hint="eastAsia" w:ascii="宋体" w:hAnsi="宋体" w:cs="宋体"/>
          <w:color w:val="auto"/>
          <w:sz w:val="24"/>
        </w:rPr>
      </w:pPr>
      <w:r>
        <w:rPr>
          <w:rFonts w:hint="eastAsia" w:ascii="宋体" w:hAnsi="宋体" w:cs="宋体"/>
          <w:color w:val="auto"/>
          <w:sz w:val="24"/>
        </w:rPr>
        <w:t xml:space="preserve">签字(签章)：                   公章：                      </w:t>
      </w:r>
    </w:p>
    <w:p>
      <w:pPr>
        <w:ind w:firstLine="6240" w:firstLineChars="2600"/>
        <w:rPr>
          <w:rFonts w:hint="eastAsia" w:ascii="宋体" w:hAnsi="宋体" w:cs="宋体"/>
          <w:color w:val="auto"/>
          <w:sz w:val="24"/>
        </w:rPr>
      </w:pPr>
      <w:r>
        <w:rPr>
          <w:rFonts w:hint="eastAsia" w:ascii="宋体" w:hAnsi="宋体" w:cs="宋体"/>
          <w:color w:val="auto"/>
          <w:sz w:val="24"/>
        </w:rPr>
        <w:t xml:space="preserve">日期：    </w:t>
      </w:r>
    </w:p>
    <w:p>
      <w:pPr>
        <w:rPr>
          <w:rFonts w:hint="eastAsia" w:ascii="宋体" w:hAnsi="宋体" w:cs="宋体"/>
          <w:b/>
          <w:color w:val="auto"/>
          <w:sz w:val="24"/>
        </w:rPr>
      </w:pPr>
    </w:p>
    <w:p>
      <w:pPr>
        <w:spacing w:line="360" w:lineRule="auto"/>
        <w:rPr>
          <w:rFonts w:hint="eastAsia"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1.供应商提出质疑时，应提交质疑函和必要的证明材料。</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2.质疑供应商若委托代理人进行质疑的，质疑函应按要求列明“授权代表”的有关内容，并在附件中提交由质疑</w:t>
      </w:r>
      <w:r>
        <w:rPr>
          <w:rFonts w:hint="eastAsia" w:ascii="宋体" w:hAnsi="宋体" w:cs="宋体"/>
          <w:color w:val="auto"/>
          <w:kern w:val="0"/>
          <w:szCs w:val="21"/>
        </w:rPr>
        <w:t>供应商签署的授权委托书。授权委托书应载明代理人的姓名或者名称、代理事项、具体权限、期限和相关事项。</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3.质疑供应商若对项目的某一分包进行质疑，质疑函中应列明具体分包号。</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4.质疑函的质疑事项应具体、明确，并有必要的事实依据和法律依据。</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5.质疑函的质疑请求应与质疑事项相关。</w:t>
      </w:r>
    </w:p>
    <w:p>
      <w:pPr>
        <w:widowControl/>
        <w:spacing w:line="360" w:lineRule="auto"/>
        <w:ind w:firstLine="420" w:firstLineChars="200"/>
        <w:jc w:val="left"/>
        <w:rPr>
          <w:rFonts w:hint="eastAsia" w:ascii="宋体" w:hAnsi="宋体" w:cs="宋体"/>
          <w:color w:val="auto"/>
          <w:sz w:val="28"/>
          <w:szCs w:val="28"/>
        </w:rPr>
      </w:pPr>
      <w:r>
        <w:rPr>
          <w:rFonts w:hint="eastAsia" w:ascii="宋体" w:hAnsi="宋体" w:cs="宋体"/>
          <w:color w:val="auto"/>
          <w:szCs w:val="21"/>
        </w:rPr>
        <w:t>6.质疑供应商为自然人的，质疑函应由本人签字；质疑供应商为法人或者其他组织的，质疑函应由法定代表人、主要负责人，或者其授权代表签字或者盖章，并加盖公章。</w:t>
      </w:r>
    </w:p>
    <w:p>
      <w:pPr>
        <w:pStyle w:val="3"/>
        <w:jc w:val="center"/>
        <w:rPr>
          <w:rFonts w:hint="eastAsia" w:ascii="宋体" w:hAnsi="宋体" w:eastAsia="宋体" w:cs="宋体"/>
          <w:b w:val="0"/>
          <w:bCs w:val="0"/>
          <w:color w:val="auto"/>
        </w:rPr>
      </w:pPr>
      <w:bookmarkStart w:id="345" w:name="_Toc11085"/>
      <w:bookmarkStart w:id="346" w:name="_Toc31115"/>
    </w:p>
    <w:p>
      <w:pPr>
        <w:pStyle w:val="3"/>
        <w:jc w:val="center"/>
        <w:rPr>
          <w:rFonts w:hint="eastAsia" w:ascii="宋体" w:hAnsi="宋体" w:eastAsia="宋体" w:cs="宋体"/>
          <w:b w:val="0"/>
          <w:bCs w:val="0"/>
          <w:color w:val="auto"/>
        </w:rPr>
      </w:pPr>
    </w:p>
    <w:p>
      <w:pPr>
        <w:pStyle w:val="3"/>
        <w:jc w:val="center"/>
        <w:rPr>
          <w:rFonts w:hint="eastAsia" w:ascii="宋体" w:hAnsi="宋体" w:eastAsia="宋体" w:cs="宋体"/>
          <w:b w:val="0"/>
          <w:bCs w:val="0"/>
          <w:color w:val="auto"/>
        </w:rPr>
      </w:pPr>
    </w:p>
    <w:p>
      <w:pPr>
        <w:pStyle w:val="3"/>
        <w:jc w:val="center"/>
        <w:rPr>
          <w:rFonts w:hint="eastAsia" w:ascii="宋体" w:hAnsi="宋体" w:eastAsia="宋体" w:cs="宋体"/>
          <w:b w:val="0"/>
          <w:bCs w:val="0"/>
          <w:color w:val="auto"/>
        </w:rPr>
      </w:pPr>
    </w:p>
    <w:p>
      <w:pPr>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17"/>
        <w:rPr>
          <w:rFonts w:hint="eastAsia" w:ascii="宋体" w:hAnsi="宋体" w:cs="宋体"/>
          <w:color w:val="auto"/>
        </w:rPr>
      </w:pPr>
    </w:p>
    <w:p>
      <w:pPr>
        <w:pStyle w:val="3"/>
        <w:jc w:val="center"/>
        <w:rPr>
          <w:rFonts w:hint="eastAsia" w:ascii="宋体" w:hAnsi="宋体" w:eastAsia="宋体" w:cs="宋体"/>
          <w:b w:val="0"/>
          <w:bCs w:val="0"/>
          <w:color w:val="auto"/>
        </w:rPr>
      </w:pPr>
      <w:bookmarkStart w:id="347" w:name="_Toc6950"/>
      <w:bookmarkStart w:id="348" w:name="_Toc11120"/>
      <w:bookmarkStart w:id="349" w:name="_Toc22163"/>
      <w:r>
        <w:rPr>
          <w:rFonts w:hint="eastAsia" w:ascii="宋体" w:hAnsi="宋体" w:eastAsia="宋体" w:cs="宋体"/>
          <w:b w:val="0"/>
          <w:bCs w:val="0"/>
          <w:color w:val="auto"/>
        </w:rPr>
        <w:t>第二节 投诉书（格式）</w:t>
      </w:r>
      <w:bookmarkEnd w:id="345"/>
      <w:bookmarkEnd w:id="346"/>
      <w:bookmarkEnd w:id="347"/>
      <w:bookmarkEnd w:id="348"/>
      <w:bookmarkEnd w:id="349"/>
    </w:p>
    <w:p>
      <w:pPr>
        <w:jc w:val="center"/>
        <w:rPr>
          <w:rFonts w:hint="eastAsia" w:ascii="宋体" w:hAnsi="宋体" w:cs="宋体"/>
          <w:b/>
          <w:color w:val="auto"/>
          <w:sz w:val="44"/>
          <w:szCs w:val="44"/>
        </w:rPr>
      </w:pPr>
      <w:r>
        <w:rPr>
          <w:rFonts w:hint="eastAsia" w:ascii="宋体" w:hAnsi="宋体" w:cs="宋体"/>
          <w:b/>
          <w:color w:val="auto"/>
          <w:sz w:val="30"/>
          <w:szCs w:val="30"/>
        </w:rPr>
        <w:t>投诉书</w:t>
      </w:r>
    </w:p>
    <w:p>
      <w:pPr>
        <w:spacing w:line="360" w:lineRule="auto"/>
        <w:rPr>
          <w:rFonts w:hint="eastAsia" w:ascii="宋体" w:hAnsi="宋体" w:cs="宋体"/>
          <w:color w:val="auto"/>
          <w:sz w:val="24"/>
        </w:rPr>
      </w:pPr>
      <w:r>
        <w:rPr>
          <w:rFonts w:hint="eastAsia" w:ascii="宋体" w:hAnsi="宋体" w:cs="宋体"/>
          <w:color w:val="auto"/>
          <w:sz w:val="24"/>
        </w:rPr>
        <w:t>一、投诉相关主体基本情况</w:t>
      </w:r>
    </w:p>
    <w:p>
      <w:pPr>
        <w:spacing w:line="360" w:lineRule="auto"/>
        <w:rPr>
          <w:rFonts w:hint="eastAsia" w:ascii="宋体" w:hAnsi="宋体" w:cs="宋体"/>
          <w:color w:val="auto"/>
          <w:sz w:val="24"/>
          <w:u w:val="dotted"/>
        </w:rPr>
      </w:pPr>
      <w:r>
        <w:rPr>
          <w:rFonts w:hint="eastAsia" w:ascii="宋体" w:hAnsi="宋体" w:cs="宋体"/>
          <w:color w:val="auto"/>
          <w:sz w:val="24"/>
        </w:rPr>
        <w:t>投诉人：</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tabs>
          <w:tab w:val="left" w:pos="6510"/>
        </w:tabs>
        <w:spacing w:line="360" w:lineRule="auto"/>
        <w:jc w:val="left"/>
        <w:rPr>
          <w:rFonts w:hint="eastAsia" w:ascii="宋体" w:hAnsi="宋体" w:cs="宋体"/>
          <w:color w:val="auto"/>
          <w:sz w:val="24"/>
        </w:rPr>
      </w:pPr>
      <w:r>
        <w:rPr>
          <w:rFonts w:hint="eastAsia" w:ascii="宋体" w:hAnsi="宋体" w:cs="宋体"/>
          <w:color w:val="auto"/>
          <w:sz w:val="24"/>
        </w:rPr>
        <w:t>法定代表人/主要负责人：</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tabs>
          <w:tab w:val="left" w:pos="6510"/>
        </w:tabs>
        <w:spacing w:line="360" w:lineRule="auto"/>
        <w:rPr>
          <w:rFonts w:hint="eastAsia" w:ascii="宋体" w:hAnsi="宋体" w:cs="宋体"/>
          <w:color w:val="auto"/>
          <w:sz w:val="24"/>
          <w:u w:val="dotted"/>
        </w:rPr>
      </w:pP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被投诉人1：</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被投诉人2</w:t>
      </w:r>
    </w:p>
    <w:p>
      <w:pPr>
        <w:spacing w:line="360" w:lineRule="auto"/>
        <w:rPr>
          <w:rFonts w:hint="eastAsia" w:ascii="宋体" w:hAnsi="宋体" w:cs="宋体"/>
          <w:color w:val="auto"/>
          <w:sz w:val="24"/>
          <w:u w:val="dotted"/>
        </w:rPr>
      </w:pPr>
      <w:r>
        <w:rPr>
          <w:rFonts w:hint="eastAsia" w:ascii="宋体" w:hAnsi="宋体" w:cs="宋体"/>
          <w:color w:val="auto"/>
          <w:sz w:val="24"/>
        </w:rPr>
        <w:t>……</w:t>
      </w:r>
    </w:p>
    <w:p>
      <w:pPr>
        <w:spacing w:line="360" w:lineRule="auto"/>
        <w:rPr>
          <w:rFonts w:hint="eastAsia" w:ascii="宋体" w:hAnsi="宋体" w:cs="宋体"/>
          <w:color w:val="auto"/>
          <w:sz w:val="24"/>
          <w:u w:val="single"/>
        </w:rPr>
      </w:pPr>
      <w:r>
        <w:rPr>
          <w:rFonts w:hint="eastAsia" w:ascii="宋体" w:hAnsi="宋体" w:cs="宋体"/>
          <w:color w:val="auto"/>
          <w:sz w:val="24"/>
        </w:rPr>
        <w:t>相关供应商：</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二、投诉项目基本情况</w:t>
      </w:r>
    </w:p>
    <w:p>
      <w:pPr>
        <w:spacing w:line="360" w:lineRule="auto"/>
        <w:rPr>
          <w:rFonts w:hint="eastAsia" w:ascii="宋体" w:hAnsi="宋体" w:cs="宋体"/>
          <w:color w:val="auto"/>
          <w:sz w:val="24"/>
          <w:u w:val="dotted"/>
        </w:rPr>
      </w:pPr>
      <w:r>
        <w:rPr>
          <w:rFonts w:hint="eastAsia" w:ascii="宋体" w:hAnsi="宋体" w:cs="宋体"/>
          <w:color w:val="auto"/>
          <w:sz w:val="24"/>
        </w:rPr>
        <w:t>采购项目名称：</w:t>
      </w:r>
      <w:r>
        <w:rPr>
          <w:rFonts w:hint="eastAsia" w:ascii="宋体" w:hAnsi="宋体" w:cs="宋体"/>
          <w:color w:val="auto"/>
          <w:sz w:val="24"/>
          <w:u w:val="dotted"/>
        </w:rPr>
        <w:t xml:space="preserve">  </w:t>
      </w:r>
      <w:bookmarkStart w:id="350" w:name="PO_3000001867_PM002_12"/>
      <w:r>
        <w:rPr>
          <w:rFonts w:hint="eastAsia" w:ascii="宋体" w:hAnsi="宋体" w:cs="宋体"/>
          <w:color w:val="auto"/>
          <w:sz w:val="24"/>
          <w:u w:val="dotted"/>
        </w:rPr>
        <w:t xml:space="preserve">                    </w:t>
      </w:r>
      <w:bookmarkEnd w:id="350"/>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采购项目编号：</w:t>
      </w:r>
      <w:r>
        <w:rPr>
          <w:rFonts w:hint="eastAsia" w:ascii="宋体" w:hAnsi="宋体" w:cs="宋体"/>
          <w:color w:val="auto"/>
          <w:sz w:val="24"/>
          <w:u w:val="dotted"/>
        </w:rPr>
        <w:t xml:space="preserve">  </w:t>
      </w:r>
      <w:bookmarkStart w:id="351" w:name="PO_3000001867_PM001_9"/>
      <w:r>
        <w:rPr>
          <w:rFonts w:hint="eastAsia" w:ascii="宋体" w:hAnsi="宋体" w:cs="宋体"/>
          <w:color w:val="auto"/>
          <w:sz w:val="24"/>
          <w:u w:val="dotted"/>
        </w:rPr>
        <w:t xml:space="preserve">                    </w:t>
      </w:r>
      <w:bookmarkEnd w:id="351"/>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采购人名称：</w:t>
      </w:r>
      <w:r>
        <w:rPr>
          <w:rFonts w:hint="eastAsia" w:ascii="宋体" w:hAnsi="宋体" w:cs="宋体"/>
          <w:color w:val="auto"/>
          <w:sz w:val="24"/>
          <w:u w:val="dotted"/>
        </w:rPr>
        <w:t xml:space="preserve">  </w:t>
      </w:r>
      <w:bookmarkStart w:id="352" w:name="PO_3000001867_PM026_6"/>
      <w:r>
        <w:rPr>
          <w:rFonts w:hint="eastAsia" w:ascii="宋体" w:hAnsi="宋体" w:cs="宋体"/>
          <w:color w:val="auto"/>
          <w:sz w:val="24"/>
          <w:u w:val="dotted"/>
        </w:rPr>
        <w:t xml:space="preserve">                    </w:t>
      </w:r>
      <w:bookmarkEnd w:id="352"/>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代理机构名称：</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rPr>
        <w:t>采购文件公告: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采购结果公告: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三、质疑基本情况</w:t>
      </w:r>
    </w:p>
    <w:p>
      <w:pPr>
        <w:spacing w:line="360" w:lineRule="auto"/>
        <w:ind w:firstLine="480" w:firstLineChars="200"/>
        <w:rPr>
          <w:rFonts w:hint="eastAsia" w:ascii="宋体" w:hAnsi="宋体" w:cs="宋体"/>
          <w:color w:val="auto"/>
          <w:sz w:val="24"/>
          <w:u w:val="dotted"/>
        </w:rPr>
      </w:pPr>
      <w:r>
        <w:rPr>
          <w:rFonts w:hint="eastAsia" w:ascii="宋体" w:hAnsi="宋体" w:cs="宋体"/>
          <w:color w:val="auto"/>
          <w:sz w:val="24"/>
        </w:rPr>
        <w:t>投诉人于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日，向</w:t>
      </w:r>
      <w:r>
        <w:rPr>
          <w:rFonts w:hint="eastAsia" w:ascii="宋体" w:hAnsi="宋体" w:cs="宋体"/>
          <w:color w:val="auto"/>
          <w:sz w:val="24"/>
          <w:u w:val="dotted"/>
        </w:rPr>
        <w:t xml:space="preserve">                   </w:t>
      </w:r>
      <w:r>
        <w:rPr>
          <w:rFonts w:hint="eastAsia" w:ascii="宋体" w:hAnsi="宋体" w:cs="宋体"/>
          <w:color w:val="auto"/>
          <w:sz w:val="24"/>
        </w:rPr>
        <w:t>提出质疑，质疑事项为：</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u w:val="dotted"/>
        </w:rPr>
        <w:t xml:space="preserve">                                                     </w:t>
      </w:r>
      <w:r>
        <w:rPr>
          <w:rFonts w:hint="eastAsia" w:ascii="宋体" w:hAnsi="宋体" w:cs="宋体"/>
          <w:color w:val="auto"/>
          <w:sz w:val="24"/>
        </w:rPr>
        <w:t xml:space="preserve">  </w:t>
      </w:r>
    </w:p>
    <w:p>
      <w:pPr>
        <w:spacing w:line="360" w:lineRule="auto"/>
        <w:ind w:firstLine="360" w:firstLineChars="150"/>
        <w:rPr>
          <w:rFonts w:hint="eastAsia" w:ascii="宋体" w:hAnsi="宋体" w:cs="宋体"/>
          <w:color w:val="auto"/>
          <w:sz w:val="24"/>
        </w:rPr>
      </w:pPr>
      <w:r>
        <w:rPr>
          <w:rFonts w:hint="eastAsia" w:ascii="宋体" w:hAnsi="宋体" w:cs="宋体"/>
          <w:color w:val="auto"/>
          <w:sz w:val="24"/>
          <w:u w:val="dotted"/>
        </w:rPr>
        <w:t>采购人/采购代理机构</w:t>
      </w:r>
      <w:r>
        <w:rPr>
          <w:rFonts w:hint="eastAsia" w:ascii="宋体" w:hAnsi="宋体" w:cs="宋体"/>
          <w:color w:val="auto"/>
          <w:sz w:val="24"/>
        </w:rPr>
        <w:t>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日，就质疑事项作出了答复/没有在法定期限内作出答复。</w:t>
      </w:r>
    </w:p>
    <w:p>
      <w:pPr>
        <w:spacing w:line="360" w:lineRule="auto"/>
        <w:rPr>
          <w:rFonts w:hint="eastAsia" w:ascii="宋体" w:hAnsi="宋体" w:cs="宋体"/>
          <w:color w:val="auto"/>
          <w:sz w:val="24"/>
        </w:rPr>
      </w:pPr>
      <w:r>
        <w:rPr>
          <w:rFonts w:hint="eastAsia" w:ascii="宋体" w:hAnsi="宋体" w:cs="宋体"/>
          <w:color w:val="auto"/>
          <w:sz w:val="24"/>
        </w:rPr>
        <w:t>四、投诉事项具体内容</w:t>
      </w:r>
    </w:p>
    <w:p>
      <w:pPr>
        <w:spacing w:line="360" w:lineRule="auto"/>
        <w:rPr>
          <w:rFonts w:hint="eastAsia" w:ascii="宋体" w:hAnsi="宋体" w:cs="宋体"/>
          <w:color w:val="auto"/>
          <w:sz w:val="24"/>
          <w:u w:val="single"/>
        </w:rPr>
      </w:pPr>
      <w:r>
        <w:rPr>
          <w:rFonts w:hint="eastAsia" w:ascii="宋体" w:hAnsi="宋体" w:cs="宋体"/>
          <w:color w:val="auto"/>
          <w:sz w:val="24"/>
        </w:rPr>
        <w:t>投诉事项 1：</w:t>
      </w: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pacing w:line="360" w:lineRule="auto"/>
        <w:rPr>
          <w:rFonts w:hint="eastAsia" w:ascii="宋体" w:hAnsi="宋体" w:cs="宋体"/>
          <w:color w:val="auto"/>
          <w:sz w:val="24"/>
          <w:u w:val="dotted"/>
        </w:rPr>
      </w:pPr>
      <w:r>
        <w:rPr>
          <w:rFonts w:hint="eastAsia" w:ascii="宋体" w:hAnsi="宋体" w:cs="宋体"/>
          <w:color w:val="auto"/>
          <w:sz w:val="24"/>
          <w:u w:val="dotted"/>
        </w:rPr>
        <w:t xml:space="preserve">                                                      </w:t>
      </w:r>
    </w:p>
    <w:p>
      <w:pPr>
        <w:spacing w:line="360" w:lineRule="auto"/>
        <w:rPr>
          <w:rFonts w:hint="eastAsia" w:ascii="宋体" w:hAnsi="宋体" w:cs="宋体"/>
          <w:color w:val="auto"/>
          <w:sz w:val="24"/>
        </w:rPr>
      </w:pPr>
      <w:r>
        <w:rPr>
          <w:rFonts w:hint="eastAsia" w:ascii="宋体" w:hAnsi="宋体" w:cs="宋体"/>
          <w:color w:val="auto"/>
          <w:sz w:val="24"/>
        </w:rPr>
        <w:t>投诉事项2</w:t>
      </w:r>
    </w:p>
    <w:p>
      <w:pPr>
        <w:spacing w:line="360" w:lineRule="auto"/>
        <w:rPr>
          <w:rFonts w:hint="eastAsia" w:ascii="宋体" w:hAnsi="宋体" w:cs="宋体"/>
          <w:color w:val="auto"/>
          <w:sz w:val="24"/>
          <w:u w:val="dotted"/>
        </w:rPr>
      </w:pPr>
      <w:r>
        <w:rPr>
          <w:rFonts w:hint="eastAsia" w:ascii="宋体" w:hAnsi="宋体" w:cs="宋体"/>
          <w:color w:val="auto"/>
          <w:sz w:val="24"/>
        </w:rPr>
        <w:t>……</w:t>
      </w:r>
    </w:p>
    <w:p>
      <w:pPr>
        <w:spacing w:line="360" w:lineRule="auto"/>
        <w:rPr>
          <w:rFonts w:hint="eastAsia" w:ascii="宋体" w:hAnsi="宋体" w:cs="宋体"/>
          <w:color w:val="auto"/>
          <w:sz w:val="24"/>
        </w:rPr>
      </w:pPr>
      <w:r>
        <w:rPr>
          <w:rFonts w:hint="eastAsia" w:ascii="宋体" w:hAnsi="宋体" w:cs="宋体"/>
          <w:color w:val="auto"/>
          <w:sz w:val="24"/>
        </w:rPr>
        <w:t>五、与投诉事项相关的投诉请求</w:t>
      </w:r>
    </w:p>
    <w:p>
      <w:pPr>
        <w:spacing w:line="360" w:lineRule="auto"/>
        <w:rPr>
          <w:rFonts w:hint="eastAsia" w:ascii="宋体" w:hAnsi="宋体" w:cs="宋体"/>
          <w:color w:val="auto"/>
          <w:sz w:val="24"/>
        </w:rPr>
      </w:pPr>
      <w:r>
        <w:rPr>
          <w:rFonts w:hint="eastAsia" w:ascii="宋体" w:hAnsi="宋体" w:cs="宋体"/>
          <w:color w:val="auto"/>
          <w:sz w:val="24"/>
        </w:rPr>
        <w:t>请求：</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pacing w:line="360" w:lineRule="auto"/>
        <w:rPr>
          <w:rFonts w:hint="eastAsia" w:ascii="宋体" w:hAnsi="宋体" w:cs="宋体"/>
          <w:color w:val="auto"/>
          <w:sz w:val="24"/>
          <w:u w:val="single"/>
        </w:rPr>
      </w:pPr>
      <w:r>
        <w:rPr>
          <w:rFonts w:hint="eastAsia" w:ascii="宋体" w:hAnsi="宋体" w:cs="宋体"/>
          <w:color w:val="auto"/>
          <w:sz w:val="24"/>
        </w:rPr>
        <w:t xml:space="preserve">                                                                                                    </w:t>
      </w:r>
    </w:p>
    <w:p>
      <w:pPr>
        <w:spacing w:line="360" w:lineRule="auto"/>
        <w:rPr>
          <w:rFonts w:hint="eastAsia" w:ascii="宋体" w:hAnsi="宋体" w:cs="宋体"/>
          <w:color w:val="auto"/>
          <w:sz w:val="24"/>
        </w:rPr>
      </w:pPr>
      <w:r>
        <w:rPr>
          <w:rFonts w:hint="eastAsia" w:ascii="宋体" w:hAnsi="宋体" w:cs="宋体"/>
          <w:color w:val="auto"/>
          <w:sz w:val="24"/>
        </w:rPr>
        <w:t xml:space="preserve">签字(签章)：                   公章：                      </w:t>
      </w:r>
    </w:p>
    <w:p>
      <w:pPr>
        <w:spacing w:line="360" w:lineRule="auto"/>
        <w:ind w:firstLine="6960" w:firstLineChars="2900"/>
        <w:rPr>
          <w:rFonts w:hint="eastAsia" w:ascii="宋体" w:hAnsi="宋体" w:cs="宋体"/>
          <w:color w:val="auto"/>
          <w:sz w:val="24"/>
        </w:rPr>
      </w:pPr>
      <w:r>
        <w:rPr>
          <w:rFonts w:hint="eastAsia" w:ascii="宋体" w:hAnsi="宋体" w:cs="宋体"/>
          <w:color w:val="auto"/>
          <w:sz w:val="24"/>
        </w:rPr>
        <w:t xml:space="preserve">日期：    </w:t>
      </w: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r>
        <w:rPr>
          <w:rFonts w:hint="eastAsia" w:ascii="宋体" w:hAnsi="宋体" w:cs="宋体"/>
          <w:b/>
          <w:color w:val="auto"/>
          <w:sz w:val="24"/>
        </w:rPr>
        <w:t>投诉书制作说明：</w:t>
      </w:r>
    </w:p>
    <w:p>
      <w:pPr>
        <w:widowControl/>
        <w:spacing w:line="360" w:lineRule="auto"/>
        <w:ind w:firstLine="420" w:firstLineChars="200"/>
        <w:rPr>
          <w:rFonts w:hint="eastAsia" w:ascii="宋体" w:hAnsi="宋体" w:cs="宋体"/>
          <w:color w:val="auto"/>
          <w:kern w:val="0"/>
          <w:szCs w:val="21"/>
        </w:rPr>
      </w:pPr>
      <w:r>
        <w:rPr>
          <w:rFonts w:hint="eastAsia" w:ascii="宋体" w:hAnsi="宋体" w:cs="宋体"/>
          <w:color w:val="auto"/>
          <w:szCs w:val="21"/>
        </w:rPr>
        <w:t>1.投诉人提起投诉时，应当提交投诉书和必要的证明材料，并按照被投诉人和与投诉事项有关的供应商数量提供投诉书副本。</w:t>
      </w:r>
    </w:p>
    <w:p>
      <w:pPr>
        <w:widowControl/>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2.投诉人若委托代理人进行投诉的，投诉书应按照要求列明“授权代表”的有关内容，并在附件中提交由</w:t>
      </w:r>
      <w:r>
        <w:rPr>
          <w:rFonts w:hint="eastAsia" w:ascii="宋体" w:hAnsi="宋体" w:cs="宋体"/>
          <w:color w:val="auto"/>
          <w:kern w:val="0"/>
          <w:szCs w:val="21"/>
        </w:rPr>
        <w:t>投诉人签署的授权委托书。授权委托书应当载明代理人的姓名或者名称、代理事项、具体权限、期限和相关事项。</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3.投诉人若对项目的某一分包进行投诉，投诉书应列明具体分包号。</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4.投诉书应简要列明质疑事项，质疑函、质疑答复等作为附件材料提供。</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5.投诉书的投诉事</w:t>
      </w:r>
      <w:bookmarkStart w:id="353" w:name="_GoBack"/>
      <w:bookmarkEnd w:id="353"/>
      <w:r>
        <w:rPr>
          <w:rFonts w:hint="eastAsia" w:ascii="宋体" w:hAnsi="宋体" w:cs="宋体"/>
          <w:color w:val="auto"/>
          <w:szCs w:val="21"/>
        </w:rPr>
        <w:t>项应具体、明确，并有必要的事实依据和法律依据。</w:t>
      </w:r>
    </w:p>
    <w:p>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6.投诉书的投诉请求应与投诉事项相关。</w:t>
      </w:r>
    </w:p>
    <w:p>
      <w:pPr>
        <w:widowControl/>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7.投诉人为自然人的，投诉书应当由本人签字；投诉人为法人或者其他组织的，投诉书应当由法定代表人、主要负责人，或者其授权代表签字或者盖章，</w:t>
      </w:r>
      <w:r>
        <w:rPr>
          <w:rFonts w:hint="eastAsia" w:ascii="宋体" w:hAnsi="宋体" w:cs="宋体"/>
          <w:color w:val="FF0000"/>
          <w:szCs w:val="21"/>
        </w:rPr>
        <w:t>并加盖公章。</w:t>
      </w:r>
    </w:p>
    <w:p>
      <w:pPr>
        <w:snapToGrid w:val="0"/>
        <w:spacing w:before="50" w:after="120" w:afterLines="50" w:line="360" w:lineRule="auto"/>
        <w:ind w:firstLine="420" w:firstLineChars="200"/>
        <w:jc w:val="left"/>
        <w:rPr>
          <w:rFonts w:hint="eastAsia" w:ascii="宋体" w:hAnsi="宋体" w:cs="宋体"/>
          <w:color w:val="auto"/>
          <w:szCs w:val="21"/>
        </w:rPr>
      </w:pPr>
    </w:p>
    <w:p>
      <w:pPr>
        <w:rPr>
          <w:rFonts w:hint="eastAsia" w:ascii="宋体" w:hAnsi="宋体" w:cs="宋体"/>
          <w:color w:val="auto"/>
        </w:rPr>
      </w:pPr>
    </w:p>
    <w:p>
      <w:pPr>
        <w:spacing w:line="560" w:lineRule="exact"/>
        <w:ind w:firstLine="640" w:firstLineChars="200"/>
        <w:rPr>
          <w:rFonts w:hint="eastAsia" w:ascii="仿宋_GB2312" w:hAnsi="仿宋_GB2312" w:eastAsia="仿宋_GB2312"/>
          <w:color w:val="auto"/>
          <w:sz w:val="32"/>
          <w:szCs w:val="32"/>
        </w:rPr>
      </w:pPr>
    </w:p>
    <w:p>
      <w:pPr>
        <w:spacing w:line="560" w:lineRule="exact"/>
        <w:ind w:firstLine="640" w:firstLineChars="200"/>
        <w:rPr>
          <w:rFonts w:hint="eastAsia" w:ascii="仿宋_GB2312" w:hAnsi="仿宋_GB2312" w:eastAsia="仿宋_GB2312"/>
          <w:color w:val="auto"/>
          <w:sz w:val="32"/>
          <w:szCs w:val="32"/>
        </w:rPr>
      </w:pPr>
    </w:p>
    <w:p>
      <w:pPr>
        <w:spacing w:line="560" w:lineRule="exact"/>
        <w:ind w:firstLine="640" w:firstLineChars="200"/>
        <w:rPr>
          <w:rFonts w:hint="eastAsia" w:ascii="仿宋_GB2312" w:hAnsi="仿宋_GB2312" w:eastAsia="仿宋_GB2312"/>
          <w:color w:val="auto"/>
          <w:sz w:val="32"/>
          <w:szCs w:val="32"/>
        </w:rPr>
      </w:pPr>
    </w:p>
    <w:p>
      <w:pPr>
        <w:rPr>
          <w:rFonts w:ascii="仿宋_GB2312" w:eastAsia="仿宋_GB2312"/>
          <w:color w:val="auto"/>
          <w:sz w:val="44"/>
          <w:szCs w:val="44"/>
        </w:rPr>
      </w:pPr>
    </w:p>
    <w:sectPr>
      <w:headerReference r:id="rId10" w:type="default"/>
      <w:footerReference r:id="rId11" w:type="default"/>
      <w:footerReference r:id="rId12" w:type="even"/>
      <w:pgSz w:w="11906" w:h="16838"/>
      <w:pgMar w:top="2098" w:right="1474" w:bottom="1984" w:left="1587" w:header="851" w:footer="851"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monospace">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73EFB52D-0DA5-44CC-905B-930E0C70EFC1}"/>
  </w:font>
  <w:font w:name="仿宋">
    <w:panose1 w:val="02010609060101010101"/>
    <w:charset w:val="86"/>
    <w:family w:val="modern"/>
    <w:pitch w:val="default"/>
    <w:sig w:usb0="800002BF" w:usb1="38CF7CFA" w:usb2="00000016" w:usb3="00000000" w:csb0="00040001" w:csb1="00000000"/>
    <w:embedRegular r:id="rId2" w:fontKey="{CDE55D9B-0209-452A-997C-6655384BD913}"/>
  </w:font>
  <w:font w:name="方正小标宋简体">
    <w:panose1 w:val="02000000000000000000"/>
    <w:charset w:val="86"/>
    <w:family w:val="auto"/>
    <w:pitch w:val="default"/>
    <w:sig w:usb0="00000001" w:usb1="08000000" w:usb2="00000000" w:usb3="00000000" w:csb0="00040000" w:csb1="00000000"/>
    <w:embedRegular r:id="rId3" w:fontKey="{D8B57F59-0FEC-40F4-A48D-0B33A6ACF8A4}"/>
  </w:font>
  <w:font w:name="Wingdings 2">
    <w:panose1 w:val="05020102010507070707"/>
    <w:charset w:val="02"/>
    <w:family w:val="roman"/>
    <w:pitch w:val="default"/>
    <w:sig w:usb0="00000000" w:usb1="00000000" w:usb2="00000000" w:usb3="00000000" w:csb0="80000000" w:csb1="00000000"/>
    <w:embedRegular r:id="rId4" w:fontKey="{8FD3E682-AFF9-4E55-A361-5AB493B5BE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DygsrXAQAAsgMAAA4AAAAAAAAAAQAgAAAA&#10;HgEAAGRycy9lMm9Eb2MueG1sUEsFBgAAAAAGAAYAWQEAAGcFAAAAAA==&#10;">
              <v:fill on="f" focussize="0,0"/>
              <v:stroke on="f"/>
              <v:imagedata o:title=""/>
              <o:lock v:ext="edit" aspectratio="f"/>
              <v:textbox inset="0mm,0mm,0mm,0mm" style="mso-fit-shape-to-text:t;">
                <w:txbxContent>
                  <w:p>
                    <w:pPr>
                      <w:pStyle w:val="17"/>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1"/>
                              <w:szCs w:val="13"/>
                            </w:rPr>
                          </w:pPr>
                          <w:r>
                            <w:rPr>
                              <w:rFonts w:ascii="宋体" w:hAnsi="宋体"/>
                              <w:sz w:val="21"/>
                              <w:szCs w:val="13"/>
                            </w:rPr>
                            <w:fldChar w:fldCharType="begin"/>
                          </w:r>
                          <w:r>
                            <w:rPr>
                              <w:rFonts w:ascii="宋体" w:hAnsi="宋体"/>
                              <w:sz w:val="21"/>
                              <w:szCs w:val="13"/>
                            </w:rPr>
                            <w:instrText xml:space="preserve"> PAGE  \* MERGEFORMAT </w:instrText>
                          </w:r>
                          <w:r>
                            <w:rPr>
                              <w:rFonts w:ascii="宋体" w:hAnsi="宋体"/>
                              <w:sz w:val="21"/>
                              <w:szCs w:val="13"/>
                            </w:rPr>
                            <w:fldChar w:fldCharType="separate"/>
                          </w:r>
                          <w:r>
                            <w:rPr>
                              <w:rFonts w:ascii="宋体" w:hAnsi="宋体"/>
                              <w:sz w:val="21"/>
                              <w:szCs w:val="13"/>
                            </w:rPr>
                            <w:t>2</w:t>
                          </w:r>
                          <w:r>
                            <w:rPr>
                              <w:rFonts w:ascii="宋体" w:hAnsi="宋体"/>
                              <w:sz w:val="21"/>
                              <w:szCs w:val="13"/>
                            </w:rP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&#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btPoTXAQAAsgMAAA4AAAAAAAAAAQAgAAAA&#10;HgEAAGRycy9lMm9Eb2MueG1sUEsFBgAAAAAGAAYAWQEAAGcFAAAAAA==&#10;">
              <v:fill on="f" focussize="0,0"/>
              <v:stroke on="f"/>
              <v:imagedata o:title=""/>
              <o:lock v:ext="edit" aspectratio="f"/>
              <v:textbox inset="0mm,0mm,0mm,0mm" style="mso-fit-shape-to-text:t;">
                <w:txbxContent>
                  <w:p>
                    <w:pPr>
                      <w:pStyle w:val="17"/>
                      <w:rPr>
                        <w:rFonts w:hint="eastAsia" w:ascii="宋体" w:hAnsi="宋体"/>
                        <w:sz w:val="21"/>
                        <w:szCs w:val="13"/>
                      </w:rPr>
                    </w:pPr>
                    <w:r>
                      <w:rPr>
                        <w:rFonts w:ascii="宋体" w:hAnsi="宋体"/>
                        <w:sz w:val="21"/>
                        <w:szCs w:val="13"/>
                      </w:rPr>
                      <w:fldChar w:fldCharType="begin"/>
                    </w:r>
                    <w:r>
                      <w:rPr>
                        <w:rFonts w:ascii="宋体" w:hAnsi="宋体"/>
                        <w:sz w:val="21"/>
                        <w:szCs w:val="13"/>
                      </w:rPr>
                      <w:instrText xml:space="preserve"> PAGE  \* MERGEFORMAT </w:instrText>
                    </w:r>
                    <w:r>
                      <w:rPr>
                        <w:rFonts w:ascii="宋体" w:hAnsi="宋体"/>
                        <w:sz w:val="21"/>
                        <w:szCs w:val="13"/>
                      </w:rPr>
                      <w:fldChar w:fldCharType="separate"/>
                    </w:r>
                    <w:r>
                      <w:rPr>
                        <w:rFonts w:ascii="宋体" w:hAnsi="宋体"/>
                        <w:sz w:val="21"/>
                        <w:szCs w:val="13"/>
                      </w:rPr>
                      <w:t>2</w:t>
                    </w:r>
                    <w:r>
                      <w:rPr>
                        <w:rFonts w:ascii="宋体" w:hAnsi="宋体"/>
                        <w:sz w:val="21"/>
                        <w:szCs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3RxUzXAQAAswMAAA4AAAAAAAAAAQAgAAAA&#10;HgEAAGRycy9lMm9Eb2MueG1sUEsFBgAAAAAGAAYAWQEAAGcFAAAAAA==&#10;">
              <v:fill on="f" focussize="0,0"/>
              <v:stroke on="f"/>
              <v:imagedata o:title=""/>
              <o:lock v:ext="edit" aspectratio="f"/>
              <v:textbox inset="0mm,0mm,0mm,0mm" style="mso-fit-shape-to-text:t;">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v:textbox>
            </v:shape>
          </w:pict>
        </mc:Fallback>
      </mc:AlternateContent>
    </w:r>
  </w:p>
  <w:p>
    <w:pPr>
      <w:spacing w:line="176" w:lineRule="auto"/>
      <w:rPr>
        <w:rFonts w:eastAsia="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rPr>
        <w:rFonts w:eastAsia="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71</w:t>
                          </w:r>
                          <w:r>
                            <w:rPr>
                              <w:rFonts w:ascii="宋体" w:hAnsi="宋体"/>
                              <w:sz w:val="28"/>
                            </w:rPr>
                            <w:fldChar w:fldCharType="end"/>
                          </w:r>
                        </w:p>
                      </w:txbxContent>
                    </wps:txbx>
                    <wps:bodyPr vert="horz" wrap="none" lIns="0" tIns="0" rIns="0" bIns="0" anchor="t" anchorCtr="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PDm+rPXAQAAswMAAA4AAAAAAAAAAQAgAAAA&#10;HgEAAGRycy9lMm9Eb2MueG1sUEsFBgAAAAAGAAYAWQEAAGcFAAAAAA==&#10;">
              <v:fill on="f" focussize="0,0"/>
              <v:stroke on="f"/>
              <v:imagedata o:title=""/>
              <o:lock v:ext="edit" aspectratio="f"/>
              <v:textbox inset="0mm,0mm,0mm,0mm" style="mso-fit-shape-to-text:t;">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71</w:t>
                    </w:r>
                    <w:r>
                      <w:rPr>
                        <w:rFonts w:ascii="宋体" w:hAnsi="宋体"/>
                        <w:sz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rPr>
        <w:rFonts w:hint="eastAsia"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8"/>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109</w:t>
                          </w:r>
                          <w:r>
                            <w:rPr>
                              <w:rFonts w:ascii="宋体" w:hAnsi="宋体"/>
                              <w:sz w:val="21"/>
                              <w:szCs w:val="21"/>
                            </w:rPr>
                            <w:fldChar w:fldCharType="end"/>
                          </w: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FdmJ83XAQAAswMAAA4AAAAAAAAAAQAgAAAA&#10;HgEAAGRycy9lMm9Eb2MueG1sUEsFBgAAAAAGAAYAWQEAAGcFAAAAAA==&#10;">
              <v:fill on="f" focussize="0,0"/>
              <v:stroke on="f"/>
              <v:imagedata o:title=""/>
              <o:lock v:ext="edit" aspectratio="f"/>
              <v:textbox inset="0mm,0mm,0mm,0mm" style="mso-fit-shape-to-text:t;">
                <w:txbxContent>
                  <w:p>
                    <w:pPr>
                      <w:pStyle w:val="17"/>
                      <w:rPr>
                        <w:rFonts w:hint="eastAsia" w:ascii="宋体" w:hAnsi="宋体"/>
                        <w:sz w:val="28"/>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109</w:t>
                    </w:r>
                    <w:r>
                      <w:rPr>
                        <w:rFonts w:ascii="宋体" w:hAnsi="宋体"/>
                        <w:sz w:val="21"/>
                        <w:szCs w:val="21"/>
                      </w:rPr>
                      <w:fldChar w:fldCharType="end"/>
                    </w:r>
                  </w:p>
                </w:txbxContent>
              </v:textbox>
            </v:shape>
          </w:pict>
        </mc:Fallback>
      </mc:AlternateContent>
    </w:r>
  </w:p>
  <w:p>
    <w:pPr>
      <w:pStyle w:val="1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110</w:t>
                          </w:r>
                          <w:r>
                            <w:rPr>
                              <w:rFonts w:ascii="宋体" w:hAnsi="宋体"/>
                              <w:sz w:val="28"/>
                            </w:rP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yPdaN2AEAALMDAAAOAAAAAAAAAAEAIAAA&#10;AB4BAABkcnMvZTJvRG9jLnhtbFBLBQYAAAAABgAGAFkBAABoBQAAAAA=&#10;">
              <v:fill on="f" focussize="0,0"/>
              <v:stroke on="f"/>
              <v:imagedata o:title=""/>
              <o:lock v:ext="edit" aspectratio="f"/>
              <v:textbox inset="0mm,0mm,0mm,0mm" style="mso-fit-shape-to-text:t;">
                <w:txbxContent>
                  <w:p>
                    <w:pPr>
                      <w:pStyle w:val="17"/>
                      <w:rPr>
                        <w:rFonts w:hint="eastAsia"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110</w:t>
                    </w:r>
                    <w:r>
                      <w:rPr>
                        <w:rFonts w:ascii="宋体" w:hAnsi="宋体"/>
                        <w:sz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0EE22"/>
    <w:multiLevelType w:val="singleLevel"/>
    <w:tmpl w:val="85C0EE22"/>
    <w:lvl w:ilvl="0" w:tentative="0">
      <w:start w:val="13"/>
      <w:numFmt w:val="decimal"/>
      <w:lvlText w:val="%1."/>
      <w:lvlJc w:val="left"/>
      <w:pPr>
        <w:tabs>
          <w:tab w:val="left" w:pos="312"/>
        </w:tabs>
      </w:pPr>
    </w:lvl>
  </w:abstractNum>
  <w:abstractNum w:abstractNumId="1">
    <w:nsid w:val="B7F136EB"/>
    <w:multiLevelType w:val="singleLevel"/>
    <w:tmpl w:val="B7F136EB"/>
    <w:lvl w:ilvl="0" w:tentative="0">
      <w:start w:val="4"/>
      <w:numFmt w:val="decimal"/>
      <w:lvlText w:val="%1."/>
      <w:lvlJc w:val="left"/>
      <w:pPr>
        <w:tabs>
          <w:tab w:val="left" w:pos="312"/>
        </w:tabs>
      </w:pPr>
    </w:lvl>
  </w:abstractNum>
  <w:abstractNum w:abstractNumId="2">
    <w:nsid w:val="D14722F3"/>
    <w:multiLevelType w:val="singleLevel"/>
    <w:tmpl w:val="D14722F3"/>
    <w:lvl w:ilvl="0" w:tentative="0">
      <w:start w:val="1"/>
      <w:numFmt w:val="decimal"/>
      <w:suff w:val="nothing"/>
      <w:lvlText w:val="（%1）"/>
      <w:lvlJc w:val="left"/>
    </w:lvl>
  </w:abstractNum>
  <w:abstractNum w:abstractNumId="3">
    <w:nsid w:val="00000001"/>
    <w:multiLevelType w:val="multilevel"/>
    <w:tmpl w:val="00000001"/>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2"/>
    <w:multiLevelType w:val="multilevel"/>
    <w:tmpl w:val="00000002"/>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5">
    <w:nsid w:val="00DAB5FE"/>
    <w:multiLevelType w:val="singleLevel"/>
    <w:tmpl w:val="00DAB5FE"/>
    <w:lvl w:ilvl="0" w:tentative="0">
      <w:start w:val="3"/>
      <w:numFmt w:val="decimal"/>
      <w:lvlText w:val="%1."/>
      <w:lvlJc w:val="left"/>
      <w:pPr>
        <w:tabs>
          <w:tab w:val="left" w:pos="312"/>
        </w:tabs>
      </w:pPr>
    </w:lvl>
  </w:abstractNum>
  <w:abstractNum w:abstractNumId="6">
    <w:nsid w:val="09A9DEFB"/>
    <w:multiLevelType w:val="singleLevel"/>
    <w:tmpl w:val="09A9DEFB"/>
    <w:lvl w:ilvl="0" w:tentative="0">
      <w:start w:val="1"/>
      <w:numFmt w:val="chineseCounting"/>
      <w:suff w:val="nothing"/>
      <w:lvlText w:val="%1、"/>
      <w:lvlJc w:val="left"/>
      <w:rPr>
        <w:rFonts w:hint="eastAsia"/>
      </w:rPr>
    </w:lvl>
  </w:abstractNum>
  <w:abstractNum w:abstractNumId="7">
    <w:nsid w:val="6CB991A2"/>
    <w:multiLevelType w:val="singleLevel"/>
    <w:tmpl w:val="6CB991A2"/>
    <w:lvl w:ilvl="0" w:tentative="0">
      <w:start w:val="1"/>
      <w:numFmt w:val="decimal"/>
      <w:lvlText w:val="%1."/>
      <w:lvlJc w:val="left"/>
      <w:pPr>
        <w:tabs>
          <w:tab w:val="left" w:pos="312"/>
        </w:tabs>
      </w:pPr>
    </w:lvl>
  </w:abstractNum>
  <w:abstractNum w:abstractNumId="8">
    <w:nsid w:val="7C055292"/>
    <w:multiLevelType w:val="singleLevel"/>
    <w:tmpl w:val="7C055292"/>
    <w:lvl w:ilvl="0" w:tentative="0">
      <w:start w:val="1"/>
      <w:numFmt w:val="decimal"/>
      <w:lvlText w:val="%1."/>
      <w:lvlJc w:val="left"/>
      <w:pPr>
        <w:tabs>
          <w:tab w:val="left" w:pos="312"/>
        </w:tabs>
      </w:pPr>
    </w:lvl>
  </w:abstractNum>
  <w:num w:numId="1">
    <w:abstractNumId w:val="1"/>
  </w:num>
  <w:num w:numId="2">
    <w:abstractNumId w:val="5"/>
  </w:num>
  <w:num w:numId="3">
    <w:abstractNumId w:val="0"/>
  </w:num>
  <w:num w:numId="4">
    <w:abstractNumId w:val="6"/>
  </w:num>
  <w:num w:numId="5">
    <w:abstractNumId w:val="2"/>
  </w:num>
  <w:num w:numId="6">
    <w:abstractNumId w:val="7"/>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420"/>
  <w:evenAndOddHeaders w:val="1"/>
  <w:drawingGridHorizontalSpacing w:val="105"/>
  <w:drawingGridVerticalSpacing w:val="156"/>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1ZWE4ZjgyYmVmM2YwNjI2NWM5MmNhNThhZDQwNTcifQ=="/>
  </w:docVars>
  <w:rsids>
    <w:rsidRoot w:val="00172A27"/>
    <w:rsid w:val="000155B4"/>
    <w:rsid w:val="000521D2"/>
    <w:rsid w:val="00077F0D"/>
    <w:rsid w:val="000B0B63"/>
    <w:rsid w:val="000B3C2D"/>
    <w:rsid w:val="000B5D0B"/>
    <w:rsid w:val="000E4D01"/>
    <w:rsid w:val="000E6FB9"/>
    <w:rsid w:val="001007E6"/>
    <w:rsid w:val="0011378C"/>
    <w:rsid w:val="00152FE4"/>
    <w:rsid w:val="00166007"/>
    <w:rsid w:val="00171680"/>
    <w:rsid w:val="00172A27"/>
    <w:rsid w:val="00174125"/>
    <w:rsid w:val="001B09D4"/>
    <w:rsid w:val="001D18B5"/>
    <w:rsid w:val="00230A4A"/>
    <w:rsid w:val="00281F21"/>
    <w:rsid w:val="0028227A"/>
    <w:rsid w:val="00284F9A"/>
    <w:rsid w:val="0029082B"/>
    <w:rsid w:val="002A10BF"/>
    <w:rsid w:val="002C1149"/>
    <w:rsid w:val="002F69C2"/>
    <w:rsid w:val="00317D11"/>
    <w:rsid w:val="0036299E"/>
    <w:rsid w:val="004363FB"/>
    <w:rsid w:val="0044182D"/>
    <w:rsid w:val="00441A5D"/>
    <w:rsid w:val="004544A8"/>
    <w:rsid w:val="004C4D7A"/>
    <w:rsid w:val="0055375E"/>
    <w:rsid w:val="00575513"/>
    <w:rsid w:val="005C67CE"/>
    <w:rsid w:val="005D48C2"/>
    <w:rsid w:val="005D743B"/>
    <w:rsid w:val="005E19AB"/>
    <w:rsid w:val="006016E9"/>
    <w:rsid w:val="00614B31"/>
    <w:rsid w:val="00642F88"/>
    <w:rsid w:val="0065202F"/>
    <w:rsid w:val="00683C44"/>
    <w:rsid w:val="00686054"/>
    <w:rsid w:val="00695B5C"/>
    <w:rsid w:val="007827ED"/>
    <w:rsid w:val="007C3247"/>
    <w:rsid w:val="007C3CC7"/>
    <w:rsid w:val="007D02E4"/>
    <w:rsid w:val="008251C4"/>
    <w:rsid w:val="008272D6"/>
    <w:rsid w:val="00835856"/>
    <w:rsid w:val="00836540"/>
    <w:rsid w:val="008421DE"/>
    <w:rsid w:val="008962A1"/>
    <w:rsid w:val="00897A01"/>
    <w:rsid w:val="008B2012"/>
    <w:rsid w:val="008F619D"/>
    <w:rsid w:val="00915A4F"/>
    <w:rsid w:val="00937BEF"/>
    <w:rsid w:val="0096287B"/>
    <w:rsid w:val="00962B7D"/>
    <w:rsid w:val="009828CA"/>
    <w:rsid w:val="009926B4"/>
    <w:rsid w:val="009E54DD"/>
    <w:rsid w:val="00A121AF"/>
    <w:rsid w:val="00A4211E"/>
    <w:rsid w:val="00A539AF"/>
    <w:rsid w:val="00A729CB"/>
    <w:rsid w:val="00AA72F6"/>
    <w:rsid w:val="00AC4523"/>
    <w:rsid w:val="00AD6DD0"/>
    <w:rsid w:val="00AD7F91"/>
    <w:rsid w:val="00B14D75"/>
    <w:rsid w:val="00B67E8E"/>
    <w:rsid w:val="00B90B81"/>
    <w:rsid w:val="00C23FE9"/>
    <w:rsid w:val="00C5110E"/>
    <w:rsid w:val="00C7047A"/>
    <w:rsid w:val="00C73134"/>
    <w:rsid w:val="00C96822"/>
    <w:rsid w:val="00CA11D3"/>
    <w:rsid w:val="00CA7644"/>
    <w:rsid w:val="00CD66B8"/>
    <w:rsid w:val="00CE3169"/>
    <w:rsid w:val="00D65B41"/>
    <w:rsid w:val="00D9763E"/>
    <w:rsid w:val="00DC4EC9"/>
    <w:rsid w:val="00E33DCE"/>
    <w:rsid w:val="00E64BAB"/>
    <w:rsid w:val="00E87008"/>
    <w:rsid w:val="00EC39AD"/>
    <w:rsid w:val="00EC65EB"/>
    <w:rsid w:val="00ED7323"/>
    <w:rsid w:val="00F47DD2"/>
    <w:rsid w:val="00F72113"/>
    <w:rsid w:val="00F74988"/>
    <w:rsid w:val="00F76FEB"/>
    <w:rsid w:val="00F77B7C"/>
    <w:rsid w:val="00F77C72"/>
    <w:rsid w:val="00F84F13"/>
    <w:rsid w:val="00FA5E22"/>
    <w:rsid w:val="00FB53FA"/>
    <w:rsid w:val="00FB666B"/>
    <w:rsid w:val="00FD5E59"/>
    <w:rsid w:val="00FD6F65"/>
    <w:rsid w:val="00FF073E"/>
    <w:rsid w:val="00FF4585"/>
    <w:rsid w:val="0107707E"/>
    <w:rsid w:val="010C7DCA"/>
    <w:rsid w:val="01395249"/>
    <w:rsid w:val="01501A81"/>
    <w:rsid w:val="01550BDE"/>
    <w:rsid w:val="01593653"/>
    <w:rsid w:val="0178768B"/>
    <w:rsid w:val="01811186"/>
    <w:rsid w:val="0192398E"/>
    <w:rsid w:val="01A5725D"/>
    <w:rsid w:val="01AF481A"/>
    <w:rsid w:val="01D05436"/>
    <w:rsid w:val="01E834DD"/>
    <w:rsid w:val="01EA438F"/>
    <w:rsid w:val="02031D61"/>
    <w:rsid w:val="021A5B58"/>
    <w:rsid w:val="02291C3C"/>
    <w:rsid w:val="025C0116"/>
    <w:rsid w:val="026B50D9"/>
    <w:rsid w:val="02764B21"/>
    <w:rsid w:val="02B060EE"/>
    <w:rsid w:val="02D36548"/>
    <w:rsid w:val="02E31FD2"/>
    <w:rsid w:val="02F71E58"/>
    <w:rsid w:val="02FE7E66"/>
    <w:rsid w:val="03145506"/>
    <w:rsid w:val="03183E33"/>
    <w:rsid w:val="03227C2F"/>
    <w:rsid w:val="032B10EA"/>
    <w:rsid w:val="03605F71"/>
    <w:rsid w:val="03692201"/>
    <w:rsid w:val="036B2DF9"/>
    <w:rsid w:val="03720738"/>
    <w:rsid w:val="03770D13"/>
    <w:rsid w:val="038A0A18"/>
    <w:rsid w:val="039F299B"/>
    <w:rsid w:val="03AE795E"/>
    <w:rsid w:val="03CE5CF8"/>
    <w:rsid w:val="03FA155C"/>
    <w:rsid w:val="03FF82DC"/>
    <w:rsid w:val="0410290D"/>
    <w:rsid w:val="04284E13"/>
    <w:rsid w:val="044C5900"/>
    <w:rsid w:val="045C19CE"/>
    <w:rsid w:val="046B3DBE"/>
    <w:rsid w:val="04781A0B"/>
    <w:rsid w:val="049C5156"/>
    <w:rsid w:val="049E0759"/>
    <w:rsid w:val="04A27279"/>
    <w:rsid w:val="04E95DFE"/>
    <w:rsid w:val="04ED5B8A"/>
    <w:rsid w:val="05094D59"/>
    <w:rsid w:val="051A2D86"/>
    <w:rsid w:val="051C4E13"/>
    <w:rsid w:val="05240B21"/>
    <w:rsid w:val="05381E09"/>
    <w:rsid w:val="05432019"/>
    <w:rsid w:val="054651B1"/>
    <w:rsid w:val="054C37B6"/>
    <w:rsid w:val="055E7144"/>
    <w:rsid w:val="0560691E"/>
    <w:rsid w:val="05AB05F8"/>
    <w:rsid w:val="05C1044E"/>
    <w:rsid w:val="05D10BE5"/>
    <w:rsid w:val="05D312F2"/>
    <w:rsid w:val="05DC336A"/>
    <w:rsid w:val="05F63235"/>
    <w:rsid w:val="06011662"/>
    <w:rsid w:val="06173413"/>
    <w:rsid w:val="061D52B0"/>
    <w:rsid w:val="062C3E4F"/>
    <w:rsid w:val="063C7836"/>
    <w:rsid w:val="06712BB6"/>
    <w:rsid w:val="067724B4"/>
    <w:rsid w:val="068059CA"/>
    <w:rsid w:val="06886F63"/>
    <w:rsid w:val="06921EC4"/>
    <w:rsid w:val="06C615A2"/>
    <w:rsid w:val="06D268F7"/>
    <w:rsid w:val="06D4416C"/>
    <w:rsid w:val="070D5F42"/>
    <w:rsid w:val="0712630F"/>
    <w:rsid w:val="072408B5"/>
    <w:rsid w:val="07341AD0"/>
    <w:rsid w:val="07736861"/>
    <w:rsid w:val="07834E43"/>
    <w:rsid w:val="079A4A26"/>
    <w:rsid w:val="07B376E6"/>
    <w:rsid w:val="07C54F50"/>
    <w:rsid w:val="07CD098C"/>
    <w:rsid w:val="07E87E18"/>
    <w:rsid w:val="07EF6D6D"/>
    <w:rsid w:val="07EFE5F5"/>
    <w:rsid w:val="081A31D6"/>
    <w:rsid w:val="08225905"/>
    <w:rsid w:val="082E2B4C"/>
    <w:rsid w:val="0836281F"/>
    <w:rsid w:val="084D5698"/>
    <w:rsid w:val="087610DE"/>
    <w:rsid w:val="087E00E7"/>
    <w:rsid w:val="08823A34"/>
    <w:rsid w:val="088A7F1B"/>
    <w:rsid w:val="088C063F"/>
    <w:rsid w:val="08B7714B"/>
    <w:rsid w:val="08D44C91"/>
    <w:rsid w:val="08E37B9C"/>
    <w:rsid w:val="08EB1EBE"/>
    <w:rsid w:val="08FE67BC"/>
    <w:rsid w:val="0900512E"/>
    <w:rsid w:val="091B253A"/>
    <w:rsid w:val="095323EF"/>
    <w:rsid w:val="09617865"/>
    <w:rsid w:val="09BC3870"/>
    <w:rsid w:val="09CB08A8"/>
    <w:rsid w:val="09D83C22"/>
    <w:rsid w:val="09DD26C4"/>
    <w:rsid w:val="09EB0206"/>
    <w:rsid w:val="0A207B6A"/>
    <w:rsid w:val="0A212DC4"/>
    <w:rsid w:val="0A321B2F"/>
    <w:rsid w:val="0A3C2FF8"/>
    <w:rsid w:val="0A440EE2"/>
    <w:rsid w:val="0A442FC6"/>
    <w:rsid w:val="0A5C666F"/>
    <w:rsid w:val="0A6C0360"/>
    <w:rsid w:val="0A8050FD"/>
    <w:rsid w:val="0A807BE1"/>
    <w:rsid w:val="0AC02B81"/>
    <w:rsid w:val="0AE85AC8"/>
    <w:rsid w:val="0AEE16B2"/>
    <w:rsid w:val="0B081CCF"/>
    <w:rsid w:val="0B1247E5"/>
    <w:rsid w:val="0B1D0203"/>
    <w:rsid w:val="0B445C63"/>
    <w:rsid w:val="0B4877C7"/>
    <w:rsid w:val="0B4C6367"/>
    <w:rsid w:val="0B5F1B77"/>
    <w:rsid w:val="0B615E83"/>
    <w:rsid w:val="0B6A45AB"/>
    <w:rsid w:val="0B6F4B65"/>
    <w:rsid w:val="0B720E60"/>
    <w:rsid w:val="0BA049E9"/>
    <w:rsid w:val="0BA34615"/>
    <w:rsid w:val="0BBA5BBB"/>
    <w:rsid w:val="0BCA0DDD"/>
    <w:rsid w:val="0BD57933"/>
    <w:rsid w:val="0BEF2F28"/>
    <w:rsid w:val="0BF12E98"/>
    <w:rsid w:val="0C0F1C38"/>
    <w:rsid w:val="0C11795D"/>
    <w:rsid w:val="0C152235"/>
    <w:rsid w:val="0C200799"/>
    <w:rsid w:val="0C270B63"/>
    <w:rsid w:val="0C4F3999"/>
    <w:rsid w:val="0C5F41E2"/>
    <w:rsid w:val="0C6B1F7D"/>
    <w:rsid w:val="0C7D0A60"/>
    <w:rsid w:val="0C9910B8"/>
    <w:rsid w:val="0C9E2876"/>
    <w:rsid w:val="0CA03088"/>
    <w:rsid w:val="0CA22C14"/>
    <w:rsid w:val="0CB36D4D"/>
    <w:rsid w:val="0CD81BE1"/>
    <w:rsid w:val="0D046427"/>
    <w:rsid w:val="0D267643"/>
    <w:rsid w:val="0D357BCB"/>
    <w:rsid w:val="0D48462F"/>
    <w:rsid w:val="0D543AC8"/>
    <w:rsid w:val="0D59797D"/>
    <w:rsid w:val="0D7415AB"/>
    <w:rsid w:val="0D7B1660"/>
    <w:rsid w:val="0D953B86"/>
    <w:rsid w:val="0DB56F4F"/>
    <w:rsid w:val="0DC57C4F"/>
    <w:rsid w:val="0DC84865"/>
    <w:rsid w:val="0DD75714"/>
    <w:rsid w:val="0DDD64A2"/>
    <w:rsid w:val="0DF75B9A"/>
    <w:rsid w:val="0E0228FF"/>
    <w:rsid w:val="0E220612"/>
    <w:rsid w:val="0E317F57"/>
    <w:rsid w:val="0E3B6182"/>
    <w:rsid w:val="0E3E08ED"/>
    <w:rsid w:val="0E623A8D"/>
    <w:rsid w:val="0E685614"/>
    <w:rsid w:val="0E6A6875"/>
    <w:rsid w:val="0E725B97"/>
    <w:rsid w:val="0E7556DE"/>
    <w:rsid w:val="0E7B3256"/>
    <w:rsid w:val="0E8457DE"/>
    <w:rsid w:val="0E8E68FD"/>
    <w:rsid w:val="0E9A6F2A"/>
    <w:rsid w:val="0EC06C2E"/>
    <w:rsid w:val="0EDF64BB"/>
    <w:rsid w:val="0EE86EE5"/>
    <w:rsid w:val="0F00618D"/>
    <w:rsid w:val="0F162A00"/>
    <w:rsid w:val="0F163FB5"/>
    <w:rsid w:val="0F2949AA"/>
    <w:rsid w:val="0F4D74A9"/>
    <w:rsid w:val="0F504514"/>
    <w:rsid w:val="0F563DE2"/>
    <w:rsid w:val="0F6674E4"/>
    <w:rsid w:val="0FB42576"/>
    <w:rsid w:val="0FC73841"/>
    <w:rsid w:val="0FCE757D"/>
    <w:rsid w:val="0FEB5AE1"/>
    <w:rsid w:val="0FEE7837"/>
    <w:rsid w:val="0FFB026F"/>
    <w:rsid w:val="10220FE3"/>
    <w:rsid w:val="10273C7E"/>
    <w:rsid w:val="104A5ED2"/>
    <w:rsid w:val="104D6255"/>
    <w:rsid w:val="1050598C"/>
    <w:rsid w:val="10527D17"/>
    <w:rsid w:val="10541BDE"/>
    <w:rsid w:val="10557F85"/>
    <w:rsid w:val="105A3688"/>
    <w:rsid w:val="10944FD2"/>
    <w:rsid w:val="10965B57"/>
    <w:rsid w:val="10975AA4"/>
    <w:rsid w:val="109945F0"/>
    <w:rsid w:val="10B90CC1"/>
    <w:rsid w:val="10C94545"/>
    <w:rsid w:val="10D6460D"/>
    <w:rsid w:val="10F20D97"/>
    <w:rsid w:val="110962B7"/>
    <w:rsid w:val="11097A4C"/>
    <w:rsid w:val="111F259E"/>
    <w:rsid w:val="111F5232"/>
    <w:rsid w:val="11241962"/>
    <w:rsid w:val="11252F1A"/>
    <w:rsid w:val="112814AC"/>
    <w:rsid w:val="11336BBA"/>
    <w:rsid w:val="1136674A"/>
    <w:rsid w:val="115411CB"/>
    <w:rsid w:val="115F642C"/>
    <w:rsid w:val="116511AC"/>
    <w:rsid w:val="1185746B"/>
    <w:rsid w:val="11905A27"/>
    <w:rsid w:val="119A38B4"/>
    <w:rsid w:val="119A3908"/>
    <w:rsid w:val="11A5685A"/>
    <w:rsid w:val="11AD135C"/>
    <w:rsid w:val="11B778B7"/>
    <w:rsid w:val="11C3225E"/>
    <w:rsid w:val="11C813B5"/>
    <w:rsid w:val="11D04827"/>
    <w:rsid w:val="120255E6"/>
    <w:rsid w:val="12375093"/>
    <w:rsid w:val="123A1002"/>
    <w:rsid w:val="12603305"/>
    <w:rsid w:val="1260352A"/>
    <w:rsid w:val="12607A0E"/>
    <w:rsid w:val="126329B0"/>
    <w:rsid w:val="128F3AA7"/>
    <w:rsid w:val="12AB2457"/>
    <w:rsid w:val="12B25E81"/>
    <w:rsid w:val="12BE7CFB"/>
    <w:rsid w:val="12DA6D03"/>
    <w:rsid w:val="12E21004"/>
    <w:rsid w:val="12EE0C10"/>
    <w:rsid w:val="13340090"/>
    <w:rsid w:val="135D5C87"/>
    <w:rsid w:val="138A09F2"/>
    <w:rsid w:val="13902C50"/>
    <w:rsid w:val="13A7AEC6"/>
    <w:rsid w:val="13C80F42"/>
    <w:rsid w:val="13C8323F"/>
    <w:rsid w:val="13D047EB"/>
    <w:rsid w:val="13DC7CBE"/>
    <w:rsid w:val="13E54EC3"/>
    <w:rsid w:val="13EA55E8"/>
    <w:rsid w:val="13FE54A6"/>
    <w:rsid w:val="13FF799E"/>
    <w:rsid w:val="14193033"/>
    <w:rsid w:val="142D0066"/>
    <w:rsid w:val="14411E19"/>
    <w:rsid w:val="14662EC3"/>
    <w:rsid w:val="146E56A0"/>
    <w:rsid w:val="14AB75AB"/>
    <w:rsid w:val="14B43F9D"/>
    <w:rsid w:val="14C20D51"/>
    <w:rsid w:val="14EE06E6"/>
    <w:rsid w:val="14F0250E"/>
    <w:rsid w:val="14F21311"/>
    <w:rsid w:val="14F670A8"/>
    <w:rsid w:val="14FE0980"/>
    <w:rsid w:val="150E2555"/>
    <w:rsid w:val="15235BEC"/>
    <w:rsid w:val="152D417A"/>
    <w:rsid w:val="152D6383"/>
    <w:rsid w:val="15394457"/>
    <w:rsid w:val="1544580C"/>
    <w:rsid w:val="1555339C"/>
    <w:rsid w:val="155D45D2"/>
    <w:rsid w:val="157C46C9"/>
    <w:rsid w:val="15D17E13"/>
    <w:rsid w:val="15D66ED9"/>
    <w:rsid w:val="15FD5FF7"/>
    <w:rsid w:val="16087D02"/>
    <w:rsid w:val="160C241D"/>
    <w:rsid w:val="16120462"/>
    <w:rsid w:val="161C2C4B"/>
    <w:rsid w:val="16223F94"/>
    <w:rsid w:val="163F775A"/>
    <w:rsid w:val="16580EF6"/>
    <w:rsid w:val="165B71B5"/>
    <w:rsid w:val="166833AC"/>
    <w:rsid w:val="167B3442"/>
    <w:rsid w:val="1681796F"/>
    <w:rsid w:val="168373DC"/>
    <w:rsid w:val="16926D15"/>
    <w:rsid w:val="16B424D3"/>
    <w:rsid w:val="16CA5F4D"/>
    <w:rsid w:val="16D84525"/>
    <w:rsid w:val="16E15577"/>
    <w:rsid w:val="16F639D7"/>
    <w:rsid w:val="16FA5577"/>
    <w:rsid w:val="170A7367"/>
    <w:rsid w:val="171B4C60"/>
    <w:rsid w:val="17287CB1"/>
    <w:rsid w:val="172C4A24"/>
    <w:rsid w:val="17481D0A"/>
    <w:rsid w:val="175221BE"/>
    <w:rsid w:val="17715B9E"/>
    <w:rsid w:val="177532A3"/>
    <w:rsid w:val="178B7049"/>
    <w:rsid w:val="17941226"/>
    <w:rsid w:val="1796247C"/>
    <w:rsid w:val="179B7A41"/>
    <w:rsid w:val="179D0CB1"/>
    <w:rsid w:val="17AE4D37"/>
    <w:rsid w:val="17B745F8"/>
    <w:rsid w:val="17BB2C13"/>
    <w:rsid w:val="17C00D98"/>
    <w:rsid w:val="17DE14ED"/>
    <w:rsid w:val="17F12716"/>
    <w:rsid w:val="180E5F8F"/>
    <w:rsid w:val="183936DE"/>
    <w:rsid w:val="183B1AC3"/>
    <w:rsid w:val="18496F03"/>
    <w:rsid w:val="185300C4"/>
    <w:rsid w:val="18976835"/>
    <w:rsid w:val="18AE77E2"/>
    <w:rsid w:val="18B502D3"/>
    <w:rsid w:val="18FC3F1D"/>
    <w:rsid w:val="19130410"/>
    <w:rsid w:val="1914013F"/>
    <w:rsid w:val="194567F2"/>
    <w:rsid w:val="194B4C86"/>
    <w:rsid w:val="195D708F"/>
    <w:rsid w:val="19651BF8"/>
    <w:rsid w:val="196533B7"/>
    <w:rsid w:val="196D233A"/>
    <w:rsid w:val="199302C7"/>
    <w:rsid w:val="19A773D9"/>
    <w:rsid w:val="19A82E33"/>
    <w:rsid w:val="19B539B2"/>
    <w:rsid w:val="19BB08C0"/>
    <w:rsid w:val="19C0290D"/>
    <w:rsid w:val="19DA7E6E"/>
    <w:rsid w:val="19DC5FA3"/>
    <w:rsid w:val="19FF62E5"/>
    <w:rsid w:val="1A367A00"/>
    <w:rsid w:val="1A3A40FB"/>
    <w:rsid w:val="1A3F7459"/>
    <w:rsid w:val="1A472B8C"/>
    <w:rsid w:val="1A4C19F4"/>
    <w:rsid w:val="1A7647E7"/>
    <w:rsid w:val="1AAB3EF6"/>
    <w:rsid w:val="1AAE1CBA"/>
    <w:rsid w:val="1AB350E2"/>
    <w:rsid w:val="1AC8249E"/>
    <w:rsid w:val="1AD66B48"/>
    <w:rsid w:val="1AE625E7"/>
    <w:rsid w:val="1AF4285D"/>
    <w:rsid w:val="1AFF2755"/>
    <w:rsid w:val="1B217891"/>
    <w:rsid w:val="1B223994"/>
    <w:rsid w:val="1B313C9B"/>
    <w:rsid w:val="1B47EA45"/>
    <w:rsid w:val="1B4924A4"/>
    <w:rsid w:val="1B4B5C4C"/>
    <w:rsid w:val="1B562590"/>
    <w:rsid w:val="1B5F637C"/>
    <w:rsid w:val="1B6A31E8"/>
    <w:rsid w:val="1B6B7ADC"/>
    <w:rsid w:val="1B770817"/>
    <w:rsid w:val="1B80312D"/>
    <w:rsid w:val="1B8730D6"/>
    <w:rsid w:val="1BAD7F87"/>
    <w:rsid w:val="1BCD36A7"/>
    <w:rsid w:val="1BDF4030"/>
    <w:rsid w:val="1BF806F8"/>
    <w:rsid w:val="1BFC4AC7"/>
    <w:rsid w:val="1C0D45FC"/>
    <w:rsid w:val="1C3D1FA6"/>
    <w:rsid w:val="1C4E55E6"/>
    <w:rsid w:val="1C5E230A"/>
    <w:rsid w:val="1C877DEB"/>
    <w:rsid w:val="1CAC6DB0"/>
    <w:rsid w:val="1CBE5341"/>
    <w:rsid w:val="1CBF58D8"/>
    <w:rsid w:val="1CCB3614"/>
    <w:rsid w:val="1CDA65F5"/>
    <w:rsid w:val="1D013FED"/>
    <w:rsid w:val="1D042ECD"/>
    <w:rsid w:val="1D215592"/>
    <w:rsid w:val="1D253EFC"/>
    <w:rsid w:val="1D393A52"/>
    <w:rsid w:val="1D4F0D64"/>
    <w:rsid w:val="1D7352E0"/>
    <w:rsid w:val="1D802009"/>
    <w:rsid w:val="1D8B67E5"/>
    <w:rsid w:val="1D9C6312"/>
    <w:rsid w:val="1DA55579"/>
    <w:rsid w:val="1DA735F8"/>
    <w:rsid w:val="1DAC2A00"/>
    <w:rsid w:val="1DB0515B"/>
    <w:rsid w:val="1DCA61E1"/>
    <w:rsid w:val="1DCE20EE"/>
    <w:rsid w:val="1DCE7511"/>
    <w:rsid w:val="1DDF5C1D"/>
    <w:rsid w:val="1DE1245E"/>
    <w:rsid w:val="1DE627B1"/>
    <w:rsid w:val="1DEA41E8"/>
    <w:rsid w:val="1DF35498"/>
    <w:rsid w:val="1DF655C9"/>
    <w:rsid w:val="1E1278FC"/>
    <w:rsid w:val="1E15011B"/>
    <w:rsid w:val="1E154B6A"/>
    <w:rsid w:val="1E271599"/>
    <w:rsid w:val="1E2E1439"/>
    <w:rsid w:val="1E30165C"/>
    <w:rsid w:val="1E317744"/>
    <w:rsid w:val="1E3C4BBC"/>
    <w:rsid w:val="1E3C702F"/>
    <w:rsid w:val="1E546BED"/>
    <w:rsid w:val="1E6E7D5B"/>
    <w:rsid w:val="1E7D7557"/>
    <w:rsid w:val="1E9B4FE9"/>
    <w:rsid w:val="1EAA4E2B"/>
    <w:rsid w:val="1EAA60BD"/>
    <w:rsid w:val="1EB560FD"/>
    <w:rsid w:val="1EDC6399"/>
    <w:rsid w:val="1F0561DB"/>
    <w:rsid w:val="1F08738A"/>
    <w:rsid w:val="1F183CCC"/>
    <w:rsid w:val="1F1976B5"/>
    <w:rsid w:val="1F3B1562"/>
    <w:rsid w:val="1F5A3C7F"/>
    <w:rsid w:val="1F5D2DC6"/>
    <w:rsid w:val="1F5F7CA0"/>
    <w:rsid w:val="1F686DF4"/>
    <w:rsid w:val="1F69617A"/>
    <w:rsid w:val="1F764475"/>
    <w:rsid w:val="1F775289"/>
    <w:rsid w:val="1F785043"/>
    <w:rsid w:val="1F7C48CD"/>
    <w:rsid w:val="1F823305"/>
    <w:rsid w:val="1F94704E"/>
    <w:rsid w:val="1F9FF65B"/>
    <w:rsid w:val="1FC22195"/>
    <w:rsid w:val="1FC733AF"/>
    <w:rsid w:val="1FCB2989"/>
    <w:rsid w:val="1FD062BB"/>
    <w:rsid w:val="1FDA55C4"/>
    <w:rsid w:val="1FEC4ABC"/>
    <w:rsid w:val="1FF21AB3"/>
    <w:rsid w:val="1FF7E278"/>
    <w:rsid w:val="1FFE2EF3"/>
    <w:rsid w:val="20013348"/>
    <w:rsid w:val="20041FAA"/>
    <w:rsid w:val="20074A2C"/>
    <w:rsid w:val="201D3A32"/>
    <w:rsid w:val="2020766D"/>
    <w:rsid w:val="2043516B"/>
    <w:rsid w:val="20480121"/>
    <w:rsid w:val="204C2871"/>
    <w:rsid w:val="20562900"/>
    <w:rsid w:val="20607ACB"/>
    <w:rsid w:val="207115C6"/>
    <w:rsid w:val="20764E4F"/>
    <w:rsid w:val="208745CC"/>
    <w:rsid w:val="209854B7"/>
    <w:rsid w:val="209871B6"/>
    <w:rsid w:val="209B4FA7"/>
    <w:rsid w:val="20DE4EDE"/>
    <w:rsid w:val="20EC5F2B"/>
    <w:rsid w:val="210D42DB"/>
    <w:rsid w:val="21233C69"/>
    <w:rsid w:val="21235044"/>
    <w:rsid w:val="21250ADE"/>
    <w:rsid w:val="213B1DC8"/>
    <w:rsid w:val="2160233F"/>
    <w:rsid w:val="21731A80"/>
    <w:rsid w:val="21843D65"/>
    <w:rsid w:val="21877BA1"/>
    <w:rsid w:val="21880766"/>
    <w:rsid w:val="21A92A1E"/>
    <w:rsid w:val="21CC3202"/>
    <w:rsid w:val="21D83489"/>
    <w:rsid w:val="21DC73B6"/>
    <w:rsid w:val="21EB11BF"/>
    <w:rsid w:val="21EB7D39"/>
    <w:rsid w:val="21EF6C3A"/>
    <w:rsid w:val="220529E0"/>
    <w:rsid w:val="220F0F5A"/>
    <w:rsid w:val="22381FFC"/>
    <w:rsid w:val="224C1334"/>
    <w:rsid w:val="22571B51"/>
    <w:rsid w:val="22625F2A"/>
    <w:rsid w:val="22635651"/>
    <w:rsid w:val="22636561"/>
    <w:rsid w:val="2270118A"/>
    <w:rsid w:val="22764103"/>
    <w:rsid w:val="22981F9C"/>
    <w:rsid w:val="22A50DD1"/>
    <w:rsid w:val="22B641F1"/>
    <w:rsid w:val="22C67910"/>
    <w:rsid w:val="22C745EF"/>
    <w:rsid w:val="22DA2ABA"/>
    <w:rsid w:val="22E551A7"/>
    <w:rsid w:val="230961F8"/>
    <w:rsid w:val="231B3691"/>
    <w:rsid w:val="233A6FB5"/>
    <w:rsid w:val="2361787B"/>
    <w:rsid w:val="23720081"/>
    <w:rsid w:val="23757308"/>
    <w:rsid w:val="23767606"/>
    <w:rsid w:val="23846033"/>
    <w:rsid w:val="23916F72"/>
    <w:rsid w:val="23B26890"/>
    <w:rsid w:val="23EA4205"/>
    <w:rsid w:val="23F9568A"/>
    <w:rsid w:val="240A5117"/>
    <w:rsid w:val="240B21EF"/>
    <w:rsid w:val="24135628"/>
    <w:rsid w:val="24236C43"/>
    <w:rsid w:val="242C3DBC"/>
    <w:rsid w:val="24443DC5"/>
    <w:rsid w:val="244B0A54"/>
    <w:rsid w:val="24613E12"/>
    <w:rsid w:val="247D4E2F"/>
    <w:rsid w:val="24912949"/>
    <w:rsid w:val="249F7859"/>
    <w:rsid w:val="24C809CC"/>
    <w:rsid w:val="24CC5600"/>
    <w:rsid w:val="24FC5C76"/>
    <w:rsid w:val="250E2F75"/>
    <w:rsid w:val="252E1F46"/>
    <w:rsid w:val="253C38B2"/>
    <w:rsid w:val="25420D70"/>
    <w:rsid w:val="256F340D"/>
    <w:rsid w:val="258B3006"/>
    <w:rsid w:val="2591110D"/>
    <w:rsid w:val="25A974FD"/>
    <w:rsid w:val="25AF5431"/>
    <w:rsid w:val="25C54AD8"/>
    <w:rsid w:val="25CA1D51"/>
    <w:rsid w:val="25D20619"/>
    <w:rsid w:val="26030548"/>
    <w:rsid w:val="261C7DF2"/>
    <w:rsid w:val="2637724E"/>
    <w:rsid w:val="2638286E"/>
    <w:rsid w:val="264D0715"/>
    <w:rsid w:val="26585DBB"/>
    <w:rsid w:val="265912DF"/>
    <w:rsid w:val="26673500"/>
    <w:rsid w:val="268547EA"/>
    <w:rsid w:val="2691571D"/>
    <w:rsid w:val="26933183"/>
    <w:rsid w:val="2697665E"/>
    <w:rsid w:val="269F1713"/>
    <w:rsid w:val="26C23FF5"/>
    <w:rsid w:val="26C82234"/>
    <w:rsid w:val="26D27C2D"/>
    <w:rsid w:val="26E46927"/>
    <w:rsid w:val="26EF1372"/>
    <w:rsid w:val="26EF40E8"/>
    <w:rsid w:val="26F02336"/>
    <w:rsid w:val="26F8053B"/>
    <w:rsid w:val="26FD3074"/>
    <w:rsid w:val="26FD49F4"/>
    <w:rsid w:val="27070CA1"/>
    <w:rsid w:val="271E1594"/>
    <w:rsid w:val="272E1912"/>
    <w:rsid w:val="275335A0"/>
    <w:rsid w:val="27A120BD"/>
    <w:rsid w:val="27A33991"/>
    <w:rsid w:val="27B75AA2"/>
    <w:rsid w:val="27D60126"/>
    <w:rsid w:val="27FD32DC"/>
    <w:rsid w:val="28075FC6"/>
    <w:rsid w:val="280A41A8"/>
    <w:rsid w:val="28397596"/>
    <w:rsid w:val="28707A67"/>
    <w:rsid w:val="2871100B"/>
    <w:rsid w:val="287C3B59"/>
    <w:rsid w:val="288B11F3"/>
    <w:rsid w:val="28943849"/>
    <w:rsid w:val="28A4719A"/>
    <w:rsid w:val="28B53785"/>
    <w:rsid w:val="28B906C0"/>
    <w:rsid w:val="28BB61E6"/>
    <w:rsid w:val="28C80F21"/>
    <w:rsid w:val="28CB21A2"/>
    <w:rsid w:val="28E02ADB"/>
    <w:rsid w:val="28F1279C"/>
    <w:rsid w:val="290A5ABC"/>
    <w:rsid w:val="290B2CB8"/>
    <w:rsid w:val="29304070"/>
    <w:rsid w:val="29713486"/>
    <w:rsid w:val="29751076"/>
    <w:rsid w:val="298E088F"/>
    <w:rsid w:val="29A05EB5"/>
    <w:rsid w:val="29A32B13"/>
    <w:rsid w:val="29D70F50"/>
    <w:rsid w:val="29DA0519"/>
    <w:rsid w:val="29DC4010"/>
    <w:rsid w:val="29DF0BF3"/>
    <w:rsid w:val="29E75D62"/>
    <w:rsid w:val="2A514DFD"/>
    <w:rsid w:val="2A865D6C"/>
    <w:rsid w:val="2A8820F8"/>
    <w:rsid w:val="2A914D3D"/>
    <w:rsid w:val="2A9669CD"/>
    <w:rsid w:val="2A9E47A7"/>
    <w:rsid w:val="2AA51687"/>
    <w:rsid w:val="2AA55C06"/>
    <w:rsid w:val="2AB23A66"/>
    <w:rsid w:val="2AC65D55"/>
    <w:rsid w:val="2ACD4D45"/>
    <w:rsid w:val="2AEC2931"/>
    <w:rsid w:val="2AEC7648"/>
    <w:rsid w:val="2B0B4625"/>
    <w:rsid w:val="2B1270B6"/>
    <w:rsid w:val="2B1E2F19"/>
    <w:rsid w:val="2B221FA8"/>
    <w:rsid w:val="2B2E3021"/>
    <w:rsid w:val="2B3A36BA"/>
    <w:rsid w:val="2B557A29"/>
    <w:rsid w:val="2B617CB7"/>
    <w:rsid w:val="2B9A4BEB"/>
    <w:rsid w:val="2BA054AC"/>
    <w:rsid w:val="2BA5117D"/>
    <w:rsid w:val="2BA660F3"/>
    <w:rsid w:val="2BAC7AA5"/>
    <w:rsid w:val="2BBB474F"/>
    <w:rsid w:val="2BBD0D23"/>
    <w:rsid w:val="2BC2145B"/>
    <w:rsid w:val="2BC55497"/>
    <w:rsid w:val="2BCA7BFE"/>
    <w:rsid w:val="2BD3745D"/>
    <w:rsid w:val="2BDF216D"/>
    <w:rsid w:val="2BFF520A"/>
    <w:rsid w:val="2C0A4D8F"/>
    <w:rsid w:val="2C0F477D"/>
    <w:rsid w:val="2C114EFC"/>
    <w:rsid w:val="2C2D4686"/>
    <w:rsid w:val="2C2F13AE"/>
    <w:rsid w:val="2C522220"/>
    <w:rsid w:val="2C5E1A1C"/>
    <w:rsid w:val="2C67598B"/>
    <w:rsid w:val="2C784EAD"/>
    <w:rsid w:val="2CC226F3"/>
    <w:rsid w:val="2CC65AEC"/>
    <w:rsid w:val="2CCA4130"/>
    <w:rsid w:val="2CD26DA1"/>
    <w:rsid w:val="2CDE3600"/>
    <w:rsid w:val="2CFB1FBE"/>
    <w:rsid w:val="2D0B272F"/>
    <w:rsid w:val="2D1C121E"/>
    <w:rsid w:val="2D221E69"/>
    <w:rsid w:val="2D283F1A"/>
    <w:rsid w:val="2D3E1A80"/>
    <w:rsid w:val="2D55409B"/>
    <w:rsid w:val="2D5979AF"/>
    <w:rsid w:val="2D620D08"/>
    <w:rsid w:val="2D720219"/>
    <w:rsid w:val="2DA74344"/>
    <w:rsid w:val="2DCF12E9"/>
    <w:rsid w:val="2DFD1E6E"/>
    <w:rsid w:val="2E2E5D1F"/>
    <w:rsid w:val="2E3F77CA"/>
    <w:rsid w:val="2E4D58E9"/>
    <w:rsid w:val="2E99793A"/>
    <w:rsid w:val="2EAA1A54"/>
    <w:rsid w:val="2EBE6780"/>
    <w:rsid w:val="2EBF41A3"/>
    <w:rsid w:val="2EC11995"/>
    <w:rsid w:val="2EEB67FF"/>
    <w:rsid w:val="2F40430A"/>
    <w:rsid w:val="2F52109B"/>
    <w:rsid w:val="2F7FF7C8"/>
    <w:rsid w:val="2F973FE0"/>
    <w:rsid w:val="2F9E23BE"/>
    <w:rsid w:val="2FB32043"/>
    <w:rsid w:val="2FDD4010"/>
    <w:rsid w:val="2FFB6AC1"/>
    <w:rsid w:val="30153CEA"/>
    <w:rsid w:val="30176FE2"/>
    <w:rsid w:val="30263E16"/>
    <w:rsid w:val="3031391C"/>
    <w:rsid w:val="306D4AC4"/>
    <w:rsid w:val="30732574"/>
    <w:rsid w:val="3084099C"/>
    <w:rsid w:val="308B2688"/>
    <w:rsid w:val="308B7312"/>
    <w:rsid w:val="3090230A"/>
    <w:rsid w:val="30B304DF"/>
    <w:rsid w:val="30FE57A0"/>
    <w:rsid w:val="310A1AE9"/>
    <w:rsid w:val="311F03C8"/>
    <w:rsid w:val="312A2939"/>
    <w:rsid w:val="312E32CE"/>
    <w:rsid w:val="3132522E"/>
    <w:rsid w:val="313A1850"/>
    <w:rsid w:val="31424616"/>
    <w:rsid w:val="31842302"/>
    <w:rsid w:val="318B746D"/>
    <w:rsid w:val="319C161A"/>
    <w:rsid w:val="31C173E9"/>
    <w:rsid w:val="31D2634F"/>
    <w:rsid w:val="31EC5C7C"/>
    <w:rsid w:val="31FF4014"/>
    <w:rsid w:val="32013E16"/>
    <w:rsid w:val="32052280"/>
    <w:rsid w:val="320A152A"/>
    <w:rsid w:val="322166EC"/>
    <w:rsid w:val="32395FEC"/>
    <w:rsid w:val="323D0D8E"/>
    <w:rsid w:val="326C2EC7"/>
    <w:rsid w:val="32A996AE"/>
    <w:rsid w:val="32B729F1"/>
    <w:rsid w:val="32BD79E5"/>
    <w:rsid w:val="32C963C0"/>
    <w:rsid w:val="32D8566D"/>
    <w:rsid w:val="32DD4815"/>
    <w:rsid w:val="32E63CE2"/>
    <w:rsid w:val="3300505F"/>
    <w:rsid w:val="33346287"/>
    <w:rsid w:val="334761B1"/>
    <w:rsid w:val="334A0ACE"/>
    <w:rsid w:val="33543A27"/>
    <w:rsid w:val="337906C2"/>
    <w:rsid w:val="337E4304"/>
    <w:rsid w:val="33816894"/>
    <w:rsid w:val="33866E36"/>
    <w:rsid w:val="338E7B26"/>
    <w:rsid w:val="33AC43F6"/>
    <w:rsid w:val="33BA52E9"/>
    <w:rsid w:val="33C63526"/>
    <w:rsid w:val="33D956B7"/>
    <w:rsid w:val="33E36D2A"/>
    <w:rsid w:val="34200C20"/>
    <w:rsid w:val="34246A76"/>
    <w:rsid w:val="34277FD4"/>
    <w:rsid w:val="343D0B83"/>
    <w:rsid w:val="34500675"/>
    <w:rsid w:val="346121E6"/>
    <w:rsid w:val="3466528F"/>
    <w:rsid w:val="3479242B"/>
    <w:rsid w:val="34802BC6"/>
    <w:rsid w:val="34B41245"/>
    <w:rsid w:val="34B94861"/>
    <w:rsid w:val="34C6455E"/>
    <w:rsid w:val="34CA0B0B"/>
    <w:rsid w:val="34CD7855"/>
    <w:rsid w:val="34E46CB7"/>
    <w:rsid w:val="34F729B8"/>
    <w:rsid w:val="35044A71"/>
    <w:rsid w:val="35110998"/>
    <w:rsid w:val="35207445"/>
    <w:rsid w:val="35212EA4"/>
    <w:rsid w:val="355035EF"/>
    <w:rsid w:val="3563644D"/>
    <w:rsid w:val="356F06AA"/>
    <w:rsid w:val="35782FF5"/>
    <w:rsid w:val="35887450"/>
    <w:rsid w:val="359B7B1C"/>
    <w:rsid w:val="35A67565"/>
    <w:rsid w:val="35B34330"/>
    <w:rsid w:val="35C11231"/>
    <w:rsid w:val="35D90D07"/>
    <w:rsid w:val="363D1E86"/>
    <w:rsid w:val="3646710F"/>
    <w:rsid w:val="364855D2"/>
    <w:rsid w:val="364F42E6"/>
    <w:rsid w:val="36524514"/>
    <w:rsid w:val="369D26E8"/>
    <w:rsid w:val="36A15B55"/>
    <w:rsid w:val="36A7C47C"/>
    <w:rsid w:val="36D86A2A"/>
    <w:rsid w:val="36DD40C2"/>
    <w:rsid w:val="36E777CD"/>
    <w:rsid w:val="36F87C76"/>
    <w:rsid w:val="37273CB8"/>
    <w:rsid w:val="37450053"/>
    <w:rsid w:val="37573B0D"/>
    <w:rsid w:val="375A79A8"/>
    <w:rsid w:val="377FA488"/>
    <w:rsid w:val="37842594"/>
    <w:rsid w:val="379021A0"/>
    <w:rsid w:val="37C3396C"/>
    <w:rsid w:val="37C520CA"/>
    <w:rsid w:val="37D4032D"/>
    <w:rsid w:val="37DFF77E"/>
    <w:rsid w:val="37E73206"/>
    <w:rsid w:val="37EF0D06"/>
    <w:rsid w:val="37F36087"/>
    <w:rsid w:val="37FD2F69"/>
    <w:rsid w:val="37FE19CD"/>
    <w:rsid w:val="380A746A"/>
    <w:rsid w:val="38173F9E"/>
    <w:rsid w:val="38194E02"/>
    <w:rsid w:val="38470B67"/>
    <w:rsid w:val="384C4558"/>
    <w:rsid w:val="384D39EF"/>
    <w:rsid w:val="387B6E7E"/>
    <w:rsid w:val="38841B11"/>
    <w:rsid w:val="38892885"/>
    <w:rsid w:val="38BD5663"/>
    <w:rsid w:val="38BF7525"/>
    <w:rsid w:val="38C219E4"/>
    <w:rsid w:val="38DB2AC2"/>
    <w:rsid w:val="38EF6E17"/>
    <w:rsid w:val="38F726B7"/>
    <w:rsid w:val="391D5BEF"/>
    <w:rsid w:val="391E1E7A"/>
    <w:rsid w:val="3946342C"/>
    <w:rsid w:val="39551659"/>
    <w:rsid w:val="397A2E3B"/>
    <w:rsid w:val="3998131B"/>
    <w:rsid w:val="39992CEE"/>
    <w:rsid w:val="39A34764"/>
    <w:rsid w:val="39A50307"/>
    <w:rsid w:val="39B61A53"/>
    <w:rsid w:val="39CF34AC"/>
    <w:rsid w:val="39D375DA"/>
    <w:rsid w:val="39E855C0"/>
    <w:rsid w:val="39FC665F"/>
    <w:rsid w:val="3A1A77B0"/>
    <w:rsid w:val="3A2428FE"/>
    <w:rsid w:val="3A461B40"/>
    <w:rsid w:val="3A8613E7"/>
    <w:rsid w:val="3AA12D62"/>
    <w:rsid w:val="3AB30274"/>
    <w:rsid w:val="3AB331C1"/>
    <w:rsid w:val="3AB62DB5"/>
    <w:rsid w:val="3AC358B0"/>
    <w:rsid w:val="3AD259A1"/>
    <w:rsid w:val="3AD72494"/>
    <w:rsid w:val="3AEF1D20"/>
    <w:rsid w:val="3AF7721E"/>
    <w:rsid w:val="3B080AEA"/>
    <w:rsid w:val="3B0B531C"/>
    <w:rsid w:val="3B2C3654"/>
    <w:rsid w:val="3B494177"/>
    <w:rsid w:val="3B4B7DDB"/>
    <w:rsid w:val="3B537AC4"/>
    <w:rsid w:val="3B545E7B"/>
    <w:rsid w:val="3B5E1E81"/>
    <w:rsid w:val="3B765851"/>
    <w:rsid w:val="3B842131"/>
    <w:rsid w:val="3B9B6E62"/>
    <w:rsid w:val="3BB37766"/>
    <w:rsid w:val="3BB934F6"/>
    <w:rsid w:val="3BC1556D"/>
    <w:rsid w:val="3BD33666"/>
    <w:rsid w:val="3BD454DC"/>
    <w:rsid w:val="3BE4444F"/>
    <w:rsid w:val="3BF63A35"/>
    <w:rsid w:val="3C01043E"/>
    <w:rsid w:val="3C0A20E8"/>
    <w:rsid w:val="3C116F0F"/>
    <w:rsid w:val="3C2A1DBE"/>
    <w:rsid w:val="3C746B9E"/>
    <w:rsid w:val="3C7833CF"/>
    <w:rsid w:val="3C7A5BC5"/>
    <w:rsid w:val="3C7D23CD"/>
    <w:rsid w:val="3CAA4196"/>
    <w:rsid w:val="3CC8123B"/>
    <w:rsid w:val="3CDA605D"/>
    <w:rsid w:val="3CDB70DE"/>
    <w:rsid w:val="3CE24225"/>
    <w:rsid w:val="3CEA3D38"/>
    <w:rsid w:val="3D045EE6"/>
    <w:rsid w:val="3D304261"/>
    <w:rsid w:val="3D4A58EF"/>
    <w:rsid w:val="3D6C00EB"/>
    <w:rsid w:val="3D6D58F5"/>
    <w:rsid w:val="3D702C5A"/>
    <w:rsid w:val="3D7F5B7C"/>
    <w:rsid w:val="3D9321D8"/>
    <w:rsid w:val="3DA3607C"/>
    <w:rsid w:val="3DA74000"/>
    <w:rsid w:val="3DBB238D"/>
    <w:rsid w:val="3DCD6D3F"/>
    <w:rsid w:val="3DD651E6"/>
    <w:rsid w:val="3DE92899"/>
    <w:rsid w:val="3DE96E40"/>
    <w:rsid w:val="3DF07E49"/>
    <w:rsid w:val="3DF31AE4"/>
    <w:rsid w:val="3DFA1107"/>
    <w:rsid w:val="3E18158D"/>
    <w:rsid w:val="3E1932D9"/>
    <w:rsid w:val="3E32264F"/>
    <w:rsid w:val="3E4660FB"/>
    <w:rsid w:val="3E486D6F"/>
    <w:rsid w:val="3E4A178F"/>
    <w:rsid w:val="3E6C67AA"/>
    <w:rsid w:val="3E8863A1"/>
    <w:rsid w:val="3E9475F0"/>
    <w:rsid w:val="3EB8671E"/>
    <w:rsid w:val="3EE4146B"/>
    <w:rsid w:val="3EF26A86"/>
    <w:rsid w:val="3F1124A1"/>
    <w:rsid w:val="3F183B30"/>
    <w:rsid w:val="3F261A88"/>
    <w:rsid w:val="3F500F4E"/>
    <w:rsid w:val="3F7FF4CE"/>
    <w:rsid w:val="3F972FF1"/>
    <w:rsid w:val="3FA40ECD"/>
    <w:rsid w:val="3FB36D69"/>
    <w:rsid w:val="3FD01DB5"/>
    <w:rsid w:val="3FD96380"/>
    <w:rsid w:val="3FDC09DA"/>
    <w:rsid w:val="40144798"/>
    <w:rsid w:val="40160064"/>
    <w:rsid w:val="40181D19"/>
    <w:rsid w:val="40187A98"/>
    <w:rsid w:val="403D2738"/>
    <w:rsid w:val="40701293"/>
    <w:rsid w:val="40853C31"/>
    <w:rsid w:val="40AB610F"/>
    <w:rsid w:val="40B30DC3"/>
    <w:rsid w:val="40BC6BE2"/>
    <w:rsid w:val="40C26D6E"/>
    <w:rsid w:val="40D36688"/>
    <w:rsid w:val="40D93C52"/>
    <w:rsid w:val="40E829D4"/>
    <w:rsid w:val="40FE2B05"/>
    <w:rsid w:val="410A1FE6"/>
    <w:rsid w:val="411C4354"/>
    <w:rsid w:val="411C5557"/>
    <w:rsid w:val="417C1E33"/>
    <w:rsid w:val="41987C6E"/>
    <w:rsid w:val="419E29B4"/>
    <w:rsid w:val="41A40853"/>
    <w:rsid w:val="41A6671D"/>
    <w:rsid w:val="41AF6602"/>
    <w:rsid w:val="41D875F1"/>
    <w:rsid w:val="41E16D96"/>
    <w:rsid w:val="41EA2E34"/>
    <w:rsid w:val="41EB37AC"/>
    <w:rsid w:val="41F6765C"/>
    <w:rsid w:val="41F7233C"/>
    <w:rsid w:val="41FA23F0"/>
    <w:rsid w:val="41FE06F6"/>
    <w:rsid w:val="421A17F2"/>
    <w:rsid w:val="421A61AF"/>
    <w:rsid w:val="422229DB"/>
    <w:rsid w:val="42265F98"/>
    <w:rsid w:val="42546990"/>
    <w:rsid w:val="427D578B"/>
    <w:rsid w:val="428A7E0C"/>
    <w:rsid w:val="42AE119E"/>
    <w:rsid w:val="42B83507"/>
    <w:rsid w:val="42C74678"/>
    <w:rsid w:val="42CC74D0"/>
    <w:rsid w:val="42D5354C"/>
    <w:rsid w:val="42E5235A"/>
    <w:rsid w:val="42F560B0"/>
    <w:rsid w:val="430A310A"/>
    <w:rsid w:val="43284021"/>
    <w:rsid w:val="433169DA"/>
    <w:rsid w:val="433D3B02"/>
    <w:rsid w:val="43446933"/>
    <w:rsid w:val="43507E89"/>
    <w:rsid w:val="43757F79"/>
    <w:rsid w:val="43AA237A"/>
    <w:rsid w:val="43B474C5"/>
    <w:rsid w:val="43B839EB"/>
    <w:rsid w:val="43B864F2"/>
    <w:rsid w:val="441B66A3"/>
    <w:rsid w:val="442A4C48"/>
    <w:rsid w:val="442B4BD8"/>
    <w:rsid w:val="443D2366"/>
    <w:rsid w:val="443E18A1"/>
    <w:rsid w:val="44445A2C"/>
    <w:rsid w:val="444B0DE1"/>
    <w:rsid w:val="44507A88"/>
    <w:rsid w:val="44531B51"/>
    <w:rsid w:val="4453331F"/>
    <w:rsid w:val="445C7561"/>
    <w:rsid w:val="445E0880"/>
    <w:rsid w:val="448B3642"/>
    <w:rsid w:val="449053BE"/>
    <w:rsid w:val="44987445"/>
    <w:rsid w:val="44A358F9"/>
    <w:rsid w:val="44A665F1"/>
    <w:rsid w:val="44C52CE8"/>
    <w:rsid w:val="44D247AA"/>
    <w:rsid w:val="44D73878"/>
    <w:rsid w:val="44DE04F2"/>
    <w:rsid w:val="44EB382A"/>
    <w:rsid w:val="45081623"/>
    <w:rsid w:val="45262197"/>
    <w:rsid w:val="45327257"/>
    <w:rsid w:val="453D1D4A"/>
    <w:rsid w:val="45577096"/>
    <w:rsid w:val="45780994"/>
    <w:rsid w:val="458A2D71"/>
    <w:rsid w:val="45903135"/>
    <w:rsid w:val="45B53A84"/>
    <w:rsid w:val="45D77EA2"/>
    <w:rsid w:val="46000FF6"/>
    <w:rsid w:val="4612E865"/>
    <w:rsid w:val="461E4E80"/>
    <w:rsid w:val="46284338"/>
    <w:rsid w:val="468872F7"/>
    <w:rsid w:val="46CA2BEE"/>
    <w:rsid w:val="46CF5F95"/>
    <w:rsid w:val="46D16F6D"/>
    <w:rsid w:val="46EB41EB"/>
    <w:rsid w:val="46EB42D7"/>
    <w:rsid w:val="46F52EA6"/>
    <w:rsid w:val="470073ED"/>
    <w:rsid w:val="471014C8"/>
    <w:rsid w:val="471F62BB"/>
    <w:rsid w:val="47285810"/>
    <w:rsid w:val="472A0F4D"/>
    <w:rsid w:val="47405AA9"/>
    <w:rsid w:val="474D7DEA"/>
    <w:rsid w:val="474E2ED8"/>
    <w:rsid w:val="475105C7"/>
    <w:rsid w:val="47583182"/>
    <w:rsid w:val="4790180B"/>
    <w:rsid w:val="479E2B56"/>
    <w:rsid w:val="47A518C0"/>
    <w:rsid w:val="47CB6406"/>
    <w:rsid w:val="47D02884"/>
    <w:rsid w:val="47EE7337"/>
    <w:rsid w:val="47F43FCB"/>
    <w:rsid w:val="47FF4255"/>
    <w:rsid w:val="482051F9"/>
    <w:rsid w:val="482F435B"/>
    <w:rsid w:val="48347E0B"/>
    <w:rsid w:val="4838434B"/>
    <w:rsid w:val="48496422"/>
    <w:rsid w:val="484E328B"/>
    <w:rsid w:val="48651E07"/>
    <w:rsid w:val="486754DF"/>
    <w:rsid w:val="48794B6C"/>
    <w:rsid w:val="487D485E"/>
    <w:rsid w:val="48BE6D0F"/>
    <w:rsid w:val="48C37200"/>
    <w:rsid w:val="48DD1B46"/>
    <w:rsid w:val="48E14E2D"/>
    <w:rsid w:val="48E852E0"/>
    <w:rsid w:val="491BCCDF"/>
    <w:rsid w:val="493017B1"/>
    <w:rsid w:val="49333D90"/>
    <w:rsid w:val="49350A4B"/>
    <w:rsid w:val="49552362"/>
    <w:rsid w:val="497A1012"/>
    <w:rsid w:val="497F1FE8"/>
    <w:rsid w:val="499D1389"/>
    <w:rsid w:val="49A86381"/>
    <w:rsid w:val="49AA0897"/>
    <w:rsid w:val="49B7064A"/>
    <w:rsid w:val="49B72A9C"/>
    <w:rsid w:val="49B842F4"/>
    <w:rsid w:val="49D51486"/>
    <w:rsid w:val="4A003FE9"/>
    <w:rsid w:val="4A032E3A"/>
    <w:rsid w:val="4A392BEC"/>
    <w:rsid w:val="4A4F2914"/>
    <w:rsid w:val="4A550BDA"/>
    <w:rsid w:val="4A7F2BE9"/>
    <w:rsid w:val="4A8156A7"/>
    <w:rsid w:val="4AAE0696"/>
    <w:rsid w:val="4AAE6DC8"/>
    <w:rsid w:val="4AB04D80"/>
    <w:rsid w:val="4ACD503A"/>
    <w:rsid w:val="4AE921A2"/>
    <w:rsid w:val="4AEF2B33"/>
    <w:rsid w:val="4AFC3310"/>
    <w:rsid w:val="4AFD1C26"/>
    <w:rsid w:val="4B01052D"/>
    <w:rsid w:val="4B0C115E"/>
    <w:rsid w:val="4B150627"/>
    <w:rsid w:val="4B176459"/>
    <w:rsid w:val="4B1F1850"/>
    <w:rsid w:val="4B2F3D6F"/>
    <w:rsid w:val="4B332EC2"/>
    <w:rsid w:val="4B3B666B"/>
    <w:rsid w:val="4B40126C"/>
    <w:rsid w:val="4B63653E"/>
    <w:rsid w:val="4B6D1D16"/>
    <w:rsid w:val="4B6D2F19"/>
    <w:rsid w:val="4B6E35D1"/>
    <w:rsid w:val="4B742735"/>
    <w:rsid w:val="4B800572"/>
    <w:rsid w:val="4B8137A8"/>
    <w:rsid w:val="4B9933E5"/>
    <w:rsid w:val="4B9D4F2C"/>
    <w:rsid w:val="4BB56A52"/>
    <w:rsid w:val="4BC41084"/>
    <w:rsid w:val="4BCD7D0B"/>
    <w:rsid w:val="4BED65CD"/>
    <w:rsid w:val="4C0257E7"/>
    <w:rsid w:val="4C0A72B9"/>
    <w:rsid w:val="4C1B0573"/>
    <w:rsid w:val="4C2D72F8"/>
    <w:rsid w:val="4C502F9B"/>
    <w:rsid w:val="4C787E88"/>
    <w:rsid w:val="4C7D6434"/>
    <w:rsid w:val="4C9A2375"/>
    <w:rsid w:val="4CAA0711"/>
    <w:rsid w:val="4CAC2D49"/>
    <w:rsid w:val="4CC009AD"/>
    <w:rsid w:val="4CE408EE"/>
    <w:rsid w:val="4CF00CD6"/>
    <w:rsid w:val="4D2910C1"/>
    <w:rsid w:val="4D2F64A5"/>
    <w:rsid w:val="4D3E44BC"/>
    <w:rsid w:val="4D461ADC"/>
    <w:rsid w:val="4D63319B"/>
    <w:rsid w:val="4D747821"/>
    <w:rsid w:val="4DA360E7"/>
    <w:rsid w:val="4DB7190B"/>
    <w:rsid w:val="4DC64783"/>
    <w:rsid w:val="4DCA45A2"/>
    <w:rsid w:val="4DD931AD"/>
    <w:rsid w:val="4DE90D34"/>
    <w:rsid w:val="4DEE54A7"/>
    <w:rsid w:val="4DFD14CB"/>
    <w:rsid w:val="4E0400B7"/>
    <w:rsid w:val="4E04490D"/>
    <w:rsid w:val="4E11518C"/>
    <w:rsid w:val="4E1753BE"/>
    <w:rsid w:val="4E183614"/>
    <w:rsid w:val="4E372DD7"/>
    <w:rsid w:val="4E3A1A62"/>
    <w:rsid w:val="4E3D5780"/>
    <w:rsid w:val="4E4B6991"/>
    <w:rsid w:val="4E5B12A7"/>
    <w:rsid w:val="4E6E5085"/>
    <w:rsid w:val="4E710C6F"/>
    <w:rsid w:val="4E7255AE"/>
    <w:rsid w:val="4E813A80"/>
    <w:rsid w:val="4E8E75EE"/>
    <w:rsid w:val="4EA474EE"/>
    <w:rsid w:val="4EAB5F49"/>
    <w:rsid w:val="4EB05C06"/>
    <w:rsid w:val="4EB147BA"/>
    <w:rsid w:val="4EB64A0E"/>
    <w:rsid w:val="4EC42650"/>
    <w:rsid w:val="4EC8490A"/>
    <w:rsid w:val="4EDA586A"/>
    <w:rsid w:val="4EE01C53"/>
    <w:rsid w:val="4EE56B91"/>
    <w:rsid w:val="4EE97817"/>
    <w:rsid w:val="4EEF746A"/>
    <w:rsid w:val="4F0E1D21"/>
    <w:rsid w:val="4F205805"/>
    <w:rsid w:val="4F275C0C"/>
    <w:rsid w:val="4F4617CE"/>
    <w:rsid w:val="4F477BE7"/>
    <w:rsid w:val="4F600861"/>
    <w:rsid w:val="4F7785D1"/>
    <w:rsid w:val="4F7C0D5D"/>
    <w:rsid w:val="4FCA0339"/>
    <w:rsid w:val="4FD5018E"/>
    <w:rsid w:val="4FDA1A9F"/>
    <w:rsid w:val="4FDD1582"/>
    <w:rsid w:val="4FDF5CAB"/>
    <w:rsid w:val="4FF942BB"/>
    <w:rsid w:val="4FFE4A87"/>
    <w:rsid w:val="4FFF435B"/>
    <w:rsid w:val="501D0414"/>
    <w:rsid w:val="5020420C"/>
    <w:rsid w:val="502445CE"/>
    <w:rsid w:val="50250358"/>
    <w:rsid w:val="503016DC"/>
    <w:rsid w:val="503E7D2D"/>
    <w:rsid w:val="50420089"/>
    <w:rsid w:val="504769A9"/>
    <w:rsid w:val="504D23D4"/>
    <w:rsid w:val="505518B5"/>
    <w:rsid w:val="50571643"/>
    <w:rsid w:val="505952AE"/>
    <w:rsid w:val="506C6CEC"/>
    <w:rsid w:val="508F6609"/>
    <w:rsid w:val="5091599D"/>
    <w:rsid w:val="50AC17BB"/>
    <w:rsid w:val="50B34D82"/>
    <w:rsid w:val="50B8238B"/>
    <w:rsid w:val="50B96E0E"/>
    <w:rsid w:val="50BE6BFD"/>
    <w:rsid w:val="50BF793C"/>
    <w:rsid w:val="50C546E6"/>
    <w:rsid w:val="50F80BA4"/>
    <w:rsid w:val="51173A03"/>
    <w:rsid w:val="51192CAF"/>
    <w:rsid w:val="51270A60"/>
    <w:rsid w:val="513D08D8"/>
    <w:rsid w:val="51510D2A"/>
    <w:rsid w:val="51597488"/>
    <w:rsid w:val="5177108C"/>
    <w:rsid w:val="51A070FC"/>
    <w:rsid w:val="51B234F8"/>
    <w:rsid w:val="51D06C18"/>
    <w:rsid w:val="51D414AC"/>
    <w:rsid w:val="521555D1"/>
    <w:rsid w:val="521913BA"/>
    <w:rsid w:val="52206C5D"/>
    <w:rsid w:val="522A70ED"/>
    <w:rsid w:val="5255797F"/>
    <w:rsid w:val="525B6CEF"/>
    <w:rsid w:val="52645BD4"/>
    <w:rsid w:val="526A1C3E"/>
    <w:rsid w:val="526D025F"/>
    <w:rsid w:val="52744808"/>
    <w:rsid w:val="52881781"/>
    <w:rsid w:val="529A4FAD"/>
    <w:rsid w:val="52B41D71"/>
    <w:rsid w:val="52DD20EB"/>
    <w:rsid w:val="52E05A44"/>
    <w:rsid w:val="52E8717A"/>
    <w:rsid w:val="52EC1BD1"/>
    <w:rsid w:val="52FB3114"/>
    <w:rsid w:val="5318645A"/>
    <w:rsid w:val="534E733E"/>
    <w:rsid w:val="535168EB"/>
    <w:rsid w:val="535778B4"/>
    <w:rsid w:val="536B390D"/>
    <w:rsid w:val="537F1FA3"/>
    <w:rsid w:val="53AE4460"/>
    <w:rsid w:val="53B31919"/>
    <w:rsid w:val="53B34101"/>
    <w:rsid w:val="53C1077C"/>
    <w:rsid w:val="53C64AE7"/>
    <w:rsid w:val="53C812D9"/>
    <w:rsid w:val="53D02E0F"/>
    <w:rsid w:val="53F75081"/>
    <w:rsid w:val="53F97A4A"/>
    <w:rsid w:val="54071A30"/>
    <w:rsid w:val="541C798F"/>
    <w:rsid w:val="543D1818"/>
    <w:rsid w:val="544C0BBA"/>
    <w:rsid w:val="54747509"/>
    <w:rsid w:val="54A0038E"/>
    <w:rsid w:val="54A2695B"/>
    <w:rsid w:val="54C87E9C"/>
    <w:rsid w:val="54CE2AFA"/>
    <w:rsid w:val="54D538DD"/>
    <w:rsid w:val="54DE7155"/>
    <w:rsid w:val="54E12284"/>
    <w:rsid w:val="550603CC"/>
    <w:rsid w:val="55142657"/>
    <w:rsid w:val="55207C15"/>
    <w:rsid w:val="552E1437"/>
    <w:rsid w:val="553C3BFD"/>
    <w:rsid w:val="556B7A9B"/>
    <w:rsid w:val="557810E6"/>
    <w:rsid w:val="557821C2"/>
    <w:rsid w:val="557B441B"/>
    <w:rsid w:val="558E527D"/>
    <w:rsid w:val="55B16B36"/>
    <w:rsid w:val="55C72FB5"/>
    <w:rsid w:val="55CBBB18"/>
    <w:rsid w:val="55CD2D3D"/>
    <w:rsid w:val="55DA5C93"/>
    <w:rsid w:val="55EB2333"/>
    <w:rsid w:val="55FE4202"/>
    <w:rsid w:val="560374FB"/>
    <w:rsid w:val="561453BC"/>
    <w:rsid w:val="56325CFA"/>
    <w:rsid w:val="56387080"/>
    <w:rsid w:val="563A6457"/>
    <w:rsid w:val="56680EAC"/>
    <w:rsid w:val="56885AE2"/>
    <w:rsid w:val="56985A48"/>
    <w:rsid w:val="569B4A27"/>
    <w:rsid w:val="56AC1389"/>
    <w:rsid w:val="56C653B0"/>
    <w:rsid w:val="56D0778D"/>
    <w:rsid w:val="56EB1A50"/>
    <w:rsid w:val="56F76F41"/>
    <w:rsid w:val="56FEEA00"/>
    <w:rsid w:val="571274C7"/>
    <w:rsid w:val="571548F1"/>
    <w:rsid w:val="571903F8"/>
    <w:rsid w:val="572F0E3A"/>
    <w:rsid w:val="57390153"/>
    <w:rsid w:val="573A51E1"/>
    <w:rsid w:val="575710D7"/>
    <w:rsid w:val="57601DA1"/>
    <w:rsid w:val="5767551A"/>
    <w:rsid w:val="57680227"/>
    <w:rsid w:val="57784E8F"/>
    <w:rsid w:val="577E684A"/>
    <w:rsid w:val="578D7524"/>
    <w:rsid w:val="578E6BE2"/>
    <w:rsid w:val="57AA8A87"/>
    <w:rsid w:val="57AB6DAF"/>
    <w:rsid w:val="57B37401"/>
    <w:rsid w:val="57C1754D"/>
    <w:rsid w:val="57FC119A"/>
    <w:rsid w:val="58032313"/>
    <w:rsid w:val="58093A6D"/>
    <w:rsid w:val="581B50B1"/>
    <w:rsid w:val="58273B38"/>
    <w:rsid w:val="58407E7B"/>
    <w:rsid w:val="58506E64"/>
    <w:rsid w:val="58676F42"/>
    <w:rsid w:val="586C1DB4"/>
    <w:rsid w:val="58B247DE"/>
    <w:rsid w:val="58C549B8"/>
    <w:rsid w:val="58D0757D"/>
    <w:rsid w:val="590A458C"/>
    <w:rsid w:val="5930003B"/>
    <w:rsid w:val="59301B53"/>
    <w:rsid w:val="595F21D8"/>
    <w:rsid w:val="595F636A"/>
    <w:rsid w:val="597B7110"/>
    <w:rsid w:val="59877A9B"/>
    <w:rsid w:val="598E7F6E"/>
    <w:rsid w:val="5998623D"/>
    <w:rsid w:val="59996D6E"/>
    <w:rsid w:val="59AD7291"/>
    <w:rsid w:val="59B24CDC"/>
    <w:rsid w:val="59C11F78"/>
    <w:rsid w:val="59C654F0"/>
    <w:rsid w:val="59C82235"/>
    <w:rsid w:val="59CC5BC7"/>
    <w:rsid w:val="59D2396D"/>
    <w:rsid w:val="59E94C01"/>
    <w:rsid w:val="59F01099"/>
    <w:rsid w:val="5A0A04CC"/>
    <w:rsid w:val="5A520FEA"/>
    <w:rsid w:val="5A8720A7"/>
    <w:rsid w:val="5A990F55"/>
    <w:rsid w:val="5A9F6E0C"/>
    <w:rsid w:val="5AA2035D"/>
    <w:rsid w:val="5AB17215"/>
    <w:rsid w:val="5AB628C1"/>
    <w:rsid w:val="5AC84955"/>
    <w:rsid w:val="5AD267D5"/>
    <w:rsid w:val="5AEF7A42"/>
    <w:rsid w:val="5AF5778B"/>
    <w:rsid w:val="5B000528"/>
    <w:rsid w:val="5B2C724C"/>
    <w:rsid w:val="5B370563"/>
    <w:rsid w:val="5B396D04"/>
    <w:rsid w:val="5B53063D"/>
    <w:rsid w:val="5B5A4487"/>
    <w:rsid w:val="5B6643C2"/>
    <w:rsid w:val="5B9B8C95"/>
    <w:rsid w:val="5BA06FA6"/>
    <w:rsid w:val="5BA74225"/>
    <w:rsid w:val="5BB3262E"/>
    <w:rsid w:val="5BBF103E"/>
    <w:rsid w:val="5BC577B7"/>
    <w:rsid w:val="5BEE41EF"/>
    <w:rsid w:val="5C2277CD"/>
    <w:rsid w:val="5C235838"/>
    <w:rsid w:val="5C566F61"/>
    <w:rsid w:val="5C68052A"/>
    <w:rsid w:val="5C6A596D"/>
    <w:rsid w:val="5C6F39DA"/>
    <w:rsid w:val="5CB73B83"/>
    <w:rsid w:val="5CBF0C19"/>
    <w:rsid w:val="5CC359F6"/>
    <w:rsid w:val="5CC71F9C"/>
    <w:rsid w:val="5CF64414"/>
    <w:rsid w:val="5D013B08"/>
    <w:rsid w:val="5D0607CD"/>
    <w:rsid w:val="5D287B83"/>
    <w:rsid w:val="5D301FF8"/>
    <w:rsid w:val="5D3648D2"/>
    <w:rsid w:val="5D520BBA"/>
    <w:rsid w:val="5D6E6ADC"/>
    <w:rsid w:val="5D6F3AD6"/>
    <w:rsid w:val="5D7209DD"/>
    <w:rsid w:val="5D7B386B"/>
    <w:rsid w:val="5D866A48"/>
    <w:rsid w:val="5D8F6EFE"/>
    <w:rsid w:val="5D944335"/>
    <w:rsid w:val="5DAA03D6"/>
    <w:rsid w:val="5DC0337C"/>
    <w:rsid w:val="5DE27796"/>
    <w:rsid w:val="5DE3706A"/>
    <w:rsid w:val="5DE44E54"/>
    <w:rsid w:val="5DF254FF"/>
    <w:rsid w:val="5DF44155"/>
    <w:rsid w:val="5E0432C4"/>
    <w:rsid w:val="5E250615"/>
    <w:rsid w:val="5E2F05B0"/>
    <w:rsid w:val="5E63574A"/>
    <w:rsid w:val="5E660EC0"/>
    <w:rsid w:val="5E6709A7"/>
    <w:rsid w:val="5E68168B"/>
    <w:rsid w:val="5E7430FD"/>
    <w:rsid w:val="5E751C59"/>
    <w:rsid w:val="5E77596F"/>
    <w:rsid w:val="5E824AEF"/>
    <w:rsid w:val="5E831EED"/>
    <w:rsid w:val="5EA3463D"/>
    <w:rsid w:val="5EB37B75"/>
    <w:rsid w:val="5EB427B5"/>
    <w:rsid w:val="5ED33EAA"/>
    <w:rsid w:val="5ED625B3"/>
    <w:rsid w:val="5ED99D50"/>
    <w:rsid w:val="5EDCD1A3"/>
    <w:rsid w:val="5EEB596A"/>
    <w:rsid w:val="5F076D9A"/>
    <w:rsid w:val="5F275D50"/>
    <w:rsid w:val="5F315E14"/>
    <w:rsid w:val="5F4A529C"/>
    <w:rsid w:val="5F623E14"/>
    <w:rsid w:val="5F926F9A"/>
    <w:rsid w:val="5F955C7B"/>
    <w:rsid w:val="5F9B402D"/>
    <w:rsid w:val="5FAB74A6"/>
    <w:rsid w:val="5FB706B5"/>
    <w:rsid w:val="5FD3008D"/>
    <w:rsid w:val="5FDC7A97"/>
    <w:rsid w:val="5FF41797"/>
    <w:rsid w:val="600357A2"/>
    <w:rsid w:val="602C301C"/>
    <w:rsid w:val="604C140E"/>
    <w:rsid w:val="6066176E"/>
    <w:rsid w:val="607050C2"/>
    <w:rsid w:val="607B3470"/>
    <w:rsid w:val="60885CA7"/>
    <w:rsid w:val="608D10D0"/>
    <w:rsid w:val="60962B30"/>
    <w:rsid w:val="60A1028A"/>
    <w:rsid w:val="60B92304"/>
    <w:rsid w:val="60D01B21"/>
    <w:rsid w:val="60E26B1A"/>
    <w:rsid w:val="60F64D20"/>
    <w:rsid w:val="61181D7D"/>
    <w:rsid w:val="614076FE"/>
    <w:rsid w:val="61607697"/>
    <w:rsid w:val="61667D19"/>
    <w:rsid w:val="61716CEE"/>
    <w:rsid w:val="61750BC4"/>
    <w:rsid w:val="618B6FAD"/>
    <w:rsid w:val="618F0823"/>
    <w:rsid w:val="619E61FD"/>
    <w:rsid w:val="61AE61CC"/>
    <w:rsid w:val="61C1570C"/>
    <w:rsid w:val="61C379F2"/>
    <w:rsid w:val="61DC6C93"/>
    <w:rsid w:val="61E2093C"/>
    <w:rsid w:val="61E41AF8"/>
    <w:rsid w:val="6217286F"/>
    <w:rsid w:val="62245D48"/>
    <w:rsid w:val="6258410D"/>
    <w:rsid w:val="62586279"/>
    <w:rsid w:val="625A4988"/>
    <w:rsid w:val="62623837"/>
    <w:rsid w:val="627632CC"/>
    <w:rsid w:val="627F1007"/>
    <w:rsid w:val="628362D4"/>
    <w:rsid w:val="62935B2B"/>
    <w:rsid w:val="6298103A"/>
    <w:rsid w:val="62A43808"/>
    <w:rsid w:val="62AC7E14"/>
    <w:rsid w:val="62B0270A"/>
    <w:rsid w:val="62C04E29"/>
    <w:rsid w:val="62DD4049"/>
    <w:rsid w:val="62E513E3"/>
    <w:rsid w:val="62EA37E8"/>
    <w:rsid w:val="62F10032"/>
    <w:rsid w:val="62FDCDC1"/>
    <w:rsid w:val="631430A5"/>
    <w:rsid w:val="63182B98"/>
    <w:rsid w:val="6327242C"/>
    <w:rsid w:val="633F699C"/>
    <w:rsid w:val="634B1075"/>
    <w:rsid w:val="635B22A4"/>
    <w:rsid w:val="635D7585"/>
    <w:rsid w:val="636571D9"/>
    <w:rsid w:val="63782D18"/>
    <w:rsid w:val="638805D7"/>
    <w:rsid w:val="63894210"/>
    <w:rsid w:val="638C77B8"/>
    <w:rsid w:val="639D7154"/>
    <w:rsid w:val="63C92DB3"/>
    <w:rsid w:val="63CD1390"/>
    <w:rsid w:val="63CF02CC"/>
    <w:rsid w:val="63CF77E6"/>
    <w:rsid w:val="63DC0D46"/>
    <w:rsid w:val="63E67F4B"/>
    <w:rsid w:val="63F315C5"/>
    <w:rsid w:val="63FC1162"/>
    <w:rsid w:val="640613C6"/>
    <w:rsid w:val="644B3B98"/>
    <w:rsid w:val="645E06F7"/>
    <w:rsid w:val="645E34AF"/>
    <w:rsid w:val="646F75EA"/>
    <w:rsid w:val="64753F00"/>
    <w:rsid w:val="647A62FF"/>
    <w:rsid w:val="648C220A"/>
    <w:rsid w:val="649B12A1"/>
    <w:rsid w:val="64A15950"/>
    <w:rsid w:val="64BE6346"/>
    <w:rsid w:val="64BF1228"/>
    <w:rsid w:val="64D66CC8"/>
    <w:rsid w:val="64E262CE"/>
    <w:rsid w:val="64E743F0"/>
    <w:rsid w:val="64F16B2E"/>
    <w:rsid w:val="65146547"/>
    <w:rsid w:val="651A104E"/>
    <w:rsid w:val="654B47DB"/>
    <w:rsid w:val="656657CF"/>
    <w:rsid w:val="6597539C"/>
    <w:rsid w:val="659B426E"/>
    <w:rsid w:val="65C36AC7"/>
    <w:rsid w:val="65C91E0B"/>
    <w:rsid w:val="65CF2E25"/>
    <w:rsid w:val="65D92236"/>
    <w:rsid w:val="65EE3015"/>
    <w:rsid w:val="65F51D11"/>
    <w:rsid w:val="65F82725"/>
    <w:rsid w:val="65F86AFE"/>
    <w:rsid w:val="66041355"/>
    <w:rsid w:val="66233DC3"/>
    <w:rsid w:val="662D4923"/>
    <w:rsid w:val="662F4420"/>
    <w:rsid w:val="66466EBB"/>
    <w:rsid w:val="6653169A"/>
    <w:rsid w:val="665A7035"/>
    <w:rsid w:val="66796114"/>
    <w:rsid w:val="669F437B"/>
    <w:rsid w:val="66A2184D"/>
    <w:rsid w:val="66B67037"/>
    <w:rsid w:val="66B76B59"/>
    <w:rsid w:val="66D8362F"/>
    <w:rsid w:val="66FB1891"/>
    <w:rsid w:val="66FE2C0C"/>
    <w:rsid w:val="66FF5AE6"/>
    <w:rsid w:val="670C2E34"/>
    <w:rsid w:val="67261D48"/>
    <w:rsid w:val="67444946"/>
    <w:rsid w:val="674F19AC"/>
    <w:rsid w:val="677966C6"/>
    <w:rsid w:val="677A2258"/>
    <w:rsid w:val="67984605"/>
    <w:rsid w:val="679B221B"/>
    <w:rsid w:val="679F7FA8"/>
    <w:rsid w:val="67BF24B9"/>
    <w:rsid w:val="67C95B61"/>
    <w:rsid w:val="67D231F7"/>
    <w:rsid w:val="67EF5A6D"/>
    <w:rsid w:val="67F854FE"/>
    <w:rsid w:val="68091429"/>
    <w:rsid w:val="681F457E"/>
    <w:rsid w:val="68261404"/>
    <w:rsid w:val="682C6F90"/>
    <w:rsid w:val="68356C86"/>
    <w:rsid w:val="683A437C"/>
    <w:rsid w:val="68651DE7"/>
    <w:rsid w:val="68BFA5FD"/>
    <w:rsid w:val="68C82D6C"/>
    <w:rsid w:val="68E30937"/>
    <w:rsid w:val="68E50A6D"/>
    <w:rsid w:val="68E6641A"/>
    <w:rsid w:val="68FB795E"/>
    <w:rsid w:val="69041F26"/>
    <w:rsid w:val="691E4E61"/>
    <w:rsid w:val="69314333"/>
    <w:rsid w:val="69477723"/>
    <w:rsid w:val="69507FA1"/>
    <w:rsid w:val="69601EB7"/>
    <w:rsid w:val="69A16C2A"/>
    <w:rsid w:val="69A26180"/>
    <w:rsid w:val="69A452A3"/>
    <w:rsid w:val="69A5644B"/>
    <w:rsid w:val="69D84D1F"/>
    <w:rsid w:val="6A02676B"/>
    <w:rsid w:val="6A126AEE"/>
    <w:rsid w:val="6A177455"/>
    <w:rsid w:val="6A1E7827"/>
    <w:rsid w:val="6A2A0880"/>
    <w:rsid w:val="6A4478CC"/>
    <w:rsid w:val="6A4675D7"/>
    <w:rsid w:val="6A4D0118"/>
    <w:rsid w:val="6A526233"/>
    <w:rsid w:val="6A5D01A4"/>
    <w:rsid w:val="6A616D6F"/>
    <w:rsid w:val="6A660125"/>
    <w:rsid w:val="6A6A1A6D"/>
    <w:rsid w:val="6A6A777B"/>
    <w:rsid w:val="6A6F1098"/>
    <w:rsid w:val="6A8B67B2"/>
    <w:rsid w:val="6A906554"/>
    <w:rsid w:val="6A981362"/>
    <w:rsid w:val="6AA50870"/>
    <w:rsid w:val="6AA54025"/>
    <w:rsid w:val="6AA6753E"/>
    <w:rsid w:val="6AAE3BD5"/>
    <w:rsid w:val="6ABC7B79"/>
    <w:rsid w:val="6AD4435E"/>
    <w:rsid w:val="6ADF0F99"/>
    <w:rsid w:val="6AE3164C"/>
    <w:rsid w:val="6AE33E8E"/>
    <w:rsid w:val="6AEE1F0F"/>
    <w:rsid w:val="6B061D23"/>
    <w:rsid w:val="6B10503D"/>
    <w:rsid w:val="6B1C3EC6"/>
    <w:rsid w:val="6B254CAF"/>
    <w:rsid w:val="6B3611FB"/>
    <w:rsid w:val="6B511079"/>
    <w:rsid w:val="6B557B0C"/>
    <w:rsid w:val="6B572E46"/>
    <w:rsid w:val="6B685075"/>
    <w:rsid w:val="6BC54253"/>
    <w:rsid w:val="6BC613A3"/>
    <w:rsid w:val="6BE46AA6"/>
    <w:rsid w:val="6BF230D7"/>
    <w:rsid w:val="6BF92A4A"/>
    <w:rsid w:val="6C574393"/>
    <w:rsid w:val="6C5759A1"/>
    <w:rsid w:val="6C5925AB"/>
    <w:rsid w:val="6C6A4B6B"/>
    <w:rsid w:val="6C8D1652"/>
    <w:rsid w:val="6C952436"/>
    <w:rsid w:val="6C987241"/>
    <w:rsid w:val="6C9949B1"/>
    <w:rsid w:val="6CA6001D"/>
    <w:rsid w:val="6CAB6174"/>
    <w:rsid w:val="6CF37C96"/>
    <w:rsid w:val="6D017311"/>
    <w:rsid w:val="6D022B5D"/>
    <w:rsid w:val="6D134749"/>
    <w:rsid w:val="6D1549E4"/>
    <w:rsid w:val="6D154D50"/>
    <w:rsid w:val="6D245803"/>
    <w:rsid w:val="6D2B7402"/>
    <w:rsid w:val="6D2D2D5B"/>
    <w:rsid w:val="6D3A2750"/>
    <w:rsid w:val="6D484BCE"/>
    <w:rsid w:val="6D516C33"/>
    <w:rsid w:val="6D5E513B"/>
    <w:rsid w:val="6D8668BF"/>
    <w:rsid w:val="6D8C711B"/>
    <w:rsid w:val="6DA10849"/>
    <w:rsid w:val="6DAD4F96"/>
    <w:rsid w:val="6DBE3C1C"/>
    <w:rsid w:val="6DC66A8A"/>
    <w:rsid w:val="6DCB2DFD"/>
    <w:rsid w:val="6DD570F2"/>
    <w:rsid w:val="6DF32740"/>
    <w:rsid w:val="6DF608C8"/>
    <w:rsid w:val="6E07289A"/>
    <w:rsid w:val="6E1049BB"/>
    <w:rsid w:val="6E2F6877"/>
    <w:rsid w:val="6E4C33CE"/>
    <w:rsid w:val="6E521293"/>
    <w:rsid w:val="6E7F1B73"/>
    <w:rsid w:val="6E852A85"/>
    <w:rsid w:val="6E8C1058"/>
    <w:rsid w:val="6EB847CA"/>
    <w:rsid w:val="6EBF3631"/>
    <w:rsid w:val="6ED104F7"/>
    <w:rsid w:val="6EED40B8"/>
    <w:rsid w:val="6EF105B8"/>
    <w:rsid w:val="6F064DD8"/>
    <w:rsid w:val="6F13061C"/>
    <w:rsid w:val="6F1503F3"/>
    <w:rsid w:val="6F3816F9"/>
    <w:rsid w:val="6F3F0578"/>
    <w:rsid w:val="6F4C2C03"/>
    <w:rsid w:val="6F510285"/>
    <w:rsid w:val="6F55700D"/>
    <w:rsid w:val="6F6942A7"/>
    <w:rsid w:val="6F701892"/>
    <w:rsid w:val="6F7C4544"/>
    <w:rsid w:val="6F9140A8"/>
    <w:rsid w:val="6F9615F0"/>
    <w:rsid w:val="6FF86F86"/>
    <w:rsid w:val="6FFAC214"/>
    <w:rsid w:val="7019558D"/>
    <w:rsid w:val="7021432F"/>
    <w:rsid w:val="7029039C"/>
    <w:rsid w:val="7044637C"/>
    <w:rsid w:val="70500F50"/>
    <w:rsid w:val="705F20B5"/>
    <w:rsid w:val="70650B18"/>
    <w:rsid w:val="70853245"/>
    <w:rsid w:val="7096329C"/>
    <w:rsid w:val="70E4037A"/>
    <w:rsid w:val="70E87DC5"/>
    <w:rsid w:val="70FB519D"/>
    <w:rsid w:val="7100002B"/>
    <w:rsid w:val="71095B4B"/>
    <w:rsid w:val="711546E4"/>
    <w:rsid w:val="71330CDE"/>
    <w:rsid w:val="7142022B"/>
    <w:rsid w:val="714D127C"/>
    <w:rsid w:val="71666473"/>
    <w:rsid w:val="71B73AB7"/>
    <w:rsid w:val="71BE59CD"/>
    <w:rsid w:val="71CF1396"/>
    <w:rsid w:val="71D61D26"/>
    <w:rsid w:val="71DD6943"/>
    <w:rsid w:val="71E126E7"/>
    <w:rsid w:val="71FF94E4"/>
    <w:rsid w:val="72016C79"/>
    <w:rsid w:val="72320B0A"/>
    <w:rsid w:val="726117EB"/>
    <w:rsid w:val="7273017D"/>
    <w:rsid w:val="7280291B"/>
    <w:rsid w:val="7283567E"/>
    <w:rsid w:val="728D3540"/>
    <w:rsid w:val="729C3858"/>
    <w:rsid w:val="72A647BC"/>
    <w:rsid w:val="72A76976"/>
    <w:rsid w:val="72B132EC"/>
    <w:rsid w:val="72C23135"/>
    <w:rsid w:val="72C836D4"/>
    <w:rsid w:val="72DF6D9B"/>
    <w:rsid w:val="731955B0"/>
    <w:rsid w:val="73216B98"/>
    <w:rsid w:val="732C01B5"/>
    <w:rsid w:val="732E6D46"/>
    <w:rsid w:val="733D44DB"/>
    <w:rsid w:val="734B71CE"/>
    <w:rsid w:val="73543548"/>
    <w:rsid w:val="737C4A84"/>
    <w:rsid w:val="7397616E"/>
    <w:rsid w:val="73B9077F"/>
    <w:rsid w:val="73DC5D2B"/>
    <w:rsid w:val="73FFD5C4"/>
    <w:rsid w:val="7418018A"/>
    <w:rsid w:val="74223F7C"/>
    <w:rsid w:val="742B1A06"/>
    <w:rsid w:val="74323124"/>
    <w:rsid w:val="744A2B6B"/>
    <w:rsid w:val="74546524"/>
    <w:rsid w:val="746A214D"/>
    <w:rsid w:val="74BD796F"/>
    <w:rsid w:val="74D26794"/>
    <w:rsid w:val="74F47A21"/>
    <w:rsid w:val="7511518E"/>
    <w:rsid w:val="7540614A"/>
    <w:rsid w:val="7587489F"/>
    <w:rsid w:val="75BA5482"/>
    <w:rsid w:val="75C24164"/>
    <w:rsid w:val="75C716AF"/>
    <w:rsid w:val="75EBBA79"/>
    <w:rsid w:val="7609076D"/>
    <w:rsid w:val="76204F57"/>
    <w:rsid w:val="7626390E"/>
    <w:rsid w:val="764959E1"/>
    <w:rsid w:val="76585B46"/>
    <w:rsid w:val="768825B8"/>
    <w:rsid w:val="768D2C9B"/>
    <w:rsid w:val="768E1616"/>
    <w:rsid w:val="768E20BA"/>
    <w:rsid w:val="76B8473A"/>
    <w:rsid w:val="76BD56C3"/>
    <w:rsid w:val="76C8243D"/>
    <w:rsid w:val="76D86260"/>
    <w:rsid w:val="76DD1CA4"/>
    <w:rsid w:val="76ED5F8C"/>
    <w:rsid w:val="77103714"/>
    <w:rsid w:val="77205BA2"/>
    <w:rsid w:val="7732288E"/>
    <w:rsid w:val="77442F62"/>
    <w:rsid w:val="774C00C2"/>
    <w:rsid w:val="77516B93"/>
    <w:rsid w:val="776C2427"/>
    <w:rsid w:val="7770141D"/>
    <w:rsid w:val="778E413F"/>
    <w:rsid w:val="77D2720E"/>
    <w:rsid w:val="77E656B0"/>
    <w:rsid w:val="77F16938"/>
    <w:rsid w:val="77F24A1D"/>
    <w:rsid w:val="77F5F097"/>
    <w:rsid w:val="77FB68EA"/>
    <w:rsid w:val="78006D3F"/>
    <w:rsid w:val="782B0C40"/>
    <w:rsid w:val="783054A1"/>
    <w:rsid w:val="783B7D77"/>
    <w:rsid w:val="783D70B7"/>
    <w:rsid w:val="784400DC"/>
    <w:rsid w:val="784455A5"/>
    <w:rsid w:val="785B5CA8"/>
    <w:rsid w:val="786B5B34"/>
    <w:rsid w:val="788A0371"/>
    <w:rsid w:val="78BE62B2"/>
    <w:rsid w:val="78C74263"/>
    <w:rsid w:val="78D73D6F"/>
    <w:rsid w:val="79164A90"/>
    <w:rsid w:val="79574BDF"/>
    <w:rsid w:val="795B1D53"/>
    <w:rsid w:val="795F26E2"/>
    <w:rsid w:val="795F6720"/>
    <w:rsid w:val="7967510A"/>
    <w:rsid w:val="796C10F2"/>
    <w:rsid w:val="79737D2F"/>
    <w:rsid w:val="797E1437"/>
    <w:rsid w:val="797F0BB5"/>
    <w:rsid w:val="79884DF6"/>
    <w:rsid w:val="79AD7B13"/>
    <w:rsid w:val="79AF10A0"/>
    <w:rsid w:val="79C838FD"/>
    <w:rsid w:val="79DC5C4C"/>
    <w:rsid w:val="79DD6CCC"/>
    <w:rsid w:val="79FC640A"/>
    <w:rsid w:val="79FE80C3"/>
    <w:rsid w:val="79FFACC4"/>
    <w:rsid w:val="7A262361"/>
    <w:rsid w:val="7A37631C"/>
    <w:rsid w:val="7A48098D"/>
    <w:rsid w:val="7A510AAB"/>
    <w:rsid w:val="7A71345F"/>
    <w:rsid w:val="7A813A3B"/>
    <w:rsid w:val="7A85DC6C"/>
    <w:rsid w:val="7A8A45A8"/>
    <w:rsid w:val="7AA00DEB"/>
    <w:rsid w:val="7AB81A37"/>
    <w:rsid w:val="7AC96BBD"/>
    <w:rsid w:val="7AF1471D"/>
    <w:rsid w:val="7B3379EA"/>
    <w:rsid w:val="7B452CBB"/>
    <w:rsid w:val="7B845E1A"/>
    <w:rsid w:val="7B931077"/>
    <w:rsid w:val="7B9C1533"/>
    <w:rsid w:val="7BA82956"/>
    <w:rsid w:val="7BCD1CE5"/>
    <w:rsid w:val="7BCE4803"/>
    <w:rsid w:val="7BD824F3"/>
    <w:rsid w:val="7BE2114E"/>
    <w:rsid w:val="7BE671F4"/>
    <w:rsid w:val="7BF4681D"/>
    <w:rsid w:val="7BF5CEA7"/>
    <w:rsid w:val="7C02343D"/>
    <w:rsid w:val="7C092E75"/>
    <w:rsid w:val="7C10780F"/>
    <w:rsid w:val="7C2640C9"/>
    <w:rsid w:val="7C2A5CBD"/>
    <w:rsid w:val="7C3E08DF"/>
    <w:rsid w:val="7C4A13EF"/>
    <w:rsid w:val="7C4A6E7C"/>
    <w:rsid w:val="7C6764A2"/>
    <w:rsid w:val="7C744059"/>
    <w:rsid w:val="7C76530D"/>
    <w:rsid w:val="7C911938"/>
    <w:rsid w:val="7CB0557B"/>
    <w:rsid w:val="7CD32459"/>
    <w:rsid w:val="7CE2738E"/>
    <w:rsid w:val="7CE36A9B"/>
    <w:rsid w:val="7CF82DF2"/>
    <w:rsid w:val="7CFAC80D"/>
    <w:rsid w:val="7D080C02"/>
    <w:rsid w:val="7D0D64C9"/>
    <w:rsid w:val="7D101122"/>
    <w:rsid w:val="7D2963E1"/>
    <w:rsid w:val="7D3BBBCF"/>
    <w:rsid w:val="7D52237B"/>
    <w:rsid w:val="7D571A38"/>
    <w:rsid w:val="7D67B6A1"/>
    <w:rsid w:val="7D79B806"/>
    <w:rsid w:val="7D7C2F2E"/>
    <w:rsid w:val="7D8C77F5"/>
    <w:rsid w:val="7D8F3A55"/>
    <w:rsid w:val="7D930A39"/>
    <w:rsid w:val="7DB3030A"/>
    <w:rsid w:val="7DBC08BC"/>
    <w:rsid w:val="7DBE3A17"/>
    <w:rsid w:val="7DE078D4"/>
    <w:rsid w:val="7DEA3FC2"/>
    <w:rsid w:val="7DED48EA"/>
    <w:rsid w:val="7DFE8B0B"/>
    <w:rsid w:val="7E082EC6"/>
    <w:rsid w:val="7E123CE8"/>
    <w:rsid w:val="7E1F3C97"/>
    <w:rsid w:val="7E3E6C5A"/>
    <w:rsid w:val="7E5F1C7A"/>
    <w:rsid w:val="7E633922"/>
    <w:rsid w:val="7E7229A1"/>
    <w:rsid w:val="7E7B5986"/>
    <w:rsid w:val="7E8B2878"/>
    <w:rsid w:val="7E9F1CB2"/>
    <w:rsid w:val="7EA1013F"/>
    <w:rsid w:val="7EA837BC"/>
    <w:rsid w:val="7EB260E3"/>
    <w:rsid w:val="7EC56ACC"/>
    <w:rsid w:val="7ECE18A3"/>
    <w:rsid w:val="7EF679BC"/>
    <w:rsid w:val="7EF9F6FB"/>
    <w:rsid w:val="7EFD217F"/>
    <w:rsid w:val="7F0F6E3F"/>
    <w:rsid w:val="7F1709A4"/>
    <w:rsid w:val="7F194FF9"/>
    <w:rsid w:val="7F261CDF"/>
    <w:rsid w:val="7F394685"/>
    <w:rsid w:val="7F4734A5"/>
    <w:rsid w:val="7F479F55"/>
    <w:rsid w:val="7F582E59"/>
    <w:rsid w:val="7F63D03D"/>
    <w:rsid w:val="7F6640B4"/>
    <w:rsid w:val="7F6B6EE8"/>
    <w:rsid w:val="7F6D6ECF"/>
    <w:rsid w:val="7F712A0F"/>
    <w:rsid w:val="7F756CC9"/>
    <w:rsid w:val="7F793AE6"/>
    <w:rsid w:val="7F915899"/>
    <w:rsid w:val="7F9F4924"/>
    <w:rsid w:val="7FBF4563"/>
    <w:rsid w:val="7FDF0DD7"/>
    <w:rsid w:val="7FDF53F2"/>
    <w:rsid w:val="7FEAFB12"/>
    <w:rsid w:val="7FF53FDB"/>
    <w:rsid w:val="7FFC5A55"/>
    <w:rsid w:val="7FFF3B7F"/>
    <w:rsid w:val="7FFFC14E"/>
    <w:rsid w:val="89594A4E"/>
    <w:rsid w:val="8FF77A49"/>
    <w:rsid w:val="9B5770A6"/>
    <w:rsid w:val="9DE5B8BE"/>
    <w:rsid w:val="9DED66E1"/>
    <w:rsid w:val="A7FFDC9D"/>
    <w:rsid w:val="ABEB34DF"/>
    <w:rsid w:val="AC528A3A"/>
    <w:rsid w:val="AFFB7EFD"/>
    <w:rsid w:val="B1A0602D"/>
    <w:rsid w:val="BADFD463"/>
    <w:rsid w:val="BEFDC596"/>
    <w:rsid w:val="C1DF49EB"/>
    <w:rsid w:val="C52E53A5"/>
    <w:rsid w:val="CFE7F8F6"/>
    <w:rsid w:val="D6F54084"/>
    <w:rsid w:val="DCDF40DA"/>
    <w:rsid w:val="DDD76DDA"/>
    <w:rsid w:val="DEBFECC5"/>
    <w:rsid w:val="E4FBB683"/>
    <w:rsid w:val="E6FFB973"/>
    <w:rsid w:val="E7FF6423"/>
    <w:rsid w:val="ED8BA5B5"/>
    <w:rsid w:val="EF7BAF2E"/>
    <w:rsid w:val="EF9EE842"/>
    <w:rsid w:val="F3EF18CD"/>
    <w:rsid w:val="F56E340D"/>
    <w:rsid w:val="F6B91181"/>
    <w:rsid w:val="F776E64F"/>
    <w:rsid w:val="F7AFB875"/>
    <w:rsid w:val="F7AFEF57"/>
    <w:rsid w:val="F9676802"/>
    <w:rsid w:val="F9EF7FEA"/>
    <w:rsid w:val="FAED0143"/>
    <w:rsid w:val="FAFF7DFB"/>
    <w:rsid w:val="FBB3E8EB"/>
    <w:rsid w:val="FBDBD7A8"/>
    <w:rsid w:val="FD3CCA76"/>
    <w:rsid w:val="FD7E69A9"/>
    <w:rsid w:val="FEC3C739"/>
    <w:rsid w:val="FECF733E"/>
    <w:rsid w:val="FEDF26A6"/>
    <w:rsid w:val="FEFEA313"/>
    <w:rsid w:val="FF9B9CFC"/>
    <w:rsid w:val="FFBF6489"/>
    <w:rsid w:val="FFBFCF9F"/>
    <w:rsid w:val="FFD9076D"/>
    <w:rsid w:val="FFDF5A78"/>
    <w:rsid w:val="FFDF63CB"/>
    <w:rsid w:val="FFEFBB05"/>
    <w:rsid w:val="FFF7DE47"/>
    <w:rsid w:val="FFFB7CC8"/>
    <w:rsid w:val="FFFECDEB"/>
    <w:rsid w:val="FFFF5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line="600" w:lineRule="exact"/>
      <w:ind w:firstLine="643" w:firstLineChars="200"/>
      <w:outlineLvl w:val="2"/>
    </w:pPr>
    <w:rPr>
      <w:b/>
      <w:bCs/>
      <w:sz w:val="32"/>
      <w:szCs w:val="32"/>
    </w:rPr>
  </w:style>
  <w:style w:type="paragraph" w:styleId="5">
    <w:name w:val="heading 4"/>
    <w:basedOn w:val="1"/>
    <w:next w:val="1"/>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autoRedefine/>
    <w:qFormat/>
    <w:uiPriority w:val="0"/>
    <w:pPr>
      <w:keepNext/>
      <w:keepLines/>
      <w:spacing w:before="280" w:after="290" w:line="376" w:lineRule="auto"/>
      <w:outlineLvl w:val="4"/>
    </w:pPr>
    <w:rPr>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8">
    <w:name w:val="toc 7"/>
    <w:basedOn w:val="1"/>
    <w:next w:val="1"/>
    <w:autoRedefine/>
    <w:qFormat/>
    <w:uiPriority w:val="39"/>
    <w:pPr>
      <w:tabs>
        <w:tab w:val="right" w:leader="dot" w:pos="9185"/>
      </w:tabs>
      <w:spacing w:line="312" w:lineRule="atLeast"/>
      <w:ind w:left="2520"/>
    </w:pPr>
    <w:rPr>
      <w:rFonts w:ascii="Verdana" w:hAnsi="Verdana"/>
      <w:kern w:val="0"/>
      <w:szCs w:val="20"/>
    </w:rPr>
  </w:style>
  <w:style w:type="paragraph" w:styleId="9">
    <w:name w:val="index 8"/>
    <w:basedOn w:val="1"/>
    <w:next w:val="1"/>
    <w:autoRedefine/>
    <w:qFormat/>
    <w:uiPriority w:val="0"/>
    <w:pPr>
      <w:ind w:left="2940"/>
    </w:pPr>
  </w:style>
  <w:style w:type="paragraph" w:styleId="10">
    <w:name w:val="annotation text"/>
    <w:basedOn w:val="1"/>
    <w:link w:val="74"/>
    <w:autoRedefine/>
    <w:qFormat/>
    <w:uiPriority w:val="0"/>
    <w:pPr>
      <w:jc w:val="left"/>
    </w:pPr>
  </w:style>
  <w:style w:type="paragraph" w:styleId="11">
    <w:name w:val="Body Text"/>
    <w:basedOn w:val="1"/>
    <w:next w:val="8"/>
    <w:autoRedefine/>
    <w:qFormat/>
    <w:uiPriority w:val="0"/>
    <w:pPr>
      <w:spacing w:after="120"/>
    </w:pPr>
  </w:style>
  <w:style w:type="paragraph" w:styleId="12">
    <w:name w:val="Body Text Indent"/>
    <w:basedOn w:val="1"/>
    <w:autoRedefine/>
    <w:qFormat/>
    <w:uiPriority w:val="0"/>
    <w:pPr>
      <w:spacing w:line="200" w:lineRule="exact"/>
      <w:ind w:firstLine="301"/>
    </w:pPr>
    <w:rPr>
      <w:rFonts w:ascii="宋体" w:hAnsi="Courier New"/>
      <w:spacing w:val="-4"/>
      <w:sz w:val="18"/>
      <w:szCs w:val="20"/>
    </w:rPr>
  </w:style>
  <w:style w:type="paragraph" w:styleId="13">
    <w:name w:val="toc 3"/>
    <w:basedOn w:val="1"/>
    <w:next w:val="1"/>
    <w:autoRedefine/>
    <w:qFormat/>
    <w:uiPriority w:val="0"/>
    <w:pPr>
      <w:jc w:val="left"/>
    </w:pPr>
    <w:rPr>
      <w:rFonts w:ascii="Calibri" w:hAnsi="Calibri"/>
      <w:smallCaps/>
      <w:sz w:val="22"/>
      <w:szCs w:val="22"/>
    </w:rPr>
  </w:style>
  <w:style w:type="paragraph" w:styleId="14">
    <w:name w:val="Plain Text"/>
    <w:basedOn w:val="1"/>
    <w:next w:val="9"/>
    <w:autoRedefine/>
    <w:qFormat/>
    <w:uiPriority w:val="0"/>
    <w:rPr>
      <w:rFonts w:ascii="宋体" w:hAnsi="Courier New"/>
      <w:szCs w:val="20"/>
    </w:rPr>
  </w:style>
  <w:style w:type="paragraph" w:styleId="15">
    <w:name w:val="Date"/>
    <w:basedOn w:val="1"/>
    <w:next w:val="1"/>
    <w:autoRedefine/>
    <w:qFormat/>
    <w:uiPriority w:val="0"/>
    <w:pPr>
      <w:ind w:left="100" w:leftChars="2500"/>
    </w:pPr>
    <w:rPr>
      <w:rFonts w:ascii="宋体" w:hAnsi="宋体"/>
      <w:kern w:val="0"/>
    </w:rPr>
  </w:style>
  <w:style w:type="paragraph" w:styleId="16">
    <w:name w:val="Balloon Text"/>
    <w:basedOn w:val="1"/>
    <w:link w:val="43"/>
    <w:autoRedefine/>
    <w:qFormat/>
    <w:uiPriority w:val="0"/>
    <w:rPr>
      <w:sz w:val="18"/>
      <w:szCs w:val="18"/>
    </w:rPr>
  </w:style>
  <w:style w:type="paragraph" w:styleId="17">
    <w:name w:val="footer"/>
    <w:basedOn w:val="1"/>
    <w:next w:val="1"/>
    <w:autoRedefine/>
    <w:qFormat/>
    <w:uiPriority w:val="0"/>
    <w:pPr>
      <w:tabs>
        <w:tab w:val="center" w:pos="4153"/>
        <w:tab w:val="right" w:pos="8306"/>
      </w:tabs>
      <w:snapToGrid w:val="0"/>
      <w:jc w:val="left"/>
    </w:pPr>
    <w:rPr>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0"/>
    <w:pPr>
      <w:spacing w:before="360" w:after="360"/>
      <w:jc w:val="left"/>
    </w:pPr>
    <w:rPr>
      <w:rFonts w:ascii="Calibri" w:hAnsi="Calibri"/>
      <w:b/>
      <w:bCs/>
      <w:caps/>
      <w:sz w:val="22"/>
      <w:szCs w:val="22"/>
      <w:u w:val="single"/>
    </w:rPr>
  </w:style>
  <w:style w:type="paragraph" w:styleId="20">
    <w:name w:val="List"/>
    <w:basedOn w:val="1"/>
    <w:autoRedefine/>
    <w:qFormat/>
    <w:uiPriority w:val="0"/>
    <w:pPr>
      <w:ind w:left="200" w:hanging="200" w:hangingChars="200"/>
    </w:pPr>
    <w:rPr>
      <w:sz w:val="28"/>
    </w:rPr>
  </w:style>
  <w:style w:type="paragraph" w:styleId="21">
    <w:name w:val="toc 2"/>
    <w:basedOn w:val="1"/>
    <w:next w:val="1"/>
    <w:autoRedefine/>
    <w:qFormat/>
    <w:uiPriority w:val="0"/>
    <w:pPr>
      <w:jc w:val="left"/>
    </w:pPr>
    <w:rPr>
      <w:rFonts w:ascii="Calibri" w:hAnsi="Calibri"/>
      <w:b/>
      <w:bCs/>
      <w:smallCaps/>
      <w:sz w:val="22"/>
      <w:szCs w:val="22"/>
    </w:rPr>
  </w:style>
  <w:style w:type="paragraph" w:styleId="22">
    <w:name w:val="Body Text 2"/>
    <w:basedOn w:val="1"/>
    <w:next w:val="11"/>
    <w:autoRedefine/>
    <w:qFormat/>
    <w:uiPriority w:val="0"/>
    <w:pPr>
      <w:spacing w:after="120" w:line="480" w:lineRule="auto"/>
    </w:pPr>
    <w:rPr>
      <w:kern w:val="0"/>
      <w:sz w:val="20"/>
    </w:rPr>
  </w:style>
  <w:style w:type="paragraph" w:styleId="23">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4">
    <w:name w:val="annotation subject"/>
    <w:basedOn w:val="10"/>
    <w:next w:val="10"/>
    <w:link w:val="75"/>
    <w:autoRedefine/>
    <w:qFormat/>
    <w:uiPriority w:val="0"/>
    <w:rPr>
      <w:b/>
      <w:bCs/>
    </w:rPr>
  </w:style>
  <w:style w:type="paragraph" w:styleId="25">
    <w:name w:val="Body Text First Indent 2"/>
    <w:basedOn w:val="1"/>
    <w:autoRedefine/>
    <w:qFormat/>
    <w:uiPriority w:val="0"/>
    <w:pPr>
      <w:spacing w:after="120"/>
      <w:ind w:left="420" w:leftChars="200" w:firstLine="420" w:firstLineChars="200"/>
    </w:p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rFonts w:ascii="Times New Roman" w:hAnsi="Times New Roman" w:eastAsia="宋体" w:cs="Times New Roman"/>
      <w:b/>
      <w:bCs/>
    </w:rPr>
  </w:style>
  <w:style w:type="character" w:styleId="30">
    <w:name w:val="page number"/>
    <w:autoRedefine/>
    <w:qFormat/>
    <w:uiPriority w:val="0"/>
    <w:rPr>
      <w:rFonts w:ascii="Times New Roman" w:hAnsi="Times New Roman" w:eastAsia="宋体" w:cs="Times New Roman"/>
    </w:rPr>
  </w:style>
  <w:style w:type="character" w:styleId="31">
    <w:name w:val="FollowedHyperlink"/>
    <w:autoRedefine/>
    <w:qFormat/>
    <w:uiPriority w:val="0"/>
    <w:rPr>
      <w:rFonts w:hint="eastAsia" w:ascii="微软雅黑" w:hAnsi="微软雅黑" w:eastAsia="微软雅黑" w:cs="微软雅黑"/>
      <w:color w:val="02396F"/>
      <w:u w:val="single"/>
    </w:rPr>
  </w:style>
  <w:style w:type="character" w:styleId="32">
    <w:name w:val="Emphasis"/>
    <w:autoRedefine/>
    <w:qFormat/>
    <w:uiPriority w:val="0"/>
    <w:rPr>
      <w:rFonts w:ascii="Times New Roman" w:hAnsi="Times New Roman" w:eastAsia="宋体" w:cs="Times New Roman"/>
      <w:b/>
      <w:bCs/>
    </w:rPr>
  </w:style>
  <w:style w:type="character" w:styleId="33">
    <w:name w:val="HTML Definition"/>
    <w:autoRedefine/>
    <w:qFormat/>
    <w:uiPriority w:val="0"/>
    <w:rPr>
      <w:rFonts w:ascii="Times New Roman" w:hAnsi="Times New Roman" w:eastAsia="宋体" w:cs="Times New Roman"/>
    </w:rPr>
  </w:style>
  <w:style w:type="character" w:styleId="34">
    <w:name w:val="HTML Typewriter"/>
    <w:autoRedefine/>
    <w:qFormat/>
    <w:uiPriority w:val="0"/>
    <w:rPr>
      <w:rFonts w:hint="default" w:ascii="monospace" w:hAnsi="monospace" w:eastAsia="monospace" w:cs="monospace"/>
      <w:sz w:val="20"/>
    </w:rPr>
  </w:style>
  <w:style w:type="character" w:styleId="35">
    <w:name w:val="HTML Acronym"/>
    <w:autoRedefine/>
    <w:qFormat/>
    <w:uiPriority w:val="0"/>
    <w:rPr>
      <w:rFonts w:ascii="Times New Roman" w:hAnsi="Times New Roman" w:eastAsia="宋体" w:cs="Times New Roman"/>
      <w:vanish/>
    </w:rPr>
  </w:style>
  <w:style w:type="character" w:styleId="36">
    <w:name w:val="HTML Variable"/>
    <w:autoRedefine/>
    <w:qFormat/>
    <w:uiPriority w:val="0"/>
    <w:rPr>
      <w:rFonts w:ascii="Times New Roman" w:hAnsi="Times New Roman" w:eastAsia="宋体" w:cs="Times New Roman"/>
    </w:rPr>
  </w:style>
  <w:style w:type="character" w:styleId="37">
    <w:name w:val="Hyperlink"/>
    <w:autoRedefine/>
    <w:qFormat/>
    <w:uiPriority w:val="0"/>
    <w:rPr>
      <w:rFonts w:ascii="Times New Roman" w:hAnsi="Times New Roman" w:eastAsia="宋体" w:cs="Times New Roman"/>
      <w:color w:val="0000FF"/>
      <w:u w:val="single"/>
    </w:rPr>
  </w:style>
  <w:style w:type="character" w:styleId="38">
    <w:name w:val="HTML Code"/>
    <w:autoRedefine/>
    <w:qFormat/>
    <w:uiPriority w:val="0"/>
    <w:rPr>
      <w:rFonts w:hint="default" w:ascii="monospace" w:hAnsi="monospace" w:eastAsia="monospace" w:cs="monospace"/>
      <w:sz w:val="20"/>
    </w:rPr>
  </w:style>
  <w:style w:type="character" w:styleId="39">
    <w:name w:val="annotation reference"/>
    <w:autoRedefine/>
    <w:qFormat/>
    <w:uiPriority w:val="0"/>
    <w:rPr>
      <w:sz w:val="21"/>
      <w:szCs w:val="21"/>
    </w:rPr>
  </w:style>
  <w:style w:type="character" w:styleId="40">
    <w:name w:val="HTML Cite"/>
    <w:autoRedefine/>
    <w:qFormat/>
    <w:uiPriority w:val="0"/>
    <w:rPr>
      <w:rFonts w:ascii="Times New Roman" w:hAnsi="Times New Roman" w:eastAsia="宋体" w:cs="Times New Roman"/>
    </w:rPr>
  </w:style>
  <w:style w:type="character" w:styleId="41">
    <w:name w:val="HTML Keyboard"/>
    <w:autoRedefine/>
    <w:qFormat/>
    <w:uiPriority w:val="0"/>
    <w:rPr>
      <w:rFonts w:hint="default" w:ascii="monospace" w:hAnsi="monospace" w:eastAsia="monospace" w:cs="monospace"/>
      <w:sz w:val="20"/>
    </w:rPr>
  </w:style>
  <w:style w:type="character" w:styleId="42">
    <w:name w:val="HTML Sample"/>
    <w:basedOn w:val="28"/>
    <w:autoRedefine/>
    <w:qFormat/>
    <w:uiPriority w:val="0"/>
    <w:rPr>
      <w:rFonts w:ascii="Courier New" w:hAnsi="Courier New" w:eastAsia="宋体" w:cs="Times New Roman"/>
    </w:rPr>
  </w:style>
  <w:style w:type="character" w:customStyle="1" w:styleId="43">
    <w:name w:val="批注框文本 字符"/>
    <w:link w:val="16"/>
    <w:autoRedefine/>
    <w:qFormat/>
    <w:uiPriority w:val="0"/>
    <w:rPr>
      <w:rFonts w:ascii="Times New Roman" w:hAnsi="Times New Roman" w:eastAsia="宋体" w:cs="Times New Roman"/>
      <w:kern w:val="2"/>
      <w:sz w:val="18"/>
      <w:szCs w:val="18"/>
    </w:rPr>
  </w:style>
  <w:style w:type="paragraph" w:styleId="44">
    <w:name w:val="List Paragraph"/>
    <w:basedOn w:val="1"/>
    <w:autoRedefine/>
    <w:qFormat/>
    <w:uiPriority w:val="0"/>
    <w:pPr>
      <w:ind w:firstLine="420" w:firstLineChars="200"/>
    </w:pPr>
  </w:style>
  <w:style w:type="character" w:customStyle="1" w:styleId="45">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46">
    <w:name w:val="正文2"/>
    <w:basedOn w:val="1"/>
    <w:autoRedefine/>
    <w:qFormat/>
    <w:uiPriority w:val="0"/>
    <w:pPr>
      <w:adjustRightInd w:val="0"/>
      <w:spacing w:before="156" w:line="360" w:lineRule="auto"/>
      <w:ind w:firstLine="510" w:firstLineChars="200"/>
    </w:pPr>
    <w:rPr>
      <w:sz w:val="24"/>
      <w:szCs w:val="20"/>
    </w:rPr>
  </w:style>
  <w:style w:type="paragraph" w:customStyle="1" w:styleId="47">
    <w:name w:val="Table Text"/>
    <w:autoRedefine/>
    <w:qFormat/>
    <w:uiPriority w:val="0"/>
    <w:pPr>
      <w:widowControl w:val="0"/>
      <w:spacing w:after="160" w:line="278" w:lineRule="auto"/>
      <w:jc w:val="both"/>
    </w:pPr>
    <w:rPr>
      <w:rFonts w:ascii="宋体" w:hAnsi="宋体" w:eastAsia="宋体" w:cs="宋体"/>
      <w:kern w:val="2"/>
      <w:lang w:val="en-US" w:eastAsia="en-US" w:bidi="ar-SA"/>
    </w:rPr>
  </w:style>
  <w:style w:type="character" w:customStyle="1" w:styleId="48">
    <w:name w:val="页眉 Char"/>
    <w:autoRedefine/>
    <w:qFormat/>
    <w:uiPriority w:val="0"/>
    <w:rPr>
      <w:rFonts w:ascii="Times New Roman" w:hAnsi="Times New Roman" w:eastAsia="宋体" w:cs="Times New Roman"/>
      <w:kern w:val="2"/>
      <w:sz w:val="18"/>
      <w:szCs w:val="18"/>
    </w:rPr>
  </w:style>
  <w:style w:type="character" w:customStyle="1" w:styleId="49">
    <w:name w:val="页脚 Char"/>
    <w:autoRedefine/>
    <w:qFormat/>
    <w:uiPriority w:val="0"/>
    <w:rPr>
      <w:rFonts w:ascii="Times New Roman" w:hAnsi="Times New Roman" w:eastAsia="宋体" w:cs="Times New Roman"/>
      <w:kern w:val="2"/>
      <w:sz w:val="18"/>
      <w:szCs w:val="18"/>
    </w:rPr>
  </w:style>
  <w:style w:type="character" w:customStyle="1" w:styleId="50">
    <w:name w:val="cfdate"/>
    <w:autoRedefine/>
    <w:qFormat/>
    <w:uiPriority w:val="0"/>
    <w:rPr>
      <w:rFonts w:ascii="Times New Roman" w:hAnsi="Times New Roman" w:eastAsia="宋体" w:cs="Times New Roman"/>
      <w:color w:val="333333"/>
      <w:sz w:val="18"/>
      <w:szCs w:val="18"/>
    </w:rPr>
  </w:style>
  <w:style w:type="character" w:customStyle="1" w:styleId="51">
    <w:name w:val="prev"/>
    <w:autoRedefine/>
    <w:qFormat/>
    <w:uiPriority w:val="0"/>
    <w:rPr>
      <w:rFonts w:hint="eastAsia" w:ascii="微软雅黑" w:hAnsi="微软雅黑" w:eastAsia="微软雅黑" w:cs="微软雅黑"/>
      <w:sz w:val="21"/>
      <w:szCs w:val="21"/>
    </w:rPr>
  </w:style>
  <w:style w:type="character" w:customStyle="1" w:styleId="52">
    <w:name w:val="prev1"/>
    <w:autoRedefine/>
    <w:qFormat/>
    <w:uiPriority w:val="0"/>
    <w:rPr>
      <w:rFonts w:ascii="Times New Roman" w:hAnsi="Times New Roman" w:eastAsia="宋体" w:cs="Times New Roman"/>
      <w:color w:val="888888"/>
    </w:rPr>
  </w:style>
  <w:style w:type="character" w:customStyle="1" w:styleId="53">
    <w:name w:val="redfilenumber"/>
    <w:autoRedefine/>
    <w:qFormat/>
    <w:uiPriority w:val="0"/>
    <w:rPr>
      <w:rFonts w:ascii="Times New Roman" w:hAnsi="Times New Roman" w:eastAsia="宋体" w:cs="Times New Roman"/>
      <w:color w:val="BA2636"/>
      <w:sz w:val="18"/>
      <w:szCs w:val="18"/>
    </w:rPr>
  </w:style>
  <w:style w:type="character" w:customStyle="1" w:styleId="54">
    <w:name w:val="next1"/>
    <w:autoRedefine/>
    <w:qFormat/>
    <w:uiPriority w:val="0"/>
    <w:rPr>
      <w:rFonts w:ascii="Times New Roman" w:hAnsi="Times New Roman" w:eastAsia="宋体" w:cs="Times New Roman"/>
      <w:color w:val="888888"/>
    </w:rPr>
  </w:style>
  <w:style w:type="character" w:customStyle="1" w:styleId="55">
    <w:name w:val="next"/>
    <w:autoRedefine/>
    <w:qFormat/>
    <w:uiPriority w:val="0"/>
    <w:rPr>
      <w:rFonts w:ascii="微软雅黑" w:hAnsi="微软雅黑" w:eastAsia="微软雅黑" w:cs="微软雅黑"/>
      <w:sz w:val="21"/>
      <w:szCs w:val="21"/>
    </w:rPr>
  </w:style>
  <w:style w:type="character" w:customStyle="1" w:styleId="56">
    <w:name w:val="displayarti"/>
    <w:autoRedefine/>
    <w:qFormat/>
    <w:uiPriority w:val="0"/>
    <w:rPr>
      <w:rFonts w:ascii="Times New Roman" w:hAnsi="Times New Roman" w:eastAsia="宋体" w:cs="Times New Roman"/>
      <w:color w:val="FFFFFF"/>
      <w:shd w:val="clear" w:color="auto" w:fill="A00000"/>
    </w:rPr>
  </w:style>
  <w:style w:type="character" w:customStyle="1" w:styleId="57">
    <w:name w:val="redfilefwwh"/>
    <w:autoRedefine/>
    <w:qFormat/>
    <w:uiPriority w:val="0"/>
    <w:rPr>
      <w:rFonts w:ascii="Times New Roman" w:hAnsi="Times New Roman" w:eastAsia="宋体" w:cs="Times New Roman"/>
      <w:color w:val="BA2636"/>
      <w:sz w:val="18"/>
      <w:szCs w:val="18"/>
    </w:rPr>
  </w:style>
  <w:style w:type="character" w:customStyle="1" w:styleId="58">
    <w:name w:val="qxdate"/>
    <w:autoRedefine/>
    <w:qFormat/>
    <w:uiPriority w:val="0"/>
    <w:rPr>
      <w:rFonts w:ascii="Times New Roman" w:hAnsi="Times New Roman" w:eastAsia="宋体" w:cs="Times New Roman"/>
      <w:color w:val="333333"/>
      <w:sz w:val="18"/>
      <w:szCs w:val="18"/>
    </w:rPr>
  </w:style>
  <w:style w:type="character" w:customStyle="1" w:styleId="59">
    <w:name w:val="gjfg"/>
    <w:autoRedefine/>
    <w:qFormat/>
    <w:uiPriority w:val="0"/>
    <w:rPr>
      <w:rFonts w:ascii="Times New Roman" w:hAnsi="Times New Roman" w:eastAsia="宋体" w:cs="Times New Roman"/>
    </w:rPr>
  </w:style>
  <w:style w:type="paragraph" w:customStyle="1" w:styleId="60">
    <w:name w:val="正文缩进1"/>
    <w:basedOn w:val="1"/>
    <w:next w:val="12"/>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61">
    <w:name w:val="样式 标题 2 + 宋体"/>
    <w:basedOn w:val="3"/>
    <w:autoRedefine/>
    <w:qFormat/>
    <w:uiPriority w:val="0"/>
    <w:rPr>
      <w:rFonts w:ascii="宋体" w:hAnsi="宋体" w:eastAsia="宋体"/>
      <w:sz w:val="30"/>
    </w:rPr>
  </w:style>
  <w:style w:type="paragraph" w:customStyle="1" w:styleId="62">
    <w:name w:val="p15"/>
    <w:basedOn w:val="1"/>
    <w:autoRedefine/>
    <w:qFormat/>
    <w:uiPriority w:val="0"/>
    <w:pPr>
      <w:widowControl/>
    </w:pPr>
    <w:rPr>
      <w:rFonts w:ascii="宋体" w:hAnsi="宋体" w:cs="宋体"/>
      <w:kern w:val="0"/>
      <w:szCs w:val="21"/>
    </w:rPr>
  </w:style>
  <w:style w:type="paragraph" w:customStyle="1" w:styleId="63">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64">
    <w:name w:val="Body text|1"/>
    <w:basedOn w:val="1"/>
    <w:autoRedefine/>
    <w:qFormat/>
    <w:uiPriority w:val="0"/>
    <w:pPr>
      <w:spacing w:after="40" w:line="439" w:lineRule="auto"/>
      <w:ind w:firstLine="400"/>
    </w:pPr>
    <w:rPr>
      <w:rFonts w:ascii="宋体" w:hAnsi="宋体" w:cs="宋体"/>
      <w:sz w:val="22"/>
      <w:szCs w:val="22"/>
      <w:lang w:val="zh-TW" w:eastAsia="zh-TW" w:bidi="zh-TW"/>
    </w:rPr>
  </w:style>
  <w:style w:type="character" w:customStyle="1" w:styleId="65">
    <w:name w:val="font11"/>
    <w:autoRedefine/>
    <w:qFormat/>
    <w:uiPriority w:val="0"/>
    <w:rPr>
      <w:rFonts w:hint="eastAsia" w:ascii="宋体" w:hAnsi="宋体" w:eastAsia="宋体" w:cs="宋体"/>
      <w:color w:val="000000"/>
      <w:sz w:val="20"/>
      <w:szCs w:val="20"/>
      <w:u w:val="none"/>
    </w:rPr>
  </w:style>
  <w:style w:type="character" w:customStyle="1" w:styleId="66">
    <w:name w:val="hover1"/>
    <w:autoRedefine/>
    <w:qFormat/>
    <w:uiPriority w:val="0"/>
    <w:rPr>
      <w:rFonts w:ascii="Times New Roman" w:hAnsi="Times New Roman" w:eastAsia="宋体" w:cs="Times New Roman"/>
      <w:color w:val="2590EB"/>
    </w:rPr>
  </w:style>
  <w:style w:type="character" w:customStyle="1" w:styleId="67">
    <w:name w:val="hover2"/>
    <w:autoRedefine/>
    <w:qFormat/>
    <w:uiPriority w:val="0"/>
    <w:rPr>
      <w:rFonts w:ascii="Times New Roman" w:hAnsi="Times New Roman" w:eastAsia="宋体" w:cs="Times New Roman"/>
    </w:rPr>
  </w:style>
  <w:style w:type="character" w:customStyle="1" w:styleId="68">
    <w:name w:val="hover3"/>
    <w:autoRedefine/>
    <w:qFormat/>
    <w:uiPriority w:val="0"/>
    <w:rPr>
      <w:rFonts w:ascii="Times New Roman" w:hAnsi="Times New Roman" w:eastAsia="宋体" w:cs="Times New Roman"/>
      <w:color w:val="2590EB"/>
    </w:rPr>
  </w:style>
  <w:style w:type="character" w:customStyle="1" w:styleId="69">
    <w:name w:val="mini-outputtext1"/>
    <w:autoRedefine/>
    <w:qFormat/>
    <w:uiPriority w:val="0"/>
    <w:rPr>
      <w:rFonts w:ascii="Times New Roman" w:hAnsi="Times New Roman" w:eastAsia="宋体" w:cs="Times New Roman"/>
    </w:rPr>
  </w:style>
  <w:style w:type="table" w:customStyle="1" w:styleId="70">
    <w:name w:val="Table Normal"/>
    <w:autoRedefine/>
    <w:qFormat/>
    <w:uiPriority w:val="0"/>
    <w:tblPr>
      <w:tblCellMar>
        <w:top w:w="0" w:type="dxa"/>
        <w:left w:w="0" w:type="dxa"/>
        <w:bottom w:w="0" w:type="dxa"/>
        <w:right w:w="0" w:type="dxa"/>
      </w:tblCellMar>
    </w:tblPr>
  </w:style>
  <w:style w:type="character" w:customStyle="1" w:styleId="71">
    <w:name w:val="font21"/>
    <w:basedOn w:val="28"/>
    <w:autoRedefine/>
    <w:qFormat/>
    <w:uiPriority w:val="0"/>
    <w:rPr>
      <w:rFonts w:hint="eastAsia" w:ascii="宋体" w:hAnsi="宋体" w:eastAsia="宋体" w:cs="宋体"/>
      <w:color w:val="000000"/>
      <w:sz w:val="20"/>
      <w:szCs w:val="20"/>
      <w:u w:val="none"/>
    </w:rPr>
  </w:style>
  <w:style w:type="paragraph" w:customStyle="1" w:styleId="72">
    <w:name w:val="修订1"/>
    <w:autoRedefine/>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73">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74">
    <w:name w:val="批注文字 字符"/>
    <w:basedOn w:val="28"/>
    <w:link w:val="10"/>
    <w:autoRedefine/>
    <w:qFormat/>
    <w:uiPriority w:val="0"/>
    <w:rPr>
      <w:kern w:val="2"/>
      <w:sz w:val="21"/>
      <w:szCs w:val="24"/>
    </w:rPr>
  </w:style>
  <w:style w:type="character" w:customStyle="1" w:styleId="75">
    <w:name w:val="批注主题 字符"/>
    <w:basedOn w:val="74"/>
    <w:link w:val="24"/>
    <w:autoRedefine/>
    <w:qFormat/>
    <w:uiPriority w:val="0"/>
    <w:rPr>
      <w:b/>
      <w:bCs/>
      <w:kern w:val="2"/>
      <w:sz w:val="21"/>
      <w:szCs w:val="24"/>
    </w:rPr>
  </w:style>
  <w:style w:type="paragraph" w:customStyle="1" w:styleId="76">
    <w:name w:val="Default"/>
    <w:autoRedefine/>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77">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cc</Company>
  <Pages>256</Pages>
  <Words>41483</Words>
  <Characters>48576</Characters>
  <Lines>1080</Lines>
  <Paragraphs>304</Paragraphs>
  <TotalTime>185</TotalTime>
  <ScaleCrop>false</ScaleCrop>
  <LinksUpToDate>false</LinksUpToDate>
  <CharactersWithSpaces>50004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2026-02-08T22:58:00Z</dcterms:created>
  <dc:creator>cc</dc:creator>
  <cp:lastModifiedBy>zh</cp:lastModifiedBy>
  <cp:lastPrinted>2026-03-10T09:22:00Z</cp:lastPrinted>
  <dcterms:modified xsi:type="dcterms:W3CDTF">2026-06-29T10:29:37Z</dcterms:modified>
  <dc:title>关于在全区质量技术监督系统开展电子邮件公文传输的通知</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842A75D89A1843F28108C7566470E430_13</vt:lpwstr>
  </property>
  <property fmtid="{D5CDD505-2E9C-101B-9397-08002B2CF9AE}" pid="4" name="KSOTemplateDocerSaveRecord">
    <vt:lpwstr>eyJoZGlkIjoiNjNhNDFiYzA1NWQ1YWQzMWJiODI5YTVmMzNmOGFkNGEiLCJ1c2VySWQiOiIzMzU2NDU4NTIifQ==</vt:lpwstr>
  </property>
</Properties>
</file>