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F514C">
      <w:pPr>
        <w:keepNext/>
        <w:keepLines/>
        <w:widowControl w:val="0"/>
        <w:spacing w:before="100" w:after="90" w:line="240" w:lineRule="auto"/>
        <w:jc w:val="center"/>
        <w:outlineLvl w:val="0"/>
        <w:rPr>
          <w:rFonts w:ascii="Cambria" w:hAnsi="Cambria" w:eastAsia="宋体" w:cs="Times New Roman"/>
          <w:b/>
          <w:bCs w:val="0"/>
          <w:color w:val="auto"/>
          <w:kern w:val="44"/>
          <w:sz w:val="32"/>
          <w:szCs w:val="32"/>
          <w:lang w:val="en-US" w:eastAsia="zh-CN" w:bidi="ar-SA"/>
        </w:rPr>
      </w:pPr>
      <w:bookmarkStart w:id="0" w:name="_GoBack"/>
      <w:r>
        <w:rPr>
          <w:rFonts w:hint="eastAsia" w:ascii="Cambria" w:hAnsi="Cambria" w:eastAsia="宋体" w:cs="Times New Roman"/>
          <w:b/>
          <w:bCs w:val="0"/>
          <w:color w:val="auto"/>
          <w:kern w:val="44"/>
          <w:sz w:val="32"/>
          <w:szCs w:val="32"/>
          <w:lang w:val="en-US" w:eastAsia="zh-CN" w:bidi="ar-SA"/>
        </w:rPr>
        <w:t>采购需求</w:t>
      </w:r>
    </w:p>
    <w:bookmarkEnd w:id="0"/>
    <w:p w14:paraId="29123709">
      <w:pPr>
        <w:spacing w:line="450" w:lineRule="exact"/>
        <w:jc w:val="left"/>
        <w:rPr>
          <w:rFonts w:ascii="Times New Roman" w:hAnsi="Times New Roman" w:eastAsia="宋体" w:cs="宋体"/>
          <w:b/>
          <w:bCs/>
          <w:color w:val="auto"/>
          <w:szCs w:val="21"/>
        </w:rPr>
      </w:pPr>
      <w:r>
        <w:rPr>
          <w:rFonts w:hint="eastAsia" w:ascii="Times New Roman" w:hAnsi="Times New Roman" w:eastAsia="宋体" w:cs="宋体"/>
          <w:b/>
          <w:bCs/>
          <w:color w:val="auto"/>
          <w:szCs w:val="21"/>
        </w:rPr>
        <w:t>说明：</w:t>
      </w:r>
    </w:p>
    <w:p w14:paraId="5EDF7A9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142DD238">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5909A52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Fonts w:hint="eastAsia" w:ascii="宋体" w:hAnsi="宋体" w:eastAsia="宋体" w:cs="宋体"/>
          <w:color w:val="auto"/>
          <w:highlight w:val="none"/>
          <w:u w:val="single"/>
        </w:rPr>
        <w:t>评审程序、评审方法和评审标准</w:t>
      </w:r>
      <w:r>
        <w:rPr>
          <w:rFonts w:hint="eastAsia" w:ascii="宋体" w:hAnsi="宋体" w:eastAsia="宋体" w:cs="宋体"/>
          <w:color w:val="auto"/>
          <w:szCs w:val="21"/>
          <w:highlight w:val="none"/>
        </w:rPr>
        <w:t>”。</w:t>
      </w:r>
    </w:p>
    <w:p w14:paraId="57A89E85">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28E8B11E">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5D676514">
      <w:pPr>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rPr>
        <w:t>和国民法典》的相关条款来</w:t>
      </w:r>
      <w:r>
        <w:rPr>
          <w:rFonts w:hint="eastAsia" w:ascii="宋体" w:hAnsi="宋体" w:eastAsia="宋体" w:cs="宋体"/>
          <w:color w:val="auto"/>
          <w:szCs w:val="21"/>
          <w:lang w:eastAsia="zh-CN"/>
        </w:rPr>
        <w:t>进行</w:t>
      </w:r>
      <w:r>
        <w:rPr>
          <w:rFonts w:hint="eastAsia" w:ascii="宋体" w:hAnsi="宋体" w:eastAsia="宋体" w:cs="宋体"/>
          <w:color w:val="auto"/>
          <w:szCs w:val="21"/>
        </w:rPr>
        <w:t>赔偿。</w:t>
      </w:r>
    </w:p>
    <w:p w14:paraId="18313098">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lang w:val="en-US" w:eastAsia="zh-CN" w:bidi="ar-SA"/>
        </w:rPr>
        <w:t>5.</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负责。</w:t>
      </w:r>
    </w:p>
    <w:p w14:paraId="44C4BAD8">
      <w:pPr>
        <w:widowControl w:val="0"/>
        <w:spacing w:line="450" w:lineRule="exact"/>
        <w:ind w:firstLine="420" w:firstLineChars="200"/>
        <w:jc w:val="left"/>
        <w:rPr>
          <w:rFonts w:ascii="宋体" w:hAnsi="宋体" w:eastAsia="宋体" w:cs="宋体"/>
          <w:i/>
          <w:iCs/>
          <w:color w:val="auto"/>
          <w:kern w:val="2"/>
          <w:sz w:val="21"/>
          <w:szCs w:val="24"/>
          <w:u w:val="single"/>
          <w:lang w:val="en-US" w:eastAsia="zh-CN" w:bidi="ar-SA"/>
        </w:rPr>
      </w:pPr>
      <w:r>
        <w:rPr>
          <w:rFonts w:hint="eastAsia" w:ascii="宋体" w:hAnsi="宋体" w:eastAsia="宋体" w:cs="宋体"/>
          <w:color w:val="auto"/>
          <w:kern w:val="2"/>
          <w:sz w:val="21"/>
          <w:szCs w:val="24"/>
          <w:highlight w:val="none"/>
          <w:lang w:val="en-US" w:eastAsia="zh-CN" w:bidi="ar-SA"/>
        </w:rPr>
        <w:t>6.采购标的对应的中小企业划分标准所属行业名称：</w:t>
      </w:r>
      <w:r>
        <w:rPr>
          <w:rFonts w:hint="eastAsia" w:ascii="宋体" w:hAnsi="宋体" w:eastAsia="宋体" w:cs="宋体"/>
          <w:b/>
          <w:bCs/>
          <w:color w:val="auto"/>
          <w:kern w:val="2"/>
          <w:sz w:val="21"/>
          <w:szCs w:val="21"/>
          <w:u w:val="single"/>
          <w:lang w:val="en-US" w:eastAsia="zh-CN" w:bidi="ar-SA"/>
        </w:rPr>
        <w:t>租赁和商务服务业。</w:t>
      </w:r>
    </w:p>
    <w:tbl>
      <w:tblPr>
        <w:tblStyle w:val="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079"/>
        <w:gridCol w:w="27"/>
        <w:gridCol w:w="738"/>
        <w:gridCol w:w="6787"/>
      </w:tblGrid>
      <w:tr w14:paraId="48BF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6"/>
            <w:tcBorders>
              <w:top w:val="single" w:color="auto" w:sz="4" w:space="0"/>
              <w:left w:val="single" w:color="auto" w:sz="4" w:space="0"/>
              <w:bottom w:val="single" w:color="auto" w:sz="4" w:space="0"/>
              <w:right w:val="single" w:color="auto" w:sz="4" w:space="0"/>
            </w:tcBorders>
            <w:vAlign w:val="center"/>
          </w:tcPr>
          <w:p w14:paraId="4A91F2E3">
            <w:pPr>
              <w:spacing w:line="380" w:lineRule="exact"/>
              <w:jc w:val="left"/>
              <w:rPr>
                <w:rFonts w:ascii="宋体" w:hAnsi="宋体" w:eastAsia="宋体" w:cs="宋体"/>
                <w:color w:val="auto"/>
                <w:szCs w:val="21"/>
              </w:rPr>
            </w:pPr>
            <w:r>
              <w:rPr>
                <w:rFonts w:hint="eastAsia" w:ascii="宋体" w:hAnsi="宋体" w:eastAsia="宋体" w:cs="宋体"/>
                <w:b/>
                <w:bCs/>
                <w:color w:val="auto"/>
                <w:szCs w:val="21"/>
              </w:rPr>
              <w:t>分标：/</w:t>
            </w:r>
          </w:p>
        </w:tc>
      </w:tr>
      <w:tr w14:paraId="5437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07BD46E3">
            <w:pPr>
              <w:spacing w:line="380" w:lineRule="exact"/>
              <w:jc w:val="center"/>
              <w:rPr>
                <w:rFonts w:ascii="宋体" w:hAnsi="宋体" w:eastAsia="宋体" w:cs="宋体"/>
                <w:b/>
                <w:bCs/>
                <w:color w:val="auto"/>
                <w:szCs w:val="21"/>
              </w:rPr>
            </w:pPr>
            <w:r>
              <w:rPr>
                <w:rFonts w:hint="eastAsia" w:ascii="宋体" w:hAnsi="宋体" w:eastAsia="宋体" w:cs="宋体"/>
                <w:b/>
                <w:bCs/>
                <w:color w:val="auto"/>
                <w:szCs w:val="21"/>
              </w:rPr>
              <w:t>需求一览表</w:t>
            </w:r>
          </w:p>
        </w:tc>
        <w:tc>
          <w:tcPr>
            <w:tcW w:w="596" w:type="dxa"/>
            <w:tcBorders>
              <w:top w:val="single" w:color="auto" w:sz="4" w:space="0"/>
            </w:tcBorders>
            <w:vAlign w:val="center"/>
          </w:tcPr>
          <w:p w14:paraId="6B82748D">
            <w:pPr>
              <w:spacing w:line="380" w:lineRule="exact"/>
              <w:jc w:val="center"/>
              <w:rPr>
                <w:rFonts w:ascii="宋体" w:hAnsi="宋体" w:eastAsia="宋体" w:cs="宋体"/>
                <w:color w:val="auto"/>
                <w:szCs w:val="21"/>
              </w:rPr>
            </w:pPr>
            <w:r>
              <w:rPr>
                <w:rFonts w:hint="eastAsia" w:ascii="宋体" w:hAnsi="宋体" w:eastAsia="宋体" w:cs="宋体"/>
                <w:color w:val="auto"/>
                <w:szCs w:val="21"/>
              </w:rPr>
              <w:t>序号</w:t>
            </w:r>
          </w:p>
        </w:tc>
        <w:tc>
          <w:tcPr>
            <w:tcW w:w="1106" w:type="dxa"/>
            <w:gridSpan w:val="2"/>
            <w:tcBorders>
              <w:top w:val="single" w:color="auto" w:sz="4" w:space="0"/>
            </w:tcBorders>
            <w:vAlign w:val="center"/>
          </w:tcPr>
          <w:p w14:paraId="47FEB1F7">
            <w:pPr>
              <w:spacing w:line="380" w:lineRule="exact"/>
              <w:jc w:val="center"/>
              <w:rPr>
                <w:rFonts w:ascii="宋体" w:hAnsi="宋体" w:eastAsia="宋体" w:cs="宋体"/>
                <w:color w:val="auto"/>
                <w:szCs w:val="21"/>
              </w:rPr>
            </w:pPr>
            <w:r>
              <w:rPr>
                <w:rFonts w:hint="eastAsia" w:ascii="宋体" w:hAnsi="宋体" w:eastAsia="宋体" w:cs="宋体"/>
                <w:color w:val="auto"/>
                <w:szCs w:val="21"/>
              </w:rPr>
              <w:t>标的名称</w:t>
            </w:r>
          </w:p>
        </w:tc>
        <w:tc>
          <w:tcPr>
            <w:tcW w:w="738" w:type="dxa"/>
            <w:tcBorders>
              <w:top w:val="single" w:color="auto" w:sz="4" w:space="0"/>
            </w:tcBorders>
            <w:vAlign w:val="center"/>
          </w:tcPr>
          <w:p w14:paraId="678D7DDF">
            <w:pPr>
              <w:spacing w:line="380" w:lineRule="exact"/>
              <w:jc w:val="center"/>
              <w:rPr>
                <w:rFonts w:ascii="宋体" w:hAnsi="宋体" w:eastAsia="宋体" w:cs="宋体"/>
                <w:color w:val="auto"/>
                <w:szCs w:val="21"/>
              </w:rPr>
            </w:pPr>
            <w:r>
              <w:rPr>
                <w:rFonts w:hint="eastAsia" w:ascii="宋体" w:hAnsi="宋体" w:eastAsia="宋体" w:cs="宋体"/>
                <w:color w:val="auto"/>
                <w:szCs w:val="21"/>
              </w:rPr>
              <w:t>数量及单位</w:t>
            </w:r>
          </w:p>
        </w:tc>
        <w:tc>
          <w:tcPr>
            <w:tcW w:w="6787" w:type="dxa"/>
            <w:tcBorders>
              <w:top w:val="single" w:color="auto" w:sz="4" w:space="0"/>
            </w:tcBorders>
            <w:vAlign w:val="center"/>
          </w:tcPr>
          <w:p w14:paraId="126D3BB8">
            <w:pPr>
              <w:spacing w:line="38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技术</w:t>
            </w:r>
            <w:r>
              <w:rPr>
                <w:rFonts w:hint="eastAsia" w:ascii="宋体" w:hAnsi="宋体" w:eastAsia="宋体" w:cs="宋体"/>
                <w:color w:val="auto"/>
                <w:szCs w:val="21"/>
              </w:rPr>
              <w:t>服务要求</w:t>
            </w:r>
          </w:p>
        </w:tc>
      </w:tr>
      <w:tr w14:paraId="571E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2FA935DF">
            <w:pPr>
              <w:spacing w:line="380" w:lineRule="exact"/>
              <w:jc w:val="center"/>
              <w:rPr>
                <w:rFonts w:ascii="宋体" w:hAnsi="宋体" w:eastAsia="宋体" w:cs="宋体"/>
                <w:color w:val="auto"/>
                <w:szCs w:val="21"/>
              </w:rPr>
            </w:pPr>
          </w:p>
        </w:tc>
        <w:tc>
          <w:tcPr>
            <w:tcW w:w="596" w:type="dxa"/>
            <w:vAlign w:val="center"/>
          </w:tcPr>
          <w:p w14:paraId="7B74B4BA">
            <w:pPr>
              <w:spacing w:line="38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1106" w:type="dxa"/>
            <w:gridSpan w:val="2"/>
            <w:vAlign w:val="center"/>
          </w:tcPr>
          <w:p w14:paraId="25DE9E87">
            <w:pPr>
              <w:snapToGrid w:val="0"/>
              <w:jc w:val="center"/>
              <w:outlineLvl w:val="0"/>
              <w:rPr>
                <w:rFonts w:hint="eastAsia" w:ascii="宋体" w:hAnsi="宋体" w:eastAsia="宋体" w:cs="宋体"/>
                <w:color w:val="auto"/>
                <w:szCs w:val="21"/>
                <w:lang w:eastAsia="zh-CN"/>
              </w:rPr>
            </w:pPr>
            <w:r>
              <w:rPr>
                <w:rFonts w:hint="eastAsia" w:ascii="宋体" w:hAnsi="宋体" w:eastAsia="宋体" w:cs="宋体"/>
                <w:color w:val="auto"/>
                <w:szCs w:val="21"/>
                <w:lang w:eastAsia="zh-CN"/>
              </w:rPr>
              <w:t>2026年全国科技活动周广西活动项目</w:t>
            </w:r>
          </w:p>
        </w:tc>
        <w:tc>
          <w:tcPr>
            <w:tcW w:w="738" w:type="dxa"/>
            <w:vAlign w:val="center"/>
          </w:tcPr>
          <w:p w14:paraId="114BAAAB">
            <w:pPr>
              <w:snapToGrid w:val="0"/>
              <w:jc w:val="center"/>
              <w:outlineLvl w:val="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1项</w:t>
            </w:r>
          </w:p>
        </w:tc>
        <w:tc>
          <w:tcPr>
            <w:tcW w:w="6787" w:type="dxa"/>
            <w:vAlign w:val="center"/>
          </w:tcPr>
          <w:p w14:paraId="15C97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一、项目概况</w:t>
            </w:r>
          </w:p>
          <w:p w14:paraId="0FF81E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根据科技部和自治区科技厅关于科普工作决策部署，组织开展2026年全国科技活动周广西主场活动、科创广西先行试验区（桂林）成果科普活动、航天员科普报告会、科普电影边疆行广西活动、科学之夜活动、科普网络宣传活动等，赋能科技成果转化与科普效能双提升，营造良好科技创新生态，为高质量发展注入持久动力。</w:t>
            </w:r>
          </w:p>
          <w:p w14:paraId="2B349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二、服务内容及要求</w:t>
            </w:r>
          </w:p>
          <w:p w14:paraId="1B6664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本项目采购服务内容具体要求如下：</w:t>
            </w:r>
          </w:p>
          <w:p w14:paraId="08927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 xml:space="preserve">（一）组织开展2026年全国科技活动周广西主场活动 </w:t>
            </w:r>
          </w:p>
          <w:p w14:paraId="785AE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1.根据相关要求，协助制定实施方案、人员分工方案及活动现场安保方案、现场应急疏散预案等配套文件，确保各项活动有序、顺利举办。</w:t>
            </w:r>
          </w:p>
          <w:p w14:paraId="77D01F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2.协助收集汇总、整理活动资料，制作不少于200份活动项目汇编及活动手册。</w:t>
            </w:r>
          </w:p>
          <w:p w14:paraId="459D03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3.协调落实主场活动会场布置、器材设备、人员组织等工作。</w:t>
            </w:r>
          </w:p>
          <w:p w14:paraId="7B730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4.协助收集相关材料，做好工作总结。</w:t>
            </w:r>
          </w:p>
          <w:p w14:paraId="1A9E6E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（二）组织开展科创广西先行试验区（桂林）成果科普活动</w:t>
            </w:r>
          </w:p>
          <w:p w14:paraId="667616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1.根据相关要求，协助制定实施方案、人员分工方案等，确保各项活动有序、顺利举办。</w:t>
            </w:r>
          </w:p>
          <w:p w14:paraId="39F143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2.协助组织发动相关单位参与活动，现场呈现不少于20项创新产品与技术案例。</w:t>
            </w:r>
          </w:p>
          <w:p w14:paraId="345B95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3.根据要求收集汇总相关材料，做好工作总结。</w:t>
            </w:r>
          </w:p>
          <w:p w14:paraId="0581E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（三）组织开展航天员科普报告会</w:t>
            </w:r>
          </w:p>
          <w:p w14:paraId="3D660D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1.根据相关要求，协助制定实施方案、人员分工方案等，确保各项活动有序、顺利举办，活动参加人数达到400人。</w:t>
            </w:r>
          </w:p>
          <w:p w14:paraId="49B7B0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2.按要求收集相关材料，做好工作总结。</w:t>
            </w:r>
          </w:p>
          <w:p w14:paraId="7DC45F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（四）组织开展科普电影边疆行广西活动</w:t>
            </w:r>
          </w:p>
          <w:p w14:paraId="02D0D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1.根据相关要求，协助制定实施方案、人员分工方案及活动现场安保方案等，确保各项活动有序、顺利举办。</w:t>
            </w:r>
          </w:p>
          <w:p w14:paraId="0F1583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2.针对基层科普需求，协助组织20场电影放映活动，协调放映设备、技术人员、活动安排等工作。</w:t>
            </w:r>
          </w:p>
          <w:p w14:paraId="2A6003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3.协助收集整理相关素材，做好工作总结。</w:t>
            </w:r>
          </w:p>
          <w:p w14:paraId="6B35F6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（五）组织实施科学之夜活动</w:t>
            </w:r>
          </w:p>
          <w:p w14:paraId="34836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1.根据相关要求，制定实施方案、人员分工方案及现场安保方案、现场应急疏散预案等，做好会场布置及参加活动人员的组织等工作，确保各项活动有序、顺利举办，活动参加人数达到300人。</w:t>
            </w:r>
          </w:p>
          <w:p w14:paraId="7CE264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2.按要求收集相关材料，做好工作总结。</w:t>
            </w:r>
          </w:p>
          <w:p w14:paraId="323F0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（六）开展科普网络宣传活动</w:t>
            </w:r>
          </w:p>
          <w:p w14:paraId="5DDBA0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1.根据相关要求，制定科普网络宣传活动方案。</w:t>
            </w:r>
          </w:p>
          <w:p w14:paraId="0F57D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聚焦2025年广西在平陆运河工程建设、人工智能产业培育、有色金属产业升级、智能机器人应用训练等领域的创新成果，以及各项“首字号”科技创新成果，制作系列短视频。系列短视频共5条，每条2分钟左右，联动各平台发布。</w:t>
            </w:r>
          </w:p>
          <w:p w14:paraId="662CA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3.提交宣传情况总结。</w:t>
            </w:r>
          </w:p>
        </w:tc>
      </w:tr>
      <w:tr w14:paraId="394D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0" w:type="dxa"/>
            <w:gridSpan w:val="6"/>
            <w:vAlign w:val="center"/>
          </w:tcPr>
          <w:p w14:paraId="3CB5ACBD">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b/>
                <w:bCs/>
                <w:color w:val="auto"/>
                <w:kern w:val="2"/>
                <w:sz w:val="21"/>
                <w:szCs w:val="21"/>
                <w:lang w:val="en-US" w:eastAsia="zh-CN" w:bidi="ar-SA"/>
              </w:rPr>
              <w:t>商务条款</w:t>
            </w:r>
          </w:p>
        </w:tc>
      </w:tr>
      <w:tr w14:paraId="446D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0D603615">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▲合同签订时间</w:t>
            </w:r>
          </w:p>
        </w:tc>
        <w:tc>
          <w:tcPr>
            <w:tcW w:w="7552" w:type="dxa"/>
            <w:gridSpan w:val="3"/>
            <w:vAlign w:val="center"/>
          </w:tcPr>
          <w:p w14:paraId="3F02026D">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成交通知书发出之日起25日内</w:t>
            </w:r>
          </w:p>
        </w:tc>
      </w:tr>
      <w:tr w14:paraId="6D02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384A6923">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▲服务期限</w:t>
            </w:r>
          </w:p>
        </w:tc>
        <w:tc>
          <w:tcPr>
            <w:tcW w:w="7552" w:type="dxa"/>
            <w:gridSpan w:val="3"/>
            <w:vAlign w:val="center"/>
          </w:tcPr>
          <w:p w14:paraId="2BCC8CA3">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自合同签订之日起至2026 年 12 月 31 日</w:t>
            </w:r>
          </w:p>
        </w:tc>
      </w:tr>
      <w:tr w14:paraId="5951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45D3DE61">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▲服务地点</w:t>
            </w:r>
          </w:p>
        </w:tc>
        <w:tc>
          <w:tcPr>
            <w:tcW w:w="7552" w:type="dxa"/>
            <w:gridSpan w:val="3"/>
            <w:vAlign w:val="center"/>
          </w:tcPr>
          <w:p w14:paraId="2123E890">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采购人指定地点</w:t>
            </w:r>
          </w:p>
        </w:tc>
      </w:tr>
      <w:tr w14:paraId="1E44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7B696CE0">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▲服务要求</w:t>
            </w:r>
          </w:p>
        </w:tc>
        <w:tc>
          <w:tcPr>
            <w:tcW w:w="7552" w:type="dxa"/>
            <w:gridSpan w:val="3"/>
            <w:vAlign w:val="center"/>
          </w:tcPr>
          <w:p w14:paraId="7F9C1407">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处理问题响应时间：接到采购人处理问题通知后能在 24 小时内响应处理</w:t>
            </w:r>
          </w:p>
        </w:tc>
      </w:tr>
      <w:tr w14:paraId="7EC2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26D2BEC2">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▲报价要求</w:t>
            </w:r>
          </w:p>
        </w:tc>
        <w:tc>
          <w:tcPr>
            <w:tcW w:w="7552" w:type="dxa"/>
            <w:gridSpan w:val="3"/>
            <w:vAlign w:val="center"/>
          </w:tcPr>
          <w:p w14:paraId="5A2FE5A8">
            <w:pPr>
              <w:spacing w:beforeLines="0" w:afterLines="0" w:line="360" w:lineRule="auto"/>
              <w:rPr>
                <w:rFonts w:hint="default" w:ascii="宋体" w:hAnsi="Times New Roman" w:eastAsia="宋体" w:cs="Times New Roman"/>
                <w:color w:val="auto"/>
                <w:sz w:val="21"/>
                <w:szCs w:val="24"/>
              </w:rPr>
            </w:pPr>
            <w:r>
              <w:rPr>
                <w:rFonts w:hint="default" w:ascii="宋体" w:hAnsi="Times New Roman" w:eastAsia="宋体" w:cs="Times New Roman"/>
                <w:color w:val="auto"/>
                <w:sz w:val="21"/>
                <w:szCs w:val="24"/>
              </w:rPr>
              <w:t>报价必须包括但不限于以下内容：</w:t>
            </w:r>
          </w:p>
          <w:p w14:paraId="06F1F281">
            <w:pPr>
              <w:spacing w:beforeLines="0" w:afterLines="0" w:line="360" w:lineRule="auto"/>
              <w:rPr>
                <w:rFonts w:hint="default" w:ascii="宋体" w:hAnsi="Times New Roman" w:eastAsia="宋体" w:cs="Times New Roman"/>
                <w:color w:val="auto"/>
                <w:sz w:val="21"/>
                <w:szCs w:val="24"/>
              </w:rPr>
            </w:pPr>
            <w:r>
              <w:rPr>
                <w:rFonts w:hint="eastAsia" w:ascii="宋体" w:hAnsi="Times New Roman" w:eastAsia="宋体" w:cs="Times New Roman"/>
                <w:color w:val="auto"/>
                <w:sz w:val="21"/>
                <w:szCs w:val="24"/>
                <w:lang w:val="en-US" w:eastAsia="zh-CN"/>
              </w:rPr>
              <w:t>1.</w:t>
            </w:r>
            <w:r>
              <w:rPr>
                <w:rFonts w:hint="default" w:ascii="宋体" w:hAnsi="Times New Roman" w:eastAsia="宋体" w:cs="Times New Roman"/>
                <w:color w:val="auto"/>
                <w:sz w:val="21"/>
                <w:szCs w:val="24"/>
              </w:rPr>
              <w:t xml:space="preserve"> 服务的价格；</w:t>
            </w:r>
          </w:p>
          <w:p w14:paraId="7DAAE228">
            <w:pPr>
              <w:spacing w:beforeLines="0" w:afterLines="0" w:line="360" w:lineRule="auto"/>
              <w:rPr>
                <w:rFonts w:hint="default" w:ascii="宋体" w:hAnsi="Times New Roman" w:eastAsia="宋体" w:cs="Times New Roman"/>
                <w:color w:val="auto"/>
                <w:sz w:val="21"/>
                <w:szCs w:val="24"/>
              </w:rPr>
            </w:pPr>
            <w:r>
              <w:rPr>
                <w:rFonts w:hint="eastAsia" w:ascii="宋体" w:hAnsi="Times New Roman" w:eastAsia="宋体" w:cs="Times New Roman"/>
                <w:color w:val="auto"/>
                <w:sz w:val="21"/>
                <w:szCs w:val="24"/>
                <w:lang w:val="en-US" w:eastAsia="zh-CN"/>
              </w:rPr>
              <w:t>2.</w:t>
            </w:r>
            <w:r>
              <w:rPr>
                <w:rFonts w:hint="default" w:ascii="宋体" w:hAnsi="Times New Roman" w:eastAsia="宋体" w:cs="Times New Roman"/>
                <w:color w:val="auto"/>
                <w:sz w:val="21"/>
                <w:szCs w:val="24"/>
              </w:rPr>
              <w:t>项目的组织协调费用，包括参与项目所有人员的住宿和餐饮费及交通补贴、场地设计布置与搭建、灯光音响费用、视频拍摄、货物运输、图文、媒体宣传、工作设备购置费用、宣传推广费用、劳务费、制作费、活动物料费、现场维护费用、撤展/杂项等本项目所有可能发生的一切费用；</w:t>
            </w:r>
          </w:p>
          <w:p w14:paraId="3710A85A">
            <w:pPr>
              <w:spacing w:beforeLines="0" w:afterLines="0" w:line="360" w:lineRule="auto"/>
              <w:rPr>
                <w:rFonts w:hint="default" w:ascii="宋体" w:hAnsi="Times New Roman" w:eastAsia="宋体" w:cs="Times New Roman"/>
                <w:color w:val="auto"/>
                <w:sz w:val="21"/>
                <w:szCs w:val="24"/>
              </w:rPr>
            </w:pPr>
            <w:r>
              <w:rPr>
                <w:rFonts w:hint="eastAsia" w:ascii="宋体" w:hAnsi="Times New Roman" w:eastAsia="宋体" w:cs="Times New Roman"/>
                <w:color w:val="auto"/>
                <w:sz w:val="21"/>
                <w:szCs w:val="24"/>
                <w:lang w:val="en-US" w:eastAsia="zh-CN"/>
              </w:rPr>
              <w:t>3.</w:t>
            </w:r>
            <w:r>
              <w:rPr>
                <w:rFonts w:hint="default" w:ascii="宋体" w:hAnsi="Times New Roman" w:eastAsia="宋体" w:cs="Times New Roman"/>
                <w:color w:val="auto"/>
                <w:sz w:val="21"/>
                <w:szCs w:val="24"/>
              </w:rPr>
              <w:t>必要的保险费用和各项税金；</w:t>
            </w:r>
          </w:p>
          <w:p w14:paraId="1D4B5E42">
            <w:pPr>
              <w:spacing w:beforeLines="0" w:afterLines="0" w:line="360" w:lineRule="auto"/>
              <w:rPr>
                <w:rFonts w:hint="eastAsia" w:ascii="宋体" w:hAnsi="宋体" w:eastAsia="宋体" w:cs="宋体"/>
                <w:color w:val="auto"/>
                <w:lang w:val="en-US" w:eastAsia="zh-CN"/>
              </w:rPr>
            </w:pPr>
            <w:r>
              <w:rPr>
                <w:rFonts w:hint="eastAsia" w:ascii="宋体" w:hAnsi="Times New Roman" w:eastAsia="宋体" w:cs="Times New Roman"/>
                <w:color w:val="auto"/>
                <w:sz w:val="21"/>
                <w:szCs w:val="24"/>
                <w:lang w:val="en-US" w:eastAsia="zh-CN"/>
              </w:rPr>
              <w:t>4.</w:t>
            </w:r>
            <w:r>
              <w:rPr>
                <w:rFonts w:hint="default" w:ascii="宋体" w:hAnsi="Times New Roman" w:eastAsia="宋体" w:cs="Times New Roman"/>
                <w:color w:val="auto"/>
                <w:sz w:val="21"/>
                <w:szCs w:val="24"/>
              </w:rPr>
              <w:t>其他[如运输、装卸、安装、调试、技术支持、售后服务、验收等]费用。</w:t>
            </w:r>
          </w:p>
        </w:tc>
      </w:tr>
      <w:tr w14:paraId="557D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3FF40B35">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▲付款方式</w:t>
            </w:r>
          </w:p>
        </w:tc>
        <w:tc>
          <w:tcPr>
            <w:tcW w:w="7552" w:type="dxa"/>
            <w:gridSpan w:val="3"/>
            <w:vAlign w:val="center"/>
          </w:tcPr>
          <w:p w14:paraId="5B01CCEE">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1.自合同签订之日起10个工作日内，采购人向成交供应商支付50%合同款；</w:t>
            </w:r>
          </w:p>
          <w:p w14:paraId="260A7CDC">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2.成交供应商按采购人要求完成服务工作，提供总结报告、项目的验收意见报告及相关材料，经验收合格后，采购人向成交供应商支付50%合同款。</w:t>
            </w:r>
          </w:p>
          <w:p w14:paraId="595F50FB">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3.采购人每次向成交供应商付款前，成交供应商开具正式等额发票给采购人。</w:t>
            </w:r>
          </w:p>
        </w:tc>
      </w:tr>
      <w:tr w14:paraId="08DC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597B32D7">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▲验收标准</w:t>
            </w:r>
          </w:p>
        </w:tc>
        <w:tc>
          <w:tcPr>
            <w:tcW w:w="7552" w:type="dxa"/>
            <w:gridSpan w:val="3"/>
            <w:vAlign w:val="center"/>
          </w:tcPr>
          <w:p w14:paraId="7A525647">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1.按成交供应商响应文件的承诺和采购文件的要求、采购人与成交供应商双方签订的合同要求进行验收。</w:t>
            </w:r>
          </w:p>
          <w:p w14:paraId="2E0EE87B">
            <w:pPr>
              <w:spacing w:beforeLines="0" w:afterLines="0" w:line="360" w:lineRule="auto"/>
              <w:rPr>
                <w:rFonts w:hint="eastAsia" w:ascii="宋体" w:hAnsi="宋体" w:eastAsia="宋体" w:cs="宋体"/>
                <w:color w:val="auto"/>
                <w:lang w:val="en-US" w:eastAsia="zh-CN"/>
              </w:rPr>
            </w:pPr>
            <w:r>
              <w:rPr>
                <w:rFonts w:hint="default" w:ascii="宋体" w:hAnsi="宋体" w:eastAsia="宋体" w:cs="宋体"/>
                <w:color w:val="auto"/>
                <w:sz w:val="21"/>
                <w:szCs w:val="21"/>
              </w:rPr>
              <w:t xml:space="preserve">2.验收时，服务成果均严格按照签订的政府采购合同、成交供应商响应文件的承诺和国家有关标准进行验收，达不到要求的视为验收不合格。有必要时，采购人可委托第三方机构开展项目验收工作，如验收不合格或与响应文件承诺不符的，视为验收不合格，由此产生的验收费用由成交供应商承担。 </w:t>
            </w:r>
          </w:p>
        </w:tc>
      </w:tr>
      <w:tr w14:paraId="690D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3DC8A14C">
            <w:pPr>
              <w:spacing w:beforeLines="0" w:afterLines="0" w:line="360" w:lineRule="auto"/>
              <w:jc w:val="center"/>
              <w:rPr>
                <w:rFonts w:hint="eastAsia" w:ascii="宋体" w:hAnsi="宋体" w:eastAsia="宋体" w:cs="宋体"/>
                <w:b/>
                <w:bCs/>
                <w:color w:val="auto"/>
                <w:sz w:val="21"/>
                <w:szCs w:val="21"/>
              </w:rPr>
            </w:pPr>
            <w:r>
              <w:rPr>
                <w:rFonts w:hint="default" w:ascii="宋体" w:hAnsi="宋体" w:eastAsia="宋体" w:cs="Times New Roman"/>
                <w:b/>
                <w:color w:val="auto"/>
                <w:sz w:val="21"/>
                <w:szCs w:val="24"/>
              </w:rPr>
              <w:t>▲其他要求</w:t>
            </w:r>
          </w:p>
        </w:tc>
        <w:tc>
          <w:tcPr>
            <w:tcW w:w="7552" w:type="dxa"/>
            <w:gridSpan w:val="3"/>
            <w:vAlign w:val="center"/>
          </w:tcPr>
          <w:p w14:paraId="682889D7">
            <w:pPr>
              <w:spacing w:beforeLines="0" w:afterLines="0" w:line="360" w:lineRule="auto"/>
              <w:rPr>
                <w:rFonts w:hint="default" w:ascii="宋体" w:hAnsi="宋体" w:eastAsia="宋体" w:cs="宋体"/>
                <w:color w:val="auto"/>
                <w:sz w:val="21"/>
                <w:szCs w:val="21"/>
              </w:rPr>
            </w:pPr>
            <w:r>
              <w:rPr>
                <w:rFonts w:hint="default"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rPr>
              <w:t xml:space="preserve">成交供应商不得将项目非法分包或转包给任何单位和个人，否则采购人有权即刻终止合同，并要求成交供应商赔偿相应损失。 </w:t>
            </w:r>
          </w:p>
          <w:p w14:paraId="1E302F18">
            <w:pPr>
              <w:spacing w:beforeLines="0" w:afterLines="0" w:line="360" w:lineRule="auto"/>
              <w:rPr>
                <w:rFonts w:hint="default"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default" w:ascii="宋体" w:hAnsi="宋体" w:eastAsia="宋体" w:cs="宋体"/>
                <w:color w:val="auto"/>
                <w:sz w:val="21"/>
                <w:szCs w:val="21"/>
              </w:rPr>
              <w:t>未经采购人允许，不得使用或者以其它方式给任何第三方提供本项目的相关信息或数据。</w:t>
            </w:r>
          </w:p>
          <w:p w14:paraId="6A581FED">
            <w:pPr>
              <w:spacing w:beforeLines="0" w:afterLines="0" w:line="360" w:lineRule="auto"/>
              <w:rPr>
                <w:rFonts w:hint="default"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default" w:ascii="宋体" w:hAnsi="宋体" w:eastAsia="宋体" w:cs="宋体"/>
                <w:color w:val="auto"/>
                <w:sz w:val="21"/>
                <w:szCs w:val="21"/>
              </w:rPr>
              <w:t>成交供应商必须承诺项目实施中的任何一个环节，如需修改调整，均无条件根据要求完善。如重大调整，双方沟通协商。</w:t>
            </w:r>
          </w:p>
          <w:p w14:paraId="29894497">
            <w:pPr>
              <w:spacing w:beforeLines="0" w:afterLines="0" w:line="360" w:lineRule="auto"/>
              <w:rPr>
                <w:rFonts w:hint="eastAsia" w:ascii="宋体" w:hAnsi="宋体" w:eastAsia="宋体" w:cs="宋体"/>
                <w:color w:val="auto"/>
                <w:lang w:val="en-US" w:eastAsia="zh-CN"/>
              </w:rPr>
            </w:pPr>
            <w:r>
              <w:rPr>
                <w:rFonts w:hint="eastAsia" w:ascii="宋体" w:hAnsi="宋体" w:eastAsia="宋体" w:cs="宋体"/>
                <w:color w:val="auto"/>
                <w:sz w:val="21"/>
                <w:szCs w:val="21"/>
                <w:lang w:val="en-US" w:eastAsia="zh-CN"/>
              </w:rPr>
              <w:t>4.</w:t>
            </w:r>
            <w:r>
              <w:rPr>
                <w:rFonts w:hint="default" w:ascii="宋体" w:hAnsi="宋体" w:eastAsia="宋体" w:cs="宋体"/>
                <w:color w:val="auto"/>
                <w:sz w:val="21"/>
                <w:szCs w:val="21"/>
              </w:rPr>
              <w:t>知识产权：采购人在中华人民共和国境内使用成交供应商提供的产品及服务时，免受第三方提出的侵犯其专利权或其他知识产权的起诉。如第三方提出侵权指控，成交供应商应承担由此引起的一切法律责任和费用；因成交供应商侵权造成采购人损失的，成交供应商应当全额赔偿采购人的实际损失，包括但不限于诉讼费、律师费、赔偿金、和解金及其他合理支出。</w:t>
            </w:r>
          </w:p>
        </w:tc>
      </w:tr>
    </w:tbl>
    <w:p w14:paraId="2AA80DA8"/>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9478D"/>
    <w:rsid w:val="5E19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2026-04-29T07:49:00Z</dcterms:created>
  <dc:creator>欧明聪</dc:creator>
  <cp:lastModifiedBy>欧明聪</cp:lastModifiedBy>
  <dcterms:modified xsi:type="dcterms:W3CDTF">2026-04-29T07:49:38Z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B625A3CF598543DA814B93DD71A07B8C_11</vt:lpwstr>
  </property>
  <property fmtid="{D5CDD505-2E9C-101B-9397-08002B2CF9AE}" pid="4" name="KSOTemplateDocerSaveRecord">
    <vt:lpwstr>eyJoZGlkIjoiZjU5NTE4Y2EwNGUwNTA5ZTk0ODVmYmYwNWU3YjQyYWUiLCJ1c2VySWQiOiIxNTkyNDk1NTU5In0=</vt:lpwstr>
  </property>
</Properties>
</file>