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90401">
      <w:pPr>
        <w:spacing w:before="165" w:beforeLines="50" w:line="360" w:lineRule="auto"/>
        <w:jc w:val="center"/>
        <w:rPr>
          <w:rFonts w:hint="eastAsia" w:ascii="宋体" w:hAnsi="宋体" w:cs="Times New Roman"/>
          <w:color w:val="auto"/>
          <w:sz w:val="72"/>
          <w:szCs w:val="72"/>
          <w:highlight w:val="none"/>
          <w:lang w:val="en-US" w:eastAsia="zh-CN"/>
        </w:rPr>
      </w:pPr>
    </w:p>
    <w:p w14:paraId="672CD017">
      <w:pPr>
        <w:spacing w:before="165" w:beforeLines="50" w:line="360" w:lineRule="auto"/>
        <w:jc w:val="center"/>
        <w:rPr>
          <w:rFonts w:hint="default" w:ascii="宋体" w:hAnsi="宋体" w:eastAsia="宋体" w:cs="Times New Roman"/>
          <w:color w:val="auto"/>
          <w:sz w:val="60"/>
          <w:szCs w:val="60"/>
          <w:highlight w:val="none"/>
          <w:lang w:val="en-US"/>
        </w:rPr>
      </w:pPr>
      <w:r>
        <w:rPr>
          <w:rFonts w:hint="eastAsia" w:ascii="宋体" w:hAnsi="宋体" w:cs="Times New Roman"/>
          <w:color w:val="auto"/>
          <w:sz w:val="72"/>
          <w:szCs w:val="72"/>
          <w:highlight w:val="none"/>
          <w:lang w:val="en-US" w:eastAsia="zh-CN"/>
        </w:rPr>
        <w:t>广西科联招标中心有限公司</w:t>
      </w:r>
    </w:p>
    <w:p w14:paraId="755D1FD0">
      <w:pPr>
        <w:spacing w:before="165" w:beforeLines="50" w:line="360" w:lineRule="auto"/>
        <w:jc w:val="center"/>
        <w:rPr>
          <w:rFonts w:hint="eastAsia" w:ascii="仿宋_GB2312" w:hAnsi="宋体" w:eastAsia="仿宋_GB2312" w:cs="Times New Roman"/>
          <w:b/>
          <w:color w:val="auto"/>
          <w:sz w:val="48"/>
          <w:szCs w:val="48"/>
          <w:highlight w:val="none"/>
        </w:rPr>
      </w:pPr>
    </w:p>
    <w:p w14:paraId="1F4CA855">
      <w:pPr>
        <w:spacing w:before="165" w:beforeLines="50" w:line="360" w:lineRule="auto"/>
        <w:jc w:val="center"/>
        <w:rPr>
          <w:rFonts w:hint="eastAsia" w:ascii="仿宋_GB2312" w:hAnsi="宋体" w:eastAsia="仿宋_GB2312" w:cs="Times New Roman"/>
          <w:b/>
          <w:color w:val="auto"/>
          <w:sz w:val="48"/>
          <w:szCs w:val="48"/>
          <w:highlight w:val="none"/>
        </w:rPr>
      </w:pPr>
    </w:p>
    <w:p w14:paraId="679E42CB">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招 标 文 件</w:t>
      </w:r>
    </w:p>
    <w:p w14:paraId="3B833D09">
      <w:pPr>
        <w:snapToGrid w:val="0"/>
        <w:spacing w:before="165" w:beforeLines="50" w:line="360" w:lineRule="auto"/>
        <w:jc w:val="center"/>
        <w:rPr>
          <w:rFonts w:hint="eastAsia" w:ascii="仿宋_GB2312" w:hAnsi="宋体" w:eastAsia="仿宋_GB2312" w:cs="Times New Roman"/>
          <w:color w:val="auto"/>
          <w:sz w:val="30"/>
          <w:szCs w:val="72"/>
          <w:highlight w:val="none"/>
        </w:rPr>
      </w:pPr>
      <w:r>
        <w:rPr>
          <w:rFonts w:hint="eastAsia" w:ascii="仿宋_GB2312" w:hAnsi="宋体" w:eastAsia="仿宋_GB2312" w:cs="Times New Roman"/>
          <w:color w:val="auto"/>
          <w:sz w:val="30"/>
          <w:szCs w:val="72"/>
          <w:highlight w:val="none"/>
        </w:rPr>
        <w:t>（全流程电子化评标）</w:t>
      </w:r>
    </w:p>
    <w:p w14:paraId="5B510830">
      <w:pPr>
        <w:snapToGrid w:val="0"/>
        <w:spacing w:before="165" w:beforeLines="50" w:line="360" w:lineRule="auto"/>
        <w:rPr>
          <w:rFonts w:hint="eastAsia" w:ascii="仿宋_GB2312" w:hAnsi="宋体" w:eastAsia="仿宋_GB2312" w:cs="Times New Roman"/>
          <w:color w:val="auto"/>
          <w:sz w:val="30"/>
          <w:szCs w:val="72"/>
          <w:highlight w:val="none"/>
        </w:rPr>
      </w:pPr>
    </w:p>
    <w:p w14:paraId="3E87B53F">
      <w:pPr>
        <w:pStyle w:val="12"/>
        <w:snapToGrid w:val="0"/>
        <w:spacing w:before="50" w:after="120" w:line="360" w:lineRule="auto"/>
        <w:ind w:firstLine="2711" w:firstLineChars="900"/>
        <w:jc w:val="both"/>
        <w:rPr>
          <w:rFonts w:hint="eastAsia" w:ascii="宋体" w:hAnsi="宋体" w:eastAsia="宋体" w:cs="宋体"/>
          <w:b/>
          <w:bCs/>
          <w:color w:val="auto"/>
          <w:sz w:val="30"/>
          <w:szCs w:val="30"/>
          <w:highlight w:val="none"/>
        </w:rPr>
      </w:pPr>
    </w:p>
    <w:p w14:paraId="38FA2ED1">
      <w:pPr>
        <w:pStyle w:val="12"/>
        <w:snapToGrid w:val="0"/>
        <w:spacing w:before="50" w:after="120" w:line="360" w:lineRule="auto"/>
        <w:jc w:val="center"/>
        <w:rPr>
          <w:rFonts w:hint="eastAsia" w:ascii="宋体" w:hAnsi="宋体" w:eastAsia="宋体" w:cs="宋体"/>
          <w:b w:val="0"/>
          <w:bCs w:val="0"/>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lang w:eastAsia="zh-CN"/>
        </w:rPr>
        <w:t>2026年广西工业产品质量监督抽查和风险监测技术服务项目</w:t>
      </w:r>
    </w:p>
    <w:p w14:paraId="44A377E4">
      <w:pPr>
        <w:pStyle w:val="12"/>
        <w:snapToGrid w:val="0"/>
        <w:spacing w:before="50" w:after="120" w:line="360" w:lineRule="auto"/>
        <w:jc w:val="center"/>
        <w:rPr>
          <w:rFonts w:hint="default" w:ascii="宋体" w:hAnsi="宋体" w:eastAsia="宋体" w:cs="宋体"/>
          <w:b/>
          <w:bCs/>
          <w:color w:val="auto"/>
          <w:w w:val="95"/>
          <w:sz w:val="30"/>
          <w:szCs w:val="30"/>
          <w:highlight w:val="none"/>
          <w:lang w:val="en-US" w:eastAsia="zh-CN"/>
        </w:rPr>
      </w:pPr>
      <w:r>
        <w:rPr>
          <w:rFonts w:hint="eastAsia" w:ascii="宋体" w:hAnsi="宋体" w:eastAsia="宋体" w:cs="宋体"/>
          <w:b/>
          <w:bCs/>
          <w:color w:val="auto"/>
          <w:w w:val="100"/>
          <w:sz w:val="30"/>
          <w:szCs w:val="30"/>
          <w:highlight w:val="none"/>
          <w:lang w:eastAsia="zh-CN"/>
        </w:rPr>
        <w:t>项目编号：</w:t>
      </w:r>
      <w:r>
        <w:rPr>
          <w:rFonts w:hint="eastAsia" w:hAnsi="宋体" w:cs="宋体"/>
          <w:b/>
          <w:bCs/>
          <w:color w:val="auto"/>
          <w:w w:val="100"/>
          <w:sz w:val="30"/>
          <w:szCs w:val="30"/>
          <w:highlight w:val="none"/>
          <w:lang w:val="en-US" w:eastAsia="zh-CN"/>
        </w:rPr>
        <w:t>GXZC2026-G3-001182-GXKL</w:t>
      </w:r>
    </w:p>
    <w:p w14:paraId="0D942F62">
      <w:pPr>
        <w:widowControl w:val="0"/>
        <w:snapToGrid w:val="0"/>
        <w:spacing w:before="50" w:after="120" w:line="360" w:lineRule="auto"/>
        <w:ind w:firstLine="2576" w:firstLineChars="900"/>
        <w:jc w:val="both"/>
        <w:rPr>
          <w:rFonts w:hint="eastAsia" w:ascii="宋体" w:hAnsi="宋体" w:eastAsia="宋体" w:cs="宋体"/>
          <w:b/>
          <w:bCs/>
          <w:color w:val="auto"/>
          <w:w w:val="95"/>
          <w:kern w:val="2"/>
          <w:sz w:val="30"/>
          <w:szCs w:val="30"/>
          <w:highlight w:val="none"/>
          <w:lang w:val="en-US" w:eastAsia="zh-CN" w:bidi="ar-SA"/>
        </w:rPr>
      </w:pPr>
    </w:p>
    <w:p w14:paraId="1685415E">
      <w:pPr>
        <w:widowControl w:val="0"/>
        <w:snapToGrid w:val="0"/>
        <w:spacing w:before="50" w:after="120" w:line="360" w:lineRule="auto"/>
        <w:jc w:val="center"/>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采购人：广西壮族自治区市场监督管理局</w:t>
      </w:r>
    </w:p>
    <w:p w14:paraId="57E2B0D4">
      <w:pPr>
        <w:widowControl w:val="0"/>
        <w:snapToGrid w:val="0"/>
        <w:spacing w:before="50" w:after="120" w:line="360" w:lineRule="auto"/>
        <w:jc w:val="center"/>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采购代理机构：</w:t>
      </w:r>
      <w:bookmarkStart w:id="0" w:name="PO_3000001866_PM031"/>
      <w:r>
        <w:rPr>
          <w:rFonts w:hint="eastAsia" w:ascii="宋体" w:hAnsi="宋体" w:eastAsia="宋体" w:cs="宋体"/>
          <w:b/>
          <w:bCs/>
          <w:color w:val="auto"/>
          <w:w w:val="95"/>
          <w:kern w:val="2"/>
          <w:sz w:val="30"/>
          <w:szCs w:val="30"/>
          <w:highlight w:val="none"/>
          <w:lang w:val="en-US" w:eastAsia="zh-CN" w:bidi="ar-SA"/>
        </w:rPr>
        <w:t>广西科联招标中心有限公司</w:t>
      </w:r>
      <w:bookmarkEnd w:id="0"/>
    </w:p>
    <w:p w14:paraId="425A24C9">
      <w:pPr>
        <w:pStyle w:val="12"/>
        <w:snapToGrid w:val="0"/>
        <w:spacing w:before="50" w:after="120" w:line="360" w:lineRule="auto"/>
        <w:ind w:firstLine="4293" w:firstLineChars="1500"/>
        <w:jc w:val="both"/>
        <w:rPr>
          <w:rFonts w:hint="eastAsia" w:ascii="宋体" w:hAnsi="宋体" w:eastAsia="宋体" w:cs="宋体"/>
          <w:b/>
          <w:bCs/>
          <w:color w:val="auto"/>
          <w:w w:val="95"/>
          <w:kern w:val="2"/>
          <w:sz w:val="30"/>
          <w:szCs w:val="30"/>
          <w:highlight w:val="none"/>
          <w:lang w:val="en-US" w:eastAsia="zh-CN" w:bidi="ar-SA"/>
        </w:rPr>
      </w:pPr>
    </w:p>
    <w:p w14:paraId="4793326C">
      <w:pPr>
        <w:pStyle w:val="12"/>
        <w:snapToGrid w:val="0"/>
        <w:spacing w:before="50" w:after="120" w:line="360" w:lineRule="auto"/>
        <w:jc w:val="center"/>
        <w:rPr>
          <w:rFonts w:hint="eastAsia" w:ascii="宋体" w:hAnsi="宋体" w:eastAsia="宋体" w:cs="宋体"/>
          <w:b/>
          <w:bCs/>
          <w:color w:val="auto"/>
          <w:w w:val="95"/>
          <w:sz w:val="30"/>
          <w:szCs w:val="30"/>
          <w:highlight w:val="none"/>
        </w:rPr>
      </w:pPr>
      <w:r>
        <w:rPr>
          <w:rFonts w:hint="eastAsia" w:hAnsi="宋体" w:cs="宋体"/>
          <w:b/>
          <w:bCs/>
          <w:color w:val="auto"/>
          <w:w w:val="95"/>
          <w:kern w:val="2"/>
          <w:sz w:val="30"/>
          <w:szCs w:val="30"/>
          <w:highlight w:val="none"/>
          <w:lang w:val="en-US" w:eastAsia="zh-CN" w:bidi="ar-SA"/>
        </w:rPr>
        <w:t>2026</w:t>
      </w:r>
      <w:r>
        <w:rPr>
          <w:rFonts w:hint="eastAsia" w:ascii="宋体" w:hAnsi="宋体" w:eastAsia="宋体" w:cs="宋体"/>
          <w:b/>
          <w:bCs/>
          <w:color w:val="auto"/>
          <w:w w:val="95"/>
          <w:kern w:val="2"/>
          <w:sz w:val="30"/>
          <w:szCs w:val="30"/>
          <w:highlight w:val="none"/>
          <w:lang w:val="en-US" w:eastAsia="zh-CN" w:bidi="ar-SA"/>
        </w:rPr>
        <w:t>年</w:t>
      </w:r>
      <w:r>
        <w:rPr>
          <w:rFonts w:hint="eastAsia" w:hAnsi="宋体" w:cs="宋体"/>
          <w:b/>
          <w:bCs/>
          <w:color w:val="auto"/>
          <w:w w:val="95"/>
          <w:kern w:val="2"/>
          <w:sz w:val="30"/>
          <w:szCs w:val="30"/>
          <w:highlight w:val="none"/>
          <w:lang w:val="en-US" w:eastAsia="zh-CN" w:bidi="ar-SA"/>
        </w:rPr>
        <w:t>5</w:t>
      </w:r>
      <w:r>
        <w:rPr>
          <w:rFonts w:hint="eastAsia" w:ascii="宋体" w:hAnsi="宋体" w:eastAsia="宋体" w:cs="宋体"/>
          <w:b/>
          <w:bCs/>
          <w:color w:val="auto"/>
          <w:w w:val="95"/>
          <w:kern w:val="2"/>
          <w:sz w:val="30"/>
          <w:szCs w:val="30"/>
          <w:highlight w:val="none"/>
          <w:lang w:val="en-US" w:eastAsia="zh-CN" w:bidi="ar-SA"/>
        </w:rPr>
        <w:t>月</w:t>
      </w:r>
    </w:p>
    <w:p w14:paraId="07F11A3E">
      <w:pPr>
        <w:widowControl/>
        <w:spacing w:line="360" w:lineRule="auto"/>
        <w:jc w:val="both"/>
        <w:rPr>
          <w:rFonts w:hint="eastAsia" w:ascii="宋体" w:hAnsi="宋体" w:eastAsia="宋体" w:cs="宋体"/>
          <w:b/>
          <w:bCs/>
          <w:color w:val="auto"/>
          <w:w w:val="95"/>
          <w:sz w:val="30"/>
          <w:szCs w:val="30"/>
          <w:highlight w:val="none"/>
        </w:rPr>
        <w:sectPr>
          <w:headerReference r:id="rId3" w:type="default"/>
          <w:pgSz w:w="11905" w:h="16838"/>
          <w:pgMar w:top="1134" w:right="1134" w:bottom="1134" w:left="1134" w:header="850" w:footer="850" w:gutter="0"/>
          <w:pgNumType w:fmt="decimal" w:start="1"/>
          <w:cols w:space="0" w:num="1"/>
          <w:titlePg/>
          <w:rtlGutter w:val="0"/>
          <w:docGrid w:linePitch="331" w:charSpace="0"/>
        </w:sectPr>
      </w:pPr>
    </w:p>
    <w:p w14:paraId="10B9B11E">
      <w:pPr>
        <w:pStyle w:val="12"/>
        <w:jc w:val="center"/>
        <w:rPr>
          <w:rFonts w:ascii="Times New Roman" w:hAnsi="Times New Roman" w:eastAsia="宋体" w:cs="Times New Roman"/>
          <w:b/>
          <w:color w:val="auto"/>
          <w:sz w:val="48"/>
          <w:szCs w:val="48"/>
          <w:highlight w:val="none"/>
        </w:rPr>
      </w:pPr>
      <w:r>
        <w:rPr>
          <w:rFonts w:hint="eastAsia" w:ascii="Times New Roman" w:hAnsi="Times New Roman" w:eastAsia="宋体" w:cs="Times New Roman"/>
          <w:b/>
          <w:color w:val="auto"/>
          <w:sz w:val="48"/>
          <w:szCs w:val="48"/>
          <w:highlight w:val="none"/>
        </w:rPr>
        <w:t>目</w:t>
      </w:r>
      <w:r>
        <w:rPr>
          <w:rFonts w:ascii="Times New Roman" w:hAnsi="Times New Roman" w:eastAsia="宋体" w:cs="Times New Roman"/>
          <w:b/>
          <w:color w:val="auto"/>
          <w:sz w:val="48"/>
          <w:szCs w:val="48"/>
          <w:highlight w:val="none"/>
        </w:rPr>
        <w:t xml:space="preserve">     </w:t>
      </w:r>
      <w:r>
        <w:rPr>
          <w:rFonts w:hint="eastAsia" w:ascii="Times New Roman" w:hAnsi="Times New Roman" w:eastAsia="宋体" w:cs="Times New Roman"/>
          <w:b/>
          <w:color w:val="auto"/>
          <w:sz w:val="48"/>
          <w:szCs w:val="48"/>
          <w:highlight w:val="none"/>
        </w:rPr>
        <w:t>录</w:t>
      </w:r>
    </w:p>
    <w:p w14:paraId="22214569">
      <w:pPr>
        <w:pStyle w:val="15"/>
        <w:tabs>
          <w:tab w:val="right" w:leader="dot" w:pos="9637"/>
        </w:tabs>
        <w:rPr>
          <w:color w:val="auto"/>
          <w:highlight w:val="none"/>
        </w:rPr>
      </w:pPr>
    </w:p>
    <w:p w14:paraId="2582BBFA">
      <w:pPr>
        <w:pStyle w:val="15"/>
        <w:tabs>
          <w:tab w:val="right" w:leader="dot" w:pos="9637"/>
        </w:tabs>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_Toc16222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_Toc16222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34174E4">
      <w:pPr>
        <w:pStyle w:val="15"/>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_Toc8382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00BBCF4">
      <w:pPr>
        <w:pStyle w:val="15"/>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_Toc15364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_Toc15364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8F71837">
      <w:pPr>
        <w:pStyle w:val="15"/>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_Toc10034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第四章  </w:t>
      </w:r>
      <w:r>
        <w:rPr>
          <w:rFonts w:hint="eastAsia" w:ascii="宋体" w:hAnsi="宋体" w:eastAsia="宋体" w:cs="宋体"/>
          <w:color w:val="auto"/>
          <w:sz w:val="24"/>
          <w:szCs w:val="24"/>
          <w:highlight w:val="none"/>
          <w:lang w:eastAsia="zh-CN"/>
        </w:rPr>
        <w:t>评标方法和评标标准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_Toc10034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C0E6F95">
      <w:pPr>
        <w:pStyle w:val="15"/>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_Toc32021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拟签订的合同文本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_Toc32021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F485809">
      <w:pPr>
        <w:pStyle w:val="15"/>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57EA8E">
      <w:pPr>
        <w:pStyle w:val="15"/>
        <w:tabs>
          <w:tab w:val="right" w:leader="dot" w:pos="9637"/>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_Toc31310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第七章 质疑、投诉材料格式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_Toc31310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361B8BC">
      <w:pPr>
        <w:pStyle w:val="12"/>
        <w:jc w:val="center"/>
        <w:rPr>
          <w:rFonts w:hint="eastAsia" w:eastAsia="宋体" w:cs="Times New Roman"/>
          <w:color w:val="auto"/>
          <w:highlight w:val="none"/>
        </w:rPr>
      </w:pPr>
      <w:r>
        <w:rPr>
          <w:color w:val="auto"/>
          <w:highlight w:val="none"/>
        </w:rPr>
        <w:fldChar w:fldCharType="end"/>
      </w:r>
      <w:r>
        <w:rPr>
          <w:rFonts w:hint="eastAsia" w:eastAsia="宋体" w:cs="Times New Roman"/>
          <w:color w:val="auto"/>
          <w:highlight w:val="none"/>
        </w:rPr>
        <w:tab/>
      </w:r>
      <w:bookmarkStart w:id="1" w:name="_Toc532545041"/>
    </w:p>
    <w:p w14:paraId="29A5B1B6">
      <w:pPr>
        <w:rPr>
          <w:rFonts w:hint="eastAsia" w:eastAsia="宋体" w:cs="Times New Roman"/>
          <w:color w:val="auto"/>
          <w:highlight w:val="none"/>
        </w:rPr>
      </w:pPr>
      <w:r>
        <w:rPr>
          <w:rFonts w:hint="eastAsia" w:eastAsia="宋体" w:cs="Times New Roman"/>
          <w:color w:val="auto"/>
          <w:highlight w:val="none"/>
        </w:rPr>
        <w:br w:type="page"/>
      </w:r>
    </w:p>
    <w:p w14:paraId="1F3A5411">
      <w:pPr>
        <w:pStyle w:val="12"/>
        <w:jc w:val="center"/>
        <w:outlineLvl w:val="0"/>
        <w:rPr>
          <w:rFonts w:hint="eastAsia" w:ascii="Times New Roman" w:hAnsi="Times New Roman" w:eastAsia="宋体" w:cs="Times New Roman"/>
          <w:b/>
          <w:color w:val="auto"/>
          <w:sz w:val="36"/>
          <w:szCs w:val="20"/>
          <w:highlight w:val="none"/>
        </w:rPr>
      </w:pPr>
      <w:bookmarkStart w:id="2" w:name="_Toc18459"/>
      <w:bookmarkStart w:id="3" w:name="_Toc8345"/>
      <w:bookmarkStart w:id="4" w:name="_Toc20258"/>
      <w:bookmarkStart w:id="5" w:name="_Toc18707"/>
      <w:bookmarkStart w:id="6" w:name="_Toc16222"/>
      <w:bookmarkStart w:id="7" w:name="_Toc19537"/>
      <w:bookmarkStart w:id="8" w:name="_Toc16576"/>
      <w:bookmarkStart w:id="9" w:name="_Toc11500"/>
      <w:bookmarkStart w:id="10" w:name="_Toc184"/>
      <w:bookmarkStart w:id="11" w:name="_Toc9949"/>
      <w:bookmarkStart w:id="12" w:name="_Toc12228"/>
      <w:r>
        <w:rPr>
          <w:rFonts w:hint="eastAsia" w:ascii="Times New Roman" w:hAnsi="Times New Roman" w:eastAsia="宋体" w:cs="Times New Roman"/>
          <w:b/>
          <w:color w:val="auto"/>
          <w:sz w:val="36"/>
          <w:highlight w:val="none"/>
        </w:rPr>
        <w:t>第一章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招标公告</w:t>
      </w:r>
      <w:bookmarkEnd w:id="1"/>
      <w:bookmarkEnd w:id="2"/>
      <w:bookmarkEnd w:id="3"/>
      <w:bookmarkEnd w:id="4"/>
      <w:bookmarkEnd w:id="5"/>
      <w:bookmarkEnd w:id="6"/>
      <w:bookmarkEnd w:id="7"/>
      <w:bookmarkEnd w:id="8"/>
      <w:bookmarkEnd w:id="9"/>
      <w:bookmarkEnd w:id="10"/>
      <w:bookmarkEnd w:id="11"/>
      <w:bookmarkEnd w:id="12"/>
    </w:p>
    <w:p w14:paraId="0313306A">
      <w:pPr>
        <w:pStyle w:val="12"/>
        <w:jc w:val="center"/>
        <w:rPr>
          <w:rFonts w:hint="eastAsia" w:ascii="Times New Roman" w:hAnsi="Times New Roman" w:eastAsia="宋体" w:cs="Times New Roman"/>
          <w:b/>
          <w:color w:val="auto"/>
          <w:sz w:val="30"/>
          <w:szCs w:val="30"/>
          <w:highlight w:val="none"/>
        </w:rPr>
      </w:pPr>
    </w:p>
    <w:p w14:paraId="25209352">
      <w:pPr>
        <w:pStyle w:val="12"/>
        <w:jc w:val="center"/>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招标公告</w:t>
      </w:r>
    </w:p>
    <w:p w14:paraId="0CBEF28A">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0BCE6FD2">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cs="宋体"/>
          <w:i w:val="0"/>
          <w:iCs w:val="0"/>
          <w:color w:val="auto"/>
          <w:szCs w:val="21"/>
          <w:highlight w:val="none"/>
          <w:u w:val="single"/>
          <w:lang w:eastAsia="zh-CN"/>
        </w:rPr>
        <w:t>2026年广西工业产品质量监督抽查和风险监测技术服务项目</w:t>
      </w:r>
      <w:r>
        <w:rPr>
          <w:rFonts w:hint="eastAsia" w:ascii="宋体" w:hAnsi="宋体" w:eastAsia="宋体" w:cs="宋体"/>
          <w:color w:val="auto"/>
          <w:sz w:val="21"/>
          <w:szCs w:val="21"/>
          <w:highlight w:val="none"/>
        </w:rPr>
        <w:t>的潜在投标人应在</w:t>
      </w:r>
      <w:r>
        <w:rPr>
          <w:rFonts w:hint="eastAsia" w:ascii="宋体" w:hAnsi="宋体" w:cs="宋体"/>
          <w:b w:val="0"/>
          <w:bCs w:val="0"/>
          <w:color w:val="auto"/>
          <w:sz w:val="24"/>
          <w:szCs w:val="24"/>
          <w:highlight w:val="none"/>
          <w:lang w:val="en-US" w:eastAsia="zh-CN"/>
        </w:rPr>
        <w:t>广西政府采购云平台</w:t>
      </w:r>
      <w:r>
        <w:rPr>
          <w:rFonts w:hint="eastAsia" w:ascii="宋体" w:hAnsi="宋体" w:cs="宋体"/>
          <w:color w:val="auto"/>
          <w:sz w:val="24"/>
          <w:szCs w:val="24"/>
          <w:highlight w:val="none"/>
        </w:rPr>
        <w:t>（</w:t>
      </w:r>
      <w:r>
        <w:rPr>
          <w:rFonts w:hint="eastAsia" w:ascii="宋体" w:hAnsi="宋体" w:eastAsia="宋体" w:cs="宋体"/>
          <w:b w:val="0"/>
          <w:bCs w:val="0"/>
          <w:i w:val="0"/>
          <w:caps w:val="0"/>
          <w:color w:val="auto"/>
          <w:spacing w:val="0"/>
          <w:sz w:val="24"/>
          <w:szCs w:val="24"/>
          <w:highlight w:val="none"/>
        </w:rPr>
        <w:t>https://www.gcy.zfcg.gxzf.gov.cn/</w:t>
      </w:r>
      <w:r>
        <w:rPr>
          <w:rFonts w:hint="eastAsia" w:ascii="宋体" w:hAnsi="宋体" w:cs="宋体"/>
          <w:color w:val="auto"/>
          <w:sz w:val="24"/>
          <w:szCs w:val="24"/>
          <w:highlight w:val="none"/>
        </w:rPr>
        <w:t>）</w:t>
      </w:r>
      <w:r>
        <w:rPr>
          <w:rFonts w:hint="eastAsia" w:ascii="宋体" w:hAnsi="宋体" w:eastAsia="宋体" w:cs="宋体"/>
          <w:color w:val="auto"/>
          <w:sz w:val="21"/>
          <w:szCs w:val="21"/>
          <w:highlight w:val="none"/>
        </w:rPr>
        <w:t>获取招标文件，并于</w:t>
      </w:r>
      <w:bookmarkStart w:id="13" w:name="PO_3000001867_PM015"/>
      <w:bookmarkStart w:id="14" w:name="PO_3000001866_PM015"/>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lang w:eastAsia="zh-CN"/>
        </w:rPr>
        <w:t>点</w:t>
      </w:r>
      <w:r>
        <w:rPr>
          <w:rFonts w:hint="eastAsia" w:ascii="宋体" w:hAnsi="宋体" w:cs="宋体"/>
          <w:color w:val="auto"/>
          <w:szCs w:val="21"/>
          <w:highlight w:val="none"/>
          <w:u w:val="single"/>
          <w:lang w:val="en-US" w:eastAsia="zh-CN"/>
        </w:rPr>
        <w:t>30分</w:t>
      </w:r>
      <w:bookmarkEnd w:id="13"/>
      <w:bookmarkEnd w:id="14"/>
      <w:r>
        <w:rPr>
          <w:rFonts w:hint="eastAsia" w:ascii="宋体" w:hAnsi="宋体" w:eastAsia="宋体" w:cs="宋体"/>
          <w:bCs/>
          <w:color w:val="auto"/>
          <w:sz w:val="21"/>
          <w:szCs w:val="21"/>
          <w:highlight w:val="none"/>
        </w:rPr>
        <w:t>（北京时间）前</w:t>
      </w:r>
      <w:r>
        <w:rPr>
          <w:rFonts w:hint="eastAsia" w:ascii="宋体" w:hAnsi="宋体" w:cs="宋体"/>
          <w:color w:val="auto"/>
          <w:sz w:val="21"/>
          <w:szCs w:val="21"/>
          <w:highlight w:val="none"/>
          <w:lang w:eastAsia="zh-CN"/>
        </w:rPr>
        <w:t>提交</w:t>
      </w:r>
      <w:r>
        <w:rPr>
          <w:rFonts w:hint="eastAsia" w:ascii="宋体" w:hAnsi="宋体" w:eastAsia="宋体" w:cs="宋体"/>
          <w:color w:val="auto"/>
          <w:sz w:val="21"/>
          <w:szCs w:val="21"/>
          <w:highlight w:val="none"/>
        </w:rPr>
        <w:t>投标文件。</w:t>
      </w:r>
    </w:p>
    <w:p w14:paraId="11F24A70">
      <w:pPr>
        <w:spacing w:line="360" w:lineRule="auto"/>
        <w:rPr>
          <w:rFonts w:hint="eastAsia" w:ascii="黑体" w:hAnsi="黑体" w:eastAsia="黑体" w:cs="Times New Roman"/>
          <w:b/>
          <w:bCs/>
          <w:color w:val="auto"/>
          <w:sz w:val="24"/>
          <w:highlight w:val="none"/>
        </w:rPr>
      </w:pPr>
      <w:bookmarkStart w:id="15" w:name="_Toc28359002"/>
      <w:bookmarkStart w:id="16" w:name="_Toc28359079"/>
      <w:bookmarkStart w:id="17" w:name="_Toc35393790"/>
      <w:bookmarkStart w:id="18" w:name="_Toc35393621"/>
      <w:bookmarkStart w:id="19" w:name="_Hlk24379207"/>
      <w:r>
        <w:rPr>
          <w:rFonts w:hint="eastAsia" w:ascii="黑体" w:hAnsi="黑体" w:eastAsia="黑体" w:cs="Times New Roman"/>
          <w:b/>
          <w:bCs/>
          <w:color w:val="auto"/>
          <w:sz w:val="24"/>
          <w:highlight w:val="none"/>
        </w:rPr>
        <w:t>一、项目基本情况</w:t>
      </w:r>
      <w:bookmarkEnd w:id="15"/>
      <w:bookmarkEnd w:id="16"/>
      <w:bookmarkEnd w:id="17"/>
      <w:bookmarkEnd w:id="18"/>
    </w:p>
    <w:p w14:paraId="7D2AAEB3">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项目编号：</w:t>
      </w:r>
      <w:r>
        <w:rPr>
          <w:rFonts w:hint="eastAsia" w:ascii="宋体" w:hAnsi="宋体" w:cs="Times New Roman"/>
          <w:b w:val="0"/>
          <w:bCs w:val="0"/>
          <w:color w:val="auto"/>
          <w:szCs w:val="21"/>
          <w:highlight w:val="none"/>
          <w:lang w:eastAsia="zh-CN"/>
        </w:rPr>
        <w:t>GXZC2026-G3-001182-GXKL</w:t>
      </w:r>
      <w:r>
        <w:rPr>
          <w:rFonts w:hint="eastAsia" w:ascii="宋体" w:hAnsi="宋体" w:cs="Times New Roman"/>
          <w:color w:val="auto"/>
          <w:szCs w:val="21"/>
          <w:highlight w:val="none"/>
          <w:lang w:val="en-US" w:eastAsia="zh-CN"/>
        </w:rPr>
        <w:t xml:space="preserve"> </w:t>
      </w:r>
    </w:p>
    <w:p w14:paraId="39825F0F">
      <w:pPr>
        <w:spacing w:line="360" w:lineRule="auto"/>
        <w:ind w:left="420" w:leftChars="20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项目名称：</w:t>
      </w:r>
      <w:bookmarkEnd w:id="19"/>
      <w:r>
        <w:rPr>
          <w:rFonts w:hint="eastAsia" w:ascii="宋体" w:hAnsi="宋体" w:cs="宋体"/>
          <w:color w:val="auto"/>
          <w:highlight w:val="none"/>
          <w:lang w:eastAsia="zh-CN"/>
        </w:rPr>
        <w:t>2026年广西工业产品质量监督抽查和风险监测技术服务项目</w:t>
      </w:r>
      <w:r>
        <w:rPr>
          <w:rFonts w:hint="eastAsia" w:ascii="宋体" w:hAnsi="宋体" w:eastAsia="宋体" w:cs="宋体"/>
          <w:color w:val="auto"/>
          <w:highlight w:val="none"/>
          <w:lang w:val="en-US" w:eastAsia="zh-CN"/>
        </w:rPr>
        <w:t xml:space="preserve"> </w:t>
      </w:r>
    </w:p>
    <w:p w14:paraId="3BA4A410">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预算总金额（元）：</w:t>
      </w:r>
      <w:r>
        <w:rPr>
          <w:rFonts w:hint="eastAsia" w:ascii="宋体" w:hAnsi="宋体" w:eastAsia="宋体" w:cs="宋体"/>
          <w:color w:val="auto"/>
          <w:highlight w:val="none"/>
          <w:lang w:val="en-US" w:eastAsia="zh-CN"/>
        </w:rPr>
        <w:t>3787500.00</w:t>
      </w:r>
    </w:p>
    <w:p w14:paraId="0E7ADD11">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采购需求：</w:t>
      </w:r>
    </w:p>
    <w:p w14:paraId="6AF06454">
      <w:pPr>
        <w:spacing w:line="360" w:lineRule="auto"/>
        <w:ind w:left="420" w:leftChars="20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标项一</w:t>
      </w:r>
    </w:p>
    <w:p w14:paraId="37CCB1A3">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标项名称</w:t>
      </w:r>
      <w:r>
        <w:rPr>
          <w:rFonts w:hint="eastAsia" w:ascii="宋体" w:hAnsi="宋体" w:cs="宋体"/>
          <w:color w:val="auto"/>
          <w:highlight w:val="none"/>
          <w:lang w:eastAsia="zh-CN"/>
        </w:rPr>
        <w:t>：2026年广西工业产品质量监督抽查和风险监测技术服务项目</w:t>
      </w:r>
      <w:r>
        <w:rPr>
          <w:rFonts w:hint="eastAsia" w:ascii="宋体" w:hAnsi="宋体" w:cs="宋体"/>
          <w:color w:val="auto"/>
          <w:highlight w:val="none"/>
          <w:lang w:val="en-US" w:eastAsia="zh-CN"/>
        </w:rPr>
        <w:t>分标1</w:t>
      </w:r>
    </w:p>
    <w:p w14:paraId="4DCC0C66">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数量</w:t>
      </w:r>
      <w:r>
        <w:rPr>
          <w:rFonts w:hint="eastAsia" w:ascii="宋体" w:hAnsi="宋体" w:cs="宋体"/>
          <w:color w:val="auto"/>
          <w:highlight w:val="none"/>
          <w:lang w:eastAsia="zh-CN"/>
        </w:rPr>
        <w:t>：</w:t>
      </w:r>
      <w:r>
        <w:rPr>
          <w:rFonts w:hint="eastAsia" w:ascii="宋体" w:hAnsi="宋体" w:eastAsia="宋体" w:cs="宋体"/>
          <w:color w:val="auto"/>
          <w:highlight w:val="none"/>
        </w:rPr>
        <w:t>不限</w:t>
      </w:r>
    </w:p>
    <w:p w14:paraId="5EFE395C">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预算金额（元）</w:t>
      </w:r>
      <w:r>
        <w:rPr>
          <w:rFonts w:hint="eastAsia" w:ascii="宋体" w:hAnsi="宋体" w:cs="宋体"/>
          <w:color w:val="auto"/>
          <w:highlight w:val="none"/>
          <w:lang w:eastAsia="zh-CN"/>
        </w:rPr>
        <w:t>：</w:t>
      </w:r>
      <w:r>
        <w:rPr>
          <w:rFonts w:hint="eastAsia" w:ascii="宋体" w:hAnsi="宋体" w:cs="宋体"/>
          <w:color w:val="auto"/>
          <w:highlight w:val="none"/>
          <w:lang w:val="en-US" w:eastAsia="zh-CN"/>
        </w:rPr>
        <w:t>1100000.00</w:t>
      </w:r>
    </w:p>
    <w:p w14:paraId="556F05EC">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简要规格描述或项目基本概况介绍、用途：2026年广西工业产品质量监督抽查和风险监测技术服务</w:t>
      </w:r>
      <w:r>
        <w:rPr>
          <w:rFonts w:hint="eastAsia" w:ascii="宋体" w:hAnsi="宋体" w:cs="宋体"/>
          <w:color w:val="auto"/>
          <w:highlight w:val="none"/>
          <w:lang w:val="en-US" w:eastAsia="zh-CN"/>
        </w:rPr>
        <w:t>1项，详见本公告附件。</w:t>
      </w:r>
    </w:p>
    <w:p w14:paraId="40B1DAE9">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最高限价（如有）：</w:t>
      </w:r>
      <w:r>
        <w:rPr>
          <w:rFonts w:hint="eastAsia" w:ascii="宋体" w:hAnsi="宋体" w:cs="宋体"/>
          <w:color w:val="auto"/>
          <w:highlight w:val="none"/>
          <w:lang w:val="en-US" w:eastAsia="zh-CN"/>
        </w:rPr>
        <w:t>1100000.00</w:t>
      </w:r>
    </w:p>
    <w:p w14:paraId="7D1B539B">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合同履</w:t>
      </w:r>
      <w:r>
        <w:rPr>
          <w:rFonts w:hint="eastAsia" w:ascii="宋体" w:hAnsi="宋体" w:cs="宋体"/>
          <w:color w:val="auto"/>
          <w:highlight w:val="none"/>
          <w:lang w:val="en-US" w:eastAsia="zh-CN"/>
        </w:rPr>
        <w:t>行</w:t>
      </w:r>
      <w:r>
        <w:rPr>
          <w:rFonts w:hint="eastAsia" w:ascii="宋体" w:hAnsi="宋体" w:eastAsia="宋体" w:cs="宋体"/>
          <w:color w:val="auto"/>
          <w:highlight w:val="none"/>
        </w:rPr>
        <w:t>期限：自合同签订之日起1年</w:t>
      </w:r>
    </w:p>
    <w:p w14:paraId="79875063">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本标项（否）接受联合体投标</w:t>
      </w:r>
    </w:p>
    <w:p w14:paraId="3F569342">
      <w:pPr>
        <w:spacing w:line="360" w:lineRule="auto"/>
        <w:ind w:left="420" w:leftChars="20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备注：</w:t>
      </w:r>
      <w:r>
        <w:rPr>
          <w:rFonts w:hint="eastAsia" w:ascii="宋体" w:hAnsi="宋体" w:cs="宋体"/>
          <w:color w:val="auto"/>
          <w:highlight w:val="none"/>
          <w:lang w:val="en-US" w:eastAsia="zh-CN"/>
        </w:rPr>
        <w:t>无</w:t>
      </w:r>
    </w:p>
    <w:p w14:paraId="6231FBEE">
      <w:pPr>
        <w:ind w:left="420" w:leftChars="200" w:firstLine="0" w:firstLineChars="0"/>
        <w:rPr>
          <w:rFonts w:hint="eastAsia" w:ascii="宋体" w:hAnsi="宋体" w:eastAsia="宋体" w:cs="宋体"/>
          <w:color w:val="auto"/>
          <w:highlight w:val="none"/>
        </w:rPr>
      </w:pPr>
    </w:p>
    <w:p w14:paraId="125FEDE0">
      <w:pPr>
        <w:spacing w:line="360" w:lineRule="auto"/>
        <w:ind w:left="420" w:leftChars="200" w:firstLine="0" w:firstLineChars="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标项</w:t>
      </w:r>
      <w:r>
        <w:rPr>
          <w:rFonts w:hint="eastAsia" w:ascii="宋体" w:hAnsi="宋体" w:cs="宋体"/>
          <w:b/>
          <w:bCs/>
          <w:color w:val="auto"/>
          <w:highlight w:val="none"/>
          <w:lang w:val="en-US" w:eastAsia="zh-CN"/>
        </w:rPr>
        <w:t>二</w:t>
      </w:r>
    </w:p>
    <w:p w14:paraId="35E921D2">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标项名称</w:t>
      </w:r>
      <w:r>
        <w:rPr>
          <w:rFonts w:hint="eastAsia" w:ascii="宋体" w:hAnsi="宋体" w:cs="宋体"/>
          <w:color w:val="auto"/>
          <w:highlight w:val="none"/>
          <w:lang w:eastAsia="zh-CN"/>
        </w:rPr>
        <w:t>：2026年广西工业产品质量监督抽查和风险监测技术服务项目</w:t>
      </w:r>
      <w:r>
        <w:rPr>
          <w:rFonts w:hint="eastAsia" w:ascii="宋体" w:hAnsi="宋体" w:cs="宋体"/>
          <w:color w:val="auto"/>
          <w:highlight w:val="none"/>
          <w:lang w:val="en-US" w:eastAsia="zh-CN"/>
        </w:rPr>
        <w:t>分标2</w:t>
      </w:r>
    </w:p>
    <w:p w14:paraId="0722CCF9">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数量</w:t>
      </w:r>
      <w:r>
        <w:rPr>
          <w:rFonts w:hint="eastAsia" w:ascii="宋体" w:hAnsi="宋体" w:cs="宋体"/>
          <w:color w:val="auto"/>
          <w:highlight w:val="none"/>
          <w:lang w:eastAsia="zh-CN"/>
        </w:rPr>
        <w:t>：</w:t>
      </w:r>
      <w:r>
        <w:rPr>
          <w:rFonts w:hint="eastAsia" w:ascii="宋体" w:hAnsi="宋体" w:eastAsia="宋体" w:cs="宋体"/>
          <w:color w:val="auto"/>
          <w:highlight w:val="none"/>
        </w:rPr>
        <w:t>不限</w:t>
      </w:r>
    </w:p>
    <w:p w14:paraId="0390D736">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预算金额（元）</w:t>
      </w:r>
      <w:r>
        <w:rPr>
          <w:rFonts w:hint="eastAsia" w:ascii="宋体" w:hAnsi="宋体" w:cs="宋体"/>
          <w:color w:val="auto"/>
          <w:highlight w:val="none"/>
          <w:lang w:eastAsia="zh-CN"/>
        </w:rPr>
        <w:t>：</w:t>
      </w:r>
      <w:r>
        <w:rPr>
          <w:rFonts w:hint="eastAsia" w:ascii="宋体" w:hAnsi="宋体" w:cs="宋体"/>
          <w:color w:val="auto"/>
          <w:highlight w:val="none"/>
          <w:lang w:val="en-US" w:eastAsia="zh-CN"/>
        </w:rPr>
        <w:t>600000.00</w:t>
      </w:r>
    </w:p>
    <w:p w14:paraId="4A78B108">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简要规格描述或项目基本概况介绍、用途：2026年广西工业产品质量监督抽查和风险监测技术服务</w:t>
      </w:r>
      <w:r>
        <w:rPr>
          <w:rFonts w:hint="eastAsia" w:ascii="宋体" w:hAnsi="宋体" w:cs="宋体"/>
          <w:color w:val="auto"/>
          <w:highlight w:val="none"/>
          <w:lang w:val="en-US" w:eastAsia="zh-CN"/>
        </w:rPr>
        <w:t>1项，详见本公告附件。</w:t>
      </w:r>
    </w:p>
    <w:p w14:paraId="469FFBD7">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最高限价（如有）：600000.00</w:t>
      </w:r>
    </w:p>
    <w:p w14:paraId="2CD0316F">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合同履</w:t>
      </w:r>
      <w:r>
        <w:rPr>
          <w:rFonts w:hint="eastAsia" w:ascii="宋体" w:hAnsi="宋体" w:cs="宋体"/>
          <w:color w:val="auto"/>
          <w:highlight w:val="none"/>
          <w:lang w:val="en-US" w:eastAsia="zh-CN"/>
        </w:rPr>
        <w:t>行</w:t>
      </w:r>
      <w:r>
        <w:rPr>
          <w:rFonts w:hint="eastAsia" w:ascii="宋体" w:hAnsi="宋体" w:eastAsia="宋体" w:cs="宋体"/>
          <w:color w:val="auto"/>
          <w:highlight w:val="none"/>
        </w:rPr>
        <w:t>期限：自合同签订之日起1年</w:t>
      </w:r>
    </w:p>
    <w:p w14:paraId="656976BE">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本标项（否）接受联合体投标</w:t>
      </w:r>
    </w:p>
    <w:p w14:paraId="4FAA0D5C">
      <w:pPr>
        <w:spacing w:line="360" w:lineRule="auto"/>
        <w:ind w:left="420" w:leftChars="20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无</w:t>
      </w:r>
    </w:p>
    <w:p w14:paraId="178718E9">
      <w:pPr>
        <w:spacing w:line="360" w:lineRule="auto"/>
        <w:ind w:left="420" w:leftChars="200" w:firstLine="0" w:firstLineChars="0"/>
        <w:rPr>
          <w:rFonts w:hint="eastAsia" w:ascii="宋体" w:hAnsi="宋体" w:eastAsia="宋体" w:cs="宋体"/>
          <w:b/>
          <w:bCs/>
          <w:color w:val="auto"/>
          <w:highlight w:val="none"/>
        </w:rPr>
      </w:pPr>
    </w:p>
    <w:p w14:paraId="211666EE">
      <w:pPr>
        <w:spacing w:line="360" w:lineRule="auto"/>
        <w:ind w:left="420" w:leftChars="200" w:firstLine="0" w:firstLineChars="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标项</w:t>
      </w:r>
      <w:r>
        <w:rPr>
          <w:rFonts w:hint="eastAsia" w:ascii="宋体" w:hAnsi="宋体" w:cs="宋体"/>
          <w:b/>
          <w:bCs/>
          <w:color w:val="auto"/>
          <w:highlight w:val="none"/>
          <w:lang w:val="en-US" w:eastAsia="zh-CN"/>
        </w:rPr>
        <w:t>三</w:t>
      </w:r>
    </w:p>
    <w:p w14:paraId="46240B06">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标项名称</w:t>
      </w:r>
      <w:r>
        <w:rPr>
          <w:rFonts w:hint="eastAsia" w:ascii="宋体" w:hAnsi="宋体" w:cs="宋体"/>
          <w:color w:val="auto"/>
          <w:highlight w:val="none"/>
          <w:lang w:eastAsia="zh-CN"/>
        </w:rPr>
        <w:t>：2026年广西工业产品质量监督抽查和风险监测技术服务项目</w:t>
      </w:r>
      <w:r>
        <w:rPr>
          <w:rFonts w:hint="eastAsia" w:ascii="宋体" w:hAnsi="宋体" w:cs="宋体"/>
          <w:color w:val="auto"/>
          <w:highlight w:val="none"/>
          <w:lang w:val="en-US" w:eastAsia="zh-CN"/>
        </w:rPr>
        <w:t>分标3</w:t>
      </w:r>
    </w:p>
    <w:p w14:paraId="634C398F">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数量</w:t>
      </w:r>
      <w:r>
        <w:rPr>
          <w:rFonts w:hint="eastAsia" w:ascii="宋体" w:hAnsi="宋体" w:cs="宋体"/>
          <w:color w:val="auto"/>
          <w:highlight w:val="none"/>
          <w:lang w:eastAsia="zh-CN"/>
        </w:rPr>
        <w:t>：</w:t>
      </w:r>
      <w:r>
        <w:rPr>
          <w:rFonts w:hint="eastAsia" w:ascii="宋体" w:hAnsi="宋体" w:eastAsia="宋体" w:cs="宋体"/>
          <w:color w:val="auto"/>
          <w:highlight w:val="none"/>
        </w:rPr>
        <w:t>不限</w:t>
      </w:r>
    </w:p>
    <w:p w14:paraId="51F81936">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预算金额（元）</w:t>
      </w:r>
      <w:r>
        <w:rPr>
          <w:rFonts w:hint="eastAsia" w:ascii="宋体" w:hAnsi="宋体" w:cs="宋体"/>
          <w:color w:val="auto"/>
          <w:highlight w:val="none"/>
          <w:lang w:eastAsia="zh-CN"/>
        </w:rPr>
        <w:t>：</w:t>
      </w:r>
      <w:r>
        <w:rPr>
          <w:rFonts w:hint="eastAsia" w:ascii="宋体" w:hAnsi="宋体" w:cs="宋体"/>
          <w:color w:val="auto"/>
          <w:highlight w:val="none"/>
          <w:lang w:val="en-US" w:eastAsia="zh-CN"/>
        </w:rPr>
        <w:t>600000.00</w:t>
      </w:r>
    </w:p>
    <w:p w14:paraId="38EAA04D">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简要规格描述或项目基本概况介绍、用途：2026年广西工业产品质量监督抽查和风险监测技术服务</w:t>
      </w:r>
      <w:r>
        <w:rPr>
          <w:rFonts w:hint="eastAsia" w:ascii="宋体" w:hAnsi="宋体" w:cs="宋体"/>
          <w:color w:val="auto"/>
          <w:highlight w:val="none"/>
          <w:lang w:val="en-US" w:eastAsia="zh-CN"/>
        </w:rPr>
        <w:t>1项，详见本公告附件。</w:t>
      </w:r>
    </w:p>
    <w:p w14:paraId="560C35AC">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最高限价（如有）：600000.00</w:t>
      </w:r>
    </w:p>
    <w:p w14:paraId="66BCE77B">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合同履</w:t>
      </w:r>
      <w:r>
        <w:rPr>
          <w:rFonts w:hint="eastAsia" w:ascii="宋体" w:hAnsi="宋体" w:cs="宋体"/>
          <w:color w:val="auto"/>
          <w:highlight w:val="none"/>
          <w:lang w:val="en-US" w:eastAsia="zh-CN"/>
        </w:rPr>
        <w:t>行</w:t>
      </w:r>
      <w:r>
        <w:rPr>
          <w:rFonts w:hint="eastAsia" w:ascii="宋体" w:hAnsi="宋体" w:eastAsia="宋体" w:cs="宋体"/>
          <w:color w:val="auto"/>
          <w:highlight w:val="none"/>
        </w:rPr>
        <w:t>期限：自合同签订之日起1年</w:t>
      </w:r>
    </w:p>
    <w:p w14:paraId="50E5CC99">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本标项（否）接受联合体投标</w:t>
      </w:r>
    </w:p>
    <w:p w14:paraId="22DC09B0">
      <w:pPr>
        <w:spacing w:line="360" w:lineRule="auto"/>
        <w:ind w:left="420" w:leftChars="20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无</w:t>
      </w:r>
    </w:p>
    <w:p w14:paraId="09B7CEE3">
      <w:pPr>
        <w:ind w:left="420" w:leftChars="200" w:firstLine="0" w:firstLineChars="0"/>
        <w:rPr>
          <w:rFonts w:hint="eastAsia" w:ascii="宋体" w:hAnsi="宋体" w:eastAsia="宋体" w:cs="宋体"/>
          <w:color w:val="auto"/>
          <w:highlight w:val="none"/>
          <w:lang w:val="en-US" w:eastAsia="zh-CN"/>
        </w:rPr>
      </w:pPr>
    </w:p>
    <w:p w14:paraId="7BDC571E">
      <w:pPr>
        <w:spacing w:line="360" w:lineRule="auto"/>
        <w:ind w:left="420" w:leftChars="200" w:firstLine="0" w:firstLineChars="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标项</w:t>
      </w:r>
      <w:r>
        <w:rPr>
          <w:rFonts w:hint="eastAsia" w:ascii="宋体" w:hAnsi="宋体" w:cs="宋体"/>
          <w:b/>
          <w:bCs/>
          <w:color w:val="auto"/>
          <w:highlight w:val="none"/>
          <w:lang w:val="en-US" w:eastAsia="zh-CN"/>
        </w:rPr>
        <w:t>四</w:t>
      </w:r>
    </w:p>
    <w:p w14:paraId="07EFA533">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标项名称</w:t>
      </w:r>
      <w:r>
        <w:rPr>
          <w:rFonts w:hint="eastAsia" w:ascii="宋体" w:hAnsi="宋体" w:cs="宋体"/>
          <w:color w:val="auto"/>
          <w:highlight w:val="none"/>
          <w:lang w:eastAsia="zh-CN"/>
        </w:rPr>
        <w:t>：2026年广西工业产品质量监督抽查和风险监测技术服务项目</w:t>
      </w:r>
      <w:r>
        <w:rPr>
          <w:rFonts w:hint="eastAsia" w:ascii="宋体" w:hAnsi="宋体" w:cs="宋体"/>
          <w:color w:val="auto"/>
          <w:highlight w:val="none"/>
          <w:lang w:val="en-US" w:eastAsia="zh-CN"/>
        </w:rPr>
        <w:t>分标4</w:t>
      </w:r>
    </w:p>
    <w:p w14:paraId="3869EB05">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数量</w:t>
      </w:r>
      <w:r>
        <w:rPr>
          <w:rFonts w:hint="eastAsia" w:ascii="宋体" w:hAnsi="宋体" w:cs="宋体"/>
          <w:color w:val="auto"/>
          <w:highlight w:val="none"/>
          <w:lang w:eastAsia="zh-CN"/>
        </w:rPr>
        <w:t>：</w:t>
      </w:r>
      <w:r>
        <w:rPr>
          <w:rFonts w:hint="eastAsia" w:ascii="宋体" w:hAnsi="宋体" w:eastAsia="宋体" w:cs="宋体"/>
          <w:color w:val="auto"/>
          <w:highlight w:val="none"/>
        </w:rPr>
        <w:t>不限</w:t>
      </w:r>
    </w:p>
    <w:p w14:paraId="0EBD6B59">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预算金额（元）</w:t>
      </w:r>
      <w:r>
        <w:rPr>
          <w:rFonts w:hint="eastAsia" w:ascii="宋体" w:hAnsi="宋体" w:cs="宋体"/>
          <w:color w:val="auto"/>
          <w:highlight w:val="none"/>
          <w:lang w:eastAsia="zh-CN"/>
        </w:rPr>
        <w:t>：</w:t>
      </w:r>
      <w:r>
        <w:rPr>
          <w:rFonts w:hint="eastAsia" w:ascii="宋体" w:hAnsi="宋体" w:cs="宋体"/>
          <w:color w:val="auto"/>
          <w:highlight w:val="none"/>
          <w:lang w:val="en-US" w:eastAsia="zh-CN"/>
        </w:rPr>
        <w:t>580000.00</w:t>
      </w:r>
    </w:p>
    <w:p w14:paraId="09DED969">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简要规格描述或项目基本概况介绍、用途：2026年广西工业产品质量监督抽查和风险监测技术服务</w:t>
      </w:r>
      <w:r>
        <w:rPr>
          <w:rFonts w:hint="eastAsia" w:ascii="宋体" w:hAnsi="宋体" w:cs="宋体"/>
          <w:color w:val="auto"/>
          <w:highlight w:val="none"/>
          <w:lang w:val="en-US" w:eastAsia="zh-CN"/>
        </w:rPr>
        <w:t>1项，详见本公告附件。</w:t>
      </w:r>
    </w:p>
    <w:p w14:paraId="4C12BA8D">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最高限价（如有）：</w:t>
      </w:r>
      <w:r>
        <w:rPr>
          <w:rFonts w:hint="eastAsia" w:ascii="宋体" w:hAnsi="宋体" w:cs="宋体"/>
          <w:color w:val="auto"/>
          <w:highlight w:val="none"/>
          <w:lang w:val="en-US" w:eastAsia="zh-CN"/>
        </w:rPr>
        <w:t>580000</w:t>
      </w:r>
      <w:r>
        <w:rPr>
          <w:rFonts w:hint="eastAsia" w:ascii="宋体" w:hAnsi="宋体" w:eastAsia="宋体" w:cs="宋体"/>
          <w:color w:val="auto"/>
          <w:highlight w:val="none"/>
        </w:rPr>
        <w:t>.00</w:t>
      </w:r>
    </w:p>
    <w:p w14:paraId="3144EE0C">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合同履</w:t>
      </w:r>
      <w:r>
        <w:rPr>
          <w:rFonts w:hint="eastAsia" w:ascii="宋体" w:hAnsi="宋体" w:cs="宋体"/>
          <w:color w:val="auto"/>
          <w:highlight w:val="none"/>
          <w:lang w:val="en-US" w:eastAsia="zh-CN"/>
        </w:rPr>
        <w:t>行</w:t>
      </w:r>
      <w:r>
        <w:rPr>
          <w:rFonts w:hint="eastAsia" w:ascii="宋体" w:hAnsi="宋体" w:eastAsia="宋体" w:cs="宋体"/>
          <w:color w:val="auto"/>
          <w:highlight w:val="none"/>
        </w:rPr>
        <w:t>期限：自合同签订之日起1年</w:t>
      </w:r>
    </w:p>
    <w:p w14:paraId="31478AFA">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本标项（否）接受联合体投标</w:t>
      </w:r>
    </w:p>
    <w:p w14:paraId="313D8448">
      <w:pPr>
        <w:spacing w:line="360" w:lineRule="auto"/>
        <w:ind w:left="420" w:leftChars="20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无</w:t>
      </w:r>
    </w:p>
    <w:p w14:paraId="1BD36108">
      <w:pPr>
        <w:spacing w:line="360" w:lineRule="auto"/>
        <w:ind w:firstLine="420" w:firstLineChars="200"/>
        <w:rPr>
          <w:rFonts w:hint="eastAsia" w:ascii="宋体" w:hAnsi="宋体" w:eastAsia="宋体" w:cs="Times New Roman"/>
          <w:b w:val="0"/>
          <w:bCs w:val="0"/>
          <w:color w:val="auto"/>
          <w:szCs w:val="21"/>
          <w:highlight w:val="none"/>
        </w:rPr>
      </w:pPr>
    </w:p>
    <w:p w14:paraId="7C72F0D8">
      <w:pPr>
        <w:spacing w:line="360" w:lineRule="auto"/>
        <w:ind w:left="420" w:leftChars="200" w:firstLine="0" w:firstLineChars="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标项</w:t>
      </w:r>
      <w:r>
        <w:rPr>
          <w:rFonts w:hint="eastAsia" w:ascii="宋体" w:hAnsi="宋体" w:cs="宋体"/>
          <w:b/>
          <w:bCs/>
          <w:color w:val="auto"/>
          <w:highlight w:val="none"/>
          <w:lang w:val="en-US" w:eastAsia="zh-CN"/>
        </w:rPr>
        <w:t>五</w:t>
      </w:r>
    </w:p>
    <w:p w14:paraId="163572BE">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标项名称</w:t>
      </w:r>
      <w:r>
        <w:rPr>
          <w:rFonts w:hint="eastAsia" w:ascii="宋体" w:hAnsi="宋体" w:cs="宋体"/>
          <w:color w:val="auto"/>
          <w:highlight w:val="none"/>
          <w:lang w:eastAsia="zh-CN"/>
        </w:rPr>
        <w:t>：2026年广西工业产品质量监督抽查和风险监测技术服务项目</w:t>
      </w:r>
      <w:r>
        <w:rPr>
          <w:rFonts w:hint="eastAsia" w:ascii="宋体" w:hAnsi="宋体" w:cs="宋体"/>
          <w:color w:val="auto"/>
          <w:highlight w:val="none"/>
          <w:lang w:val="en-US" w:eastAsia="zh-CN"/>
        </w:rPr>
        <w:t>分标5</w:t>
      </w:r>
    </w:p>
    <w:p w14:paraId="0763386C">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数量</w:t>
      </w:r>
      <w:r>
        <w:rPr>
          <w:rFonts w:hint="eastAsia" w:ascii="宋体" w:hAnsi="宋体" w:cs="宋体"/>
          <w:color w:val="auto"/>
          <w:highlight w:val="none"/>
          <w:lang w:eastAsia="zh-CN"/>
        </w:rPr>
        <w:t>：</w:t>
      </w:r>
      <w:r>
        <w:rPr>
          <w:rFonts w:hint="eastAsia" w:ascii="宋体" w:hAnsi="宋体" w:eastAsia="宋体" w:cs="宋体"/>
          <w:color w:val="auto"/>
          <w:highlight w:val="none"/>
        </w:rPr>
        <w:t>不限</w:t>
      </w:r>
    </w:p>
    <w:p w14:paraId="40FA8D8A">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预算金额（元）</w:t>
      </w:r>
      <w:r>
        <w:rPr>
          <w:rFonts w:hint="eastAsia" w:ascii="宋体" w:hAnsi="宋体" w:cs="宋体"/>
          <w:color w:val="auto"/>
          <w:highlight w:val="none"/>
          <w:lang w:eastAsia="zh-CN"/>
        </w:rPr>
        <w:t>：</w:t>
      </w:r>
      <w:r>
        <w:rPr>
          <w:rFonts w:hint="eastAsia" w:ascii="宋体" w:hAnsi="宋体" w:cs="宋体"/>
          <w:color w:val="auto"/>
          <w:highlight w:val="none"/>
          <w:lang w:val="en-US" w:eastAsia="zh-CN"/>
        </w:rPr>
        <w:t>300000.00</w:t>
      </w:r>
    </w:p>
    <w:p w14:paraId="02D759B0">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简要规格描述或项目基本概况介绍、用途：2026年广西工业产品质量监督抽查和风险监测技术服务</w:t>
      </w:r>
      <w:r>
        <w:rPr>
          <w:rFonts w:hint="eastAsia" w:ascii="宋体" w:hAnsi="宋体" w:cs="宋体"/>
          <w:color w:val="auto"/>
          <w:highlight w:val="none"/>
          <w:lang w:val="en-US" w:eastAsia="zh-CN"/>
        </w:rPr>
        <w:t>1项，详见本公告附件。</w:t>
      </w:r>
    </w:p>
    <w:p w14:paraId="58CDF9AC">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最高限价（如有）：</w:t>
      </w:r>
      <w:r>
        <w:rPr>
          <w:rFonts w:hint="eastAsia" w:ascii="宋体" w:hAnsi="宋体" w:cs="宋体"/>
          <w:color w:val="auto"/>
          <w:highlight w:val="none"/>
          <w:lang w:val="en-US" w:eastAsia="zh-CN"/>
        </w:rPr>
        <w:t>300000</w:t>
      </w:r>
      <w:r>
        <w:rPr>
          <w:rFonts w:hint="eastAsia" w:ascii="宋体" w:hAnsi="宋体" w:eastAsia="宋体" w:cs="宋体"/>
          <w:color w:val="auto"/>
          <w:highlight w:val="none"/>
        </w:rPr>
        <w:t>.00</w:t>
      </w:r>
    </w:p>
    <w:p w14:paraId="2C300AA2">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合同履</w:t>
      </w:r>
      <w:r>
        <w:rPr>
          <w:rFonts w:hint="eastAsia" w:ascii="宋体" w:hAnsi="宋体" w:cs="宋体"/>
          <w:color w:val="auto"/>
          <w:highlight w:val="none"/>
          <w:lang w:val="en-US" w:eastAsia="zh-CN"/>
        </w:rPr>
        <w:t>行</w:t>
      </w:r>
      <w:r>
        <w:rPr>
          <w:rFonts w:hint="eastAsia" w:ascii="宋体" w:hAnsi="宋体" w:eastAsia="宋体" w:cs="宋体"/>
          <w:color w:val="auto"/>
          <w:highlight w:val="none"/>
        </w:rPr>
        <w:t>期限：自合同签订之日起1年</w:t>
      </w:r>
    </w:p>
    <w:p w14:paraId="44E4EACC">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本标项（否）接受联合体投标</w:t>
      </w:r>
    </w:p>
    <w:p w14:paraId="7CB91FB3">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无</w:t>
      </w:r>
    </w:p>
    <w:p w14:paraId="17E23D46">
      <w:pPr>
        <w:spacing w:line="360" w:lineRule="auto"/>
        <w:rPr>
          <w:rFonts w:hint="eastAsia" w:ascii="黑体" w:hAnsi="黑体" w:eastAsia="黑体" w:cs="Times New Roman"/>
          <w:b/>
          <w:bCs/>
          <w:color w:val="auto"/>
          <w:sz w:val="24"/>
          <w:highlight w:val="none"/>
        </w:rPr>
      </w:pPr>
      <w:bookmarkStart w:id="20" w:name="_Toc28359080"/>
      <w:bookmarkStart w:id="21" w:name="_Toc28359003"/>
      <w:bookmarkStart w:id="22" w:name="_Toc35393622"/>
      <w:bookmarkStart w:id="23" w:name="_Toc35393791"/>
    </w:p>
    <w:p w14:paraId="4178344E">
      <w:pPr>
        <w:spacing w:line="360" w:lineRule="auto"/>
        <w:ind w:left="420" w:leftChars="200" w:firstLine="0" w:firstLineChars="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标项</w:t>
      </w:r>
      <w:r>
        <w:rPr>
          <w:rFonts w:hint="eastAsia" w:ascii="宋体" w:hAnsi="宋体" w:cs="宋体"/>
          <w:b/>
          <w:bCs/>
          <w:color w:val="auto"/>
          <w:highlight w:val="none"/>
          <w:lang w:val="en-US" w:eastAsia="zh-CN"/>
        </w:rPr>
        <w:t>六</w:t>
      </w:r>
    </w:p>
    <w:p w14:paraId="64C7515D">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标项名称</w:t>
      </w:r>
      <w:r>
        <w:rPr>
          <w:rFonts w:hint="eastAsia" w:ascii="宋体" w:hAnsi="宋体" w:cs="宋体"/>
          <w:color w:val="auto"/>
          <w:highlight w:val="none"/>
          <w:lang w:eastAsia="zh-CN"/>
        </w:rPr>
        <w:t>：2026年广西工业产品质量监督抽查和风险监测技术服务项目</w:t>
      </w:r>
      <w:r>
        <w:rPr>
          <w:rFonts w:hint="eastAsia" w:ascii="宋体" w:hAnsi="宋体" w:cs="宋体"/>
          <w:color w:val="auto"/>
          <w:highlight w:val="none"/>
          <w:lang w:val="en-US" w:eastAsia="zh-CN"/>
        </w:rPr>
        <w:t>分标6</w:t>
      </w:r>
    </w:p>
    <w:p w14:paraId="5B5C3A06">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数量</w:t>
      </w:r>
      <w:r>
        <w:rPr>
          <w:rFonts w:hint="eastAsia" w:ascii="宋体" w:hAnsi="宋体" w:cs="宋体"/>
          <w:color w:val="auto"/>
          <w:highlight w:val="none"/>
          <w:lang w:eastAsia="zh-CN"/>
        </w:rPr>
        <w:t>：</w:t>
      </w:r>
      <w:r>
        <w:rPr>
          <w:rFonts w:hint="eastAsia" w:ascii="宋体" w:hAnsi="宋体" w:eastAsia="宋体" w:cs="宋体"/>
          <w:color w:val="auto"/>
          <w:highlight w:val="none"/>
        </w:rPr>
        <w:t>不限</w:t>
      </w:r>
    </w:p>
    <w:p w14:paraId="0EAFD39B">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预算金额（元）</w:t>
      </w:r>
      <w:r>
        <w:rPr>
          <w:rFonts w:hint="eastAsia" w:ascii="宋体" w:hAnsi="宋体" w:cs="宋体"/>
          <w:color w:val="auto"/>
          <w:highlight w:val="none"/>
          <w:lang w:eastAsia="zh-CN"/>
        </w:rPr>
        <w:t>：</w:t>
      </w:r>
      <w:r>
        <w:rPr>
          <w:rFonts w:hint="eastAsia" w:ascii="宋体" w:hAnsi="宋体" w:cs="宋体"/>
          <w:color w:val="auto"/>
          <w:highlight w:val="none"/>
          <w:lang w:val="en-US" w:eastAsia="zh-CN"/>
        </w:rPr>
        <w:t>207500.00</w:t>
      </w:r>
    </w:p>
    <w:p w14:paraId="3D11225B">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简要规格描述或项目基本概况介绍、用途：2026年广西工业产品质量监督抽查和风险监测技术服务</w:t>
      </w:r>
      <w:r>
        <w:rPr>
          <w:rFonts w:hint="eastAsia" w:ascii="宋体" w:hAnsi="宋体" w:cs="宋体"/>
          <w:color w:val="auto"/>
          <w:highlight w:val="none"/>
          <w:lang w:val="en-US" w:eastAsia="zh-CN"/>
        </w:rPr>
        <w:t>1项，详见本公告附件。</w:t>
      </w:r>
    </w:p>
    <w:p w14:paraId="6517F222">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最高限价（如有）：</w:t>
      </w:r>
      <w:r>
        <w:rPr>
          <w:rFonts w:hint="eastAsia" w:ascii="宋体" w:hAnsi="宋体" w:cs="宋体"/>
          <w:color w:val="auto"/>
          <w:highlight w:val="none"/>
          <w:lang w:val="en-US" w:eastAsia="zh-CN"/>
        </w:rPr>
        <w:t>207500</w:t>
      </w:r>
      <w:r>
        <w:rPr>
          <w:rFonts w:hint="eastAsia" w:ascii="宋体" w:hAnsi="宋体" w:eastAsia="宋体" w:cs="宋体"/>
          <w:color w:val="auto"/>
          <w:highlight w:val="none"/>
        </w:rPr>
        <w:t>.00</w:t>
      </w:r>
    </w:p>
    <w:p w14:paraId="6AAE7F7C">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合同履</w:t>
      </w:r>
      <w:r>
        <w:rPr>
          <w:rFonts w:hint="eastAsia" w:ascii="宋体" w:hAnsi="宋体" w:cs="宋体"/>
          <w:color w:val="auto"/>
          <w:highlight w:val="none"/>
          <w:lang w:val="en-US" w:eastAsia="zh-CN"/>
        </w:rPr>
        <w:t>行</w:t>
      </w:r>
      <w:r>
        <w:rPr>
          <w:rFonts w:hint="eastAsia" w:ascii="宋体" w:hAnsi="宋体" w:eastAsia="宋体" w:cs="宋体"/>
          <w:color w:val="auto"/>
          <w:highlight w:val="none"/>
        </w:rPr>
        <w:t>期限：自合同签订之日起1年</w:t>
      </w:r>
    </w:p>
    <w:p w14:paraId="30C1CCBB">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本标项（否）接受联合体投标</w:t>
      </w:r>
    </w:p>
    <w:p w14:paraId="1EF4A406">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无</w:t>
      </w:r>
    </w:p>
    <w:p w14:paraId="66228228">
      <w:pPr>
        <w:spacing w:line="360" w:lineRule="auto"/>
        <w:ind w:firstLine="420" w:firstLineChars="200"/>
        <w:rPr>
          <w:rFonts w:hint="eastAsia" w:ascii="宋体" w:hAnsi="宋体" w:eastAsia="宋体" w:cs="宋体"/>
          <w:color w:val="auto"/>
          <w:highlight w:val="none"/>
          <w:lang w:val="en-US" w:eastAsia="zh-CN"/>
        </w:rPr>
      </w:pPr>
    </w:p>
    <w:p w14:paraId="15C4F908">
      <w:pPr>
        <w:spacing w:line="360" w:lineRule="auto"/>
        <w:ind w:left="420" w:leftChars="200" w:firstLine="0" w:firstLineChars="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标项</w:t>
      </w:r>
      <w:r>
        <w:rPr>
          <w:rFonts w:hint="eastAsia" w:ascii="宋体" w:hAnsi="宋体" w:cs="宋体"/>
          <w:b/>
          <w:bCs/>
          <w:color w:val="auto"/>
          <w:highlight w:val="none"/>
          <w:lang w:val="en-US" w:eastAsia="zh-CN"/>
        </w:rPr>
        <w:t>七</w:t>
      </w:r>
    </w:p>
    <w:p w14:paraId="11323A73">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标项名称</w:t>
      </w:r>
      <w:r>
        <w:rPr>
          <w:rFonts w:hint="eastAsia" w:ascii="宋体" w:hAnsi="宋体" w:cs="宋体"/>
          <w:color w:val="auto"/>
          <w:highlight w:val="none"/>
          <w:lang w:eastAsia="zh-CN"/>
        </w:rPr>
        <w:t>：2026年广西工业产品质量监督抽查和风险监测技术服务项目</w:t>
      </w:r>
      <w:r>
        <w:rPr>
          <w:rFonts w:hint="eastAsia" w:ascii="宋体" w:hAnsi="宋体" w:cs="宋体"/>
          <w:color w:val="auto"/>
          <w:highlight w:val="none"/>
          <w:lang w:val="en-US" w:eastAsia="zh-CN"/>
        </w:rPr>
        <w:t>分标7</w:t>
      </w:r>
    </w:p>
    <w:p w14:paraId="627CEB58">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数量</w:t>
      </w:r>
      <w:r>
        <w:rPr>
          <w:rFonts w:hint="eastAsia" w:ascii="宋体" w:hAnsi="宋体" w:cs="宋体"/>
          <w:color w:val="auto"/>
          <w:highlight w:val="none"/>
          <w:lang w:eastAsia="zh-CN"/>
        </w:rPr>
        <w:t>：</w:t>
      </w:r>
      <w:r>
        <w:rPr>
          <w:rFonts w:hint="eastAsia" w:ascii="宋体" w:hAnsi="宋体" w:eastAsia="宋体" w:cs="宋体"/>
          <w:color w:val="auto"/>
          <w:highlight w:val="none"/>
        </w:rPr>
        <w:t>不限</w:t>
      </w:r>
    </w:p>
    <w:p w14:paraId="72B05D23">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预算金额（元）</w:t>
      </w:r>
      <w:r>
        <w:rPr>
          <w:rFonts w:hint="eastAsia" w:ascii="宋体" w:hAnsi="宋体" w:cs="宋体"/>
          <w:color w:val="auto"/>
          <w:highlight w:val="none"/>
          <w:lang w:eastAsia="zh-CN"/>
        </w:rPr>
        <w:t>：</w:t>
      </w:r>
      <w:r>
        <w:rPr>
          <w:rFonts w:hint="eastAsia" w:ascii="宋体" w:hAnsi="宋体" w:cs="宋体"/>
          <w:color w:val="auto"/>
          <w:highlight w:val="none"/>
          <w:lang w:val="en-US" w:eastAsia="zh-CN"/>
        </w:rPr>
        <w:t>400000.00</w:t>
      </w:r>
    </w:p>
    <w:p w14:paraId="0AA6AF40">
      <w:pPr>
        <w:spacing w:line="360" w:lineRule="auto"/>
        <w:ind w:left="420" w:leftChars="20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简要规格描述或项目基本概况介绍、用途：2026年广西工业产品质量监督抽查和风险监测技术服务</w:t>
      </w:r>
      <w:r>
        <w:rPr>
          <w:rFonts w:hint="eastAsia" w:ascii="宋体" w:hAnsi="宋体" w:cs="宋体"/>
          <w:color w:val="auto"/>
          <w:highlight w:val="none"/>
          <w:lang w:val="en-US" w:eastAsia="zh-CN"/>
        </w:rPr>
        <w:t>1项，详见本公告附件。</w:t>
      </w:r>
    </w:p>
    <w:p w14:paraId="12165A79">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最高限价（如有）：</w:t>
      </w:r>
      <w:r>
        <w:rPr>
          <w:rFonts w:hint="eastAsia" w:ascii="宋体" w:hAnsi="宋体" w:cs="宋体"/>
          <w:color w:val="auto"/>
          <w:highlight w:val="none"/>
          <w:lang w:val="en-US" w:eastAsia="zh-CN"/>
        </w:rPr>
        <w:t>400000</w:t>
      </w:r>
      <w:r>
        <w:rPr>
          <w:rFonts w:hint="eastAsia" w:ascii="宋体" w:hAnsi="宋体" w:eastAsia="宋体" w:cs="宋体"/>
          <w:color w:val="auto"/>
          <w:highlight w:val="none"/>
        </w:rPr>
        <w:t>.00</w:t>
      </w:r>
    </w:p>
    <w:p w14:paraId="2DF92B0F">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合同履</w:t>
      </w:r>
      <w:r>
        <w:rPr>
          <w:rFonts w:hint="eastAsia" w:ascii="宋体" w:hAnsi="宋体" w:cs="宋体"/>
          <w:color w:val="auto"/>
          <w:highlight w:val="none"/>
          <w:lang w:val="en-US" w:eastAsia="zh-CN"/>
        </w:rPr>
        <w:t>行</w:t>
      </w:r>
      <w:r>
        <w:rPr>
          <w:rFonts w:hint="eastAsia" w:ascii="宋体" w:hAnsi="宋体" w:eastAsia="宋体" w:cs="宋体"/>
          <w:color w:val="auto"/>
          <w:highlight w:val="none"/>
        </w:rPr>
        <w:t>期限：自合同签订之日起1年</w:t>
      </w:r>
    </w:p>
    <w:p w14:paraId="4F3319B1">
      <w:pPr>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本标项（否）接受联合体投标</w:t>
      </w:r>
    </w:p>
    <w:p w14:paraId="7D0C4D29">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无</w:t>
      </w:r>
    </w:p>
    <w:p w14:paraId="4446CC93">
      <w:pPr>
        <w:spacing w:line="360" w:lineRule="auto"/>
        <w:ind w:firstLine="420" w:firstLineChars="200"/>
        <w:rPr>
          <w:rFonts w:hint="eastAsia" w:ascii="宋体" w:hAnsi="宋体" w:eastAsia="宋体" w:cs="宋体"/>
          <w:color w:val="auto"/>
          <w:highlight w:val="none"/>
          <w:lang w:val="en-US" w:eastAsia="zh-CN"/>
        </w:rPr>
      </w:pPr>
    </w:p>
    <w:p w14:paraId="4E2D1CFE">
      <w:pPr>
        <w:spacing w:line="360" w:lineRule="auto"/>
        <w:rPr>
          <w:rFonts w:hint="eastAsia" w:ascii="黑体" w:hAnsi="黑体" w:eastAsia="黑体" w:cs="Times New Roman"/>
          <w:b/>
          <w:bCs/>
          <w:color w:val="auto"/>
          <w:sz w:val="24"/>
          <w:highlight w:val="none"/>
        </w:rPr>
      </w:pPr>
      <w:r>
        <w:rPr>
          <w:rFonts w:hint="eastAsia" w:ascii="黑体" w:hAnsi="黑体" w:eastAsia="黑体" w:cs="Times New Roman"/>
          <w:b/>
          <w:bCs/>
          <w:color w:val="auto"/>
          <w:sz w:val="24"/>
          <w:highlight w:val="none"/>
        </w:rPr>
        <w:t>二、</w:t>
      </w:r>
      <w:r>
        <w:rPr>
          <w:rFonts w:hint="eastAsia" w:ascii="黑体" w:hAnsi="黑体" w:eastAsia="黑体" w:cs="Times New Roman"/>
          <w:b/>
          <w:bCs/>
          <w:color w:val="auto"/>
          <w:sz w:val="24"/>
          <w:highlight w:val="none"/>
          <w:lang w:eastAsia="zh-CN"/>
        </w:rPr>
        <w:t>申请</w:t>
      </w:r>
      <w:r>
        <w:rPr>
          <w:rFonts w:hint="eastAsia" w:ascii="黑体" w:hAnsi="黑体" w:eastAsia="黑体" w:cs="Times New Roman"/>
          <w:b/>
          <w:bCs/>
          <w:color w:val="auto"/>
          <w:sz w:val="24"/>
          <w:highlight w:val="none"/>
        </w:rPr>
        <w:t>人的资格要求：</w:t>
      </w:r>
      <w:bookmarkEnd w:id="20"/>
      <w:bookmarkEnd w:id="21"/>
      <w:bookmarkEnd w:id="22"/>
      <w:bookmarkEnd w:id="23"/>
    </w:p>
    <w:p w14:paraId="57973451">
      <w:pPr>
        <w:spacing w:line="360" w:lineRule="auto"/>
        <w:ind w:firstLine="420" w:firstLineChars="200"/>
        <w:rPr>
          <w:rFonts w:hint="eastAsia" w:ascii="宋体" w:hAnsi="宋体" w:eastAsia="宋体" w:cs="Times New Roman"/>
          <w:color w:val="auto"/>
          <w:szCs w:val="21"/>
          <w:highlight w:val="none"/>
          <w:lang w:eastAsia="zh-CN"/>
        </w:rPr>
      </w:pPr>
      <w:bookmarkStart w:id="24" w:name="_Toc28359004"/>
      <w:bookmarkStart w:id="25" w:name="_Toc28359081"/>
      <w:r>
        <w:rPr>
          <w:rFonts w:hint="eastAsia" w:ascii="宋体" w:hAnsi="宋体" w:eastAsia="宋体" w:cs="Times New Roman"/>
          <w:color w:val="auto"/>
          <w:szCs w:val="21"/>
          <w:highlight w:val="none"/>
        </w:rPr>
        <w:t>1.满足《中华人民共和国政府采购法》第二十二条规定</w:t>
      </w:r>
      <w:r>
        <w:rPr>
          <w:rFonts w:hint="eastAsia" w:ascii="宋体" w:hAnsi="宋体" w:cs="Times New Roman"/>
          <w:color w:val="auto"/>
          <w:szCs w:val="21"/>
          <w:highlight w:val="none"/>
          <w:lang w:eastAsia="zh-CN"/>
        </w:rPr>
        <w:t>；</w:t>
      </w:r>
    </w:p>
    <w:p w14:paraId="026B6DF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2.落实政府采购政策需满足的资格要求：</w:t>
      </w:r>
      <w:r>
        <w:rPr>
          <w:rFonts w:hint="eastAsia" w:ascii="宋体" w:hAnsi="宋体" w:cs="宋体"/>
          <w:i w:val="0"/>
          <w:iCs w:val="0"/>
          <w:color w:val="auto"/>
          <w:szCs w:val="21"/>
          <w:highlight w:val="none"/>
          <w:u w:val="single"/>
          <w:lang w:val="en-US" w:eastAsia="zh-CN"/>
        </w:rPr>
        <w:t>无</w:t>
      </w:r>
    </w:p>
    <w:p w14:paraId="74E64CF4">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.本项目的特定资格要求：</w:t>
      </w:r>
      <w:r>
        <w:rPr>
          <w:rFonts w:hint="eastAsia" w:ascii="宋体" w:hAnsi="宋体" w:cs="Times New Roman"/>
          <w:color w:val="auto"/>
          <w:szCs w:val="21"/>
          <w:highlight w:val="none"/>
          <w:lang w:val="en-US" w:eastAsia="zh-CN"/>
        </w:rPr>
        <w:t>分标1－分标7：</w:t>
      </w:r>
      <w:r>
        <w:rPr>
          <w:rFonts w:hint="eastAsia" w:ascii="宋体" w:hAnsi="宋体" w:eastAsia="宋体" w:cs="Times New Roman"/>
          <w:color w:val="auto"/>
          <w:szCs w:val="21"/>
          <w:highlight w:val="none"/>
        </w:rPr>
        <w:t>具有有效期内的检验检测机构资质认定证书（国家或省级）</w:t>
      </w:r>
      <w:r>
        <w:rPr>
          <w:rFonts w:hint="eastAsia" w:ascii="宋体" w:hAnsi="宋体" w:cs="Times New Roman"/>
          <w:color w:val="auto"/>
          <w:szCs w:val="21"/>
          <w:highlight w:val="none"/>
          <w:lang w:eastAsia="zh-CN"/>
        </w:rPr>
        <w:t>。</w:t>
      </w:r>
    </w:p>
    <w:p w14:paraId="5D354F5A">
      <w:pPr>
        <w:spacing w:line="360" w:lineRule="auto"/>
        <w:rPr>
          <w:rFonts w:hint="eastAsia" w:ascii="黑体" w:hAnsi="黑体" w:eastAsia="黑体" w:cs="Times New Roman"/>
          <w:b/>
          <w:bCs/>
          <w:color w:val="auto"/>
          <w:sz w:val="24"/>
          <w:highlight w:val="none"/>
        </w:rPr>
      </w:pPr>
      <w:bookmarkStart w:id="26" w:name="_Toc35393623"/>
      <w:bookmarkStart w:id="27" w:name="_Toc35393792"/>
      <w:r>
        <w:rPr>
          <w:rFonts w:hint="eastAsia" w:ascii="黑体" w:hAnsi="黑体" w:eastAsia="黑体" w:cs="Times New Roman"/>
          <w:b/>
          <w:bCs/>
          <w:color w:val="auto"/>
          <w:sz w:val="24"/>
          <w:highlight w:val="none"/>
        </w:rPr>
        <w:t>三、获取招标文件</w:t>
      </w:r>
      <w:bookmarkEnd w:id="24"/>
      <w:bookmarkEnd w:id="25"/>
      <w:bookmarkEnd w:id="26"/>
      <w:bookmarkEnd w:id="27"/>
    </w:p>
    <w:p w14:paraId="3A52598F">
      <w:pPr>
        <w:snapToGrid w:val="0"/>
        <w:spacing w:line="360" w:lineRule="auto"/>
        <w:ind w:firstLine="472" w:firstLineChars="225"/>
        <w:rPr>
          <w:rFonts w:hint="eastAsia" w:ascii="宋体" w:hAnsi="宋体" w:eastAsia="宋体" w:cs="Times New Roman"/>
          <w:color w:val="auto"/>
          <w:szCs w:val="21"/>
          <w:highlight w:val="none"/>
        </w:rPr>
      </w:pPr>
      <w:bookmarkStart w:id="28" w:name="_Toc28359005"/>
      <w:bookmarkStart w:id="29" w:name="_Toc28359082"/>
      <w:bookmarkStart w:id="30" w:name="_Toc35393624"/>
      <w:bookmarkStart w:id="31" w:name="_Toc35393793"/>
      <w:r>
        <w:rPr>
          <w:rFonts w:hint="eastAsia" w:ascii="宋体" w:hAnsi="宋体" w:eastAsia="宋体" w:cs="Times New Roman"/>
          <w:color w:val="auto"/>
          <w:szCs w:val="21"/>
          <w:highlight w:val="none"/>
        </w:rPr>
        <w:t>时间：</w:t>
      </w:r>
      <w:r>
        <w:rPr>
          <w:rFonts w:hint="eastAsia" w:ascii="宋体" w:hAnsi="宋体" w:cs="宋体"/>
          <w:bCs/>
          <w:color w:val="auto"/>
          <w:kern w:val="0"/>
          <w:szCs w:val="21"/>
          <w:highlight w:val="none"/>
          <w:u w:val="single"/>
          <w:lang w:val="en-US" w:eastAsia="zh-CN"/>
        </w:rPr>
        <w:t>2026</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5</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19</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lang w:val="en-US" w:eastAsia="zh-CN"/>
        </w:rPr>
        <w:t>2026</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5</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26</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lang w:val="en-US" w:eastAsia="zh-CN"/>
        </w:rPr>
        <w:t>00:00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lang w:val="en-US" w:eastAsia="zh-CN"/>
        </w:rPr>
        <w:t xml:space="preserve">11:59 </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lang w:val="en-US" w:eastAsia="zh-CN"/>
        </w:rPr>
        <w:t>12:00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lang w:val="en-US" w:eastAsia="zh-CN"/>
        </w:rPr>
        <w:t xml:space="preserve">23:59 </w:t>
      </w:r>
      <w:r>
        <w:rPr>
          <w:rFonts w:hint="eastAsia" w:ascii="宋体" w:hAnsi="宋体" w:eastAsia="宋体" w:cs="Times New Roman"/>
          <w:color w:val="auto"/>
          <w:szCs w:val="21"/>
          <w:highlight w:val="none"/>
        </w:rPr>
        <w:t>（北京时间，法定节假日除外）。</w:t>
      </w:r>
    </w:p>
    <w:p w14:paraId="7CC1C97F">
      <w:pPr>
        <w:snapToGrid w:val="0"/>
        <w:spacing w:line="360" w:lineRule="auto"/>
        <w:ind w:firstLine="472" w:firstLineChars="22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地点</w:t>
      </w:r>
      <w:r>
        <w:rPr>
          <w:rFonts w:hint="eastAsia" w:ascii="宋体" w:hAnsi="宋体" w:cs="Times New Roman"/>
          <w:color w:val="auto"/>
          <w:szCs w:val="21"/>
          <w:highlight w:val="none"/>
          <w:lang w:eastAsia="zh-CN"/>
        </w:rPr>
        <w:t>：</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3"/>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p>
    <w:p w14:paraId="68E790B4">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方式</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网上下载。本项目不发放纸质文件，</w:t>
      </w:r>
      <w:r>
        <w:rPr>
          <w:rFonts w:hint="eastAsia" w:ascii="宋体" w:hAnsi="宋体" w:cs="宋体"/>
          <w:color w:val="auto"/>
          <w:szCs w:val="21"/>
          <w:highlight w:val="none"/>
          <w:lang w:eastAsia="zh-CN"/>
        </w:rPr>
        <w:t>潜在投标人</w:t>
      </w:r>
      <w:r>
        <w:rPr>
          <w:rFonts w:hint="eastAsia" w:ascii="宋体" w:hAnsi="宋体" w:eastAsia="宋体" w:cs="Times New Roman"/>
          <w:color w:val="auto"/>
          <w:szCs w:val="21"/>
          <w:highlight w:val="none"/>
        </w:rPr>
        <w:t>可自行在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3"/>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r>
        <w:rPr>
          <w:rFonts w:hint="eastAsia" w:ascii="宋体" w:hAnsi="宋体" w:eastAsia="宋体" w:cs="Times New Roman"/>
          <w:color w:val="auto"/>
          <w:szCs w:val="21"/>
          <w:highlight w:val="none"/>
        </w:rPr>
        <w:t>下载招标文件（操作路径：登录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-项目采购-获取采购文件-找到本项目-点击“申请获取采购文件”），</w:t>
      </w:r>
      <w:r>
        <w:rPr>
          <w:rFonts w:hint="eastAsia" w:ascii="宋体" w:hAnsi="宋体" w:cs="Times New Roman"/>
          <w:color w:val="auto"/>
          <w:szCs w:val="21"/>
          <w:highlight w:val="none"/>
          <w:lang w:eastAsia="zh-CN"/>
        </w:rPr>
        <w:t>电子版投标文件</w:t>
      </w:r>
      <w:r>
        <w:rPr>
          <w:rFonts w:hint="eastAsia" w:ascii="宋体" w:hAnsi="宋体" w:eastAsia="宋体" w:cs="Times New Roman"/>
          <w:color w:val="auto"/>
          <w:szCs w:val="21"/>
          <w:highlight w:val="none"/>
        </w:rPr>
        <w:t>制作需要基于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获取的招标文件编制。</w:t>
      </w:r>
    </w:p>
    <w:p w14:paraId="356ED5E9">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售价：</w:t>
      </w:r>
      <w:r>
        <w:rPr>
          <w:rFonts w:hint="eastAsia" w:ascii="宋体" w:hAnsi="宋体" w:cs="宋体"/>
          <w:color w:val="auto"/>
          <w:szCs w:val="21"/>
          <w:highlight w:val="none"/>
          <w:lang w:eastAsia="zh-CN"/>
        </w:rPr>
        <w:t>人民币</w:t>
      </w:r>
      <w:r>
        <w:rPr>
          <w:rFonts w:hint="eastAsia" w:ascii="宋体" w:hAnsi="宋体" w:cs="宋体"/>
          <w:color w:val="auto"/>
          <w:szCs w:val="21"/>
          <w:highlight w:val="none"/>
        </w:rPr>
        <w:t>0元</w:t>
      </w:r>
    </w:p>
    <w:p w14:paraId="1440908C">
      <w:pPr>
        <w:spacing w:line="360" w:lineRule="auto"/>
        <w:rPr>
          <w:rFonts w:hint="eastAsia" w:ascii="黑体" w:hAnsi="黑体" w:eastAsia="黑体" w:cs="Times New Roman"/>
          <w:b/>
          <w:bCs/>
          <w:color w:val="auto"/>
          <w:sz w:val="24"/>
          <w:highlight w:val="none"/>
        </w:rPr>
      </w:pPr>
      <w:r>
        <w:rPr>
          <w:rFonts w:hint="eastAsia" w:ascii="黑体" w:hAnsi="黑体" w:eastAsia="黑体" w:cs="Times New Roman"/>
          <w:b/>
          <w:bCs/>
          <w:color w:val="auto"/>
          <w:sz w:val="24"/>
          <w:highlight w:val="none"/>
        </w:rPr>
        <w:t>四、提交投标文件</w:t>
      </w:r>
      <w:bookmarkEnd w:id="28"/>
      <w:bookmarkEnd w:id="29"/>
      <w:r>
        <w:rPr>
          <w:rFonts w:hint="eastAsia" w:ascii="黑体" w:hAnsi="黑体" w:eastAsia="黑体" w:cs="Times New Roman"/>
          <w:b/>
          <w:bCs/>
          <w:color w:val="auto"/>
          <w:sz w:val="24"/>
          <w:highlight w:val="none"/>
        </w:rPr>
        <w:t>截止时间、开标时间和地点</w:t>
      </w:r>
      <w:bookmarkEnd w:id="30"/>
      <w:bookmarkEnd w:id="31"/>
    </w:p>
    <w:p w14:paraId="73490CC7">
      <w:pPr>
        <w:spacing w:line="360" w:lineRule="auto"/>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1</w:t>
      </w:r>
      <w:r>
        <w:rPr>
          <w:rFonts w:hint="eastAsia" w:ascii="宋体" w:hAnsi="宋体" w:eastAsia="宋体" w:cs="宋体"/>
          <w:color w:val="auto"/>
          <w:kern w:val="0"/>
          <w:szCs w:val="21"/>
          <w:highlight w:val="none"/>
        </w:rPr>
        <w:t>.</w:t>
      </w:r>
      <w:r>
        <w:rPr>
          <w:rFonts w:hint="eastAsia" w:ascii="宋体" w:hAnsi="宋体" w:cs="宋体"/>
          <w:bCs/>
          <w:color w:val="auto"/>
          <w:szCs w:val="21"/>
          <w:highlight w:val="none"/>
        </w:rPr>
        <w:t>提交投标文件截止时间和开标时间：</w:t>
      </w:r>
      <w:bookmarkStart w:id="32" w:name="PO_3000001867_PM015_1"/>
      <w:r>
        <w:rPr>
          <w:rFonts w:hint="eastAsia" w:ascii="宋体" w:hAnsi="宋体" w:cs="宋体"/>
          <w:bCs/>
          <w:color w:val="auto"/>
          <w:szCs w:val="21"/>
          <w:highlight w:val="none"/>
          <w:u w:val="single"/>
          <w:lang w:val="en-US" w:eastAsia="zh-CN"/>
        </w:rPr>
        <w:t>2026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9</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9点30分</w:t>
      </w:r>
      <w:r>
        <w:rPr>
          <w:rFonts w:hint="eastAsia" w:ascii="宋体" w:hAnsi="宋体" w:cs="宋体"/>
          <w:bCs/>
          <w:color w:val="auto"/>
          <w:szCs w:val="21"/>
          <w:highlight w:val="none"/>
        </w:rPr>
        <w:t>（北京时间）</w:t>
      </w:r>
      <w:bookmarkEnd w:id="32"/>
    </w:p>
    <w:p w14:paraId="7A4277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eastAsia="宋体" w:cs="宋体"/>
          <w:color w:val="auto"/>
          <w:kern w:val="0"/>
          <w:szCs w:val="21"/>
          <w:highlight w:val="none"/>
        </w:rPr>
        <w:t>.</w:t>
      </w:r>
      <w:r>
        <w:rPr>
          <w:rFonts w:hint="eastAsia" w:ascii="宋体" w:hAnsi="宋体" w:cs="宋体"/>
          <w:color w:val="auto"/>
          <w:szCs w:val="21"/>
          <w:highlight w:val="none"/>
          <w:lang w:eastAsia="zh-CN"/>
        </w:rPr>
        <w:t>提交投标文件</w:t>
      </w:r>
      <w:r>
        <w:rPr>
          <w:rFonts w:hint="eastAsia" w:ascii="宋体" w:hAnsi="宋体" w:cs="宋体"/>
          <w:color w:val="auto"/>
          <w:szCs w:val="21"/>
          <w:highlight w:val="none"/>
        </w:rPr>
        <w:t>和开标地点：广西政府采购云平台（https://www.gcy.zfcg.gxzf.gov.cn/）</w:t>
      </w:r>
    </w:p>
    <w:p w14:paraId="71133784">
      <w:pPr>
        <w:spacing w:line="360" w:lineRule="auto"/>
        <w:rPr>
          <w:rFonts w:hint="eastAsia" w:ascii="黑体" w:hAnsi="黑体" w:eastAsia="黑体" w:cs="Times New Roman"/>
          <w:b/>
          <w:bCs/>
          <w:color w:val="auto"/>
          <w:sz w:val="24"/>
          <w:highlight w:val="none"/>
        </w:rPr>
      </w:pPr>
      <w:bookmarkStart w:id="33" w:name="_Toc35393794"/>
      <w:bookmarkStart w:id="34" w:name="_Toc28359007"/>
      <w:bookmarkStart w:id="35" w:name="_Toc35393625"/>
      <w:bookmarkStart w:id="36" w:name="_Toc28359084"/>
      <w:r>
        <w:rPr>
          <w:rFonts w:hint="eastAsia" w:ascii="黑体" w:hAnsi="黑体" w:eastAsia="黑体" w:cs="Times New Roman"/>
          <w:b/>
          <w:bCs/>
          <w:color w:val="auto"/>
          <w:sz w:val="24"/>
          <w:highlight w:val="none"/>
        </w:rPr>
        <w:t>五、公告期限</w:t>
      </w:r>
      <w:bookmarkEnd w:id="33"/>
      <w:bookmarkEnd w:id="34"/>
      <w:bookmarkEnd w:id="35"/>
      <w:bookmarkEnd w:id="36"/>
    </w:p>
    <w:p w14:paraId="5573C67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095D0596">
      <w:pPr>
        <w:spacing w:line="360" w:lineRule="auto"/>
        <w:rPr>
          <w:rFonts w:hint="eastAsia" w:ascii="黑体" w:hAnsi="黑体" w:eastAsia="黑体" w:cs="Times New Roman"/>
          <w:b/>
          <w:bCs/>
          <w:color w:val="auto"/>
          <w:sz w:val="24"/>
          <w:highlight w:val="none"/>
        </w:rPr>
      </w:pPr>
      <w:bookmarkStart w:id="37" w:name="_Toc35393795"/>
      <w:bookmarkStart w:id="38" w:name="_Toc35393626"/>
      <w:r>
        <w:rPr>
          <w:rFonts w:hint="eastAsia" w:ascii="黑体" w:hAnsi="黑体" w:eastAsia="黑体" w:cs="Times New Roman"/>
          <w:b/>
          <w:bCs/>
          <w:color w:val="auto"/>
          <w:sz w:val="24"/>
          <w:highlight w:val="none"/>
        </w:rPr>
        <w:t>六、其他补充事宜</w:t>
      </w:r>
      <w:bookmarkEnd w:id="37"/>
      <w:bookmarkEnd w:id="38"/>
    </w:p>
    <w:p w14:paraId="162914F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1.投标保证金：</w:t>
      </w:r>
    </w:p>
    <w:p w14:paraId="099D26EE">
      <w:pPr>
        <w:spacing w:line="360" w:lineRule="auto"/>
        <w:ind w:firstLine="843" w:firstLineChars="40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本项目需要缴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lang w:eastAsia="zh-CN"/>
        </w:rPr>
        <w:t>投标保证金，</w:t>
      </w:r>
      <w:r>
        <w:rPr>
          <w:rFonts w:hint="eastAsia" w:ascii="宋体" w:hAnsi="宋体" w:cs="宋体"/>
          <w:b/>
          <w:bCs/>
          <w:color w:val="auto"/>
          <w:szCs w:val="21"/>
          <w:highlight w:val="none"/>
        </w:rPr>
        <w:t>相关要求：</w:t>
      </w:r>
    </w:p>
    <w:p w14:paraId="4B307BDA">
      <w:pPr>
        <w:spacing w:line="360" w:lineRule="auto"/>
        <w:ind w:firstLine="840" w:firstLineChars="400"/>
        <w:rPr>
          <w:rFonts w:hint="eastAsia" w:ascii="宋体" w:hAnsi="宋体" w:eastAsia="宋体" w:cs="宋体"/>
          <w:b/>
          <w:bCs/>
          <w:i/>
          <w:iCs/>
          <w:color w:val="auto"/>
          <w:kern w:val="0"/>
          <w:szCs w:val="21"/>
          <w:highlight w:val="none"/>
          <w:lang w:eastAsia="zh-CN"/>
        </w:rPr>
      </w:pPr>
      <w:r>
        <w:rPr>
          <w:rFonts w:hint="eastAsia" w:ascii="宋体" w:hAnsi="宋体" w:cs="宋体"/>
          <w:color w:val="auto"/>
          <w:kern w:val="0"/>
          <w:szCs w:val="21"/>
          <w:highlight w:val="none"/>
          <w:lang w:eastAsia="zh-CN"/>
        </w:rPr>
        <w:t>投标保证金金额：</w:t>
      </w:r>
      <w:r>
        <w:rPr>
          <w:rFonts w:hint="eastAsia" w:ascii="宋体" w:hAnsi="宋体" w:cs="宋体"/>
          <w:color w:val="auto"/>
          <w:szCs w:val="21"/>
          <w:highlight w:val="none"/>
          <w:lang w:eastAsia="zh-CN"/>
        </w:rPr>
        <w:t>分标1:</w:t>
      </w:r>
      <w:r>
        <w:rPr>
          <w:rFonts w:hint="eastAsia" w:ascii="宋体" w:hAnsi="宋体" w:cs="宋体"/>
          <w:color w:val="auto"/>
          <w:szCs w:val="21"/>
          <w:highlight w:val="none"/>
          <w:lang w:val="en-US" w:eastAsia="zh-CN"/>
        </w:rPr>
        <w:t>10000</w:t>
      </w:r>
      <w:r>
        <w:rPr>
          <w:rFonts w:hint="eastAsia" w:ascii="宋体" w:hAnsi="宋体" w:cs="宋体"/>
          <w:color w:val="auto"/>
          <w:szCs w:val="21"/>
          <w:highlight w:val="none"/>
          <w:lang w:eastAsia="zh-CN"/>
        </w:rPr>
        <w:t>元；分标2:6000元；分标3:</w:t>
      </w:r>
      <w:r>
        <w:rPr>
          <w:rFonts w:hint="eastAsia" w:ascii="宋体" w:hAnsi="宋体" w:cs="宋体"/>
          <w:color w:val="auto"/>
          <w:szCs w:val="21"/>
          <w:highlight w:val="none"/>
          <w:lang w:val="en-US" w:eastAsia="zh-CN"/>
        </w:rPr>
        <w:t>6000</w:t>
      </w:r>
      <w:r>
        <w:rPr>
          <w:rFonts w:hint="eastAsia" w:ascii="宋体" w:hAnsi="宋体" w:cs="宋体"/>
          <w:color w:val="auto"/>
          <w:szCs w:val="21"/>
          <w:highlight w:val="none"/>
          <w:lang w:eastAsia="zh-CN"/>
        </w:rPr>
        <w:t>元；分标4:</w:t>
      </w:r>
      <w:r>
        <w:rPr>
          <w:rFonts w:hint="eastAsia" w:ascii="宋体" w:hAnsi="宋体" w:cs="宋体"/>
          <w:color w:val="auto"/>
          <w:szCs w:val="21"/>
          <w:highlight w:val="none"/>
          <w:lang w:val="en-US" w:eastAsia="zh-CN"/>
        </w:rPr>
        <w:t>5800</w:t>
      </w:r>
      <w:r>
        <w:rPr>
          <w:rFonts w:hint="eastAsia" w:ascii="宋体" w:hAnsi="宋体" w:cs="宋体"/>
          <w:color w:val="auto"/>
          <w:szCs w:val="21"/>
          <w:highlight w:val="none"/>
          <w:lang w:eastAsia="zh-CN"/>
        </w:rPr>
        <w:t>元；分标5:</w:t>
      </w:r>
      <w:r>
        <w:rPr>
          <w:rFonts w:hint="eastAsia" w:ascii="宋体" w:hAnsi="宋体" w:cs="宋体"/>
          <w:color w:val="auto"/>
          <w:szCs w:val="21"/>
          <w:highlight w:val="none"/>
          <w:lang w:val="en-US" w:eastAsia="zh-CN"/>
        </w:rPr>
        <w:t>3000</w:t>
      </w:r>
      <w:r>
        <w:rPr>
          <w:rFonts w:hint="eastAsia" w:ascii="宋体" w:hAnsi="宋体" w:cs="宋体"/>
          <w:color w:val="auto"/>
          <w:szCs w:val="21"/>
          <w:highlight w:val="none"/>
          <w:lang w:eastAsia="zh-CN"/>
        </w:rPr>
        <w:t>元；分标6:</w:t>
      </w:r>
      <w:r>
        <w:rPr>
          <w:rFonts w:hint="eastAsia" w:ascii="宋体" w:hAnsi="宋体" w:cs="宋体"/>
          <w:color w:val="auto"/>
          <w:szCs w:val="21"/>
          <w:highlight w:val="none"/>
          <w:lang w:val="en-US" w:eastAsia="zh-CN"/>
        </w:rPr>
        <w:t>2000</w:t>
      </w:r>
      <w:r>
        <w:rPr>
          <w:rFonts w:hint="eastAsia" w:ascii="宋体" w:hAnsi="宋体" w:cs="宋体"/>
          <w:color w:val="auto"/>
          <w:szCs w:val="21"/>
          <w:highlight w:val="none"/>
          <w:lang w:eastAsia="zh-CN"/>
        </w:rPr>
        <w:t>元；分标7:</w:t>
      </w:r>
      <w:r>
        <w:rPr>
          <w:rFonts w:hint="eastAsia" w:ascii="宋体" w:hAnsi="宋体" w:cs="宋体"/>
          <w:color w:val="auto"/>
          <w:szCs w:val="21"/>
          <w:highlight w:val="none"/>
          <w:lang w:val="en-US" w:eastAsia="zh-CN"/>
        </w:rPr>
        <w:t>4000</w:t>
      </w:r>
      <w:r>
        <w:rPr>
          <w:rFonts w:hint="eastAsia" w:ascii="宋体" w:hAnsi="宋体" w:cs="宋体"/>
          <w:color w:val="auto"/>
          <w:szCs w:val="21"/>
          <w:highlight w:val="none"/>
          <w:lang w:eastAsia="zh-CN"/>
        </w:rPr>
        <w:t>元</w:t>
      </w:r>
    </w:p>
    <w:p w14:paraId="48A58577">
      <w:pPr>
        <w:pStyle w:val="33"/>
        <w:spacing w:line="360" w:lineRule="auto"/>
        <w:ind w:left="495"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投标保证金的</w:t>
      </w:r>
      <w:r>
        <w:rPr>
          <w:rFonts w:hint="eastAsia" w:ascii="宋体" w:hAnsi="宋体" w:eastAsia="宋体" w:cs="宋体"/>
          <w:color w:val="auto"/>
          <w:kern w:val="0"/>
          <w:szCs w:val="21"/>
          <w:highlight w:val="none"/>
          <w:lang w:eastAsia="zh-CN"/>
        </w:rPr>
        <w:t>缴纳</w:t>
      </w:r>
      <w:r>
        <w:rPr>
          <w:rFonts w:hint="eastAsia" w:ascii="宋体" w:hAnsi="宋体" w:eastAsia="宋体" w:cs="宋体"/>
          <w:color w:val="auto"/>
          <w:kern w:val="0"/>
          <w:szCs w:val="21"/>
          <w:highlight w:val="none"/>
        </w:rPr>
        <w:t>方式：</w:t>
      </w:r>
      <w:r>
        <w:rPr>
          <w:rFonts w:hint="eastAsia" w:ascii="宋体" w:hAnsi="宋体" w:eastAsia="宋体" w:cs="宋体"/>
          <w:color w:val="auto"/>
          <w:kern w:val="0"/>
          <w:szCs w:val="21"/>
          <w:highlight w:val="none"/>
          <w:lang w:eastAsia="zh-CN"/>
        </w:rPr>
        <w:t>以</w:t>
      </w:r>
      <w:r>
        <w:rPr>
          <w:rFonts w:hint="eastAsia" w:ascii="宋体" w:hAnsi="宋体" w:eastAsia="宋体" w:cs="宋体"/>
          <w:color w:val="auto"/>
          <w:kern w:val="0"/>
          <w:szCs w:val="21"/>
          <w:highlight w:val="none"/>
        </w:rPr>
        <w:t>银行转账、支票、汇票、本票或者金融</w:t>
      </w:r>
      <w:r>
        <w:rPr>
          <w:rFonts w:hint="eastAsia" w:ascii="宋体" w:hAnsi="宋体" w:eastAsia="宋体" w:cs="宋体"/>
          <w:color w:val="auto"/>
          <w:kern w:val="0"/>
          <w:szCs w:val="21"/>
          <w:highlight w:val="none"/>
          <w:lang w:eastAsia="zh-CN"/>
        </w:rPr>
        <w:t>机构</w:t>
      </w:r>
      <w:r>
        <w:rPr>
          <w:rFonts w:hint="eastAsia" w:ascii="宋体" w:hAnsi="宋体" w:eastAsia="宋体" w:cs="宋体"/>
          <w:color w:val="auto"/>
          <w:kern w:val="0"/>
          <w:szCs w:val="21"/>
          <w:highlight w:val="none"/>
        </w:rPr>
        <w:t>、担保机构出具的保函</w:t>
      </w:r>
      <w:r>
        <w:rPr>
          <w:rFonts w:hint="eastAsia" w:ascii="宋体" w:hAnsi="宋体" w:eastAsia="宋体" w:cs="宋体"/>
          <w:color w:val="auto"/>
          <w:kern w:val="0"/>
          <w:szCs w:val="21"/>
          <w:highlight w:val="none"/>
          <w:lang w:eastAsia="zh-CN"/>
        </w:rPr>
        <w:t>等非现金形式提交</w:t>
      </w:r>
      <w:r>
        <w:rPr>
          <w:rFonts w:hint="eastAsia" w:ascii="宋体" w:hAnsi="宋体" w:eastAsia="宋体" w:cs="宋体"/>
          <w:color w:val="auto"/>
          <w:kern w:val="0"/>
          <w:szCs w:val="21"/>
          <w:highlight w:val="none"/>
        </w:rPr>
        <w:t>。采用银行转账方式的，在投标截止时间前交至采购代理机构指定账户并且到账</w:t>
      </w:r>
      <w:r>
        <w:rPr>
          <w:rFonts w:hint="eastAsia" w:ascii="宋体" w:hAnsi="宋体" w:eastAsia="宋体" w:cs="宋体"/>
          <w:color w:val="auto"/>
          <w:kern w:val="0"/>
          <w:szCs w:val="21"/>
          <w:highlight w:val="none"/>
          <w:lang w:eastAsia="zh-CN"/>
        </w:rPr>
        <w:t>。缴</w:t>
      </w:r>
      <w:r>
        <w:rPr>
          <w:rFonts w:hint="eastAsia" w:ascii="宋体" w:hAnsi="宋体" w:eastAsia="宋体" w:cs="宋体"/>
          <w:color w:val="auto"/>
          <w:kern w:val="0"/>
          <w:szCs w:val="21"/>
          <w:highlight w:val="none"/>
        </w:rPr>
        <w:t>纳投标保证金指定账户</w:t>
      </w:r>
      <w:r>
        <w:rPr>
          <w:rFonts w:hint="eastAsia" w:ascii="宋体" w:hAnsi="宋体" w:eastAsia="宋体" w:cs="宋体"/>
          <w:color w:val="auto"/>
          <w:kern w:val="0"/>
          <w:szCs w:val="21"/>
          <w:highlight w:val="none"/>
          <w:lang w:eastAsia="zh-CN"/>
        </w:rPr>
        <w:t>的信息：</w:t>
      </w:r>
    </w:p>
    <w:p w14:paraId="3991999C">
      <w:pPr>
        <w:pStyle w:val="33"/>
        <w:spacing w:line="360" w:lineRule="auto"/>
        <w:ind w:left="495" w:firstLine="420" w:firstLineChars="200"/>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开户银行：招商银行南宁市金浦路支行</w:t>
      </w:r>
    </w:p>
    <w:p w14:paraId="3C6A00AE">
      <w:pPr>
        <w:pStyle w:val="33"/>
        <w:spacing w:line="360" w:lineRule="auto"/>
        <w:ind w:left="495" w:firstLine="420" w:firstLineChars="200"/>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开户名称：广西科联招标中心有限公司</w:t>
      </w:r>
    </w:p>
    <w:p w14:paraId="04ADA2A8">
      <w:pPr>
        <w:pStyle w:val="33"/>
        <w:spacing w:line="360" w:lineRule="auto"/>
        <w:ind w:left="1961" w:leftChars="434" w:hanging="1050" w:hangingChars="500"/>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银行账号：7719011969103330000000188</w:t>
      </w:r>
      <w:r>
        <w:rPr>
          <w:rFonts w:hint="eastAsia" w:ascii="宋体" w:hAnsi="宋体" w:cs="宋体"/>
          <w:color w:val="auto"/>
          <w:kern w:val="0"/>
          <w:szCs w:val="21"/>
          <w:highlight w:val="none"/>
          <w:u w:val="none"/>
          <w:lang w:eastAsia="zh-CN"/>
        </w:rPr>
        <w:t>（</w:t>
      </w:r>
      <w:r>
        <w:rPr>
          <w:rFonts w:hint="eastAsia" w:ascii="宋体" w:hAnsi="宋体" w:cs="宋体"/>
          <w:color w:val="auto"/>
          <w:kern w:val="0"/>
          <w:szCs w:val="21"/>
          <w:highlight w:val="none"/>
          <w:u w:val="none"/>
          <w:lang w:val="en-US" w:eastAsia="zh-CN"/>
        </w:rPr>
        <w:t>分标1</w:t>
      </w:r>
      <w:r>
        <w:rPr>
          <w:rFonts w:hint="eastAsia" w:ascii="宋体" w:hAnsi="宋体" w:cs="宋体"/>
          <w:color w:val="auto"/>
          <w:kern w:val="0"/>
          <w:szCs w:val="21"/>
          <w:highlight w:val="none"/>
          <w:u w:val="none"/>
          <w:lang w:eastAsia="zh-CN"/>
        </w:rPr>
        <w:t>）、771901196910333000000018</w:t>
      </w:r>
      <w:r>
        <w:rPr>
          <w:rFonts w:hint="eastAsia" w:ascii="宋体" w:hAnsi="宋体" w:cs="宋体"/>
          <w:color w:val="auto"/>
          <w:kern w:val="0"/>
          <w:szCs w:val="21"/>
          <w:highlight w:val="none"/>
          <w:u w:val="none"/>
          <w:lang w:val="en-US" w:eastAsia="zh-CN"/>
        </w:rPr>
        <w:t>9</w:t>
      </w:r>
      <w:r>
        <w:rPr>
          <w:rFonts w:hint="eastAsia" w:ascii="宋体" w:hAnsi="宋体" w:cs="宋体"/>
          <w:color w:val="auto"/>
          <w:kern w:val="0"/>
          <w:szCs w:val="21"/>
          <w:highlight w:val="none"/>
          <w:u w:val="none"/>
          <w:lang w:eastAsia="zh-CN"/>
        </w:rPr>
        <w:t>（分标</w:t>
      </w:r>
      <w:r>
        <w:rPr>
          <w:rFonts w:hint="eastAsia" w:ascii="宋体" w:hAnsi="宋体" w:cs="宋体"/>
          <w:color w:val="auto"/>
          <w:kern w:val="0"/>
          <w:szCs w:val="21"/>
          <w:highlight w:val="none"/>
          <w:u w:val="none"/>
          <w:lang w:val="en-US" w:eastAsia="zh-CN"/>
        </w:rPr>
        <w:t>2</w:t>
      </w:r>
      <w:r>
        <w:rPr>
          <w:rFonts w:hint="eastAsia" w:ascii="宋体" w:hAnsi="宋体" w:cs="宋体"/>
          <w:color w:val="auto"/>
          <w:kern w:val="0"/>
          <w:szCs w:val="21"/>
          <w:highlight w:val="none"/>
          <w:u w:val="none"/>
          <w:lang w:eastAsia="zh-CN"/>
        </w:rPr>
        <w:t>）、77190119691033300000001</w:t>
      </w:r>
      <w:r>
        <w:rPr>
          <w:rFonts w:hint="eastAsia" w:ascii="宋体" w:hAnsi="宋体" w:cs="宋体"/>
          <w:color w:val="auto"/>
          <w:kern w:val="0"/>
          <w:szCs w:val="21"/>
          <w:highlight w:val="none"/>
          <w:u w:val="none"/>
          <w:lang w:val="en-US" w:eastAsia="zh-CN"/>
        </w:rPr>
        <w:t>90</w:t>
      </w:r>
      <w:r>
        <w:rPr>
          <w:rFonts w:hint="eastAsia" w:ascii="宋体" w:hAnsi="宋体" w:cs="宋体"/>
          <w:color w:val="auto"/>
          <w:kern w:val="0"/>
          <w:szCs w:val="21"/>
          <w:highlight w:val="none"/>
          <w:u w:val="none"/>
          <w:lang w:eastAsia="zh-CN"/>
        </w:rPr>
        <w:t>（分标</w:t>
      </w:r>
      <w:r>
        <w:rPr>
          <w:rFonts w:hint="eastAsia" w:ascii="宋体" w:hAnsi="宋体" w:cs="宋体"/>
          <w:color w:val="auto"/>
          <w:kern w:val="0"/>
          <w:szCs w:val="21"/>
          <w:highlight w:val="none"/>
          <w:u w:val="none"/>
          <w:lang w:val="en-US" w:eastAsia="zh-CN"/>
        </w:rPr>
        <w:t>3</w:t>
      </w:r>
      <w:r>
        <w:rPr>
          <w:rFonts w:hint="eastAsia" w:ascii="宋体" w:hAnsi="宋体" w:cs="宋体"/>
          <w:color w:val="auto"/>
          <w:kern w:val="0"/>
          <w:szCs w:val="21"/>
          <w:highlight w:val="none"/>
          <w:u w:val="none"/>
          <w:lang w:eastAsia="zh-CN"/>
        </w:rPr>
        <w:t>）、77190119691033300000001</w:t>
      </w:r>
      <w:r>
        <w:rPr>
          <w:rFonts w:hint="eastAsia" w:ascii="宋体" w:hAnsi="宋体" w:cs="宋体"/>
          <w:color w:val="auto"/>
          <w:kern w:val="0"/>
          <w:szCs w:val="21"/>
          <w:highlight w:val="none"/>
          <w:u w:val="none"/>
          <w:lang w:val="en-US" w:eastAsia="zh-CN"/>
        </w:rPr>
        <w:t>91</w:t>
      </w:r>
      <w:r>
        <w:rPr>
          <w:rFonts w:hint="eastAsia" w:ascii="宋体" w:hAnsi="宋体" w:cs="宋体"/>
          <w:color w:val="auto"/>
          <w:kern w:val="0"/>
          <w:szCs w:val="21"/>
          <w:highlight w:val="none"/>
          <w:u w:val="none"/>
          <w:lang w:eastAsia="zh-CN"/>
        </w:rPr>
        <w:t>（分标</w:t>
      </w:r>
      <w:r>
        <w:rPr>
          <w:rFonts w:hint="eastAsia" w:ascii="宋体" w:hAnsi="宋体" w:cs="宋体"/>
          <w:color w:val="auto"/>
          <w:kern w:val="0"/>
          <w:szCs w:val="21"/>
          <w:highlight w:val="none"/>
          <w:u w:val="none"/>
          <w:lang w:val="en-US" w:eastAsia="zh-CN"/>
        </w:rPr>
        <w:t>4</w:t>
      </w:r>
      <w:r>
        <w:rPr>
          <w:rFonts w:hint="eastAsia" w:ascii="宋体" w:hAnsi="宋体" w:cs="宋体"/>
          <w:color w:val="auto"/>
          <w:kern w:val="0"/>
          <w:szCs w:val="21"/>
          <w:highlight w:val="none"/>
          <w:u w:val="none"/>
          <w:lang w:eastAsia="zh-CN"/>
        </w:rPr>
        <w:t>）、77190119691033300000001</w:t>
      </w:r>
      <w:r>
        <w:rPr>
          <w:rFonts w:hint="eastAsia" w:ascii="宋体" w:hAnsi="宋体" w:cs="宋体"/>
          <w:color w:val="auto"/>
          <w:kern w:val="0"/>
          <w:szCs w:val="21"/>
          <w:highlight w:val="none"/>
          <w:u w:val="none"/>
          <w:lang w:val="en-US" w:eastAsia="zh-CN"/>
        </w:rPr>
        <w:t>92</w:t>
      </w:r>
      <w:r>
        <w:rPr>
          <w:rFonts w:hint="eastAsia" w:ascii="宋体" w:hAnsi="宋体" w:cs="宋体"/>
          <w:color w:val="auto"/>
          <w:kern w:val="0"/>
          <w:szCs w:val="21"/>
          <w:highlight w:val="none"/>
          <w:u w:val="none"/>
          <w:lang w:eastAsia="zh-CN"/>
        </w:rPr>
        <w:t>（分标</w:t>
      </w:r>
      <w:r>
        <w:rPr>
          <w:rFonts w:hint="eastAsia" w:ascii="宋体" w:hAnsi="宋体" w:cs="宋体"/>
          <w:color w:val="auto"/>
          <w:kern w:val="0"/>
          <w:szCs w:val="21"/>
          <w:highlight w:val="none"/>
          <w:u w:val="none"/>
          <w:lang w:val="en-US" w:eastAsia="zh-CN"/>
        </w:rPr>
        <w:t>5</w:t>
      </w:r>
      <w:r>
        <w:rPr>
          <w:rFonts w:hint="eastAsia" w:ascii="宋体" w:hAnsi="宋体" w:cs="宋体"/>
          <w:color w:val="auto"/>
          <w:kern w:val="0"/>
          <w:szCs w:val="21"/>
          <w:highlight w:val="none"/>
          <w:u w:val="none"/>
          <w:lang w:eastAsia="zh-CN"/>
        </w:rPr>
        <w:t>）、77190119691033300000001</w:t>
      </w:r>
      <w:r>
        <w:rPr>
          <w:rFonts w:hint="eastAsia" w:ascii="宋体" w:hAnsi="宋体" w:cs="宋体"/>
          <w:color w:val="auto"/>
          <w:kern w:val="0"/>
          <w:szCs w:val="21"/>
          <w:highlight w:val="none"/>
          <w:u w:val="none"/>
          <w:lang w:val="en-US" w:eastAsia="zh-CN"/>
        </w:rPr>
        <w:t>93</w:t>
      </w:r>
      <w:r>
        <w:rPr>
          <w:rFonts w:hint="eastAsia" w:ascii="宋体" w:hAnsi="宋体" w:cs="宋体"/>
          <w:color w:val="auto"/>
          <w:kern w:val="0"/>
          <w:szCs w:val="21"/>
          <w:highlight w:val="none"/>
          <w:u w:val="none"/>
          <w:lang w:eastAsia="zh-CN"/>
        </w:rPr>
        <w:t>（分标</w:t>
      </w:r>
      <w:r>
        <w:rPr>
          <w:rFonts w:hint="eastAsia" w:ascii="宋体" w:hAnsi="宋体" w:cs="宋体"/>
          <w:color w:val="auto"/>
          <w:kern w:val="0"/>
          <w:szCs w:val="21"/>
          <w:highlight w:val="none"/>
          <w:u w:val="none"/>
          <w:lang w:val="en-US" w:eastAsia="zh-CN"/>
        </w:rPr>
        <w:t>6</w:t>
      </w:r>
      <w:r>
        <w:rPr>
          <w:rFonts w:hint="eastAsia" w:ascii="宋体" w:hAnsi="宋体" w:cs="宋体"/>
          <w:color w:val="auto"/>
          <w:kern w:val="0"/>
          <w:szCs w:val="21"/>
          <w:highlight w:val="none"/>
          <w:u w:val="none"/>
          <w:lang w:eastAsia="zh-CN"/>
        </w:rPr>
        <w:t>）、77190119691033300000001</w:t>
      </w:r>
      <w:r>
        <w:rPr>
          <w:rFonts w:hint="eastAsia" w:ascii="宋体" w:hAnsi="宋体" w:cs="宋体"/>
          <w:color w:val="auto"/>
          <w:kern w:val="0"/>
          <w:szCs w:val="21"/>
          <w:highlight w:val="none"/>
          <w:u w:val="none"/>
          <w:lang w:val="en-US" w:eastAsia="zh-CN"/>
        </w:rPr>
        <w:t>94</w:t>
      </w:r>
      <w:r>
        <w:rPr>
          <w:rFonts w:hint="eastAsia" w:ascii="宋体" w:hAnsi="宋体" w:cs="宋体"/>
          <w:color w:val="auto"/>
          <w:kern w:val="0"/>
          <w:szCs w:val="21"/>
          <w:highlight w:val="none"/>
          <w:u w:val="none"/>
          <w:lang w:eastAsia="zh-CN"/>
        </w:rPr>
        <w:t>（分标</w:t>
      </w:r>
      <w:r>
        <w:rPr>
          <w:rFonts w:hint="eastAsia" w:ascii="宋体" w:hAnsi="宋体" w:cs="宋体"/>
          <w:color w:val="auto"/>
          <w:kern w:val="0"/>
          <w:szCs w:val="21"/>
          <w:highlight w:val="none"/>
          <w:u w:val="none"/>
          <w:lang w:val="en-US" w:eastAsia="zh-CN"/>
        </w:rPr>
        <w:t>7</w:t>
      </w:r>
      <w:r>
        <w:rPr>
          <w:rFonts w:hint="eastAsia" w:ascii="宋体" w:hAnsi="宋体" w:cs="宋体"/>
          <w:color w:val="auto"/>
          <w:kern w:val="0"/>
          <w:szCs w:val="21"/>
          <w:highlight w:val="none"/>
          <w:u w:val="none"/>
          <w:lang w:eastAsia="zh-CN"/>
        </w:rPr>
        <w:t>）</w:t>
      </w:r>
      <w:r>
        <w:rPr>
          <w:rFonts w:hint="eastAsia" w:ascii="宋体" w:hAnsi="宋体" w:eastAsia="宋体" w:cs="宋体"/>
          <w:color w:val="auto"/>
          <w:kern w:val="0"/>
          <w:szCs w:val="21"/>
          <w:highlight w:val="none"/>
          <w:u w:val="none"/>
        </w:rPr>
        <w:t xml:space="preserve">           </w:t>
      </w:r>
    </w:p>
    <w:p w14:paraId="67F8F2BB">
      <w:pPr>
        <w:pStyle w:val="33"/>
        <w:spacing w:line="360" w:lineRule="auto"/>
        <w:ind w:left="0" w:firstLine="840" w:firstLineChars="400"/>
        <w:rPr>
          <w:rFonts w:hint="eastAsia" w:ascii="宋体" w:hAnsi="宋体" w:cs="宋体"/>
          <w:color w:val="auto"/>
          <w:highlight w:val="none"/>
        </w:rPr>
      </w:pPr>
      <w:r>
        <w:rPr>
          <w:rFonts w:hint="eastAsia" w:ascii="宋体" w:hAnsi="宋体" w:eastAsia="宋体" w:cs="宋体"/>
          <w:color w:val="auto"/>
          <w:kern w:val="0"/>
          <w:szCs w:val="21"/>
          <w:highlight w:val="none"/>
        </w:rPr>
        <w:t>采用支票、汇票、本票或者保函等方式的，</w:t>
      </w:r>
      <w:r>
        <w:rPr>
          <w:rFonts w:hint="eastAsia" w:ascii="宋体" w:hAnsi="宋体" w:eastAsia="宋体" w:cs="宋体"/>
          <w:color w:val="auto"/>
          <w:szCs w:val="21"/>
          <w:highlight w:val="none"/>
        </w:rPr>
        <w:t>投标人必须</w:t>
      </w:r>
      <w:r>
        <w:rPr>
          <w:rFonts w:hint="eastAsia" w:ascii="宋体" w:hAnsi="宋体" w:eastAsia="宋体" w:cs="宋体"/>
          <w:color w:val="auto"/>
          <w:kern w:val="0"/>
          <w:szCs w:val="21"/>
          <w:highlight w:val="none"/>
        </w:rPr>
        <w:t>在投标截止时间前</w:t>
      </w:r>
      <w:r>
        <w:rPr>
          <w:rFonts w:hint="eastAsia" w:ascii="宋体" w:hAnsi="宋体" w:eastAsia="宋体" w:cs="宋体"/>
          <w:color w:val="auto"/>
          <w:szCs w:val="21"/>
          <w:highlight w:val="none"/>
        </w:rPr>
        <w:t>将支票、汇票、本票或者金融、担保机构出具的保函</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lang w:val="en-US" w:eastAsia="zh-CN"/>
        </w:rPr>
        <w:t>电子保函除外</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原件提交给采购代理机构</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否则视为无效投标保证金</w:t>
      </w:r>
      <w:r>
        <w:rPr>
          <w:rFonts w:hint="eastAsia" w:ascii="宋体" w:hAnsi="宋体" w:eastAsia="宋体" w:cs="宋体"/>
          <w:color w:val="auto"/>
          <w:kern w:val="0"/>
          <w:szCs w:val="21"/>
          <w:highlight w:val="none"/>
        </w:rPr>
        <w:t>。</w:t>
      </w:r>
    </w:p>
    <w:p w14:paraId="195EAA91">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.网上查询地址</w:t>
      </w:r>
    </w:p>
    <w:p w14:paraId="3DA95166">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i w:val="0"/>
          <w:caps w:val="0"/>
          <w:color w:val="auto"/>
          <w:spacing w:val="0"/>
          <w:sz w:val="21"/>
          <w:szCs w:val="21"/>
          <w:highlight w:val="none"/>
        </w:rPr>
        <w:t>http://zfcg.gxzf.gov.cn/</w:t>
      </w:r>
      <w:r>
        <w:rPr>
          <w:rFonts w:hint="eastAsia" w:ascii="宋体" w:hAnsi="宋体" w:eastAsia="宋体" w:cs="宋体"/>
          <w:color w:val="auto"/>
          <w:kern w:val="0"/>
          <w:szCs w:val="21"/>
          <w:highlight w:val="none"/>
          <w:lang w:val="en-US" w:eastAsia="zh-CN"/>
        </w:rPr>
        <w:t>(广西政府采购网)</w:t>
      </w:r>
      <w:r>
        <w:rPr>
          <w:rFonts w:hint="eastAsia" w:ascii="宋体" w:hAnsi="宋体" w:cs="宋体"/>
          <w:color w:val="auto"/>
          <w:kern w:val="0"/>
          <w:szCs w:val="21"/>
          <w:highlight w:val="none"/>
          <w:lang w:val="en-US" w:eastAsia="zh-CN"/>
        </w:rPr>
        <w:t>、http://gxggzy.gxzf.gov.cn/（广西壮族自治区公共资源交易中心）</w:t>
      </w:r>
      <w:r>
        <w:rPr>
          <w:rFonts w:hint="eastAsia" w:ascii="宋体" w:hAnsi="宋体" w:eastAsia="宋体" w:cs="宋体"/>
          <w:color w:val="auto"/>
          <w:kern w:val="0"/>
          <w:szCs w:val="21"/>
          <w:highlight w:val="none"/>
          <w:lang w:val="en-US" w:eastAsia="zh-CN"/>
        </w:rPr>
        <w:t>。</w:t>
      </w:r>
    </w:p>
    <w:p w14:paraId="66BD660A">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 本项目需要落实的政府采购政策：</w:t>
      </w:r>
    </w:p>
    <w:p w14:paraId="6D9859A8">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3DAA0A15">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A13E060">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（3）强制采购节能产品；优先采购节能产品、环境标志产品。</w:t>
      </w:r>
    </w:p>
    <w:p w14:paraId="328455DB">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（4）政府采购促进残疾人就业政策。</w:t>
      </w:r>
    </w:p>
    <w:p w14:paraId="5AD36659">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（5）政府采购支持监狱企业发展。</w:t>
      </w:r>
    </w:p>
    <w:p w14:paraId="728E02F6">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rPr>
        <w:t>（6）在政府采购中实施本国产品标准及相关政策。</w:t>
      </w:r>
    </w:p>
    <w:p w14:paraId="37A66BE1">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768A476">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kern w:val="0"/>
          <w:szCs w:val="21"/>
          <w:highlight w:val="none"/>
          <w:lang w:val="en-US" w:eastAsia="zh-CN"/>
        </w:rPr>
        <w:t>、政府采购严重违法失信行为记录名单及其他不符合《中华人民共和国政府采购法》第二十二条规定条件的供应商，不得参与政府采购活动。</w:t>
      </w:r>
    </w:p>
    <w:p w14:paraId="25F6EC3F">
      <w:pPr>
        <w:spacing w:line="360" w:lineRule="auto"/>
        <w:ind w:firstLine="316" w:firstLineChars="150"/>
        <w:rPr>
          <w:rFonts w:hint="eastAsia" w:ascii="宋体" w:hAnsi="宋体" w:eastAsia="宋体" w:cs="宋体"/>
          <w:color w:val="auto"/>
          <w:kern w:val="0"/>
          <w:szCs w:val="21"/>
          <w:highlight w:val="none"/>
        </w:rPr>
      </w:pP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lang w:eastAsia="zh-CN"/>
        </w:rPr>
        <w:t>.</w:t>
      </w:r>
      <w:r>
        <w:rPr>
          <w:rFonts w:hint="eastAsia" w:ascii="宋体" w:hAnsi="宋体" w:cs="宋体"/>
          <w:b/>
          <w:bCs/>
          <w:color w:val="auto"/>
          <w:szCs w:val="21"/>
          <w:highlight w:val="none"/>
        </w:rPr>
        <w:t>在线投标</w:t>
      </w:r>
      <w:r>
        <w:rPr>
          <w:rFonts w:hint="eastAsia" w:ascii="宋体" w:hAnsi="宋体" w:cs="宋体"/>
          <w:b/>
          <w:bCs/>
          <w:color w:val="auto"/>
          <w:szCs w:val="21"/>
          <w:highlight w:val="none"/>
          <w:lang w:eastAsia="zh-CN"/>
        </w:rPr>
        <w:t>的有关</w:t>
      </w:r>
      <w:r>
        <w:rPr>
          <w:rFonts w:hint="eastAsia" w:ascii="宋体" w:hAnsi="宋体" w:cs="宋体"/>
          <w:b/>
          <w:bCs/>
          <w:color w:val="auto"/>
          <w:szCs w:val="21"/>
          <w:highlight w:val="none"/>
        </w:rPr>
        <w:t>说明</w:t>
      </w:r>
      <w:r>
        <w:rPr>
          <w:rFonts w:hint="eastAsia" w:ascii="宋体" w:hAnsi="宋体" w:eastAsia="宋体" w:cs="宋体"/>
          <w:b/>
          <w:bCs/>
          <w:color w:val="auto"/>
          <w:kern w:val="0"/>
          <w:szCs w:val="21"/>
          <w:highlight w:val="none"/>
        </w:rPr>
        <w:t>：</w:t>
      </w:r>
    </w:p>
    <w:p w14:paraId="75429F05">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color w:val="auto"/>
          <w:szCs w:val="21"/>
          <w:highlight w:val="none"/>
        </w:rPr>
        <w:t>（1）投标文件提交方式：本项目为全流程电子化项目，通过</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Times New Roman"/>
          <w:b w:val="0"/>
          <w:bCs w:val="0"/>
          <w:color w:val="auto"/>
          <w:szCs w:val="21"/>
          <w:highlight w:val="none"/>
          <w:u w:val="none"/>
        </w:rPr>
        <w:t>实行在线电子投标，供应商应先安装</w:t>
      </w:r>
      <w:r>
        <w:rPr>
          <w:rFonts w:hint="eastAsia" w:ascii="宋体" w:hAnsi="宋体" w:cs="宋体"/>
          <w:b w:val="0"/>
          <w:bCs w:val="0"/>
          <w:color w:val="auto"/>
          <w:sz w:val="21"/>
          <w:szCs w:val="21"/>
          <w:highlight w:val="none"/>
          <w:lang w:val="en-US" w:eastAsia="zh-CN"/>
        </w:rPr>
        <w:t>广西政府采购云平台新版客户端</w:t>
      </w:r>
      <w:r>
        <w:rPr>
          <w:rFonts w:hint="eastAsia" w:ascii="宋体" w:hAnsi="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客户端下载路径：广西政府采购网（访问地址http://zfcg.gxzf.gov.cn/）—办事服务—下载专区</w:t>
      </w:r>
      <w:r>
        <w:rPr>
          <w:rFonts w:hint="eastAsia" w:ascii="宋体" w:hAnsi="宋体" w:cs="宋体"/>
          <w:color w:val="auto"/>
          <w:szCs w:val="21"/>
          <w:highlight w:val="none"/>
        </w:rPr>
        <w:t>）</w:t>
      </w:r>
      <w:r>
        <w:rPr>
          <w:rFonts w:hint="eastAsia" w:ascii="宋体" w:hAnsi="宋体" w:eastAsia="宋体" w:cs="Times New Roman"/>
          <w:b w:val="0"/>
          <w:bCs w:val="0"/>
          <w:color w:val="auto"/>
          <w:szCs w:val="21"/>
          <w:highlight w:val="none"/>
          <w:u w:val="none"/>
        </w:rPr>
        <w:t>，并按照本项目招标文件和</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的要求编制、加密后在投标截止时间前通过网络上传至</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w:t>
      </w:r>
      <w:r>
        <w:rPr>
          <w:rFonts w:hint="eastAsia" w:ascii="宋体" w:hAnsi="宋体" w:cs="Times New Roman"/>
          <w:b/>
          <w:bCs/>
          <w:color w:val="auto"/>
          <w:szCs w:val="21"/>
          <w:highlight w:val="none"/>
          <w:u w:val="none"/>
          <w:lang w:eastAsia="zh-CN"/>
        </w:rPr>
        <w:t>投标人</w:t>
      </w:r>
      <w:r>
        <w:rPr>
          <w:rFonts w:hint="eastAsia" w:ascii="宋体" w:hAnsi="宋体" w:eastAsia="宋体" w:cs="Times New Roman"/>
          <w:b/>
          <w:bCs/>
          <w:color w:val="auto"/>
          <w:szCs w:val="21"/>
          <w:highlight w:val="none"/>
          <w:u w:val="none"/>
        </w:rPr>
        <w:t>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bCs/>
          <w:color w:val="auto"/>
          <w:szCs w:val="21"/>
          <w:highlight w:val="none"/>
          <w:u w:val="none"/>
        </w:rPr>
        <w:t>提交电子版投标文件时，请填写参加远程开标活动经办人联系方式</w:t>
      </w:r>
      <w:r>
        <w:rPr>
          <w:rFonts w:hint="eastAsia" w:ascii="宋体" w:hAnsi="宋体" w:eastAsia="宋体" w:cs="Times New Roman"/>
          <w:b w:val="0"/>
          <w:bCs w:val="0"/>
          <w:color w:val="auto"/>
          <w:szCs w:val="21"/>
          <w:highlight w:val="none"/>
          <w:u w:val="none"/>
        </w:rPr>
        <w:t>。</w:t>
      </w:r>
    </w:p>
    <w:p w14:paraId="3C25AA4C">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（2）未进行网上注册并办理数字证书（CA认证）的供应商将无法参与本项目政府采购活动，潜在</w:t>
      </w:r>
      <w:r>
        <w:rPr>
          <w:rFonts w:hint="eastAsia" w:ascii="宋体" w:hAnsi="宋体" w:cs="Times New Roman"/>
          <w:b w:val="0"/>
          <w:bCs w:val="0"/>
          <w:color w:val="auto"/>
          <w:szCs w:val="21"/>
          <w:highlight w:val="none"/>
          <w:u w:val="none"/>
          <w:lang w:eastAsia="zh-CN"/>
        </w:rPr>
        <w:t>投标人</w:t>
      </w:r>
      <w:r>
        <w:rPr>
          <w:rFonts w:hint="eastAsia" w:ascii="宋体" w:hAnsi="宋体" w:eastAsia="宋体" w:cs="Times New Roman"/>
          <w:b w:val="0"/>
          <w:bCs w:val="0"/>
          <w:color w:val="auto"/>
          <w:szCs w:val="21"/>
          <w:highlight w:val="none"/>
          <w:u w:val="none"/>
        </w:rPr>
        <w:t>应当在投标截止时间前，完成电子交易平台上的CA数字证书办理及投标文件的提交。</w:t>
      </w:r>
    </w:p>
    <w:p w14:paraId="45065BF8">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（3）为确保网上操作合法、有效和安全，请投标</w:t>
      </w:r>
      <w:r>
        <w:rPr>
          <w:rFonts w:hint="eastAsia" w:ascii="宋体" w:hAnsi="宋体" w:cs="Times New Roman"/>
          <w:b w:val="0"/>
          <w:bCs w:val="0"/>
          <w:color w:val="auto"/>
          <w:szCs w:val="21"/>
          <w:highlight w:val="none"/>
          <w:u w:val="none"/>
          <w:lang w:eastAsia="zh-CN"/>
        </w:rPr>
        <w:t>人</w:t>
      </w:r>
      <w:r>
        <w:rPr>
          <w:rFonts w:hint="eastAsia" w:ascii="宋体" w:hAnsi="宋体" w:eastAsia="宋体" w:cs="Times New Roman"/>
          <w:b w:val="0"/>
          <w:bCs w:val="0"/>
          <w:color w:val="auto"/>
          <w:szCs w:val="21"/>
          <w:highlight w:val="none"/>
          <w:u w:val="none"/>
        </w:rPr>
        <w:t>确保在电子投标过程中能够对相关数据电文进行加密和使用电子签章，妥善保管CA数字证书并使用有效的CA数字证书参与整个招标活动。</w:t>
      </w:r>
    </w:p>
    <w:p w14:paraId="3352FF00">
      <w:pPr>
        <w:spacing w:line="360" w:lineRule="auto"/>
        <w:ind w:firstLine="422" w:firstLineChars="200"/>
        <w:rPr>
          <w:rFonts w:hint="eastAsia" w:ascii="宋体" w:hAnsi="宋体" w:eastAsia="宋体" w:cs="Times New Roman"/>
          <w:b/>
          <w:bCs/>
          <w:color w:val="auto"/>
          <w:szCs w:val="21"/>
          <w:highlight w:val="none"/>
          <w:u w:val="none"/>
        </w:rPr>
      </w:pPr>
      <w:r>
        <w:rPr>
          <w:rFonts w:hint="eastAsia" w:ascii="宋体" w:hAnsi="宋体" w:eastAsia="宋体" w:cs="Times New Roman"/>
          <w:b/>
          <w:bCs/>
          <w:color w:val="auto"/>
          <w:szCs w:val="21"/>
          <w:highlight w:val="none"/>
          <w:u w:val="none"/>
        </w:rPr>
        <w:t>注：投标人应当在投标截止时间前完成</w:t>
      </w:r>
      <w:r>
        <w:rPr>
          <w:rFonts w:hint="eastAsia" w:ascii="宋体" w:hAnsi="宋体" w:cs="Times New Roman"/>
          <w:b/>
          <w:bCs/>
          <w:color w:val="auto"/>
          <w:szCs w:val="21"/>
          <w:highlight w:val="none"/>
          <w:u w:val="none"/>
          <w:lang w:eastAsia="zh-CN"/>
        </w:rPr>
        <w:t>电子版投标文件</w:t>
      </w:r>
      <w:r>
        <w:rPr>
          <w:rFonts w:hint="eastAsia" w:ascii="宋体" w:hAnsi="宋体" w:eastAsia="宋体" w:cs="Times New Roman"/>
          <w:b/>
          <w:bCs/>
          <w:color w:val="auto"/>
          <w:szCs w:val="21"/>
          <w:highlight w:val="none"/>
          <w:u w:val="none"/>
        </w:rPr>
        <w:t>的上传、</w:t>
      </w:r>
      <w:r>
        <w:rPr>
          <w:rFonts w:hint="eastAsia" w:ascii="宋体" w:hAnsi="宋体" w:cs="Times New Roman"/>
          <w:b/>
          <w:bCs/>
          <w:color w:val="auto"/>
          <w:szCs w:val="21"/>
          <w:highlight w:val="none"/>
          <w:u w:val="none"/>
          <w:lang w:eastAsia="zh-CN"/>
        </w:rPr>
        <w:t>提交</w:t>
      </w:r>
      <w:r>
        <w:rPr>
          <w:rFonts w:hint="eastAsia" w:ascii="宋体" w:hAnsi="宋体" w:eastAsia="宋体" w:cs="Times New Roman"/>
          <w:b/>
          <w:bCs/>
          <w:color w:val="auto"/>
          <w:szCs w:val="21"/>
          <w:highlight w:val="none"/>
          <w:u w:val="none"/>
        </w:rPr>
        <w:t>，投标截止时间前可以补充、修改或者撤回投标文件。补充或者修改投标文件的，应当先行撤回原文件，补充、修改后重新上传、</w:t>
      </w:r>
      <w:r>
        <w:rPr>
          <w:rFonts w:hint="eastAsia" w:ascii="宋体" w:hAnsi="宋体" w:cs="Times New Roman"/>
          <w:b/>
          <w:bCs/>
          <w:color w:val="auto"/>
          <w:szCs w:val="21"/>
          <w:highlight w:val="none"/>
          <w:u w:val="none"/>
          <w:lang w:eastAsia="zh-CN"/>
        </w:rPr>
        <w:t>提交</w:t>
      </w:r>
      <w:r>
        <w:rPr>
          <w:rFonts w:hint="eastAsia" w:ascii="宋体" w:hAnsi="宋体" w:eastAsia="宋体" w:cs="Times New Roman"/>
          <w:b/>
          <w:bCs/>
          <w:color w:val="auto"/>
          <w:szCs w:val="21"/>
          <w:highlight w:val="none"/>
          <w:u w:val="none"/>
        </w:rPr>
        <w:t>。投标截止时间前未完成上传、</w:t>
      </w:r>
      <w:r>
        <w:rPr>
          <w:rFonts w:hint="eastAsia" w:ascii="宋体" w:hAnsi="宋体" w:cs="Times New Roman"/>
          <w:b/>
          <w:bCs/>
          <w:color w:val="auto"/>
          <w:szCs w:val="21"/>
          <w:highlight w:val="none"/>
          <w:u w:val="none"/>
          <w:lang w:eastAsia="zh-CN"/>
        </w:rPr>
        <w:t>提交</w:t>
      </w:r>
      <w:r>
        <w:rPr>
          <w:rFonts w:hint="eastAsia" w:ascii="宋体" w:hAnsi="宋体" w:eastAsia="宋体" w:cs="Times New Roman"/>
          <w:b/>
          <w:bCs/>
          <w:color w:val="auto"/>
          <w:szCs w:val="21"/>
          <w:highlight w:val="none"/>
          <w:u w:val="none"/>
        </w:rPr>
        <w:t>的，视为撤回投标文件。投标截止时间以后上传</w:t>
      </w:r>
      <w:r>
        <w:rPr>
          <w:rFonts w:hint="eastAsia" w:ascii="宋体" w:hAnsi="宋体" w:cs="Times New Roman"/>
          <w:b/>
          <w:bCs/>
          <w:color w:val="auto"/>
          <w:szCs w:val="21"/>
          <w:highlight w:val="none"/>
          <w:u w:val="none"/>
          <w:lang w:eastAsia="zh-CN"/>
        </w:rPr>
        <w:t>提交</w:t>
      </w:r>
      <w:r>
        <w:rPr>
          <w:rFonts w:hint="eastAsia" w:ascii="宋体" w:hAnsi="宋体" w:eastAsia="宋体" w:cs="Times New Roman"/>
          <w:b/>
          <w:bCs/>
          <w:color w:val="auto"/>
          <w:szCs w:val="21"/>
          <w:highlight w:val="none"/>
          <w:u w:val="none"/>
        </w:rPr>
        <w:t>的投标文件</w:t>
      </w:r>
      <w:r>
        <w:rPr>
          <w:rFonts w:hint="eastAsia" w:ascii="宋体" w:hAnsi="宋体" w:cs="Times New Roman"/>
          <w:b/>
          <w:bCs/>
          <w:color w:val="auto"/>
          <w:szCs w:val="21"/>
          <w:highlight w:val="none"/>
          <w:u w:val="none"/>
          <w:lang w:eastAsia="zh-CN"/>
        </w:rPr>
        <w:t>，</w:t>
      </w:r>
      <w:r>
        <w:rPr>
          <w:rFonts w:hint="eastAsia" w:ascii="宋体" w:hAnsi="宋体" w:cs="Times New Roman"/>
          <w:b/>
          <w:bCs/>
          <w:color w:val="auto"/>
          <w:sz w:val="21"/>
          <w:szCs w:val="21"/>
          <w:highlight w:val="none"/>
          <w:u w:val="none"/>
          <w:lang w:val="en-US" w:eastAsia="zh-CN"/>
        </w:rPr>
        <w:t>广西政府采购云平台</w:t>
      </w:r>
      <w:r>
        <w:rPr>
          <w:rFonts w:hint="eastAsia" w:ascii="宋体" w:hAnsi="宋体" w:eastAsia="宋体" w:cs="Times New Roman"/>
          <w:b/>
          <w:bCs/>
          <w:color w:val="auto"/>
          <w:szCs w:val="21"/>
          <w:highlight w:val="none"/>
          <w:u w:val="none"/>
        </w:rPr>
        <w:t>将予以拒收。</w:t>
      </w:r>
    </w:p>
    <w:p w14:paraId="44D80658">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）CA证书在线解密：</w:t>
      </w:r>
      <w:r>
        <w:rPr>
          <w:rFonts w:hint="eastAsia" w:ascii="宋体" w:hAnsi="宋体" w:cs="宋体"/>
          <w:color w:val="auto"/>
          <w:kern w:val="0"/>
          <w:szCs w:val="21"/>
          <w:highlight w:val="none"/>
          <w:lang w:eastAsia="zh-CN"/>
        </w:rPr>
        <w:t>投标人</w:t>
      </w:r>
      <w:r>
        <w:rPr>
          <w:rFonts w:hint="eastAsia" w:ascii="宋体" w:hAnsi="宋体" w:eastAsia="宋体" w:cs="宋体"/>
          <w:color w:val="auto"/>
          <w:kern w:val="0"/>
          <w:szCs w:val="21"/>
          <w:highlight w:val="none"/>
        </w:rPr>
        <w:t>投标时，需携带制作投标文件时用来加密的有效数字证书（CA认证）登录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电子开标大厅现场按规定时间对加密的投标文件进行解密。</w:t>
      </w:r>
    </w:p>
    <w:p w14:paraId="23E4870A">
      <w:pPr>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）若对项目采购电子交易系统操作有疑问，可登录</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kern w:val="0"/>
          <w:szCs w:val="21"/>
          <w:highlight w:val="none"/>
          <w:lang w:eastAsia="zh-CN"/>
        </w:rPr>
        <w:t>，点击右侧咨询小采，获取采小蜜智能服务管家帮助，或拨打</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lang w:eastAsia="zh-CN"/>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lang w:eastAsia="zh-CN"/>
        </w:rPr>
        <w:t>获取热线服务帮助。</w:t>
      </w:r>
    </w:p>
    <w:p w14:paraId="5AC68866">
      <w:pPr>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lang w:val="en-US" w:eastAsia="zh-CN"/>
        </w:rPr>
        <w:t>7.本项目是政府采购服务，公益一类事业单位，使用事业编制且由财政拨款保障的群团组织，不得参加本项目的采购活动。</w:t>
      </w:r>
    </w:p>
    <w:p w14:paraId="239522D4">
      <w:pPr>
        <w:spacing w:line="360" w:lineRule="auto"/>
        <w:rPr>
          <w:rFonts w:hint="eastAsia" w:ascii="黑体" w:hAnsi="黑体" w:eastAsia="黑体" w:cs="Times New Roman"/>
          <w:b/>
          <w:bCs/>
          <w:color w:val="auto"/>
          <w:sz w:val="24"/>
          <w:highlight w:val="none"/>
        </w:rPr>
      </w:pPr>
      <w:bookmarkStart w:id="39" w:name="_Toc28359008"/>
      <w:bookmarkStart w:id="40" w:name="_Toc35393796"/>
      <w:bookmarkStart w:id="41" w:name="_Toc28359085"/>
      <w:bookmarkStart w:id="42" w:name="_Toc35393627"/>
      <w:r>
        <w:rPr>
          <w:rFonts w:hint="eastAsia" w:ascii="黑体" w:hAnsi="黑体" w:eastAsia="黑体" w:cs="Times New Roman"/>
          <w:b/>
          <w:bCs/>
          <w:color w:val="auto"/>
          <w:sz w:val="24"/>
          <w:highlight w:val="none"/>
        </w:rPr>
        <w:t>七、对本次招标提出询问，请按以下方式联系。</w:t>
      </w:r>
      <w:bookmarkEnd w:id="39"/>
      <w:bookmarkEnd w:id="40"/>
      <w:bookmarkEnd w:id="41"/>
      <w:bookmarkEnd w:id="42"/>
    </w:p>
    <w:p w14:paraId="3C4B6E91">
      <w:pPr>
        <w:spacing w:line="360" w:lineRule="auto"/>
        <w:ind w:firstLine="420" w:firstLineChars="200"/>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1.采购人信息</w:t>
      </w:r>
    </w:p>
    <w:p w14:paraId="6E61CED8">
      <w:pPr>
        <w:spacing w:line="360" w:lineRule="auto"/>
        <w:ind w:firstLine="420" w:firstLineChars="200"/>
        <w:rPr>
          <w:rFonts w:hint="default"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rPr>
        <w:t>名称：广西壮族自治区市场监督管理局</w:t>
      </w:r>
      <w:r>
        <w:rPr>
          <w:rFonts w:hint="eastAsia" w:ascii="宋体" w:hAnsi="宋体" w:cs="宋体"/>
          <w:color w:val="auto"/>
          <w:kern w:val="0"/>
          <w:szCs w:val="21"/>
          <w:highlight w:val="none"/>
          <w:u w:val="none"/>
          <w:lang w:eastAsia="zh-CN"/>
        </w:rPr>
        <w:t xml:space="preserve"> </w:t>
      </w:r>
      <w:r>
        <w:rPr>
          <w:rFonts w:hint="eastAsia" w:ascii="宋体" w:hAnsi="宋体" w:cs="宋体"/>
          <w:color w:val="auto"/>
          <w:kern w:val="0"/>
          <w:szCs w:val="21"/>
          <w:highlight w:val="none"/>
          <w:u w:val="none"/>
          <w:lang w:val="en-US" w:eastAsia="zh-CN"/>
        </w:rPr>
        <w:t xml:space="preserve">                           </w:t>
      </w:r>
    </w:p>
    <w:p w14:paraId="22BCB56B">
      <w:pPr>
        <w:spacing w:line="360" w:lineRule="auto"/>
        <w:ind w:firstLine="420" w:firstLineChars="200"/>
        <w:rPr>
          <w:rFonts w:hint="default"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rPr>
        <w:t>地址：南宁市青秀区怡宾路1号</w:t>
      </w:r>
      <w:r>
        <w:rPr>
          <w:rFonts w:hint="eastAsia" w:ascii="宋体" w:hAnsi="宋体" w:cs="宋体"/>
          <w:color w:val="auto"/>
          <w:kern w:val="0"/>
          <w:szCs w:val="21"/>
          <w:highlight w:val="none"/>
          <w:u w:val="none"/>
          <w:lang w:eastAsia="zh-CN"/>
        </w:rPr>
        <w:t xml:space="preserve"> </w:t>
      </w:r>
      <w:r>
        <w:rPr>
          <w:rFonts w:hint="eastAsia" w:ascii="宋体" w:hAnsi="宋体" w:cs="宋体"/>
          <w:color w:val="auto"/>
          <w:kern w:val="0"/>
          <w:szCs w:val="21"/>
          <w:highlight w:val="none"/>
          <w:u w:val="none"/>
          <w:lang w:val="en-US" w:eastAsia="zh-CN"/>
        </w:rPr>
        <w:t xml:space="preserve">                          </w:t>
      </w:r>
    </w:p>
    <w:p w14:paraId="325601FC">
      <w:pPr>
        <w:spacing w:line="360" w:lineRule="auto"/>
        <w:ind w:firstLine="420" w:firstLineChars="200"/>
        <w:rPr>
          <w:rFonts w:hint="eastAsia" w:ascii="宋体" w:hAnsi="宋体" w:cs="宋体"/>
          <w:color w:val="auto"/>
          <w:kern w:val="0"/>
          <w:szCs w:val="21"/>
          <w:highlight w:val="none"/>
          <w:u w:val="none"/>
          <w:lang w:eastAsia="zh-CN"/>
        </w:rPr>
      </w:pPr>
      <w:r>
        <w:rPr>
          <w:rFonts w:hint="eastAsia" w:ascii="宋体" w:hAnsi="宋体" w:eastAsia="宋体" w:cs="宋体"/>
          <w:color w:val="auto"/>
          <w:kern w:val="0"/>
          <w:szCs w:val="21"/>
          <w:highlight w:val="none"/>
          <w:u w:val="none"/>
        </w:rPr>
        <w:t>联系方式：张秀英</w:t>
      </w:r>
      <w:r>
        <w:rPr>
          <w:rFonts w:hint="eastAsia" w:ascii="宋体" w:hAnsi="宋体" w:cs="宋体"/>
          <w:color w:val="auto"/>
          <w:kern w:val="0"/>
          <w:szCs w:val="21"/>
          <w:highlight w:val="none"/>
          <w:u w:val="none"/>
          <w:lang w:eastAsia="zh-CN"/>
        </w:rPr>
        <w:t xml:space="preserve">，0771-5300133  </w:t>
      </w:r>
    </w:p>
    <w:p w14:paraId="1915BD7D">
      <w:pPr>
        <w:spacing w:line="360" w:lineRule="auto"/>
        <w:ind w:firstLine="420" w:firstLineChars="200"/>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2.采购代理机构信息</w:t>
      </w:r>
    </w:p>
    <w:p w14:paraId="39BAD109">
      <w:pPr>
        <w:spacing w:line="360" w:lineRule="auto"/>
        <w:ind w:firstLine="420" w:firstLineChars="200"/>
        <w:rPr>
          <w:rFonts w:hint="eastAsia" w:ascii="宋体" w:hAnsi="宋体" w:eastAsia="宋体" w:cs="宋体"/>
          <w:color w:val="auto"/>
          <w:kern w:val="0"/>
          <w:szCs w:val="21"/>
          <w:highlight w:val="none"/>
          <w:u w:val="none"/>
          <w:lang w:eastAsia="zh-CN"/>
        </w:rPr>
      </w:pPr>
      <w:r>
        <w:rPr>
          <w:rFonts w:hint="eastAsia" w:ascii="宋体" w:hAnsi="宋体" w:eastAsia="宋体" w:cs="宋体"/>
          <w:color w:val="auto"/>
          <w:kern w:val="0"/>
          <w:szCs w:val="21"/>
          <w:highlight w:val="none"/>
          <w:u w:val="none"/>
        </w:rPr>
        <w:t>名称：</w:t>
      </w:r>
      <w:bookmarkStart w:id="43" w:name="PO_3000001866_PM031_1"/>
      <w:r>
        <w:rPr>
          <w:rFonts w:hint="eastAsia" w:ascii="宋体" w:hAnsi="宋体" w:eastAsia="宋体" w:cs="宋体"/>
          <w:color w:val="auto"/>
          <w:kern w:val="0"/>
          <w:szCs w:val="21"/>
          <w:highlight w:val="none"/>
          <w:u w:val="none"/>
        </w:rPr>
        <w:t>广西科联招标中心有限公司</w:t>
      </w:r>
      <w:r>
        <w:rPr>
          <w:rFonts w:hint="eastAsia" w:ascii="宋体" w:hAnsi="宋体" w:cs="宋体"/>
          <w:color w:val="auto"/>
          <w:kern w:val="0"/>
          <w:szCs w:val="21"/>
          <w:highlight w:val="none"/>
          <w:u w:val="none"/>
          <w:lang w:eastAsia="zh-CN"/>
        </w:rPr>
        <w:t xml:space="preserve"> </w:t>
      </w:r>
      <w:r>
        <w:rPr>
          <w:rFonts w:hint="eastAsia" w:ascii="宋体" w:hAnsi="宋体" w:cs="宋体"/>
          <w:color w:val="auto"/>
          <w:kern w:val="0"/>
          <w:szCs w:val="21"/>
          <w:highlight w:val="none"/>
          <w:u w:val="none"/>
          <w:lang w:val="en-US" w:eastAsia="zh-CN"/>
        </w:rPr>
        <w:t xml:space="preserve">                            </w:t>
      </w:r>
      <w:bookmarkEnd w:id="43"/>
    </w:p>
    <w:p w14:paraId="3706AF3C">
      <w:pPr>
        <w:spacing w:line="360" w:lineRule="auto"/>
        <w:ind w:firstLine="420" w:firstLineChars="200"/>
        <w:rPr>
          <w:rFonts w:hint="eastAsia" w:ascii="宋体" w:hAnsi="宋体" w:eastAsia="宋体" w:cs="宋体"/>
          <w:color w:val="auto"/>
          <w:kern w:val="0"/>
          <w:szCs w:val="21"/>
          <w:highlight w:val="none"/>
          <w:u w:val="none"/>
          <w:lang w:eastAsia="zh-CN"/>
        </w:rPr>
      </w:pPr>
      <w:r>
        <w:rPr>
          <w:rFonts w:hint="eastAsia" w:ascii="宋体" w:hAnsi="宋体" w:eastAsia="宋体" w:cs="宋体"/>
          <w:color w:val="auto"/>
          <w:kern w:val="0"/>
          <w:szCs w:val="21"/>
          <w:highlight w:val="none"/>
          <w:u w:val="none"/>
        </w:rPr>
        <w:t>地址：</w:t>
      </w:r>
      <w:bookmarkStart w:id="44" w:name="PO_3000001866_PM035_1"/>
      <w:r>
        <w:rPr>
          <w:rFonts w:hint="eastAsia" w:ascii="宋体" w:hAnsi="宋体" w:eastAsia="宋体" w:cs="宋体"/>
          <w:color w:val="auto"/>
          <w:kern w:val="0"/>
          <w:szCs w:val="21"/>
          <w:highlight w:val="none"/>
          <w:u w:val="none"/>
        </w:rPr>
        <w:t>南宁市大学东路170号</w:t>
      </w:r>
      <w:r>
        <w:rPr>
          <w:rFonts w:hint="eastAsia" w:ascii="宋体" w:hAnsi="宋体" w:cs="宋体"/>
          <w:color w:val="auto"/>
          <w:kern w:val="0"/>
          <w:szCs w:val="21"/>
          <w:highlight w:val="none"/>
          <w:u w:val="none"/>
          <w:lang w:eastAsia="zh-CN"/>
        </w:rPr>
        <w:t xml:space="preserve"> </w:t>
      </w:r>
      <w:r>
        <w:rPr>
          <w:rFonts w:hint="eastAsia" w:ascii="宋体" w:hAnsi="宋体" w:cs="宋体"/>
          <w:color w:val="auto"/>
          <w:kern w:val="0"/>
          <w:szCs w:val="21"/>
          <w:highlight w:val="none"/>
          <w:u w:val="none"/>
          <w:lang w:val="en-US" w:eastAsia="zh-CN"/>
        </w:rPr>
        <w:t xml:space="preserve">                             </w:t>
      </w:r>
      <w:bookmarkEnd w:id="44"/>
    </w:p>
    <w:p w14:paraId="6AFDCA38">
      <w:pPr>
        <w:spacing w:line="360" w:lineRule="auto"/>
        <w:ind w:firstLine="420" w:firstLineChars="200"/>
        <w:rPr>
          <w:rFonts w:hint="eastAsia"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rPr>
        <w:t>联系方式</w:t>
      </w:r>
      <w:r>
        <w:rPr>
          <w:rFonts w:hint="eastAsia" w:ascii="宋体" w:hAnsi="宋体" w:cs="宋体"/>
          <w:color w:val="auto"/>
          <w:kern w:val="0"/>
          <w:szCs w:val="21"/>
          <w:highlight w:val="none"/>
          <w:u w:val="none"/>
          <w:lang w:val="en-US" w:eastAsia="zh-CN"/>
        </w:rPr>
        <w:t>:</w:t>
      </w:r>
      <w:r>
        <w:rPr>
          <w:rFonts w:hint="eastAsia" w:ascii="宋体" w:hAnsi="宋体" w:cs="宋体"/>
          <w:color w:val="auto"/>
          <w:kern w:val="0"/>
          <w:szCs w:val="21"/>
          <w:highlight w:val="none"/>
          <w:u w:val="none"/>
          <w:lang w:eastAsia="zh-CN"/>
        </w:rPr>
        <w:t xml:space="preserve"> 黎旭华、欧明聪，0771-2381520、0771-3482237</w:t>
      </w:r>
      <w:r>
        <w:rPr>
          <w:rFonts w:hint="eastAsia" w:ascii="宋体" w:hAnsi="宋体" w:cs="宋体"/>
          <w:color w:val="auto"/>
          <w:kern w:val="0"/>
          <w:szCs w:val="21"/>
          <w:highlight w:val="none"/>
          <w:u w:val="none"/>
          <w:lang w:val="en-US" w:eastAsia="zh-CN"/>
        </w:rPr>
        <w:t xml:space="preserve">                          </w:t>
      </w:r>
    </w:p>
    <w:p w14:paraId="7FA43306">
      <w:pPr>
        <w:spacing w:line="360" w:lineRule="auto"/>
        <w:ind w:firstLine="420" w:firstLineChars="200"/>
        <w:rPr>
          <w:rFonts w:hint="eastAsia" w:ascii="宋体" w:hAnsi="宋体" w:eastAsia="宋体" w:cs="Times New Roman"/>
          <w:color w:val="auto"/>
          <w:szCs w:val="21"/>
          <w:highlight w:val="none"/>
          <w:u w:val="none"/>
        </w:rPr>
      </w:pPr>
      <w:bookmarkStart w:id="45" w:name="PO_3000001866_PM033"/>
      <w:r>
        <w:rPr>
          <w:rFonts w:hint="eastAsia" w:ascii="宋体" w:hAnsi="宋体" w:cs="宋体"/>
          <w:color w:val="auto"/>
          <w:kern w:val="0"/>
          <w:szCs w:val="21"/>
          <w:highlight w:val="none"/>
          <w:u w:val="none"/>
          <w:lang w:val="en-US" w:eastAsia="zh-CN"/>
        </w:rPr>
        <w:t xml:space="preserve">                        </w:t>
      </w:r>
      <w:bookmarkEnd w:id="45"/>
    </w:p>
    <w:p w14:paraId="36BA231B">
      <w:pPr>
        <w:widowControl/>
        <w:spacing w:line="360" w:lineRule="auto"/>
        <w:jc w:val="left"/>
        <w:rPr>
          <w:rFonts w:ascii="宋体" w:hAnsi="宋体" w:cs="宋体"/>
          <w:color w:val="auto"/>
          <w:sz w:val="24"/>
          <w:highlight w:val="none"/>
          <w:u w:val="none"/>
          <w:lang w:val="zh-CN"/>
        </w:rPr>
        <w:sectPr>
          <w:footerReference r:id="rId5" w:type="first"/>
          <w:footerReference r:id="rId4" w:type="default"/>
          <w:pgSz w:w="11905" w:h="16838"/>
          <w:pgMar w:top="1134" w:right="1134" w:bottom="1134" w:left="1134" w:header="850" w:footer="850" w:gutter="0"/>
          <w:pgNumType w:fmt="decimal" w:start="1"/>
          <w:cols w:space="0" w:num="1"/>
          <w:titlePg/>
          <w:rtlGutter w:val="0"/>
          <w:docGrid w:linePitch="331" w:charSpace="0"/>
        </w:sectPr>
      </w:pPr>
    </w:p>
    <w:p w14:paraId="1C439B50">
      <w:pPr>
        <w:pStyle w:val="12"/>
        <w:jc w:val="center"/>
        <w:outlineLvl w:val="0"/>
        <w:rPr>
          <w:rFonts w:hint="eastAsia" w:ascii="Times New Roman" w:hAnsi="Times New Roman" w:eastAsia="宋体" w:cs="Times New Roman"/>
          <w:b/>
          <w:color w:val="auto"/>
          <w:sz w:val="36"/>
          <w:highlight w:val="none"/>
        </w:rPr>
      </w:pPr>
      <w:bookmarkStart w:id="46" w:name="_Toc532545042"/>
      <w:bookmarkStart w:id="47" w:name="_Toc24210"/>
      <w:bookmarkStart w:id="48" w:name="_Toc21081"/>
      <w:bookmarkStart w:id="49" w:name="_Toc937"/>
      <w:bookmarkStart w:id="50" w:name="_Toc28689"/>
      <w:bookmarkStart w:id="51" w:name="_Toc13449"/>
      <w:bookmarkStart w:id="52" w:name="_Toc4483"/>
      <w:bookmarkStart w:id="53" w:name="_Toc2299"/>
      <w:bookmarkStart w:id="54" w:name="_Toc32573"/>
      <w:bookmarkStart w:id="55" w:name="_Toc7686"/>
      <w:bookmarkStart w:id="56" w:name="_Toc22408"/>
      <w:bookmarkStart w:id="57" w:name="_Toc8382"/>
      <w:bookmarkStart w:id="58" w:name="_Toc7337"/>
      <w:bookmarkStart w:id="59" w:name="_Toc17621"/>
      <w:r>
        <w:rPr>
          <w:rFonts w:hint="eastAsia" w:ascii="Times New Roman" w:hAnsi="Times New Roman" w:eastAsia="宋体" w:cs="Times New Roman"/>
          <w:b/>
          <w:color w:val="auto"/>
          <w:sz w:val="36"/>
          <w:highlight w:val="none"/>
        </w:rPr>
        <w:t>第二章</w:t>
      </w:r>
      <w:r>
        <w:rPr>
          <w:rFonts w:ascii="Times New Roman" w:hAnsi="Times New Roman" w:eastAsia="宋体" w:cs="Times New Roman"/>
          <w:b/>
          <w:color w:val="auto"/>
          <w:sz w:val="36"/>
          <w:highlight w:val="none"/>
        </w:rPr>
        <w:t xml:space="preserve">  </w:t>
      </w:r>
      <w:bookmarkEnd w:id="46"/>
      <w:r>
        <w:rPr>
          <w:rFonts w:hint="eastAsia" w:ascii="Times New Roman" w:hAnsi="Times New Roman" w:eastAsia="宋体" w:cs="Times New Roman"/>
          <w:b/>
          <w:color w:val="auto"/>
          <w:sz w:val="36"/>
          <w:highlight w:val="none"/>
        </w:rPr>
        <w:t>采购需求</w:t>
      </w:r>
      <w:bookmarkEnd w:id="47"/>
      <w:bookmarkEnd w:id="48"/>
      <w:bookmarkEnd w:id="49"/>
      <w:bookmarkEnd w:id="50"/>
      <w:bookmarkEnd w:id="51"/>
      <w:bookmarkEnd w:id="52"/>
      <w:bookmarkEnd w:id="53"/>
      <w:bookmarkEnd w:id="54"/>
      <w:bookmarkEnd w:id="55"/>
      <w:bookmarkEnd w:id="56"/>
      <w:bookmarkEnd w:id="57"/>
      <w:bookmarkEnd w:id="58"/>
      <w:bookmarkEnd w:id="59"/>
    </w:p>
    <w:p w14:paraId="7C5D3AA5">
      <w:pPr>
        <w:adjustRightInd w:val="0"/>
        <w:spacing w:line="340" w:lineRule="exact"/>
        <w:rPr>
          <w:rFonts w:ascii="Times New Roman" w:hAnsi="宋体" w:eastAsia="宋体" w:cs="Times New Roman"/>
          <w:b/>
          <w:color w:val="auto"/>
          <w:szCs w:val="21"/>
          <w:highlight w:val="none"/>
        </w:rPr>
      </w:pPr>
    </w:p>
    <w:p w14:paraId="0B65CC0B">
      <w:pPr>
        <w:adjustRightInd w:val="0"/>
        <w:spacing w:line="340" w:lineRule="exact"/>
        <w:rPr>
          <w:rFonts w:ascii="Times New Roman" w:hAnsi="宋体" w:eastAsia="宋体" w:cs="Times New Roman"/>
          <w:b/>
          <w:color w:val="auto"/>
          <w:szCs w:val="21"/>
          <w:highlight w:val="none"/>
        </w:rPr>
      </w:pPr>
      <w:r>
        <w:rPr>
          <w:rFonts w:hint="eastAsia" w:ascii="Times New Roman" w:hAnsi="宋体" w:eastAsia="宋体" w:cs="Times New Roman"/>
          <w:b/>
          <w:color w:val="auto"/>
          <w:szCs w:val="21"/>
          <w:highlight w:val="none"/>
        </w:rPr>
        <w:t>说明：</w:t>
      </w:r>
    </w:p>
    <w:p w14:paraId="77CDA6CE">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1. 为落实政府采购政策需满足的要求</w:t>
      </w:r>
      <w:r>
        <w:rPr>
          <w:rFonts w:hint="eastAsia" w:ascii="宋体" w:hAnsi="宋体" w:cs="宋体"/>
          <w:color w:val="auto"/>
          <w:highlight w:val="none"/>
          <w:lang w:eastAsia="zh-CN"/>
        </w:rPr>
        <w:t>：</w:t>
      </w:r>
    </w:p>
    <w:p w14:paraId="714F3293">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（1）本招标文件所称中小企业必须符合《政府采购促进中小企业发展管理办法》（财库〔2020〕46号）的规定。</w:t>
      </w:r>
    </w:p>
    <w:p w14:paraId="32C6B694">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详见本章</w:t>
      </w:r>
      <w:r>
        <w:rPr>
          <w:rFonts w:hint="eastAsia" w:ascii="宋体" w:hAnsi="宋体" w:eastAsia="宋体" w:cs="宋体"/>
          <w:color w:val="auto"/>
          <w:szCs w:val="21"/>
          <w:highlight w:val="none"/>
          <w:lang w:eastAsia="zh-CN"/>
        </w:rPr>
        <w:t>附件</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投标人的投标货物必须使用政府强制采购的节能产品，投标人必须在投标文件中提供所投标产品</w:t>
      </w:r>
      <w:r>
        <w:rPr>
          <w:rFonts w:hint="eastAsia" w:ascii="宋体" w:hAnsi="宋体" w:cs="宋体"/>
          <w:b/>
          <w:bCs/>
          <w:color w:val="auto"/>
          <w:szCs w:val="21"/>
          <w:highlight w:val="none"/>
        </w:rPr>
        <w:t>有效期内</w:t>
      </w:r>
      <w:r>
        <w:rPr>
          <w:rFonts w:hint="eastAsia" w:ascii="宋体" w:hAnsi="宋体" w:eastAsia="宋体" w:cs="宋体"/>
          <w:b/>
          <w:bCs/>
          <w:color w:val="auto"/>
          <w:szCs w:val="21"/>
          <w:highlight w:val="none"/>
        </w:rPr>
        <w:t>的节能产品认证证书复印件（加盖</w:t>
      </w:r>
      <w:r>
        <w:rPr>
          <w:rFonts w:hint="eastAsia" w:ascii="宋体" w:hAnsi="宋体" w:cs="宋体"/>
          <w:b/>
          <w:bCs/>
          <w:color w:val="auto"/>
          <w:szCs w:val="21"/>
          <w:highlight w:val="none"/>
          <w:lang w:eastAsia="zh-CN"/>
        </w:rPr>
        <w:t>投标人公章</w:t>
      </w:r>
      <w:r>
        <w:rPr>
          <w:rFonts w:hint="eastAsia" w:ascii="宋体" w:hAnsi="宋体" w:eastAsia="宋体" w:cs="宋体"/>
          <w:b/>
          <w:bCs/>
          <w:color w:val="auto"/>
          <w:szCs w:val="21"/>
          <w:highlight w:val="none"/>
        </w:rPr>
        <w:t>），否则投标文件作无效处理</w:t>
      </w:r>
      <w:r>
        <w:rPr>
          <w:rFonts w:hint="eastAsia" w:ascii="宋体" w:hAnsi="宋体" w:eastAsia="宋体" w:cs="宋体"/>
          <w:color w:val="auto"/>
          <w:szCs w:val="21"/>
          <w:highlight w:val="none"/>
        </w:rPr>
        <w:t>。如本项目包含的货物属于品目清单内非标注“★”的产品时，应优先采购，具体详见“第四章 评标方法和评标标准”。</w:t>
      </w:r>
    </w:p>
    <w:p w14:paraId="667DBB16">
      <w:pPr>
        <w:spacing w:line="360" w:lineRule="auto"/>
        <w:ind w:firstLine="426" w:firstLineChars="202"/>
        <w:jc w:val="left"/>
        <w:rPr>
          <w:rFonts w:hint="eastAsia" w:ascii="宋体" w:hAnsi="宋体" w:eastAsia="宋体" w:cs="宋体"/>
          <w:color w:val="auto"/>
          <w:highlight w:val="none"/>
        </w:rPr>
      </w:pPr>
      <w:r>
        <w:rPr>
          <w:rFonts w:hint="eastAsia" w:ascii="宋体" w:hAnsi="宋体" w:cs="宋体"/>
          <w:b/>
          <w:bCs/>
          <w:color w:val="auto"/>
          <w:szCs w:val="21"/>
          <w:highlight w:val="none"/>
        </w:rPr>
        <w:t>2.</w:t>
      </w:r>
      <w:r>
        <w:rPr>
          <w:rFonts w:hint="default" w:ascii="宋体" w:hAnsi="宋体" w:eastAsia="宋体" w:cs="宋体"/>
          <w:b/>
          <w:bCs/>
          <w:color w:val="auto"/>
          <w:sz w:val="21"/>
          <w:szCs w:val="21"/>
          <w:highlight w:val="none"/>
          <w:lang w:val="en-US"/>
        </w:rPr>
        <w:t>采购需求中带“▲”的条款</w:t>
      </w:r>
      <w:r>
        <w:rPr>
          <w:rFonts w:hint="eastAsia" w:ascii="宋体" w:hAnsi="宋体" w:cs="宋体"/>
          <w:b/>
          <w:bCs/>
          <w:color w:val="auto"/>
          <w:sz w:val="21"/>
          <w:szCs w:val="21"/>
          <w:highlight w:val="none"/>
          <w:lang w:val="en-US" w:eastAsia="zh-CN"/>
        </w:rPr>
        <w:t>为实质性条款，不满足</w:t>
      </w:r>
      <w:r>
        <w:rPr>
          <w:rFonts w:hint="default" w:ascii="宋体" w:hAnsi="宋体" w:eastAsia="宋体" w:cs="宋体"/>
          <w:b/>
          <w:bCs/>
          <w:color w:val="auto"/>
          <w:sz w:val="21"/>
          <w:szCs w:val="21"/>
          <w:highlight w:val="none"/>
          <w:lang w:val="en-US" w:eastAsia="zh-CN"/>
        </w:rPr>
        <w:t>作</w:t>
      </w:r>
      <w:r>
        <w:rPr>
          <w:rFonts w:hint="default" w:ascii="宋体" w:hAnsi="宋体" w:eastAsia="宋体" w:cs="宋体"/>
          <w:b/>
          <w:bCs/>
          <w:color w:val="auto"/>
          <w:sz w:val="21"/>
          <w:szCs w:val="21"/>
          <w:highlight w:val="none"/>
          <w:lang w:val="en-US"/>
        </w:rPr>
        <w:t>无效响应处理</w:t>
      </w:r>
      <w:r>
        <w:rPr>
          <w:rFonts w:hint="eastAsia" w:ascii="宋体" w:hAnsi="宋体" w:eastAsia="宋体" w:cs="宋体"/>
          <w:b/>
          <w:bCs/>
          <w:i w:val="0"/>
          <w:iCs w:val="0"/>
          <w:caps w:val="0"/>
          <w:color w:val="auto"/>
          <w:spacing w:val="0"/>
          <w:sz w:val="21"/>
          <w:szCs w:val="21"/>
          <w:highlight w:val="none"/>
          <w:shd w:val="clear" w:color="auto" w:fill="auto"/>
        </w:rPr>
        <w:t>。</w:t>
      </w:r>
    </w:p>
    <w:p w14:paraId="49309863">
      <w:pPr>
        <w:spacing w:line="360" w:lineRule="auto"/>
        <w:ind w:firstLine="424" w:firstLineChars="202"/>
        <w:jc w:val="left"/>
        <w:rPr>
          <w:rFonts w:hint="eastAsia" w:ascii="宋体" w:hAnsi="宋体" w:cs="宋体"/>
          <w:color w:val="auto"/>
          <w:szCs w:val="21"/>
          <w:highlight w:val="none"/>
        </w:rPr>
      </w:pPr>
      <w:r>
        <w:rPr>
          <w:rFonts w:hint="default" w:ascii="宋体" w:hAnsi="宋体" w:cs="宋体"/>
          <w:color w:val="auto"/>
          <w:szCs w:val="21"/>
          <w:highlight w:val="none"/>
          <w:lang w:val="en-US"/>
        </w:rPr>
        <w:t>3</w:t>
      </w:r>
      <w:r>
        <w:rPr>
          <w:rFonts w:hint="eastAsia" w:ascii="宋体" w:hAnsi="宋体" w:cs="宋体"/>
          <w:color w:val="auto"/>
          <w:szCs w:val="21"/>
          <w:highlight w:val="none"/>
        </w:rPr>
        <w:t>.</w:t>
      </w:r>
      <w:r>
        <w:rPr>
          <w:rFonts w:hint="eastAsia" w:ascii="宋体" w:hAnsi="宋体" w:cs="宋体"/>
          <w:color w:val="auto"/>
          <w:szCs w:val="21"/>
          <w:highlight w:val="none"/>
          <w:lang w:eastAsia="zh-CN"/>
        </w:rPr>
        <w:t>本</w:t>
      </w:r>
      <w:r>
        <w:rPr>
          <w:rFonts w:hint="eastAsia" w:ascii="宋体" w:hAnsi="宋体" w:eastAsia="宋体" w:cs="宋体"/>
          <w:color w:val="auto"/>
          <w:szCs w:val="21"/>
          <w:highlight w:val="none"/>
        </w:rPr>
        <w:t>服务项目中伴随货物的，</w:t>
      </w:r>
      <w:r>
        <w:rPr>
          <w:rFonts w:hint="eastAsia" w:ascii="宋体" w:hAnsi="宋体" w:cs="宋体"/>
          <w:color w:val="auto"/>
          <w:szCs w:val="21"/>
          <w:highlight w:val="none"/>
        </w:rPr>
        <w:t>采购需求中出现的品牌、型号或者</w:t>
      </w:r>
      <w:r>
        <w:rPr>
          <w:rFonts w:hint="eastAsia" w:ascii="宋体" w:hAnsi="宋体" w:cs="宋体"/>
          <w:color w:val="auto"/>
          <w:szCs w:val="21"/>
          <w:highlight w:val="none"/>
          <w:lang w:eastAsia="zh-CN"/>
        </w:rPr>
        <w:t>制造商</w:t>
      </w:r>
      <w:r>
        <w:rPr>
          <w:rFonts w:hint="eastAsia" w:ascii="宋体" w:hAnsi="宋体" w:cs="宋体"/>
          <w:color w:val="auto"/>
          <w:szCs w:val="21"/>
          <w:highlight w:val="none"/>
        </w:rPr>
        <w:t>仅起参考作用，不属于指定品牌、型号或者</w:t>
      </w:r>
      <w:r>
        <w:rPr>
          <w:rFonts w:hint="eastAsia" w:ascii="宋体" w:hAnsi="宋体" w:cs="宋体"/>
          <w:color w:val="auto"/>
          <w:szCs w:val="21"/>
          <w:highlight w:val="none"/>
          <w:lang w:eastAsia="zh-CN"/>
        </w:rPr>
        <w:t>制造商</w:t>
      </w:r>
      <w:r>
        <w:rPr>
          <w:rFonts w:hint="eastAsia" w:ascii="宋体" w:hAnsi="宋体" w:cs="宋体"/>
          <w:color w:val="auto"/>
          <w:szCs w:val="21"/>
          <w:highlight w:val="none"/>
        </w:rPr>
        <w:t>的情形。投标人可参照或者选用其他相当的品牌、型号或者</w:t>
      </w:r>
      <w:r>
        <w:rPr>
          <w:rFonts w:hint="eastAsia" w:ascii="宋体" w:hAnsi="宋体" w:cs="宋体"/>
          <w:color w:val="auto"/>
          <w:szCs w:val="21"/>
          <w:highlight w:val="none"/>
          <w:lang w:eastAsia="zh-CN"/>
        </w:rPr>
        <w:t>制造商</w:t>
      </w:r>
      <w:r>
        <w:rPr>
          <w:rFonts w:hint="eastAsia" w:ascii="宋体" w:hAnsi="宋体" w:cs="宋体"/>
          <w:color w:val="auto"/>
          <w:szCs w:val="21"/>
          <w:highlight w:val="none"/>
        </w:rPr>
        <w:t>替代，但选用的投标产品</w:t>
      </w:r>
      <w:r>
        <w:rPr>
          <w:rFonts w:hint="eastAsia" w:ascii="宋体" w:hAnsi="宋体" w:cs="宋体"/>
          <w:color w:val="auto"/>
          <w:szCs w:val="21"/>
          <w:highlight w:val="none"/>
          <w:lang w:eastAsia="zh-CN"/>
        </w:rPr>
        <w:t>技术</w:t>
      </w:r>
      <w:r>
        <w:rPr>
          <w:rFonts w:hint="eastAsia" w:ascii="宋体" w:hAnsi="宋体" w:cs="宋体"/>
          <w:color w:val="auto"/>
          <w:szCs w:val="21"/>
          <w:highlight w:val="none"/>
        </w:rPr>
        <w:t>参数</w:t>
      </w:r>
      <w:r>
        <w:rPr>
          <w:rFonts w:hint="eastAsia" w:ascii="宋体" w:hAnsi="宋体" w:cs="宋体"/>
          <w:color w:val="auto"/>
          <w:szCs w:val="21"/>
          <w:highlight w:val="none"/>
          <w:lang w:eastAsia="zh-CN"/>
        </w:rPr>
        <w:t>及配置</w:t>
      </w:r>
      <w:r>
        <w:rPr>
          <w:rFonts w:hint="eastAsia" w:ascii="宋体" w:hAnsi="宋体" w:cs="宋体"/>
          <w:color w:val="auto"/>
          <w:szCs w:val="21"/>
          <w:highlight w:val="none"/>
        </w:rPr>
        <w:t>必须满足</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要求。</w:t>
      </w:r>
    </w:p>
    <w:p w14:paraId="6B7F5BB0">
      <w:pPr>
        <w:spacing w:line="360" w:lineRule="auto"/>
        <w:ind w:firstLine="424" w:firstLineChars="202"/>
        <w:jc w:val="left"/>
        <w:rPr>
          <w:rFonts w:hint="eastAsia" w:ascii="宋体" w:hAnsi="宋体" w:cs="宋体"/>
          <w:color w:val="auto"/>
          <w:highlight w:val="none"/>
        </w:rPr>
      </w:pPr>
      <w:r>
        <w:rPr>
          <w:rFonts w:hint="default" w:ascii="宋体" w:hAnsi="宋体" w:cs="宋体"/>
          <w:color w:val="auto"/>
          <w:szCs w:val="21"/>
          <w:highlight w:val="none"/>
          <w:lang w:val="en-US" w:eastAsia="zh-CN"/>
        </w:rPr>
        <w:t>4</w:t>
      </w:r>
      <w:r>
        <w:rPr>
          <w:rFonts w:hint="eastAsia" w:ascii="宋体" w:hAnsi="宋体" w:cs="宋体"/>
          <w:color w:val="auto"/>
          <w:szCs w:val="21"/>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赔偿。</w:t>
      </w:r>
    </w:p>
    <w:p w14:paraId="5F459913">
      <w:pPr>
        <w:spacing w:line="360" w:lineRule="auto"/>
        <w:ind w:firstLine="424" w:firstLineChars="202"/>
        <w:jc w:val="left"/>
        <w:rPr>
          <w:rFonts w:hint="eastAsia" w:ascii="宋体" w:hAnsi="宋体" w:cs="宋体"/>
          <w:color w:val="auto"/>
          <w:highlight w:val="none"/>
        </w:rPr>
      </w:pPr>
      <w:r>
        <w:rPr>
          <w:rFonts w:hint="default" w:ascii="宋体" w:hAnsi="宋体" w:cs="宋体"/>
          <w:color w:val="auto"/>
          <w:highlight w:val="none"/>
          <w:lang w:val="en-US" w:eastAsia="zh-CN"/>
        </w:rPr>
        <w:t>5</w:t>
      </w:r>
      <w:r>
        <w:rPr>
          <w:rFonts w:hint="eastAsia" w:ascii="宋体" w:hAnsi="宋体" w:cs="宋体"/>
          <w:color w:val="auto"/>
          <w:highlight w:val="none"/>
        </w:rPr>
        <w:t>.投标人应对投标内容所涉及的专利承担法律责任，并负责保护</w:t>
      </w:r>
      <w:r>
        <w:rPr>
          <w:rFonts w:hint="eastAsia" w:ascii="宋体" w:hAnsi="宋体" w:cs="宋体"/>
          <w:color w:val="auto"/>
          <w:highlight w:val="none"/>
          <w:lang w:eastAsia="zh-CN"/>
        </w:rPr>
        <w:t>采购人</w:t>
      </w:r>
      <w:r>
        <w:rPr>
          <w:rFonts w:hint="eastAsia" w:ascii="宋体" w:hAnsi="宋体" w:cs="宋体"/>
          <w:color w:val="auto"/>
          <w:highlight w:val="none"/>
        </w:rPr>
        <w:t>的利益不受任何损害。一切由于文字、商标、技术和软件专利授权引起的法律裁决、诉讼和赔偿费用均由中标人负责。</w:t>
      </w:r>
    </w:p>
    <w:p w14:paraId="0E2D9A5F">
      <w:pPr>
        <w:tabs>
          <w:tab w:val="left" w:pos="180"/>
          <w:tab w:val="left" w:pos="1620"/>
        </w:tabs>
        <w:spacing w:line="420" w:lineRule="exact"/>
        <w:ind w:firstLine="420" w:firstLineChars="200"/>
        <w:jc w:val="left"/>
        <w:rPr>
          <w:rFonts w:hint="eastAsia" w:ascii="宋体" w:hAnsi="宋体" w:cs="宋体"/>
          <w:color w:val="auto"/>
          <w:highlight w:val="none"/>
          <w:u w:val="single"/>
          <w:lang w:val="en-US" w:eastAsia="zh-CN"/>
        </w:rPr>
      </w:pPr>
      <w:r>
        <w:rPr>
          <w:rFonts w:hint="default" w:ascii="宋体" w:hAnsi="宋体" w:cs="宋体"/>
          <w:color w:val="auto"/>
          <w:highlight w:val="none"/>
          <w:lang w:val="en-US" w:eastAsia="zh-CN"/>
        </w:rPr>
        <w:t>6</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所有分标</w:t>
      </w:r>
      <w:r>
        <w:rPr>
          <w:rFonts w:hint="eastAsia" w:ascii="宋体" w:hAnsi="宋体" w:eastAsia="宋体" w:cs="宋体"/>
          <w:color w:val="auto"/>
          <w:highlight w:val="none"/>
          <w:lang w:val="en-US" w:eastAsia="zh-CN"/>
        </w:rPr>
        <w:t>采购标的对应的中小企业划分标准所属行业</w:t>
      </w:r>
      <w:r>
        <w:rPr>
          <w:rFonts w:hint="eastAsia" w:ascii="宋体" w:hAnsi="宋体" w:cs="宋体"/>
          <w:color w:val="auto"/>
          <w:highlight w:val="none"/>
          <w:lang w:val="en-US" w:eastAsia="zh-CN"/>
        </w:rPr>
        <w:t>名称</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single"/>
          <w:lang w:val="en-US" w:eastAsia="zh-CN"/>
        </w:rPr>
        <w:t>其他未列明行业</w:t>
      </w:r>
      <w:r>
        <w:rPr>
          <w:rFonts w:hint="eastAsia" w:ascii="宋体" w:hAnsi="宋体" w:cs="宋体"/>
          <w:color w:val="auto"/>
          <w:highlight w:val="none"/>
          <w:u w:val="single"/>
          <w:lang w:val="en-US" w:eastAsia="zh-CN"/>
        </w:rPr>
        <w:t>。</w:t>
      </w:r>
    </w:p>
    <w:p w14:paraId="15A757D1">
      <w:pPr>
        <w:tabs>
          <w:tab w:val="left" w:pos="180"/>
          <w:tab w:val="left" w:pos="1620"/>
        </w:tabs>
        <w:spacing w:line="420" w:lineRule="exact"/>
        <w:ind w:firstLine="420" w:firstLineChars="200"/>
        <w:jc w:val="left"/>
        <w:rPr>
          <w:rFonts w:hint="default" w:ascii="宋体" w:hAnsi="宋体" w:cs="宋体"/>
          <w:color w:val="auto"/>
          <w:highlight w:val="none"/>
          <w:u w:val="single"/>
          <w:lang w:val="en-US" w:eastAsia="zh-CN"/>
        </w:rPr>
      </w:pPr>
      <w:r>
        <w:rPr>
          <w:rFonts w:hint="eastAsia" w:ascii="宋体" w:hAnsi="宋体" w:cs="宋体"/>
          <w:color w:val="auto"/>
          <w:highlight w:val="none"/>
          <w:u w:val="single"/>
          <w:lang w:val="en-US" w:eastAsia="zh-CN"/>
        </w:rPr>
        <w:t>7.本项目1-7分标中标规则：</w:t>
      </w:r>
    </w:p>
    <w:p w14:paraId="4F0698D9">
      <w:pPr>
        <w:tabs>
          <w:tab w:val="left" w:pos="180"/>
          <w:tab w:val="left" w:pos="1620"/>
        </w:tabs>
        <w:spacing w:line="420" w:lineRule="exact"/>
        <w:ind w:firstLine="420" w:firstLineChars="200"/>
        <w:jc w:val="left"/>
        <w:rPr>
          <w:rFonts w:hint="default" w:ascii="宋体" w:hAnsi="宋体" w:cs="宋体"/>
          <w:color w:val="auto"/>
          <w:highlight w:val="none"/>
          <w:u w:val="single"/>
          <w:lang w:val="en-US" w:eastAsia="zh-CN"/>
        </w:rPr>
      </w:pPr>
      <w:r>
        <w:rPr>
          <w:rFonts w:hint="eastAsia" w:ascii="宋体" w:hAnsi="宋体" w:cs="宋体"/>
          <w:color w:val="auto"/>
          <w:highlight w:val="none"/>
          <w:u w:val="single"/>
          <w:lang w:val="en-US" w:eastAsia="zh-CN"/>
        </w:rPr>
        <w:t>（1）投标人可对本次招标的全部分标进行投标，但不得同时成为超过两个分标的中标供应商。</w:t>
      </w:r>
    </w:p>
    <w:p w14:paraId="14F07230">
      <w:pPr>
        <w:tabs>
          <w:tab w:val="left" w:pos="180"/>
          <w:tab w:val="left" w:pos="1620"/>
        </w:tabs>
        <w:spacing w:line="420" w:lineRule="exact"/>
        <w:ind w:firstLine="420" w:firstLineChars="200"/>
        <w:jc w:val="left"/>
        <w:rPr>
          <w:rFonts w:hint="default" w:ascii="宋体" w:hAnsi="宋体" w:cs="宋体"/>
          <w:color w:val="auto"/>
          <w:highlight w:val="none"/>
          <w:u w:val="single"/>
          <w:lang w:val="en-US" w:eastAsia="zh-CN"/>
        </w:rPr>
      </w:pPr>
      <w:r>
        <w:rPr>
          <w:rFonts w:hint="eastAsia" w:ascii="宋体" w:hAnsi="宋体" w:cs="宋体"/>
          <w:color w:val="auto"/>
          <w:highlight w:val="none"/>
          <w:u w:val="single"/>
          <w:lang w:val="en-US" w:eastAsia="zh-CN"/>
        </w:rPr>
        <w:t>1）本项目按1-7分标排序进行评标，若同一投标人在评标后，已被确定为两个分标的中标供应商，其在本次招标剩余所有分标中的投标文件均不再参与中标候选人排序，也不得被确定为其他分标的中标供应商。</w:t>
      </w:r>
    </w:p>
    <w:p w14:paraId="1B43C5E9">
      <w:pPr>
        <w:tabs>
          <w:tab w:val="left" w:pos="180"/>
          <w:tab w:val="left" w:pos="1620"/>
        </w:tabs>
        <w:spacing w:line="420" w:lineRule="exact"/>
        <w:ind w:firstLine="420" w:firstLineChars="200"/>
        <w:jc w:val="left"/>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（2）1分标、2分标生产领域人造板、食品用塑料包装容器工具等制品实行中标供应商“抽检”分离，两个分标的中标供应商不能为同一家单位。</w:t>
      </w:r>
    </w:p>
    <w:p w14:paraId="2E5B4FC3">
      <w:pPr>
        <w:tabs>
          <w:tab w:val="left" w:pos="180"/>
          <w:tab w:val="left" w:pos="1620"/>
        </w:tabs>
        <w:spacing w:line="420" w:lineRule="exact"/>
        <w:ind w:firstLine="420" w:firstLineChars="200"/>
        <w:jc w:val="left"/>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1）如某投标供应商在1分标或2个分标均综合评分排名第一，则按1-2分标排序推荐为中标候选人，即：如1分标和2分标综合评分均排名第一，则按前述规则顺序推荐为1分标的中标候选人。原2分标综合评分排名第二的投标供应商顶替为排名第一，推荐为2分标的中标候选人。</w:t>
      </w:r>
    </w:p>
    <w:p w14:paraId="738BCE2F">
      <w:pPr>
        <w:tabs>
          <w:tab w:val="left" w:pos="180"/>
          <w:tab w:val="left" w:pos="1620"/>
        </w:tabs>
        <w:spacing w:line="420" w:lineRule="exact"/>
        <w:ind w:firstLine="420" w:firstLineChars="200"/>
        <w:jc w:val="left"/>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（3）采购人按评委委员会推荐顺序依法确认中标供应商。</w:t>
      </w:r>
    </w:p>
    <w:p w14:paraId="63B8FF3E">
      <w:pPr>
        <w:tabs>
          <w:tab w:val="left" w:pos="180"/>
          <w:tab w:val="left" w:pos="1620"/>
        </w:tabs>
        <w:spacing w:line="420" w:lineRule="exact"/>
        <w:ind w:firstLine="420" w:firstLineChars="200"/>
        <w:jc w:val="left"/>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（4）投标供应商应对上述中标规则认真研读，并按招标文件第六章的格式在投标文件中提供《关于本项目中标规则的承诺函》扫描件（加盖供应商公章）。</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46"/>
        <w:gridCol w:w="1060"/>
        <w:gridCol w:w="850"/>
        <w:gridCol w:w="1907"/>
        <w:gridCol w:w="1948"/>
        <w:gridCol w:w="908"/>
        <w:gridCol w:w="1029"/>
        <w:gridCol w:w="1029"/>
        <w:gridCol w:w="677"/>
      </w:tblGrid>
      <w:tr w14:paraId="2CEB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000" w:type="pct"/>
            <w:gridSpan w:val="9"/>
            <w:shd w:val="clear" w:color="auto" w:fill="auto"/>
            <w:vAlign w:val="center"/>
          </w:tcPr>
          <w:p w14:paraId="1B905424">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采购需求一览表</w:t>
            </w:r>
          </w:p>
        </w:tc>
      </w:tr>
      <w:tr w14:paraId="4F5D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1929934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序号</w:t>
            </w:r>
          </w:p>
        </w:tc>
        <w:tc>
          <w:tcPr>
            <w:tcW w:w="537" w:type="pct"/>
            <w:shd w:val="clear" w:color="auto" w:fill="auto"/>
            <w:vAlign w:val="center"/>
          </w:tcPr>
          <w:p w14:paraId="5BC8F64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产品名称</w:t>
            </w:r>
          </w:p>
        </w:tc>
        <w:tc>
          <w:tcPr>
            <w:tcW w:w="431" w:type="pct"/>
            <w:shd w:val="clear" w:color="auto" w:fill="auto"/>
            <w:vAlign w:val="center"/>
          </w:tcPr>
          <w:p w14:paraId="4AF359E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具体产品名称</w:t>
            </w:r>
          </w:p>
        </w:tc>
        <w:tc>
          <w:tcPr>
            <w:tcW w:w="967" w:type="pct"/>
            <w:shd w:val="clear" w:color="auto" w:fill="auto"/>
            <w:vAlign w:val="center"/>
          </w:tcPr>
          <w:p w14:paraId="766F44EB">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检验项目</w:t>
            </w:r>
          </w:p>
        </w:tc>
        <w:tc>
          <w:tcPr>
            <w:tcW w:w="988" w:type="pct"/>
            <w:shd w:val="clear" w:color="auto" w:fill="FFFFFF"/>
            <w:vAlign w:val="center"/>
          </w:tcPr>
          <w:p w14:paraId="5A30A05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执行标准</w:t>
            </w:r>
          </w:p>
        </w:tc>
        <w:tc>
          <w:tcPr>
            <w:tcW w:w="460" w:type="pct"/>
            <w:shd w:val="clear" w:color="auto" w:fill="auto"/>
            <w:vAlign w:val="center"/>
          </w:tcPr>
          <w:p w14:paraId="3210CD2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抽检单价（元）</w:t>
            </w:r>
          </w:p>
        </w:tc>
        <w:tc>
          <w:tcPr>
            <w:tcW w:w="522" w:type="pct"/>
            <w:shd w:val="clear" w:color="auto" w:fill="auto"/>
            <w:vAlign w:val="center"/>
          </w:tcPr>
          <w:p w14:paraId="7AE77467">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预算金额（元）</w:t>
            </w:r>
          </w:p>
        </w:tc>
        <w:tc>
          <w:tcPr>
            <w:tcW w:w="522" w:type="pct"/>
            <w:shd w:val="clear" w:color="auto" w:fill="auto"/>
            <w:vAlign w:val="center"/>
          </w:tcPr>
          <w:p w14:paraId="4823FC2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分标预算金额合计（元）</w:t>
            </w:r>
          </w:p>
        </w:tc>
        <w:tc>
          <w:tcPr>
            <w:tcW w:w="343" w:type="pct"/>
            <w:shd w:val="clear" w:color="auto" w:fill="auto"/>
            <w:noWrap/>
            <w:vAlign w:val="center"/>
          </w:tcPr>
          <w:p w14:paraId="65B5C9DA">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kern w:val="0"/>
                <w:sz w:val="21"/>
                <w:szCs w:val="21"/>
                <w:highlight w:val="none"/>
                <w:u w:val="none"/>
                <w:lang w:val="en-US" w:eastAsia="zh-CN" w:bidi="ar"/>
              </w:rPr>
              <w:t>分标</w:t>
            </w:r>
          </w:p>
        </w:tc>
      </w:tr>
      <w:tr w14:paraId="4F0B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0CE50CD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w:t>
            </w:r>
          </w:p>
        </w:tc>
        <w:tc>
          <w:tcPr>
            <w:tcW w:w="537" w:type="pct"/>
            <w:shd w:val="clear" w:color="auto" w:fill="auto"/>
            <w:vAlign w:val="center"/>
          </w:tcPr>
          <w:p w14:paraId="238CDFA5">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食品用塑料包装容器工具等制品</w:t>
            </w:r>
          </w:p>
        </w:tc>
        <w:tc>
          <w:tcPr>
            <w:tcW w:w="431" w:type="pct"/>
            <w:shd w:val="clear" w:color="auto" w:fill="auto"/>
            <w:vAlign w:val="center"/>
          </w:tcPr>
          <w:p w14:paraId="7C46A5BE">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食品用塑料包装容器工具等制品</w:t>
            </w:r>
          </w:p>
        </w:tc>
        <w:tc>
          <w:tcPr>
            <w:tcW w:w="967" w:type="pct"/>
            <w:shd w:val="clear" w:color="auto" w:fill="auto"/>
            <w:vAlign w:val="center"/>
          </w:tcPr>
          <w:p w14:paraId="38DB55A6">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袋的跌落性能、耐热性、耐高温介质性、甲苯二胺、蒸发残渣、高锰酸钾消耗量、重金属、剂残留量、特定迁移总量、封合强度、内层塑料膜剥离强度、透氧率、挺度、层间剥离、封口剥离力、耐寒性、耐油度、氧气透过率、水蒸气透过率、袋体热合强度、袋口和袋体热合强度、耐压性能、菌落总数、霉菌、酵母菌、大肠菌群、金黄色葡萄球菌、沙门氏菌、志贺氏菌、溶血性链球菌、内层塑料剥离强度、材料与食品接触表面的微生物指标、落镖冲击、直角撕裂强度、气体透过率偏差、透湿量偏差、自粘性（剪切剥离强度）、开卷性、防雾性、卫生指标、柔曲温度、透湿度、加热伸缩率、落球冲击破碎率、邻苯二甲酸二（α-乙基己酯）迁移量、邻苯二甲酸二烯丙酯迁移量、邻苯二甲酸二异壬酯迁移总量、邻苯二甲酸二正丁酯迁移量、提吊试验、跌落试验、漏水性（有要求时）、夹链配合、开启拉力、反复使用、密封试验、悬吊试验、邵氏硬度、感官、尖头吸管尖端角度、异嗅、负重性能、盖体对折性能</w:t>
            </w:r>
          </w:p>
        </w:tc>
        <w:tc>
          <w:tcPr>
            <w:tcW w:w="988" w:type="pct"/>
            <w:shd w:val="clear" w:color="auto" w:fill="FFFFFF"/>
            <w:vAlign w:val="center"/>
          </w:tcPr>
          <w:p w14:paraId="319BADDD">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10003-2008、GB/T 16958-2008、BB/T 0002-2008、GB/T 20218-2021、GB/T 10004-2008、GB/T 19741-2005、QB/T 1871-1993、GB/T 18192-2008、GB/T 18454-2019、GB/T 4456-2008、GB/T 10457-2021、GB/T 15267-1994、BB/T 0039-2013、BB/T 0014-2011、QB/T 1956-1994、BB/T 0030-2019、GB/T 16719-2008、QB/T 2471-2000、GB/T 8946-2013、QB/T 1870-2015、GB/T 24693-2009、GB/T 18006.1-2025、GB 4806.7</w:t>
            </w:r>
            <w:r>
              <w:rPr>
                <w:rFonts w:hint="eastAsia" w:asciiTheme="minorEastAsia" w:hAnsiTheme="minorEastAsia" w:eastAsiaTheme="minorEastAsia" w:cstheme="minorEastAsia"/>
                <w:color w:val="auto"/>
                <w:sz w:val="21"/>
                <w:szCs w:val="21"/>
                <w:highlight w:val="none"/>
                <w:lang w:val="en-US" w:eastAsia="zh-CN"/>
              </w:rPr>
              <w:t>-2023</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41167-2021、GB/T 41000-2021、BB/T 0013-2011、GB/T 17876-2010</w:t>
            </w:r>
          </w:p>
        </w:tc>
        <w:tc>
          <w:tcPr>
            <w:tcW w:w="460" w:type="pct"/>
            <w:vMerge w:val="restart"/>
            <w:shd w:val="clear" w:color="auto" w:fill="auto"/>
            <w:vAlign w:val="center"/>
          </w:tcPr>
          <w:p w14:paraId="04D7A182">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2200</w:t>
            </w:r>
          </w:p>
        </w:tc>
        <w:tc>
          <w:tcPr>
            <w:tcW w:w="522" w:type="pct"/>
            <w:vMerge w:val="restart"/>
            <w:shd w:val="clear" w:color="auto" w:fill="auto"/>
            <w:vAlign w:val="center"/>
          </w:tcPr>
          <w:p w14:paraId="6FF5435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244200</w:t>
            </w:r>
          </w:p>
        </w:tc>
        <w:tc>
          <w:tcPr>
            <w:tcW w:w="522" w:type="pct"/>
            <w:vMerge w:val="restart"/>
            <w:shd w:val="clear" w:color="auto" w:fill="auto"/>
            <w:vAlign w:val="center"/>
          </w:tcPr>
          <w:p w14:paraId="4D6A305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1100000</w:t>
            </w:r>
          </w:p>
        </w:tc>
        <w:tc>
          <w:tcPr>
            <w:tcW w:w="343" w:type="pct"/>
            <w:vMerge w:val="restart"/>
            <w:shd w:val="clear" w:color="auto" w:fill="auto"/>
            <w:noWrap/>
            <w:vAlign w:val="center"/>
          </w:tcPr>
          <w:p w14:paraId="7AD1F101">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w:t>
            </w:r>
          </w:p>
        </w:tc>
      </w:tr>
      <w:tr w14:paraId="3F62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4AFB293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537" w:type="pct"/>
            <w:shd w:val="clear" w:color="auto" w:fill="auto"/>
            <w:vAlign w:val="center"/>
          </w:tcPr>
          <w:p w14:paraId="046DDFF6">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食品用纸包装、容器等制品(实施生产许可证管理）</w:t>
            </w:r>
          </w:p>
        </w:tc>
        <w:tc>
          <w:tcPr>
            <w:tcW w:w="431" w:type="pct"/>
            <w:shd w:val="clear" w:color="auto" w:fill="auto"/>
            <w:vAlign w:val="center"/>
          </w:tcPr>
          <w:p w14:paraId="4A15D961">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食品用纸包装、容器等制品(实施生产许可证管理）</w:t>
            </w:r>
          </w:p>
        </w:tc>
        <w:tc>
          <w:tcPr>
            <w:tcW w:w="967" w:type="pct"/>
            <w:shd w:val="clear" w:color="auto" w:fill="auto"/>
            <w:vAlign w:val="center"/>
          </w:tcPr>
          <w:p w14:paraId="3D90D6DA">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感官、浸泡液、铅、砷、甲醛、荧光性物质、总迁移量、高锰酸钾消耗量、重金属、脱色试验、大肠菌群、沙门氏菌、霉菌、渗漏试验、杯身挺度、感官指标、渗漏性能、抗压强度</w:t>
            </w:r>
          </w:p>
        </w:tc>
        <w:tc>
          <w:tcPr>
            <w:tcW w:w="988" w:type="pct"/>
            <w:shd w:val="clear" w:color="auto" w:fill="FFFFFF"/>
            <w:vAlign w:val="center"/>
          </w:tcPr>
          <w:p w14:paraId="41EDEE7B">
            <w:pPr>
              <w:keepNext w:val="0"/>
              <w:keepLines w:val="0"/>
              <w:widowControl/>
              <w:suppressLineNumbers w:val="0"/>
              <w:spacing w:line="300" w:lineRule="exact"/>
              <w:jc w:val="left"/>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27590-2022、GB/T 27591-2011、GB /T27591-2025、GB4806.8-2022</w:t>
            </w:r>
          </w:p>
        </w:tc>
        <w:tc>
          <w:tcPr>
            <w:tcW w:w="460" w:type="pct"/>
            <w:vMerge w:val="continue"/>
            <w:shd w:val="clear" w:color="auto" w:fill="auto"/>
            <w:vAlign w:val="center"/>
          </w:tcPr>
          <w:p w14:paraId="7EC1D89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63AF533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5BE45E17">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746942C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4E2A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398A4D5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537" w:type="pct"/>
            <w:shd w:val="clear" w:color="auto" w:fill="auto"/>
            <w:vAlign w:val="center"/>
          </w:tcPr>
          <w:p w14:paraId="028ACE8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食品用洗涤剂</w:t>
            </w:r>
          </w:p>
        </w:tc>
        <w:tc>
          <w:tcPr>
            <w:tcW w:w="431" w:type="pct"/>
            <w:shd w:val="clear" w:color="auto" w:fill="auto"/>
            <w:vAlign w:val="center"/>
          </w:tcPr>
          <w:p w14:paraId="5BC22520">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食品用洗涤剂</w:t>
            </w:r>
          </w:p>
        </w:tc>
        <w:tc>
          <w:tcPr>
            <w:tcW w:w="967" w:type="pct"/>
            <w:shd w:val="clear" w:color="auto" w:fill="auto"/>
            <w:vAlign w:val="center"/>
          </w:tcPr>
          <w:p w14:paraId="07BEAF2C">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总活性物含量、pH（25℃,1%溶液）、去污力、荧光增白剂、甲醇、甲醛、砷、重金属、菌落总数、大肠菌群</w:t>
            </w:r>
          </w:p>
        </w:tc>
        <w:tc>
          <w:tcPr>
            <w:tcW w:w="988" w:type="pct"/>
            <w:shd w:val="clear" w:color="auto" w:fill="FFFFFF"/>
            <w:vAlign w:val="center"/>
          </w:tcPr>
          <w:p w14:paraId="07CE3751">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GB/T 9985-2022、GB 14930.1-2022 </w:t>
            </w:r>
          </w:p>
        </w:tc>
        <w:tc>
          <w:tcPr>
            <w:tcW w:w="460" w:type="pct"/>
            <w:vMerge w:val="continue"/>
            <w:shd w:val="clear" w:color="auto" w:fill="auto"/>
            <w:vAlign w:val="center"/>
          </w:tcPr>
          <w:p w14:paraId="219DAE0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6456AA92">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07F2B6C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5DE88E2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43D6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restart"/>
            <w:shd w:val="clear" w:color="auto" w:fill="auto"/>
            <w:vAlign w:val="center"/>
          </w:tcPr>
          <w:p w14:paraId="768C268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37" w:type="pct"/>
            <w:vMerge w:val="restart"/>
            <w:shd w:val="clear" w:color="auto" w:fill="auto"/>
            <w:vAlign w:val="center"/>
          </w:tcPr>
          <w:p w14:paraId="63459006">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建筑用钢筋</w:t>
            </w:r>
          </w:p>
        </w:tc>
        <w:tc>
          <w:tcPr>
            <w:tcW w:w="431" w:type="pct"/>
            <w:shd w:val="clear" w:color="auto" w:fill="auto"/>
            <w:vAlign w:val="center"/>
          </w:tcPr>
          <w:p w14:paraId="5BAC120F">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钢筋混凝土用热轧带肋钢筋</w:t>
            </w:r>
          </w:p>
        </w:tc>
        <w:tc>
          <w:tcPr>
            <w:tcW w:w="967" w:type="pct"/>
            <w:shd w:val="clear" w:color="auto" w:fill="auto"/>
            <w:vAlign w:val="center"/>
          </w:tcPr>
          <w:p w14:paraId="35F0EBD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力学性能、工艺性能、晶粒度、尺寸、重量偏差、化学成分（C、Si、Mn、P、S）</w:t>
            </w:r>
          </w:p>
        </w:tc>
        <w:tc>
          <w:tcPr>
            <w:tcW w:w="988" w:type="pct"/>
            <w:shd w:val="clear" w:color="auto" w:fill="FFFFFF"/>
            <w:vAlign w:val="center"/>
          </w:tcPr>
          <w:p w14:paraId="65729328">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1499.2-2024</w:t>
            </w:r>
          </w:p>
        </w:tc>
        <w:tc>
          <w:tcPr>
            <w:tcW w:w="460" w:type="pct"/>
            <w:vMerge w:val="restart"/>
            <w:shd w:val="clear" w:color="auto" w:fill="auto"/>
            <w:vAlign w:val="center"/>
          </w:tcPr>
          <w:p w14:paraId="56CDC01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2500</w:t>
            </w:r>
          </w:p>
        </w:tc>
        <w:tc>
          <w:tcPr>
            <w:tcW w:w="522" w:type="pct"/>
            <w:vMerge w:val="restart"/>
            <w:shd w:val="clear" w:color="auto" w:fill="auto"/>
            <w:vAlign w:val="center"/>
          </w:tcPr>
          <w:p w14:paraId="28D53357">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395000</w:t>
            </w:r>
          </w:p>
        </w:tc>
        <w:tc>
          <w:tcPr>
            <w:tcW w:w="522" w:type="pct"/>
            <w:vMerge w:val="continue"/>
            <w:shd w:val="clear" w:color="auto" w:fill="auto"/>
            <w:vAlign w:val="center"/>
          </w:tcPr>
          <w:p w14:paraId="2A64DF7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72DE745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25B0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3FC5648B">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7D6597B4">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1BED999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热轧光圆钢筋</w:t>
            </w:r>
          </w:p>
        </w:tc>
        <w:tc>
          <w:tcPr>
            <w:tcW w:w="967" w:type="pct"/>
            <w:shd w:val="clear" w:color="auto" w:fill="auto"/>
            <w:vAlign w:val="center"/>
          </w:tcPr>
          <w:p w14:paraId="30C4642E">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力学性能、工艺性能、尺寸、重量偏差、化学成分（C、Si、Mn、P、S）</w:t>
            </w:r>
          </w:p>
        </w:tc>
        <w:tc>
          <w:tcPr>
            <w:tcW w:w="988" w:type="pct"/>
            <w:shd w:val="clear" w:color="auto" w:fill="FFFFFF"/>
            <w:vAlign w:val="center"/>
          </w:tcPr>
          <w:p w14:paraId="54633CD4">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1499.1-2024</w:t>
            </w:r>
          </w:p>
        </w:tc>
        <w:tc>
          <w:tcPr>
            <w:tcW w:w="460" w:type="pct"/>
            <w:vMerge w:val="continue"/>
            <w:shd w:val="clear" w:color="auto" w:fill="auto"/>
            <w:vAlign w:val="center"/>
          </w:tcPr>
          <w:p w14:paraId="05E00F1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01533A9A">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680F79F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0F3B3F9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45AAF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6AEFF6C4">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537" w:type="pct"/>
            <w:shd w:val="clear" w:color="auto" w:fill="auto"/>
            <w:vAlign w:val="center"/>
          </w:tcPr>
          <w:p w14:paraId="56915A31">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水泥</w:t>
            </w:r>
          </w:p>
        </w:tc>
        <w:tc>
          <w:tcPr>
            <w:tcW w:w="431" w:type="pct"/>
            <w:shd w:val="clear" w:color="auto" w:fill="auto"/>
            <w:vAlign w:val="center"/>
          </w:tcPr>
          <w:p w14:paraId="6032BA51">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水泥</w:t>
            </w:r>
          </w:p>
        </w:tc>
        <w:tc>
          <w:tcPr>
            <w:tcW w:w="967" w:type="pct"/>
            <w:shd w:val="clear" w:color="auto" w:fill="auto"/>
            <w:vAlign w:val="center"/>
          </w:tcPr>
          <w:p w14:paraId="27D37B50">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烧失量、氯离子、水泥中水溶性六价铬(Ⅵ)、f-CaO、MgO、SO</w:t>
            </w:r>
            <w:r>
              <w:rPr>
                <w:rFonts w:hint="eastAsia" w:asciiTheme="minorEastAsia" w:hAnsiTheme="minorEastAsia" w:eastAsiaTheme="minorEastAsia" w:cstheme="minorEastAsia"/>
                <w:i w:val="0"/>
                <w:iCs w:val="0"/>
                <w:color w:val="auto"/>
                <w:kern w:val="0"/>
                <w:sz w:val="21"/>
                <w:szCs w:val="21"/>
                <w:highlight w:val="none"/>
                <w:u w:val="none"/>
                <w:vertAlign w:val="subscript"/>
                <w:lang w:val="en-US" w:eastAsia="zh-CN" w:bidi="ar"/>
              </w:rPr>
              <w:t>3</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 CaO·SiO</w:t>
            </w:r>
            <w:r>
              <w:rPr>
                <w:rFonts w:hint="eastAsia" w:asciiTheme="minorEastAsia" w:hAnsiTheme="minorEastAsia" w:eastAsiaTheme="minorEastAsia" w:cstheme="minorEastAsia"/>
                <w:i w:val="0"/>
                <w:iCs w:val="0"/>
                <w:color w:val="auto"/>
                <w:kern w:val="0"/>
                <w:sz w:val="21"/>
                <w:szCs w:val="21"/>
                <w:highlight w:val="none"/>
                <w:u w:val="none"/>
                <w:vertAlign w:val="subscript"/>
                <w:lang w:val="en-US" w:eastAsia="zh-CN" w:bidi="ar"/>
              </w:rPr>
              <w:t>2</w:t>
            </w:r>
            <w:r>
              <w:rPr>
                <w:rFonts w:hint="eastAsia" w:asciiTheme="minorEastAsia" w:hAnsiTheme="minorEastAsia" w:eastAsiaTheme="minorEastAsia" w:cstheme="minorEastAsia"/>
                <w:i w:val="0"/>
                <w:iCs w:val="0"/>
                <w:color w:val="auto"/>
                <w:kern w:val="0"/>
                <w:sz w:val="21"/>
                <w:szCs w:val="21"/>
                <w:highlight w:val="none"/>
                <w:u w:val="none"/>
                <w:vertAlign w:val="superscript"/>
                <w:lang w:val="en-US" w:eastAsia="zh-CN" w:bidi="ar"/>
              </w:rPr>
              <w:t>+2</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 CaO·SiO</w:t>
            </w:r>
            <w:r>
              <w:rPr>
                <w:rFonts w:hint="eastAsia" w:asciiTheme="minorEastAsia" w:hAnsiTheme="minorEastAsia" w:eastAsiaTheme="minorEastAsia" w:cstheme="minorEastAsia"/>
                <w:i w:val="0"/>
                <w:iCs w:val="0"/>
                <w:color w:val="auto"/>
                <w:kern w:val="0"/>
                <w:sz w:val="21"/>
                <w:szCs w:val="21"/>
                <w:highlight w:val="none"/>
                <w:u w:val="none"/>
                <w:vertAlign w:val="subscript"/>
                <w:lang w:val="en-US" w:eastAsia="zh-CN" w:bidi="ar"/>
              </w:rPr>
              <w:t>2</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）、强度、放射性、白度、保水率、CaO/SiO</w:t>
            </w:r>
            <w:r>
              <w:rPr>
                <w:rFonts w:hint="eastAsia" w:asciiTheme="minorEastAsia" w:hAnsiTheme="minorEastAsia" w:eastAsiaTheme="minorEastAsia" w:cstheme="minorEastAsia"/>
                <w:i w:val="0"/>
                <w:iCs w:val="0"/>
                <w:color w:val="auto"/>
                <w:kern w:val="0"/>
                <w:sz w:val="21"/>
                <w:szCs w:val="21"/>
                <w:highlight w:val="none"/>
                <w:u w:val="none"/>
                <w:vertAlign w:val="subscript"/>
                <w:lang w:val="en-US" w:eastAsia="zh-CN" w:bidi="ar"/>
              </w:rPr>
              <w:t>2</w:t>
            </w:r>
          </w:p>
        </w:tc>
        <w:tc>
          <w:tcPr>
            <w:tcW w:w="988" w:type="pct"/>
            <w:shd w:val="clear" w:color="auto" w:fill="FFFFFF"/>
            <w:vAlign w:val="center"/>
          </w:tcPr>
          <w:p w14:paraId="5B39D733">
            <w:pPr>
              <w:keepNext w:val="0"/>
              <w:keepLines w:val="0"/>
              <w:widowControl/>
              <w:suppressLineNumbers w:val="0"/>
              <w:spacing w:line="300" w:lineRule="exact"/>
              <w:jc w:val="left"/>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175-2023、GB/T 2015-2017、GB/T 3183-2017、GB/T 35162-2017、GB/T 21372-2024</w:t>
            </w:r>
          </w:p>
        </w:tc>
        <w:tc>
          <w:tcPr>
            <w:tcW w:w="460" w:type="pct"/>
            <w:vMerge w:val="continue"/>
            <w:shd w:val="clear" w:color="auto" w:fill="auto"/>
            <w:vAlign w:val="center"/>
          </w:tcPr>
          <w:p w14:paraId="4394E532">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3B7CF3CA">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5A15A32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2FD8D68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79A0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13BEDA54">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537" w:type="pct"/>
            <w:shd w:val="clear" w:color="auto" w:fill="auto"/>
            <w:vAlign w:val="center"/>
          </w:tcPr>
          <w:p w14:paraId="78DF7042">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电线电缆</w:t>
            </w:r>
          </w:p>
        </w:tc>
        <w:tc>
          <w:tcPr>
            <w:tcW w:w="431" w:type="pct"/>
            <w:shd w:val="clear" w:color="auto" w:fill="auto"/>
            <w:vAlign w:val="center"/>
          </w:tcPr>
          <w:p w14:paraId="74BEBDEF">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电线电缆</w:t>
            </w:r>
          </w:p>
        </w:tc>
        <w:tc>
          <w:tcPr>
            <w:tcW w:w="967" w:type="pct"/>
            <w:shd w:val="clear" w:color="auto" w:fill="auto"/>
            <w:vAlign w:val="center"/>
          </w:tcPr>
          <w:p w14:paraId="4A47BA8A">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导体电阻、成品电缆电压试验、4h电压试验、绝缘线芯电压试验、绝缘电阻、绝缘平均厚度、绝缘最薄处厚度、护套平均厚度、护套最薄处厚度、绝缘老化前抗张强度、绝缘老化前断裂伸长率、绝缘老化后抗张强度、绝缘老化后断裂伸长率、绝缘老化后抗张强度变化率、绝缘老化后断裂伸长率变化率、绝缘失重试验、护套老化前抗张强度、护套老化前断裂伸长率、护套老化后抗张强度、护套老化后断裂伸长率、护套老化后抗张强度变化率、护套老化后断裂伸长率变化率、护套失重试验、绝缘偏心度、绝缘热冲击试验、护套热冲击试验、不延燃试验/电缆单根阻燃、绝缘热延伸、绝缘的收缩、曲挠试验、电缆的成束阻燃、烟密度、耐火性能、pH值和电导率、导线尺寸、导线直径、 绞合导线表面、 单位长度质量、绞制、节径比、铝线抗拉强度、铝线卷绕试验、20℃时电阻率、钢线抗拉强度、 钢线1%伸长时的应力、钢线伸长率、钢线卷绕试验、钢线扭转试验、镀锌层重量、镀锌层附着性、镀锌层连续性</w:t>
            </w:r>
          </w:p>
        </w:tc>
        <w:tc>
          <w:tcPr>
            <w:tcW w:w="988" w:type="pct"/>
            <w:shd w:val="clear" w:color="auto" w:fill="FFFFFF"/>
            <w:vAlign w:val="center"/>
          </w:tcPr>
          <w:p w14:paraId="57E00CEE">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12706.1</w:t>
            </w:r>
            <w:r>
              <w:rPr>
                <w:rFonts w:hint="eastAsia" w:asciiTheme="minorEastAsia" w:hAnsiTheme="minorEastAsia" w:eastAsiaTheme="minorEastAsia" w:cstheme="minorEastAsia"/>
                <w:color w:val="auto"/>
                <w:sz w:val="21"/>
                <w:szCs w:val="21"/>
                <w:highlight w:val="none"/>
                <w:lang w:val="en-US" w:eastAsia="zh-CN"/>
              </w:rPr>
              <w:t>-2020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5023.3</w:t>
            </w:r>
            <w:r>
              <w:rPr>
                <w:rFonts w:hint="eastAsia" w:asciiTheme="minorEastAsia" w:hAnsiTheme="minorEastAsia" w:eastAsiaTheme="minorEastAsia" w:cstheme="minorEastAsia"/>
                <w:color w:val="auto"/>
                <w:sz w:val="21"/>
                <w:szCs w:val="21"/>
                <w:highlight w:val="none"/>
                <w:lang w:val="en-US" w:eastAsia="zh-CN"/>
              </w:rPr>
              <w:t>-2008</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、JB/T 8734.2</w:t>
            </w:r>
            <w:r>
              <w:rPr>
                <w:rFonts w:hint="eastAsia" w:asciiTheme="minorEastAsia" w:hAnsiTheme="minorEastAsia" w:eastAsiaTheme="minorEastAsia" w:cstheme="minorEastAsia"/>
                <w:color w:val="auto"/>
                <w:sz w:val="21"/>
                <w:szCs w:val="21"/>
                <w:highlight w:val="none"/>
                <w:lang w:val="en-US" w:eastAsia="zh-CN"/>
              </w:rPr>
              <w:t>-2016</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、XF 306.1-2007（GA 306.1-2007)、GB/T 9330-2020、GB/T 1179</w:t>
            </w:r>
            <w:r>
              <w:rPr>
                <w:rFonts w:hint="eastAsia" w:asciiTheme="minorEastAsia" w:hAnsiTheme="minorEastAsia" w:eastAsiaTheme="minorEastAsia" w:cstheme="minorEastAsia"/>
                <w:color w:val="auto"/>
                <w:sz w:val="21"/>
                <w:szCs w:val="21"/>
                <w:highlight w:val="none"/>
                <w:lang w:val="en-US" w:eastAsia="zh-CN"/>
              </w:rPr>
              <w:t>-2017</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10491-2010、GB/T 12527-2008</w:t>
            </w:r>
          </w:p>
        </w:tc>
        <w:tc>
          <w:tcPr>
            <w:tcW w:w="460" w:type="pct"/>
            <w:vMerge w:val="continue"/>
            <w:shd w:val="clear" w:color="auto" w:fill="auto"/>
            <w:vAlign w:val="center"/>
          </w:tcPr>
          <w:p w14:paraId="31C77B7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103CE63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503B914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3F51245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70EF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3773BC6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537" w:type="pct"/>
            <w:shd w:val="clear" w:color="auto" w:fill="auto"/>
            <w:vAlign w:val="center"/>
          </w:tcPr>
          <w:p w14:paraId="39653C85">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复混（合）肥料</w:t>
            </w:r>
          </w:p>
        </w:tc>
        <w:tc>
          <w:tcPr>
            <w:tcW w:w="431" w:type="pct"/>
            <w:shd w:val="clear" w:color="auto" w:fill="auto"/>
            <w:vAlign w:val="center"/>
          </w:tcPr>
          <w:p w14:paraId="35EAC381">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复混（合）肥料</w:t>
            </w:r>
          </w:p>
        </w:tc>
        <w:tc>
          <w:tcPr>
            <w:tcW w:w="967" w:type="pct"/>
            <w:shd w:val="clear" w:color="auto" w:fill="auto"/>
            <w:vAlign w:val="center"/>
          </w:tcPr>
          <w:p w14:paraId="777E39DF">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外观、总养分（总氮、有效磷、钾）、粒度、氯离子、水溶性磷占有效磷百分率、有机质、酸碱度、蛔虫卵死亡率、粪大肠菌群数、砷、铅、镉、铬、汞、缩二脲</w:t>
            </w:r>
          </w:p>
        </w:tc>
        <w:tc>
          <w:tcPr>
            <w:tcW w:w="988" w:type="pct"/>
            <w:shd w:val="clear" w:color="auto" w:fill="FFFFFF"/>
            <w:vAlign w:val="center"/>
          </w:tcPr>
          <w:p w14:paraId="66FB0DF3">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15063-2020、GB/T 21633-2020、GB/T 18877-2020</w:t>
            </w:r>
          </w:p>
        </w:tc>
        <w:tc>
          <w:tcPr>
            <w:tcW w:w="460" w:type="pct"/>
            <w:shd w:val="clear" w:color="auto" w:fill="auto"/>
            <w:vAlign w:val="center"/>
          </w:tcPr>
          <w:p w14:paraId="51A268D1">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1800</w:t>
            </w:r>
          </w:p>
        </w:tc>
        <w:tc>
          <w:tcPr>
            <w:tcW w:w="522" w:type="pct"/>
            <w:shd w:val="clear" w:color="auto" w:fill="auto"/>
            <w:vAlign w:val="center"/>
          </w:tcPr>
          <w:p w14:paraId="3BBF199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100800</w:t>
            </w:r>
          </w:p>
        </w:tc>
        <w:tc>
          <w:tcPr>
            <w:tcW w:w="522" w:type="pct"/>
            <w:vMerge w:val="continue"/>
            <w:shd w:val="clear" w:color="auto" w:fill="auto"/>
            <w:vAlign w:val="center"/>
          </w:tcPr>
          <w:p w14:paraId="5915BB3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7C9E7C9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2259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1E80B76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537" w:type="pct"/>
            <w:shd w:val="clear" w:color="auto" w:fill="auto"/>
            <w:vAlign w:val="center"/>
          </w:tcPr>
          <w:p w14:paraId="013BBF49">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人造板</w:t>
            </w:r>
          </w:p>
        </w:tc>
        <w:tc>
          <w:tcPr>
            <w:tcW w:w="431" w:type="pct"/>
            <w:shd w:val="clear" w:color="auto" w:fill="auto"/>
            <w:vAlign w:val="center"/>
          </w:tcPr>
          <w:p w14:paraId="7F2673E1">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细木工板、中密度纤维板、刨花板、</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普通胶合板、</w:t>
            </w:r>
            <w:r>
              <w:rPr>
                <w:rFonts w:hint="eastAsia" w:ascii="宋体" w:hAnsi="宋体"/>
                <w:b w:val="0"/>
                <w:bCs w:val="0"/>
                <w:color w:val="auto"/>
                <w:sz w:val="21"/>
                <w:szCs w:val="21"/>
                <w:highlight w:val="none"/>
              </w:rPr>
              <w:t>混凝土模板用胶合板</w:t>
            </w:r>
            <w:r>
              <w:rPr>
                <w:rFonts w:hint="eastAsia" w:ascii="宋体" w:hAnsi="宋体"/>
                <w:b w:val="0"/>
                <w:bCs w:val="0"/>
                <w:color w:val="auto"/>
                <w:sz w:val="21"/>
                <w:szCs w:val="21"/>
                <w:highlight w:val="none"/>
                <w:lang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浸渍胶膜纸饰面纤维板和刨花板、浸渍胶膜纸饰面胶合板和细木工板</w:t>
            </w:r>
          </w:p>
        </w:tc>
        <w:tc>
          <w:tcPr>
            <w:tcW w:w="967" w:type="pct"/>
            <w:shd w:val="clear" w:color="auto" w:fill="auto"/>
            <w:vAlign w:val="center"/>
          </w:tcPr>
          <w:p w14:paraId="588B7942">
            <w:pPr>
              <w:keepNext w:val="0"/>
              <w:keepLines w:val="0"/>
              <w:pageBreakBefore w:val="0"/>
              <w:widowControl/>
              <w:kinsoku w:val="0"/>
              <w:wordWrap/>
              <w:overflowPunct/>
              <w:topLinePunct w:val="0"/>
              <w:autoSpaceDE w:val="0"/>
              <w:autoSpaceDN w:val="0"/>
              <w:bidi w:val="0"/>
              <w:adjustRightInd w:val="0"/>
              <w:snapToGrid w:val="0"/>
              <w:spacing w:line="240" w:lineRule="auto"/>
              <w:ind w:right="69"/>
              <w:jc w:val="both"/>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细木工板：</w:t>
            </w:r>
            <w:r>
              <w:rPr>
                <w:rFonts w:hint="eastAsia" w:ascii="宋体" w:hAnsi="宋体"/>
                <w:color w:val="auto"/>
                <w:sz w:val="21"/>
                <w:szCs w:val="21"/>
                <w:highlight w:val="none"/>
              </w:rPr>
              <w:t>含水率、横向静曲强度、浸渍剥离性能、表面胶合强度、胶合强度、甲醛释放量</w:t>
            </w:r>
          </w:p>
          <w:p w14:paraId="3F2A7E05">
            <w:pPr>
              <w:keepNext w:val="0"/>
              <w:keepLines w:val="0"/>
              <w:pageBreakBefore w:val="0"/>
              <w:widowControl/>
              <w:kinsoku w:val="0"/>
              <w:wordWrap/>
              <w:overflowPunct/>
              <w:topLinePunct w:val="0"/>
              <w:autoSpaceDE w:val="0"/>
              <w:autoSpaceDN w:val="0"/>
              <w:bidi w:val="0"/>
              <w:adjustRightInd w:val="0"/>
              <w:snapToGrid w:val="0"/>
              <w:spacing w:line="240" w:lineRule="auto"/>
              <w:ind w:right="3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中密度纤维板：</w:t>
            </w:r>
            <w:r>
              <w:rPr>
                <w:rFonts w:hint="eastAsia" w:ascii="宋体" w:hAnsi="宋体"/>
                <w:color w:val="auto"/>
                <w:sz w:val="21"/>
                <w:szCs w:val="21"/>
                <w:highlight w:val="none"/>
              </w:rPr>
              <w:t>静曲强度、弹性模量、内结合强度、吸水厚度膨胀率、表面结合强度、甲醛释放量</w:t>
            </w:r>
          </w:p>
          <w:p w14:paraId="01C37D94">
            <w:pPr>
              <w:keepNext w:val="0"/>
              <w:keepLines w:val="0"/>
              <w:pageBreakBefore w:val="0"/>
              <w:widowControl/>
              <w:kinsoku w:val="0"/>
              <w:wordWrap/>
              <w:overflowPunct/>
              <w:topLinePunct w:val="0"/>
              <w:autoSpaceDE w:val="0"/>
              <w:autoSpaceDN w:val="0"/>
              <w:bidi w:val="0"/>
              <w:adjustRightInd w:val="0"/>
              <w:snapToGrid w:val="0"/>
              <w:spacing w:line="240" w:lineRule="auto"/>
              <w:ind w:right="153"/>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刨花板：</w:t>
            </w:r>
            <w:r>
              <w:rPr>
                <w:rFonts w:hint="eastAsia" w:ascii="宋体" w:hAnsi="宋体"/>
                <w:color w:val="auto"/>
                <w:sz w:val="21"/>
                <w:szCs w:val="21"/>
                <w:highlight w:val="none"/>
              </w:rPr>
              <w:t>2h吸水厚度膨胀率、静曲强度、弹性模量、内胶合强度、表面胶合强度、甲醛释放量</w:t>
            </w:r>
          </w:p>
          <w:p w14:paraId="43B91AE5">
            <w:pPr>
              <w:keepNext w:val="0"/>
              <w:keepLines w:val="0"/>
              <w:pageBreakBefore w:val="0"/>
              <w:widowControl/>
              <w:kinsoku w:val="0"/>
              <w:wordWrap/>
              <w:overflowPunct/>
              <w:topLinePunct w:val="0"/>
              <w:autoSpaceDE w:val="0"/>
              <w:autoSpaceDN w:val="0"/>
              <w:bidi w:val="0"/>
              <w:adjustRightInd w:val="0"/>
              <w:snapToGrid w:val="0"/>
              <w:spacing w:line="240" w:lineRule="auto"/>
              <w:ind w:right="153"/>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普通胶合板：</w:t>
            </w:r>
            <w:r>
              <w:rPr>
                <w:rFonts w:hint="eastAsia" w:ascii="宋体" w:hAnsi="宋体" w:eastAsia="宋体" w:cs="宋体"/>
                <w:color w:val="auto"/>
                <w:sz w:val="21"/>
                <w:szCs w:val="21"/>
                <w:highlight w:val="none"/>
              </w:rPr>
              <w:t>含水率、胶合强度、静曲强度、弹性模量、甲醛释放量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浸渍剥离</w:t>
            </w:r>
          </w:p>
          <w:p w14:paraId="2107645A">
            <w:pPr>
              <w:keepNext w:val="0"/>
              <w:keepLines w:val="0"/>
              <w:pageBreakBefore w:val="0"/>
              <w:widowControl w:val="0"/>
              <w:kinsoku/>
              <w:wordWrap/>
              <w:overflowPunct/>
              <w:topLinePunct w:val="0"/>
              <w:autoSpaceDE/>
              <w:autoSpaceDN/>
              <w:bidi w:val="0"/>
              <w:snapToGrid w:val="0"/>
              <w:spacing w:line="280" w:lineRule="exact"/>
              <w:jc w:val="both"/>
              <w:textAlignment w:val="auto"/>
              <w:rPr>
                <w:rFonts w:hint="eastAsia" w:ascii="宋体" w:hAnsi="宋体" w:eastAsia="宋体" w:cs="宋体"/>
                <w:color w:val="auto"/>
                <w:sz w:val="21"/>
                <w:szCs w:val="21"/>
                <w:highlight w:val="none"/>
              </w:rPr>
            </w:pPr>
            <w:r>
              <w:rPr>
                <w:rFonts w:hint="eastAsia" w:ascii="宋体" w:hAnsi="宋体"/>
                <w:b/>
                <w:bCs/>
                <w:color w:val="auto"/>
                <w:sz w:val="21"/>
                <w:szCs w:val="21"/>
                <w:highlight w:val="none"/>
              </w:rPr>
              <w:t>混凝土模板用胶合板</w:t>
            </w:r>
            <w:r>
              <w:rPr>
                <w:rFonts w:hint="eastAsia" w:ascii="宋体" w:hAnsi="宋体" w:eastAsia="宋体"/>
                <w:b/>
                <w:bCs/>
                <w:color w:val="auto"/>
                <w:sz w:val="21"/>
                <w:szCs w:val="21"/>
                <w:highlight w:val="none"/>
                <w:lang w:eastAsia="zh-CN"/>
              </w:rPr>
              <w:t>：</w:t>
            </w:r>
            <w:r>
              <w:rPr>
                <w:rFonts w:hint="eastAsia" w:ascii="宋体" w:hAnsi="宋体"/>
                <w:color w:val="auto"/>
                <w:sz w:val="21"/>
                <w:szCs w:val="21"/>
                <w:highlight w:val="none"/>
              </w:rPr>
              <w:t>含水率、胶合强度、静曲强度、弹性模量、浸渍剥离性能</w:t>
            </w:r>
          </w:p>
          <w:p w14:paraId="15ED8267">
            <w:pPr>
              <w:keepNext w:val="0"/>
              <w:keepLines w:val="0"/>
              <w:pageBreakBefore w:val="0"/>
              <w:widowControl/>
              <w:kinsoku w:val="0"/>
              <w:wordWrap/>
              <w:overflowPunct/>
              <w:topLinePunct w:val="0"/>
              <w:autoSpaceDE w:val="0"/>
              <w:autoSpaceDN w:val="0"/>
              <w:bidi w:val="0"/>
              <w:adjustRightInd w:val="0"/>
              <w:snapToGrid w:val="0"/>
              <w:spacing w:line="240" w:lineRule="auto"/>
              <w:ind w:right="153"/>
              <w:jc w:val="both"/>
              <w:textAlignment w:val="baseline"/>
              <w:rPr>
                <w:rFonts w:hint="eastAsia" w:ascii="宋体" w:hAnsi="宋体" w:eastAsia="宋体" w:cs="宋体"/>
                <w:b/>
                <w:bCs/>
                <w:color w:val="auto"/>
                <w:sz w:val="21"/>
                <w:szCs w:val="21"/>
                <w:highlight w:val="none"/>
              </w:rPr>
            </w:pPr>
            <w:r>
              <w:rPr>
                <w:rFonts w:ascii="宋体" w:hAnsi="宋体"/>
                <w:b/>
                <w:bCs/>
                <w:color w:val="auto"/>
                <w:sz w:val="21"/>
                <w:szCs w:val="21"/>
                <w:highlight w:val="none"/>
              </w:rPr>
              <w:t>浸渍胶膜纸饰面纤维板和刨花板</w:t>
            </w:r>
            <w:r>
              <w:rPr>
                <w:rFonts w:hint="eastAsia" w:ascii="宋体" w:hAnsi="宋体" w:eastAsia="宋体"/>
                <w:b/>
                <w:bCs/>
                <w:color w:val="auto"/>
                <w:sz w:val="21"/>
                <w:szCs w:val="21"/>
                <w:highlight w:val="none"/>
                <w:lang w:eastAsia="zh-CN"/>
              </w:rPr>
              <w:t>：</w:t>
            </w:r>
            <w:r>
              <w:rPr>
                <w:rFonts w:hint="eastAsia" w:ascii="宋体" w:hAnsi="宋体"/>
                <w:color w:val="auto"/>
                <w:sz w:val="21"/>
                <w:szCs w:val="21"/>
                <w:highlight w:val="none"/>
              </w:rPr>
              <w:t>静曲强度、弹性模量、内结合强度、表面胶合强度、表面耐磨、表面耐干热、表面耐污染腐蚀、表面耐龟裂、</w:t>
            </w:r>
            <w:r>
              <w:rPr>
                <w:rFonts w:hint="eastAsia" w:ascii="宋体" w:hAnsi="宋体"/>
                <w:b w:val="0"/>
                <w:bCs w:val="0"/>
                <w:color w:val="auto"/>
                <w:sz w:val="21"/>
                <w:szCs w:val="21"/>
                <w:highlight w:val="none"/>
              </w:rPr>
              <w:t>甲醛释放量</w:t>
            </w:r>
          </w:p>
          <w:p w14:paraId="59A854C5">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ascii="宋体" w:hAnsi="宋体"/>
                <w:b/>
                <w:bCs/>
                <w:color w:val="auto"/>
                <w:sz w:val="21"/>
                <w:szCs w:val="21"/>
                <w:highlight w:val="none"/>
              </w:rPr>
              <w:t>浸渍胶膜纸饰面胶合板和细木工板</w:t>
            </w:r>
            <w:r>
              <w:rPr>
                <w:rFonts w:hint="eastAsia" w:ascii="宋体" w:hAnsi="宋体" w:eastAsia="宋体"/>
                <w:b/>
                <w:bCs/>
                <w:color w:val="auto"/>
                <w:sz w:val="21"/>
                <w:szCs w:val="21"/>
                <w:highlight w:val="none"/>
                <w:lang w:eastAsia="zh-CN"/>
              </w:rPr>
              <w:t>：</w:t>
            </w:r>
            <w:r>
              <w:rPr>
                <w:rFonts w:hint="eastAsia" w:ascii="宋体" w:hAnsi="宋体"/>
                <w:color w:val="auto"/>
                <w:sz w:val="21"/>
                <w:szCs w:val="21"/>
                <w:highlight w:val="none"/>
              </w:rPr>
              <w:t>含水率、表面胶合强度、表面耐划痕、表面耐磨、表面耐干热、表面耐污染腐蚀、表面耐冷热循环、表面耐龟裂、表面耐水蒸气、甲醛释放量</w:t>
            </w:r>
            <w:r>
              <w:rPr>
                <w:rFonts w:hint="eastAsia" w:ascii="宋体" w:hAnsi="宋体" w:eastAsia="宋体"/>
                <w:color w:val="auto"/>
                <w:sz w:val="21"/>
                <w:szCs w:val="21"/>
                <w:highlight w:val="none"/>
                <w:lang w:eastAsia="zh-CN"/>
              </w:rPr>
              <w:t>、</w:t>
            </w:r>
            <w:r>
              <w:rPr>
                <w:rFonts w:hint="eastAsia" w:ascii="宋体" w:hAnsi="宋体"/>
                <w:color w:val="auto"/>
                <w:sz w:val="21"/>
                <w:szCs w:val="21"/>
                <w:highlight w:val="none"/>
              </w:rPr>
              <w:t>胶合强度</w:t>
            </w:r>
            <w:r>
              <w:rPr>
                <w:rFonts w:hint="eastAsia" w:ascii="宋体" w:hAnsi="宋体" w:eastAsia="宋体"/>
                <w:color w:val="auto"/>
                <w:sz w:val="21"/>
                <w:szCs w:val="21"/>
                <w:highlight w:val="none"/>
                <w:lang w:eastAsia="zh-CN"/>
              </w:rPr>
              <w:t>、</w:t>
            </w:r>
            <w:r>
              <w:rPr>
                <w:rFonts w:hint="eastAsia" w:ascii="宋体" w:hAnsi="宋体"/>
                <w:color w:val="auto"/>
                <w:sz w:val="21"/>
                <w:szCs w:val="21"/>
                <w:highlight w:val="none"/>
              </w:rPr>
              <w:t>浸渍剥离、横向静曲强度</w:t>
            </w:r>
          </w:p>
        </w:tc>
        <w:tc>
          <w:tcPr>
            <w:tcW w:w="988" w:type="pct"/>
            <w:shd w:val="clear" w:color="auto" w:fill="FFFFFF"/>
            <w:vAlign w:val="center"/>
          </w:tcPr>
          <w:p w14:paraId="6DE1669D">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5849-2016、GB/T 11718-2021、GB/T 4897-2015、GB/T 9846-2015、GB/T 15102-2017、GB/T 34722-2025、GB 18580-2017</w:t>
            </w:r>
          </w:p>
        </w:tc>
        <w:tc>
          <w:tcPr>
            <w:tcW w:w="460" w:type="pct"/>
            <w:shd w:val="clear" w:color="auto" w:fill="auto"/>
            <w:vAlign w:val="center"/>
          </w:tcPr>
          <w:p w14:paraId="55B1B99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2800</w:t>
            </w:r>
          </w:p>
        </w:tc>
        <w:tc>
          <w:tcPr>
            <w:tcW w:w="522" w:type="pct"/>
            <w:shd w:val="clear" w:color="auto" w:fill="auto"/>
            <w:vAlign w:val="center"/>
          </w:tcPr>
          <w:p w14:paraId="339E9301">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280000</w:t>
            </w:r>
          </w:p>
        </w:tc>
        <w:tc>
          <w:tcPr>
            <w:tcW w:w="522" w:type="pct"/>
            <w:vMerge w:val="continue"/>
            <w:shd w:val="clear" w:color="auto" w:fill="auto"/>
            <w:vAlign w:val="center"/>
          </w:tcPr>
          <w:p w14:paraId="47846EE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2B0700A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358F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36B41E3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537" w:type="pct"/>
            <w:shd w:val="clear" w:color="auto" w:fill="auto"/>
            <w:vAlign w:val="center"/>
          </w:tcPr>
          <w:p w14:paraId="49988AE9">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质量快速筛查</w:t>
            </w:r>
          </w:p>
        </w:tc>
        <w:tc>
          <w:tcPr>
            <w:tcW w:w="431" w:type="pct"/>
            <w:shd w:val="clear" w:color="auto" w:fill="auto"/>
            <w:vAlign w:val="center"/>
          </w:tcPr>
          <w:p w14:paraId="3105A1FF">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967" w:type="pct"/>
            <w:shd w:val="clear" w:color="auto" w:fill="auto"/>
            <w:vAlign w:val="center"/>
          </w:tcPr>
          <w:p w14:paraId="7F76DBEA">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988" w:type="pct"/>
            <w:shd w:val="clear" w:color="auto" w:fill="FFFFFF"/>
            <w:vAlign w:val="center"/>
          </w:tcPr>
          <w:p w14:paraId="2883BB09">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460" w:type="pct"/>
            <w:shd w:val="clear" w:color="auto" w:fill="auto"/>
            <w:vAlign w:val="center"/>
          </w:tcPr>
          <w:p w14:paraId="5932C481">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200</w:t>
            </w:r>
          </w:p>
        </w:tc>
        <w:tc>
          <w:tcPr>
            <w:tcW w:w="522" w:type="pct"/>
            <w:shd w:val="clear" w:color="auto" w:fill="auto"/>
            <w:vAlign w:val="center"/>
          </w:tcPr>
          <w:p w14:paraId="45CF29C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80000</w:t>
            </w:r>
          </w:p>
        </w:tc>
        <w:tc>
          <w:tcPr>
            <w:tcW w:w="522" w:type="pct"/>
            <w:vMerge w:val="continue"/>
            <w:shd w:val="clear" w:color="auto" w:fill="auto"/>
            <w:vAlign w:val="center"/>
          </w:tcPr>
          <w:p w14:paraId="20D5159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5349C62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06A8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35FDBEEA">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537" w:type="pct"/>
            <w:shd w:val="clear" w:color="auto" w:fill="auto"/>
            <w:vAlign w:val="center"/>
          </w:tcPr>
          <w:p w14:paraId="437B9ADE">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食品用塑料包装容器工具等制品</w:t>
            </w:r>
          </w:p>
        </w:tc>
        <w:tc>
          <w:tcPr>
            <w:tcW w:w="431" w:type="pct"/>
            <w:shd w:val="clear" w:color="auto" w:fill="auto"/>
            <w:vAlign w:val="center"/>
          </w:tcPr>
          <w:p w14:paraId="7F89D4F1">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食品用塑料包装容器工具等制品</w:t>
            </w:r>
          </w:p>
        </w:tc>
        <w:tc>
          <w:tcPr>
            <w:tcW w:w="967" w:type="pct"/>
            <w:shd w:val="clear" w:color="auto" w:fill="auto"/>
            <w:vAlign w:val="center"/>
          </w:tcPr>
          <w:p w14:paraId="7DC5F770">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袋的跌落性能、耐热性、耐高温介质性、甲苯二胺、蒸发残渣、高锰酸钾消耗量、重金属、剂残留量、特定迁移总量、封合强度、内层塑料膜剥离强度、透氧率、挺度、层间剥离、封口剥离力、耐寒性、耐油度、氧气透过率、水蒸气透过率、袋体热合强度、袋口和袋体热合强度、耐压性能、菌落总数、霉菌、酵母菌、大肠菌群、金黄色葡萄球菌、沙门氏菌、志贺氏菌、溶血性链球菌、内层塑料剥离强度、材料与食品接触表面的微生物指标、落镖冲击、直角撕裂强度、气体透过率偏差、透湿量偏差、自粘性（剪切剥离强度）、开卷性、防雾性、卫生指标、柔曲温度、透湿度、加热伸缩率、落球冲击破碎率、邻苯二甲酸二（α-乙基己酯）迁移量、邻苯二甲酸二烯丙酯迁移量、邻苯二甲酸二异壬酯迁移总量、邻苯二甲酸二正丁酯迁移量、提吊试验、跌落试验、漏水性（有要求时）、夹链配合、开启拉力、反复使用、密封试验、悬吊试验、邵氏硬度、感官、尖头吸管尖端角度、异嗅、负重性能、盖体对折性能</w:t>
            </w:r>
          </w:p>
        </w:tc>
        <w:tc>
          <w:tcPr>
            <w:tcW w:w="988" w:type="pct"/>
            <w:shd w:val="clear" w:color="auto" w:fill="FFFFFF"/>
            <w:vAlign w:val="center"/>
          </w:tcPr>
          <w:p w14:paraId="5BF77124">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10003-2008、GB/T 16958-2008、BB/T 0002-2008、GB/T 20218-2021、GB/T 10004-2008、GB/T 19741-2005、QB/T 1871-1993、GB/T 18192-2008、GB/T 18454-2019、GB/T 18706-2025、GB/T 4456-2008、GB/T 10457-2021、GB/T 15267-1994、BB/T 0039-2013、BB/T 0014-2011、QB/T 1956-1994、BB/T 0030-2019、GB/T 16719-2008、QB/T 2471-2000、GB/T 8946-2013、QB/T 1870-2015、GB/T 24693-2009、GB/T 18006.1-2009、GB/T 18006.1-2025、</w:t>
            </w:r>
          </w:p>
          <w:p w14:paraId="0D22ED74">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4806.7-2023、GB/T 41167-20</w:t>
            </w: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41000-2021、BB/T 0013-2011、GB/T 17876-2010</w:t>
            </w:r>
          </w:p>
        </w:tc>
        <w:tc>
          <w:tcPr>
            <w:tcW w:w="460" w:type="pct"/>
            <w:shd w:val="clear" w:color="auto" w:fill="auto"/>
            <w:vAlign w:val="center"/>
          </w:tcPr>
          <w:p w14:paraId="4530E2D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2200</w:t>
            </w:r>
          </w:p>
        </w:tc>
        <w:tc>
          <w:tcPr>
            <w:tcW w:w="522" w:type="pct"/>
            <w:shd w:val="clear" w:color="auto" w:fill="auto"/>
            <w:vAlign w:val="center"/>
          </w:tcPr>
          <w:p w14:paraId="55D4B0D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237600</w:t>
            </w:r>
          </w:p>
        </w:tc>
        <w:tc>
          <w:tcPr>
            <w:tcW w:w="522" w:type="pct"/>
            <w:vMerge w:val="restart"/>
            <w:shd w:val="clear" w:color="auto" w:fill="auto"/>
            <w:vAlign w:val="center"/>
          </w:tcPr>
          <w:p w14:paraId="3F371DB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600000</w:t>
            </w:r>
          </w:p>
        </w:tc>
        <w:tc>
          <w:tcPr>
            <w:tcW w:w="343" w:type="pct"/>
            <w:vMerge w:val="restart"/>
            <w:shd w:val="clear" w:color="auto" w:fill="auto"/>
            <w:noWrap/>
            <w:vAlign w:val="center"/>
          </w:tcPr>
          <w:p w14:paraId="26E09D7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2</w:t>
            </w:r>
          </w:p>
        </w:tc>
      </w:tr>
      <w:tr w14:paraId="00B9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32779E0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537" w:type="pct"/>
            <w:shd w:val="clear" w:color="auto" w:fill="auto"/>
            <w:vAlign w:val="center"/>
          </w:tcPr>
          <w:p w14:paraId="48702E81">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人造板</w:t>
            </w:r>
          </w:p>
        </w:tc>
        <w:tc>
          <w:tcPr>
            <w:tcW w:w="431" w:type="pct"/>
            <w:shd w:val="clear" w:color="auto" w:fill="auto"/>
            <w:vAlign w:val="center"/>
          </w:tcPr>
          <w:p w14:paraId="7F52BC4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细木工板、中密度纤维板、刨花板、</w:t>
            </w: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普通胶合板、</w:t>
            </w:r>
            <w:r>
              <w:rPr>
                <w:rFonts w:hint="eastAsia" w:ascii="宋体" w:hAnsi="宋体"/>
                <w:b w:val="0"/>
                <w:bCs w:val="0"/>
                <w:color w:val="auto"/>
                <w:sz w:val="21"/>
                <w:szCs w:val="21"/>
                <w:highlight w:val="none"/>
              </w:rPr>
              <w:t>混凝土模板用胶合板</w:t>
            </w:r>
            <w:r>
              <w:rPr>
                <w:rFonts w:hint="eastAsia" w:ascii="宋体" w:hAnsi="宋体"/>
                <w:b w:val="0"/>
                <w:bCs w:val="0"/>
                <w:color w:val="auto"/>
                <w:sz w:val="21"/>
                <w:szCs w:val="21"/>
                <w:highlight w:val="none"/>
                <w:lang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浸渍胶膜纸饰面纤维板和刨花板、浸渍胶膜纸饰面胶合板和细木工板</w:t>
            </w:r>
          </w:p>
        </w:tc>
        <w:tc>
          <w:tcPr>
            <w:tcW w:w="967" w:type="pct"/>
            <w:shd w:val="clear" w:color="auto" w:fill="auto"/>
            <w:vAlign w:val="center"/>
          </w:tcPr>
          <w:p w14:paraId="4AF14C1F">
            <w:pPr>
              <w:keepNext w:val="0"/>
              <w:keepLines w:val="0"/>
              <w:pageBreakBefore w:val="0"/>
              <w:widowControl/>
              <w:kinsoku w:val="0"/>
              <w:wordWrap/>
              <w:overflowPunct/>
              <w:topLinePunct w:val="0"/>
              <w:autoSpaceDE w:val="0"/>
              <w:autoSpaceDN w:val="0"/>
              <w:bidi w:val="0"/>
              <w:adjustRightInd w:val="0"/>
              <w:snapToGrid w:val="0"/>
              <w:spacing w:line="240" w:lineRule="auto"/>
              <w:ind w:right="69"/>
              <w:jc w:val="both"/>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细木工板：</w:t>
            </w:r>
            <w:r>
              <w:rPr>
                <w:rFonts w:hint="eastAsia" w:ascii="宋体" w:hAnsi="宋体"/>
                <w:color w:val="auto"/>
                <w:sz w:val="21"/>
                <w:szCs w:val="21"/>
                <w:highlight w:val="none"/>
              </w:rPr>
              <w:t>含水率、横向静曲强度、浸渍剥离性能、表面胶合强度、胶合强度、甲醛释放量</w:t>
            </w:r>
          </w:p>
          <w:p w14:paraId="2991660B">
            <w:pPr>
              <w:keepNext w:val="0"/>
              <w:keepLines w:val="0"/>
              <w:pageBreakBefore w:val="0"/>
              <w:widowControl/>
              <w:kinsoku w:val="0"/>
              <w:wordWrap/>
              <w:overflowPunct/>
              <w:topLinePunct w:val="0"/>
              <w:autoSpaceDE w:val="0"/>
              <w:autoSpaceDN w:val="0"/>
              <w:bidi w:val="0"/>
              <w:adjustRightInd w:val="0"/>
              <w:snapToGrid w:val="0"/>
              <w:spacing w:line="240" w:lineRule="auto"/>
              <w:ind w:right="3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中密度纤维板：</w:t>
            </w:r>
            <w:r>
              <w:rPr>
                <w:rFonts w:hint="eastAsia" w:ascii="宋体" w:hAnsi="宋体"/>
                <w:color w:val="auto"/>
                <w:sz w:val="21"/>
                <w:szCs w:val="21"/>
                <w:highlight w:val="none"/>
              </w:rPr>
              <w:t>静曲强度、弹性模量、内结合强度、吸水厚度膨胀率、表面结合强度、甲醛释放量</w:t>
            </w:r>
          </w:p>
          <w:p w14:paraId="51770DE0">
            <w:pPr>
              <w:keepNext w:val="0"/>
              <w:keepLines w:val="0"/>
              <w:pageBreakBefore w:val="0"/>
              <w:widowControl/>
              <w:kinsoku w:val="0"/>
              <w:wordWrap/>
              <w:overflowPunct/>
              <w:topLinePunct w:val="0"/>
              <w:autoSpaceDE w:val="0"/>
              <w:autoSpaceDN w:val="0"/>
              <w:bidi w:val="0"/>
              <w:adjustRightInd w:val="0"/>
              <w:snapToGrid w:val="0"/>
              <w:spacing w:line="240" w:lineRule="auto"/>
              <w:ind w:right="153"/>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刨花板：</w:t>
            </w:r>
            <w:r>
              <w:rPr>
                <w:rFonts w:hint="eastAsia" w:ascii="宋体" w:hAnsi="宋体"/>
                <w:color w:val="auto"/>
                <w:sz w:val="21"/>
                <w:szCs w:val="21"/>
                <w:highlight w:val="none"/>
              </w:rPr>
              <w:t>2h吸水厚度膨胀率、静曲强度、弹性模量、内胶合强度、表面胶合强度、甲醛释放量</w:t>
            </w:r>
          </w:p>
          <w:p w14:paraId="178EEA76">
            <w:pPr>
              <w:keepNext w:val="0"/>
              <w:keepLines w:val="0"/>
              <w:pageBreakBefore w:val="0"/>
              <w:widowControl/>
              <w:kinsoku w:val="0"/>
              <w:wordWrap/>
              <w:overflowPunct/>
              <w:topLinePunct w:val="0"/>
              <w:autoSpaceDE w:val="0"/>
              <w:autoSpaceDN w:val="0"/>
              <w:bidi w:val="0"/>
              <w:adjustRightInd w:val="0"/>
              <w:snapToGrid w:val="0"/>
              <w:spacing w:line="240" w:lineRule="auto"/>
              <w:ind w:right="153"/>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普通胶合板：</w:t>
            </w:r>
            <w:r>
              <w:rPr>
                <w:rFonts w:hint="eastAsia" w:ascii="宋体" w:hAnsi="宋体" w:eastAsia="宋体" w:cs="宋体"/>
                <w:color w:val="auto"/>
                <w:sz w:val="21"/>
                <w:szCs w:val="21"/>
                <w:highlight w:val="none"/>
              </w:rPr>
              <w:t>含水率、胶合强度、静曲强度、弹性模量、甲醛释放量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浸渍剥离</w:t>
            </w:r>
          </w:p>
          <w:p w14:paraId="527F04EB">
            <w:pPr>
              <w:keepNext w:val="0"/>
              <w:keepLines w:val="0"/>
              <w:pageBreakBefore w:val="0"/>
              <w:widowControl w:val="0"/>
              <w:kinsoku/>
              <w:wordWrap/>
              <w:overflowPunct/>
              <w:topLinePunct w:val="0"/>
              <w:autoSpaceDE/>
              <w:autoSpaceDN/>
              <w:bidi w:val="0"/>
              <w:snapToGrid w:val="0"/>
              <w:spacing w:line="280" w:lineRule="exact"/>
              <w:jc w:val="both"/>
              <w:textAlignment w:val="auto"/>
              <w:rPr>
                <w:rFonts w:hint="eastAsia" w:ascii="宋体" w:hAnsi="宋体" w:eastAsia="宋体" w:cs="宋体"/>
                <w:color w:val="auto"/>
                <w:sz w:val="21"/>
                <w:szCs w:val="21"/>
                <w:highlight w:val="none"/>
              </w:rPr>
            </w:pPr>
            <w:r>
              <w:rPr>
                <w:rFonts w:hint="eastAsia" w:ascii="宋体" w:hAnsi="宋体"/>
                <w:b/>
                <w:bCs/>
                <w:color w:val="auto"/>
                <w:sz w:val="21"/>
                <w:szCs w:val="21"/>
                <w:highlight w:val="none"/>
              </w:rPr>
              <w:t>混凝土模板用胶合板</w:t>
            </w:r>
            <w:r>
              <w:rPr>
                <w:rFonts w:hint="eastAsia" w:ascii="宋体" w:hAnsi="宋体" w:eastAsia="宋体"/>
                <w:b/>
                <w:bCs/>
                <w:color w:val="auto"/>
                <w:sz w:val="21"/>
                <w:szCs w:val="21"/>
                <w:highlight w:val="none"/>
                <w:lang w:eastAsia="zh-CN"/>
              </w:rPr>
              <w:t>：</w:t>
            </w:r>
            <w:r>
              <w:rPr>
                <w:rFonts w:hint="eastAsia" w:ascii="宋体" w:hAnsi="宋体"/>
                <w:color w:val="auto"/>
                <w:sz w:val="21"/>
                <w:szCs w:val="21"/>
                <w:highlight w:val="none"/>
              </w:rPr>
              <w:t>含水率、胶合强度、静曲强度、弹性模量、浸渍剥离性能</w:t>
            </w:r>
          </w:p>
          <w:p w14:paraId="5A7A4547">
            <w:pPr>
              <w:keepNext w:val="0"/>
              <w:keepLines w:val="0"/>
              <w:pageBreakBefore w:val="0"/>
              <w:widowControl/>
              <w:kinsoku w:val="0"/>
              <w:wordWrap/>
              <w:overflowPunct/>
              <w:topLinePunct w:val="0"/>
              <w:autoSpaceDE w:val="0"/>
              <w:autoSpaceDN w:val="0"/>
              <w:bidi w:val="0"/>
              <w:adjustRightInd w:val="0"/>
              <w:snapToGrid w:val="0"/>
              <w:spacing w:line="240" w:lineRule="auto"/>
              <w:ind w:right="153"/>
              <w:jc w:val="both"/>
              <w:textAlignment w:val="baseline"/>
              <w:rPr>
                <w:rFonts w:hint="eastAsia" w:ascii="宋体" w:hAnsi="宋体" w:eastAsia="宋体" w:cs="宋体"/>
                <w:b/>
                <w:bCs/>
                <w:color w:val="auto"/>
                <w:sz w:val="21"/>
                <w:szCs w:val="21"/>
                <w:highlight w:val="none"/>
              </w:rPr>
            </w:pPr>
            <w:r>
              <w:rPr>
                <w:rFonts w:ascii="宋体" w:hAnsi="宋体"/>
                <w:b/>
                <w:bCs/>
                <w:color w:val="auto"/>
                <w:sz w:val="21"/>
                <w:szCs w:val="21"/>
                <w:highlight w:val="none"/>
              </w:rPr>
              <w:t>浸渍胶膜纸饰面纤维板和刨花板</w:t>
            </w:r>
            <w:r>
              <w:rPr>
                <w:rFonts w:hint="eastAsia" w:ascii="宋体" w:hAnsi="宋体" w:eastAsia="宋体"/>
                <w:b/>
                <w:bCs/>
                <w:color w:val="auto"/>
                <w:sz w:val="21"/>
                <w:szCs w:val="21"/>
                <w:highlight w:val="none"/>
                <w:lang w:eastAsia="zh-CN"/>
              </w:rPr>
              <w:t>：</w:t>
            </w:r>
            <w:r>
              <w:rPr>
                <w:rFonts w:hint="eastAsia" w:ascii="宋体" w:hAnsi="宋体"/>
                <w:color w:val="auto"/>
                <w:sz w:val="21"/>
                <w:szCs w:val="21"/>
                <w:highlight w:val="none"/>
              </w:rPr>
              <w:t>静曲强度、弹性模量、内结合强度、表面胶合强度、表面耐磨、表面耐干热、表面耐污染腐蚀、表面耐龟裂、</w:t>
            </w:r>
            <w:r>
              <w:rPr>
                <w:rFonts w:hint="eastAsia" w:ascii="宋体" w:hAnsi="宋体"/>
                <w:b w:val="0"/>
                <w:bCs w:val="0"/>
                <w:color w:val="auto"/>
                <w:sz w:val="21"/>
                <w:szCs w:val="21"/>
                <w:highlight w:val="none"/>
              </w:rPr>
              <w:t>甲醛释放量</w:t>
            </w:r>
          </w:p>
          <w:p w14:paraId="70A8C479">
            <w:pPr>
              <w:rPr>
                <w:color w:val="auto"/>
                <w:highlight w:val="none"/>
              </w:rPr>
            </w:pPr>
            <w:r>
              <w:rPr>
                <w:rFonts w:ascii="宋体" w:hAnsi="宋体"/>
                <w:b/>
                <w:bCs/>
                <w:color w:val="auto"/>
                <w:sz w:val="21"/>
                <w:szCs w:val="21"/>
                <w:highlight w:val="none"/>
              </w:rPr>
              <w:t>浸渍胶膜纸饰面胶合板和细木工板</w:t>
            </w:r>
            <w:r>
              <w:rPr>
                <w:rFonts w:hint="eastAsia" w:ascii="宋体" w:hAnsi="宋体" w:eastAsia="宋体"/>
                <w:b/>
                <w:bCs/>
                <w:color w:val="auto"/>
                <w:sz w:val="21"/>
                <w:szCs w:val="21"/>
                <w:highlight w:val="none"/>
                <w:lang w:eastAsia="zh-CN"/>
              </w:rPr>
              <w:t>：</w:t>
            </w:r>
            <w:r>
              <w:rPr>
                <w:rFonts w:hint="eastAsia" w:ascii="宋体" w:hAnsi="宋体"/>
                <w:color w:val="auto"/>
                <w:sz w:val="21"/>
                <w:szCs w:val="21"/>
                <w:highlight w:val="none"/>
              </w:rPr>
              <w:t>含水率、表面胶合强度、表面耐划痕、表面耐磨、表面耐干热、表面耐污染腐蚀、表面耐冷热循环、表面耐龟裂、表面耐水蒸气、甲醛释放量</w:t>
            </w:r>
            <w:r>
              <w:rPr>
                <w:rFonts w:hint="eastAsia" w:ascii="宋体" w:hAnsi="宋体" w:eastAsia="宋体"/>
                <w:color w:val="auto"/>
                <w:sz w:val="21"/>
                <w:szCs w:val="21"/>
                <w:highlight w:val="none"/>
                <w:lang w:eastAsia="zh-CN"/>
              </w:rPr>
              <w:t>、</w:t>
            </w:r>
            <w:r>
              <w:rPr>
                <w:rFonts w:hint="eastAsia" w:ascii="宋体" w:hAnsi="宋体"/>
                <w:color w:val="auto"/>
                <w:sz w:val="21"/>
                <w:szCs w:val="21"/>
                <w:highlight w:val="none"/>
              </w:rPr>
              <w:t>胶合强度</w:t>
            </w:r>
            <w:r>
              <w:rPr>
                <w:rFonts w:hint="eastAsia" w:ascii="宋体" w:hAnsi="宋体" w:eastAsia="宋体"/>
                <w:color w:val="auto"/>
                <w:sz w:val="21"/>
                <w:szCs w:val="21"/>
                <w:highlight w:val="none"/>
                <w:lang w:eastAsia="zh-CN"/>
              </w:rPr>
              <w:t>、</w:t>
            </w:r>
            <w:r>
              <w:rPr>
                <w:rFonts w:hint="eastAsia" w:ascii="宋体" w:hAnsi="宋体"/>
                <w:color w:val="auto"/>
                <w:sz w:val="21"/>
                <w:szCs w:val="21"/>
                <w:highlight w:val="none"/>
              </w:rPr>
              <w:t>浸渍剥离、横向静曲强度</w:t>
            </w:r>
          </w:p>
          <w:p w14:paraId="2AE44919">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988" w:type="pct"/>
            <w:shd w:val="clear" w:color="auto" w:fill="FFFFFF"/>
            <w:vAlign w:val="center"/>
          </w:tcPr>
          <w:p w14:paraId="5BB47DA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5849-2016、GB/T 11718-2021、GB/T 4897-2015、GB/T 9846-2015、GB/T 15102-2025、GB/T 34722-2017、GB 18580-2017</w:t>
            </w:r>
          </w:p>
        </w:tc>
        <w:tc>
          <w:tcPr>
            <w:tcW w:w="460" w:type="pct"/>
            <w:shd w:val="clear" w:color="auto" w:fill="auto"/>
            <w:vAlign w:val="center"/>
          </w:tcPr>
          <w:p w14:paraId="7EFC773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2800</w:t>
            </w:r>
          </w:p>
        </w:tc>
        <w:tc>
          <w:tcPr>
            <w:tcW w:w="522" w:type="pct"/>
            <w:shd w:val="clear" w:color="auto" w:fill="auto"/>
            <w:vAlign w:val="center"/>
          </w:tcPr>
          <w:p w14:paraId="3588559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302400</w:t>
            </w:r>
          </w:p>
        </w:tc>
        <w:tc>
          <w:tcPr>
            <w:tcW w:w="522" w:type="pct"/>
            <w:vMerge w:val="continue"/>
            <w:shd w:val="clear" w:color="auto" w:fill="auto"/>
            <w:vAlign w:val="center"/>
          </w:tcPr>
          <w:p w14:paraId="6AA844E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08C1225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1E27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51EEC6F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537" w:type="pct"/>
            <w:shd w:val="clear" w:color="auto" w:fill="auto"/>
            <w:vAlign w:val="center"/>
          </w:tcPr>
          <w:p w14:paraId="60ADC655">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质量筛查</w:t>
            </w:r>
          </w:p>
        </w:tc>
        <w:tc>
          <w:tcPr>
            <w:tcW w:w="431" w:type="pct"/>
            <w:shd w:val="clear" w:color="auto" w:fill="auto"/>
            <w:vAlign w:val="center"/>
          </w:tcPr>
          <w:p w14:paraId="63604993">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967" w:type="pct"/>
            <w:shd w:val="clear" w:color="auto" w:fill="auto"/>
            <w:vAlign w:val="center"/>
          </w:tcPr>
          <w:p w14:paraId="0BD5038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988" w:type="pct"/>
            <w:shd w:val="clear" w:color="auto" w:fill="FFFFFF"/>
            <w:vAlign w:val="center"/>
          </w:tcPr>
          <w:p w14:paraId="111EFB6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460" w:type="pct"/>
            <w:shd w:val="clear" w:color="auto" w:fill="auto"/>
            <w:vAlign w:val="center"/>
          </w:tcPr>
          <w:p w14:paraId="239BFB1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200</w:t>
            </w:r>
          </w:p>
        </w:tc>
        <w:tc>
          <w:tcPr>
            <w:tcW w:w="522" w:type="pct"/>
            <w:shd w:val="clear" w:color="auto" w:fill="auto"/>
            <w:vAlign w:val="center"/>
          </w:tcPr>
          <w:p w14:paraId="3A350D01">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60000</w:t>
            </w:r>
          </w:p>
        </w:tc>
        <w:tc>
          <w:tcPr>
            <w:tcW w:w="522" w:type="pct"/>
            <w:vMerge w:val="continue"/>
            <w:shd w:val="clear" w:color="auto" w:fill="auto"/>
            <w:vAlign w:val="center"/>
          </w:tcPr>
          <w:p w14:paraId="092563C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2FBD466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7EC2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730E7AA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537" w:type="pct"/>
            <w:shd w:val="clear" w:color="auto" w:fill="auto"/>
            <w:vAlign w:val="center"/>
          </w:tcPr>
          <w:p w14:paraId="6CCFA4BA">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卡式炉</w:t>
            </w:r>
          </w:p>
        </w:tc>
        <w:tc>
          <w:tcPr>
            <w:tcW w:w="431" w:type="pct"/>
            <w:shd w:val="clear" w:color="auto" w:fill="auto"/>
            <w:vAlign w:val="center"/>
          </w:tcPr>
          <w:p w14:paraId="7EEA5516">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卡式炉</w:t>
            </w:r>
          </w:p>
        </w:tc>
        <w:tc>
          <w:tcPr>
            <w:tcW w:w="967" w:type="pct"/>
            <w:shd w:val="clear" w:color="auto" w:fill="auto"/>
            <w:vAlign w:val="center"/>
          </w:tcPr>
          <w:p w14:paraId="44301829">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外观、通用结构-一般要求、通用结构-燃气连接、燃气系统气密性、火焰传递、火焰状态、熄火保护装置性能、点火器性能</w:t>
            </w:r>
          </w:p>
        </w:tc>
        <w:tc>
          <w:tcPr>
            <w:tcW w:w="988" w:type="pct"/>
            <w:shd w:val="clear" w:color="auto" w:fill="FFFFFF"/>
            <w:vAlign w:val="center"/>
          </w:tcPr>
          <w:p w14:paraId="7B376B72">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38522-2020</w:t>
            </w:r>
          </w:p>
        </w:tc>
        <w:tc>
          <w:tcPr>
            <w:tcW w:w="460" w:type="pct"/>
            <w:vMerge w:val="restart"/>
            <w:shd w:val="clear" w:color="auto" w:fill="auto"/>
            <w:vAlign w:val="center"/>
          </w:tcPr>
          <w:p w14:paraId="57E408D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2200</w:t>
            </w:r>
          </w:p>
        </w:tc>
        <w:tc>
          <w:tcPr>
            <w:tcW w:w="522" w:type="pct"/>
            <w:vMerge w:val="restart"/>
            <w:shd w:val="clear" w:color="auto" w:fill="auto"/>
            <w:vAlign w:val="center"/>
          </w:tcPr>
          <w:p w14:paraId="234E6DB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220000</w:t>
            </w:r>
          </w:p>
        </w:tc>
        <w:tc>
          <w:tcPr>
            <w:tcW w:w="522" w:type="pct"/>
            <w:vMerge w:val="restart"/>
            <w:shd w:val="clear" w:color="auto" w:fill="auto"/>
            <w:vAlign w:val="center"/>
          </w:tcPr>
          <w:p w14:paraId="0F27F87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600000</w:t>
            </w:r>
          </w:p>
        </w:tc>
        <w:tc>
          <w:tcPr>
            <w:tcW w:w="343" w:type="pct"/>
            <w:vMerge w:val="restart"/>
            <w:shd w:val="clear" w:color="auto" w:fill="auto"/>
            <w:noWrap/>
            <w:vAlign w:val="center"/>
          </w:tcPr>
          <w:p w14:paraId="5EB364F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3</w:t>
            </w:r>
          </w:p>
        </w:tc>
      </w:tr>
      <w:tr w14:paraId="6007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2F88D004">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w:t>
            </w:r>
          </w:p>
        </w:tc>
        <w:tc>
          <w:tcPr>
            <w:tcW w:w="537" w:type="pct"/>
            <w:shd w:val="clear" w:color="auto" w:fill="auto"/>
            <w:vAlign w:val="center"/>
          </w:tcPr>
          <w:p w14:paraId="26600006">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消防自救呼吸器</w:t>
            </w:r>
          </w:p>
        </w:tc>
        <w:tc>
          <w:tcPr>
            <w:tcW w:w="431" w:type="pct"/>
            <w:shd w:val="clear" w:color="auto" w:fill="auto"/>
            <w:vAlign w:val="center"/>
          </w:tcPr>
          <w:p w14:paraId="43A37D45">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过滤式消防自救呼吸器</w:t>
            </w:r>
          </w:p>
        </w:tc>
        <w:tc>
          <w:tcPr>
            <w:tcW w:w="967" w:type="pct"/>
            <w:shd w:val="clear" w:color="auto" w:fill="auto"/>
            <w:vAlign w:val="center"/>
          </w:tcPr>
          <w:p w14:paraId="478269E8">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佩戴质量、材料阻燃性能、连接强度、结构、金属材料表面质量、橡塑材料老化性能、一氧化碳防护性能</w:t>
            </w:r>
          </w:p>
        </w:tc>
        <w:tc>
          <w:tcPr>
            <w:tcW w:w="988" w:type="pct"/>
            <w:shd w:val="clear" w:color="auto" w:fill="FFFFFF"/>
            <w:vAlign w:val="center"/>
          </w:tcPr>
          <w:p w14:paraId="73138452">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21976.7-2012</w:t>
            </w:r>
          </w:p>
        </w:tc>
        <w:tc>
          <w:tcPr>
            <w:tcW w:w="460" w:type="pct"/>
            <w:vMerge w:val="continue"/>
            <w:shd w:val="clear" w:color="auto" w:fill="auto"/>
            <w:vAlign w:val="center"/>
          </w:tcPr>
          <w:p w14:paraId="0461BCC4">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2534D62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55B40F9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1D15850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66C1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5F0816E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537" w:type="pct"/>
            <w:shd w:val="clear" w:color="auto" w:fill="auto"/>
            <w:vAlign w:val="center"/>
          </w:tcPr>
          <w:p w14:paraId="56695E5C">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电子秤</w:t>
            </w:r>
          </w:p>
        </w:tc>
        <w:tc>
          <w:tcPr>
            <w:tcW w:w="431" w:type="pct"/>
            <w:shd w:val="clear" w:color="auto" w:fill="auto"/>
            <w:vAlign w:val="center"/>
          </w:tcPr>
          <w:p w14:paraId="36335755">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电子秤</w:t>
            </w:r>
          </w:p>
        </w:tc>
        <w:tc>
          <w:tcPr>
            <w:tcW w:w="967" w:type="pct"/>
            <w:shd w:val="clear" w:color="auto" w:fill="auto"/>
            <w:vAlign w:val="center"/>
          </w:tcPr>
          <w:p w14:paraId="766320AD">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电气安全要求-保护接地端的导电能力、称重结果的示值：打印装置、称重结果的示值：存储装置、皮重装置（除皮）：运行的可见性、零售商品用秤附加要求：可见性</w:t>
            </w:r>
          </w:p>
        </w:tc>
        <w:tc>
          <w:tcPr>
            <w:tcW w:w="988" w:type="pct"/>
            <w:shd w:val="clear" w:color="auto" w:fill="FFFFFF"/>
            <w:vAlign w:val="center"/>
          </w:tcPr>
          <w:p w14:paraId="223F1BB8">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7722-2020</w:t>
            </w:r>
          </w:p>
        </w:tc>
        <w:tc>
          <w:tcPr>
            <w:tcW w:w="460" w:type="pct"/>
            <w:vMerge w:val="continue"/>
            <w:shd w:val="clear" w:color="auto" w:fill="auto"/>
            <w:vAlign w:val="center"/>
          </w:tcPr>
          <w:p w14:paraId="77B9BC04">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50B9E76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44C5FBD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63C4BB2B">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11A8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97" w:hRule="atLeast"/>
        </w:trPr>
        <w:tc>
          <w:tcPr>
            <w:tcW w:w="226" w:type="pct"/>
            <w:vMerge w:val="restart"/>
            <w:shd w:val="clear" w:color="auto" w:fill="auto"/>
            <w:vAlign w:val="center"/>
          </w:tcPr>
          <w:p w14:paraId="3336703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w:t>
            </w:r>
          </w:p>
        </w:tc>
        <w:tc>
          <w:tcPr>
            <w:tcW w:w="537" w:type="pct"/>
            <w:vMerge w:val="restart"/>
            <w:shd w:val="clear" w:color="auto" w:fill="auto"/>
            <w:vAlign w:val="center"/>
          </w:tcPr>
          <w:p w14:paraId="2B7336C2">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安全带</w:t>
            </w:r>
          </w:p>
        </w:tc>
        <w:tc>
          <w:tcPr>
            <w:tcW w:w="431" w:type="pct"/>
            <w:shd w:val="clear" w:color="auto" w:fill="auto"/>
            <w:vAlign w:val="center"/>
          </w:tcPr>
          <w:p w14:paraId="748D533D">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安全带</w:t>
            </w:r>
          </w:p>
        </w:tc>
        <w:tc>
          <w:tcPr>
            <w:tcW w:w="967" w:type="pct"/>
            <w:shd w:val="clear" w:color="auto" w:fill="auto"/>
            <w:vAlign w:val="center"/>
          </w:tcPr>
          <w:p w14:paraId="5FD2008A">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总体结构、组成与设计、阻燃性能、金属零部件耐腐蚀性能、耐化学品性能</w:t>
            </w:r>
          </w:p>
        </w:tc>
        <w:tc>
          <w:tcPr>
            <w:tcW w:w="988" w:type="pct"/>
            <w:shd w:val="clear" w:color="auto" w:fill="FFFFFF"/>
            <w:vAlign w:val="center"/>
          </w:tcPr>
          <w:p w14:paraId="68DEBC8D">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6095-2021</w:t>
            </w:r>
          </w:p>
        </w:tc>
        <w:tc>
          <w:tcPr>
            <w:tcW w:w="460" w:type="pct"/>
            <w:vMerge w:val="continue"/>
            <w:shd w:val="clear" w:color="auto" w:fill="auto"/>
            <w:vAlign w:val="center"/>
          </w:tcPr>
          <w:p w14:paraId="21374FF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15542E2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6068703B">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5D633B7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3229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restart"/>
            <w:shd w:val="clear" w:color="auto" w:fill="auto"/>
            <w:vAlign w:val="center"/>
          </w:tcPr>
          <w:p w14:paraId="7BBAEE6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w:t>
            </w:r>
          </w:p>
        </w:tc>
        <w:tc>
          <w:tcPr>
            <w:tcW w:w="537" w:type="pct"/>
            <w:vMerge w:val="restart"/>
            <w:shd w:val="clear" w:color="auto" w:fill="auto"/>
            <w:vAlign w:val="center"/>
          </w:tcPr>
          <w:p w14:paraId="1ED8798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商品煤</w:t>
            </w:r>
          </w:p>
        </w:tc>
        <w:tc>
          <w:tcPr>
            <w:tcW w:w="431" w:type="pct"/>
            <w:shd w:val="clear" w:color="auto" w:fill="auto"/>
            <w:vAlign w:val="center"/>
          </w:tcPr>
          <w:p w14:paraId="56647DF4">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民用散煤</w:t>
            </w:r>
          </w:p>
        </w:tc>
        <w:tc>
          <w:tcPr>
            <w:tcW w:w="967" w:type="pct"/>
            <w:shd w:val="clear" w:color="auto" w:fill="auto"/>
            <w:vAlign w:val="center"/>
          </w:tcPr>
          <w:p w14:paraId="39DF3A78">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全硫、灰分、挥发分、煤粉含量、汞含量</w:t>
            </w:r>
          </w:p>
        </w:tc>
        <w:tc>
          <w:tcPr>
            <w:tcW w:w="988" w:type="pct"/>
            <w:shd w:val="clear" w:color="auto" w:fill="FFFFFF"/>
            <w:vAlign w:val="center"/>
          </w:tcPr>
          <w:p w14:paraId="2E99C218">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34169-2017</w:t>
            </w:r>
          </w:p>
        </w:tc>
        <w:tc>
          <w:tcPr>
            <w:tcW w:w="460" w:type="pct"/>
            <w:vMerge w:val="continue"/>
            <w:shd w:val="clear" w:color="auto" w:fill="auto"/>
            <w:vAlign w:val="center"/>
          </w:tcPr>
          <w:p w14:paraId="4F9B6314">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0278686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2F1EEB6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5777B26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4845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0" w:hRule="atLeast"/>
        </w:trPr>
        <w:tc>
          <w:tcPr>
            <w:tcW w:w="226" w:type="pct"/>
            <w:vMerge w:val="continue"/>
            <w:shd w:val="clear" w:color="auto" w:fill="auto"/>
            <w:vAlign w:val="center"/>
          </w:tcPr>
          <w:p w14:paraId="6C24083B">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3D0AB6F9">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691E1D38">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民用型煤</w:t>
            </w:r>
          </w:p>
        </w:tc>
        <w:tc>
          <w:tcPr>
            <w:tcW w:w="967" w:type="pct"/>
            <w:shd w:val="clear" w:color="auto" w:fill="auto"/>
            <w:vAlign w:val="center"/>
          </w:tcPr>
          <w:p w14:paraId="5D3227BE">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全硫、挥发分、发热量、汞含量、落下强度、25mm孔限下率</w:t>
            </w:r>
          </w:p>
        </w:tc>
        <w:tc>
          <w:tcPr>
            <w:tcW w:w="988" w:type="pct"/>
            <w:shd w:val="clear" w:color="auto" w:fill="FFFFFF"/>
            <w:vAlign w:val="center"/>
          </w:tcPr>
          <w:p w14:paraId="690D724D">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GB 34170-2017 </w:t>
            </w:r>
          </w:p>
        </w:tc>
        <w:tc>
          <w:tcPr>
            <w:tcW w:w="460" w:type="pct"/>
            <w:vMerge w:val="continue"/>
            <w:shd w:val="clear" w:color="auto" w:fill="auto"/>
            <w:vAlign w:val="center"/>
          </w:tcPr>
          <w:p w14:paraId="3327365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693C97F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7EE0FDE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4E550974">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5CA8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5A690A6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161FCE1E">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47F8714C">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褐煤</w:t>
            </w:r>
          </w:p>
        </w:tc>
        <w:tc>
          <w:tcPr>
            <w:tcW w:w="967" w:type="pct"/>
            <w:shd w:val="clear" w:color="auto" w:fill="auto"/>
            <w:vAlign w:val="center"/>
          </w:tcPr>
          <w:p w14:paraId="65951E0D">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发热量、全水分、灰分、全硫、煤粉含量、汞含量</w:t>
            </w:r>
          </w:p>
        </w:tc>
        <w:tc>
          <w:tcPr>
            <w:tcW w:w="988" w:type="pct"/>
            <w:shd w:val="clear" w:color="auto" w:fill="FFFFFF"/>
            <w:vAlign w:val="center"/>
          </w:tcPr>
          <w:p w14:paraId="0B7F2EB3">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31862-2015</w:t>
            </w:r>
          </w:p>
        </w:tc>
        <w:tc>
          <w:tcPr>
            <w:tcW w:w="460" w:type="pct"/>
            <w:vMerge w:val="continue"/>
            <w:shd w:val="clear" w:color="auto" w:fill="auto"/>
            <w:vAlign w:val="center"/>
          </w:tcPr>
          <w:p w14:paraId="5ADCD99A">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565947AB">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5CC981F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1A1821AA">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7D25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vMerge w:val="restart"/>
            <w:shd w:val="clear" w:color="auto" w:fill="auto"/>
            <w:vAlign w:val="center"/>
          </w:tcPr>
          <w:p w14:paraId="2EDF85A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t>
            </w:r>
          </w:p>
        </w:tc>
        <w:tc>
          <w:tcPr>
            <w:tcW w:w="537" w:type="pct"/>
            <w:vMerge w:val="restart"/>
            <w:shd w:val="clear" w:color="auto" w:fill="auto"/>
            <w:vAlign w:val="center"/>
          </w:tcPr>
          <w:p w14:paraId="4D8C923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电子门锁</w:t>
            </w:r>
          </w:p>
        </w:tc>
        <w:tc>
          <w:tcPr>
            <w:tcW w:w="431" w:type="pct"/>
            <w:shd w:val="clear" w:color="auto" w:fill="auto"/>
            <w:vAlign w:val="center"/>
          </w:tcPr>
          <w:p w14:paraId="67FD44F5">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电子防盗锁</w:t>
            </w:r>
          </w:p>
        </w:tc>
        <w:tc>
          <w:tcPr>
            <w:tcW w:w="967" w:type="pct"/>
            <w:shd w:val="clear" w:color="auto" w:fill="auto"/>
            <w:vAlign w:val="center"/>
          </w:tcPr>
          <w:p w14:paraId="48260A41">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外观、使用权限管理、输入错误报警、防拆报警、信息上传、使用时限设置、访问控制、胁迫报警、主锁舌伸出长度、主锁舌灵活度、抗电强度、绝缘电阻、泄漏电流</w:t>
            </w:r>
          </w:p>
        </w:tc>
        <w:tc>
          <w:tcPr>
            <w:tcW w:w="988" w:type="pct"/>
            <w:shd w:val="clear" w:color="auto" w:fill="FFFFFF"/>
            <w:vAlign w:val="center"/>
          </w:tcPr>
          <w:p w14:paraId="15E83D8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GA 374-2019</w:t>
            </w:r>
          </w:p>
        </w:tc>
        <w:tc>
          <w:tcPr>
            <w:tcW w:w="460" w:type="pct"/>
            <w:vMerge w:val="restart"/>
            <w:shd w:val="clear" w:color="auto" w:fill="auto"/>
            <w:vAlign w:val="center"/>
          </w:tcPr>
          <w:p w14:paraId="009149C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2500</w:t>
            </w:r>
          </w:p>
        </w:tc>
        <w:tc>
          <w:tcPr>
            <w:tcW w:w="522" w:type="pct"/>
            <w:vMerge w:val="restart"/>
            <w:shd w:val="clear" w:color="auto" w:fill="auto"/>
            <w:vAlign w:val="center"/>
          </w:tcPr>
          <w:p w14:paraId="0A392A37">
            <w:pPr>
              <w:keepNext w:val="0"/>
              <w:keepLines w:val="0"/>
              <w:widowControl/>
              <w:suppressLineNumbers w:val="0"/>
              <w:spacing w:line="300" w:lineRule="exact"/>
              <w:jc w:val="center"/>
              <w:textAlignment w:val="center"/>
              <w:rPr>
                <w:rFonts w:hint="default"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200000</w:t>
            </w:r>
          </w:p>
        </w:tc>
        <w:tc>
          <w:tcPr>
            <w:tcW w:w="522" w:type="pct"/>
            <w:vMerge w:val="continue"/>
            <w:shd w:val="clear" w:color="auto" w:fill="auto"/>
            <w:vAlign w:val="center"/>
          </w:tcPr>
          <w:p w14:paraId="40DC216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7E3934E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39CD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5651949B">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51F4FE23">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2E706927">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锁具</w:t>
            </w:r>
          </w:p>
        </w:tc>
        <w:tc>
          <w:tcPr>
            <w:tcW w:w="967" w:type="pct"/>
            <w:shd w:val="clear" w:color="auto" w:fill="auto"/>
            <w:vAlign w:val="center"/>
          </w:tcPr>
          <w:p w14:paraId="42E9DE23">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信息上传、胁迫报警、主锁舌伸出长度、主锁灵活度、生物特征鉴别安全、键盘输入鉴别安全</w:t>
            </w:r>
          </w:p>
        </w:tc>
        <w:tc>
          <w:tcPr>
            <w:tcW w:w="988" w:type="pct"/>
            <w:shd w:val="clear" w:color="auto" w:fill="FFFFFF"/>
            <w:vAlign w:val="center"/>
          </w:tcPr>
          <w:p w14:paraId="56431BC4">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21556.2-2025</w:t>
            </w:r>
          </w:p>
        </w:tc>
        <w:tc>
          <w:tcPr>
            <w:tcW w:w="460" w:type="pct"/>
            <w:vMerge w:val="continue"/>
            <w:shd w:val="clear" w:color="auto" w:fill="auto"/>
            <w:vAlign w:val="center"/>
          </w:tcPr>
          <w:p w14:paraId="540D869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510A057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64060F6A">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6353BE81">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736F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277107B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0C2DF2C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6EEFAE24">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指纹防盗锁</w:t>
            </w:r>
          </w:p>
        </w:tc>
        <w:tc>
          <w:tcPr>
            <w:tcW w:w="967" w:type="pct"/>
            <w:shd w:val="clear" w:color="auto" w:fill="auto"/>
            <w:vAlign w:val="center"/>
          </w:tcPr>
          <w:p w14:paraId="777ABC79">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灵活性、尺寸和外观质量、自检功能、指纹登录功能、指纹删除功能、信息保存功能、使用权限管理功能、指示/显示功能、报警功能、电源、抗电强度、绝缘电阻、泄漏电流</w:t>
            </w:r>
          </w:p>
        </w:tc>
        <w:tc>
          <w:tcPr>
            <w:tcW w:w="988" w:type="pct"/>
            <w:shd w:val="clear" w:color="auto" w:fill="FFFFFF"/>
            <w:vAlign w:val="center"/>
          </w:tcPr>
          <w:p w14:paraId="005AC4F4">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GA/T 701-2024</w:t>
            </w:r>
          </w:p>
        </w:tc>
        <w:tc>
          <w:tcPr>
            <w:tcW w:w="460" w:type="pct"/>
            <w:vMerge w:val="continue"/>
            <w:shd w:val="clear" w:color="auto" w:fill="auto"/>
            <w:vAlign w:val="center"/>
          </w:tcPr>
          <w:p w14:paraId="6EDBA60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1352FF8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73E0AC9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02B520A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641A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455E84AE">
            <w:pPr>
              <w:keepNext w:val="0"/>
              <w:keepLines w:val="0"/>
              <w:widowControl/>
              <w:suppressLineNumbers w:val="0"/>
              <w:spacing w:line="300" w:lineRule="exact"/>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w:t>
            </w:r>
          </w:p>
        </w:tc>
        <w:tc>
          <w:tcPr>
            <w:tcW w:w="537" w:type="pct"/>
            <w:shd w:val="clear" w:color="auto" w:fill="auto"/>
            <w:vAlign w:val="center"/>
          </w:tcPr>
          <w:p w14:paraId="153384B9">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家用可燃气体探测器</w:t>
            </w:r>
          </w:p>
        </w:tc>
        <w:tc>
          <w:tcPr>
            <w:tcW w:w="431" w:type="pct"/>
            <w:shd w:val="clear" w:color="auto" w:fill="auto"/>
            <w:vAlign w:val="center"/>
          </w:tcPr>
          <w:p w14:paraId="76D5B8A9">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家用可燃气体探测器</w:t>
            </w:r>
          </w:p>
        </w:tc>
        <w:tc>
          <w:tcPr>
            <w:tcW w:w="967" w:type="pct"/>
            <w:shd w:val="clear" w:color="auto" w:fill="auto"/>
            <w:vAlign w:val="center"/>
          </w:tcPr>
          <w:p w14:paraId="2F969374">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外观检查、报警动作值试验、方位试验、绝缘电阻试验、电气强度试验、高温（运行）试验、跌落试验、标志</w:t>
            </w:r>
          </w:p>
        </w:tc>
        <w:tc>
          <w:tcPr>
            <w:tcW w:w="988" w:type="pct"/>
            <w:shd w:val="clear" w:color="auto" w:fill="FFFFFF"/>
            <w:vAlign w:val="center"/>
          </w:tcPr>
          <w:p w14:paraId="4F75E95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15322.2-2019</w:t>
            </w:r>
          </w:p>
        </w:tc>
        <w:tc>
          <w:tcPr>
            <w:tcW w:w="460" w:type="pct"/>
            <w:vMerge w:val="continue"/>
            <w:shd w:val="clear" w:color="auto" w:fill="auto"/>
            <w:vAlign w:val="center"/>
          </w:tcPr>
          <w:p w14:paraId="6871561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50B6DEB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4867B47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2F86729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6DA8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vMerge w:val="restart"/>
            <w:shd w:val="clear" w:color="auto" w:fill="auto"/>
            <w:vAlign w:val="center"/>
          </w:tcPr>
          <w:p w14:paraId="1FC2B44B">
            <w:pPr>
              <w:keepNext w:val="0"/>
              <w:keepLines w:val="0"/>
              <w:widowControl/>
              <w:suppressLineNumbers w:val="0"/>
              <w:spacing w:line="300" w:lineRule="exact"/>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537" w:type="pct"/>
            <w:vMerge w:val="restart"/>
            <w:shd w:val="clear" w:color="auto" w:fill="auto"/>
            <w:vAlign w:val="center"/>
          </w:tcPr>
          <w:p w14:paraId="00F614BC">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建筑保温材料</w:t>
            </w:r>
          </w:p>
        </w:tc>
        <w:tc>
          <w:tcPr>
            <w:tcW w:w="431" w:type="pct"/>
            <w:shd w:val="clear" w:color="auto" w:fill="auto"/>
            <w:vAlign w:val="center"/>
          </w:tcPr>
          <w:p w14:paraId="30F3DE17">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建筑用金属面绝热夹芯板</w:t>
            </w:r>
          </w:p>
        </w:tc>
        <w:tc>
          <w:tcPr>
            <w:tcW w:w="967" w:type="pct"/>
            <w:shd w:val="clear" w:color="auto" w:fill="auto"/>
            <w:vAlign w:val="center"/>
          </w:tcPr>
          <w:p w14:paraId="3D291DC9">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外观质量、尺寸偏差（宽度、厚度）、剥离性能、彩色涂层钢板厚度、压型钢板厚度、芯材密度、聚苯乙烯泡沫塑料导热系数</w:t>
            </w:r>
          </w:p>
        </w:tc>
        <w:tc>
          <w:tcPr>
            <w:tcW w:w="988" w:type="pct"/>
            <w:shd w:val="clear" w:color="auto" w:fill="FFFFFF"/>
            <w:vAlign w:val="center"/>
          </w:tcPr>
          <w:p w14:paraId="41134991">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GB/T 23932-2009  </w:t>
            </w:r>
          </w:p>
        </w:tc>
        <w:tc>
          <w:tcPr>
            <w:tcW w:w="460" w:type="pct"/>
            <w:vMerge w:val="continue"/>
            <w:shd w:val="clear" w:color="auto" w:fill="auto"/>
            <w:vAlign w:val="center"/>
          </w:tcPr>
          <w:p w14:paraId="28BAAAB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581A2D4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59151242">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7F08D2E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0B90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531CBADA">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1AF52634">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74299468">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绝热用挤塑聚苯乙烯泡沫塑料(XPS)</w:t>
            </w:r>
          </w:p>
        </w:tc>
        <w:tc>
          <w:tcPr>
            <w:tcW w:w="967" w:type="pct"/>
            <w:shd w:val="clear" w:color="auto" w:fill="auto"/>
            <w:vAlign w:val="center"/>
          </w:tcPr>
          <w:p w14:paraId="3840EE5D">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外观、压缩强度、吸水率、导热系数、热阻、尺寸稳定性、燃烧性能</w:t>
            </w:r>
          </w:p>
        </w:tc>
        <w:tc>
          <w:tcPr>
            <w:tcW w:w="988" w:type="pct"/>
            <w:shd w:val="clear" w:color="auto" w:fill="FFFFFF"/>
            <w:vAlign w:val="center"/>
          </w:tcPr>
          <w:p w14:paraId="622F9D2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10801.2-2018</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8624-2012</w:t>
            </w:r>
          </w:p>
        </w:tc>
        <w:tc>
          <w:tcPr>
            <w:tcW w:w="460" w:type="pct"/>
            <w:vMerge w:val="continue"/>
            <w:shd w:val="clear" w:color="auto" w:fill="auto"/>
            <w:vAlign w:val="center"/>
          </w:tcPr>
          <w:p w14:paraId="74BCD13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20466E2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13A67ACA">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3E64903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2F46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4CAB925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64C15C58">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3B449BBF">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绝热用模塑聚苯乙烯泡沫塑料(EPS)</w:t>
            </w:r>
          </w:p>
        </w:tc>
        <w:tc>
          <w:tcPr>
            <w:tcW w:w="967" w:type="pct"/>
            <w:shd w:val="clear" w:color="auto" w:fill="auto"/>
            <w:vAlign w:val="center"/>
          </w:tcPr>
          <w:p w14:paraId="7E51185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外观要求、压缩强度、尺寸稳定性、吸水率、熔结性、表观密度偏差、导热系数、燃烧性能</w:t>
            </w:r>
          </w:p>
        </w:tc>
        <w:tc>
          <w:tcPr>
            <w:tcW w:w="988" w:type="pct"/>
            <w:shd w:val="clear" w:color="auto" w:fill="FFFFFF"/>
            <w:vAlign w:val="center"/>
          </w:tcPr>
          <w:p w14:paraId="0C3C3017">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GB/T 10801.1-2021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8624-2012</w:t>
            </w:r>
          </w:p>
        </w:tc>
        <w:tc>
          <w:tcPr>
            <w:tcW w:w="460" w:type="pct"/>
            <w:vMerge w:val="continue"/>
            <w:shd w:val="clear" w:color="auto" w:fill="auto"/>
            <w:vAlign w:val="center"/>
          </w:tcPr>
          <w:p w14:paraId="5232DFE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4D69CC0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466496F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0CB8CA3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3178A5B3">
        <w:tblPrEx>
          <w:shd w:val="clear" w:color="auto" w:fill="auto"/>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309AD32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4E289EF3">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2C4C83B6">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建筑外墙外保温用岩棉制品</w:t>
            </w:r>
          </w:p>
        </w:tc>
        <w:tc>
          <w:tcPr>
            <w:tcW w:w="967" w:type="pct"/>
            <w:shd w:val="clear" w:color="auto" w:fill="auto"/>
            <w:vAlign w:val="center"/>
          </w:tcPr>
          <w:p w14:paraId="3E0C08F7">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外观、密度偏差、尺寸稳定性、导热系数（平均温度25℃）、压缩强度、燃烧性能</w:t>
            </w:r>
          </w:p>
        </w:tc>
        <w:tc>
          <w:tcPr>
            <w:tcW w:w="988" w:type="pct"/>
            <w:shd w:val="clear" w:color="auto" w:fill="FFFFFF"/>
            <w:vAlign w:val="center"/>
          </w:tcPr>
          <w:p w14:paraId="21CFA88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GB/T 25975-2018 </w:t>
            </w:r>
          </w:p>
        </w:tc>
        <w:tc>
          <w:tcPr>
            <w:tcW w:w="460" w:type="pct"/>
            <w:vMerge w:val="continue"/>
            <w:shd w:val="clear" w:color="auto" w:fill="auto"/>
            <w:vAlign w:val="center"/>
          </w:tcPr>
          <w:p w14:paraId="1A91FE4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59E628F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2390539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61A8052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5BC8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634595B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69912C07">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3BB9F678">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建筑用岩棉绝热制品</w:t>
            </w:r>
          </w:p>
        </w:tc>
        <w:tc>
          <w:tcPr>
            <w:tcW w:w="967" w:type="pct"/>
            <w:shd w:val="clear" w:color="auto" w:fill="auto"/>
            <w:vAlign w:val="center"/>
          </w:tcPr>
          <w:p w14:paraId="6974B848">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外观、密度偏差、导热系数（平均温度25℃）、压缩强度、燃烧性能</w:t>
            </w:r>
          </w:p>
        </w:tc>
        <w:tc>
          <w:tcPr>
            <w:tcW w:w="988" w:type="pct"/>
            <w:shd w:val="clear" w:color="auto" w:fill="FFFFFF"/>
            <w:vAlign w:val="center"/>
          </w:tcPr>
          <w:p w14:paraId="0AD8DC59">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19686-2015</w:t>
            </w:r>
          </w:p>
        </w:tc>
        <w:tc>
          <w:tcPr>
            <w:tcW w:w="460" w:type="pct"/>
            <w:vMerge w:val="continue"/>
            <w:shd w:val="clear" w:color="auto" w:fill="auto"/>
            <w:vAlign w:val="center"/>
          </w:tcPr>
          <w:p w14:paraId="28708D92">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0FF38D8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24D6787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0DEA053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4C78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5CC4C30F">
            <w:pPr>
              <w:keepNext w:val="0"/>
              <w:keepLines w:val="0"/>
              <w:widowControl/>
              <w:suppressLineNumbers w:val="0"/>
              <w:spacing w:line="300" w:lineRule="exact"/>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w:t>
            </w:r>
          </w:p>
        </w:tc>
        <w:tc>
          <w:tcPr>
            <w:tcW w:w="537" w:type="pct"/>
            <w:shd w:val="clear" w:color="auto" w:fill="auto"/>
            <w:vAlign w:val="center"/>
          </w:tcPr>
          <w:p w14:paraId="05312D11">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危险化学品包装物及容器</w:t>
            </w:r>
          </w:p>
        </w:tc>
        <w:tc>
          <w:tcPr>
            <w:tcW w:w="431" w:type="pct"/>
            <w:shd w:val="clear" w:color="auto" w:fill="auto"/>
            <w:vAlign w:val="center"/>
          </w:tcPr>
          <w:p w14:paraId="22996067">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塑料容器</w:t>
            </w:r>
          </w:p>
        </w:tc>
        <w:tc>
          <w:tcPr>
            <w:tcW w:w="967" w:type="pct"/>
            <w:shd w:val="clear" w:color="auto" w:fill="auto"/>
            <w:vAlign w:val="center"/>
          </w:tcPr>
          <w:p w14:paraId="6D146F23">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容量偏差、长度尺寸偏差、宽度尺寸偏差、高度尺寸偏差、口径尺寸偏差、外观要求</w:t>
            </w:r>
          </w:p>
        </w:tc>
        <w:tc>
          <w:tcPr>
            <w:tcW w:w="988" w:type="pct"/>
            <w:shd w:val="clear" w:color="auto" w:fill="FFFFFF"/>
            <w:vAlign w:val="center"/>
          </w:tcPr>
          <w:p w14:paraId="22D828FA">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18191-2008</w:t>
            </w:r>
          </w:p>
        </w:tc>
        <w:tc>
          <w:tcPr>
            <w:tcW w:w="460" w:type="pct"/>
            <w:vMerge w:val="continue"/>
            <w:shd w:val="clear" w:color="auto" w:fill="auto"/>
            <w:vAlign w:val="center"/>
          </w:tcPr>
          <w:p w14:paraId="4E64245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35F266F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490A41B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2E1D6184">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2E9A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26FE2BCA">
            <w:pPr>
              <w:keepNext w:val="0"/>
              <w:keepLines w:val="0"/>
              <w:widowControl/>
              <w:suppressLineNumbers w:val="0"/>
              <w:spacing w:line="300" w:lineRule="exact"/>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w:t>
            </w:r>
          </w:p>
        </w:tc>
        <w:tc>
          <w:tcPr>
            <w:tcW w:w="537" w:type="pct"/>
            <w:shd w:val="clear" w:color="auto" w:fill="auto"/>
            <w:vAlign w:val="center"/>
          </w:tcPr>
          <w:p w14:paraId="5D0F530E">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机动车儿童乘员用约束系统</w:t>
            </w:r>
          </w:p>
        </w:tc>
        <w:tc>
          <w:tcPr>
            <w:tcW w:w="431" w:type="pct"/>
            <w:shd w:val="clear" w:color="auto" w:fill="auto"/>
            <w:vAlign w:val="center"/>
          </w:tcPr>
          <w:p w14:paraId="6902DF9F">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机动车儿童乘员用约束系统（儿童安全座椅）</w:t>
            </w:r>
          </w:p>
        </w:tc>
        <w:tc>
          <w:tcPr>
            <w:tcW w:w="967" w:type="pct"/>
            <w:shd w:val="clear" w:color="auto" w:fill="auto"/>
            <w:vAlign w:val="center"/>
          </w:tcPr>
          <w:p w14:paraId="327C4D83">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标识、说明指导文</w:t>
            </w:r>
          </w:p>
          <w:p w14:paraId="3E78AE38">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件、儿童约束系统</w:t>
            </w:r>
          </w:p>
          <w:p w14:paraId="2C7EBB05">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基本要求-材料（可</w:t>
            </w:r>
          </w:p>
          <w:p w14:paraId="34F2778A">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迁移元素限量），</w:t>
            </w:r>
          </w:p>
          <w:p w14:paraId="4A1FA7BE">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结构、儿童约束系</w:t>
            </w:r>
          </w:p>
          <w:p w14:paraId="6FDC5F9A">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统基本要求-一般特</w:t>
            </w:r>
          </w:p>
          <w:p w14:paraId="130F9562">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性-总体要求（身高</w:t>
            </w:r>
          </w:p>
          <w:p w14:paraId="7837D0F0">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范围的声明</w:t>
            </w:r>
          </w:p>
        </w:tc>
        <w:tc>
          <w:tcPr>
            <w:tcW w:w="988" w:type="pct"/>
            <w:shd w:val="clear" w:color="auto" w:fill="FFFFFF"/>
            <w:vAlign w:val="center"/>
          </w:tcPr>
          <w:p w14:paraId="09956762">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GB 27887-2024 </w:t>
            </w:r>
          </w:p>
        </w:tc>
        <w:tc>
          <w:tcPr>
            <w:tcW w:w="460" w:type="pct"/>
            <w:vMerge w:val="continue"/>
            <w:shd w:val="clear" w:color="auto" w:fill="auto"/>
            <w:vAlign w:val="center"/>
          </w:tcPr>
          <w:p w14:paraId="3815A5FB">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0157960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5A27F22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3F4A053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6201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06DBE7CD">
            <w:pPr>
              <w:keepNext w:val="0"/>
              <w:keepLines w:val="0"/>
              <w:widowControl/>
              <w:suppressLineNumbers w:val="0"/>
              <w:spacing w:line="300" w:lineRule="exact"/>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w:t>
            </w:r>
          </w:p>
        </w:tc>
        <w:tc>
          <w:tcPr>
            <w:tcW w:w="537" w:type="pct"/>
            <w:shd w:val="clear" w:color="auto" w:fill="auto"/>
            <w:vAlign w:val="center"/>
          </w:tcPr>
          <w:p w14:paraId="1D89B36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紧固件</w:t>
            </w:r>
          </w:p>
        </w:tc>
        <w:tc>
          <w:tcPr>
            <w:tcW w:w="431" w:type="pct"/>
            <w:shd w:val="clear" w:color="auto" w:fill="auto"/>
            <w:vAlign w:val="center"/>
          </w:tcPr>
          <w:p w14:paraId="1AB50357">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紧固件</w:t>
            </w:r>
          </w:p>
        </w:tc>
        <w:tc>
          <w:tcPr>
            <w:tcW w:w="967" w:type="pct"/>
            <w:shd w:val="clear" w:color="auto" w:fill="auto"/>
            <w:vAlign w:val="center"/>
          </w:tcPr>
          <w:p w14:paraId="69B0F8AF">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化学成分-C、化学成分-P、化学成分-S、化学成分-B、硬度、冲击吸收能量（适用时）、脱碳层深度、表面缺陷</w:t>
            </w:r>
          </w:p>
        </w:tc>
        <w:tc>
          <w:tcPr>
            <w:tcW w:w="988" w:type="pct"/>
            <w:shd w:val="clear" w:color="auto" w:fill="FFFFFF"/>
            <w:vAlign w:val="center"/>
          </w:tcPr>
          <w:p w14:paraId="57646091">
            <w:pPr>
              <w:rPr>
                <w:rFonts w:hint="eastAsia"/>
                <w:color w:val="auto"/>
                <w:highlight w:val="none"/>
                <w:lang w:eastAsia="zh-CN"/>
              </w:rPr>
            </w:pPr>
            <w:r>
              <w:rPr>
                <w:rFonts w:hint="eastAsia"/>
                <w:color w:val="auto"/>
                <w:highlight w:val="none"/>
                <w:lang w:eastAsia="zh-CN"/>
              </w:rPr>
              <w:t>GB/T 3098.1-2010、GB/T 5782-2016、GB/T 5783-2016、GB/T 5782-2025、GB/T 5783-2025</w:t>
            </w:r>
          </w:p>
          <w:p w14:paraId="5E255810">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60" w:type="pct"/>
            <w:vMerge w:val="restart"/>
            <w:shd w:val="clear" w:color="auto" w:fill="auto"/>
            <w:vAlign w:val="center"/>
          </w:tcPr>
          <w:p w14:paraId="6A7A0BF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4000</w:t>
            </w:r>
          </w:p>
        </w:tc>
        <w:tc>
          <w:tcPr>
            <w:tcW w:w="522" w:type="pct"/>
            <w:vMerge w:val="restart"/>
            <w:shd w:val="clear" w:color="auto" w:fill="auto"/>
            <w:vAlign w:val="center"/>
          </w:tcPr>
          <w:p w14:paraId="538731F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120000</w:t>
            </w:r>
          </w:p>
        </w:tc>
        <w:tc>
          <w:tcPr>
            <w:tcW w:w="522" w:type="pct"/>
            <w:vMerge w:val="continue"/>
            <w:shd w:val="clear" w:color="auto" w:fill="auto"/>
            <w:vAlign w:val="center"/>
          </w:tcPr>
          <w:p w14:paraId="6941C6C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2A36FED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2B3B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2C7B2FCC">
            <w:pPr>
              <w:keepNext w:val="0"/>
              <w:keepLines w:val="0"/>
              <w:widowControl/>
              <w:suppressLineNumbers w:val="0"/>
              <w:spacing w:line="300" w:lineRule="exact"/>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w:t>
            </w:r>
          </w:p>
        </w:tc>
        <w:tc>
          <w:tcPr>
            <w:tcW w:w="537" w:type="pct"/>
            <w:shd w:val="clear" w:color="auto" w:fill="auto"/>
            <w:vAlign w:val="center"/>
          </w:tcPr>
          <w:p w14:paraId="7979229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防爆电器</w:t>
            </w:r>
          </w:p>
        </w:tc>
        <w:tc>
          <w:tcPr>
            <w:tcW w:w="431" w:type="pct"/>
            <w:shd w:val="clear" w:color="auto" w:fill="auto"/>
            <w:vAlign w:val="center"/>
          </w:tcPr>
          <w:p w14:paraId="11B3412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防爆电器</w:t>
            </w:r>
          </w:p>
        </w:tc>
        <w:tc>
          <w:tcPr>
            <w:tcW w:w="967" w:type="pct"/>
            <w:shd w:val="clear" w:color="auto" w:fill="auto"/>
            <w:vAlign w:val="center"/>
          </w:tcPr>
          <w:p w14:paraId="623C881F">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电气间隙、爬电距离、热剧变试验、绝缘介电强度、外壳防护等级（IP）、标志</w:t>
            </w:r>
          </w:p>
        </w:tc>
        <w:tc>
          <w:tcPr>
            <w:tcW w:w="988" w:type="pct"/>
            <w:shd w:val="clear" w:color="auto" w:fill="FFFFFF"/>
            <w:vAlign w:val="center"/>
          </w:tcPr>
          <w:p w14:paraId="6CD2E1ED">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color w:val="auto"/>
                <w:highlight w:val="none"/>
              </w:rPr>
              <w:t>GB/T 3836.1-2021</w:t>
            </w:r>
            <w:r>
              <w:rPr>
                <w:rFonts w:hint="eastAsia"/>
                <w:color w:val="auto"/>
                <w:highlight w:val="none"/>
                <w:lang w:eastAsia="zh-CN"/>
              </w:rPr>
              <w:t>、</w:t>
            </w:r>
            <w:r>
              <w:rPr>
                <w:rFonts w:hint="eastAsia"/>
                <w:color w:val="auto"/>
                <w:highlight w:val="none"/>
              </w:rPr>
              <w:t>GB/T 3836.2-2021</w:t>
            </w:r>
            <w:r>
              <w:rPr>
                <w:rFonts w:hint="eastAsia"/>
                <w:color w:val="auto"/>
                <w:highlight w:val="none"/>
                <w:lang w:eastAsia="zh-CN"/>
              </w:rPr>
              <w:t>、</w:t>
            </w:r>
            <w:r>
              <w:rPr>
                <w:rFonts w:hint="eastAsia"/>
                <w:color w:val="auto"/>
                <w:highlight w:val="none"/>
              </w:rPr>
              <w:t>GB/T 3836.3-2021</w:t>
            </w:r>
            <w:r>
              <w:rPr>
                <w:rFonts w:hint="eastAsia"/>
                <w:color w:val="auto"/>
                <w:highlight w:val="none"/>
                <w:lang w:eastAsia="zh-CN"/>
              </w:rPr>
              <w:t>、</w:t>
            </w:r>
            <w:r>
              <w:rPr>
                <w:rFonts w:hint="eastAsia"/>
                <w:color w:val="auto"/>
                <w:highlight w:val="none"/>
              </w:rPr>
              <w:t>GB/T 3836.4-2021</w:t>
            </w:r>
          </w:p>
        </w:tc>
        <w:tc>
          <w:tcPr>
            <w:tcW w:w="460" w:type="pct"/>
            <w:vMerge w:val="continue"/>
            <w:shd w:val="clear" w:color="auto" w:fill="auto"/>
            <w:vAlign w:val="center"/>
          </w:tcPr>
          <w:p w14:paraId="6220E484">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3DDC0EA2">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447C028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4F6EA49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40CD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22C82A62">
            <w:pPr>
              <w:keepNext w:val="0"/>
              <w:keepLines w:val="0"/>
              <w:widowControl/>
              <w:suppressLineNumbers w:val="0"/>
              <w:spacing w:line="300" w:lineRule="exact"/>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w:t>
            </w:r>
          </w:p>
        </w:tc>
        <w:tc>
          <w:tcPr>
            <w:tcW w:w="537" w:type="pct"/>
            <w:shd w:val="clear" w:color="auto" w:fill="auto"/>
            <w:vAlign w:val="center"/>
          </w:tcPr>
          <w:p w14:paraId="4B920E6A">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防爆灯具</w:t>
            </w:r>
          </w:p>
        </w:tc>
        <w:tc>
          <w:tcPr>
            <w:tcW w:w="431" w:type="pct"/>
            <w:shd w:val="clear" w:color="auto" w:fill="auto"/>
            <w:vAlign w:val="center"/>
          </w:tcPr>
          <w:p w14:paraId="3DAF4F3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防爆灯具</w:t>
            </w:r>
          </w:p>
        </w:tc>
        <w:tc>
          <w:tcPr>
            <w:tcW w:w="967" w:type="pct"/>
            <w:shd w:val="clear" w:color="auto" w:fill="auto"/>
            <w:vAlign w:val="center"/>
          </w:tcPr>
          <w:p w14:paraId="1D4FFBF3">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电气间隙、爬电距离、热剧变试验、绝缘介电强度、外壳防护等级（IP）、标志</w:t>
            </w:r>
          </w:p>
        </w:tc>
        <w:tc>
          <w:tcPr>
            <w:tcW w:w="988" w:type="pct"/>
            <w:shd w:val="clear" w:color="auto" w:fill="FFFFFF"/>
            <w:vAlign w:val="center"/>
          </w:tcPr>
          <w:p w14:paraId="26598046">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color w:val="auto"/>
                <w:highlight w:val="none"/>
              </w:rPr>
              <w:t>GB/T 3836.1-2021</w:t>
            </w:r>
            <w:r>
              <w:rPr>
                <w:rFonts w:hint="eastAsia"/>
                <w:color w:val="auto"/>
                <w:highlight w:val="none"/>
                <w:lang w:eastAsia="zh-CN"/>
              </w:rPr>
              <w:t>、</w:t>
            </w:r>
            <w:r>
              <w:rPr>
                <w:rFonts w:hint="eastAsia"/>
                <w:color w:val="auto"/>
                <w:highlight w:val="none"/>
              </w:rPr>
              <w:t>GB/T 3836.2-2021</w:t>
            </w:r>
            <w:r>
              <w:rPr>
                <w:rFonts w:hint="eastAsia"/>
                <w:color w:val="auto"/>
                <w:highlight w:val="none"/>
                <w:lang w:eastAsia="zh-CN"/>
              </w:rPr>
              <w:t>、</w:t>
            </w:r>
            <w:r>
              <w:rPr>
                <w:rFonts w:hint="eastAsia"/>
                <w:color w:val="auto"/>
                <w:highlight w:val="none"/>
              </w:rPr>
              <w:t>GB/T 3836.3-2021</w:t>
            </w:r>
            <w:r>
              <w:rPr>
                <w:rFonts w:hint="eastAsia"/>
                <w:color w:val="auto"/>
                <w:highlight w:val="none"/>
                <w:lang w:eastAsia="zh-CN"/>
              </w:rPr>
              <w:t>、</w:t>
            </w:r>
            <w:r>
              <w:rPr>
                <w:rFonts w:hint="eastAsia"/>
                <w:color w:val="auto"/>
                <w:highlight w:val="none"/>
              </w:rPr>
              <w:t>GB/T 3836.4-2021</w:t>
            </w:r>
          </w:p>
        </w:tc>
        <w:tc>
          <w:tcPr>
            <w:tcW w:w="460" w:type="pct"/>
            <w:vMerge w:val="continue"/>
            <w:shd w:val="clear" w:color="auto" w:fill="auto"/>
            <w:vAlign w:val="center"/>
          </w:tcPr>
          <w:p w14:paraId="37C90DE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0C3382BA">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4794092B">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73EC60A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6034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74B41265">
            <w:pPr>
              <w:keepNext w:val="0"/>
              <w:keepLines w:val="0"/>
              <w:widowControl/>
              <w:suppressLineNumbers w:val="0"/>
              <w:spacing w:line="300" w:lineRule="exact"/>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w:t>
            </w:r>
          </w:p>
        </w:tc>
        <w:tc>
          <w:tcPr>
            <w:tcW w:w="537" w:type="pct"/>
            <w:shd w:val="clear" w:color="auto" w:fill="auto"/>
            <w:vAlign w:val="center"/>
          </w:tcPr>
          <w:p w14:paraId="3DB3E36B">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防爆电机</w:t>
            </w:r>
          </w:p>
        </w:tc>
        <w:tc>
          <w:tcPr>
            <w:tcW w:w="431" w:type="pct"/>
            <w:shd w:val="clear" w:color="auto" w:fill="auto"/>
            <w:vAlign w:val="center"/>
          </w:tcPr>
          <w:p w14:paraId="2F08459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防爆电机</w:t>
            </w:r>
          </w:p>
        </w:tc>
        <w:tc>
          <w:tcPr>
            <w:tcW w:w="967" w:type="pct"/>
            <w:shd w:val="clear" w:color="auto" w:fill="auto"/>
            <w:vAlign w:val="center"/>
          </w:tcPr>
          <w:p w14:paraId="2EFCE292">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电气间隙、爬电距离、热剧变试验、绝缘介电强度、外壳防护等级（IP）、标志</w:t>
            </w:r>
          </w:p>
        </w:tc>
        <w:tc>
          <w:tcPr>
            <w:tcW w:w="988" w:type="pct"/>
            <w:shd w:val="clear" w:color="auto" w:fill="FFFFFF"/>
            <w:vAlign w:val="center"/>
          </w:tcPr>
          <w:p w14:paraId="4A830C7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color w:val="auto"/>
                <w:highlight w:val="none"/>
              </w:rPr>
              <w:t>GB/T 3836.1-2021</w:t>
            </w:r>
            <w:r>
              <w:rPr>
                <w:rFonts w:hint="eastAsia"/>
                <w:color w:val="auto"/>
                <w:highlight w:val="none"/>
                <w:lang w:eastAsia="zh-CN"/>
              </w:rPr>
              <w:t>、</w:t>
            </w:r>
            <w:r>
              <w:rPr>
                <w:rFonts w:hint="eastAsia"/>
                <w:color w:val="auto"/>
                <w:highlight w:val="none"/>
              </w:rPr>
              <w:t>GB/T 3836.2-2021</w:t>
            </w:r>
            <w:r>
              <w:rPr>
                <w:rFonts w:hint="eastAsia"/>
                <w:color w:val="auto"/>
                <w:highlight w:val="none"/>
                <w:lang w:eastAsia="zh-CN"/>
              </w:rPr>
              <w:t>、</w:t>
            </w:r>
            <w:r>
              <w:rPr>
                <w:rFonts w:hint="eastAsia"/>
                <w:color w:val="auto"/>
                <w:highlight w:val="none"/>
              </w:rPr>
              <w:t>GB/T 3836.3-2021</w:t>
            </w:r>
            <w:r>
              <w:rPr>
                <w:rFonts w:hint="eastAsia"/>
                <w:color w:val="auto"/>
                <w:highlight w:val="none"/>
                <w:lang w:eastAsia="zh-CN"/>
              </w:rPr>
              <w:t>、</w:t>
            </w:r>
            <w:r>
              <w:rPr>
                <w:rFonts w:hint="eastAsia"/>
                <w:color w:val="auto"/>
                <w:highlight w:val="none"/>
              </w:rPr>
              <w:t>GB/T 3836.4-2021</w:t>
            </w:r>
          </w:p>
        </w:tc>
        <w:tc>
          <w:tcPr>
            <w:tcW w:w="460" w:type="pct"/>
            <w:vMerge w:val="continue"/>
            <w:shd w:val="clear" w:color="auto" w:fill="auto"/>
            <w:vAlign w:val="center"/>
          </w:tcPr>
          <w:p w14:paraId="458F1024">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59008F3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7D61688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6B71187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69E8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2155D0A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27</w:t>
            </w:r>
          </w:p>
        </w:tc>
        <w:tc>
          <w:tcPr>
            <w:tcW w:w="537" w:type="pct"/>
            <w:shd w:val="clear" w:color="auto" w:fill="auto"/>
            <w:vAlign w:val="center"/>
          </w:tcPr>
          <w:p w14:paraId="1B14B35A">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无人机</w:t>
            </w:r>
          </w:p>
        </w:tc>
        <w:tc>
          <w:tcPr>
            <w:tcW w:w="431" w:type="pct"/>
            <w:shd w:val="clear" w:color="auto" w:fill="auto"/>
            <w:vAlign w:val="center"/>
          </w:tcPr>
          <w:p w14:paraId="07AE87C7">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无人机</w:t>
            </w:r>
          </w:p>
        </w:tc>
        <w:tc>
          <w:tcPr>
            <w:tcW w:w="967" w:type="pct"/>
            <w:shd w:val="clear" w:color="auto" w:fill="auto"/>
            <w:vAlign w:val="center"/>
          </w:tcPr>
          <w:p w14:paraId="61CF88D8">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机体结构、锂离子电池动力能源(标识和警示说明)、氢燃料电池动力系统-标识和警示说明、防差错</w:t>
            </w:r>
          </w:p>
        </w:tc>
        <w:tc>
          <w:tcPr>
            <w:tcW w:w="988" w:type="pct"/>
            <w:shd w:val="clear" w:color="auto" w:fill="FFFFFF"/>
            <w:vAlign w:val="center"/>
          </w:tcPr>
          <w:p w14:paraId="7794AA2F">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42590-2023</w:t>
            </w:r>
          </w:p>
        </w:tc>
        <w:tc>
          <w:tcPr>
            <w:tcW w:w="460" w:type="pct"/>
            <w:vMerge w:val="continue"/>
            <w:shd w:val="clear" w:color="auto" w:fill="auto"/>
            <w:vAlign w:val="center"/>
          </w:tcPr>
          <w:p w14:paraId="744569F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2A7A8C9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16D1A8A4">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2428D5E2">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4B87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7F481C27">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w:t>
            </w:r>
          </w:p>
        </w:tc>
        <w:tc>
          <w:tcPr>
            <w:tcW w:w="537" w:type="pct"/>
            <w:shd w:val="clear" w:color="auto" w:fill="auto"/>
            <w:vAlign w:val="center"/>
          </w:tcPr>
          <w:p w14:paraId="6D81E894">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质量快速筛查</w:t>
            </w:r>
          </w:p>
        </w:tc>
        <w:tc>
          <w:tcPr>
            <w:tcW w:w="431" w:type="pct"/>
            <w:shd w:val="clear" w:color="auto" w:fill="auto"/>
            <w:vAlign w:val="center"/>
          </w:tcPr>
          <w:p w14:paraId="7302352A">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967" w:type="pct"/>
            <w:shd w:val="clear" w:color="auto" w:fill="auto"/>
            <w:vAlign w:val="center"/>
          </w:tcPr>
          <w:p w14:paraId="5AA087D7">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988" w:type="pct"/>
            <w:shd w:val="clear" w:color="auto" w:fill="FFFFFF"/>
            <w:vAlign w:val="center"/>
          </w:tcPr>
          <w:p w14:paraId="3DD457F8">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460" w:type="pct"/>
            <w:shd w:val="clear" w:color="auto" w:fill="auto"/>
            <w:vAlign w:val="center"/>
          </w:tcPr>
          <w:p w14:paraId="42EA3A34">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200</w:t>
            </w:r>
          </w:p>
        </w:tc>
        <w:tc>
          <w:tcPr>
            <w:tcW w:w="522" w:type="pct"/>
            <w:shd w:val="clear" w:color="auto" w:fill="auto"/>
            <w:vAlign w:val="center"/>
          </w:tcPr>
          <w:p w14:paraId="76397B9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60000</w:t>
            </w:r>
          </w:p>
        </w:tc>
        <w:tc>
          <w:tcPr>
            <w:tcW w:w="522" w:type="pct"/>
            <w:vMerge w:val="continue"/>
            <w:shd w:val="clear" w:color="auto" w:fill="auto"/>
            <w:vAlign w:val="center"/>
          </w:tcPr>
          <w:p w14:paraId="03333C1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36D0B30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5335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1941D34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29</w:t>
            </w:r>
          </w:p>
        </w:tc>
        <w:tc>
          <w:tcPr>
            <w:tcW w:w="537" w:type="pct"/>
            <w:shd w:val="clear" w:color="auto" w:fill="auto"/>
            <w:vAlign w:val="center"/>
          </w:tcPr>
          <w:p w14:paraId="42C9B4FC">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学生文具</w:t>
            </w:r>
          </w:p>
        </w:tc>
        <w:tc>
          <w:tcPr>
            <w:tcW w:w="431" w:type="pct"/>
            <w:shd w:val="clear" w:color="auto" w:fill="auto"/>
            <w:vAlign w:val="center"/>
          </w:tcPr>
          <w:p w14:paraId="48BD7470">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学生文具</w:t>
            </w:r>
          </w:p>
        </w:tc>
        <w:tc>
          <w:tcPr>
            <w:tcW w:w="967" w:type="pct"/>
            <w:shd w:val="clear" w:color="auto" w:fill="auto"/>
            <w:vAlign w:val="center"/>
          </w:tcPr>
          <w:p w14:paraId="6A54F73D">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美术用品：可迁移元素的限量、可触及的塑料件中邻苯二甲酸酯增塑剂的限量、笔套安全；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书写笔：可迁移元素的限量、可触及的塑料件中邻苯二甲酸酯增塑剂的限量、笔套安全；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记号笔：可迁移元素的限量、可触及的塑料件中邻苯二甲酸酯增塑剂的限量、笔套安全；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橡皮擦：迁移元素的限量、可触及的塑料件中邻苯二甲酸酯增塑剂的限量；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涂改制品：可迁移元素的限量、苯的含量、氯代烃、可触及的塑料件中邻苯二甲酸酯增塑剂的限量、笔套安全；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胶黏剂：游离甲醛、苯、甲苯+二甲苯、总挥发性有机物、丙烯酰胺、可触及的塑料件中邻苯二甲酸酯增塑剂的限量；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笔袋：可迁移元素的限量、游离甲醛含量、可分解有害芳香胺染料、可触及的塑料件中邻苯二甲酸酯增塑剂的限量；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卷削类文具、绘图仪尺、学生圆规、文具盒：可迁移元素的限量、可触及的塑料件中邻苯二甲酸酯增塑剂的限量、边缘、尖端；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课业簿册：可迁移元素的限量、D65亮度、D65荧光亮度；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书套：可迁移元素的限量、可触及的塑料件中邻苯二甲酸酯增塑剂的限量；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彩泥：可迁移元素的限量、可触及的塑料件中邻苯二甲酸酯增塑剂的限量、游离甲醛的限量；</w:t>
            </w:r>
          </w:p>
        </w:tc>
        <w:tc>
          <w:tcPr>
            <w:tcW w:w="988" w:type="pct"/>
            <w:shd w:val="clear" w:color="auto" w:fill="FFFFFF"/>
            <w:vAlign w:val="center"/>
          </w:tcPr>
          <w:p w14:paraId="311352CD">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21027-2020</w:t>
            </w:r>
          </w:p>
        </w:tc>
        <w:tc>
          <w:tcPr>
            <w:tcW w:w="460" w:type="pct"/>
            <w:vMerge w:val="restart"/>
            <w:shd w:val="clear" w:color="auto" w:fill="auto"/>
            <w:vAlign w:val="center"/>
          </w:tcPr>
          <w:p w14:paraId="4AEB57C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2200</w:t>
            </w:r>
          </w:p>
        </w:tc>
        <w:tc>
          <w:tcPr>
            <w:tcW w:w="522" w:type="pct"/>
            <w:vMerge w:val="restart"/>
            <w:shd w:val="clear" w:color="auto" w:fill="auto"/>
            <w:vAlign w:val="center"/>
          </w:tcPr>
          <w:p w14:paraId="0497ADFA">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519200</w:t>
            </w:r>
          </w:p>
        </w:tc>
        <w:tc>
          <w:tcPr>
            <w:tcW w:w="522" w:type="pct"/>
            <w:vMerge w:val="restart"/>
            <w:shd w:val="clear" w:color="auto" w:fill="auto"/>
            <w:vAlign w:val="center"/>
          </w:tcPr>
          <w:p w14:paraId="38858A6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580000</w:t>
            </w:r>
          </w:p>
        </w:tc>
        <w:tc>
          <w:tcPr>
            <w:tcW w:w="343" w:type="pct"/>
            <w:vMerge w:val="restart"/>
            <w:shd w:val="clear" w:color="auto" w:fill="auto"/>
            <w:noWrap/>
            <w:vAlign w:val="center"/>
          </w:tcPr>
          <w:p w14:paraId="0538544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4</w:t>
            </w:r>
          </w:p>
        </w:tc>
      </w:tr>
      <w:tr w14:paraId="189E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0C9BC5B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w:t>
            </w:r>
          </w:p>
        </w:tc>
        <w:tc>
          <w:tcPr>
            <w:tcW w:w="537" w:type="pct"/>
            <w:shd w:val="clear" w:color="auto" w:fill="auto"/>
            <w:vAlign w:val="center"/>
          </w:tcPr>
          <w:p w14:paraId="4E346944">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儿童鞋</w:t>
            </w:r>
          </w:p>
        </w:tc>
        <w:tc>
          <w:tcPr>
            <w:tcW w:w="431" w:type="pct"/>
            <w:shd w:val="clear" w:color="auto" w:fill="auto"/>
            <w:vAlign w:val="center"/>
          </w:tcPr>
          <w:p w14:paraId="797EEEF9">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儿童鞋</w:t>
            </w:r>
          </w:p>
        </w:tc>
        <w:tc>
          <w:tcPr>
            <w:tcW w:w="967" w:type="pct"/>
            <w:shd w:val="clear" w:color="auto" w:fill="auto"/>
            <w:vAlign w:val="center"/>
          </w:tcPr>
          <w:p w14:paraId="376476F6">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儿童旅游鞋:标识、帮底剥离强度或底墙与帮面剥离强度、成鞋耐折性能、外底耐磨性能、外底硬度、衬里和内垫摩擦色牢度、皮革和毛皮中的六价铬、可分解有害芳香胺染料、甲醛、重金属总量（砷、铅、镉）、邻苯二甲酸酯。儿童皮鞋:标识、耐折性能、耐磨性能、剥离强度、外底硬度、衬里和内垫摩擦色牢度、钢勾心硬度、皮革和毛皮中的六价铬、可分解有害芳香胺染料、甲醛、重金属总量（砷、铅、镉）、邻苯二甲酸酯。布面童胶鞋：标识、外底硬度、磨耗量、衬里和内垫摩擦色牢度、游离甲醛、可分解有害芳香胺染料、重金属总量（砷、铅、镉）</w:t>
            </w:r>
          </w:p>
        </w:tc>
        <w:tc>
          <w:tcPr>
            <w:tcW w:w="988" w:type="pct"/>
            <w:shd w:val="clear" w:color="auto" w:fill="FFFFFF"/>
            <w:vAlign w:val="center"/>
          </w:tcPr>
          <w:p w14:paraId="5115ED29">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QB/T 4331-2021、GB 30585-2024、GB/T 25036-2021</w:t>
            </w:r>
          </w:p>
        </w:tc>
        <w:tc>
          <w:tcPr>
            <w:tcW w:w="460" w:type="pct"/>
            <w:vMerge w:val="continue"/>
            <w:shd w:val="clear" w:color="auto" w:fill="auto"/>
            <w:vAlign w:val="center"/>
          </w:tcPr>
          <w:p w14:paraId="7E1A9D9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43C26E8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57944A37">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4B10A5C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4392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7E8D8AA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31</w:t>
            </w:r>
          </w:p>
        </w:tc>
        <w:tc>
          <w:tcPr>
            <w:tcW w:w="537" w:type="pct"/>
            <w:shd w:val="clear" w:color="auto" w:fill="auto"/>
            <w:vAlign w:val="center"/>
          </w:tcPr>
          <w:p w14:paraId="5FA29C1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婴幼儿用塑料奶瓶</w:t>
            </w:r>
          </w:p>
        </w:tc>
        <w:tc>
          <w:tcPr>
            <w:tcW w:w="431" w:type="pct"/>
            <w:shd w:val="clear" w:color="auto" w:fill="auto"/>
            <w:vAlign w:val="center"/>
          </w:tcPr>
          <w:p w14:paraId="4F2F3CEE">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婴幼儿用塑料奶瓶</w:t>
            </w:r>
          </w:p>
        </w:tc>
        <w:tc>
          <w:tcPr>
            <w:tcW w:w="967" w:type="pct"/>
            <w:shd w:val="clear" w:color="auto" w:fill="auto"/>
            <w:vAlign w:val="center"/>
          </w:tcPr>
          <w:p w14:paraId="1181A476">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总迁移量、高锰酸钾消耗量、重金属（以Pb计）、脱色试验（限添加了着色剂的产品） 、特定迁移量（以锑计）（限PET材质）、特定迁移总量（以己内酰胺计）（限PA材质）、特定迁移总量（以对苯二甲酸计）（限PET材质）、特定迁移总量（以乙二醇计）（限PET材质）感官要求、容量偏差、抗压变形性能、耐沸水性能、耐热冲击性能</w:t>
            </w:r>
          </w:p>
        </w:tc>
        <w:tc>
          <w:tcPr>
            <w:tcW w:w="988" w:type="pct"/>
            <w:shd w:val="clear" w:color="auto" w:fill="FFFFFF"/>
            <w:vAlign w:val="center"/>
          </w:tcPr>
          <w:p w14:paraId="464E883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GB 4806.6—2016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4806.7—2016</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GB 38995—2020 </w:t>
            </w:r>
          </w:p>
        </w:tc>
        <w:tc>
          <w:tcPr>
            <w:tcW w:w="460" w:type="pct"/>
            <w:vMerge w:val="continue"/>
            <w:shd w:val="clear" w:color="auto" w:fill="auto"/>
            <w:vAlign w:val="center"/>
          </w:tcPr>
          <w:p w14:paraId="5912456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295451F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4B748C7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549B6BDA">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0F72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0F9ED8B1">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w:t>
            </w:r>
          </w:p>
        </w:tc>
        <w:tc>
          <w:tcPr>
            <w:tcW w:w="537" w:type="pct"/>
            <w:shd w:val="clear" w:color="auto" w:fill="auto"/>
            <w:vAlign w:val="center"/>
          </w:tcPr>
          <w:p w14:paraId="25DEFAFE">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儿童玩具</w:t>
            </w:r>
          </w:p>
        </w:tc>
        <w:tc>
          <w:tcPr>
            <w:tcW w:w="431" w:type="pct"/>
            <w:shd w:val="clear" w:color="auto" w:fill="auto"/>
            <w:vAlign w:val="center"/>
          </w:tcPr>
          <w:p w14:paraId="2A04114A">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儿童玩具</w:t>
            </w:r>
          </w:p>
        </w:tc>
        <w:tc>
          <w:tcPr>
            <w:tcW w:w="967" w:type="pct"/>
            <w:shd w:val="clear" w:color="auto" w:fill="auto"/>
            <w:vAlign w:val="center"/>
          </w:tcPr>
          <w:p w14:paraId="13157803">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玩具机械物理性能：正常使用、可预见的合理滥用、材料、小零件、某些特定玩具的形状、尺寸及强度、边缘、尖端、突出部件、金属丝和杆件、用于包装或玩具中的塑料袋或塑料薄膜、绳索和弹性绳、孔、间隙、机械装置的可触及性、弹簧、封闭式玩具、仿制防护玩具、弹射玩具、水上玩具、液体填充玩具、口动玩具；</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玩具燃烧性能：一般要求，头戴玩具，化妆服饰，供儿童进入的玩具，具有毛绒或纺织表面的软体填充玩具；</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玩具 特定元素的迁移：可迁移元素最大限量；</w:t>
            </w:r>
          </w:p>
        </w:tc>
        <w:tc>
          <w:tcPr>
            <w:tcW w:w="988" w:type="pct"/>
            <w:shd w:val="clear" w:color="auto" w:fill="FFFFFF"/>
            <w:vAlign w:val="center"/>
          </w:tcPr>
          <w:p w14:paraId="628F0CEC">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6675.2-2014</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6675.3-2014</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6675.4-2014</w:t>
            </w:r>
          </w:p>
        </w:tc>
        <w:tc>
          <w:tcPr>
            <w:tcW w:w="460" w:type="pct"/>
            <w:vMerge w:val="continue"/>
            <w:shd w:val="clear" w:color="auto" w:fill="auto"/>
            <w:vAlign w:val="center"/>
          </w:tcPr>
          <w:p w14:paraId="75D95EC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43B66D64">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5B84B71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54D150A4">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2B49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7A19C03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33</w:t>
            </w:r>
          </w:p>
        </w:tc>
        <w:tc>
          <w:tcPr>
            <w:tcW w:w="537" w:type="pct"/>
            <w:shd w:val="clear" w:color="auto" w:fill="auto"/>
            <w:vAlign w:val="center"/>
          </w:tcPr>
          <w:p w14:paraId="20EA20F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老年鞋</w:t>
            </w:r>
          </w:p>
        </w:tc>
        <w:tc>
          <w:tcPr>
            <w:tcW w:w="431" w:type="pct"/>
            <w:shd w:val="clear" w:color="auto" w:fill="auto"/>
            <w:vAlign w:val="center"/>
          </w:tcPr>
          <w:p w14:paraId="09D959ED">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老年鞋</w:t>
            </w:r>
          </w:p>
        </w:tc>
        <w:tc>
          <w:tcPr>
            <w:tcW w:w="967" w:type="pct"/>
            <w:shd w:val="clear" w:color="auto" w:fill="auto"/>
            <w:vAlign w:val="center"/>
          </w:tcPr>
          <w:p w14:paraId="26E6F83F">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老年鞋（旅游鞋）：可分解致癌芳香胺染料、游离或可部分水解的甲醛；</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老年鞋（休闲鞋）：可分解有害芳香胺、游离或可部分水解的甲醛；</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老年鞋（布鞋）：可分解致癌芳香胺染料含量、游离或可部分水解的甲醛含量；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老年鞋（老年橡塑鞋）：6价铬、可分解有害芳香胺染料、含氯酚（五氯苯酚（PCP）、2,3,5,6—四氯苯酚（TeCP））；                老人鞋：有效跟高、剥离强度、外底耐磨性能、防滑性能、外底硬度、粘扣带抗疲劳性能</w:t>
            </w:r>
          </w:p>
        </w:tc>
        <w:tc>
          <w:tcPr>
            <w:tcW w:w="988" w:type="pct"/>
            <w:shd w:val="clear" w:color="auto" w:fill="FFFFFF"/>
            <w:vAlign w:val="center"/>
          </w:tcPr>
          <w:p w14:paraId="14FC7646">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15107—2013</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QB/T 2955—2017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QB/T 4329—2012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HG/T 5294—2018                               GB/T 43587-2023</w:t>
            </w:r>
          </w:p>
        </w:tc>
        <w:tc>
          <w:tcPr>
            <w:tcW w:w="460" w:type="pct"/>
            <w:vMerge w:val="continue"/>
            <w:shd w:val="clear" w:color="auto" w:fill="auto"/>
            <w:vAlign w:val="center"/>
          </w:tcPr>
          <w:p w14:paraId="6F88FB5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72DED1B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397C8A4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7A3574A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27FA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07F700D2">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34</w:t>
            </w:r>
          </w:p>
        </w:tc>
        <w:tc>
          <w:tcPr>
            <w:tcW w:w="537" w:type="pct"/>
            <w:shd w:val="clear" w:color="auto" w:fill="auto"/>
            <w:vAlign w:val="center"/>
          </w:tcPr>
          <w:p w14:paraId="6E6F36AA">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坐便椅(凳)</w:t>
            </w:r>
          </w:p>
        </w:tc>
        <w:tc>
          <w:tcPr>
            <w:tcW w:w="431" w:type="pct"/>
            <w:shd w:val="clear" w:color="auto" w:fill="auto"/>
            <w:vAlign w:val="center"/>
          </w:tcPr>
          <w:p w14:paraId="34AB71D9">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坐便椅(凳)</w:t>
            </w:r>
          </w:p>
        </w:tc>
        <w:tc>
          <w:tcPr>
            <w:tcW w:w="967" w:type="pct"/>
            <w:shd w:val="clear" w:color="auto" w:fill="auto"/>
            <w:vAlign w:val="center"/>
          </w:tcPr>
          <w:p w14:paraId="3D859B3E">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外观要求、静载荷试验、稳定性试验、椅座耐冲击试验、便盆容积测量、便盆温度变化试验</w:t>
            </w:r>
          </w:p>
        </w:tc>
        <w:tc>
          <w:tcPr>
            <w:tcW w:w="988" w:type="pct"/>
            <w:shd w:val="clear" w:color="auto" w:fill="FFFFFF"/>
            <w:vAlign w:val="center"/>
          </w:tcPr>
          <w:p w14:paraId="3D2E213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24434-2025</w:t>
            </w:r>
          </w:p>
        </w:tc>
        <w:tc>
          <w:tcPr>
            <w:tcW w:w="460" w:type="pct"/>
            <w:vMerge w:val="continue"/>
            <w:shd w:val="clear" w:color="auto" w:fill="auto"/>
            <w:vAlign w:val="center"/>
          </w:tcPr>
          <w:p w14:paraId="5842459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7A6826B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4C138E07">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347E8D01">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4FE9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21DCFEB7">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w:t>
            </w:r>
          </w:p>
        </w:tc>
        <w:tc>
          <w:tcPr>
            <w:tcW w:w="537" w:type="pct"/>
            <w:shd w:val="clear" w:color="auto" w:fill="auto"/>
            <w:vAlign w:val="center"/>
          </w:tcPr>
          <w:p w14:paraId="506C3576">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质量快速筛查</w:t>
            </w:r>
          </w:p>
        </w:tc>
        <w:tc>
          <w:tcPr>
            <w:tcW w:w="431" w:type="pct"/>
            <w:shd w:val="clear" w:color="auto" w:fill="auto"/>
            <w:vAlign w:val="center"/>
          </w:tcPr>
          <w:p w14:paraId="21A902D3">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967" w:type="pct"/>
            <w:shd w:val="clear" w:color="auto" w:fill="auto"/>
            <w:vAlign w:val="center"/>
          </w:tcPr>
          <w:p w14:paraId="4B22C1E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988" w:type="pct"/>
            <w:shd w:val="clear" w:color="auto" w:fill="FFFFFF"/>
            <w:vAlign w:val="center"/>
          </w:tcPr>
          <w:p w14:paraId="12929E6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460" w:type="pct"/>
            <w:shd w:val="clear" w:color="auto" w:fill="auto"/>
            <w:vAlign w:val="center"/>
          </w:tcPr>
          <w:p w14:paraId="3A4A147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200</w:t>
            </w:r>
          </w:p>
        </w:tc>
        <w:tc>
          <w:tcPr>
            <w:tcW w:w="522" w:type="pct"/>
            <w:shd w:val="clear" w:color="auto" w:fill="auto"/>
            <w:vAlign w:val="center"/>
          </w:tcPr>
          <w:p w14:paraId="4C33FE2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60800</w:t>
            </w:r>
          </w:p>
        </w:tc>
        <w:tc>
          <w:tcPr>
            <w:tcW w:w="522" w:type="pct"/>
            <w:vMerge w:val="continue"/>
            <w:shd w:val="clear" w:color="auto" w:fill="auto"/>
            <w:vAlign w:val="center"/>
          </w:tcPr>
          <w:p w14:paraId="5395EDB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1EB96CA4">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6A1E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11062A1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36</w:t>
            </w:r>
          </w:p>
        </w:tc>
        <w:tc>
          <w:tcPr>
            <w:tcW w:w="537" w:type="pct"/>
            <w:shd w:val="clear" w:color="auto" w:fill="auto"/>
            <w:vAlign w:val="center"/>
          </w:tcPr>
          <w:p w14:paraId="765260B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笔记本电脑</w:t>
            </w:r>
          </w:p>
        </w:tc>
        <w:tc>
          <w:tcPr>
            <w:tcW w:w="431" w:type="pct"/>
            <w:shd w:val="clear" w:color="auto" w:fill="auto"/>
            <w:vAlign w:val="center"/>
          </w:tcPr>
          <w:p w14:paraId="6C1D114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笔记本电脑</w:t>
            </w:r>
          </w:p>
        </w:tc>
        <w:tc>
          <w:tcPr>
            <w:tcW w:w="967" w:type="pct"/>
            <w:shd w:val="clear" w:color="auto" w:fill="auto"/>
            <w:vAlign w:val="center"/>
          </w:tcPr>
          <w:p w14:paraId="76C5527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通用要求（安全防护的强度）、热灼伤（接触温度限值）、交流电源端口的传导发射、不对称模式传导发射、1GHz以下辐射发射、谐波电流</w:t>
            </w:r>
          </w:p>
        </w:tc>
        <w:tc>
          <w:tcPr>
            <w:tcW w:w="988" w:type="pct"/>
            <w:shd w:val="clear" w:color="auto" w:fill="FFFFFF"/>
            <w:vAlign w:val="center"/>
          </w:tcPr>
          <w:p w14:paraId="338367F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u w:val="none"/>
                <w:lang w:val="en-US" w:eastAsia="zh-CN" w:bidi="ar"/>
              </w:rPr>
              <w:t>GB 4943.1-2022、</w:t>
            </w:r>
            <w:r>
              <w:rPr>
                <w:rFonts w:hint="eastAsia" w:asciiTheme="minorEastAsia" w:hAnsiTheme="minorEastAsia" w:eastAsiaTheme="minorEastAsia" w:cstheme="minorEastAsia"/>
                <w:color w:val="auto"/>
                <w:sz w:val="21"/>
                <w:szCs w:val="21"/>
                <w:highlight w:val="none"/>
                <w:u w:val="none"/>
                <w:lang w:val="en-US" w:eastAsia="zh-CN" w:bidi="ar"/>
              </w:rPr>
              <w:br w:type="textWrapping"/>
            </w:r>
            <w:r>
              <w:rPr>
                <w:rFonts w:hint="eastAsia" w:asciiTheme="minorEastAsia" w:hAnsiTheme="minorEastAsia" w:eastAsiaTheme="minorEastAsia" w:cstheme="minorEastAsia"/>
                <w:color w:val="auto"/>
                <w:sz w:val="21"/>
                <w:szCs w:val="21"/>
                <w:highlight w:val="none"/>
                <w:u w:val="none"/>
                <w:lang w:val="en-US" w:eastAsia="zh-CN" w:bidi="ar"/>
              </w:rPr>
              <w:t>GB/T 9254.1-2021、GB 17625.1-2022</w:t>
            </w:r>
          </w:p>
        </w:tc>
        <w:tc>
          <w:tcPr>
            <w:tcW w:w="460" w:type="pct"/>
            <w:vMerge w:val="restart"/>
            <w:shd w:val="clear" w:color="auto" w:fill="auto"/>
            <w:vAlign w:val="center"/>
          </w:tcPr>
          <w:p w14:paraId="6715766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6000</w:t>
            </w:r>
          </w:p>
        </w:tc>
        <w:tc>
          <w:tcPr>
            <w:tcW w:w="522" w:type="pct"/>
            <w:vMerge w:val="restart"/>
            <w:shd w:val="clear" w:color="auto" w:fill="auto"/>
            <w:vAlign w:val="center"/>
          </w:tcPr>
          <w:p w14:paraId="4629E5C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66000</w:t>
            </w:r>
          </w:p>
        </w:tc>
        <w:tc>
          <w:tcPr>
            <w:tcW w:w="522" w:type="pct"/>
            <w:vMerge w:val="restart"/>
            <w:shd w:val="clear" w:color="auto" w:fill="auto"/>
            <w:vAlign w:val="center"/>
          </w:tcPr>
          <w:p w14:paraId="3C47653A">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300000</w:t>
            </w:r>
          </w:p>
        </w:tc>
        <w:tc>
          <w:tcPr>
            <w:tcW w:w="343" w:type="pct"/>
            <w:vMerge w:val="restart"/>
            <w:shd w:val="clear" w:color="auto" w:fill="auto"/>
            <w:noWrap/>
            <w:vAlign w:val="center"/>
          </w:tcPr>
          <w:p w14:paraId="0E8163D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5</w:t>
            </w:r>
          </w:p>
        </w:tc>
      </w:tr>
      <w:tr w14:paraId="4909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00788511">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37</w:t>
            </w:r>
          </w:p>
        </w:tc>
        <w:tc>
          <w:tcPr>
            <w:tcW w:w="537" w:type="pct"/>
            <w:shd w:val="clear" w:color="auto" w:fill="auto"/>
            <w:vAlign w:val="center"/>
          </w:tcPr>
          <w:p w14:paraId="699884F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台式微型计算机</w:t>
            </w:r>
          </w:p>
        </w:tc>
        <w:tc>
          <w:tcPr>
            <w:tcW w:w="431" w:type="pct"/>
            <w:shd w:val="clear" w:color="auto" w:fill="auto"/>
            <w:vAlign w:val="center"/>
          </w:tcPr>
          <w:p w14:paraId="64358DE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台式微型计算机</w:t>
            </w:r>
          </w:p>
        </w:tc>
        <w:tc>
          <w:tcPr>
            <w:tcW w:w="967" w:type="pct"/>
            <w:shd w:val="clear" w:color="auto" w:fill="auto"/>
            <w:vAlign w:val="center"/>
          </w:tcPr>
          <w:p w14:paraId="3B9CE96A">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通用要求（导体的固定）、电引起的伤害（电气间隙、爬电距离、抗电强度试验、保护连接系统的电阻、预期的接触电压、接触电流和保护导体电流）、热灼伤（接触温度限值）、交流电源端口的传导发射、不对称模式传导发射、1GHz以下辐射发射、谐波电流</w:t>
            </w:r>
          </w:p>
        </w:tc>
        <w:tc>
          <w:tcPr>
            <w:tcW w:w="988" w:type="pct"/>
            <w:shd w:val="clear" w:color="auto" w:fill="FFFFFF"/>
            <w:vAlign w:val="center"/>
          </w:tcPr>
          <w:p w14:paraId="6A21AA3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4943.1-2022</w:t>
            </w:r>
            <w:r>
              <w:rPr>
                <w:rFonts w:hint="eastAsia" w:asciiTheme="minorEastAsia" w:hAnsiTheme="minorEastAsia" w:eastAsiaTheme="minorEastAsia" w:cstheme="minorEastAsia"/>
                <w:color w:val="auto"/>
                <w:sz w:val="21"/>
                <w:szCs w:val="21"/>
                <w:highlight w:val="none"/>
                <w:u w:val="none"/>
                <w:lang w:val="en-US"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9254.1-2021</w:t>
            </w:r>
            <w:r>
              <w:rPr>
                <w:rFonts w:hint="eastAsia" w:asciiTheme="minorEastAsia" w:hAnsiTheme="minorEastAsia" w:eastAsiaTheme="minorEastAsia" w:cstheme="minorEastAsia"/>
                <w:color w:val="auto"/>
                <w:sz w:val="21"/>
                <w:szCs w:val="21"/>
                <w:highlight w:val="none"/>
                <w:u w:val="none"/>
                <w:lang w:val="en-US"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17625.1-2022</w:t>
            </w:r>
          </w:p>
        </w:tc>
        <w:tc>
          <w:tcPr>
            <w:tcW w:w="460" w:type="pct"/>
            <w:vMerge w:val="continue"/>
            <w:shd w:val="clear" w:color="auto" w:fill="auto"/>
            <w:vAlign w:val="center"/>
          </w:tcPr>
          <w:p w14:paraId="7AB644F1">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0928C18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674D23CA">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302D3C3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36A1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64324C64">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38</w:t>
            </w:r>
          </w:p>
        </w:tc>
        <w:tc>
          <w:tcPr>
            <w:tcW w:w="537" w:type="pct"/>
            <w:shd w:val="clear" w:color="auto" w:fill="auto"/>
            <w:vAlign w:val="center"/>
          </w:tcPr>
          <w:p w14:paraId="0DB9FF4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手机充电器</w:t>
            </w:r>
          </w:p>
        </w:tc>
        <w:tc>
          <w:tcPr>
            <w:tcW w:w="431" w:type="pct"/>
            <w:shd w:val="clear" w:color="auto" w:fill="auto"/>
            <w:vAlign w:val="center"/>
          </w:tcPr>
          <w:p w14:paraId="6975C09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手机充电器</w:t>
            </w:r>
          </w:p>
        </w:tc>
        <w:tc>
          <w:tcPr>
            <w:tcW w:w="967" w:type="pct"/>
            <w:shd w:val="clear" w:color="auto" w:fill="auto"/>
            <w:vAlign w:val="center"/>
          </w:tcPr>
          <w:p w14:paraId="0B097DA1">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通用要求（导体的固定）、电引起的伤害（电气间隙、爬电距离、抗电强度试验）、交流电源端口的传导发射、1GHz以下辐射发射</w:t>
            </w:r>
          </w:p>
        </w:tc>
        <w:tc>
          <w:tcPr>
            <w:tcW w:w="988" w:type="pct"/>
            <w:shd w:val="clear" w:color="auto" w:fill="FFFFFF"/>
            <w:vAlign w:val="center"/>
          </w:tcPr>
          <w:p w14:paraId="5BC1857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4943.1-2022</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9254.1-2021</w:t>
            </w:r>
          </w:p>
        </w:tc>
        <w:tc>
          <w:tcPr>
            <w:tcW w:w="460" w:type="pct"/>
            <w:shd w:val="clear" w:color="auto" w:fill="auto"/>
            <w:vAlign w:val="center"/>
          </w:tcPr>
          <w:p w14:paraId="0033B6B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3100</w:t>
            </w:r>
          </w:p>
        </w:tc>
        <w:tc>
          <w:tcPr>
            <w:tcW w:w="522" w:type="pct"/>
            <w:shd w:val="clear" w:color="auto" w:fill="auto"/>
            <w:vAlign w:val="center"/>
          </w:tcPr>
          <w:p w14:paraId="7EF429B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24800</w:t>
            </w:r>
          </w:p>
        </w:tc>
        <w:tc>
          <w:tcPr>
            <w:tcW w:w="522" w:type="pct"/>
            <w:vMerge w:val="continue"/>
            <w:shd w:val="clear" w:color="auto" w:fill="auto"/>
            <w:vAlign w:val="center"/>
          </w:tcPr>
          <w:p w14:paraId="19976AA1">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775B86C4">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2347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10581A4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39</w:t>
            </w:r>
          </w:p>
        </w:tc>
        <w:tc>
          <w:tcPr>
            <w:tcW w:w="537" w:type="pct"/>
            <w:shd w:val="clear" w:color="auto" w:fill="auto"/>
            <w:vAlign w:val="center"/>
          </w:tcPr>
          <w:p w14:paraId="4CDE4041">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儿童电话手表</w:t>
            </w:r>
          </w:p>
        </w:tc>
        <w:tc>
          <w:tcPr>
            <w:tcW w:w="431" w:type="pct"/>
            <w:shd w:val="clear" w:color="auto" w:fill="auto"/>
            <w:vAlign w:val="center"/>
          </w:tcPr>
          <w:p w14:paraId="3D4BACA1">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儿童电话手表</w:t>
            </w:r>
          </w:p>
        </w:tc>
        <w:tc>
          <w:tcPr>
            <w:tcW w:w="967" w:type="pct"/>
            <w:shd w:val="clear" w:color="auto" w:fill="auto"/>
            <w:vAlign w:val="center"/>
          </w:tcPr>
          <w:p w14:paraId="0699D6C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通用要求（安全防护的强度）、热灼伤（接触温度限值）</w:t>
            </w:r>
          </w:p>
        </w:tc>
        <w:tc>
          <w:tcPr>
            <w:tcW w:w="988" w:type="pct"/>
            <w:shd w:val="clear" w:color="auto" w:fill="FFFFFF"/>
            <w:vAlign w:val="center"/>
          </w:tcPr>
          <w:p w14:paraId="631AE23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4943.1-2022</w:t>
            </w:r>
          </w:p>
        </w:tc>
        <w:tc>
          <w:tcPr>
            <w:tcW w:w="460" w:type="pct"/>
            <w:shd w:val="clear" w:color="auto" w:fill="auto"/>
            <w:vAlign w:val="center"/>
          </w:tcPr>
          <w:p w14:paraId="47BAB951">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4200</w:t>
            </w:r>
          </w:p>
        </w:tc>
        <w:tc>
          <w:tcPr>
            <w:tcW w:w="522" w:type="pct"/>
            <w:shd w:val="clear" w:color="auto" w:fill="auto"/>
            <w:vAlign w:val="center"/>
          </w:tcPr>
          <w:p w14:paraId="15BE7B5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21000</w:t>
            </w:r>
          </w:p>
        </w:tc>
        <w:tc>
          <w:tcPr>
            <w:tcW w:w="522" w:type="pct"/>
            <w:vMerge w:val="continue"/>
            <w:shd w:val="clear" w:color="auto" w:fill="auto"/>
            <w:vAlign w:val="center"/>
          </w:tcPr>
          <w:p w14:paraId="36AD808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061ADBB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4F58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shd w:val="clear" w:color="auto" w:fill="auto"/>
            <w:vAlign w:val="center"/>
          </w:tcPr>
          <w:p w14:paraId="1860BCFA">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w:t>
            </w:r>
          </w:p>
        </w:tc>
        <w:tc>
          <w:tcPr>
            <w:tcW w:w="537" w:type="pct"/>
            <w:shd w:val="clear" w:color="auto" w:fill="auto"/>
            <w:vAlign w:val="center"/>
          </w:tcPr>
          <w:p w14:paraId="09605CE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读写作业台灯</w:t>
            </w:r>
          </w:p>
        </w:tc>
        <w:tc>
          <w:tcPr>
            <w:tcW w:w="431" w:type="pct"/>
            <w:shd w:val="clear" w:color="auto" w:fill="auto"/>
            <w:vAlign w:val="center"/>
          </w:tcPr>
          <w:p w14:paraId="3D2E3227">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读写作业台灯</w:t>
            </w:r>
          </w:p>
        </w:tc>
        <w:tc>
          <w:tcPr>
            <w:tcW w:w="967" w:type="pct"/>
            <w:shd w:val="clear" w:color="auto" w:fill="auto"/>
            <w:vAlign w:val="center"/>
          </w:tcPr>
          <w:p w14:paraId="3544768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耐热、耐火和耐起痕（耐燃烧和防引燃）、遮光性、传导骚扰、谐波电流</w:t>
            </w:r>
          </w:p>
        </w:tc>
        <w:tc>
          <w:tcPr>
            <w:tcW w:w="988" w:type="pct"/>
            <w:shd w:val="clear" w:color="auto" w:fill="FFFFFF"/>
            <w:vAlign w:val="center"/>
          </w:tcPr>
          <w:p w14:paraId="67D3304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 GB/T 7000.1-2023、</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7000.204-2023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7000.1-2023、</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7000.204-2023</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9473-2022</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17743-2021</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17625.1-2022</w:t>
            </w:r>
          </w:p>
        </w:tc>
        <w:tc>
          <w:tcPr>
            <w:tcW w:w="460" w:type="pct"/>
            <w:shd w:val="clear" w:color="auto" w:fill="auto"/>
            <w:vAlign w:val="center"/>
          </w:tcPr>
          <w:p w14:paraId="54B93B42">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2900</w:t>
            </w:r>
          </w:p>
        </w:tc>
        <w:tc>
          <w:tcPr>
            <w:tcW w:w="522" w:type="pct"/>
            <w:shd w:val="clear" w:color="auto" w:fill="auto"/>
            <w:vAlign w:val="center"/>
          </w:tcPr>
          <w:p w14:paraId="3FE1F3C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29000</w:t>
            </w:r>
          </w:p>
        </w:tc>
        <w:tc>
          <w:tcPr>
            <w:tcW w:w="522" w:type="pct"/>
            <w:vMerge w:val="continue"/>
            <w:shd w:val="clear" w:color="auto" w:fill="auto"/>
            <w:vAlign w:val="center"/>
          </w:tcPr>
          <w:p w14:paraId="1B0ABA7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6C49148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2094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7D6C83E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41</w:t>
            </w:r>
          </w:p>
        </w:tc>
        <w:tc>
          <w:tcPr>
            <w:tcW w:w="537" w:type="pct"/>
            <w:shd w:val="clear" w:color="auto" w:fill="auto"/>
            <w:vAlign w:val="center"/>
          </w:tcPr>
          <w:p w14:paraId="0FAD7E0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烟花爆竹</w:t>
            </w:r>
          </w:p>
        </w:tc>
        <w:tc>
          <w:tcPr>
            <w:tcW w:w="431" w:type="pct"/>
            <w:shd w:val="clear" w:color="auto" w:fill="auto"/>
            <w:vAlign w:val="center"/>
          </w:tcPr>
          <w:p w14:paraId="4D426AC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烟花爆竹</w:t>
            </w:r>
          </w:p>
        </w:tc>
        <w:tc>
          <w:tcPr>
            <w:tcW w:w="967" w:type="pct"/>
            <w:shd w:val="clear" w:color="auto" w:fill="auto"/>
            <w:vAlign w:val="center"/>
          </w:tcPr>
          <w:p w14:paraId="5497723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销售包装标志、销售包装、外观、部件、结构、材质、药</w:t>
            </w:r>
            <w:bookmarkStart w:id="427" w:name="_GoBack"/>
            <w:bookmarkEnd w:id="427"/>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种（氯酸盐、砷化合物、汞化合物、没食子酸、苦味酸、六氯代苯、镁粉、磷、铅化合物）、药量、燃放性能</w:t>
            </w:r>
          </w:p>
        </w:tc>
        <w:tc>
          <w:tcPr>
            <w:tcW w:w="988" w:type="pct"/>
            <w:shd w:val="clear" w:color="auto" w:fill="FFFFFF"/>
            <w:vAlign w:val="center"/>
          </w:tcPr>
          <w:p w14:paraId="4048222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24426-2015</w:t>
            </w:r>
            <w:r>
              <w:rPr>
                <w:rFonts w:hint="eastAsia" w:asciiTheme="minorEastAsia" w:hAnsiTheme="minorEastAsia" w:eastAsiaTheme="minorEastAsia" w:cstheme="minorEastAsia"/>
                <w:color w:val="auto"/>
                <w:sz w:val="21"/>
                <w:szCs w:val="21"/>
                <w:highlight w:val="none"/>
                <w:u w:val="none"/>
                <w:lang w:val="en-US"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10631-2013</w:t>
            </w:r>
            <w:r>
              <w:rPr>
                <w:rFonts w:hint="eastAsia" w:asciiTheme="minorEastAsia" w:hAnsiTheme="minorEastAsia" w:eastAsiaTheme="minorEastAsia" w:cstheme="minorEastAsia"/>
                <w:color w:val="auto"/>
                <w:sz w:val="21"/>
                <w:szCs w:val="21"/>
                <w:highlight w:val="none"/>
                <w:u w:val="none"/>
                <w:lang w:val="en-US"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10631-2025</w:t>
            </w:r>
            <w:r>
              <w:rPr>
                <w:rFonts w:hint="eastAsia" w:asciiTheme="minorEastAsia" w:hAnsiTheme="minorEastAsia" w:eastAsiaTheme="minorEastAsia" w:cstheme="minorEastAsia"/>
                <w:color w:val="auto"/>
                <w:sz w:val="21"/>
                <w:szCs w:val="21"/>
                <w:highlight w:val="none"/>
                <w:u w:val="none"/>
                <w:lang w:val="en-US"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GB/T 41644-2022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19593-2015</w:t>
            </w:r>
            <w:r>
              <w:rPr>
                <w:rFonts w:hint="eastAsia" w:asciiTheme="minorEastAsia" w:hAnsiTheme="minorEastAsia" w:eastAsiaTheme="minorEastAsia" w:cstheme="minorEastAsia"/>
                <w:color w:val="auto"/>
                <w:sz w:val="21"/>
                <w:szCs w:val="21"/>
                <w:highlight w:val="none"/>
                <w:u w:val="none"/>
                <w:lang w:val="en-US"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 GB/T 21242-2019</w:t>
            </w:r>
            <w:r>
              <w:rPr>
                <w:rFonts w:hint="eastAsia" w:asciiTheme="minorEastAsia" w:hAnsiTheme="minorEastAsia" w:eastAsiaTheme="minorEastAsia" w:cstheme="minorEastAsia"/>
                <w:color w:val="auto"/>
                <w:sz w:val="21"/>
                <w:szCs w:val="21"/>
                <w:highlight w:val="none"/>
                <w:u w:val="none"/>
                <w:lang w:val="en-US"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GB/T 35030-2018   </w:t>
            </w:r>
          </w:p>
        </w:tc>
        <w:tc>
          <w:tcPr>
            <w:tcW w:w="460" w:type="pct"/>
            <w:shd w:val="clear" w:color="auto" w:fill="auto"/>
            <w:vAlign w:val="center"/>
          </w:tcPr>
          <w:p w14:paraId="1BAC8EC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2400</w:t>
            </w:r>
          </w:p>
        </w:tc>
        <w:tc>
          <w:tcPr>
            <w:tcW w:w="522" w:type="pct"/>
            <w:shd w:val="clear" w:color="auto" w:fill="auto"/>
            <w:vAlign w:val="center"/>
          </w:tcPr>
          <w:p w14:paraId="6013302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120000</w:t>
            </w:r>
          </w:p>
        </w:tc>
        <w:tc>
          <w:tcPr>
            <w:tcW w:w="522" w:type="pct"/>
            <w:vMerge w:val="continue"/>
            <w:shd w:val="clear" w:color="auto" w:fill="auto"/>
            <w:vAlign w:val="center"/>
          </w:tcPr>
          <w:p w14:paraId="4A8E394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17C8BE8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2B07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664F5D47">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42</w:t>
            </w:r>
          </w:p>
        </w:tc>
        <w:tc>
          <w:tcPr>
            <w:tcW w:w="537" w:type="pct"/>
            <w:shd w:val="clear" w:color="auto" w:fill="auto"/>
            <w:vAlign w:val="center"/>
          </w:tcPr>
          <w:p w14:paraId="47D9E1E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质量快速筛查</w:t>
            </w:r>
          </w:p>
        </w:tc>
        <w:tc>
          <w:tcPr>
            <w:tcW w:w="431" w:type="pct"/>
            <w:shd w:val="clear" w:color="auto" w:fill="auto"/>
            <w:vAlign w:val="center"/>
          </w:tcPr>
          <w:p w14:paraId="6DEF30F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967" w:type="pct"/>
            <w:shd w:val="clear" w:color="auto" w:fill="auto"/>
            <w:vAlign w:val="center"/>
          </w:tcPr>
          <w:p w14:paraId="13982A72">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988" w:type="pct"/>
            <w:shd w:val="clear" w:color="auto" w:fill="FFFFFF"/>
            <w:vAlign w:val="center"/>
          </w:tcPr>
          <w:p w14:paraId="05DE2B2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460" w:type="pct"/>
            <w:shd w:val="clear" w:color="auto" w:fill="auto"/>
            <w:vAlign w:val="center"/>
          </w:tcPr>
          <w:p w14:paraId="7D517287">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200</w:t>
            </w:r>
          </w:p>
        </w:tc>
        <w:tc>
          <w:tcPr>
            <w:tcW w:w="522" w:type="pct"/>
            <w:shd w:val="clear" w:color="auto" w:fill="auto"/>
            <w:vAlign w:val="center"/>
          </w:tcPr>
          <w:p w14:paraId="2845537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39200</w:t>
            </w:r>
          </w:p>
        </w:tc>
        <w:tc>
          <w:tcPr>
            <w:tcW w:w="522" w:type="pct"/>
            <w:vMerge w:val="continue"/>
            <w:shd w:val="clear" w:color="auto" w:fill="auto"/>
            <w:vAlign w:val="center"/>
          </w:tcPr>
          <w:p w14:paraId="3917F11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70AD6DE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0C8F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restart"/>
            <w:shd w:val="clear" w:color="auto" w:fill="auto"/>
            <w:vAlign w:val="center"/>
          </w:tcPr>
          <w:p w14:paraId="191B95A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43</w:t>
            </w:r>
          </w:p>
        </w:tc>
        <w:tc>
          <w:tcPr>
            <w:tcW w:w="537" w:type="pct"/>
            <w:vMerge w:val="restart"/>
            <w:shd w:val="clear" w:color="auto" w:fill="auto"/>
            <w:vAlign w:val="center"/>
          </w:tcPr>
          <w:p w14:paraId="73854C95">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铝合金建筑型材</w:t>
            </w:r>
          </w:p>
        </w:tc>
        <w:tc>
          <w:tcPr>
            <w:tcW w:w="431" w:type="pct"/>
            <w:shd w:val="clear" w:color="auto" w:fill="auto"/>
            <w:vAlign w:val="center"/>
          </w:tcPr>
          <w:p w14:paraId="3000ADE7">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阳极氧化型材</w:t>
            </w:r>
          </w:p>
        </w:tc>
        <w:tc>
          <w:tcPr>
            <w:tcW w:w="967" w:type="pct"/>
            <w:shd w:val="clear" w:color="auto" w:fill="auto"/>
            <w:vAlign w:val="center"/>
          </w:tcPr>
          <w:p w14:paraId="7AD704A7">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化学成分、抗拉强度 R</w:t>
            </w:r>
            <w:r>
              <w:rPr>
                <w:rFonts w:hint="eastAsia" w:asciiTheme="minorEastAsia" w:hAnsiTheme="minorEastAsia" w:eastAsiaTheme="minorEastAsia" w:cstheme="minorEastAsia"/>
                <w:i w:val="0"/>
                <w:iCs w:val="0"/>
                <w:color w:val="auto"/>
                <w:kern w:val="0"/>
                <w:sz w:val="21"/>
                <w:szCs w:val="21"/>
                <w:highlight w:val="none"/>
                <w:u w:val="none"/>
                <w:vertAlign w:val="subscript"/>
                <w:lang w:val="en-US" w:eastAsia="zh-CN" w:bidi="ar"/>
              </w:rPr>
              <w:t>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、规定非比例延伸强度 R</w:t>
            </w:r>
            <w:r>
              <w:rPr>
                <w:rFonts w:hint="eastAsia" w:asciiTheme="minorEastAsia" w:hAnsiTheme="minorEastAsia" w:eastAsiaTheme="minorEastAsia" w:cstheme="minorEastAsia"/>
                <w:i w:val="0"/>
                <w:iCs w:val="0"/>
                <w:color w:val="auto"/>
                <w:kern w:val="0"/>
                <w:sz w:val="21"/>
                <w:szCs w:val="21"/>
                <w:highlight w:val="none"/>
                <w:u w:val="none"/>
                <w:vertAlign w:val="subscript"/>
                <w:lang w:val="en-US" w:eastAsia="zh-CN" w:bidi="ar"/>
              </w:rPr>
              <w:t>p0.2</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、断后伸长率 A</w:t>
            </w:r>
            <w:r>
              <w:rPr>
                <w:rFonts w:hint="eastAsia" w:asciiTheme="minorEastAsia" w:hAnsiTheme="minorEastAsia" w:eastAsiaTheme="minorEastAsia" w:cstheme="minorEastAsia"/>
                <w:i w:val="0"/>
                <w:iCs w:val="0"/>
                <w:color w:val="auto"/>
                <w:kern w:val="0"/>
                <w:sz w:val="21"/>
                <w:szCs w:val="21"/>
                <w:highlight w:val="none"/>
                <w:u w:val="none"/>
                <w:vertAlign w:val="subscript"/>
                <w:lang w:val="en-US" w:eastAsia="zh-CN" w:bidi="ar"/>
              </w:rPr>
              <w:t>50mm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、膜厚、封孔质量、耐盐雾腐蚀性</w:t>
            </w:r>
          </w:p>
        </w:tc>
        <w:tc>
          <w:tcPr>
            <w:tcW w:w="988" w:type="pct"/>
            <w:shd w:val="clear" w:color="auto" w:fill="FFFFFF"/>
            <w:vAlign w:val="center"/>
          </w:tcPr>
          <w:p w14:paraId="5FBF6333">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5237.1-2017、GB/T 5237.2-2017</w:t>
            </w:r>
          </w:p>
        </w:tc>
        <w:tc>
          <w:tcPr>
            <w:tcW w:w="460" w:type="pct"/>
            <w:vMerge w:val="restart"/>
            <w:shd w:val="clear" w:color="auto" w:fill="auto"/>
            <w:vAlign w:val="center"/>
          </w:tcPr>
          <w:p w14:paraId="4F19855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3000</w:t>
            </w:r>
          </w:p>
        </w:tc>
        <w:tc>
          <w:tcPr>
            <w:tcW w:w="522" w:type="pct"/>
            <w:vMerge w:val="restart"/>
            <w:shd w:val="clear" w:color="auto" w:fill="auto"/>
            <w:vAlign w:val="center"/>
          </w:tcPr>
          <w:p w14:paraId="36841F7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135000</w:t>
            </w:r>
          </w:p>
        </w:tc>
        <w:tc>
          <w:tcPr>
            <w:tcW w:w="522" w:type="pct"/>
            <w:vMerge w:val="restart"/>
            <w:shd w:val="clear" w:color="auto" w:fill="auto"/>
            <w:vAlign w:val="center"/>
          </w:tcPr>
          <w:p w14:paraId="5642994B">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207500</w:t>
            </w:r>
          </w:p>
        </w:tc>
        <w:tc>
          <w:tcPr>
            <w:tcW w:w="343" w:type="pct"/>
            <w:vMerge w:val="restart"/>
            <w:shd w:val="clear" w:color="auto" w:fill="auto"/>
            <w:noWrap/>
            <w:vAlign w:val="center"/>
          </w:tcPr>
          <w:p w14:paraId="786AB664">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6</w:t>
            </w:r>
          </w:p>
        </w:tc>
      </w:tr>
      <w:tr w14:paraId="64FE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03BA7CC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3E6496B9">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25B0E55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电泳涂漆型材</w:t>
            </w:r>
          </w:p>
        </w:tc>
        <w:tc>
          <w:tcPr>
            <w:tcW w:w="967" w:type="pct"/>
            <w:shd w:val="clear" w:color="auto" w:fill="auto"/>
            <w:vAlign w:val="center"/>
          </w:tcPr>
          <w:p w14:paraId="4383ED67">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u w:val="none"/>
                <w:lang w:val="en-US" w:eastAsia="zh-CN" w:bidi="ar"/>
              </w:rPr>
              <w:t>化学成分、抗拉强度 R</w:t>
            </w:r>
            <w:r>
              <w:rPr>
                <w:rFonts w:hint="eastAsia" w:asciiTheme="minorEastAsia" w:hAnsiTheme="minorEastAsia" w:eastAsiaTheme="minorEastAsia" w:cstheme="minorEastAsia"/>
                <w:i w:val="0"/>
                <w:iCs w:val="0"/>
                <w:color w:val="auto"/>
                <w:kern w:val="0"/>
                <w:sz w:val="21"/>
                <w:szCs w:val="21"/>
                <w:highlight w:val="none"/>
                <w:u w:val="none"/>
                <w:vertAlign w:val="subscript"/>
                <w:lang w:val="en-US" w:eastAsia="zh-CN" w:bidi="ar"/>
              </w:rPr>
              <w:t>m</w:t>
            </w:r>
            <w:r>
              <w:rPr>
                <w:rFonts w:hint="eastAsia" w:asciiTheme="minorEastAsia" w:hAnsiTheme="minorEastAsia" w:eastAsiaTheme="minorEastAsia" w:cstheme="minorEastAsia"/>
                <w:color w:val="auto"/>
                <w:sz w:val="21"/>
                <w:szCs w:val="21"/>
                <w:highlight w:val="none"/>
                <w:u w:val="none"/>
                <w:lang w:val="en-US" w:eastAsia="zh-CN" w:bidi="ar"/>
              </w:rPr>
              <w:t>、规定非比例延伸强度 R</w:t>
            </w:r>
            <w:r>
              <w:rPr>
                <w:rFonts w:hint="eastAsia" w:asciiTheme="minorEastAsia" w:hAnsiTheme="minorEastAsia" w:eastAsiaTheme="minorEastAsia" w:cstheme="minorEastAsia"/>
                <w:i w:val="0"/>
                <w:iCs w:val="0"/>
                <w:color w:val="auto"/>
                <w:kern w:val="0"/>
                <w:sz w:val="21"/>
                <w:szCs w:val="21"/>
                <w:highlight w:val="none"/>
                <w:u w:val="none"/>
                <w:vertAlign w:val="subscript"/>
                <w:lang w:val="en-US" w:eastAsia="zh-CN" w:bidi="ar"/>
              </w:rPr>
              <w:t>p0.2</w:t>
            </w:r>
            <w:r>
              <w:rPr>
                <w:rFonts w:hint="eastAsia" w:asciiTheme="minorEastAsia" w:hAnsiTheme="minorEastAsia" w:eastAsiaTheme="minorEastAsia" w:cstheme="minorEastAsia"/>
                <w:color w:val="auto"/>
                <w:sz w:val="21"/>
                <w:szCs w:val="21"/>
                <w:highlight w:val="none"/>
                <w:u w:val="none"/>
                <w:lang w:val="en-US" w:eastAsia="zh-CN" w:bidi="ar"/>
              </w:rPr>
              <w:t>、断后伸长率 A</w:t>
            </w:r>
            <w:r>
              <w:rPr>
                <w:rFonts w:hint="eastAsia" w:asciiTheme="minorEastAsia" w:hAnsiTheme="minorEastAsia" w:eastAsiaTheme="minorEastAsia" w:cstheme="minorEastAsia"/>
                <w:i w:val="0"/>
                <w:iCs w:val="0"/>
                <w:color w:val="auto"/>
                <w:kern w:val="0"/>
                <w:sz w:val="21"/>
                <w:szCs w:val="21"/>
                <w:highlight w:val="none"/>
                <w:u w:val="none"/>
                <w:vertAlign w:val="subscript"/>
                <w:lang w:val="en-US" w:eastAsia="zh-CN" w:bidi="ar"/>
              </w:rPr>
              <w:t>50mm</w:t>
            </w:r>
            <w:r>
              <w:rPr>
                <w:rFonts w:hint="eastAsia" w:asciiTheme="minorEastAsia" w:hAnsiTheme="minorEastAsia" w:eastAsiaTheme="minorEastAsia" w:cstheme="minorEastAsia"/>
                <w:color w:val="auto"/>
                <w:sz w:val="21"/>
                <w:szCs w:val="21"/>
                <w:highlight w:val="none"/>
                <w:u w:val="none"/>
                <w:lang w:val="en-US" w:eastAsia="zh-CN" w:bidi="ar"/>
              </w:rPr>
              <w:t>、附着性、耐沸水性、耐碱性</w:t>
            </w:r>
          </w:p>
        </w:tc>
        <w:tc>
          <w:tcPr>
            <w:tcW w:w="988" w:type="pct"/>
            <w:shd w:val="clear" w:color="auto" w:fill="FFFFFF"/>
            <w:vAlign w:val="center"/>
          </w:tcPr>
          <w:p w14:paraId="1B7E1D0A">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5237.1-2017、GB/T 5237.3-2017</w:t>
            </w:r>
          </w:p>
        </w:tc>
        <w:tc>
          <w:tcPr>
            <w:tcW w:w="460" w:type="pct"/>
            <w:vMerge w:val="continue"/>
            <w:shd w:val="clear" w:color="auto" w:fill="auto"/>
            <w:vAlign w:val="center"/>
          </w:tcPr>
          <w:p w14:paraId="1F6CB2E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13003221">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1C881054">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3EAAC1A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6D1E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74E85DD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7E7BC6CF">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6AD08399">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喷粉型材</w:t>
            </w:r>
          </w:p>
        </w:tc>
        <w:tc>
          <w:tcPr>
            <w:tcW w:w="967" w:type="pct"/>
            <w:shd w:val="clear" w:color="auto" w:fill="auto"/>
            <w:vAlign w:val="center"/>
          </w:tcPr>
          <w:p w14:paraId="76306CDC">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化学成分、抗拉强度 Rm、规定非比例延伸强度 R</w:t>
            </w:r>
            <w:r>
              <w:rPr>
                <w:rFonts w:hint="eastAsia" w:asciiTheme="minorEastAsia" w:hAnsiTheme="minorEastAsia" w:eastAsiaTheme="minorEastAsia" w:cstheme="minorEastAsia"/>
                <w:i w:val="0"/>
                <w:iCs w:val="0"/>
                <w:color w:val="auto"/>
                <w:kern w:val="0"/>
                <w:sz w:val="21"/>
                <w:szCs w:val="21"/>
                <w:highlight w:val="none"/>
                <w:u w:val="none"/>
                <w:vertAlign w:val="subscript"/>
                <w:lang w:val="en-US" w:eastAsia="zh-CN" w:bidi="ar"/>
              </w:rPr>
              <w:t>p0.2</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、断后伸长率 A</w:t>
            </w:r>
            <w:r>
              <w:rPr>
                <w:rFonts w:hint="eastAsia" w:asciiTheme="minorEastAsia" w:hAnsiTheme="minorEastAsia" w:eastAsiaTheme="minorEastAsia" w:cstheme="minorEastAsia"/>
                <w:i w:val="0"/>
                <w:iCs w:val="0"/>
                <w:color w:val="auto"/>
                <w:kern w:val="0"/>
                <w:sz w:val="21"/>
                <w:szCs w:val="21"/>
                <w:highlight w:val="none"/>
                <w:u w:val="none"/>
                <w:vertAlign w:val="subscript"/>
                <w:lang w:val="en-US" w:eastAsia="zh-CN" w:bidi="ar"/>
              </w:rPr>
              <w:t>50mm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、附着性、耐沸水性</w:t>
            </w:r>
          </w:p>
        </w:tc>
        <w:tc>
          <w:tcPr>
            <w:tcW w:w="988" w:type="pct"/>
            <w:shd w:val="clear" w:color="auto" w:fill="FFFFFF"/>
            <w:vAlign w:val="center"/>
          </w:tcPr>
          <w:p w14:paraId="364B7FBF">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5237.1-2017、GB/T 5237.4-2017</w:t>
            </w:r>
          </w:p>
        </w:tc>
        <w:tc>
          <w:tcPr>
            <w:tcW w:w="460" w:type="pct"/>
            <w:vMerge w:val="continue"/>
            <w:shd w:val="clear" w:color="auto" w:fill="auto"/>
            <w:vAlign w:val="center"/>
          </w:tcPr>
          <w:p w14:paraId="26555F0B">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64F1FC4B">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501113D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77F2B66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657C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083AE55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16BDDB9A">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45D187BD">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喷漆型材</w:t>
            </w:r>
          </w:p>
        </w:tc>
        <w:tc>
          <w:tcPr>
            <w:tcW w:w="967" w:type="pct"/>
            <w:shd w:val="clear" w:color="auto" w:fill="auto"/>
            <w:vAlign w:val="center"/>
          </w:tcPr>
          <w:p w14:paraId="4938D729">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化学成分、抗拉强度 R</w:t>
            </w:r>
            <w:r>
              <w:rPr>
                <w:rFonts w:hint="eastAsia" w:asciiTheme="minorEastAsia" w:hAnsiTheme="minorEastAsia" w:eastAsiaTheme="minorEastAsia" w:cstheme="minorEastAsia"/>
                <w:i w:val="0"/>
                <w:iCs w:val="0"/>
                <w:color w:val="auto"/>
                <w:kern w:val="0"/>
                <w:sz w:val="21"/>
                <w:szCs w:val="21"/>
                <w:highlight w:val="none"/>
                <w:u w:val="none"/>
                <w:vertAlign w:val="subscript"/>
                <w:lang w:val="en-US" w:eastAsia="zh-CN" w:bidi="ar"/>
              </w:rPr>
              <w:t>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、规定非比例延伸强度 R</w:t>
            </w:r>
            <w:r>
              <w:rPr>
                <w:rFonts w:hint="eastAsia" w:asciiTheme="minorEastAsia" w:hAnsiTheme="minorEastAsia" w:eastAsiaTheme="minorEastAsia" w:cstheme="minorEastAsia"/>
                <w:i w:val="0"/>
                <w:iCs w:val="0"/>
                <w:color w:val="auto"/>
                <w:kern w:val="0"/>
                <w:sz w:val="21"/>
                <w:szCs w:val="21"/>
                <w:highlight w:val="none"/>
                <w:u w:val="none"/>
                <w:vertAlign w:val="subscript"/>
                <w:lang w:val="en-US" w:eastAsia="zh-CN" w:bidi="ar"/>
              </w:rPr>
              <w:t>p0.2</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、断后伸长率A</w:t>
            </w:r>
            <w:r>
              <w:rPr>
                <w:rFonts w:hint="eastAsia" w:asciiTheme="minorEastAsia" w:hAnsiTheme="minorEastAsia" w:eastAsiaTheme="minorEastAsia" w:cstheme="minorEastAsia"/>
                <w:i w:val="0"/>
                <w:iCs w:val="0"/>
                <w:color w:val="auto"/>
                <w:kern w:val="0"/>
                <w:sz w:val="21"/>
                <w:szCs w:val="21"/>
                <w:highlight w:val="none"/>
                <w:u w:val="none"/>
                <w:vertAlign w:val="subscript"/>
                <w:lang w:val="en-US" w:eastAsia="zh-CN" w:bidi="ar"/>
              </w:rPr>
              <w:t>50mm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、附着性、耐沸水性</w:t>
            </w:r>
          </w:p>
        </w:tc>
        <w:tc>
          <w:tcPr>
            <w:tcW w:w="988" w:type="pct"/>
            <w:shd w:val="clear" w:color="auto" w:fill="FFFFFF"/>
            <w:vAlign w:val="center"/>
          </w:tcPr>
          <w:p w14:paraId="0E9EEA40">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5237.1-2017、GB/T 5237.5-2017</w:t>
            </w:r>
          </w:p>
        </w:tc>
        <w:tc>
          <w:tcPr>
            <w:tcW w:w="460" w:type="pct"/>
            <w:vMerge w:val="continue"/>
            <w:shd w:val="clear" w:color="auto" w:fill="auto"/>
            <w:vAlign w:val="center"/>
          </w:tcPr>
          <w:p w14:paraId="5CED266B">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0DCB2EC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2FCF80B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09BB4ED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543A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26D1047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40966183">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2E4002DE">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隔热型材</w:t>
            </w:r>
          </w:p>
        </w:tc>
        <w:tc>
          <w:tcPr>
            <w:tcW w:w="967" w:type="pct"/>
            <w:shd w:val="clear" w:color="auto" w:fill="auto"/>
            <w:vAlign w:val="center"/>
          </w:tcPr>
          <w:p w14:paraId="7913860A">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化学成分、抗拉强度 R</w:t>
            </w:r>
            <w:r>
              <w:rPr>
                <w:rFonts w:hint="eastAsia" w:asciiTheme="minorEastAsia" w:hAnsiTheme="minorEastAsia" w:eastAsiaTheme="minorEastAsia" w:cstheme="minorEastAsia"/>
                <w:i w:val="0"/>
                <w:iCs w:val="0"/>
                <w:color w:val="auto"/>
                <w:kern w:val="0"/>
                <w:sz w:val="21"/>
                <w:szCs w:val="21"/>
                <w:highlight w:val="none"/>
                <w:u w:val="none"/>
                <w:vertAlign w:val="subscript"/>
                <w:lang w:val="en-US" w:eastAsia="zh-CN" w:bidi="ar"/>
              </w:rPr>
              <w:t>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、规定非比例延伸强度 R</w:t>
            </w:r>
            <w:r>
              <w:rPr>
                <w:rFonts w:hint="eastAsia" w:asciiTheme="minorEastAsia" w:hAnsiTheme="minorEastAsia" w:eastAsiaTheme="minorEastAsia" w:cstheme="minorEastAsia"/>
                <w:i w:val="0"/>
                <w:iCs w:val="0"/>
                <w:color w:val="auto"/>
                <w:kern w:val="0"/>
                <w:sz w:val="21"/>
                <w:szCs w:val="21"/>
                <w:highlight w:val="none"/>
                <w:u w:val="none"/>
                <w:vertAlign w:val="subscript"/>
                <w:lang w:val="en-US" w:eastAsia="zh-CN" w:bidi="ar"/>
              </w:rPr>
              <w:t>p0.2</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、断后伸长率 A</w:t>
            </w:r>
            <w:r>
              <w:rPr>
                <w:rFonts w:hint="eastAsia" w:asciiTheme="minorEastAsia" w:hAnsiTheme="minorEastAsia" w:eastAsiaTheme="minorEastAsia" w:cstheme="minorEastAsia"/>
                <w:i w:val="0"/>
                <w:iCs w:val="0"/>
                <w:color w:val="auto"/>
                <w:kern w:val="0"/>
                <w:sz w:val="21"/>
                <w:szCs w:val="21"/>
                <w:highlight w:val="none"/>
                <w:u w:val="none"/>
                <w:vertAlign w:val="subscript"/>
                <w:lang w:val="en-US" w:eastAsia="zh-CN" w:bidi="ar"/>
              </w:rPr>
              <w:t>50mm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、纵向剪切试验（室温）</w:t>
            </w:r>
          </w:p>
        </w:tc>
        <w:tc>
          <w:tcPr>
            <w:tcW w:w="988" w:type="pct"/>
            <w:shd w:val="clear" w:color="auto" w:fill="FFFFFF"/>
            <w:vAlign w:val="center"/>
          </w:tcPr>
          <w:p w14:paraId="3C61D2E8">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5237.1-2017、GB/T 5237.6-2017、GB/T 28289-2012</w:t>
            </w:r>
          </w:p>
        </w:tc>
        <w:tc>
          <w:tcPr>
            <w:tcW w:w="460" w:type="pct"/>
            <w:vMerge w:val="continue"/>
            <w:shd w:val="clear" w:color="auto" w:fill="auto"/>
            <w:vAlign w:val="center"/>
          </w:tcPr>
          <w:p w14:paraId="3B6DF8EB">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0315CA9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1F0C856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3802097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571F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restart"/>
            <w:shd w:val="clear" w:color="auto" w:fill="auto"/>
            <w:vAlign w:val="center"/>
          </w:tcPr>
          <w:p w14:paraId="135799CB">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44</w:t>
            </w:r>
          </w:p>
        </w:tc>
        <w:tc>
          <w:tcPr>
            <w:tcW w:w="537" w:type="pct"/>
            <w:vMerge w:val="restart"/>
            <w:shd w:val="clear" w:color="auto" w:fill="auto"/>
            <w:vAlign w:val="center"/>
          </w:tcPr>
          <w:p w14:paraId="1C7E9E8F">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氧化铝及其它铝制品</w:t>
            </w:r>
          </w:p>
        </w:tc>
        <w:tc>
          <w:tcPr>
            <w:tcW w:w="431" w:type="pct"/>
            <w:shd w:val="clear" w:color="auto" w:fill="auto"/>
            <w:vAlign w:val="center"/>
          </w:tcPr>
          <w:p w14:paraId="6767B1FE">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变形铝及铝合金圆铸锭</w:t>
            </w:r>
          </w:p>
        </w:tc>
        <w:tc>
          <w:tcPr>
            <w:tcW w:w="967" w:type="pct"/>
            <w:shd w:val="clear" w:color="auto" w:fill="auto"/>
            <w:vAlign w:val="center"/>
          </w:tcPr>
          <w:p w14:paraId="19B54311">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化学成分、低倍组织（晶粒度、疏松、非金属夹杂、外来金属夹杂及白斑、初晶、羽毛状晶、光亮晶粒、气孔、铸造裂纹）、外观质量</w:t>
            </w:r>
          </w:p>
        </w:tc>
        <w:tc>
          <w:tcPr>
            <w:tcW w:w="988" w:type="pct"/>
            <w:shd w:val="clear" w:color="auto" w:fill="FFFFFF"/>
            <w:vAlign w:val="center"/>
          </w:tcPr>
          <w:p w14:paraId="4EA1BF10">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YS/T 67-2018</w:t>
            </w:r>
          </w:p>
        </w:tc>
        <w:tc>
          <w:tcPr>
            <w:tcW w:w="460" w:type="pct"/>
            <w:vMerge w:val="restart"/>
            <w:shd w:val="clear" w:color="auto" w:fill="auto"/>
            <w:vAlign w:val="center"/>
          </w:tcPr>
          <w:p w14:paraId="7D3D433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1700</w:t>
            </w:r>
          </w:p>
        </w:tc>
        <w:tc>
          <w:tcPr>
            <w:tcW w:w="522" w:type="pct"/>
            <w:vMerge w:val="restart"/>
            <w:shd w:val="clear" w:color="auto" w:fill="auto"/>
            <w:vAlign w:val="center"/>
          </w:tcPr>
          <w:p w14:paraId="2409DF8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25500</w:t>
            </w:r>
          </w:p>
        </w:tc>
        <w:tc>
          <w:tcPr>
            <w:tcW w:w="522" w:type="pct"/>
            <w:vMerge w:val="continue"/>
            <w:shd w:val="clear" w:color="auto" w:fill="auto"/>
            <w:vAlign w:val="center"/>
          </w:tcPr>
          <w:p w14:paraId="05FD95EB">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44B9D0C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2627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4F633C77">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55F1A426">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67678F80">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铝及铝合金箔</w:t>
            </w:r>
          </w:p>
        </w:tc>
        <w:tc>
          <w:tcPr>
            <w:tcW w:w="967" w:type="pct"/>
            <w:shd w:val="clear" w:color="auto" w:fill="auto"/>
            <w:vAlign w:val="center"/>
          </w:tcPr>
          <w:p w14:paraId="65976A95">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化学成分、局部厚度允许偏差、抗拉强度Rm</w:t>
            </w:r>
          </w:p>
        </w:tc>
        <w:tc>
          <w:tcPr>
            <w:tcW w:w="988" w:type="pct"/>
            <w:shd w:val="clear" w:color="auto" w:fill="FFFFFF"/>
            <w:vAlign w:val="center"/>
          </w:tcPr>
          <w:p w14:paraId="2991BFBF">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3198-2020</w:t>
            </w:r>
          </w:p>
        </w:tc>
        <w:tc>
          <w:tcPr>
            <w:tcW w:w="460" w:type="pct"/>
            <w:vMerge w:val="continue"/>
            <w:shd w:val="clear" w:color="auto" w:fill="auto"/>
            <w:vAlign w:val="center"/>
          </w:tcPr>
          <w:p w14:paraId="6DB07B9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698F242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3DF17F6B">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0D04A171">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0701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6018512A">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00F87F08">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2431E61F">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重熔用铝锭</w:t>
            </w:r>
          </w:p>
        </w:tc>
        <w:tc>
          <w:tcPr>
            <w:tcW w:w="967" w:type="pct"/>
            <w:shd w:val="clear" w:color="auto" w:fill="auto"/>
            <w:vAlign w:val="center"/>
          </w:tcPr>
          <w:p w14:paraId="7D0B5241">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化学成分（Al、Fe、Si、Cu、Ga、Mg、Zn、V、Ti）</w:t>
            </w:r>
          </w:p>
        </w:tc>
        <w:tc>
          <w:tcPr>
            <w:tcW w:w="988" w:type="pct"/>
            <w:shd w:val="clear" w:color="auto" w:fill="FFFFFF"/>
            <w:vAlign w:val="center"/>
          </w:tcPr>
          <w:p w14:paraId="55FAD3E4">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1196-2023</w:t>
            </w:r>
          </w:p>
        </w:tc>
        <w:tc>
          <w:tcPr>
            <w:tcW w:w="460" w:type="pct"/>
            <w:vMerge w:val="continue"/>
            <w:shd w:val="clear" w:color="auto" w:fill="auto"/>
            <w:vAlign w:val="center"/>
          </w:tcPr>
          <w:p w14:paraId="0E1FA6F7">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4F44482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74AF299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1850327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12B8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60321DB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57030BF7">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33047824">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电工圆铝杆</w:t>
            </w:r>
          </w:p>
        </w:tc>
        <w:tc>
          <w:tcPr>
            <w:tcW w:w="967" w:type="pct"/>
            <w:shd w:val="clear" w:color="auto" w:fill="auto"/>
            <w:vAlign w:val="center"/>
          </w:tcPr>
          <w:p w14:paraId="13D900E8">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化学成分、直径允许偏差、力学性能、电阻率、外观质量</w:t>
            </w:r>
          </w:p>
        </w:tc>
        <w:tc>
          <w:tcPr>
            <w:tcW w:w="988" w:type="pct"/>
            <w:shd w:val="clear" w:color="auto" w:fill="FFFFFF"/>
            <w:vAlign w:val="center"/>
          </w:tcPr>
          <w:p w14:paraId="099918DC">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3954-2022</w:t>
            </w:r>
          </w:p>
        </w:tc>
        <w:tc>
          <w:tcPr>
            <w:tcW w:w="460" w:type="pct"/>
            <w:vMerge w:val="restart"/>
            <w:shd w:val="clear" w:color="auto" w:fill="auto"/>
            <w:vAlign w:val="center"/>
          </w:tcPr>
          <w:p w14:paraId="4D83E62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2250</w:t>
            </w:r>
          </w:p>
        </w:tc>
        <w:tc>
          <w:tcPr>
            <w:tcW w:w="522" w:type="pct"/>
            <w:vMerge w:val="restart"/>
            <w:shd w:val="clear" w:color="auto" w:fill="auto"/>
            <w:vAlign w:val="center"/>
          </w:tcPr>
          <w:p w14:paraId="1128226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18000</w:t>
            </w:r>
          </w:p>
        </w:tc>
        <w:tc>
          <w:tcPr>
            <w:tcW w:w="522" w:type="pct"/>
            <w:vMerge w:val="continue"/>
            <w:shd w:val="clear" w:color="auto" w:fill="auto"/>
            <w:vAlign w:val="center"/>
          </w:tcPr>
          <w:p w14:paraId="7102A722">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6ECFB34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6C9B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5B1D9CB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446208C0">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5C41A79D">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一般工业用铝及铝合金板材、带材</w:t>
            </w:r>
          </w:p>
        </w:tc>
        <w:tc>
          <w:tcPr>
            <w:tcW w:w="967" w:type="pct"/>
            <w:shd w:val="clear" w:color="auto" w:fill="auto"/>
            <w:vAlign w:val="center"/>
          </w:tcPr>
          <w:p w14:paraId="735A78DA">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化学成分、室温拉伸力学性能</w:t>
            </w:r>
          </w:p>
        </w:tc>
        <w:tc>
          <w:tcPr>
            <w:tcW w:w="988" w:type="pct"/>
            <w:shd w:val="clear" w:color="auto" w:fill="FFFFFF"/>
            <w:vAlign w:val="center"/>
          </w:tcPr>
          <w:p w14:paraId="78AEA023">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fldChar w:fldCharType="begin"/>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instrText xml:space="preserve"> HYPERLINK "http://www.csres.com/detail/176802.html" \o "http://www.csres.com/detail/176802.html" </w:instrTex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fldChar w:fldCharType="separate"/>
            </w:r>
            <w:r>
              <w:rPr>
                <w:rStyle w:val="27"/>
                <w:rFonts w:hint="eastAsia" w:asciiTheme="minorEastAsia" w:hAnsiTheme="minorEastAsia" w:eastAsiaTheme="minorEastAsia" w:cstheme="minorEastAsia"/>
                <w:i w:val="0"/>
                <w:iCs w:val="0"/>
                <w:color w:val="auto"/>
                <w:sz w:val="21"/>
                <w:szCs w:val="21"/>
                <w:highlight w:val="none"/>
                <w:u w:val="none"/>
              </w:rPr>
              <w:t>GB/T 3880.1-2023、GB/T 3880.2-2024</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fldChar w:fldCharType="end"/>
            </w:r>
          </w:p>
        </w:tc>
        <w:tc>
          <w:tcPr>
            <w:tcW w:w="460" w:type="pct"/>
            <w:vMerge w:val="continue"/>
            <w:shd w:val="clear" w:color="auto" w:fill="auto"/>
            <w:vAlign w:val="center"/>
          </w:tcPr>
          <w:p w14:paraId="7515B8BA">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01863D5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5FF5831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3BE5C0B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722D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73BCD93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53351557">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7C1E3A53">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氧化铝</w:t>
            </w:r>
          </w:p>
        </w:tc>
        <w:tc>
          <w:tcPr>
            <w:tcW w:w="967" w:type="pct"/>
            <w:shd w:val="clear" w:color="auto" w:fill="auto"/>
            <w:vAlign w:val="center"/>
          </w:tcPr>
          <w:p w14:paraId="62DAEC06">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三氧化二铝、二氧化硅、三氧化二铁、氧化钠、氧化钙、灼减</w:t>
            </w:r>
          </w:p>
        </w:tc>
        <w:tc>
          <w:tcPr>
            <w:tcW w:w="988" w:type="pct"/>
            <w:shd w:val="clear" w:color="auto" w:fill="FFFFFF"/>
            <w:vAlign w:val="center"/>
          </w:tcPr>
          <w:p w14:paraId="63469A92">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24487-2022</w:t>
            </w:r>
          </w:p>
        </w:tc>
        <w:tc>
          <w:tcPr>
            <w:tcW w:w="460" w:type="pct"/>
            <w:shd w:val="clear" w:color="auto" w:fill="auto"/>
            <w:vAlign w:val="center"/>
          </w:tcPr>
          <w:p w14:paraId="6C0E33F4">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1040</w:t>
            </w:r>
          </w:p>
        </w:tc>
        <w:tc>
          <w:tcPr>
            <w:tcW w:w="522" w:type="pct"/>
            <w:shd w:val="clear" w:color="auto" w:fill="auto"/>
            <w:vAlign w:val="center"/>
          </w:tcPr>
          <w:p w14:paraId="4C236A7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5200</w:t>
            </w:r>
          </w:p>
        </w:tc>
        <w:tc>
          <w:tcPr>
            <w:tcW w:w="522" w:type="pct"/>
            <w:vMerge w:val="continue"/>
            <w:shd w:val="clear" w:color="auto" w:fill="auto"/>
            <w:vAlign w:val="center"/>
          </w:tcPr>
          <w:p w14:paraId="26283E8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2700C9E7">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2CB5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shd w:val="clear" w:color="auto" w:fill="auto"/>
            <w:vAlign w:val="center"/>
          </w:tcPr>
          <w:p w14:paraId="56E3AA9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w:t>
            </w:r>
          </w:p>
        </w:tc>
        <w:tc>
          <w:tcPr>
            <w:tcW w:w="537" w:type="pct"/>
            <w:shd w:val="clear" w:color="auto" w:fill="auto"/>
            <w:vAlign w:val="center"/>
          </w:tcPr>
          <w:p w14:paraId="60402567">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质量快速筛查</w:t>
            </w:r>
          </w:p>
        </w:tc>
        <w:tc>
          <w:tcPr>
            <w:tcW w:w="431" w:type="pct"/>
            <w:shd w:val="clear" w:color="auto" w:fill="auto"/>
            <w:vAlign w:val="center"/>
          </w:tcPr>
          <w:p w14:paraId="51F99365">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967" w:type="pct"/>
            <w:shd w:val="clear" w:color="auto" w:fill="auto"/>
            <w:vAlign w:val="center"/>
          </w:tcPr>
          <w:p w14:paraId="2BB7FDE8">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988" w:type="pct"/>
            <w:shd w:val="clear" w:color="auto" w:fill="FFFFFF"/>
            <w:vAlign w:val="center"/>
          </w:tcPr>
          <w:p w14:paraId="58458158">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460" w:type="pct"/>
            <w:shd w:val="clear" w:color="auto" w:fill="auto"/>
            <w:vAlign w:val="center"/>
          </w:tcPr>
          <w:p w14:paraId="0AFCF09A">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200</w:t>
            </w:r>
          </w:p>
        </w:tc>
        <w:tc>
          <w:tcPr>
            <w:tcW w:w="522" w:type="pct"/>
            <w:shd w:val="clear" w:color="auto" w:fill="auto"/>
            <w:vAlign w:val="center"/>
          </w:tcPr>
          <w:p w14:paraId="0CD9986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23800</w:t>
            </w:r>
          </w:p>
        </w:tc>
        <w:tc>
          <w:tcPr>
            <w:tcW w:w="522" w:type="pct"/>
            <w:vMerge w:val="continue"/>
            <w:shd w:val="clear" w:color="auto" w:fill="auto"/>
            <w:vAlign w:val="center"/>
          </w:tcPr>
          <w:p w14:paraId="6182A9D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232C9F7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5E99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restart"/>
            <w:shd w:val="clear" w:color="auto" w:fill="auto"/>
            <w:vAlign w:val="center"/>
          </w:tcPr>
          <w:p w14:paraId="0075CAC7">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46</w:t>
            </w:r>
          </w:p>
        </w:tc>
        <w:tc>
          <w:tcPr>
            <w:tcW w:w="537" w:type="pct"/>
            <w:vMerge w:val="restart"/>
            <w:shd w:val="clear" w:color="auto" w:fill="auto"/>
            <w:vAlign w:val="center"/>
          </w:tcPr>
          <w:p w14:paraId="6AFA571F">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产品质量安全风险监测</w:t>
            </w:r>
          </w:p>
        </w:tc>
        <w:tc>
          <w:tcPr>
            <w:tcW w:w="431" w:type="pct"/>
            <w:shd w:val="clear" w:color="auto" w:fill="auto"/>
            <w:vAlign w:val="center"/>
          </w:tcPr>
          <w:p w14:paraId="35A8504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砖、砌块</w:t>
            </w:r>
          </w:p>
        </w:tc>
        <w:tc>
          <w:tcPr>
            <w:tcW w:w="967" w:type="pct"/>
            <w:shd w:val="clear" w:color="auto" w:fill="auto"/>
            <w:vAlign w:val="center"/>
          </w:tcPr>
          <w:p w14:paraId="2D91786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放射性</w:t>
            </w:r>
          </w:p>
        </w:tc>
        <w:tc>
          <w:tcPr>
            <w:tcW w:w="988" w:type="pct"/>
            <w:shd w:val="clear" w:color="auto" w:fill="FFFFFF"/>
            <w:vAlign w:val="center"/>
          </w:tcPr>
          <w:p w14:paraId="1426B03E">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6566-2010</w:t>
            </w:r>
          </w:p>
        </w:tc>
        <w:tc>
          <w:tcPr>
            <w:tcW w:w="460" w:type="pct"/>
            <w:vMerge w:val="restart"/>
            <w:shd w:val="clear" w:color="auto" w:fill="auto"/>
            <w:vAlign w:val="center"/>
          </w:tcPr>
          <w:p w14:paraId="34B0AF7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1300</w:t>
            </w:r>
          </w:p>
        </w:tc>
        <w:tc>
          <w:tcPr>
            <w:tcW w:w="522" w:type="pct"/>
            <w:vMerge w:val="restart"/>
            <w:shd w:val="clear" w:color="auto" w:fill="auto"/>
            <w:vAlign w:val="center"/>
          </w:tcPr>
          <w:p w14:paraId="529EA4FA">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117000</w:t>
            </w:r>
          </w:p>
        </w:tc>
        <w:tc>
          <w:tcPr>
            <w:tcW w:w="522" w:type="pct"/>
            <w:vMerge w:val="restart"/>
            <w:shd w:val="clear" w:color="auto" w:fill="auto"/>
            <w:vAlign w:val="center"/>
          </w:tcPr>
          <w:p w14:paraId="2BA2F4A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400000</w:t>
            </w:r>
          </w:p>
        </w:tc>
        <w:tc>
          <w:tcPr>
            <w:tcW w:w="343" w:type="pct"/>
            <w:vMerge w:val="restart"/>
            <w:shd w:val="clear" w:color="auto" w:fill="auto"/>
            <w:noWrap/>
            <w:vAlign w:val="center"/>
          </w:tcPr>
          <w:p w14:paraId="21A1FA7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7</w:t>
            </w:r>
          </w:p>
        </w:tc>
      </w:tr>
      <w:tr w14:paraId="587F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0E6A7B52">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0E35A279">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2E1F73E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聚乙烯双壁玻纹管、聚乙烯缠绕结构壁管材</w:t>
            </w:r>
          </w:p>
        </w:tc>
        <w:tc>
          <w:tcPr>
            <w:tcW w:w="967" w:type="pct"/>
            <w:shd w:val="clear" w:color="auto" w:fill="auto"/>
            <w:vAlign w:val="center"/>
          </w:tcPr>
          <w:p w14:paraId="3E30C9C7">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环刚度</w:t>
            </w:r>
          </w:p>
        </w:tc>
        <w:tc>
          <w:tcPr>
            <w:tcW w:w="988" w:type="pct"/>
            <w:shd w:val="clear" w:color="auto" w:fill="FFFFFF"/>
            <w:vAlign w:val="center"/>
          </w:tcPr>
          <w:p w14:paraId="1446614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19472.1-2019</w:t>
            </w:r>
          </w:p>
        </w:tc>
        <w:tc>
          <w:tcPr>
            <w:tcW w:w="460" w:type="pct"/>
            <w:vMerge w:val="continue"/>
            <w:shd w:val="clear" w:color="auto" w:fill="auto"/>
            <w:vAlign w:val="center"/>
          </w:tcPr>
          <w:p w14:paraId="1A690350">
            <w:pPr>
              <w:spacing w:line="300" w:lineRule="exact"/>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4C5BEE6B">
            <w:pPr>
              <w:spacing w:line="300" w:lineRule="exact"/>
              <w:jc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262E8847">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2F4B634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7370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519D239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496A0682">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7417590A">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陶瓷砖胶粘剂</w:t>
            </w:r>
          </w:p>
        </w:tc>
        <w:tc>
          <w:tcPr>
            <w:tcW w:w="967" w:type="pct"/>
            <w:shd w:val="clear" w:color="auto" w:fill="auto"/>
            <w:vAlign w:val="center"/>
          </w:tcPr>
          <w:p w14:paraId="23C027F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拉伸粘接强度</w:t>
            </w:r>
          </w:p>
        </w:tc>
        <w:tc>
          <w:tcPr>
            <w:tcW w:w="988" w:type="pct"/>
            <w:shd w:val="clear" w:color="auto" w:fill="FFFFFF"/>
            <w:vAlign w:val="center"/>
          </w:tcPr>
          <w:p w14:paraId="7CD87C61">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JC/T 547-2017</w:t>
            </w:r>
          </w:p>
        </w:tc>
        <w:tc>
          <w:tcPr>
            <w:tcW w:w="460" w:type="pct"/>
            <w:vMerge w:val="continue"/>
            <w:shd w:val="clear" w:color="auto" w:fill="auto"/>
            <w:vAlign w:val="center"/>
          </w:tcPr>
          <w:p w14:paraId="3D66C02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6D14649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275B778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6C8654F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0D56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2093B78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1D56908D">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4233FC8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花岗岩建筑石材</w:t>
            </w:r>
          </w:p>
        </w:tc>
        <w:tc>
          <w:tcPr>
            <w:tcW w:w="967" w:type="pct"/>
            <w:shd w:val="clear" w:color="auto" w:fill="auto"/>
            <w:vAlign w:val="center"/>
          </w:tcPr>
          <w:p w14:paraId="305948F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放射性核素</w:t>
            </w:r>
          </w:p>
        </w:tc>
        <w:tc>
          <w:tcPr>
            <w:tcW w:w="988" w:type="pct"/>
            <w:shd w:val="clear" w:color="auto" w:fill="FFFFFF"/>
            <w:vAlign w:val="center"/>
          </w:tcPr>
          <w:p w14:paraId="237CA269">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6566-2010</w:t>
            </w:r>
          </w:p>
        </w:tc>
        <w:tc>
          <w:tcPr>
            <w:tcW w:w="460" w:type="pct"/>
            <w:vMerge w:val="continue"/>
            <w:shd w:val="clear" w:color="auto" w:fill="auto"/>
            <w:vAlign w:val="center"/>
          </w:tcPr>
          <w:p w14:paraId="3A55A07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75272E9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6A335137">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6D08DEB4">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1EE5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79A893A2">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26373F57">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4FC1756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硅酸盐水泥熟料</w:t>
            </w:r>
          </w:p>
        </w:tc>
        <w:tc>
          <w:tcPr>
            <w:tcW w:w="967" w:type="pct"/>
            <w:shd w:val="clear" w:color="auto" w:fill="auto"/>
            <w:vAlign w:val="center"/>
          </w:tcPr>
          <w:p w14:paraId="5271071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重金属含量:砷（As）、铅（Pb）、镉（Cd）、铬（Cr）、铜（Cu）、镍（Ni）、锌（Zn）、锰（Mn）</w:t>
            </w:r>
          </w:p>
        </w:tc>
        <w:tc>
          <w:tcPr>
            <w:tcW w:w="988" w:type="pct"/>
            <w:shd w:val="clear" w:color="auto" w:fill="FFFFFF"/>
            <w:vAlign w:val="center"/>
          </w:tcPr>
          <w:p w14:paraId="30EA0ACA">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21372-2024、GB/T 30760-2024</w:t>
            </w:r>
          </w:p>
        </w:tc>
        <w:tc>
          <w:tcPr>
            <w:tcW w:w="460" w:type="pct"/>
            <w:vMerge w:val="restart"/>
            <w:shd w:val="clear" w:color="auto" w:fill="auto"/>
            <w:vAlign w:val="center"/>
          </w:tcPr>
          <w:p w14:paraId="196F1144">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2100</w:t>
            </w:r>
          </w:p>
        </w:tc>
        <w:tc>
          <w:tcPr>
            <w:tcW w:w="522" w:type="pct"/>
            <w:vMerge w:val="restart"/>
            <w:shd w:val="clear" w:color="auto" w:fill="auto"/>
            <w:vAlign w:val="center"/>
          </w:tcPr>
          <w:p w14:paraId="0407938B">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81900</w:t>
            </w:r>
          </w:p>
        </w:tc>
        <w:tc>
          <w:tcPr>
            <w:tcW w:w="522" w:type="pct"/>
            <w:vMerge w:val="continue"/>
            <w:shd w:val="clear" w:color="auto" w:fill="auto"/>
            <w:vAlign w:val="center"/>
          </w:tcPr>
          <w:p w14:paraId="240652D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69D955B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2698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11C431F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5D8993B8">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1517589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家用电器、延长线插座用电源线</w:t>
            </w:r>
          </w:p>
        </w:tc>
        <w:tc>
          <w:tcPr>
            <w:tcW w:w="967" w:type="pct"/>
            <w:shd w:val="clear" w:color="auto" w:fill="auto"/>
            <w:vAlign w:val="center"/>
          </w:tcPr>
          <w:p w14:paraId="7ADDE45A">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导体电阻、绝缘老化前机械性能、护套老化前机械性能、不延燃试验</w:t>
            </w:r>
          </w:p>
        </w:tc>
        <w:tc>
          <w:tcPr>
            <w:tcW w:w="988" w:type="pct"/>
            <w:shd w:val="clear" w:color="auto" w:fill="FFFFFF"/>
            <w:vAlign w:val="center"/>
          </w:tcPr>
          <w:p w14:paraId="08258F7B">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3048.4-2007、GB/T 3956-2008、GB/T 5023-2008</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2951.11-2008、GB/T 5023-2008、GB/T 18380.12-2022、GB/T 5023-2008</w:t>
            </w:r>
          </w:p>
        </w:tc>
        <w:tc>
          <w:tcPr>
            <w:tcW w:w="460" w:type="pct"/>
            <w:vMerge w:val="continue"/>
            <w:shd w:val="clear" w:color="auto" w:fill="auto"/>
            <w:vAlign w:val="center"/>
          </w:tcPr>
          <w:p w14:paraId="4C5EFCC4">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22" w:type="pct"/>
            <w:vMerge w:val="continue"/>
            <w:shd w:val="clear" w:color="auto" w:fill="auto"/>
            <w:vAlign w:val="center"/>
          </w:tcPr>
          <w:p w14:paraId="5B6E1CF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522" w:type="pct"/>
            <w:vMerge w:val="continue"/>
            <w:shd w:val="clear" w:color="auto" w:fill="auto"/>
            <w:vAlign w:val="center"/>
          </w:tcPr>
          <w:p w14:paraId="68C2046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6A39DCC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7D86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26" w:type="pct"/>
            <w:vMerge w:val="continue"/>
            <w:shd w:val="clear" w:color="auto" w:fill="auto"/>
            <w:vAlign w:val="center"/>
          </w:tcPr>
          <w:p w14:paraId="4A18B42B">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754B0539">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3D328F34">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玩具</w:t>
            </w:r>
          </w:p>
        </w:tc>
        <w:tc>
          <w:tcPr>
            <w:tcW w:w="967" w:type="pct"/>
            <w:shd w:val="clear" w:color="auto" w:fill="auto"/>
            <w:vAlign w:val="center"/>
          </w:tcPr>
          <w:p w14:paraId="5EE7915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甲醛、TVOC、苯、甲苯、二甲苯</w:t>
            </w:r>
          </w:p>
        </w:tc>
        <w:tc>
          <w:tcPr>
            <w:tcW w:w="988" w:type="pct"/>
            <w:shd w:val="clear" w:color="auto" w:fill="FFFFFF"/>
            <w:vAlign w:val="center"/>
          </w:tcPr>
          <w:p w14:paraId="69B4CDA0">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6675.1-2014、GB/T 46509-2025</w:t>
            </w:r>
          </w:p>
        </w:tc>
        <w:tc>
          <w:tcPr>
            <w:tcW w:w="460" w:type="pct"/>
            <w:shd w:val="clear" w:color="auto" w:fill="auto"/>
            <w:vAlign w:val="center"/>
          </w:tcPr>
          <w:p w14:paraId="3967448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2000</w:t>
            </w:r>
          </w:p>
        </w:tc>
        <w:tc>
          <w:tcPr>
            <w:tcW w:w="522" w:type="pct"/>
            <w:shd w:val="clear" w:color="auto" w:fill="auto"/>
            <w:vAlign w:val="center"/>
          </w:tcPr>
          <w:p w14:paraId="7A2C4CD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60000</w:t>
            </w:r>
          </w:p>
        </w:tc>
        <w:tc>
          <w:tcPr>
            <w:tcW w:w="522" w:type="pct"/>
            <w:vMerge w:val="continue"/>
            <w:shd w:val="clear" w:color="auto" w:fill="auto"/>
            <w:vAlign w:val="center"/>
          </w:tcPr>
          <w:p w14:paraId="39408DB8">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4302684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249E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34724AF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01572A05">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44FDF06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降解塑料购物袋、一次性餐饮具、纸杯、纸浆模塑餐具</w:t>
            </w:r>
          </w:p>
        </w:tc>
        <w:tc>
          <w:tcPr>
            <w:tcW w:w="967" w:type="pct"/>
            <w:shd w:val="clear" w:color="auto" w:fill="auto"/>
            <w:vAlign w:val="center"/>
          </w:tcPr>
          <w:p w14:paraId="279CB6F2">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降解性能</w:t>
            </w:r>
          </w:p>
        </w:tc>
        <w:tc>
          <w:tcPr>
            <w:tcW w:w="988" w:type="pct"/>
            <w:shd w:val="clear" w:color="auto" w:fill="FFFFFF"/>
            <w:vAlign w:val="center"/>
          </w:tcPr>
          <w:p w14:paraId="4BA2A0B1">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38082-2019、GB/T 18006.3-2020、GB/T 27590-2022、</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36787-2018</w:t>
            </w:r>
          </w:p>
        </w:tc>
        <w:tc>
          <w:tcPr>
            <w:tcW w:w="460" w:type="pct"/>
            <w:shd w:val="clear" w:color="auto" w:fill="auto"/>
            <w:vAlign w:val="center"/>
          </w:tcPr>
          <w:p w14:paraId="6F31EFF2">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10200</w:t>
            </w:r>
          </w:p>
        </w:tc>
        <w:tc>
          <w:tcPr>
            <w:tcW w:w="522" w:type="pct"/>
            <w:shd w:val="clear" w:color="auto" w:fill="auto"/>
            <w:vAlign w:val="center"/>
          </w:tcPr>
          <w:p w14:paraId="2F8B0AAA">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30600</w:t>
            </w:r>
          </w:p>
        </w:tc>
        <w:tc>
          <w:tcPr>
            <w:tcW w:w="522" w:type="pct"/>
            <w:vMerge w:val="continue"/>
            <w:shd w:val="clear" w:color="auto" w:fill="auto"/>
            <w:vAlign w:val="center"/>
          </w:tcPr>
          <w:p w14:paraId="553CFC39">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3153CBF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0E9C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6A07558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5EB1B7DE">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156C8BE6">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家具</w:t>
            </w:r>
          </w:p>
        </w:tc>
        <w:tc>
          <w:tcPr>
            <w:tcW w:w="967" w:type="pct"/>
            <w:shd w:val="clear" w:color="auto" w:fill="auto"/>
            <w:vAlign w:val="center"/>
          </w:tcPr>
          <w:p w14:paraId="533CEBFE">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甲醛、TVOC、苯、甲苯、二甲苯</w:t>
            </w:r>
          </w:p>
        </w:tc>
        <w:tc>
          <w:tcPr>
            <w:tcW w:w="988" w:type="pct"/>
            <w:shd w:val="clear" w:color="auto" w:fill="FFFFFF"/>
            <w:vAlign w:val="center"/>
          </w:tcPr>
          <w:p w14:paraId="2708BD4F">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 18584-2024</w:t>
            </w:r>
          </w:p>
        </w:tc>
        <w:tc>
          <w:tcPr>
            <w:tcW w:w="460" w:type="pct"/>
            <w:shd w:val="clear" w:color="auto" w:fill="auto"/>
            <w:vAlign w:val="center"/>
          </w:tcPr>
          <w:p w14:paraId="61B4F24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4000</w:t>
            </w:r>
          </w:p>
        </w:tc>
        <w:tc>
          <w:tcPr>
            <w:tcW w:w="522" w:type="pct"/>
            <w:shd w:val="clear" w:color="auto" w:fill="auto"/>
            <w:vAlign w:val="center"/>
          </w:tcPr>
          <w:p w14:paraId="24EB665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100000</w:t>
            </w:r>
          </w:p>
        </w:tc>
        <w:tc>
          <w:tcPr>
            <w:tcW w:w="522" w:type="pct"/>
            <w:vMerge w:val="continue"/>
            <w:shd w:val="clear" w:color="auto" w:fill="auto"/>
            <w:vAlign w:val="center"/>
          </w:tcPr>
          <w:p w14:paraId="5C0C82DC">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5C6C10B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3FB6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26" w:type="pct"/>
            <w:vMerge w:val="continue"/>
            <w:shd w:val="clear" w:color="auto" w:fill="auto"/>
            <w:vAlign w:val="center"/>
          </w:tcPr>
          <w:p w14:paraId="71CD287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537" w:type="pct"/>
            <w:vMerge w:val="continue"/>
            <w:shd w:val="clear" w:color="auto" w:fill="auto"/>
            <w:vAlign w:val="center"/>
          </w:tcPr>
          <w:p w14:paraId="34721F87">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tc>
        <w:tc>
          <w:tcPr>
            <w:tcW w:w="431" w:type="pct"/>
            <w:shd w:val="clear" w:color="auto" w:fill="auto"/>
            <w:vAlign w:val="center"/>
          </w:tcPr>
          <w:p w14:paraId="0335AC6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塑料杯</w:t>
            </w:r>
          </w:p>
        </w:tc>
        <w:tc>
          <w:tcPr>
            <w:tcW w:w="967" w:type="pct"/>
            <w:shd w:val="clear" w:color="auto" w:fill="auto"/>
            <w:vAlign w:val="center"/>
          </w:tcPr>
          <w:p w14:paraId="642D4293">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负重性能</w:t>
            </w:r>
          </w:p>
        </w:tc>
        <w:tc>
          <w:tcPr>
            <w:tcW w:w="988" w:type="pct"/>
            <w:shd w:val="clear" w:color="auto" w:fill="FFFFFF"/>
            <w:vAlign w:val="center"/>
          </w:tcPr>
          <w:p w14:paraId="7FFD13E8">
            <w:pPr>
              <w:keepNext w:val="0"/>
              <w:keepLines w:val="0"/>
              <w:widowControl/>
              <w:suppressLineNumbers w:val="0"/>
              <w:spacing w:line="300" w:lineRule="exact"/>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GB/T 18006.1-2025、GB/T 18006.1-2009</w:t>
            </w:r>
          </w:p>
        </w:tc>
        <w:tc>
          <w:tcPr>
            <w:tcW w:w="460" w:type="pct"/>
            <w:shd w:val="clear" w:color="auto" w:fill="auto"/>
            <w:vAlign w:val="center"/>
          </w:tcPr>
          <w:p w14:paraId="28853A15">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360</w:t>
            </w:r>
          </w:p>
        </w:tc>
        <w:tc>
          <w:tcPr>
            <w:tcW w:w="522" w:type="pct"/>
            <w:shd w:val="clear" w:color="auto" w:fill="auto"/>
            <w:vAlign w:val="center"/>
          </w:tcPr>
          <w:p w14:paraId="568377C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10500</w:t>
            </w:r>
          </w:p>
        </w:tc>
        <w:tc>
          <w:tcPr>
            <w:tcW w:w="522" w:type="pct"/>
            <w:vMerge w:val="continue"/>
            <w:shd w:val="clear" w:color="auto" w:fill="auto"/>
            <w:vAlign w:val="center"/>
          </w:tcPr>
          <w:p w14:paraId="7E9DE5CF">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343" w:type="pct"/>
            <w:vMerge w:val="continue"/>
            <w:shd w:val="clear" w:color="auto" w:fill="auto"/>
            <w:noWrap/>
            <w:vAlign w:val="center"/>
          </w:tcPr>
          <w:p w14:paraId="4E3A009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r w14:paraId="3E75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3151" w:type="pct"/>
            <w:gridSpan w:val="5"/>
            <w:shd w:val="clear" w:color="auto" w:fill="auto"/>
            <w:vAlign w:val="center"/>
          </w:tcPr>
          <w:p w14:paraId="16F50410">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b/>
                <w:i w:val="0"/>
                <w:color w:val="auto"/>
                <w:sz w:val="21"/>
                <w:szCs w:val="21"/>
                <w:highlight w:val="none"/>
                <w:u w:val="none"/>
              </w:rPr>
            </w:pPr>
            <w:r>
              <w:rPr>
                <w:rFonts w:hint="eastAsia" w:asciiTheme="minorEastAsia" w:hAnsiTheme="minorEastAsia" w:eastAsiaTheme="minorEastAsia" w:cstheme="minorEastAsia"/>
                <w:b/>
                <w:i w:val="0"/>
                <w:color w:val="auto"/>
                <w:kern w:val="0"/>
                <w:sz w:val="21"/>
                <w:szCs w:val="21"/>
                <w:highlight w:val="none"/>
                <w:u w:val="none"/>
                <w:lang w:val="en-US" w:eastAsia="zh-CN" w:bidi="ar"/>
              </w:rPr>
              <w:t>合计</w:t>
            </w:r>
          </w:p>
        </w:tc>
        <w:tc>
          <w:tcPr>
            <w:tcW w:w="460" w:type="pct"/>
            <w:shd w:val="clear" w:color="auto" w:fill="auto"/>
            <w:noWrap/>
            <w:vAlign w:val="center"/>
          </w:tcPr>
          <w:p w14:paraId="27D1DBDD">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b/>
                <w:i w:val="0"/>
                <w:color w:val="auto"/>
                <w:sz w:val="21"/>
                <w:szCs w:val="21"/>
                <w:highlight w:val="none"/>
                <w:u w:val="none"/>
              </w:rPr>
            </w:pPr>
            <w:r>
              <w:rPr>
                <w:rFonts w:hint="eastAsia" w:asciiTheme="minorEastAsia" w:hAnsiTheme="minorEastAsia" w:eastAsiaTheme="minorEastAsia" w:cstheme="minorEastAsia"/>
                <w:b/>
                <w:i w:val="0"/>
                <w:color w:val="auto"/>
                <w:kern w:val="0"/>
                <w:sz w:val="21"/>
                <w:szCs w:val="21"/>
                <w:highlight w:val="none"/>
                <w:u w:val="none"/>
                <w:lang w:val="en-US" w:eastAsia="zh-CN" w:bidi="ar"/>
              </w:rPr>
              <w:t>/</w:t>
            </w:r>
          </w:p>
        </w:tc>
        <w:tc>
          <w:tcPr>
            <w:tcW w:w="522" w:type="pct"/>
            <w:shd w:val="clear" w:color="auto" w:fill="auto"/>
            <w:noWrap/>
            <w:vAlign w:val="bottom"/>
          </w:tcPr>
          <w:p w14:paraId="74DFD773">
            <w:pPr>
              <w:keepNext w:val="0"/>
              <w:keepLines w:val="0"/>
              <w:widowControl/>
              <w:suppressLineNumbers w:val="0"/>
              <w:spacing w:line="300" w:lineRule="exact"/>
              <w:jc w:val="center"/>
              <w:textAlignment w:val="bottom"/>
              <w:rPr>
                <w:rFonts w:hint="eastAsia" w:asciiTheme="minorEastAsia" w:hAnsiTheme="minorEastAsia" w:eastAsiaTheme="minorEastAsia" w:cstheme="minorEastAsia"/>
                <w:b/>
                <w:i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3787500</w:t>
            </w:r>
          </w:p>
        </w:tc>
        <w:tc>
          <w:tcPr>
            <w:tcW w:w="522" w:type="pct"/>
            <w:shd w:val="clear" w:color="auto" w:fill="auto"/>
            <w:noWrap/>
            <w:vAlign w:val="bottom"/>
          </w:tcPr>
          <w:p w14:paraId="0FB726A6">
            <w:pPr>
              <w:keepNext w:val="0"/>
              <w:keepLines w:val="0"/>
              <w:widowControl/>
              <w:suppressLineNumbers w:val="0"/>
              <w:spacing w:line="300" w:lineRule="exact"/>
              <w:jc w:val="center"/>
              <w:textAlignment w:val="bottom"/>
              <w:rPr>
                <w:rFonts w:hint="eastAsia" w:asciiTheme="minorEastAsia" w:hAnsiTheme="minorEastAsia" w:eastAsiaTheme="minorEastAsia" w:cstheme="minorEastAsia"/>
                <w:b/>
                <w:i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3787500</w:t>
            </w:r>
          </w:p>
        </w:tc>
        <w:tc>
          <w:tcPr>
            <w:tcW w:w="343" w:type="pct"/>
            <w:shd w:val="clear" w:color="auto" w:fill="auto"/>
            <w:noWrap/>
            <w:vAlign w:val="center"/>
          </w:tcPr>
          <w:p w14:paraId="25202D32">
            <w:pPr>
              <w:keepNext w:val="0"/>
              <w:keepLines w:val="0"/>
              <w:widowControl/>
              <w:suppressLineNumbers w:val="0"/>
              <w:spacing w:line="300" w:lineRule="exact"/>
              <w:jc w:val="center"/>
              <w:textAlignment w:val="center"/>
              <w:rPr>
                <w:rFonts w:hint="eastAsia" w:asciiTheme="minorEastAsia" w:hAnsiTheme="minorEastAsia" w:eastAsiaTheme="minorEastAsia" w:cstheme="minorEastAsia"/>
                <w:b/>
                <w:i w:val="0"/>
                <w:color w:val="auto"/>
                <w:sz w:val="21"/>
                <w:szCs w:val="21"/>
                <w:highlight w:val="none"/>
                <w:u w:val="none"/>
              </w:rPr>
            </w:pPr>
            <w:r>
              <w:rPr>
                <w:rFonts w:hint="eastAsia" w:asciiTheme="minorEastAsia" w:hAnsiTheme="minorEastAsia" w:eastAsiaTheme="minorEastAsia" w:cstheme="minorEastAsia"/>
                <w:b/>
                <w:i w:val="0"/>
                <w:color w:val="auto"/>
                <w:kern w:val="0"/>
                <w:sz w:val="21"/>
                <w:szCs w:val="21"/>
                <w:highlight w:val="none"/>
                <w:u w:val="none"/>
                <w:lang w:val="en-US" w:eastAsia="zh-CN" w:bidi="ar"/>
              </w:rPr>
              <w:t>/</w:t>
            </w:r>
          </w:p>
        </w:tc>
      </w:tr>
      <w:tr w14:paraId="7D68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9"/>
            <w:shd w:val="clear" w:color="auto" w:fill="auto"/>
            <w:vAlign w:val="center"/>
          </w:tcPr>
          <w:p w14:paraId="61048EB7">
            <w:pPr>
              <w:keepNext w:val="0"/>
              <w:keepLines w:val="0"/>
              <w:widowControl/>
              <w:suppressLineNumbers w:val="0"/>
              <w:spacing w:line="300" w:lineRule="exact"/>
              <w:jc w:val="left"/>
              <w:textAlignment w:val="center"/>
              <w:rPr>
                <w:rFonts w:hint="default" w:asciiTheme="minorEastAsia" w:hAnsiTheme="minorEastAsia" w:eastAsiaTheme="minorEastAsia" w:cstheme="minorEastAsia"/>
                <w:b/>
                <w:i w:val="0"/>
                <w:color w:val="auto"/>
                <w:kern w:val="0"/>
                <w:sz w:val="21"/>
                <w:szCs w:val="21"/>
                <w:highlight w:val="none"/>
                <w:u w:val="none"/>
                <w:lang w:val="en-US" w:eastAsia="zh-CN" w:bidi="ar"/>
              </w:rPr>
            </w:pPr>
            <w:r>
              <w:rPr>
                <w:rFonts w:hint="eastAsia" w:asciiTheme="minorEastAsia" w:hAnsiTheme="minorEastAsia" w:eastAsiaTheme="minorEastAsia" w:cstheme="minorEastAsia"/>
                <w:b/>
                <w:i w:val="0"/>
                <w:color w:val="auto"/>
                <w:kern w:val="0"/>
                <w:sz w:val="21"/>
                <w:szCs w:val="21"/>
                <w:highlight w:val="none"/>
                <w:u w:val="none"/>
                <w:lang w:val="en-US" w:eastAsia="zh-CN" w:bidi="ar"/>
              </w:rPr>
              <w:t>注：1.1分标、2分标生产领域人造板、食品用塑料包装容器工具等制品实行中标供应商“抽检”分离，两个分标的中标供应商不能为同一家单位（中标规则详见采购需求说明第七点）；2.质量快速筛查是指中标单位根据检验资质情况，对市场上的产品质量进行现场筛查，具体产品、项目由双方商定。</w:t>
            </w:r>
          </w:p>
        </w:tc>
      </w:tr>
    </w:tbl>
    <w:p w14:paraId="426A28B6">
      <w:pPr>
        <w:rPr>
          <w:rFonts w:ascii="Calibri" w:hAnsi="Calibri" w:eastAsia="宋体" w:cs="Times New Roman"/>
          <w:color w:val="auto"/>
          <w:highlight w:val="none"/>
        </w:rPr>
      </w:pPr>
    </w:p>
    <w:p w14:paraId="50DAB988">
      <w:pPr>
        <w:tabs>
          <w:tab w:val="left" w:pos="180"/>
          <w:tab w:val="left" w:pos="1620"/>
        </w:tabs>
        <w:spacing w:line="420" w:lineRule="exact"/>
        <w:ind w:firstLine="420" w:firstLineChars="200"/>
        <w:jc w:val="left"/>
        <w:rPr>
          <w:rFonts w:hint="eastAsia" w:ascii="宋体" w:hAnsi="宋体" w:eastAsia="宋体" w:cs="宋体"/>
          <w:i/>
          <w:iCs/>
          <w:color w:val="auto"/>
          <w:highlight w:val="none"/>
          <w:u w:val="single"/>
          <w:lang w:val="en-US" w:eastAsia="zh-CN"/>
        </w:rPr>
      </w:pPr>
    </w:p>
    <w:p w14:paraId="6514C451">
      <w:pPr>
        <w:spacing w:line="320" w:lineRule="exact"/>
        <w:rPr>
          <w:rFonts w:hint="default" w:ascii="宋体" w:hAnsi="宋体" w:eastAsia="宋体" w:cs="Times New Roman"/>
          <w:b/>
          <w:bCs/>
          <w:color w:val="auto"/>
          <w:highlight w:val="none"/>
          <w:lang w:val="en-US" w:eastAsia="zh-CN"/>
        </w:rPr>
      </w:pPr>
      <w:r>
        <w:rPr>
          <w:rFonts w:hint="eastAsia" w:ascii="宋体" w:hAnsi="宋体" w:cs="Times New Roman"/>
          <w:b/>
          <w:bCs/>
          <w:color w:val="auto"/>
          <w:highlight w:val="none"/>
          <w:lang w:val="en-US" w:eastAsia="zh-CN"/>
        </w:rPr>
        <w:t>7.商务要求：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8584"/>
      </w:tblGrid>
      <w:tr w14:paraId="5410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22C3EBB8">
            <w:pPr>
              <w:tabs>
                <w:tab w:val="left" w:pos="180"/>
                <w:tab w:val="left" w:pos="1620"/>
              </w:tabs>
              <w:spacing w:line="420" w:lineRule="exact"/>
              <w:jc w:val="center"/>
              <w:rPr>
                <w:rFonts w:hint="default" w:ascii="宋体" w:hAnsi="宋体" w:eastAsia="宋体" w:cs="宋体"/>
                <w:color w:val="auto"/>
                <w:highlight w:val="none"/>
                <w:vertAlign w:val="baseline"/>
                <w:lang w:val="en-US" w:eastAsia="zh-CN"/>
              </w:rPr>
            </w:pPr>
            <w:r>
              <w:rPr>
                <w:rFonts w:hint="default" w:ascii="宋体" w:hAnsi="宋体" w:eastAsia="宋体" w:cs="宋体"/>
                <w:color w:val="auto"/>
                <w:highlight w:val="none"/>
                <w:vertAlign w:val="baseline"/>
                <w:lang w:val="en-US" w:eastAsia="zh-CN"/>
              </w:rPr>
              <w:t>报价要求</w:t>
            </w:r>
          </w:p>
        </w:tc>
        <w:tc>
          <w:tcPr>
            <w:tcW w:w="8589" w:type="dxa"/>
          </w:tcPr>
          <w:p w14:paraId="01A83C78">
            <w:pPr>
              <w:numPr>
                <w:ilvl w:val="0"/>
                <w:numId w:val="0"/>
              </w:numPr>
              <w:tabs>
                <w:tab w:val="left" w:pos="180"/>
                <w:tab w:val="left" w:pos="1620"/>
              </w:tabs>
              <w:spacing w:line="420" w:lineRule="exact"/>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r>
              <w:rPr>
                <w:rFonts w:hint="default" w:ascii="宋体" w:hAnsi="宋体" w:eastAsia="宋体" w:cs="宋体"/>
                <w:color w:val="auto"/>
                <w:highlight w:val="none"/>
                <w:vertAlign w:val="baseline"/>
                <w:lang w:val="en-US" w:eastAsia="zh-CN"/>
              </w:rPr>
              <w:t>本次报价须为人民币报价，包括完成本项目采购要求、人员要求所产生的全部费用和必要的保险费用和各项税金，以及样品抽取、购买、运输、检验、异议处理、复检（复检结果有变更时）、复查（不合格整改后）等工作费用。</w:t>
            </w:r>
          </w:p>
          <w:p w14:paraId="40B4CAA6">
            <w:pPr>
              <w:numPr>
                <w:ilvl w:val="0"/>
                <w:numId w:val="0"/>
              </w:numPr>
              <w:tabs>
                <w:tab w:val="left" w:pos="180"/>
                <w:tab w:val="left" w:pos="1620"/>
              </w:tabs>
              <w:spacing w:line="420" w:lineRule="exact"/>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r>
              <w:rPr>
                <w:rFonts w:hint="default" w:ascii="宋体" w:hAnsi="宋体" w:eastAsia="宋体" w:cs="宋体"/>
                <w:color w:val="auto"/>
                <w:highlight w:val="none"/>
                <w:vertAlign w:val="baseline"/>
                <w:lang w:val="en-US" w:eastAsia="zh-CN"/>
              </w:rPr>
              <w:t>本项目为固定综合单价合同。各分标的合同结算总金额最高不超过对应分标的预算金额</w:t>
            </w:r>
            <w:r>
              <w:rPr>
                <w:rFonts w:hint="eastAsia" w:ascii="宋体" w:hAnsi="宋体" w:eastAsia="宋体" w:cs="宋体"/>
                <w:color w:val="auto"/>
                <w:highlight w:val="none"/>
                <w:vertAlign w:val="baseline"/>
                <w:lang w:val="en-US" w:eastAsia="zh-CN"/>
              </w:rPr>
              <w:t>。</w:t>
            </w:r>
          </w:p>
          <w:p w14:paraId="349F1AA7">
            <w:pPr>
              <w:numPr>
                <w:ilvl w:val="0"/>
                <w:numId w:val="0"/>
              </w:numPr>
              <w:tabs>
                <w:tab w:val="left" w:pos="180"/>
                <w:tab w:val="left" w:pos="1620"/>
              </w:tabs>
              <w:spacing w:line="420" w:lineRule="exact"/>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3.</w:t>
            </w:r>
            <w:r>
              <w:rPr>
                <w:rFonts w:hint="default" w:ascii="宋体" w:hAnsi="宋体" w:eastAsia="宋体" w:cs="宋体"/>
                <w:color w:val="auto"/>
                <w:highlight w:val="none"/>
                <w:vertAlign w:val="baseline"/>
                <w:lang w:val="en-US" w:eastAsia="zh-CN"/>
              </w:rPr>
              <w:t>本项目</w:t>
            </w:r>
            <w:r>
              <w:rPr>
                <w:rFonts w:hint="eastAsia" w:ascii="宋体" w:hAnsi="宋体" w:eastAsia="宋体" w:cs="宋体"/>
                <w:color w:val="auto"/>
                <w:highlight w:val="none"/>
                <w:vertAlign w:val="baseline"/>
                <w:lang w:val="en-US" w:eastAsia="zh-CN"/>
              </w:rPr>
              <w:t>投标</w:t>
            </w:r>
            <w:r>
              <w:rPr>
                <w:rFonts w:hint="default" w:ascii="宋体" w:hAnsi="宋体" w:eastAsia="宋体" w:cs="宋体"/>
                <w:color w:val="auto"/>
                <w:highlight w:val="none"/>
                <w:vertAlign w:val="baseline"/>
                <w:lang w:val="en-US" w:eastAsia="zh-CN"/>
              </w:rPr>
              <w:t>报价是相对所</w:t>
            </w:r>
            <w:r>
              <w:rPr>
                <w:rFonts w:hint="eastAsia" w:ascii="宋体" w:hAnsi="宋体" w:eastAsia="宋体" w:cs="宋体"/>
                <w:color w:val="auto"/>
                <w:highlight w:val="none"/>
                <w:vertAlign w:val="baseline"/>
                <w:lang w:val="en-US" w:eastAsia="zh-CN"/>
              </w:rPr>
              <w:t>投</w:t>
            </w:r>
            <w:r>
              <w:rPr>
                <w:rFonts w:hint="default" w:ascii="宋体" w:hAnsi="宋体" w:eastAsia="宋体" w:cs="宋体"/>
                <w:color w:val="auto"/>
                <w:highlight w:val="none"/>
                <w:vertAlign w:val="baseline"/>
                <w:lang w:val="en-US" w:eastAsia="zh-CN"/>
              </w:rPr>
              <w:t>分标产品抽检单价分别进行报价，以所</w:t>
            </w:r>
            <w:r>
              <w:rPr>
                <w:rFonts w:hint="eastAsia" w:ascii="宋体" w:hAnsi="宋体" w:eastAsia="宋体" w:cs="宋体"/>
                <w:color w:val="auto"/>
                <w:highlight w:val="none"/>
                <w:vertAlign w:val="baseline"/>
                <w:lang w:val="en-US" w:eastAsia="zh-CN"/>
              </w:rPr>
              <w:t>投</w:t>
            </w:r>
            <w:r>
              <w:rPr>
                <w:rFonts w:hint="default" w:ascii="宋体" w:hAnsi="宋体" w:eastAsia="宋体" w:cs="宋体"/>
                <w:color w:val="auto"/>
                <w:highlight w:val="none"/>
                <w:vertAlign w:val="baseline"/>
                <w:lang w:val="en-US" w:eastAsia="zh-CN"/>
              </w:rPr>
              <w:t>分标</w:t>
            </w:r>
            <w:r>
              <w:rPr>
                <w:rFonts w:hint="eastAsia" w:ascii="宋体" w:hAnsi="宋体" w:cs="宋体"/>
                <w:color w:val="auto"/>
                <w:highlight w:val="none"/>
                <w:vertAlign w:val="baseline"/>
                <w:lang w:val="en-US" w:eastAsia="zh-CN"/>
              </w:rPr>
              <w:t>产品抽检单价合计</w:t>
            </w:r>
            <w:r>
              <w:rPr>
                <w:rFonts w:hint="default" w:ascii="宋体" w:hAnsi="宋体" w:eastAsia="宋体" w:cs="宋体"/>
                <w:color w:val="auto"/>
                <w:highlight w:val="none"/>
                <w:vertAlign w:val="baseline"/>
                <w:lang w:val="en-US" w:eastAsia="zh-CN"/>
              </w:rPr>
              <w:t>作为价格分评审依据。</w:t>
            </w:r>
          </w:p>
          <w:p w14:paraId="4B83807F">
            <w:pPr>
              <w:numPr>
                <w:ilvl w:val="0"/>
                <w:numId w:val="0"/>
              </w:numPr>
              <w:tabs>
                <w:tab w:val="left" w:pos="180"/>
                <w:tab w:val="left" w:pos="1620"/>
              </w:tabs>
              <w:spacing w:line="420" w:lineRule="exact"/>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4.</w:t>
            </w:r>
            <w:r>
              <w:rPr>
                <w:rFonts w:hint="default" w:ascii="宋体" w:hAnsi="宋体" w:eastAsia="宋体" w:cs="宋体"/>
                <w:color w:val="auto"/>
                <w:highlight w:val="none"/>
                <w:vertAlign w:val="baseline"/>
                <w:lang w:val="en-US" w:eastAsia="zh-CN"/>
              </w:rPr>
              <w:t>本项目实际发生抽查批次按合同履行过程中对应的分标产品实际发生的数量汇总计算，合同结算金额=产品抽检成交单价×实际发生抽查批次。结算金额最高不超过对应分标的预算金额。</w:t>
            </w:r>
            <w:r>
              <w:rPr>
                <w:rFonts w:hint="eastAsia" w:ascii="Times New Roman" w:hAnsi="Times New Roman" w:eastAsia="宋体" w:cs="Times New Roman"/>
                <w:color w:val="auto"/>
                <w:kern w:val="1"/>
                <w:highlight w:val="none"/>
                <w:lang w:eastAsia="zh-CN"/>
              </w:rPr>
              <w:t>抽查产品和</w:t>
            </w:r>
            <w:r>
              <w:rPr>
                <w:rFonts w:ascii="Times New Roman" w:hAnsi="Times New Roman" w:eastAsia="宋体" w:cs="Times New Roman"/>
                <w:color w:val="auto"/>
                <w:kern w:val="1"/>
                <w:highlight w:val="none"/>
              </w:rPr>
              <w:t>批次</w:t>
            </w:r>
            <w:r>
              <w:rPr>
                <w:rFonts w:hint="eastAsia" w:ascii="Times New Roman" w:hAnsi="Times New Roman" w:eastAsia="宋体" w:cs="Times New Roman"/>
                <w:color w:val="auto"/>
                <w:kern w:val="1"/>
                <w:highlight w:val="none"/>
                <w:lang w:eastAsia="zh-CN"/>
              </w:rPr>
              <w:t>分配以采购人下达的抽查任务文件为准。</w:t>
            </w:r>
          </w:p>
          <w:p w14:paraId="67111847">
            <w:pPr>
              <w:numPr>
                <w:ilvl w:val="0"/>
                <w:numId w:val="0"/>
              </w:numPr>
              <w:tabs>
                <w:tab w:val="left" w:pos="180"/>
                <w:tab w:val="left" w:pos="1620"/>
              </w:tabs>
              <w:spacing w:line="420" w:lineRule="exact"/>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5.</w:t>
            </w:r>
            <w:r>
              <w:rPr>
                <w:rFonts w:hint="default" w:ascii="宋体" w:hAnsi="宋体" w:eastAsia="宋体" w:cs="宋体"/>
                <w:color w:val="auto"/>
                <w:highlight w:val="none"/>
                <w:vertAlign w:val="baseline"/>
                <w:lang w:val="en-US" w:eastAsia="zh-CN"/>
              </w:rPr>
              <w:t>服务期自合同签订之日起一年。服务期满后，合同自动终止。或服务期内，分标预算使用完毕，合同自行终止。</w:t>
            </w:r>
          </w:p>
        </w:tc>
      </w:tr>
      <w:tr w14:paraId="08B7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62944EDE">
            <w:pPr>
              <w:tabs>
                <w:tab w:val="left" w:pos="180"/>
                <w:tab w:val="left" w:pos="1620"/>
              </w:tabs>
              <w:spacing w:line="420" w:lineRule="exact"/>
              <w:jc w:val="center"/>
              <w:rPr>
                <w:rFonts w:hint="default" w:ascii="宋体" w:hAnsi="宋体" w:eastAsia="宋体" w:cs="宋体"/>
                <w:color w:val="auto"/>
                <w:highlight w:val="none"/>
                <w:vertAlign w:val="baseline"/>
                <w:lang w:val="en-US" w:eastAsia="zh-CN"/>
              </w:rPr>
            </w:pPr>
            <w:r>
              <w:rPr>
                <w:rFonts w:hint="default" w:ascii="宋体" w:hAnsi="宋体" w:eastAsia="宋体" w:cs="宋体"/>
                <w:color w:val="auto"/>
                <w:highlight w:val="none"/>
                <w:vertAlign w:val="baseline"/>
                <w:lang w:val="en-US" w:eastAsia="zh-CN"/>
              </w:rPr>
              <w:t>合同签订日期</w:t>
            </w:r>
          </w:p>
        </w:tc>
        <w:tc>
          <w:tcPr>
            <w:tcW w:w="8589" w:type="dxa"/>
            <w:vAlign w:val="center"/>
          </w:tcPr>
          <w:p w14:paraId="162DFA6B">
            <w:pPr>
              <w:numPr>
                <w:ilvl w:val="0"/>
                <w:numId w:val="0"/>
              </w:numPr>
              <w:tabs>
                <w:tab w:val="left" w:pos="180"/>
                <w:tab w:val="left" w:pos="1620"/>
              </w:tabs>
              <w:spacing w:line="420" w:lineRule="exact"/>
              <w:jc w:val="left"/>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成交</w:t>
            </w:r>
            <w:r>
              <w:rPr>
                <w:rFonts w:hint="default" w:ascii="宋体" w:hAnsi="宋体" w:eastAsia="宋体" w:cs="宋体"/>
                <w:color w:val="auto"/>
                <w:highlight w:val="none"/>
                <w:vertAlign w:val="baseline"/>
                <w:lang w:val="en-US" w:eastAsia="zh-CN"/>
              </w:rPr>
              <w:t>通知书发出后</w:t>
            </w:r>
            <w:r>
              <w:rPr>
                <w:rFonts w:hint="eastAsia" w:ascii="宋体" w:hAnsi="宋体" w:eastAsia="宋体" w:cs="宋体"/>
                <w:color w:val="auto"/>
                <w:highlight w:val="none"/>
                <w:vertAlign w:val="baseline"/>
                <w:lang w:val="en-US" w:eastAsia="zh-CN"/>
              </w:rPr>
              <w:t>25</w:t>
            </w:r>
            <w:r>
              <w:rPr>
                <w:rFonts w:hint="default" w:ascii="宋体" w:hAnsi="宋体" w:eastAsia="宋体" w:cs="宋体"/>
                <w:color w:val="auto"/>
                <w:highlight w:val="none"/>
                <w:vertAlign w:val="baseline"/>
                <w:lang w:val="en-US" w:eastAsia="zh-CN"/>
              </w:rPr>
              <w:t>日内</w:t>
            </w:r>
          </w:p>
        </w:tc>
      </w:tr>
      <w:tr w14:paraId="746B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270" w:type="dxa"/>
            <w:vAlign w:val="center"/>
          </w:tcPr>
          <w:p w14:paraId="32267467">
            <w:pPr>
              <w:tabs>
                <w:tab w:val="left" w:pos="180"/>
                <w:tab w:val="left" w:pos="1620"/>
              </w:tabs>
              <w:spacing w:line="420" w:lineRule="exact"/>
              <w:jc w:val="center"/>
              <w:rPr>
                <w:rFonts w:hint="default" w:ascii="宋体" w:hAnsi="宋体" w:eastAsia="宋体" w:cs="宋体"/>
                <w:color w:val="auto"/>
                <w:highlight w:val="none"/>
                <w:vertAlign w:val="baseline"/>
                <w:lang w:val="en-US" w:eastAsia="zh-CN"/>
              </w:rPr>
            </w:pPr>
            <w:r>
              <w:rPr>
                <w:rFonts w:hint="default" w:ascii="宋体" w:hAnsi="宋体" w:eastAsia="宋体" w:cs="宋体"/>
                <w:color w:val="auto"/>
                <w:highlight w:val="none"/>
                <w:vertAlign w:val="baseline"/>
                <w:lang w:val="en-US" w:eastAsia="zh-CN"/>
              </w:rPr>
              <w:t>服务时间</w:t>
            </w:r>
            <w:r>
              <w:rPr>
                <w:rFonts w:hint="eastAsia" w:ascii="宋体" w:hAnsi="宋体" w:eastAsia="宋体" w:cs="宋体"/>
                <w:color w:val="auto"/>
                <w:highlight w:val="none"/>
                <w:vertAlign w:val="baseline"/>
                <w:lang w:val="en-US" w:eastAsia="zh-CN"/>
              </w:rPr>
              <w:t>及服务地点</w:t>
            </w:r>
          </w:p>
        </w:tc>
        <w:tc>
          <w:tcPr>
            <w:tcW w:w="8589" w:type="dxa"/>
            <w:vAlign w:val="center"/>
          </w:tcPr>
          <w:p w14:paraId="5079E780">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服务时间：合同签订之日起1年</w:t>
            </w:r>
          </w:p>
          <w:p w14:paraId="1514E8FA">
            <w:pPr>
              <w:numPr>
                <w:ilvl w:val="0"/>
                <w:numId w:val="0"/>
              </w:numPr>
              <w:tabs>
                <w:tab w:val="left" w:pos="180"/>
                <w:tab w:val="left" w:pos="1620"/>
              </w:tabs>
              <w:spacing w:line="420" w:lineRule="exact"/>
              <w:jc w:val="left"/>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服务地点：广西南宁采购人指定地点</w:t>
            </w:r>
          </w:p>
        </w:tc>
      </w:tr>
      <w:tr w14:paraId="576C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6ED34228">
            <w:pPr>
              <w:tabs>
                <w:tab w:val="left" w:pos="180"/>
                <w:tab w:val="left" w:pos="1620"/>
              </w:tabs>
              <w:spacing w:line="420" w:lineRule="exact"/>
              <w:jc w:val="center"/>
              <w:rPr>
                <w:rFonts w:hint="default" w:ascii="宋体" w:hAnsi="宋体" w:eastAsia="宋体" w:cs="宋体"/>
                <w:color w:val="auto"/>
                <w:highlight w:val="none"/>
                <w:vertAlign w:val="baseline"/>
                <w:lang w:val="en-US" w:eastAsia="zh-CN"/>
              </w:rPr>
            </w:pPr>
            <w:r>
              <w:rPr>
                <w:rFonts w:hint="default" w:ascii="宋体" w:hAnsi="宋体" w:eastAsia="宋体" w:cs="宋体"/>
                <w:color w:val="auto"/>
                <w:highlight w:val="none"/>
                <w:vertAlign w:val="baseline"/>
                <w:lang w:val="en-US" w:eastAsia="zh-CN"/>
              </w:rPr>
              <w:t>工作要求</w:t>
            </w:r>
          </w:p>
        </w:tc>
        <w:tc>
          <w:tcPr>
            <w:tcW w:w="8589" w:type="dxa"/>
            <w:vAlign w:val="center"/>
          </w:tcPr>
          <w:p w14:paraId="577841E3">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1.中标供应商在服务期内分标抽检产品如涉及标准变更等情形时，应及时进行扩项，确保满足产品的检验能力，并在实施承检任务前将相关扩项资质证明材料提交采购人。否则，其承检资格自动作废。</w:t>
            </w:r>
          </w:p>
          <w:p w14:paraId="757FE24A">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2.供应商应承诺投入具有与承担的产品质量监督抽查任务相匹配的工作人员、仪器设备、实验室环境设施；拥有运行良好的实验室管理体系，授权范围涵盖承担的产品质量监督抽查中相应的</w:t>
            </w:r>
            <w:r>
              <w:rPr>
                <w:rFonts w:hint="eastAsia" w:ascii="宋体" w:hAnsi="宋体" w:cs="宋体"/>
                <w:color w:val="auto"/>
                <w:highlight w:val="none"/>
                <w:vertAlign w:val="baseline"/>
                <w:lang w:val="en-US" w:eastAsia="zh-CN"/>
              </w:rPr>
              <w:t>具体产品名称</w:t>
            </w:r>
            <w:r>
              <w:rPr>
                <w:rFonts w:hint="eastAsia" w:ascii="宋体" w:hAnsi="宋体" w:eastAsia="宋体" w:cs="宋体"/>
                <w:color w:val="auto"/>
                <w:highlight w:val="none"/>
                <w:vertAlign w:val="baseline"/>
                <w:lang w:val="en-US" w:eastAsia="zh-CN"/>
              </w:rPr>
              <w:t>和检验项目。具有相应的检验和质量分析人员，参与检验的有关人员必须具有检验员证，并具备相应的专业知识和能力，具体要求为：</w:t>
            </w:r>
          </w:p>
          <w:p w14:paraId="5E58F623">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应当具备固定的检验工作场所以及分标项目检测所需的检测设施设备、数据处理与分析、信息传输设施和设备等工作条件、有抽样过程记录设备（如抽样可视化平台及录像设备）；请提供供应商为本次项目提供的检验工作场所情况说明及供应商拥有的相关设施和设备清单。</w:t>
            </w:r>
          </w:p>
          <w:p w14:paraId="16D77492">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每个分标应当投入中级或以上系列职称的技术人员；具备一定的产品检验工作经验，检验人员和技术管理人员应当熟悉有关产品的标准、检验方法原理，掌握检验操作技能、标准操作程序、计量和数据处理知识等；请提供供应商拟投入的技术人员名单及职称证等相关人员资质材料扫描件。</w:t>
            </w:r>
          </w:p>
          <w:p w14:paraId="2D4A70C6">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3）具备一定的质量分析和科研能力，能解决检验中发现的技术问题，能根据产品的抽检结果，以及承担的地方、行业、部门等监督抽查和企业委托检验的情况，结合产品所属行业、产业发展情况，对所检验的产品进行全面评估分析，形成产品质量分析报告，提出工作措施建议。</w:t>
            </w:r>
          </w:p>
        </w:tc>
      </w:tr>
      <w:tr w14:paraId="1802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4AF4ED8C">
            <w:pPr>
              <w:tabs>
                <w:tab w:val="left" w:pos="180"/>
                <w:tab w:val="left" w:pos="1620"/>
              </w:tabs>
              <w:spacing w:line="420" w:lineRule="exact"/>
              <w:jc w:val="center"/>
              <w:rPr>
                <w:rFonts w:hint="default" w:ascii="宋体" w:hAnsi="宋体" w:eastAsia="宋体" w:cs="宋体"/>
                <w:color w:val="auto"/>
                <w:highlight w:val="none"/>
                <w:vertAlign w:val="baseline"/>
                <w:lang w:val="en-US" w:eastAsia="zh-CN"/>
              </w:rPr>
            </w:pPr>
            <w:r>
              <w:rPr>
                <w:rFonts w:hint="default" w:ascii="宋体" w:hAnsi="宋体" w:eastAsia="宋体" w:cs="宋体"/>
                <w:color w:val="auto"/>
                <w:highlight w:val="none"/>
                <w:vertAlign w:val="baseline"/>
                <w:lang w:val="en-US" w:eastAsia="zh-CN"/>
              </w:rPr>
              <w:t>服务要求</w:t>
            </w:r>
          </w:p>
        </w:tc>
        <w:tc>
          <w:tcPr>
            <w:tcW w:w="8589" w:type="dxa"/>
            <w:vAlign w:val="center"/>
          </w:tcPr>
          <w:p w14:paraId="22FC75D1">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1.严格遵守法律、法规的规定和检验工作有关纪律要求，确保检验结果真实有效；检验活动中无重大差错，能够保证检验结果质量；具有授权范围涵盖承担的产品监督抽查任务中相应的</w:t>
            </w:r>
            <w:r>
              <w:rPr>
                <w:rFonts w:hint="eastAsia" w:ascii="宋体" w:hAnsi="宋体" w:cs="宋体"/>
                <w:color w:val="auto"/>
                <w:highlight w:val="none"/>
                <w:vertAlign w:val="baseline"/>
                <w:lang w:val="en-US" w:eastAsia="zh-CN"/>
              </w:rPr>
              <w:t>具体产品名称</w:t>
            </w:r>
            <w:r>
              <w:rPr>
                <w:rFonts w:hint="eastAsia" w:ascii="宋体" w:hAnsi="宋体" w:eastAsia="宋体" w:cs="宋体"/>
                <w:color w:val="auto"/>
                <w:highlight w:val="none"/>
                <w:vertAlign w:val="baseline"/>
                <w:lang w:val="en-US" w:eastAsia="zh-CN"/>
              </w:rPr>
              <w:t>和检验项目；</w:t>
            </w:r>
          </w:p>
          <w:p w14:paraId="00FB2160">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2.制定</w:t>
            </w:r>
            <w:r>
              <w:rPr>
                <w:rFonts w:hint="eastAsia" w:ascii="宋体" w:hAnsi="宋体" w:eastAsia="宋体" w:cs="宋体"/>
                <w:color w:val="auto"/>
                <w:highlight w:val="none"/>
              </w:rPr>
              <w:t>监督抽查实施细则工作方案</w:t>
            </w:r>
            <w:r>
              <w:rPr>
                <w:rFonts w:hint="eastAsia" w:ascii="宋体" w:hAnsi="宋体" w:eastAsia="宋体" w:cs="宋体"/>
                <w:color w:val="auto"/>
                <w:highlight w:val="none"/>
                <w:lang w:eastAsia="zh-CN"/>
              </w:rPr>
              <w:t>；</w:t>
            </w:r>
          </w:p>
          <w:p w14:paraId="78648970">
            <w:pPr>
              <w:numPr>
                <w:ilvl w:val="0"/>
                <w:numId w:val="0"/>
              </w:numPr>
              <w:tabs>
                <w:tab w:val="left" w:pos="180"/>
                <w:tab w:val="left" w:pos="1620"/>
              </w:tabs>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w:t>
            </w:r>
            <w:r>
              <w:rPr>
                <w:rFonts w:hint="eastAsia" w:ascii="宋体" w:hAnsi="宋体" w:eastAsia="宋体" w:cs="宋体"/>
                <w:color w:val="auto"/>
                <w:highlight w:val="none"/>
                <w:vertAlign w:val="baseline"/>
                <w:lang w:val="en-US" w:eastAsia="zh-CN"/>
              </w:rPr>
              <w:t>按照《中华人民共和国产品质量法》《产品质量监督抽查管理暂行办法》等法律法规要求</w:t>
            </w:r>
            <w:r>
              <w:rPr>
                <w:rFonts w:hint="eastAsia" w:ascii="宋体" w:hAnsi="宋体" w:eastAsia="宋体" w:cs="宋体"/>
                <w:color w:val="auto"/>
                <w:highlight w:val="none"/>
              </w:rPr>
              <w:t>开展抽样和检验工作，完成</w:t>
            </w:r>
            <w:r>
              <w:rPr>
                <w:rFonts w:hint="eastAsia" w:ascii="宋体" w:hAnsi="宋体" w:cs="宋体"/>
                <w:color w:val="auto"/>
                <w:highlight w:val="none"/>
              </w:rPr>
              <w:t>广西工业产品“AI质安通”监管平台</w:t>
            </w:r>
            <w:r>
              <w:rPr>
                <w:rFonts w:hint="eastAsia" w:ascii="宋体" w:hAnsi="宋体" w:eastAsia="宋体" w:cs="宋体"/>
                <w:color w:val="auto"/>
                <w:highlight w:val="none"/>
              </w:rPr>
              <w:t>抽样</w:t>
            </w:r>
            <w:r>
              <w:rPr>
                <w:rFonts w:hint="eastAsia" w:ascii="宋体" w:hAnsi="宋体" w:cs="宋体"/>
                <w:color w:val="auto"/>
                <w:highlight w:val="none"/>
                <w:lang w:eastAsia="zh-CN"/>
              </w:rPr>
              <w:t>信息</w:t>
            </w:r>
            <w:r>
              <w:rPr>
                <w:rFonts w:hint="eastAsia" w:ascii="宋体" w:hAnsi="宋体" w:eastAsia="宋体" w:cs="宋体"/>
                <w:color w:val="auto"/>
                <w:highlight w:val="none"/>
              </w:rPr>
              <w:t>、检验结果信息录入，按要求上传、寄送检验报告；</w:t>
            </w:r>
          </w:p>
          <w:p w14:paraId="01BCB475">
            <w:pPr>
              <w:numPr>
                <w:ilvl w:val="0"/>
                <w:numId w:val="0"/>
              </w:numPr>
              <w:tabs>
                <w:tab w:val="left" w:pos="180"/>
                <w:tab w:val="left" w:pos="1620"/>
              </w:tabs>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.如实向自治区市场监管局报送抽检情况和检验结果</w:t>
            </w:r>
            <w:r>
              <w:rPr>
                <w:rFonts w:hint="eastAsia" w:ascii="宋体" w:hAnsi="宋体" w:eastAsia="宋体" w:cs="宋体"/>
                <w:color w:val="auto"/>
                <w:highlight w:val="none"/>
                <w:lang w:eastAsia="zh-CN"/>
              </w:rPr>
              <w:t>；</w:t>
            </w:r>
          </w:p>
          <w:p w14:paraId="3869A322">
            <w:pPr>
              <w:numPr>
                <w:ilvl w:val="0"/>
                <w:numId w:val="0"/>
              </w:numPr>
              <w:tabs>
                <w:tab w:val="left" w:pos="180"/>
                <w:tab w:val="left" w:pos="1620"/>
              </w:tabs>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5</w:t>
            </w:r>
            <w:r>
              <w:rPr>
                <w:rFonts w:hint="eastAsia" w:ascii="宋体" w:hAnsi="宋体" w:eastAsia="宋体" w:cs="宋体"/>
                <w:color w:val="auto"/>
                <w:highlight w:val="none"/>
              </w:rPr>
              <w:t>.开展产品质量分析，提出提升产品质量对策建议，编制分析报告；</w:t>
            </w:r>
          </w:p>
          <w:p w14:paraId="7429AF84">
            <w:pPr>
              <w:numPr>
                <w:ilvl w:val="0"/>
                <w:numId w:val="0"/>
              </w:numPr>
              <w:tabs>
                <w:tab w:val="left" w:pos="180"/>
                <w:tab w:val="left" w:pos="1620"/>
              </w:tabs>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6</w:t>
            </w:r>
            <w:r>
              <w:rPr>
                <w:rFonts w:hint="eastAsia" w:ascii="宋体" w:hAnsi="宋体" w:eastAsia="宋体" w:cs="宋体"/>
                <w:color w:val="auto"/>
                <w:highlight w:val="none"/>
              </w:rPr>
              <w:t>.协助做好异议处理，出具企业异议情况说明等材料；</w:t>
            </w:r>
          </w:p>
          <w:p w14:paraId="4E3ED0A6">
            <w:pPr>
              <w:numPr>
                <w:ilvl w:val="0"/>
                <w:numId w:val="0"/>
              </w:numPr>
              <w:tabs>
                <w:tab w:val="left" w:pos="180"/>
                <w:tab w:val="left" w:pos="1620"/>
              </w:tabs>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7</w:t>
            </w:r>
            <w:r>
              <w:rPr>
                <w:rFonts w:hint="eastAsia" w:ascii="宋体" w:hAnsi="宋体" w:eastAsia="宋体" w:cs="宋体"/>
                <w:color w:val="auto"/>
                <w:highlight w:val="none"/>
              </w:rPr>
              <w:t>.配合后处理的市场监管部门完成整改复查的检验工作，协助做好不合格企业质量技术帮扶；</w:t>
            </w:r>
          </w:p>
          <w:p w14:paraId="3EA17028">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.提供所承担产品的技术咨询服务工作；</w:t>
            </w:r>
          </w:p>
          <w:p w14:paraId="54521D69">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9.必须接受采购人对承担检验任务工作质量情况的监督检查和考核；</w:t>
            </w:r>
          </w:p>
          <w:p w14:paraId="6CCA8EDB">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10.能按时完成采购人安排的临时性和应急性任务；</w:t>
            </w:r>
          </w:p>
          <w:p w14:paraId="5770CA01">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11.具有与抽样工作相匹配的专职抽样人员、抽样工具、设备等条件；熟悉产品抽样程序，应按照要求派出不少于2人的抽样人员完成抽样工作，抽样人员应当熟悉相关法律、法规、规章和标准等有关规定，并经培训考核合格持抽样员证才能上岗。抽样人员应当使用规范的抽样文书，准确、完整记录抽样信息，抽样程序应符合规定。抽样要严格遵循“抽检分离”原则；</w:t>
            </w:r>
          </w:p>
          <w:p w14:paraId="56EA9749">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12.要对抽样关键环节进行录像，并采用拍照等方式对抽查样品状态及其他可能影响抽查结果的情形进行现场取证，相关照片应纳入出具的检验报告中；</w:t>
            </w:r>
          </w:p>
          <w:p w14:paraId="3326BEDF">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13.采购标的需满足的服务标准、期限、效率等要求：按采购人印发的抽查通知、安排的全部抽检任务批次要求完成；</w:t>
            </w:r>
          </w:p>
          <w:p w14:paraId="13CB2E22">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14.采购标的其他技术、服务要求：根据采购人需求，在应急检验处理情况下，承检机构应及时向采购人反馈；</w:t>
            </w:r>
          </w:p>
          <w:p w14:paraId="7A13C66F">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15.采购人如有事项服务要求，成交供应商应在12小时内作出响应，且承诺8小时内能到达采购人办公场所提供服务；</w:t>
            </w:r>
          </w:p>
          <w:p w14:paraId="30CCC74F">
            <w:pPr>
              <w:numPr>
                <w:ilvl w:val="0"/>
                <w:numId w:val="0"/>
              </w:numPr>
              <w:tabs>
                <w:tab w:val="left" w:pos="180"/>
                <w:tab w:val="left" w:pos="1620"/>
              </w:tabs>
              <w:spacing w:line="420" w:lineRule="exact"/>
              <w:jc w:val="left"/>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16.为便于协助采购人更好的开展抽查和监测工作，供应商须配备抽样视频记录设备或配备相机、录像机等设备。</w:t>
            </w:r>
          </w:p>
        </w:tc>
      </w:tr>
      <w:tr w14:paraId="5AE7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47E33416">
            <w:pPr>
              <w:tabs>
                <w:tab w:val="left" w:pos="180"/>
                <w:tab w:val="left" w:pos="1620"/>
              </w:tabs>
              <w:spacing w:line="420" w:lineRule="exact"/>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售后服务要求</w:t>
            </w:r>
          </w:p>
        </w:tc>
        <w:tc>
          <w:tcPr>
            <w:tcW w:w="8589" w:type="dxa"/>
            <w:vAlign w:val="center"/>
          </w:tcPr>
          <w:p w14:paraId="06FC93EF">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本项目后期如发现因中标供应商的问题而出现检测或考评结果差错、遗漏或其他涉及售后服务的问题，中标供应商应在接到采购人通知后1小时响应，并按要求时限到达现场，简单问题24小时内修复完毕，重大问题修复时间不超过48小时。</w:t>
            </w:r>
          </w:p>
        </w:tc>
      </w:tr>
      <w:tr w14:paraId="1D38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4C97EAAE">
            <w:pPr>
              <w:tabs>
                <w:tab w:val="left" w:pos="180"/>
                <w:tab w:val="left" w:pos="1620"/>
              </w:tabs>
              <w:spacing w:line="420" w:lineRule="exact"/>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付款方式</w:t>
            </w:r>
          </w:p>
        </w:tc>
        <w:tc>
          <w:tcPr>
            <w:tcW w:w="8589" w:type="dxa"/>
            <w:vAlign w:val="center"/>
          </w:tcPr>
          <w:p w14:paraId="5A33199A">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1.中标供应商与采购人签订合同后20个工作日内，采购人向中标供应商预付合同款的50%；中标供应商完成</w:t>
            </w:r>
            <w:r>
              <w:rPr>
                <w:rFonts w:hint="eastAsia" w:ascii="宋体" w:hAnsi="宋体" w:cs="宋体"/>
                <w:color w:val="auto"/>
                <w:highlight w:val="none"/>
                <w:vertAlign w:val="baseline"/>
                <w:lang w:val="en-US" w:eastAsia="zh-CN"/>
              </w:rPr>
              <w:t>抽样工作后</w:t>
            </w:r>
            <w:r>
              <w:rPr>
                <w:rFonts w:hint="eastAsia" w:ascii="宋体" w:hAnsi="宋体" w:eastAsia="宋体" w:cs="宋体"/>
                <w:color w:val="auto"/>
                <w:highlight w:val="none"/>
                <w:vertAlign w:val="baseline"/>
                <w:lang w:val="en-US" w:eastAsia="zh-CN"/>
              </w:rPr>
              <w:t>，支付合同款的40%；中标供应商在完成抽检</w:t>
            </w:r>
            <w:r>
              <w:rPr>
                <w:rFonts w:hint="eastAsia" w:ascii="宋体" w:hAnsi="宋体" w:cs="宋体"/>
                <w:color w:val="auto"/>
                <w:highlight w:val="none"/>
                <w:vertAlign w:val="baseline"/>
                <w:lang w:val="en-US" w:eastAsia="zh-CN"/>
              </w:rPr>
              <w:t>任务后</w:t>
            </w:r>
            <w:r>
              <w:rPr>
                <w:rFonts w:hint="eastAsia" w:ascii="宋体" w:hAnsi="宋体" w:eastAsia="宋体" w:cs="宋体"/>
                <w:color w:val="auto"/>
                <w:highlight w:val="none"/>
                <w:vertAlign w:val="baseline"/>
                <w:lang w:val="en-US" w:eastAsia="zh-CN"/>
              </w:rPr>
              <w:t>，并经采购人验收合格后，采购人于20个工作日内支付合同剩余款项。中标供应商在每次支付款项7个工作日前提交请款函和发票给采购人。</w:t>
            </w:r>
          </w:p>
          <w:p w14:paraId="2D207E03">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2.中标供应商在完成抽样任务之后，向采购人提交未抽到样情况表等材料。中标供应商在完成检验任务之后，向采购人提交</w:t>
            </w:r>
            <w:r>
              <w:rPr>
                <w:rFonts w:hint="eastAsia" w:ascii="宋体" w:hAnsi="宋体" w:cs="宋体"/>
                <w:color w:val="auto"/>
                <w:highlight w:val="none"/>
                <w:vertAlign w:val="baseline"/>
                <w:lang w:val="en-US" w:eastAsia="zh-CN"/>
              </w:rPr>
              <w:t>涉及区外企业的</w:t>
            </w:r>
            <w:r>
              <w:rPr>
                <w:rFonts w:hint="eastAsia" w:ascii="宋体" w:hAnsi="宋体" w:eastAsia="宋体" w:cs="宋体"/>
                <w:color w:val="auto"/>
                <w:highlight w:val="none"/>
                <w:vertAlign w:val="baseline"/>
                <w:lang w:val="en-US" w:eastAsia="zh-CN"/>
              </w:rPr>
              <w:t>不合格产品检验报告、监督抽查结果汇总表、产品监督抽查分析报告等材料，并按要求将相关检验结果、检验报告信息上传</w:t>
            </w:r>
            <w:r>
              <w:rPr>
                <w:rFonts w:hint="eastAsia" w:ascii="宋体" w:hAnsi="宋体" w:cs="宋体"/>
                <w:color w:val="auto"/>
                <w:highlight w:val="none"/>
              </w:rPr>
              <w:t>广西</w:t>
            </w:r>
            <w:r>
              <w:rPr>
                <w:rFonts w:hint="eastAsia" w:ascii="宋体" w:hAnsi="宋体" w:cs="宋体"/>
                <w:color w:val="auto"/>
                <w:highlight w:val="none"/>
                <w:lang w:eastAsia="zh-CN"/>
              </w:rPr>
              <w:t>工业产品</w:t>
            </w:r>
            <w:r>
              <w:rPr>
                <w:rFonts w:hint="eastAsia" w:ascii="宋体" w:hAnsi="宋体" w:cs="宋体"/>
                <w:color w:val="auto"/>
                <w:highlight w:val="none"/>
              </w:rPr>
              <w:t>“AI 质安通”监管平台</w:t>
            </w:r>
            <w:r>
              <w:rPr>
                <w:rFonts w:hint="eastAsia" w:ascii="宋体" w:hAnsi="宋体" w:eastAsia="宋体" w:cs="宋体"/>
                <w:color w:val="auto"/>
                <w:highlight w:val="none"/>
                <w:vertAlign w:val="baseline"/>
                <w:lang w:val="en-US" w:eastAsia="zh-CN"/>
              </w:rPr>
              <w:t>。</w:t>
            </w:r>
          </w:p>
        </w:tc>
      </w:tr>
      <w:tr w14:paraId="2964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14:paraId="51A03F58">
            <w:pPr>
              <w:tabs>
                <w:tab w:val="left" w:pos="180"/>
                <w:tab w:val="left" w:pos="1620"/>
              </w:tabs>
              <w:spacing w:line="420" w:lineRule="exact"/>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其他要求</w:t>
            </w:r>
          </w:p>
        </w:tc>
        <w:tc>
          <w:tcPr>
            <w:tcW w:w="8589" w:type="dxa"/>
            <w:vAlign w:val="center"/>
          </w:tcPr>
          <w:p w14:paraId="0752F34D">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供应商可对检验检测能力范围满足采购需求的分标进行报价，即可分别就一个或多个分标进行投标。评标过程中，评标委员会将分别对各分标所有供应商进行综合评分，一家供应商所投分标仅对应一个综合得分，然后对各分标进行报价的供应商评分排序。</w:t>
            </w:r>
          </w:p>
          <w:p w14:paraId="7D82F936">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2.采购人按评标委员会推荐顺序确认中标供应商。</w:t>
            </w:r>
            <w:r>
              <w:rPr>
                <w:rFonts w:hint="eastAsia" w:asciiTheme="minorEastAsia" w:hAnsiTheme="minorEastAsia" w:eastAsiaTheme="minorEastAsia" w:cstheme="minorEastAsia"/>
                <w:b w:val="0"/>
                <w:bCs/>
                <w:i w:val="0"/>
                <w:color w:val="auto"/>
                <w:kern w:val="0"/>
                <w:sz w:val="21"/>
                <w:szCs w:val="21"/>
                <w:highlight w:val="none"/>
                <w:u w:val="none"/>
                <w:lang w:val="en-US" w:eastAsia="zh-CN" w:bidi="ar"/>
              </w:rPr>
              <w:t>1分标、2分标生产领域人造板、食品用塑料包装容器工具等制品实行中标供应商“抽检”分离，两个分标的中标供应商不能为同一家单位（中标规则详见采购需求说明第七点）。</w:t>
            </w:r>
          </w:p>
          <w:p w14:paraId="1CF4D6FC">
            <w:pPr>
              <w:numPr>
                <w:ilvl w:val="0"/>
                <w:numId w:val="0"/>
              </w:numPr>
              <w:tabs>
                <w:tab w:val="left" w:pos="180"/>
                <w:tab w:val="left" w:pos="1620"/>
              </w:tabs>
              <w:spacing w:line="420" w:lineRule="exact"/>
              <w:jc w:val="left"/>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3.采购人有权依法核实中标供应商在所投分标的检验项目的检验覆盖能力，至少具备其中1种产品（按具体产品名称）检验能力，如不符合要求的，视为该中标供应商以虚假材料谋取中标，报政府采购监督管理部门，依法处理。</w:t>
            </w:r>
          </w:p>
        </w:tc>
      </w:tr>
    </w:tbl>
    <w:p w14:paraId="5A505D53">
      <w:pPr>
        <w:spacing w:line="428" w:lineRule="exact"/>
        <w:ind w:left="119"/>
        <w:rPr>
          <w:rFonts w:hint="eastAsia" w:ascii="宋体" w:hAnsi="宋体" w:eastAsia="宋体" w:cs="宋体"/>
          <w:color w:val="auto"/>
          <w:sz w:val="32"/>
          <w:szCs w:val="32"/>
          <w:highlight w:val="none"/>
        </w:rPr>
      </w:pPr>
      <w:r>
        <w:rPr>
          <w:rFonts w:hint="eastAsia"/>
          <w:color w:val="auto"/>
          <w:highlight w:val="none"/>
        </w:rPr>
        <w:br w:type="page"/>
      </w:r>
      <w:r>
        <w:rPr>
          <w:rFonts w:ascii="Times New Roman" w:hAnsi="宋体" w:eastAsia="宋体" w:cs="Times New Roman"/>
          <w:color w:val="auto"/>
          <w:highlight w:val="none"/>
        </w:rPr>
        <w:t xml:space="preserve"> </w:t>
      </w:r>
      <w:r>
        <w:rPr>
          <w:rFonts w:hint="eastAsia" w:ascii="宋体" w:hAnsi="宋体" w:eastAsia="宋体" w:cs="宋体"/>
          <w:color w:val="auto"/>
          <w:sz w:val="32"/>
          <w:szCs w:val="32"/>
          <w:highlight w:val="none"/>
        </w:rPr>
        <w:t>附件1</w:t>
      </w:r>
    </w:p>
    <w:p w14:paraId="4C7ABB00">
      <w:pPr>
        <w:spacing w:before="7"/>
        <w:rPr>
          <w:rFonts w:hint="eastAsia" w:ascii="宋体" w:hAnsi="宋体" w:eastAsia="宋体" w:cs="宋体"/>
          <w:color w:val="auto"/>
          <w:sz w:val="17"/>
          <w:szCs w:val="17"/>
          <w:highlight w:val="none"/>
        </w:rPr>
      </w:pPr>
    </w:p>
    <w:p w14:paraId="04738508">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916"/>
        <w:gridCol w:w="1516"/>
        <w:gridCol w:w="1612"/>
        <w:gridCol w:w="4335"/>
      </w:tblGrid>
      <w:tr w14:paraId="1D6D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1" w:type="dxa"/>
            <w:noWrap w:val="0"/>
            <w:vAlign w:val="top"/>
          </w:tcPr>
          <w:p w14:paraId="1A900528">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044" w:type="dxa"/>
            <w:gridSpan w:val="3"/>
            <w:noWrap w:val="0"/>
            <w:vAlign w:val="center"/>
          </w:tcPr>
          <w:p w14:paraId="16A3260B">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335" w:type="dxa"/>
            <w:noWrap w:val="0"/>
            <w:vAlign w:val="center"/>
          </w:tcPr>
          <w:p w14:paraId="132E9E2C">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14:paraId="6199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5166477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916" w:type="dxa"/>
            <w:vMerge w:val="restart"/>
            <w:noWrap w:val="0"/>
            <w:vAlign w:val="center"/>
          </w:tcPr>
          <w:p w14:paraId="42C26D9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516" w:type="dxa"/>
            <w:noWrap w:val="0"/>
            <w:vAlign w:val="center"/>
          </w:tcPr>
          <w:p w14:paraId="429AD33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12" w:type="dxa"/>
            <w:noWrap w:val="0"/>
            <w:vAlign w:val="center"/>
          </w:tcPr>
          <w:p w14:paraId="0AD193F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1102198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0D21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089E8CE">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0D146F50">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1233B53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12" w:type="dxa"/>
            <w:noWrap w:val="0"/>
            <w:vAlign w:val="center"/>
          </w:tcPr>
          <w:p w14:paraId="6A9CDC3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191B5E0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01CD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5D1C374C">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04C884CF">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4839D68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12" w:type="dxa"/>
            <w:noWrap w:val="0"/>
            <w:vAlign w:val="center"/>
          </w:tcPr>
          <w:p w14:paraId="2B94B0A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73B3C12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7C12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2D8F781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916" w:type="dxa"/>
            <w:vMerge w:val="restart"/>
            <w:noWrap w:val="0"/>
            <w:vAlign w:val="center"/>
          </w:tcPr>
          <w:p w14:paraId="5A54EF9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516" w:type="dxa"/>
            <w:vMerge w:val="restart"/>
            <w:noWrap w:val="0"/>
            <w:vAlign w:val="center"/>
          </w:tcPr>
          <w:p w14:paraId="1B07DEC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12" w:type="dxa"/>
            <w:noWrap w:val="0"/>
            <w:vAlign w:val="center"/>
          </w:tcPr>
          <w:p w14:paraId="18BA7ED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335" w:type="dxa"/>
            <w:noWrap w:val="0"/>
            <w:vAlign w:val="center"/>
          </w:tcPr>
          <w:p w14:paraId="5E48865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0445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72AFD146">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4371ECF2">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64433DDD">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11781DA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335" w:type="dxa"/>
            <w:noWrap w:val="0"/>
            <w:vAlign w:val="center"/>
          </w:tcPr>
          <w:p w14:paraId="3C73815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199F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498BAE61">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4DD2C36E">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59582278">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45D8C6A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335" w:type="dxa"/>
            <w:noWrap w:val="0"/>
            <w:vAlign w:val="center"/>
          </w:tcPr>
          <w:p w14:paraId="6C8A898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47C0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4209210F">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0CBFFFDF">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188C582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12" w:type="dxa"/>
            <w:noWrap w:val="0"/>
            <w:vAlign w:val="center"/>
          </w:tcPr>
          <w:p w14:paraId="2ED0FBB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335" w:type="dxa"/>
            <w:noWrap w:val="0"/>
            <w:vAlign w:val="center"/>
          </w:tcPr>
          <w:p w14:paraId="53DACA3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14:paraId="7794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vMerge w:val="continue"/>
            <w:noWrap w:val="0"/>
            <w:vAlign w:val="center"/>
          </w:tcPr>
          <w:p w14:paraId="274A83E3">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5535D2E6">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253EF0D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12" w:type="dxa"/>
            <w:noWrap w:val="0"/>
            <w:vAlign w:val="center"/>
          </w:tcPr>
          <w:p w14:paraId="121B45B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335" w:type="dxa"/>
            <w:noWrap w:val="0"/>
            <w:vAlign w:val="center"/>
          </w:tcPr>
          <w:p w14:paraId="10A2E4D7">
            <w:pPr>
              <w:widowControl/>
              <w:jc w:val="left"/>
              <w:rPr>
                <w:rFonts w:hint="eastAsia" w:ascii="宋体" w:hAnsi="宋体" w:eastAsia="宋体" w:cs="宋体"/>
                <w:color w:val="auto"/>
                <w:kern w:val="0"/>
                <w:sz w:val="20"/>
                <w:szCs w:val="20"/>
                <w:highlight w:val="none"/>
              </w:rPr>
            </w:pPr>
            <w:bookmarkStart w:id="60" w:name="OLE_LINK1"/>
            <w:r>
              <w:rPr>
                <w:rFonts w:hint="eastAsia" w:ascii="宋体" w:hAnsi="宋体" w:eastAsia="宋体" w:cs="宋体"/>
                <w:color w:val="auto"/>
                <w:kern w:val="0"/>
                <w:sz w:val="20"/>
                <w:szCs w:val="20"/>
                <w:highlight w:val="none"/>
              </w:rPr>
              <w:t>参照《复印机、打印机和传真机能效限定值及能效等级》（GB21521</w:t>
            </w:r>
            <w:r>
              <w:rPr>
                <w:rFonts w:hint="eastAsia" w:ascii="宋体" w:hAnsi="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中打印速度为15页/分的针式打印机相关要求</w:t>
            </w:r>
            <w:bookmarkEnd w:id="60"/>
          </w:p>
        </w:tc>
      </w:tr>
      <w:tr w14:paraId="57DE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4BCDE14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916" w:type="dxa"/>
            <w:noWrap w:val="0"/>
            <w:vAlign w:val="center"/>
          </w:tcPr>
          <w:p w14:paraId="6118656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516" w:type="dxa"/>
            <w:noWrap w:val="0"/>
            <w:vAlign w:val="center"/>
          </w:tcPr>
          <w:p w14:paraId="580E92D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0C5BA78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22A743E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14:paraId="2246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08D2042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916" w:type="dxa"/>
            <w:noWrap w:val="0"/>
            <w:vAlign w:val="center"/>
          </w:tcPr>
          <w:p w14:paraId="593DD67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516" w:type="dxa"/>
            <w:noWrap w:val="0"/>
            <w:vAlign w:val="center"/>
          </w:tcPr>
          <w:p w14:paraId="3343100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3B93F1E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32BAD8D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7215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134DAB9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916" w:type="dxa"/>
            <w:noWrap w:val="0"/>
            <w:vAlign w:val="center"/>
          </w:tcPr>
          <w:p w14:paraId="7B8AEEB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516" w:type="dxa"/>
            <w:noWrap w:val="0"/>
            <w:vAlign w:val="center"/>
          </w:tcPr>
          <w:p w14:paraId="596FDDA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12" w:type="dxa"/>
            <w:noWrap w:val="0"/>
            <w:vAlign w:val="center"/>
          </w:tcPr>
          <w:p w14:paraId="5AD2279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27476B4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14:paraId="5EE1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restart"/>
            <w:noWrap w:val="0"/>
            <w:vAlign w:val="center"/>
          </w:tcPr>
          <w:p w14:paraId="23F6F4C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916" w:type="dxa"/>
            <w:vMerge w:val="restart"/>
            <w:noWrap w:val="0"/>
            <w:vAlign w:val="center"/>
          </w:tcPr>
          <w:p w14:paraId="031BDB8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516" w:type="dxa"/>
            <w:vMerge w:val="restart"/>
            <w:noWrap w:val="0"/>
            <w:vAlign w:val="center"/>
          </w:tcPr>
          <w:p w14:paraId="2DC3D3F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12" w:type="dxa"/>
            <w:noWrap w:val="0"/>
            <w:vAlign w:val="center"/>
          </w:tcPr>
          <w:p w14:paraId="3FE195B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335" w:type="dxa"/>
            <w:noWrap w:val="0"/>
            <w:vAlign w:val="center"/>
          </w:tcPr>
          <w:p w14:paraId="6B539AA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14:paraId="3EEF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1EAD1031">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713C2806">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2945BAA0">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6E310AB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335" w:type="dxa"/>
            <w:noWrap w:val="0"/>
            <w:vAlign w:val="center"/>
          </w:tcPr>
          <w:p w14:paraId="09DDE02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14:paraId="5093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293C5E33">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2F9C65A5">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18ACC60A">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67547AC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335" w:type="dxa"/>
            <w:noWrap w:val="0"/>
            <w:vAlign w:val="center"/>
          </w:tcPr>
          <w:p w14:paraId="776C478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14:paraId="0AB5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69EA7291">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1B19934B">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14:paraId="0D6CCB4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12" w:type="dxa"/>
            <w:noWrap w:val="0"/>
            <w:vAlign w:val="center"/>
          </w:tcPr>
          <w:p w14:paraId="1692319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335" w:type="dxa"/>
            <w:noWrap w:val="0"/>
            <w:vAlign w:val="center"/>
          </w:tcPr>
          <w:p w14:paraId="6AE331A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2591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33117893">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2E2E74D5">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51A2CD86">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39B688C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335" w:type="dxa"/>
            <w:noWrap w:val="0"/>
            <w:vAlign w:val="center"/>
          </w:tcPr>
          <w:p w14:paraId="45E706F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14:paraId="6A0B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244EB329">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0992443B">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525EB8D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12" w:type="dxa"/>
            <w:noWrap w:val="0"/>
            <w:vAlign w:val="center"/>
          </w:tcPr>
          <w:p w14:paraId="76D1783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335" w:type="dxa"/>
            <w:noWrap w:val="0"/>
            <w:vAlign w:val="center"/>
          </w:tcPr>
          <w:p w14:paraId="7629F11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14:paraId="4B18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11628B74">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6E53E91E">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5854314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12" w:type="dxa"/>
            <w:noWrap w:val="0"/>
            <w:vAlign w:val="center"/>
          </w:tcPr>
          <w:p w14:paraId="3348E83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335" w:type="dxa"/>
            <w:noWrap w:val="0"/>
            <w:vAlign w:val="center"/>
          </w:tcPr>
          <w:p w14:paraId="0A4DF5E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14:paraId="011F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6935ED1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916" w:type="dxa"/>
            <w:noWrap w:val="0"/>
            <w:vAlign w:val="center"/>
          </w:tcPr>
          <w:p w14:paraId="28FCC77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516" w:type="dxa"/>
            <w:noWrap w:val="0"/>
            <w:vAlign w:val="center"/>
          </w:tcPr>
          <w:p w14:paraId="46CB921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2CEB0BD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3F8B6A6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14:paraId="6CD9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43CD627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916" w:type="dxa"/>
            <w:noWrap w:val="0"/>
            <w:vAlign w:val="center"/>
          </w:tcPr>
          <w:p w14:paraId="34F6D11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516" w:type="dxa"/>
            <w:noWrap w:val="0"/>
            <w:vAlign w:val="center"/>
          </w:tcPr>
          <w:p w14:paraId="7D8CB3F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12" w:type="dxa"/>
            <w:noWrap w:val="0"/>
            <w:vAlign w:val="center"/>
          </w:tcPr>
          <w:p w14:paraId="388632B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7BBD461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14:paraId="66B9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554E94A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916" w:type="dxa"/>
            <w:noWrap w:val="0"/>
            <w:vAlign w:val="center"/>
          </w:tcPr>
          <w:p w14:paraId="0792AD2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516" w:type="dxa"/>
            <w:noWrap w:val="0"/>
            <w:vAlign w:val="center"/>
          </w:tcPr>
          <w:p w14:paraId="5C43208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12" w:type="dxa"/>
            <w:noWrap w:val="0"/>
            <w:vAlign w:val="center"/>
          </w:tcPr>
          <w:p w14:paraId="5338E64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49203A2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14:paraId="6AB2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76BF31A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916" w:type="dxa"/>
            <w:vMerge w:val="restart"/>
            <w:noWrap w:val="0"/>
            <w:vAlign w:val="center"/>
          </w:tcPr>
          <w:p w14:paraId="77EDBD2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516" w:type="dxa"/>
            <w:noWrap w:val="0"/>
            <w:vAlign w:val="center"/>
          </w:tcPr>
          <w:p w14:paraId="09AF613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12" w:type="dxa"/>
            <w:noWrap w:val="0"/>
            <w:vAlign w:val="center"/>
          </w:tcPr>
          <w:p w14:paraId="59AD8AD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0BC4EA6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14:paraId="57C0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vMerge w:val="continue"/>
            <w:noWrap w:val="0"/>
            <w:vAlign w:val="center"/>
          </w:tcPr>
          <w:p w14:paraId="191282B2">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7DE7D5CE">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14:paraId="400F0A7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12" w:type="dxa"/>
            <w:noWrap w:val="0"/>
            <w:vAlign w:val="center"/>
          </w:tcPr>
          <w:p w14:paraId="11EC47A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335" w:type="dxa"/>
            <w:noWrap w:val="0"/>
            <w:vAlign w:val="center"/>
          </w:tcPr>
          <w:p w14:paraId="2F1339D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0774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2976841C">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3826E1C3">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2E179FA0">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25E07A4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335" w:type="dxa"/>
            <w:noWrap w:val="0"/>
            <w:vAlign w:val="center"/>
          </w:tcPr>
          <w:p w14:paraId="3F66D8E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4BA6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267D5BAA">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5850F581">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40FA927E">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7D327DC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335" w:type="dxa"/>
            <w:noWrap w:val="0"/>
            <w:vAlign w:val="center"/>
          </w:tcPr>
          <w:p w14:paraId="192E8C0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14:paraId="1484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13E637AF">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7D93F4E2">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6D49488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12" w:type="dxa"/>
            <w:noWrap w:val="0"/>
            <w:vAlign w:val="center"/>
          </w:tcPr>
          <w:p w14:paraId="5D8093F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7D676AD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14:paraId="1C48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107B064A">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4C1326BF">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14:paraId="4298235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12" w:type="dxa"/>
            <w:noWrap w:val="0"/>
            <w:vAlign w:val="center"/>
          </w:tcPr>
          <w:p w14:paraId="2D06AEC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335" w:type="dxa"/>
            <w:noWrap w:val="0"/>
            <w:vAlign w:val="center"/>
          </w:tcPr>
          <w:p w14:paraId="4BF8ECE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14:paraId="1A0A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58A0AA19">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49B6F189">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38CF4EC4">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37510D6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335" w:type="dxa"/>
            <w:noWrap w:val="0"/>
            <w:vAlign w:val="center"/>
          </w:tcPr>
          <w:p w14:paraId="019AC73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14:paraId="31C9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4209DD6F">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77C48F5A">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6B2E4BC5">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18013E1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335" w:type="dxa"/>
            <w:noWrap w:val="0"/>
            <w:vAlign w:val="center"/>
          </w:tcPr>
          <w:p w14:paraId="1C3918B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14:paraId="0A50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20EBB208">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0B5FFC4F">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1DD0FA2A">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205076F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335" w:type="dxa"/>
            <w:noWrap w:val="0"/>
            <w:vAlign w:val="center"/>
          </w:tcPr>
          <w:p w14:paraId="690AED5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14:paraId="669C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20EC583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916" w:type="dxa"/>
            <w:vMerge w:val="restart"/>
            <w:noWrap w:val="0"/>
            <w:vAlign w:val="center"/>
          </w:tcPr>
          <w:p w14:paraId="0938BD8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516" w:type="dxa"/>
            <w:noWrap w:val="0"/>
            <w:vAlign w:val="center"/>
          </w:tcPr>
          <w:p w14:paraId="3D3C451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12" w:type="dxa"/>
            <w:noWrap w:val="0"/>
            <w:vAlign w:val="center"/>
          </w:tcPr>
          <w:p w14:paraId="7C531AC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3E57D2E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14:paraId="0FF7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21374D34">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079EE6BC">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1092F0F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12" w:type="dxa"/>
            <w:noWrap w:val="0"/>
            <w:vAlign w:val="center"/>
          </w:tcPr>
          <w:p w14:paraId="6D59FEF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59C1018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14:paraId="7BEB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5AC7F28F">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1D1A8203">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53F4DE9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12" w:type="dxa"/>
            <w:noWrap w:val="0"/>
            <w:vAlign w:val="center"/>
          </w:tcPr>
          <w:p w14:paraId="2BBD230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3997466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7D93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1428DEA5">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1A5FF6AA">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0ABC831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12" w:type="dxa"/>
            <w:noWrap w:val="0"/>
            <w:vAlign w:val="center"/>
          </w:tcPr>
          <w:p w14:paraId="556D20C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519BC10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50EF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noWrap w:val="0"/>
            <w:vAlign w:val="center"/>
          </w:tcPr>
          <w:p w14:paraId="4516955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916" w:type="dxa"/>
            <w:noWrap w:val="0"/>
            <w:vAlign w:val="center"/>
          </w:tcPr>
          <w:p w14:paraId="40C66DD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516" w:type="dxa"/>
            <w:noWrap w:val="0"/>
            <w:vAlign w:val="center"/>
          </w:tcPr>
          <w:p w14:paraId="5CE4EBC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12" w:type="dxa"/>
            <w:noWrap w:val="0"/>
            <w:vAlign w:val="center"/>
          </w:tcPr>
          <w:p w14:paraId="614D629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0F0A74B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14:paraId="64D8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noWrap w:val="0"/>
            <w:vAlign w:val="center"/>
          </w:tcPr>
          <w:p w14:paraId="76EF4E8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916" w:type="dxa"/>
            <w:noWrap w:val="0"/>
            <w:vAlign w:val="center"/>
          </w:tcPr>
          <w:p w14:paraId="0B10BC9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516" w:type="dxa"/>
            <w:noWrap w:val="0"/>
            <w:vAlign w:val="center"/>
          </w:tcPr>
          <w:p w14:paraId="0C79023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12" w:type="dxa"/>
            <w:noWrap w:val="0"/>
            <w:vAlign w:val="center"/>
          </w:tcPr>
          <w:p w14:paraId="1FAD419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335" w:type="dxa"/>
            <w:noWrap w:val="0"/>
            <w:vAlign w:val="center"/>
          </w:tcPr>
          <w:p w14:paraId="21768A9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02F5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507EEE2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916" w:type="dxa"/>
            <w:noWrap w:val="0"/>
            <w:vAlign w:val="center"/>
          </w:tcPr>
          <w:p w14:paraId="53F36CC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516" w:type="dxa"/>
            <w:noWrap w:val="0"/>
            <w:vAlign w:val="center"/>
          </w:tcPr>
          <w:p w14:paraId="77BA922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12" w:type="dxa"/>
            <w:noWrap w:val="0"/>
            <w:vAlign w:val="center"/>
          </w:tcPr>
          <w:p w14:paraId="2C9C679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2C2AD07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14:paraId="41AD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1" w:type="dxa"/>
            <w:vMerge w:val="restart"/>
            <w:noWrap w:val="0"/>
            <w:vAlign w:val="center"/>
          </w:tcPr>
          <w:p w14:paraId="3803AC1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916" w:type="dxa"/>
            <w:vMerge w:val="restart"/>
            <w:noWrap w:val="0"/>
            <w:vAlign w:val="center"/>
          </w:tcPr>
          <w:p w14:paraId="74C6F1E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516" w:type="dxa"/>
            <w:noWrap w:val="0"/>
            <w:vAlign w:val="center"/>
          </w:tcPr>
          <w:p w14:paraId="628C54F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12" w:type="dxa"/>
            <w:noWrap w:val="0"/>
            <w:vAlign w:val="center"/>
          </w:tcPr>
          <w:p w14:paraId="0C63DA3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54F43C4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14:paraId="7EE1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472B7BB1">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5708943A">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4D8DBC7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12" w:type="dxa"/>
            <w:noWrap w:val="0"/>
            <w:vAlign w:val="center"/>
          </w:tcPr>
          <w:p w14:paraId="122ECC2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337EFDB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14:paraId="3D8F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07ED6650">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56D0C75D">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4ABFC83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12" w:type="dxa"/>
            <w:noWrap w:val="0"/>
            <w:vAlign w:val="center"/>
          </w:tcPr>
          <w:p w14:paraId="57565CC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78C72A2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14:paraId="5972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02D4D1E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916" w:type="dxa"/>
            <w:noWrap w:val="0"/>
            <w:vAlign w:val="center"/>
          </w:tcPr>
          <w:p w14:paraId="7843AC6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516" w:type="dxa"/>
            <w:noWrap w:val="0"/>
            <w:vAlign w:val="center"/>
          </w:tcPr>
          <w:p w14:paraId="32DE398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6EEEDFE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688F9FA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14:paraId="39D7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146B299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916" w:type="dxa"/>
            <w:noWrap w:val="0"/>
            <w:vAlign w:val="center"/>
          </w:tcPr>
          <w:p w14:paraId="64B0A8C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516" w:type="dxa"/>
            <w:noWrap w:val="0"/>
            <w:vAlign w:val="center"/>
          </w:tcPr>
          <w:p w14:paraId="4911F05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3A380B8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69B5604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14:paraId="5849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3ADC6EB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916" w:type="dxa"/>
            <w:noWrap w:val="0"/>
            <w:vAlign w:val="center"/>
          </w:tcPr>
          <w:p w14:paraId="4BD5EB2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516" w:type="dxa"/>
            <w:noWrap w:val="0"/>
            <w:vAlign w:val="center"/>
          </w:tcPr>
          <w:p w14:paraId="599DE59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405F5B4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790D960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14:paraId="05E29E96">
      <w:pPr>
        <w:spacing w:after="120" w:line="360" w:lineRule="auto"/>
        <w:rPr>
          <w:rFonts w:hint="eastAsia" w:ascii="宋体" w:hAnsi="宋体" w:eastAsia="宋体" w:cs="宋体"/>
          <w:color w:val="auto"/>
          <w:spacing w:val="-3"/>
          <w:szCs w:val="21"/>
          <w:highlight w:val="none"/>
        </w:rPr>
      </w:pPr>
    </w:p>
    <w:p w14:paraId="47D8F27C">
      <w:pPr>
        <w:spacing w:after="120" w:line="36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4826D5BF">
      <w:pPr>
        <w:spacing w:after="120"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    2</w:t>
      </w:r>
      <w:r>
        <w:rPr>
          <w:rFonts w:hint="eastAsia" w:ascii="宋体" w:hAnsi="宋体" w:eastAsia="宋体" w:cs="宋体"/>
          <w:b/>
          <w:bCs/>
          <w:color w:val="auto"/>
          <w:szCs w:val="21"/>
          <w:highlight w:val="none"/>
        </w:rPr>
        <w:t>.以“★”标注的为政府强制采购产品。</w:t>
      </w:r>
    </w:p>
    <w:p w14:paraId="14FF02F9">
      <w:pPr>
        <w:spacing w:line="428" w:lineRule="exact"/>
        <w:ind w:left="119"/>
        <w:rPr>
          <w:rFonts w:hint="eastAsia" w:ascii="宋体" w:hAnsi="宋体" w:cs="宋体"/>
          <w:color w:val="auto"/>
          <w:highlight w:val="none"/>
        </w:rPr>
      </w:pPr>
    </w:p>
    <w:p w14:paraId="24EC0B55">
      <w:pPr>
        <w:spacing w:line="240" w:lineRule="auto"/>
        <w:ind w:left="0"/>
        <w:rPr>
          <w:rFonts w:hint="eastAsia" w:ascii="宋体" w:hAnsi="宋体" w:cs="宋体"/>
          <w:color w:val="auto"/>
          <w:highlight w:val="none"/>
        </w:rPr>
      </w:pPr>
      <w:r>
        <w:rPr>
          <w:rFonts w:hint="eastAsia" w:ascii="宋体" w:hAnsi="宋体" w:cs="宋体"/>
          <w:color w:val="auto"/>
          <w:highlight w:val="none"/>
        </w:rPr>
        <w:br w:type="page"/>
      </w:r>
    </w:p>
    <w:p w14:paraId="0AF72C04">
      <w:pPr>
        <w:spacing w:line="428" w:lineRule="exact"/>
        <w:ind w:left="119"/>
        <w:rPr>
          <w:rFonts w:hint="eastAsia" w:ascii="宋体" w:hAnsi="宋体" w:cs="宋体"/>
          <w:color w:val="auto"/>
          <w:highlight w:val="none"/>
        </w:rPr>
      </w:pPr>
      <w:r>
        <w:rPr>
          <w:rFonts w:hint="eastAsia" w:ascii="宋体" w:hAnsi="宋体" w:cs="宋体"/>
          <w:b/>
          <w:bCs/>
          <w:color w:val="auto"/>
          <w:kern w:val="0"/>
          <w:sz w:val="30"/>
          <w:szCs w:val="30"/>
          <w:highlight w:val="none"/>
          <w:lang w:val="en-US" w:eastAsia="zh-CN"/>
        </w:rPr>
        <w:t>附件2</w:t>
      </w:r>
    </w:p>
    <w:p w14:paraId="71ABA8D0">
      <w:pPr>
        <w:pStyle w:val="12"/>
        <w:jc w:val="left"/>
        <w:rPr>
          <w:rFonts w:hint="eastAsia" w:ascii="宋体" w:hAnsi="宋体" w:eastAsia="宋体" w:cs="宋体"/>
          <w:color w:val="auto"/>
          <w:sz w:val="32"/>
          <w:szCs w:val="32"/>
          <w:highlight w:val="none"/>
        </w:rPr>
      </w:pPr>
    </w:p>
    <w:p w14:paraId="5F93B061">
      <w:pPr>
        <w:widowControl/>
        <w:spacing w:before="156" w:beforeLines="50" w:after="156" w:afterLines="50" w:line="280" w:lineRule="exact"/>
        <w:jc w:val="center"/>
        <w:rPr>
          <w:rFonts w:ascii="宋体" w:hAnsi="宋体" w:cs="宋体"/>
          <w:b/>
          <w:bCs/>
          <w:color w:val="auto"/>
          <w:kern w:val="0"/>
          <w:sz w:val="30"/>
          <w:szCs w:val="30"/>
          <w:highlight w:val="none"/>
        </w:rPr>
      </w:pPr>
      <w:bookmarkStart w:id="61" w:name="_Toc28361_WPSOffice_Level2"/>
      <w:r>
        <w:rPr>
          <w:rFonts w:hint="eastAsia" w:ascii="宋体" w:hAnsi="宋体" w:cs="宋体"/>
          <w:b/>
          <w:bCs/>
          <w:color w:val="auto"/>
          <w:kern w:val="0"/>
          <w:sz w:val="30"/>
          <w:szCs w:val="30"/>
          <w:highlight w:val="none"/>
        </w:rPr>
        <w:t>统计上大中小微型企业划分标准</w:t>
      </w:r>
      <w:bookmarkEnd w:id="61"/>
    </w:p>
    <w:tbl>
      <w:tblPr>
        <w:tblStyle w:val="2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7EE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0E1300FC">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noWrap w:val="0"/>
            <w:vAlign w:val="center"/>
          </w:tcPr>
          <w:p w14:paraId="6C51DD76">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noWrap w:val="0"/>
            <w:vAlign w:val="center"/>
          </w:tcPr>
          <w:p w14:paraId="6AFBD41C">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14:paraId="05DA0201">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noWrap w:val="0"/>
            <w:vAlign w:val="center"/>
          </w:tcPr>
          <w:p w14:paraId="48B13805">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noWrap w:val="0"/>
            <w:vAlign w:val="center"/>
          </w:tcPr>
          <w:p w14:paraId="40D24AAA">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noWrap w:val="0"/>
            <w:vAlign w:val="center"/>
          </w:tcPr>
          <w:p w14:paraId="34AEB505">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noWrap w:val="0"/>
            <w:vAlign w:val="center"/>
          </w:tcPr>
          <w:p w14:paraId="20BCCF06">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31F5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0C1FA029">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14:paraId="0BEEEB8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E7DFE2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137369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0E4486C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6ADDC9B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0"/>
            <w:vAlign w:val="center"/>
          </w:tcPr>
          <w:p w14:paraId="64C926F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864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38B0236">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noWrap w:val="0"/>
            <w:vAlign w:val="center"/>
          </w:tcPr>
          <w:p w14:paraId="59DB4B2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FD99EC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2AC48C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50C00E5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731C98C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2BEE031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E1D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1AF25D9">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06DDD64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D7BCEE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09689E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10D478A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0"/>
            <w:vAlign w:val="center"/>
          </w:tcPr>
          <w:p w14:paraId="1648BBC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0"/>
            <w:vAlign w:val="center"/>
          </w:tcPr>
          <w:p w14:paraId="4251D89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981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767BAE9">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14:paraId="51BC4C0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48C372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822335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14:paraId="5DF7885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0"/>
            <w:vAlign w:val="center"/>
          </w:tcPr>
          <w:p w14:paraId="5590758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0"/>
            <w:vAlign w:val="center"/>
          </w:tcPr>
          <w:p w14:paraId="1FE3052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4D9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8DAD914">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8711C5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54E9D90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7EEC30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14:paraId="0ADCF89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0"/>
            <w:vAlign w:val="center"/>
          </w:tcPr>
          <w:p w14:paraId="5ACE9F3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0"/>
            <w:vAlign w:val="center"/>
          </w:tcPr>
          <w:p w14:paraId="55C6D41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4CEE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7E96DB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14:paraId="05FAC04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BA7A92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15A7B1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5A594A9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0"/>
            <w:vAlign w:val="center"/>
          </w:tcPr>
          <w:p w14:paraId="5D7D889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0"/>
            <w:vAlign w:val="center"/>
          </w:tcPr>
          <w:p w14:paraId="4FEBF08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1F13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9996085">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B769D9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3D1645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F7F94E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4277158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0"/>
            <w:vAlign w:val="center"/>
          </w:tcPr>
          <w:p w14:paraId="5067FC2B">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0"/>
            <w:vAlign w:val="center"/>
          </w:tcPr>
          <w:p w14:paraId="4615D57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04B5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582E621">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14:paraId="4350FF5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9B52E1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BC78F5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E9BBBD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0"/>
            <w:vAlign w:val="center"/>
          </w:tcPr>
          <w:p w14:paraId="68BBD029">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0"/>
            <w:vAlign w:val="center"/>
          </w:tcPr>
          <w:p w14:paraId="3C032B4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AD4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D30C726">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38771D6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A50E1A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5AED99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144E54B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3B9069C4">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0"/>
            <w:vAlign w:val="center"/>
          </w:tcPr>
          <w:p w14:paraId="44A502C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5BD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F13BB93">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noWrap w:val="0"/>
            <w:vAlign w:val="center"/>
          </w:tcPr>
          <w:p w14:paraId="01460A4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FECDB1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E9A413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7F611DA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01C85BE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2C826AF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423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AE98D5C">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4509349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D4C3BB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F159DD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2F6359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0"/>
            <w:vAlign w:val="center"/>
          </w:tcPr>
          <w:p w14:paraId="06FD191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0"/>
            <w:vAlign w:val="center"/>
          </w:tcPr>
          <w:p w14:paraId="1E2ECEE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894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D2759BD">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14:paraId="54F2825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3859F7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AE4C66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66A10A3F">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0"/>
            <w:vAlign w:val="center"/>
          </w:tcPr>
          <w:p w14:paraId="6F44609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0"/>
            <w:vAlign w:val="center"/>
          </w:tcPr>
          <w:p w14:paraId="163868E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1D1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C067E16">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1503C95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9ABCA1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529825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63C95E5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0"/>
            <w:vAlign w:val="center"/>
          </w:tcPr>
          <w:p w14:paraId="0FD38AC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6EDC8E0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F10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FE29DFA">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14:paraId="5638A79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D8F396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2FAD8A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009EE26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5505C18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57F1E37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700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F8C979E">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80BB49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4CE9A2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99DE32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7BD997F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0"/>
            <w:vAlign w:val="center"/>
          </w:tcPr>
          <w:p w14:paraId="7276844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32DFA63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A95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C57B22A">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14:paraId="1B804B8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45393A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DBC8C0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E3639D5">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1C45ED4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71501BA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F96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E4A363E">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397C0DE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6792465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B9F66F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112DC0E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21E3B78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512FCD9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827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518015A">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14:paraId="1C28655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30DAB5F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CD80E6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047EAA80">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0D5AC8D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7B2EA9A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EB7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D031F9B">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E2D2CB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7C1F17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534F31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74391D5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7A9E741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7C2D15E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3F6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C9A3410">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noWrap w:val="0"/>
            <w:vAlign w:val="center"/>
          </w:tcPr>
          <w:p w14:paraId="0E1D557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C16317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A39450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14:paraId="6298315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0"/>
            <w:vAlign w:val="center"/>
          </w:tcPr>
          <w:p w14:paraId="0129CFC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6B05C85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6FA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CCBD9E6">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49777E1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6E7492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20A443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14:paraId="6F8A3AD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0"/>
            <w:vAlign w:val="center"/>
          </w:tcPr>
          <w:p w14:paraId="23B8445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23F164B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5D1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3E7AD0C">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14:paraId="311A824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A4B887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9E2783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46D7306">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1C4BBC6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52B41EB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4BA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601A77E">
            <w:pPr>
              <w:widowControl/>
              <w:spacing w:line="280" w:lineRule="exact"/>
              <w:jc w:val="left"/>
              <w:rPr>
                <w:rFonts w:ascii="宋体" w:hAnsi="宋体" w:cs="宋体"/>
                <w:color w:val="auto"/>
                <w:spacing w:val="-12"/>
                <w:kern w:val="0"/>
                <w:sz w:val="18"/>
                <w:szCs w:val="18"/>
                <w:highlight w:val="none"/>
              </w:rPr>
            </w:pPr>
          </w:p>
        </w:tc>
        <w:tc>
          <w:tcPr>
            <w:tcW w:w="1369" w:type="dxa"/>
            <w:noWrap w:val="0"/>
            <w:vAlign w:val="center"/>
          </w:tcPr>
          <w:p w14:paraId="4A9861F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804D7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B41E98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681E801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0"/>
            <w:vAlign w:val="center"/>
          </w:tcPr>
          <w:p w14:paraId="61694F7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0"/>
            <w:vAlign w:val="center"/>
          </w:tcPr>
          <w:p w14:paraId="4044A2E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287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408B178">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14:paraId="10F937F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29D7D7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2404FA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14:paraId="596CBC0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0"/>
            <w:vAlign w:val="center"/>
          </w:tcPr>
          <w:p w14:paraId="7462F4D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6893C8A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1FB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4019291">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C35DDE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7CDC309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51B9E7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14:paraId="5F9E5F0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0"/>
            <w:vAlign w:val="center"/>
          </w:tcPr>
          <w:p w14:paraId="47C0495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0"/>
            <w:vAlign w:val="center"/>
          </w:tcPr>
          <w:p w14:paraId="0BB98C4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66CD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0714735">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14:paraId="12C7183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3D772FD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D4786C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26CC739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372A8ED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0"/>
            <w:vAlign w:val="center"/>
          </w:tcPr>
          <w:p w14:paraId="240B19E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1C1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EFF9ED2">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3C0869E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606567E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5E9685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14:paraId="0F9C38F0">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0"/>
            <w:vAlign w:val="center"/>
          </w:tcPr>
          <w:p w14:paraId="334B9ED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0"/>
            <w:vAlign w:val="center"/>
          </w:tcPr>
          <w:p w14:paraId="640B85F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A6B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5A96C5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14:paraId="19F47A1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125801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82AC24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651EDB69">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7F3966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3D21AFB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6A7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69EB01B">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2452096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39A3A99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03E347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14:paraId="317F0EE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0"/>
            <w:vAlign w:val="center"/>
          </w:tcPr>
          <w:p w14:paraId="47E6E7A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0"/>
            <w:vAlign w:val="center"/>
          </w:tcPr>
          <w:p w14:paraId="73D6900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09D3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9FC1713">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noWrap w:val="0"/>
            <w:vAlign w:val="center"/>
          </w:tcPr>
          <w:p w14:paraId="75C78ED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3BAE2A7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377C87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D148983">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1B02FD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572277F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95F05F1">
      <w:pPr>
        <w:widowControl/>
        <w:spacing w:line="280" w:lineRule="exact"/>
        <w:rPr>
          <w:rFonts w:ascii="宋体" w:hAnsi="宋体" w:cs="宋体"/>
          <w:color w:val="auto"/>
          <w:spacing w:val="8"/>
          <w:kern w:val="0"/>
          <w:sz w:val="24"/>
          <w:highlight w:val="none"/>
        </w:rPr>
      </w:pPr>
    </w:p>
    <w:p w14:paraId="44DD35D2">
      <w:pPr>
        <w:widowControl/>
        <w:spacing w:line="360" w:lineRule="auto"/>
        <w:rPr>
          <w:rFonts w:hint="eastAsia" w:ascii="宋体" w:hAnsi="宋体" w:cs="宋体"/>
          <w:color w:val="auto"/>
          <w:spacing w:val="8"/>
          <w:kern w:val="0"/>
          <w:szCs w:val="21"/>
          <w:highlight w:val="none"/>
        </w:rPr>
      </w:pPr>
    </w:p>
    <w:p w14:paraId="2E80A661">
      <w:pPr>
        <w:widowControl/>
        <w:spacing w:line="360" w:lineRule="auto"/>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1EBF10FC">
      <w:pPr>
        <w:pStyle w:val="12"/>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1.大型、中型和小型企业须同时满足所列指标的下限，否则下划一档；微型企业只须满足所列指标中的一项即可。</w:t>
      </w:r>
    </w:p>
    <w:p w14:paraId="5A6BAA09">
      <w:pPr>
        <w:pStyle w:val="12"/>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auto"/>
          <w:spacing w:val="8"/>
          <w:kern w:val="0"/>
          <w:szCs w:val="21"/>
          <w:highlight w:val="none"/>
          <w:lang w:eastAsia="zh-CN"/>
        </w:rPr>
        <w:t>；</w:t>
      </w:r>
      <w:r>
        <w:rPr>
          <w:rFonts w:hint="eastAsia" w:hAnsi="宋体" w:cs="宋体"/>
          <w:color w:val="auto"/>
          <w:spacing w:val="8"/>
          <w:kern w:val="0"/>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685BC29">
      <w:pPr>
        <w:pStyle w:val="12"/>
        <w:spacing w:line="360" w:lineRule="auto"/>
        <w:ind w:firstLine="452" w:firstLineChars="200"/>
        <w:rPr>
          <w:rFonts w:hint="eastAsia" w:hAnsi="宋体" w:cs="宋体"/>
          <w:color w:val="auto"/>
          <w:spacing w:val="8"/>
          <w:kern w:val="0"/>
          <w:szCs w:val="21"/>
          <w:highlight w:val="none"/>
        </w:rPr>
      </w:pPr>
      <w:r>
        <w:rPr>
          <w:rFonts w:hint="eastAsia" w:hAnsi="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A3E6B5F">
      <w:pPr>
        <w:rPr>
          <w:rFonts w:hint="eastAsia" w:hAnsi="宋体" w:cs="宋体"/>
          <w:color w:val="auto"/>
          <w:spacing w:val="8"/>
          <w:kern w:val="0"/>
          <w:szCs w:val="21"/>
          <w:highlight w:val="none"/>
        </w:rPr>
      </w:pPr>
      <w:r>
        <w:rPr>
          <w:rFonts w:hint="eastAsia" w:hAnsi="宋体" w:cs="宋体"/>
          <w:color w:val="auto"/>
          <w:spacing w:val="8"/>
          <w:kern w:val="0"/>
          <w:szCs w:val="21"/>
          <w:highlight w:val="none"/>
        </w:rPr>
        <w:br w:type="page"/>
      </w:r>
    </w:p>
    <w:p w14:paraId="66C5BF3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eastAsia="宋体"/>
          <w:color w:val="auto"/>
          <w:highlight w:val="none"/>
          <w:lang w:eastAsia="zh-CN"/>
        </w:rPr>
      </w:pPr>
      <w:r>
        <w:rPr>
          <w:rFonts w:hint="eastAsia" w:ascii="宋体" w:hAnsi="宋体" w:eastAsia="宋体" w:cs="宋体"/>
          <w:color w:val="auto"/>
          <w:sz w:val="32"/>
          <w:szCs w:val="32"/>
          <w:highlight w:val="none"/>
        </w:rPr>
        <w:t>附件</w:t>
      </w:r>
      <w:r>
        <w:rPr>
          <w:rFonts w:hint="eastAsia" w:cs="宋体"/>
          <w:color w:val="auto"/>
          <w:sz w:val="32"/>
          <w:szCs w:val="32"/>
          <w:highlight w:val="none"/>
          <w:lang w:val="en-US" w:eastAsia="zh-CN"/>
        </w:rPr>
        <w:t>3</w:t>
      </w:r>
    </w:p>
    <w:p w14:paraId="3D12122D">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center"/>
        <w:rPr>
          <w:rFonts w:hint="eastAsia" w:ascii="宋体" w:hAnsi="宋体" w:eastAsia="宋体" w:cs="宋体"/>
          <w:b/>
          <w:i w:val="0"/>
          <w:iCs w:val="0"/>
          <w:caps w:val="0"/>
          <w:color w:val="auto"/>
          <w:spacing w:val="0"/>
          <w:kern w:val="2"/>
          <w:sz w:val="30"/>
          <w:szCs w:val="30"/>
          <w:highlight w:val="none"/>
          <w:shd w:val="clear" w:color="auto" w:fill="auto"/>
        </w:rPr>
      </w:pPr>
    </w:p>
    <w:p w14:paraId="52AFB70B">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center"/>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b/>
          <w:i w:val="0"/>
          <w:iCs w:val="0"/>
          <w:caps w:val="0"/>
          <w:color w:val="auto"/>
          <w:spacing w:val="0"/>
          <w:kern w:val="2"/>
          <w:sz w:val="30"/>
          <w:szCs w:val="30"/>
          <w:highlight w:val="none"/>
          <w:shd w:val="clear" w:color="auto" w:fill="auto"/>
        </w:rPr>
        <w:t>中国境内生产的组件成本核算基本规则</w:t>
      </w:r>
    </w:p>
    <w:p w14:paraId="0689F7E7">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5017C3D">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一、产品的一级组件是指直接组成产品的组件。产品的二级组件是指直接组成产品一级组件的组件。一级组件不可分解的，视同二级组件。</w:t>
      </w:r>
    </w:p>
    <w:p w14:paraId="567D460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二、二级组件在中国境内生产的，其全部成本计入中国境内生产的组件成本；二级组件不在中国境内生产的，其成本不计入中国境内生产的组件成本。</w:t>
      </w:r>
    </w:p>
    <w:p w14:paraId="6B1B92E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三、产品总成本和组件成本以相关会计核算数据、采购合同、进货记录等为基础进行计算。</w:t>
      </w:r>
    </w:p>
    <w:p w14:paraId="43DFD2E7">
      <w:pPr>
        <w:pStyle w:val="7"/>
        <w:spacing w:line="360" w:lineRule="auto"/>
        <w:ind w:left="0" w:firstLine="420" w:firstLineChars="200"/>
        <w:rPr>
          <w:color w:val="auto"/>
          <w:highlight w:val="none"/>
        </w:rPr>
      </w:pPr>
      <w:r>
        <w:rPr>
          <w:rFonts w:hint="eastAsia" w:ascii="宋体" w:hAnsi="宋体" w:eastAsia="宋体" w:cs="宋体"/>
          <w:i w:val="0"/>
          <w:iCs w:val="0"/>
          <w:caps w:val="0"/>
          <w:color w:val="auto"/>
          <w:spacing w:val="0"/>
          <w:sz w:val="21"/>
          <w:szCs w:val="21"/>
          <w:highlight w:val="none"/>
          <w:shd w:val="clear" w:color="auto" w:fill="auto"/>
        </w:rPr>
        <w:t>四、需要对成本核算规则予以进一步明确的其他有关事项，由财政部会同有关部门另行规定。</w:t>
      </w:r>
      <w:r>
        <w:rPr>
          <w:rFonts w:hint="eastAsia" w:ascii="宋体" w:hAnsi="宋体" w:eastAsia="宋体" w:cs="宋体"/>
          <w:color w:val="auto"/>
          <w:sz w:val="21"/>
          <w:szCs w:val="21"/>
          <w:highlight w:val="none"/>
        </w:rPr>
        <w:br w:type="page"/>
      </w:r>
    </w:p>
    <w:p w14:paraId="2D20D870">
      <w:pPr>
        <w:spacing w:line="360" w:lineRule="auto"/>
        <w:jc w:val="center"/>
        <w:rPr>
          <w:rFonts w:hint="eastAsia" w:hAnsi="宋体" w:eastAsia="宋体" w:cs="Times New Roman"/>
          <w:b/>
          <w:color w:val="auto"/>
          <w:sz w:val="36"/>
          <w:szCs w:val="36"/>
          <w:highlight w:val="none"/>
        </w:rPr>
      </w:pPr>
      <w:bookmarkStart w:id="62" w:name="_Toc15364"/>
      <w:bookmarkStart w:id="63" w:name="_Toc26039"/>
      <w:bookmarkStart w:id="64" w:name="_Toc20085"/>
      <w:bookmarkStart w:id="65" w:name="_Toc9063"/>
      <w:bookmarkStart w:id="66" w:name="_Toc20953"/>
      <w:bookmarkStart w:id="67" w:name="_Toc8975"/>
      <w:bookmarkStart w:id="68" w:name="_Toc6362"/>
      <w:bookmarkStart w:id="69" w:name="_Toc496"/>
      <w:bookmarkStart w:id="70" w:name="_Toc29172"/>
      <w:bookmarkStart w:id="71" w:name="_Toc26044"/>
      <w:bookmarkStart w:id="72" w:name="_Toc3325"/>
      <w:bookmarkStart w:id="73" w:name="_Toc28587"/>
      <w:bookmarkStart w:id="74" w:name="_Toc24489"/>
      <w:bookmarkStart w:id="75" w:name="_Toc532545044"/>
      <w:r>
        <w:rPr>
          <w:rFonts w:hint="eastAsia" w:ascii="Times New Roman" w:hAnsi="Times New Roman" w:eastAsia="宋体" w:cs="Times New Roman"/>
          <w:b/>
          <w:color w:val="auto"/>
          <w:sz w:val="36"/>
          <w:highlight w:val="none"/>
        </w:rPr>
        <w:t>第三章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投标人须知</w:t>
      </w:r>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2EBA6010">
      <w:pPr>
        <w:pStyle w:val="12"/>
        <w:spacing w:line="360" w:lineRule="auto"/>
        <w:jc w:val="center"/>
        <w:outlineLvl w:val="1"/>
        <w:rPr>
          <w:rFonts w:hint="eastAsia" w:ascii="Times New Roman" w:hAnsi="Times New Roman" w:eastAsia="宋体" w:cs="Times New Roman"/>
          <w:b/>
          <w:color w:val="auto"/>
          <w:sz w:val="30"/>
          <w:szCs w:val="30"/>
          <w:highlight w:val="none"/>
        </w:rPr>
      </w:pPr>
      <w:bookmarkStart w:id="76" w:name="_Toc8769"/>
      <w:bookmarkStart w:id="77" w:name="_Toc10039"/>
      <w:bookmarkStart w:id="78" w:name="_Toc16388"/>
      <w:bookmarkStart w:id="79" w:name="_Toc32208"/>
      <w:bookmarkStart w:id="80" w:name="_Toc29809"/>
      <w:bookmarkStart w:id="81" w:name="_Toc4562"/>
      <w:bookmarkStart w:id="82" w:name="_Toc24714"/>
      <w:bookmarkStart w:id="83" w:name="_Toc1597"/>
      <w:bookmarkStart w:id="84" w:name="_Toc29813"/>
      <w:bookmarkStart w:id="85" w:name="_Toc11515"/>
      <w:r>
        <w:rPr>
          <w:rFonts w:hint="eastAsia" w:ascii="Times New Roman" w:hAnsi="Times New Roman" w:eastAsia="宋体" w:cs="Times New Roman"/>
          <w:b/>
          <w:color w:val="auto"/>
          <w:sz w:val="30"/>
          <w:szCs w:val="30"/>
          <w:highlight w:val="none"/>
        </w:rPr>
        <w:t>第一节</w:t>
      </w:r>
      <w:r>
        <w:rPr>
          <w:rFonts w:ascii="Times New Roman" w:hAnsi="Times New Roman" w:eastAsia="宋体" w:cs="Times New Roman"/>
          <w:b/>
          <w:color w:val="auto"/>
          <w:sz w:val="30"/>
          <w:szCs w:val="30"/>
          <w:highlight w:val="none"/>
        </w:rPr>
        <w:t xml:space="preserve"> </w:t>
      </w:r>
      <w:r>
        <w:rPr>
          <w:rFonts w:hint="eastAsia" w:ascii="Times New Roman" w:hAnsi="Times New Roman" w:eastAsia="宋体" w:cs="Times New Roman"/>
          <w:b/>
          <w:color w:val="auto"/>
          <w:sz w:val="30"/>
          <w:szCs w:val="30"/>
          <w:highlight w:val="none"/>
        </w:rPr>
        <w:t>投标人须知前附表</w:t>
      </w:r>
      <w:bookmarkEnd w:id="76"/>
      <w:bookmarkEnd w:id="77"/>
      <w:bookmarkEnd w:id="78"/>
      <w:bookmarkEnd w:id="79"/>
      <w:bookmarkEnd w:id="80"/>
      <w:bookmarkEnd w:id="81"/>
      <w:bookmarkEnd w:id="82"/>
      <w:bookmarkEnd w:id="83"/>
      <w:bookmarkEnd w:id="84"/>
      <w:bookmarkEnd w:id="85"/>
    </w:p>
    <w:tbl>
      <w:tblPr>
        <w:tblStyle w:val="20"/>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
        <w:gridCol w:w="1742"/>
        <w:gridCol w:w="7609"/>
      </w:tblGrid>
      <w:tr w14:paraId="7A5388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5334561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08CCEF2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6B16BAE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42B1A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23E8E05D">
            <w:pPr>
              <w:snapToGrid w:val="0"/>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Cs w:val="21"/>
                <w:highlight w:val="none"/>
                <w:lang w:val="en-US" w:eastAsia="zh-CN"/>
              </w:rPr>
              <w:t>2.7</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0ABFD4C4">
            <w:pPr>
              <w:snapToGrid w:val="0"/>
              <w:spacing w:line="360" w:lineRule="auto"/>
              <w:jc w:val="both"/>
              <w:rPr>
                <w:rFonts w:hint="eastAsia" w:ascii="宋体" w:hAnsi="宋体" w:cs="宋体"/>
                <w:color w:val="auto"/>
                <w:szCs w:val="21"/>
                <w:highlight w:val="none"/>
              </w:rPr>
            </w:pPr>
            <w:r>
              <w:rPr>
                <w:rFonts w:hint="eastAsia" w:ascii="宋体" w:hAnsi="宋体" w:cs="宋体"/>
                <w:b w:val="0"/>
                <w:color w:val="auto"/>
                <w:sz w:val="21"/>
                <w:szCs w:val="21"/>
                <w:highlight w:val="none"/>
              </w:rPr>
              <w:t>实质性要求</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6A877667">
            <w:pPr>
              <w:snapToGrid w:val="0"/>
              <w:spacing w:line="360" w:lineRule="auto"/>
              <w:jc w:val="left"/>
              <w:rPr>
                <w:rFonts w:hint="eastAsia" w:ascii="宋体" w:hAnsi="宋体" w:cs="宋体"/>
                <w:color w:val="auto"/>
                <w:szCs w:val="21"/>
                <w:highlight w:val="none"/>
              </w:rPr>
            </w:pPr>
            <w:r>
              <w:rPr>
                <w:rFonts w:hint="eastAsia" w:ascii="宋体" w:hAnsi="宋体" w:cs="宋体"/>
                <w:b w:val="0"/>
                <w:color w:val="auto"/>
                <w:sz w:val="21"/>
                <w:szCs w:val="21"/>
                <w:highlight w:val="none"/>
              </w:rPr>
              <w:t>指招标文件中已经指明</w:t>
            </w:r>
            <w:r>
              <w:rPr>
                <w:rFonts w:hint="eastAsia" w:ascii="宋体" w:hAnsi="宋体" w:cs="宋体"/>
                <w:b w:val="0"/>
                <w:color w:val="auto"/>
                <w:sz w:val="21"/>
                <w:szCs w:val="21"/>
                <w:highlight w:val="none"/>
                <w:lang w:val="en-US" w:eastAsia="zh-CN"/>
              </w:rPr>
              <w:t>不提供或</w:t>
            </w:r>
            <w:r>
              <w:rPr>
                <w:rFonts w:hint="eastAsia" w:ascii="宋体" w:hAnsi="宋体" w:cs="宋体"/>
                <w:b w:val="0"/>
                <w:color w:val="auto"/>
                <w:sz w:val="21"/>
                <w:szCs w:val="21"/>
                <w:highlight w:val="none"/>
              </w:rPr>
              <w:t>不满足则投标无效的条款</w:t>
            </w:r>
            <w:r>
              <w:rPr>
                <w:rFonts w:hint="eastAsia" w:ascii="宋体" w:hAnsi="宋体" w:cs="宋体"/>
                <w:b w:val="0"/>
                <w:color w:val="auto"/>
                <w:sz w:val="21"/>
                <w:szCs w:val="21"/>
                <w:highlight w:val="none"/>
                <w:lang w:eastAsia="zh-CN"/>
              </w:rPr>
              <w:t>，</w:t>
            </w:r>
            <w:r>
              <w:rPr>
                <w:rFonts w:hint="eastAsia" w:ascii="宋体" w:hAnsi="宋体" w:cs="宋体"/>
                <w:b w:val="0"/>
                <w:color w:val="auto"/>
                <w:sz w:val="21"/>
                <w:szCs w:val="21"/>
                <w:highlight w:val="none"/>
              </w:rPr>
              <w:t>或者</w:t>
            </w:r>
            <w:r>
              <w:rPr>
                <w:rFonts w:hint="eastAsia" w:ascii="宋体" w:hAnsi="宋体" w:cs="宋体"/>
                <w:b w:val="0"/>
                <w:color w:val="auto"/>
                <w:sz w:val="21"/>
                <w:szCs w:val="21"/>
                <w:highlight w:val="none"/>
                <w:lang w:eastAsia="zh-CN"/>
              </w:rPr>
              <w:t>第二章“采购需求”及第六章“投标文件格式”</w:t>
            </w:r>
            <w:r>
              <w:rPr>
                <w:rFonts w:hint="eastAsia" w:ascii="宋体" w:hAnsi="宋体" w:cs="宋体"/>
                <w:b w:val="0"/>
                <w:color w:val="auto"/>
                <w:sz w:val="21"/>
                <w:szCs w:val="21"/>
                <w:highlight w:val="none"/>
              </w:rPr>
              <w:t>中带“▲”的条款。</w:t>
            </w:r>
          </w:p>
        </w:tc>
      </w:tr>
      <w:tr w14:paraId="075B37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55325770">
            <w:pPr>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FBF79B9">
            <w:pPr>
              <w:spacing w:line="38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投标人的资格要求</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0EB6B8E5">
            <w:pPr>
              <w:pStyle w:val="8"/>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详见招标公告。</w:t>
            </w:r>
          </w:p>
        </w:tc>
      </w:tr>
      <w:tr w14:paraId="6C4FE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2C73DE7E">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6B644BB">
            <w:pPr>
              <w:spacing w:line="380" w:lineRule="exact"/>
              <w:rPr>
                <w:rFonts w:hint="eastAsia" w:ascii="宋体" w:hAnsi="宋体" w:eastAsia="宋体" w:cs="宋体"/>
                <w:color w:val="auto"/>
                <w:sz w:val="21"/>
                <w:szCs w:val="21"/>
                <w:highlight w:val="none"/>
              </w:rPr>
            </w:pPr>
            <w:bookmarkStart w:id="86" w:name="_5"/>
            <w:bookmarkEnd w:id="86"/>
            <w:bookmarkStart w:id="87" w:name="_8.1"/>
            <w:bookmarkEnd w:id="87"/>
            <w:bookmarkStart w:id="88" w:name="_9.2"/>
            <w:bookmarkEnd w:id="88"/>
            <w:r>
              <w:rPr>
                <w:rFonts w:hint="eastAsia" w:ascii="宋体" w:hAnsi="宋体" w:eastAsia="宋体" w:cs="宋体"/>
                <w:color w:val="auto"/>
                <w:sz w:val="21"/>
                <w:szCs w:val="21"/>
                <w:highlight w:val="none"/>
              </w:rPr>
              <w:t>是否接受联合体投标</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7BA97FD4">
            <w:pPr>
              <w:pStyle w:val="8"/>
              <w:spacing w:line="380" w:lineRule="exact"/>
              <w:rPr>
                <w:rFonts w:hint="eastAsia" w:ascii="宋体" w:hAnsi="宋体" w:eastAsia="宋体" w:cs="宋体"/>
                <w:color w:val="auto"/>
                <w:sz w:val="21"/>
                <w:szCs w:val="21"/>
                <w:highlight w:val="none"/>
              </w:rPr>
            </w:pPr>
            <w:bookmarkStart w:id="89" w:name="PO_3000001866_PM007"/>
            <w:r>
              <w:rPr>
                <w:rFonts w:hint="eastAsia" w:ascii="宋体" w:hAnsi="宋体" w:cs="宋体"/>
                <w:color w:val="auto"/>
                <w:szCs w:val="21"/>
                <w:highlight w:val="none"/>
              </w:rPr>
              <w:t>详见招标公告。</w:t>
            </w:r>
            <w:bookmarkEnd w:id="89"/>
          </w:p>
        </w:tc>
      </w:tr>
      <w:tr w14:paraId="687FED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26680B95">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E4F3023">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13DCB2C4">
            <w:pPr>
              <w:pStyle w:val="8"/>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不接受联合体。</w:t>
            </w:r>
          </w:p>
        </w:tc>
      </w:tr>
      <w:tr w14:paraId="353E4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391E35DF">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566565D7">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是否允许转包/分包</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4C18F826">
            <w:pPr>
              <w:pStyle w:val="8"/>
              <w:spacing w:line="380" w:lineRule="exact"/>
              <w:rPr>
                <w:rFonts w:hint="eastAsia" w:ascii="宋体" w:hAnsi="宋体" w:eastAsia="宋体" w:cs="宋体"/>
                <w:color w:val="auto"/>
                <w:sz w:val="21"/>
                <w:szCs w:val="21"/>
                <w:highlight w:val="none"/>
              </w:rPr>
            </w:pPr>
            <w:bookmarkStart w:id="90" w:name="PO_3000001866_PM044"/>
            <w:r>
              <w:rPr>
                <w:rFonts w:hint="eastAsia" w:ascii="宋体" w:hAnsi="宋体" w:eastAsia="宋体" w:cs="宋体"/>
                <w:color w:val="auto"/>
                <w:sz w:val="21"/>
                <w:szCs w:val="21"/>
                <w:highlight w:val="none"/>
                <w:lang w:eastAsia="zh-CN"/>
              </w:rPr>
              <w:t>不允许分包</w:t>
            </w:r>
            <w:bookmarkEnd w:id="90"/>
          </w:p>
        </w:tc>
      </w:tr>
      <w:tr w14:paraId="6B47B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2D296679">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40079874">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媒体发布渠道</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42BC466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与本项目相关的政府采购业务澄清、更正及与之相关的事项将在</w:t>
            </w:r>
            <w:r>
              <w:rPr>
                <w:rFonts w:hint="eastAsia" w:ascii="宋体" w:hAnsi="宋体" w:cs="宋体"/>
                <w:color w:val="auto"/>
                <w:sz w:val="21"/>
                <w:szCs w:val="21"/>
                <w:highlight w:val="none"/>
                <w:lang w:eastAsia="zh-CN"/>
              </w:rPr>
              <w:t>招标</w:t>
            </w:r>
            <w:r>
              <w:rPr>
                <w:rFonts w:hint="eastAsia" w:ascii="宋体" w:hAnsi="宋体" w:eastAsia="宋体" w:cs="宋体"/>
                <w:color w:val="auto"/>
                <w:sz w:val="21"/>
                <w:szCs w:val="21"/>
                <w:highlight w:val="none"/>
              </w:rPr>
              <w:t>公告中“六、其他补充事宜”中网上查询地址上发布</w:t>
            </w:r>
            <w:r>
              <w:rPr>
                <w:rFonts w:hint="eastAsia" w:ascii="宋体" w:hAnsi="宋体" w:eastAsia="宋体" w:cs="宋体"/>
                <w:color w:val="auto"/>
                <w:kern w:val="0"/>
                <w:sz w:val="21"/>
                <w:szCs w:val="21"/>
                <w:highlight w:val="none"/>
              </w:rPr>
              <w:t>。</w:t>
            </w:r>
          </w:p>
        </w:tc>
      </w:tr>
      <w:tr w14:paraId="2D144E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13D3AF03">
            <w:pPr>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val="en-US" w:eastAsia="zh-CN"/>
              </w:rPr>
              <w:t>5</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572BAE5A">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是否组织标前答疑会</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24470B68">
            <w:pPr>
              <w:snapToGrid w:val="0"/>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不组织召开开标前答疑会</w:t>
            </w:r>
          </w:p>
          <w:p w14:paraId="4768C11C">
            <w:pPr>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p>
        </w:tc>
      </w:tr>
      <w:tr w14:paraId="324959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89" w:type="dxa"/>
            <w:tcBorders>
              <w:top w:val="nil"/>
              <w:left w:val="single" w:color="auto" w:sz="4" w:space="0"/>
              <w:bottom w:val="nil"/>
              <w:right w:val="single" w:color="auto" w:sz="4" w:space="0"/>
            </w:tcBorders>
            <w:noWrap w:val="0"/>
            <w:vAlign w:val="center"/>
          </w:tcPr>
          <w:p w14:paraId="047F5675">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10E46CA0">
            <w:pPr>
              <w:snapToGrid w:val="0"/>
              <w:spacing w:line="380" w:lineRule="exact"/>
              <w:jc w:val="left"/>
              <w:rPr>
                <w:rFonts w:hint="eastAsia" w:ascii="宋体" w:hAnsi="宋体" w:eastAsia="宋体" w:cs="宋体"/>
                <w:color w:val="auto"/>
                <w:sz w:val="21"/>
                <w:szCs w:val="21"/>
                <w:highlight w:val="none"/>
              </w:rPr>
            </w:pPr>
            <w:bookmarkStart w:id="91" w:name="_13.2"/>
            <w:bookmarkEnd w:id="91"/>
            <w:r>
              <w:rPr>
                <w:rFonts w:hint="eastAsia" w:ascii="宋体" w:hAnsi="宋体" w:eastAsia="宋体" w:cs="宋体"/>
                <w:color w:val="auto"/>
                <w:sz w:val="21"/>
                <w:szCs w:val="21"/>
                <w:highlight w:val="none"/>
              </w:rPr>
              <w:t>资格文件组成</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0E98EBDC">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投标人为法人或者其他组织的，提供营业执照等证明文件</w:t>
            </w:r>
            <w:r>
              <w:rPr>
                <w:rFonts w:hint="eastAsia" w:ascii="宋体" w:hAnsi="宋体" w:cs="宋体"/>
                <w:color w:val="auto"/>
                <w:sz w:val="21"/>
                <w:szCs w:val="21"/>
                <w:highlight w:val="none"/>
                <w:lang w:eastAsia="zh-CN"/>
              </w:rPr>
              <w:t>复印件</w:t>
            </w:r>
            <w:r>
              <w:rPr>
                <w:rFonts w:hint="eastAsia" w:ascii="宋体" w:hAnsi="宋体" w:eastAsia="宋体" w:cs="宋体"/>
                <w:color w:val="auto"/>
                <w:sz w:val="21"/>
                <w:szCs w:val="21"/>
                <w:highlight w:val="none"/>
              </w:rPr>
              <w:t>（如营业执照或者事业单位法人证书或者</w:t>
            </w:r>
            <w:r>
              <w:rPr>
                <w:rStyle w:val="29"/>
                <w:rFonts w:hint="eastAsia" w:ascii="宋体" w:hAnsi="宋体" w:eastAsia="宋体" w:cs="宋体"/>
                <w:color w:val="auto"/>
                <w:sz w:val="21"/>
                <w:szCs w:val="21"/>
                <w:highlight w:val="none"/>
              </w:rPr>
              <w:t>执业许可证</w:t>
            </w:r>
            <w:r>
              <w:rPr>
                <w:rFonts w:hint="eastAsia" w:ascii="宋体" w:hAnsi="宋体" w:eastAsia="宋体" w:cs="宋体"/>
                <w:color w:val="auto"/>
                <w:sz w:val="21"/>
                <w:szCs w:val="21"/>
                <w:highlight w:val="none"/>
              </w:rPr>
              <w:t>等），投标人为自然人的，提供</w:t>
            </w:r>
            <w:r>
              <w:rPr>
                <w:rFonts w:hint="eastAsia" w:ascii="宋体" w:hAnsi="宋体" w:cs="宋体"/>
                <w:color w:val="auto"/>
                <w:sz w:val="21"/>
                <w:szCs w:val="21"/>
                <w:highlight w:val="none"/>
                <w:lang w:eastAsia="zh-CN"/>
              </w:rPr>
              <w:t>有效</w:t>
            </w:r>
            <w:r>
              <w:rPr>
                <w:rFonts w:hint="eastAsia" w:ascii="宋体" w:hAnsi="宋体" w:eastAsia="宋体" w:cs="宋体"/>
                <w:color w:val="auto"/>
                <w:sz w:val="21"/>
                <w:szCs w:val="21"/>
                <w:highlight w:val="none"/>
              </w:rPr>
              <w:t>身份证</w:t>
            </w:r>
            <w:r>
              <w:rPr>
                <w:rFonts w:hint="eastAsia" w:ascii="宋体" w:hAnsi="宋体" w:cs="宋体"/>
                <w:color w:val="auto"/>
                <w:sz w:val="21"/>
                <w:szCs w:val="21"/>
                <w:highlight w:val="none"/>
                <w:lang w:eastAsia="zh-CN"/>
              </w:rPr>
              <w:t>正反面</w:t>
            </w:r>
            <w:r>
              <w:rPr>
                <w:rFonts w:hint="eastAsia" w:ascii="宋体" w:hAnsi="宋体" w:eastAsia="宋体" w:cs="宋体"/>
                <w:color w:val="auto"/>
                <w:sz w:val="21"/>
                <w:szCs w:val="21"/>
                <w:highlight w:val="none"/>
              </w:rPr>
              <w:t>复印件</w:t>
            </w:r>
            <w:r>
              <w:rPr>
                <w:rFonts w:hint="eastAsia" w:ascii="宋体" w:hAnsi="宋体" w:cs="宋体"/>
                <w:color w:val="auto"/>
                <w:szCs w:val="21"/>
                <w:highlight w:val="none"/>
                <w:lang w:val="en-US" w:eastAsia="zh-CN"/>
              </w:rPr>
              <w:t>；银行、保险、石油石化、电力、电信等有行业特殊情况的，法人的分支机构经法人授权后可以分支机构的身份参加政府采购。如投标人为分支机构的，必须在投标文件中同时提供经法人授权投标人以分支机构名义参加投标的</w:t>
            </w:r>
            <w:r>
              <w:rPr>
                <w:rFonts w:hint="eastAsia" w:ascii="宋体" w:hAnsi="宋体" w:cs="宋体"/>
                <w:color w:val="auto"/>
                <w:sz w:val="21"/>
                <w:szCs w:val="21"/>
                <w:highlight w:val="none"/>
                <w:lang w:val="en-US" w:eastAsia="zh-CN"/>
              </w:rPr>
              <w:t>授权委托书、法人营业执照及分支机构营业执照的复印件</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3D3A3503">
            <w:pPr>
              <w:pStyle w:val="8"/>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投标人依法缴纳税收的相关材料</w:t>
            </w:r>
            <w:r>
              <w:rPr>
                <w:rFonts w:hint="eastAsia" w:ascii="宋体" w:hAnsi="宋体" w:cs="宋体"/>
                <w:color w:val="auto"/>
                <w:sz w:val="21"/>
                <w:szCs w:val="21"/>
                <w:highlight w:val="none"/>
                <w:lang w:val="en-US" w:eastAsia="zh-CN"/>
              </w:rPr>
              <w:t>（</w:t>
            </w:r>
            <w:r>
              <w:rPr>
                <w:rFonts w:hint="eastAsia" w:ascii="宋体" w:hAnsi="宋体" w:cs="宋体"/>
                <w:color w:val="auto"/>
                <w:szCs w:val="21"/>
                <w:highlight w:val="none"/>
                <w:u w:val="none"/>
                <w:lang w:val="en-US" w:eastAsia="zh-CN"/>
              </w:rPr>
              <w:t>提供税款所属时期为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2025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rPr>
              <w:t>投标文件提交截止时间止</w:t>
            </w:r>
            <w:r>
              <w:rPr>
                <w:rFonts w:hint="eastAsia" w:ascii="宋体" w:hAnsi="宋体" w:cs="宋体"/>
                <w:color w:val="auto"/>
                <w:sz w:val="21"/>
                <w:szCs w:val="21"/>
                <w:highlight w:val="none"/>
                <w:lang w:val="en-US" w:eastAsia="zh-CN"/>
              </w:rPr>
              <w:t>的</w:t>
            </w:r>
            <w:r>
              <w:rPr>
                <w:rFonts w:hint="eastAsia" w:ascii="宋体" w:hAnsi="宋体" w:eastAsia="宋体" w:cs="宋体"/>
                <w:color w:val="auto"/>
                <w:szCs w:val="21"/>
                <w:highlight w:val="none"/>
                <w:lang w:eastAsia="zh-CN"/>
              </w:rPr>
              <w:t>任意</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w:t>
            </w:r>
            <w:r>
              <w:rPr>
                <w:rFonts w:hint="eastAsia" w:ascii="宋体" w:hAnsi="宋体" w:eastAsia="宋体" w:cs="宋体"/>
                <w:color w:val="auto"/>
                <w:sz w:val="21"/>
                <w:szCs w:val="21"/>
                <w:highlight w:val="none"/>
              </w:rPr>
              <w:t>的依法缴纳税收的凭据复印件；依法免税的</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BDA8255">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投标人依法缴纳社会保障资金的相关材料</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u w:val="none"/>
                <w:lang w:val="en-US" w:eastAsia="zh-CN"/>
              </w:rPr>
              <w:t>提供税款所属时期或缴费起始时间为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2025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rPr>
              <w:t>投标文件提交截止时间止</w:t>
            </w:r>
            <w:r>
              <w:rPr>
                <w:rFonts w:hint="eastAsia" w:ascii="宋体" w:hAnsi="宋体" w:cs="宋体"/>
                <w:color w:val="auto"/>
                <w:sz w:val="21"/>
                <w:szCs w:val="21"/>
                <w:highlight w:val="none"/>
                <w:lang w:val="en-US" w:eastAsia="zh-CN"/>
              </w:rPr>
              <w:t>的</w:t>
            </w:r>
            <w:r>
              <w:rPr>
                <w:rFonts w:hint="eastAsia" w:ascii="宋体" w:hAnsi="宋体" w:eastAsia="宋体" w:cs="宋体"/>
                <w:color w:val="auto"/>
                <w:szCs w:val="21"/>
                <w:highlight w:val="none"/>
                <w:lang w:eastAsia="zh-CN"/>
              </w:rPr>
              <w:t>任意</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w:t>
            </w:r>
            <w:r>
              <w:rPr>
                <w:rFonts w:hint="eastAsia" w:ascii="宋体" w:hAnsi="宋体" w:eastAsia="宋体" w:cs="宋体"/>
                <w:color w:val="auto"/>
                <w:sz w:val="21"/>
                <w:szCs w:val="21"/>
                <w:highlight w:val="none"/>
              </w:rPr>
              <w:t>的依法缴纳社会保障资金的缴费凭证复印件；依法不需要缴纳社会保障资金的</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659F764A">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投标人财务状况报告</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提供</w:t>
            </w:r>
            <w:r>
              <w:rPr>
                <w:rFonts w:hint="eastAsia" w:ascii="宋体" w:hAnsi="宋体" w:cs="宋体"/>
                <w:color w:val="auto"/>
                <w:szCs w:val="21"/>
                <w:highlight w:val="none"/>
                <w:u w:val="single"/>
                <w:lang w:val="en-US" w:eastAsia="zh-CN"/>
              </w:rPr>
              <w:t>2024或2025</w:t>
            </w:r>
            <w:r>
              <w:rPr>
                <w:rFonts w:hint="eastAsia" w:ascii="宋体" w:hAnsi="宋体" w:eastAsia="宋体" w:cs="宋体"/>
                <w:color w:val="auto"/>
                <w:szCs w:val="21"/>
                <w:highlight w:val="none"/>
              </w:rPr>
              <w:t>年度经审计的财务报告</w:t>
            </w:r>
            <w:r>
              <w:rPr>
                <w:rFonts w:hint="eastAsia" w:ascii="宋体" w:hAnsi="宋体" w:eastAsia="宋体" w:cs="宋体"/>
                <w:color w:val="auto"/>
                <w:szCs w:val="21"/>
                <w:highlight w:val="none"/>
                <w:lang w:eastAsia="zh-CN"/>
              </w:rPr>
              <w:t>复印件</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者</w:t>
            </w:r>
            <w:r>
              <w:rPr>
                <w:rFonts w:hint="eastAsia" w:ascii="宋体" w:hAnsi="宋体" w:eastAsia="宋体" w:cs="宋体"/>
                <w:color w:val="auto"/>
                <w:szCs w:val="21"/>
                <w:highlight w:val="none"/>
              </w:rPr>
              <w:t>截标时间前半年内至少一个月能反映财务状况的报表或</w:t>
            </w:r>
            <w:r>
              <w:rPr>
                <w:rFonts w:hint="eastAsia" w:ascii="宋体" w:hAnsi="宋体" w:eastAsia="宋体" w:cs="宋体"/>
                <w:color w:val="auto"/>
                <w:szCs w:val="21"/>
                <w:highlight w:val="none"/>
                <w:lang w:eastAsia="zh-CN"/>
              </w:rPr>
              <w:t>者</w:t>
            </w:r>
            <w:r>
              <w:rPr>
                <w:rFonts w:hint="eastAsia" w:ascii="宋体" w:hAnsi="宋体" w:eastAsia="宋体" w:cs="宋体"/>
                <w:color w:val="auto"/>
                <w:szCs w:val="21"/>
                <w:highlight w:val="none"/>
              </w:rPr>
              <w:t>投标人自拟的截标时间前半年内至少一个月的财务情况说明</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3215B14D">
            <w:pPr>
              <w:numPr>
                <w:ilvl w:val="0"/>
                <w:numId w:val="0"/>
              </w:numPr>
              <w:snapToGrid w:val="0"/>
              <w:spacing w:line="380" w:lineRule="exact"/>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5.</w:t>
            </w:r>
            <w:r>
              <w:rPr>
                <w:rFonts w:hint="eastAsia" w:ascii="宋体" w:hAnsi="宋体" w:eastAsia="宋体" w:cs="宋体"/>
                <w:color w:val="auto"/>
                <w:szCs w:val="21"/>
                <w:highlight w:val="none"/>
              </w:rPr>
              <w:t>本项目的特定资格要求</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lang w:val="en-US" w:eastAsia="zh-CN"/>
              </w:rPr>
              <w:t>分标1-分标7：具有有效期内的检验检测机构资质认定证书（国家或省级）</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76391A7E">
            <w:pPr>
              <w:numPr>
                <w:ilvl w:val="0"/>
                <w:numId w:val="0"/>
              </w:numPr>
              <w:snapToGrid w:val="0"/>
              <w:spacing w:line="380" w:lineRule="exact"/>
              <w:ind w:left="0" w:firstLine="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olor w:val="auto"/>
                <w:szCs w:val="21"/>
                <w:highlight w:val="none"/>
              </w:rPr>
              <w:t>投标人直接控股股东信息表</w:t>
            </w:r>
            <w:r>
              <w:rPr>
                <w:rFonts w:hint="eastAsia" w:ascii="宋体" w:hAnsi="宋体" w:eastAsia="宋体" w:cs="宋体"/>
                <w:color w:val="auto"/>
                <w:szCs w:val="21"/>
                <w:highlight w:val="none"/>
              </w:rPr>
              <w:t>（格式后附）</w:t>
            </w:r>
            <w:r>
              <w:rPr>
                <w:rFonts w:hint="eastAsia" w:ascii="宋体" w:hAnsi="宋体" w:eastAsia="宋体"/>
                <w:color w:val="auto"/>
                <w:szCs w:val="21"/>
                <w:highlight w:val="none"/>
                <w:lang w:eastAsia="zh-CN"/>
              </w:rPr>
              <w:t>。</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75C59EB">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投标人直接管理关系信息表</w:t>
            </w:r>
            <w:r>
              <w:rPr>
                <w:rFonts w:hint="eastAsia" w:ascii="宋体" w:hAnsi="宋体" w:eastAsia="宋体" w:cs="宋体"/>
                <w:color w:val="auto"/>
                <w:szCs w:val="21"/>
                <w:highlight w:val="none"/>
              </w:rPr>
              <w:t>（格式后附）</w:t>
            </w:r>
            <w:r>
              <w:rPr>
                <w:rFonts w:hint="eastAsia" w:ascii="宋体" w:hAnsi="宋体" w:eastAsia="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85C6C9B">
            <w:pPr>
              <w:numPr>
                <w:ilvl w:val="0"/>
                <w:numId w:val="0"/>
              </w:numPr>
              <w:snapToGrid w:val="0"/>
              <w:spacing w:line="380" w:lineRule="exact"/>
              <w:ind w:leftChars="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声明函（格式后附）。（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41E669EB">
            <w:pPr>
              <w:snapToGrid w:val="0"/>
              <w:spacing w:line="380" w:lineRule="exact"/>
              <w:jc w:val="left"/>
              <w:rPr>
                <w:rFonts w:hint="eastAsia" w:ascii="宋体" w:hAnsi="宋体" w:eastAsia="宋体" w:cs="宋体"/>
                <w:b/>
                <w:bCs/>
                <w:color w:val="auto"/>
                <w:sz w:val="21"/>
                <w:szCs w:val="21"/>
                <w:highlight w:val="none"/>
              </w:rPr>
            </w:pP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rPr>
              <w:t>联合体投标协议书（格式后附）。</w:t>
            </w:r>
            <w:r>
              <w:rPr>
                <w:rFonts w:hint="eastAsia" w:ascii="宋体" w:hAnsi="宋体" w:eastAsia="宋体" w:cs="Times New Roman"/>
                <w:b/>
                <w:bCs/>
                <w:color w:val="auto"/>
                <w:szCs w:val="21"/>
                <w:highlight w:val="none"/>
              </w:rPr>
              <w:t>（联合体投标时必须提供，否则作无效投标处理）</w:t>
            </w:r>
          </w:p>
          <w:p w14:paraId="5671CB1F">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除招标文件规定必须提供以外，投标人认为需要提供的其他证明材料（格式自拟）。</w:t>
            </w:r>
          </w:p>
          <w:p w14:paraId="5A900257">
            <w:pPr>
              <w:snapToGrid w:val="0"/>
              <w:spacing w:line="38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color w:val="auto"/>
                <w:sz w:val="21"/>
                <w:szCs w:val="21"/>
                <w:highlight w:val="none"/>
              </w:rPr>
              <w:t xml:space="preserve"> </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p>
          <w:p w14:paraId="46799E83">
            <w:pPr>
              <w:snapToGrid w:val="0"/>
              <w:spacing w:line="380" w:lineRule="exact"/>
              <w:ind w:firstLine="422" w:firstLineChars="200"/>
              <w:jc w:val="left"/>
              <w:rPr>
                <w:rFonts w:hint="eastAsia" w:ascii="宋体" w:hAnsi="宋体" w:eastAsia="宋体" w:cs="宋体"/>
                <w:b/>
                <w:bCs/>
                <w:color w:val="auto"/>
                <w:sz w:val="21"/>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.联合体投标时，第1-</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项资格文件联合体各方均必须分别提供，联合体各方分别盖章，否则投标文件</w:t>
            </w:r>
            <w:r>
              <w:rPr>
                <w:rFonts w:hint="eastAsia" w:ascii="宋体" w:hAnsi="宋体" w:cs="宋体"/>
                <w:b/>
                <w:bCs/>
                <w:color w:val="auto"/>
                <w:szCs w:val="21"/>
                <w:highlight w:val="none"/>
                <w:lang w:eastAsia="zh-CN"/>
              </w:rPr>
              <w:t>作无效投标</w:t>
            </w:r>
            <w:r>
              <w:rPr>
                <w:rFonts w:hint="eastAsia" w:ascii="宋体" w:hAnsi="宋体" w:cs="宋体"/>
                <w:b/>
                <w:bCs/>
                <w:color w:val="auto"/>
                <w:szCs w:val="21"/>
                <w:highlight w:val="none"/>
              </w:rPr>
              <w:t>处理。</w:t>
            </w:r>
          </w:p>
        </w:tc>
      </w:tr>
      <w:tr w14:paraId="77F93C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nil"/>
              <w:left w:val="single" w:color="auto" w:sz="4" w:space="0"/>
              <w:bottom w:val="nil"/>
              <w:right w:val="single" w:color="auto" w:sz="4" w:space="0"/>
            </w:tcBorders>
            <w:noWrap w:val="0"/>
            <w:vAlign w:val="center"/>
          </w:tcPr>
          <w:p w14:paraId="1CE0E31F">
            <w:pPr>
              <w:spacing w:line="380" w:lineRule="exact"/>
              <w:rPr>
                <w:rFonts w:hint="eastAsia" w:ascii="宋体" w:hAnsi="宋体" w:eastAsia="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10618B4E">
            <w:pPr>
              <w:snapToGrid w:val="0"/>
              <w:spacing w:line="380" w:lineRule="exact"/>
              <w:jc w:val="left"/>
              <w:rPr>
                <w:rFonts w:hint="eastAsia" w:ascii="宋体" w:hAnsi="宋体" w:eastAsia="宋体" w:cs="宋体"/>
                <w:color w:val="auto"/>
                <w:sz w:val="21"/>
                <w:szCs w:val="21"/>
                <w:highlight w:val="none"/>
              </w:rPr>
            </w:pPr>
            <w:bookmarkStart w:id="92" w:name="_13.3"/>
            <w:bookmarkEnd w:id="92"/>
            <w:r>
              <w:rPr>
                <w:rFonts w:hint="eastAsia" w:ascii="宋体" w:hAnsi="宋体" w:eastAsia="宋体" w:cs="宋体"/>
                <w:color w:val="auto"/>
                <w:sz w:val="21"/>
                <w:szCs w:val="21"/>
                <w:highlight w:val="none"/>
              </w:rPr>
              <w:t>商务文件组成</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5582E5B8">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无串通投标行为的承诺函（格式后附）；（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A31BA4C">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法定代表人身份证明及法定代表人有效身份证正反面复印件（格式后附）；（</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4339D949">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法定代表人授权委托书及委托代理人有效身份证正反面复印件（格式后附）；（</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p>
          <w:p w14:paraId="4C7AAF59">
            <w:pPr>
              <w:pStyle w:val="13"/>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rPr>
              <w:t>投标保证金提交凭证</w:t>
            </w:r>
            <w:r>
              <w:rPr>
                <w:rFonts w:hint="eastAsia" w:ascii="宋体" w:hAnsi="宋体" w:eastAsia="宋体" w:cs="宋体"/>
                <w:color w:val="auto"/>
                <w:sz w:val="21"/>
                <w:szCs w:val="21"/>
                <w:highlight w:val="none"/>
                <w:lang w:eastAsia="zh-CN"/>
              </w:rPr>
              <w:t>；</w:t>
            </w:r>
            <w:r>
              <w:rPr>
                <w:rFonts w:hint="eastAsia" w:ascii="宋体" w:hAnsi="宋体" w:cs="宋体"/>
                <w:b/>
                <w:bCs/>
                <w:color w:val="auto"/>
                <w:sz w:val="21"/>
                <w:szCs w:val="21"/>
                <w:highlight w:val="none"/>
              </w:rPr>
              <w:t>（如有要求，则必须提供，否则作无效投标处理）</w:t>
            </w:r>
          </w:p>
          <w:p w14:paraId="7B149A55">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商务条款偏离表（格式后附）；（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773184B9">
            <w:pPr>
              <w:spacing w:line="360" w:lineRule="auto"/>
              <w:rPr>
                <w:rFonts w:hint="default" w:ascii="宋体" w:hAnsi="宋体" w:cs="宋体"/>
                <w:color w:val="auto"/>
                <w:szCs w:val="21"/>
                <w:highlight w:val="none"/>
                <w:lang w:val="en-US" w:eastAsia="zh-CN"/>
              </w:rPr>
            </w:pPr>
            <w:r>
              <w:rPr>
                <w:rFonts w:hint="eastAsia" w:ascii="宋体" w:hAnsi="宋体" w:cs="宋体"/>
                <w:color w:val="auto"/>
                <w:sz w:val="21"/>
                <w:szCs w:val="21"/>
                <w:highlight w:val="none"/>
                <w:lang w:val="en-US" w:eastAsia="zh-CN"/>
              </w:rPr>
              <w:t>6.投标</w:t>
            </w:r>
            <w:r>
              <w:rPr>
                <w:rFonts w:hint="eastAsia" w:ascii="宋体" w:hAnsi="宋体" w:cs="宋体"/>
                <w:color w:val="auto"/>
                <w:szCs w:val="21"/>
                <w:highlight w:val="none"/>
                <w:lang w:val="en-US" w:eastAsia="zh-CN"/>
              </w:rPr>
              <w:t>供应商非公益一类事业单位、使用事业编制且由财政拨款保障的群团组织的承诺函（格式后附）；（</w:t>
            </w:r>
            <w:r>
              <w:rPr>
                <w:rFonts w:hint="eastAsia" w:ascii="宋体" w:hAnsi="宋体" w:cs="宋体"/>
                <w:b/>
                <w:bCs/>
                <w:color w:val="auto"/>
                <w:szCs w:val="21"/>
                <w:highlight w:val="none"/>
                <w:lang w:val="en-US" w:eastAsia="zh-CN"/>
              </w:rPr>
              <w:t>必须提供，否则作无效投标处理</w:t>
            </w:r>
            <w:r>
              <w:rPr>
                <w:rFonts w:hint="eastAsia" w:ascii="宋体" w:hAnsi="宋体" w:cs="宋体"/>
                <w:color w:val="auto"/>
                <w:szCs w:val="21"/>
                <w:highlight w:val="none"/>
                <w:lang w:val="en-US" w:eastAsia="zh-CN"/>
              </w:rPr>
              <w:t>）</w:t>
            </w:r>
          </w:p>
          <w:p w14:paraId="1E768058">
            <w:pPr>
              <w:snapToGrid w:val="0"/>
              <w:spacing w:line="380" w:lineRule="exact"/>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7.供应商关于本项目中标规则承诺函（格式后附）；（必须提供，否则作无效投标处理）</w:t>
            </w:r>
          </w:p>
          <w:p w14:paraId="0B8B0CB2">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投标人情况介绍（格式自拟）；</w:t>
            </w:r>
          </w:p>
          <w:p w14:paraId="46744655">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除招标文件规定必须提供以外，投标人认为需要提供的其他证明材料（格式自拟）。（投标人根据“第二章 采购需求”及“第四章 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评标标准”提供有关证明材料）。</w:t>
            </w:r>
          </w:p>
          <w:p w14:paraId="45B81E0B">
            <w:pPr>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 1.法定代表人授权委托书必须由法定代表人及委托代理人签字，并加盖投标人公章，否则作无效投标处理。</w:t>
            </w:r>
          </w:p>
          <w:p w14:paraId="1E1BC74D">
            <w:pPr>
              <w:snapToGrid w:val="0"/>
              <w:spacing w:line="3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67621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vMerge w:val="restart"/>
            <w:tcBorders>
              <w:top w:val="nil"/>
              <w:left w:val="single" w:color="auto" w:sz="4" w:space="0"/>
              <w:bottom w:val="single" w:color="auto" w:sz="4" w:space="0"/>
              <w:right w:val="single" w:color="auto" w:sz="4" w:space="0"/>
            </w:tcBorders>
            <w:noWrap w:val="0"/>
            <w:vAlign w:val="center"/>
          </w:tcPr>
          <w:p w14:paraId="260A5301">
            <w:pPr>
              <w:spacing w:line="380" w:lineRule="exact"/>
              <w:rPr>
                <w:rFonts w:hint="eastAsia" w:ascii="宋体" w:hAnsi="宋体" w:eastAsia="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71157CF6">
            <w:pPr>
              <w:snapToGrid w:val="0"/>
              <w:spacing w:line="380" w:lineRule="exact"/>
              <w:jc w:val="left"/>
              <w:rPr>
                <w:rFonts w:hint="eastAsia" w:ascii="宋体" w:hAnsi="宋体" w:eastAsia="宋体" w:cs="宋体"/>
                <w:color w:val="auto"/>
                <w:sz w:val="21"/>
                <w:szCs w:val="21"/>
                <w:highlight w:val="none"/>
              </w:rPr>
            </w:pPr>
            <w:bookmarkStart w:id="93" w:name="_13.4"/>
            <w:bookmarkEnd w:id="93"/>
            <w:r>
              <w:rPr>
                <w:rFonts w:hint="eastAsia" w:ascii="宋体" w:hAnsi="宋体" w:eastAsia="宋体" w:cs="宋体"/>
                <w:color w:val="auto"/>
                <w:sz w:val="21"/>
                <w:szCs w:val="21"/>
                <w:highlight w:val="none"/>
              </w:rPr>
              <w:t>技术文件组成</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1A8B6208">
            <w:pPr>
              <w:snapToGrid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服务</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B3772D7">
            <w:pPr>
              <w:snapToGrid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2.服务方案</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BC2F49F">
            <w:pPr>
              <w:snapToGrid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项目实施人员一览表（</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BE5CBAD">
            <w:pPr>
              <w:snapToGrid w:val="0"/>
              <w:spacing w:line="360" w:lineRule="auto"/>
              <w:jc w:val="left"/>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除招标文件规定必须提供以外，投标人需要说明的其他文件和说明（格式自拟）。</w:t>
            </w:r>
          </w:p>
          <w:p w14:paraId="0E2A127D">
            <w:pPr>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12903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vMerge w:val="continue"/>
            <w:tcBorders>
              <w:top w:val="nil"/>
              <w:left w:val="single" w:color="auto" w:sz="4" w:space="0"/>
              <w:bottom w:val="single" w:color="auto" w:sz="4" w:space="0"/>
              <w:right w:val="single" w:color="auto" w:sz="4" w:space="0"/>
            </w:tcBorders>
            <w:noWrap w:val="0"/>
            <w:vAlign w:val="center"/>
          </w:tcPr>
          <w:p w14:paraId="5049C6EF">
            <w:pPr>
              <w:widowControl/>
              <w:jc w:val="left"/>
              <w:rPr>
                <w:rFonts w:hint="eastAsia" w:ascii="宋体" w:hAnsi="宋体" w:eastAsia="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4DD032E8">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7F02A27A">
            <w:pPr>
              <w:tabs>
                <w:tab w:val="left" w:pos="459"/>
              </w:tabs>
              <w:snapToGrid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投标函（格式后附）；</w:t>
            </w:r>
            <w:r>
              <w:rPr>
                <w:rFonts w:hint="eastAsia" w:ascii="宋体" w:hAnsi="宋体" w:eastAsia="宋体" w:cs="宋体"/>
                <w:b w:val="0"/>
                <w:bCs/>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b w:val="0"/>
                <w:bCs/>
                <w:color w:val="auto"/>
                <w:sz w:val="21"/>
                <w:szCs w:val="21"/>
                <w:highlight w:val="none"/>
              </w:rPr>
              <w:t>）</w:t>
            </w:r>
          </w:p>
          <w:p w14:paraId="65A401AE">
            <w:pPr>
              <w:tabs>
                <w:tab w:val="left" w:pos="459"/>
              </w:tabs>
              <w:snapToGrid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开标一览表</w:t>
            </w:r>
            <w:r>
              <w:rPr>
                <w:rFonts w:hint="eastAsia"/>
                <w:color w:val="auto"/>
                <w:szCs w:val="21"/>
                <w:highlight w:val="none"/>
              </w:rPr>
              <w:t>（格式后附）</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191642E0">
            <w:pPr>
              <w:pStyle w:val="13"/>
              <w:spacing w:line="360" w:lineRule="auto"/>
              <w:rPr>
                <w:rFonts w:hint="eastAsia" w:ascii="宋体" w:hAnsi="宋体" w:eastAsia="宋体" w:cs="宋体"/>
                <w:i/>
                <w:iCs/>
                <w:color w:val="auto"/>
                <w:sz w:val="21"/>
                <w:szCs w:val="21"/>
                <w:highlight w:val="none"/>
                <w:lang w:val="en-US" w:eastAsia="zh-CN"/>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rPr>
              <w:t>中小企业声明函或者残疾人福利性单位声明函（格式后附）或者</w:t>
            </w:r>
            <w:r>
              <w:rPr>
                <w:rFonts w:hint="eastAsia" w:ascii="宋体" w:hAnsi="宋体" w:eastAsia="宋体" w:cs="宋体"/>
                <w:i w:val="0"/>
                <w:iCs w:val="0"/>
                <w:color w:val="auto"/>
                <w:sz w:val="21"/>
                <w:szCs w:val="21"/>
                <w:highlight w:val="none"/>
                <w:lang w:eastAsia="zh-CN"/>
              </w:rPr>
              <w:t>供应商</w:t>
            </w:r>
            <w:r>
              <w:rPr>
                <w:rFonts w:hint="eastAsia" w:ascii="宋体" w:hAnsi="宋体" w:cs="宋体"/>
                <w:color w:val="auto"/>
                <w:sz w:val="21"/>
                <w:szCs w:val="21"/>
                <w:highlight w:val="none"/>
              </w:rPr>
              <w:t>属于监狱企业的</w:t>
            </w:r>
            <w:r>
              <w:rPr>
                <w:rFonts w:hint="eastAsia" w:ascii="宋体" w:hAnsi="宋体" w:cs="宋体"/>
                <w:color w:val="auto"/>
                <w:sz w:val="21"/>
                <w:szCs w:val="21"/>
                <w:highlight w:val="none"/>
                <w:lang w:eastAsia="zh-CN"/>
              </w:rPr>
              <w:t>，</w:t>
            </w:r>
            <w:r>
              <w:rPr>
                <w:rFonts w:hint="eastAsia" w:ascii="宋体" w:hAnsi="宋体" w:eastAsia="宋体" w:cs="宋体"/>
                <w:i w:val="0"/>
                <w:iCs w:val="0"/>
                <w:color w:val="auto"/>
                <w:sz w:val="21"/>
                <w:szCs w:val="21"/>
                <w:highlight w:val="none"/>
                <w:lang w:eastAsia="zh-CN"/>
              </w:rPr>
              <w:t>提供由省级以上监狱管理局、戒毒管理局（含新疆生产建设兵团）出具的属于监狱企业的证明文件</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（如有请提供）</w:t>
            </w:r>
          </w:p>
          <w:p w14:paraId="63596CAB">
            <w:pPr>
              <w:spacing w:line="360" w:lineRule="auto"/>
              <w:rPr>
                <w:rFonts w:hint="eastAsia"/>
                <w:color w:val="auto"/>
                <w:highlight w:val="none"/>
                <w:lang w:val="en-US" w:eastAsia="zh-CN"/>
              </w:rPr>
            </w:pPr>
            <w:r>
              <w:rPr>
                <w:rFonts w:hint="eastAsia"/>
                <w:color w:val="auto"/>
                <w:highlight w:val="none"/>
                <w:lang w:val="en-US" w:eastAsia="zh-CN"/>
              </w:rPr>
              <w:t>4.</w:t>
            </w:r>
            <w:r>
              <w:rPr>
                <w:rFonts w:hint="eastAsia"/>
                <w:color w:val="auto"/>
                <w:highlight w:val="none"/>
                <w:lang w:eastAsia="zh-CN"/>
              </w:rPr>
              <w:t>关于符合本国产品标准的声明函</w:t>
            </w:r>
            <w:r>
              <w:rPr>
                <w:rFonts w:hint="eastAsia" w:ascii="宋体" w:hAnsi="宋体" w:eastAsia="宋体" w:cs="宋体"/>
                <w:color w:val="auto"/>
                <w:szCs w:val="21"/>
                <w:highlight w:val="none"/>
              </w:rPr>
              <w:t>（格式后附）</w:t>
            </w:r>
            <w:r>
              <w:rPr>
                <w:rFonts w:hint="eastAsia" w:ascii="宋体" w:hAnsi="宋体" w:eastAsia="宋体" w:cs="宋体"/>
                <w:color w:val="auto"/>
                <w:szCs w:val="21"/>
                <w:highlight w:val="none"/>
                <w:lang w:eastAsia="zh-CN"/>
              </w:rPr>
              <w:t>或</w:t>
            </w:r>
            <w:r>
              <w:rPr>
                <w:rFonts w:hint="eastAsia" w:ascii="Times New Roman" w:hAnsi="Times New Roman" w:eastAsia="宋体" w:cs="Times New Roman"/>
                <w:i w:val="0"/>
                <w:iCs w:val="0"/>
                <w:caps w:val="0"/>
                <w:color w:val="auto"/>
                <w:spacing w:val="0"/>
                <w:sz w:val="21"/>
                <w:szCs w:val="24"/>
                <w:highlight w:val="none"/>
                <w:shd w:val="clear" w:color="auto" w:fill="auto"/>
              </w:rPr>
              <w:t>财政部会同有关部门规定的有关证明文件</w:t>
            </w:r>
            <w:r>
              <w:rPr>
                <w:rFonts w:hint="eastAsia" w:ascii="Times New Roman" w:hAnsi="Times New Roman" w:eastAsia="宋体" w:cs="Times New Roman"/>
                <w:color w:val="auto"/>
                <w:szCs w:val="24"/>
                <w:highlight w:val="none"/>
                <w:lang w:eastAsia="zh-CN"/>
              </w:rPr>
              <w:t>；</w:t>
            </w:r>
            <w:r>
              <w:rPr>
                <w:rFonts w:hint="eastAsia"/>
                <w:color w:val="auto"/>
                <w:highlight w:val="none"/>
                <w:lang w:eastAsia="zh-CN"/>
              </w:rPr>
              <w:t>（如有请提供）</w:t>
            </w:r>
          </w:p>
          <w:p w14:paraId="6DE5A575">
            <w:pPr>
              <w:tabs>
                <w:tab w:val="left" w:pos="459"/>
              </w:tabs>
              <w:snapToGrid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投标人针对报价需要说明的其他文件和说明（格式自拟）。</w:t>
            </w:r>
          </w:p>
        </w:tc>
      </w:tr>
      <w:tr w14:paraId="19F69F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0317035B">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7C801C80">
            <w:pPr>
              <w:spacing w:line="380" w:lineRule="exact"/>
              <w:rPr>
                <w:rFonts w:hint="eastAsia" w:ascii="宋体" w:hAnsi="宋体" w:eastAsia="宋体" w:cs="宋体"/>
                <w:color w:val="auto"/>
                <w:sz w:val="21"/>
                <w:szCs w:val="21"/>
                <w:highlight w:val="none"/>
              </w:rPr>
            </w:pPr>
            <w:bookmarkStart w:id="94" w:name="_16.2"/>
            <w:bookmarkEnd w:id="94"/>
            <w:r>
              <w:rPr>
                <w:rFonts w:hint="eastAsia" w:ascii="宋体" w:hAnsi="宋体" w:eastAsia="宋体" w:cs="宋体"/>
                <w:color w:val="auto"/>
                <w:sz w:val="21"/>
                <w:szCs w:val="21"/>
                <w:highlight w:val="none"/>
              </w:rPr>
              <w:t>投标报价要求</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637B4AEC">
            <w:pPr>
              <w:snapToGrid w:val="0"/>
              <w:spacing w:line="380" w:lineRule="exact"/>
              <w:rPr>
                <w:rFonts w:hint="eastAsia"/>
                <w:color w:val="auto"/>
                <w:highlight w:val="none"/>
              </w:rPr>
            </w:pPr>
            <w:r>
              <w:rPr>
                <w:rFonts w:hint="eastAsia"/>
                <w:color w:val="auto"/>
                <w:highlight w:val="none"/>
              </w:rPr>
              <w:t>投标报价是履行合同的最终价格，必须包含满足本次</w:t>
            </w:r>
            <w:r>
              <w:rPr>
                <w:rFonts w:hint="eastAsia"/>
                <w:color w:val="auto"/>
                <w:highlight w:val="none"/>
                <w:lang w:val="en-US" w:eastAsia="zh-CN"/>
              </w:rPr>
              <w:t>招标</w:t>
            </w:r>
            <w:r>
              <w:rPr>
                <w:rFonts w:hint="eastAsia"/>
                <w:color w:val="auto"/>
                <w:highlight w:val="none"/>
              </w:rPr>
              <w:t>全部采购要求、人员要求所产生的全部费用和必要的保险费用和各项税金，以及样品抽取、购买、运输、检验、异议处理、复检（复检结果有变更时）、复查（不合格整改后）等工作费用。</w:t>
            </w:r>
          </w:p>
          <w:p w14:paraId="1A658613">
            <w:pPr>
              <w:snapToGrid w:val="0"/>
              <w:spacing w:line="360" w:lineRule="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投标报价包含验收费用</w:t>
            </w:r>
          </w:p>
          <w:p w14:paraId="4718F0B4">
            <w:pPr>
              <w:pStyle w:val="13"/>
              <w:rPr>
                <w:rFonts w:hint="eastAsia"/>
                <w:color w:val="auto"/>
                <w:highlight w:val="none"/>
              </w:rPr>
            </w:pPr>
            <w:r>
              <w:rPr>
                <w:rFonts w:hint="eastAsia" w:ascii="宋体" w:hAnsi="宋体" w:eastAsia="宋体" w:cs="宋体"/>
                <w:b/>
                <w:color w:val="auto"/>
                <w:sz w:val="21"/>
                <w:szCs w:val="21"/>
                <w:highlight w:val="none"/>
              </w:rPr>
              <w:t>□投标报价不包含验收费用</w:t>
            </w:r>
          </w:p>
        </w:tc>
      </w:tr>
      <w:tr w14:paraId="209E6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7C7C8BF9">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8F0A447">
            <w:pPr>
              <w:spacing w:line="380" w:lineRule="exact"/>
              <w:rPr>
                <w:rFonts w:hint="eastAsia" w:ascii="宋体" w:hAnsi="宋体" w:eastAsia="宋体" w:cs="宋体"/>
                <w:color w:val="auto"/>
                <w:sz w:val="21"/>
                <w:szCs w:val="21"/>
                <w:highlight w:val="none"/>
              </w:rPr>
            </w:pPr>
            <w:bookmarkStart w:id="95" w:name="_17.1"/>
            <w:bookmarkEnd w:id="95"/>
            <w:r>
              <w:rPr>
                <w:rFonts w:hint="eastAsia" w:ascii="宋体" w:hAnsi="宋体" w:eastAsia="宋体" w:cs="宋体"/>
                <w:color w:val="auto"/>
                <w:sz w:val="21"/>
                <w:szCs w:val="21"/>
                <w:highlight w:val="none"/>
              </w:rPr>
              <w:t>投标有效期</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02C4620E">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自投标截止之日起</w:t>
            </w:r>
            <w:r>
              <w:rPr>
                <w:rFonts w:hint="eastAsia" w:ascii="宋体" w:hAnsi="宋体" w:cs="宋体"/>
                <w:color w:val="auto"/>
                <w:sz w:val="21"/>
                <w:szCs w:val="21"/>
                <w:highlight w:val="none"/>
                <w:u w:val="single"/>
                <w:lang w:val="en-US" w:eastAsia="zh-CN"/>
              </w:rPr>
              <w:t xml:space="preserve">   90   </w:t>
            </w:r>
            <w:r>
              <w:rPr>
                <w:rFonts w:hint="eastAsia" w:ascii="宋体" w:hAnsi="宋体" w:cs="宋体"/>
                <w:color w:val="auto"/>
                <w:sz w:val="21"/>
                <w:szCs w:val="21"/>
                <w:highlight w:val="none"/>
                <w:u w:val="none"/>
                <w:lang w:val="en-US" w:eastAsia="zh-CN"/>
              </w:rPr>
              <w:t>日</w:t>
            </w:r>
            <w:r>
              <w:rPr>
                <w:rFonts w:hint="eastAsia" w:ascii="宋体" w:hAnsi="宋体" w:eastAsia="宋体" w:cs="宋体"/>
                <w:color w:val="auto"/>
                <w:sz w:val="21"/>
                <w:szCs w:val="21"/>
                <w:highlight w:val="none"/>
              </w:rPr>
              <w:t>。</w:t>
            </w:r>
          </w:p>
        </w:tc>
      </w:tr>
      <w:tr w14:paraId="3C07B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2381C1E4">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1BA7F4FD">
            <w:pPr>
              <w:spacing w:line="380" w:lineRule="exact"/>
              <w:rPr>
                <w:rFonts w:hint="eastAsia" w:ascii="宋体" w:hAnsi="宋体" w:eastAsia="宋体" w:cs="宋体"/>
                <w:color w:val="auto"/>
                <w:sz w:val="21"/>
                <w:szCs w:val="21"/>
                <w:highlight w:val="none"/>
              </w:rPr>
            </w:pPr>
            <w:bookmarkStart w:id="96" w:name="_18"/>
            <w:bookmarkEnd w:id="96"/>
            <w:r>
              <w:rPr>
                <w:rFonts w:hint="eastAsia" w:ascii="宋体" w:hAnsi="宋体" w:eastAsia="宋体" w:cs="宋体"/>
                <w:color w:val="auto"/>
                <w:sz w:val="21"/>
                <w:szCs w:val="21"/>
                <w:highlight w:val="none"/>
              </w:rPr>
              <w:t>投标保证金金额</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12A2D6EC">
            <w:pPr>
              <w:snapToGrid w:val="0"/>
              <w:spacing w:line="360" w:lineRule="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本项目需要缴纳投标保证金，</w:t>
            </w:r>
            <w:r>
              <w:rPr>
                <w:rFonts w:hint="eastAsia" w:ascii="宋体" w:hAnsi="宋体" w:cs="宋体"/>
                <w:b/>
                <w:bCs/>
                <w:color w:val="auto"/>
                <w:szCs w:val="21"/>
                <w:highlight w:val="none"/>
                <w:lang w:eastAsia="zh-CN"/>
              </w:rPr>
              <w:t>相关要求</w:t>
            </w:r>
            <w:r>
              <w:rPr>
                <w:rFonts w:hint="eastAsia" w:ascii="宋体" w:hAnsi="宋体" w:eastAsia="宋体" w:cs="宋体"/>
                <w:b/>
                <w:bCs/>
                <w:color w:val="auto"/>
                <w:szCs w:val="21"/>
                <w:highlight w:val="none"/>
              </w:rPr>
              <w:t>如下：</w:t>
            </w:r>
          </w:p>
          <w:p w14:paraId="5EFE56A1">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投标保证金的</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方式：详见招标公告</w:t>
            </w:r>
          </w:p>
          <w:p w14:paraId="08609C1E">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投标保证金的金额：详见招标公告</w:t>
            </w:r>
          </w:p>
          <w:p w14:paraId="1321EB65">
            <w:pPr>
              <w:pStyle w:val="8"/>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.投标保证金采用银行转账缴纳方式的，在投标截止时间前交至采购代理机构指定账户并且到账，投标人应将银行转账底单的复印件作为投标保证金提交凭证，放置于商务文件中，</w:t>
            </w:r>
            <w:r>
              <w:rPr>
                <w:rFonts w:hint="eastAsia" w:ascii="宋体" w:hAnsi="宋体" w:eastAsia="宋体" w:cs="宋体"/>
                <w:b/>
                <w:color w:val="auto"/>
                <w:szCs w:val="21"/>
                <w:highlight w:val="none"/>
                <w:lang w:val="en-US" w:eastAsia="zh-CN"/>
              </w:rPr>
              <w:t>否则作无效投标处理</w:t>
            </w:r>
            <w:r>
              <w:rPr>
                <w:rFonts w:hint="eastAsia" w:ascii="宋体" w:hAnsi="宋体" w:eastAsia="宋体" w:cs="宋体"/>
                <w:color w:val="auto"/>
                <w:szCs w:val="21"/>
                <w:highlight w:val="none"/>
                <w:lang w:val="en-US" w:eastAsia="zh-CN"/>
              </w:rPr>
              <w:t>。</w:t>
            </w:r>
          </w:p>
          <w:p w14:paraId="49D66A2E">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.投标保证金采用支票、汇票、本票或者金融机构、担保机构出具的保函</w:t>
            </w:r>
            <w:r>
              <w:rPr>
                <w:rFonts w:hint="eastAsia" w:ascii="宋体" w:hAnsi="宋体" w:eastAsia="宋体" w:cs="宋体"/>
                <w:color w:val="auto"/>
                <w:szCs w:val="21"/>
                <w:highlight w:val="none"/>
                <w:lang w:eastAsia="zh-CN"/>
              </w:rPr>
              <w:t>等缴纳</w:t>
            </w:r>
            <w:r>
              <w:rPr>
                <w:rFonts w:hint="eastAsia" w:ascii="宋体" w:hAnsi="宋体" w:eastAsia="宋体" w:cs="宋体"/>
                <w:color w:val="auto"/>
                <w:szCs w:val="21"/>
                <w:highlight w:val="none"/>
              </w:rPr>
              <w:t>方式的，投标人应将支票、汇票、本票或者金融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的复印件或者金融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w:t>
            </w:r>
            <w:r>
              <w:rPr>
                <w:rFonts w:hint="eastAsia" w:ascii="宋体" w:hAnsi="宋体" w:cs="宋体"/>
                <w:color w:val="auto"/>
                <w:kern w:val="0"/>
                <w:szCs w:val="21"/>
                <w:highlight w:val="none"/>
                <w:lang w:val="en-US" w:eastAsia="zh-CN"/>
              </w:rPr>
              <w:t>电子保函</w:t>
            </w:r>
            <w:r>
              <w:rPr>
                <w:rFonts w:hint="eastAsia" w:ascii="宋体" w:hAnsi="宋体" w:eastAsia="宋体" w:cs="宋体"/>
                <w:color w:val="auto"/>
                <w:szCs w:val="21"/>
                <w:highlight w:val="none"/>
              </w:rPr>
              <w:t>作为投标保证金提交凭证，放置于商务文件中，</w:t>
            </w:r>
            <w:r>
              <w:rPr>
                <w:rFonts w:hint="eastAsia" w:ascii="宋体" w:hAnsi="宋体" w:eastAsia="宋体" w:cs="宋体"/>
                <w:b/>
                <w:color w:val="auto"/>
                <w:szCs w:val="21"/>
                <w:highlight w:val="none"/>
              </w:rPr>
              <w:t>否则</w:t>
            </w:r>
            <w:r>
              <w:rPr>
                <w:rFonts w:hint="eastAsia" w:ascii="宋体" w:hAnsi="宋体" w:cs="宋体"/>
                <w:b/>
                <w:color w:val="auto"/>
                <w:szCs w:val="21"/>
                <w:highlight w:val="none"/>
              </w:rPr>
              <w:t>作无效投标处理</w:t>
            </w:r>
            <w:r>
              <w:rPr>
                <w:rFonts w:hint="eastAsia" w:ascii="宋体" w:hAnsi="宋体" w:eastAsia="宋体" w:cs="宋体"/>
                <w:color w:val="auto"/>
                <w:szCs w:val="21"/>
                <w:highlight w:val="none"/>
              </w:rPr>
              <w:t>。投标人必须</w:t>
            </w:r>
            <w:r>
              <w:rPr>
                <w:rFonts w:hint="eastAsia" w:ascii="宋体" w:hAnsi="宋体" w:eastAsia="宋体" w:cs="宋体"/>
                <w:color w:val="auto"/>
                <w:kern w:val="0"/>
                <w:szCs w:val="21"/>
                <w:highlight w:val="none"/>
              </w:rPr>
              <w:t>在投标截止时间前</w:t>
            </w:r>
            <w:r>
              <w:rPr>
                <w:rFonts w:hint="eastAsia" w:ascii="宋体" w:hAnsi="宋体" w:eastAsia="宋体" w:cs="宋体"/>
                <w:color w:val="auto"/>
                <w:szCs w:val="21"/>
                <w:highlight w:val="none"/>
              </w:rPr>
              <w:t>将支票、汇票、本票或者金融、担保机构出具的保函</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lang w:val="en-US" w:eastAsia="zh-CN"/>
              </w:rPr>
              <w:t>电子保函除外</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原件提交给采购代理机构，由采购代理机构向投标人出具回执，并妥善保管。</w:t>
            </w:r>
          </w:p>
          <w:p w14:paraId="715C734B">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投标保证金指定</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户：详见招标公告。</w:t>
            </w:r>
          </w:p>
          <w:p w14:paraId="1BE69BE7">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.投标人为联合体的，可以由联合体中的一方或者多方共同</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投标保证金，其</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保证金对联合体各方均具有约束力。</w:t>
            </w:r>
          </w:p>
          <w:p w14:paraId="166C58D4">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14:paraId="64CFDE28">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投标保证金在投标截止时间后提交的，或者不按规定</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方式</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的，或者未足额</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的（包含保函额度不足的），视为无效投标保证金。</w:t>
            </w:r>
          </w:p>
          <w:p w14:paraId="4AB362D6">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2.投标人采用现</w:t>
            </w:r>
            <w:r>
              <w:rPr>
                <w:rFonts w:hint="eastAsia" w:ascii="宋体" w:hAnsi="宋体" w:eastAsia="宋体" w:cs="宋体"/>
                <w:b/>
                <w:color w:val="auto"/>
                <w:szCs w:val="21"/>
                <w:highlight w:val="none"/>
                <w:lang w:eastAsia="zh-CN"/>
              </w:rPr>
              <w:t>金</w:t>
            </w:r>
            <w:r>
              <w:rPr>
                <w:rFonts w:hint="eastAsia" w:ascii="宋体" w:hAnsi="宋体" w:eastAsia="宋体" w:cs="宋体"/>
                <w:b/>
                <w:color w:val="auto"/>
                <w:szCs w:val="21"/>
                <w:highlight w:val="none"/>
              </w:rPr>
              <w:t>方式或者从个人账户（自然人投标除外）转出的投标保证金，视为无效投标保证金。</w:t>
            </w:r>
          </w:p>
          <w:p w14:paraId="2482FD3D">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3.支票、汇票或者本票出现无效或者背书情形的，视为无效投标保证金。</w:t>
            </w:r>
          </w:p>
          <w:p w14:paraId="6163E270">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4.保函有效期低于投标有效期的，视为无效投标保证金。</w:t>
            </w:r>
          </w:p>
          <w:p w14:paraId="197C166B">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5.采用金融、担保机构出具保函的，必须为无条件保函，否则视为无效投标保证金</w:t>
            </w:r>
            <w:r>
              <w:rPr>
                <w:rFonts w:hint="eastAsia" w:ascii="宋体" w:hAnsi="宋体" w:cs="宋体"/>
                <w:b/>
                <w:bCs/>
                <w:color w:val="auto"/>
                <w:szCs w:val="21"/>
                <w:highlight w:val="none"/>
              </w:rPr>
              <w:t>。</w:t>
            </w:r>
          </w:p>
        </w:tc>
      </w:tr>
      <w:tr w14:paraId="0BC94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790149D5">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78DF9B5C">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2F181E41">
            <w:pPr>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投标文件应按报价文件、资格文件、商务文件、技术文件分别编制，报价文件、资格文件分别生</w:t>
            </w:r>
            <w:r>
              <w:rPr>
                <w:rFonts w:hint="eastAsia" w:ascii="宋体" w:hAnsi="宋体" w:cs="宋体"/>
                <w:color w:val="auto"/>
                <w:sz w:val="21"/>
                <w:szCs w:val="21"/>
                <w:highlight w:val="none"/>
                <w:lang w:eastAsia="zh-CN"/>
              </w:rPr>
              <w:t>成</w:t>
            </w:r>
            <w:r>
              <w:rPr>
                <w:rFonts w:hint="eastAsia" w:ascii="宋体" w:hAnsi="宋体" w:eastAsia="宋体" w:cs="宋体"/>
                <w:color w:val="auto"/>
                <w:sz w:val="21"/>
                <w:szCs w:val="21"/>
                <w:highlight w:val="none"/>
              </w:rPr>
              <w:t>电子文件，商务文件和技术文件按顺序合并生成电子文件。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Cs w:val="21"/>
                <w:highlight w:val="none"/>
                <w:lang w:eastAsia="zh-CN"/>
              </w:rPr>
              <w:t>注：</w:t>
            </w:r>
            <w:r>
              <w:rPr>
                <w:rFonts w:hint="eastAsia" w:ascii="宋体" w:hAnsi="宋体" w:eastAsia="宋体" w:cs="宋体"/>
                <w:b/>
                <w:bCs/>
                <w:color w:val="auto"/>
                <w:szCs w:val="21"/>
                <w:highlight w:val="none"/>
              </w:rPr>
              <w:t>按照本</w:t>
            </w:r>
            <w:r>
              <w:rPr>
                <w:rFonts w:hint="eastAsia" w:ascii="宋体" w:hAnsi="宋体" w:eastAsia="宋体" w:cs="宋体"/>
                <w:b/>
                <w:bCs/>
                <w:color w:val="auto"/>
                <w:szCs w:val="21"/>
                <w:highlight w:val="none"/>
                <w:lang w:eastAsia="zh-CN"/>
              </w:rPr>
              <w:t>招标</w:t>
            </w:r>
            <w:r>
              <w:rPr>
                <w:rFonts w:hint="eastAsia" w:ascii="宋体" w:hAnsi="宋体" w:eastAsia="宋体" w:cs="宋体"/>
                <w:b/>
                <w:bCs/>
                <w:color w:val="auto"/>
                <w:szCs w:val="21"/>
                <w:highlight w:val="none"/>
              </w:rPr>
              <w:t>文件“</w:t>
            </w:r>
            <w:r>
              <w:rPr>
                <w:rFonts w:hint="eastAsia" w:ascii="宋体" w:hAnsi="宋体" w:cs="宋体"/>
                <w:b/>
                <w:bCs/>
                <w:color w:val="auto"/>
                <w:szCs w:val="21"/>
                <w:highlight w:val="none"/>
              </w:rPr>
              <w:t>第六章 投标文件格式</w:t>
            </w:r>
            <w:r>
              <w:rPr>
                <w:rFonts w:hint="eastAsia" w:ascii="宋体" w:hAnsi="宋体" w:eastAsia="宋体" w:cs="宋体"/>
                <w:b/>
                <w:bCs/>
                <w:color w:val="auto"/>
                <w:szCs w:val="21"/>
                <w:highlight w:val="none"/>
              </w:rPr>
              <w:t>”编写</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rPr>
              <w:t>章未附格式的，由</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自行拟定</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lang w:eastAsia="zh-CN"/>
              </w:rPr>
              <w:t>）</w:t>
            </w:r>
          </w:p>
        </w:tc>
      </w:tr>
      <w:tr w14:paraId="528037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5F3C9F1A">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4F5F3B25">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备份投标文件</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4AD72536">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14:paraId="6E7CF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89" w:type="dxa"/>
            <w:vMerge w:val="restart"/>
            <w:tcBorders>
              <w:top w:val="single" w:color="auto" w:sz="4" w:space="0"/>
              <w:left w:val="single" w:color="auto" w:sz="4" w:space="0"/>
              <w:bottom w:val="nil"/>
              <w:right w:val="single" w:color="auto" w:sz="4" w:space="0"/>
            </w:tcBorders>
            <w:noWrap w:val="0"/>
            <w:vAlign w:val="center"/>
          </w:tcPr>
          <w:p w14:paraId="5432DAFF">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A544A7A">
            <w:pPr>
              <w:spacing w:line="380" w:lineRule="exact"/>
              <w:rPr>
                <w:rFonts w:hint="eastAsia" w:ascii="宋体" w:hAnsi="宋体" w:eastAsia="宋体" w:cs="宋体"/>
                <w:color w:val="auto"/>
                <w:sz w:val="21"/>
                <w:szCs w:val="21"/>
                <w:highlight w:val="none"/>
              </w:rPr>
            </w:pPr>
            <w:bookmarkStart w:id="97" w:name="_21.1"/>
            <w:bookmarkEnd w:id="97"/>
            <w:r>
              <w:rPr>
                <w:rFonts w:hint="eastAsia" w:ascii="宋体" w:hAnsi="宋体" w:eastAsia="宋体" w:cs="宋体"/>
                <w:color w:val="auto"/>
                <w:sz w:val="21"/>
                <w:szCs w:val="21"/>
                <w:highlight w:val="none"/>
              </w:rPr>
              <w:t>投标截止时间</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6D96686E">
            <w:pPr>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详见招标公告</w:t>
            </w:r>
          </w:p>
        </w:tc>
      </w:tr>
      <w:tr w14:paraId="4F415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89" w:type="dxa"/>
            <w:vMerge w:val="continue"/>
            <w:tcBorders>
              <w:top w:val="single" w:color="auto" w:sz="4" w:space="0"/>
              <w:left w:val="single" w:color="auto" w:sz="4" w:space="0"/>
              <w:bottom w:val="nil"/>
              <w:right w:val="single" w:color="auto" w:sz="4" w:space="0"/>
            </w:tcBorders>
            <w:noWrap w:val="0"/>
            <w:vAlign w:val="center"/>
          </w:tcPr>
          <w:p w14:paraId="74AE03A4">
            <w:pPr>
              <w:widowControl/>
              <w:jc w:val="left"/>
              <w:rPr>
                <w:rFonts w:hint="eastAsia" w:ascii="宋体" w:hAnsi="宋体" w:eastAsia="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30C1025">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19B16552">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5DFA4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89" w:type="dxa"/>
            <w:vMerge w:val="continue"/>
            <w:tcBorders>
              <w:top w:val="single" w:color="auto" w:sz="4" w:space="0"/>
              <w:left w:val="single" w:color="auto" w:sz="4" w:space="0"/>
              <w:bottom w:val="nil"/>
              <w:right w:val="single" w:color="auto" w:sz="4" w:space="0"/>
            </w:tcBorders>
            <w:noWrap w:val="0"/>
            <w:vAlign w:val="center"/>
          </w:tcPr>
          <w:p w14:paraId="38D597D9">
            <w:pPr>
              <w:widowControl/>
              <w:jc w:val="left"/>
              <w:rPr>
                <w:rFonts w:hint="eastAsia" w:ascii="宋体" w:hAnsi="宋体" w:eastAsia="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B4E87D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cs="宋体"/>
                <w:color w:val="auto"/>
                <w:sz w:val="21"/>
                <w:szCs w:val="21"/>
                <w:highlight w:val="none"/>
                <w:lang w:eastAsia="zh-CN"/>
              </w:rPr>
              <w:t>提交</w:t>
            </w:r>
            <w:r>
              <w:rPr>
                <w:rFonts w:hint="eastAsia" w:ascii="宋体" w:hAnsi="宋体" w:eastAsia="宋体" w:cs="宋体"/>
                <w:color w:val="auto"/>
                <w:sz w:val="21"/>
                <w:szCs w:val="21"/>
                <w:highlight w:val="none"/>
              </w:rPr>
              <w:t>投标样品截止时间及地点</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1F7E42D2">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lang w:val="en-US" w:eastAsia="zh-CN"/>
              </w:rPr>
              <w:t>无</w:t>
            </w:r>
          </w:p>
        </w:tc>
      </w:tr>
      <w:tr w14:paraId="0E196B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0405AFDE">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42F6DC9C">
            <w:pPr>
              <w:spacing w:line="380" w:lineRule="exact"/>
              <w:rPr>
                <w:rFonts w:hint="eastAsia" w:ascii="宋体" w:hAnsi="宋体" w:eastAsia="宋体" w:cs="宋体"/>
                <w:color w:val="auto"/>
                <w:sz w:val="21"/>
                <w:szCs w:val="21"/>
                <w:highlight w:val="none"/>
              </w:rPr>
            </w:pPr>
            <w:bookmarkStart w:id="98" w:name="_23"/>
            <w:bookmarkEnd w:id="98"/>
            <w:r>
              <w:rPr>
                <w:rFonts w:hint="eastAsia" w:ascii="宋体" w:hAnsi="宋体" w:eastAsia="宋体" w:cs="宋体"/>
                <w:color w:val="auto"/>
                <w:sz w:val="21"/>
                <w:szCs w:val="21"/>
                <w:highlight w:val="none"/>
              </w:rPr>
              <w:t>开标时间、地点</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00D0BC84">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详见招标公告 </w:t>
            </w:r>
          </w:p>
        </w:tc>
      </w:tr>
      <w:tr w14:paraId="17FA8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889" w:type="dxa"/>
            <w:vMerge w:val="restart"/>
            <w:tcBorders>
              <w:top w:val="single" w:color="auto" w:sz="4" w:space="0"/>
              <w:left w:val="single" w:color="auto" w:sz="4" w:space="0"/>
              <w:bottom w:val="single" w:color="auto" w:sz="4" w:space="0"/>
              <w:right w:val="single" w:color="auto" w:sz="4" w:space="0"/>
            </w:tcBorders>
            <w:noWrap w:val="0"/>
            <w:vAlign w:val="center"/>
          </w:tcPr>
          <w:p w14:paraId="3868C716">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015075D">
            <w:pPr>
              <w:spacing w:line="380" w:lineRule="exact"/>
              <w:rPr>
                <w:rFonts w:hint="eastAsia" w:ascii="宋体" w:hAnsi="宋体" w:eastAsia="宋体" w:cs="宋体"/>
                <w:color w:val="auto"/>
                <w:sz w:val="21"/>
                <w:szCs w:val="21"/>
                <w:highlight w:val="none"/>
              </w:rPr>
            </w:pPr>
            <w:bookmarkStart w:id="99" w:name="_25.3"/>
            <w:bookmarkEnd w:id="99"/>
            <w:r>
              <w:rPr>
                <w:rFonts w:hint="eastAsia" w:ascii="宋体" w:hAnsi="宋体" w:eastAsia="宋体" w:cs="宋体"/>
                <w:color w:val="auto"/>
                <w:sz w:val="21"/>
                <w:szCs w:val="21"/>
                <w:highlight w:val="none"/>
              </w:rPr>
              <w:t>投标人信用查询渠道</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03889A0C">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0C655FCD">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 、中国政府采购网(www.ccgp.gov.cn)。</w:t>
            </w:r>
          </w:p>
        </w:tc>
      </w:tr>
      <w:tr w14:paraId="3D9A1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722FBD04">
            <w:pPr>
              <w:widowControl/>
              <w:jc w:val="left"/>
              <w:rPr>
                <w:rFonts w:hint="eastAsia" w:ascii="宋体" w:hAnsi="宋体" w:eastAsia="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734EE278">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5FC95B83">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资格审查结束前</w:t>
            </w:r>
          </w:p>
        </w:tc>
      </w:tr>
      <w:tr w14:paraId="4BDDF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218F0C70">
            <w:pPr>
              <w:widowControl/>
              <w:jc w:val="left"/>
              <w:rPr>
                <w:rFonts w:hint="eastAsia" w:ascii="宋体" w:hAnsi="宋体" w:eastAsia="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B09C3CB">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1C68C4D3">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在查询网站中直接截图查询记录，截图作为</w:t>
            </w:r>
            <w:r>
              <w:rPr>
                <w:rFonts w:hint="eastAsia" w:ascii="宋体" w:hAnsi="宋体" w:cs="宋体"/>
                <w:color w:val="auto"/>
                <w:szCs w:val="21"/>
                <w:highlight w:val="none"/>
                <w:lang w:val="en-US" w:eastAsia="zh-CN"/>
              </w:rPr>
              <w:t>附件</w:t>
            </w:r>
            <w:r>
              <w:rPr>
                <w:rFonts w:hint="eastAsia" w:ascii="宋体" w:hAnsi="宋体" w:cs="宋体"/>
                <w:color w:val="auto"/>
                <w:szCs w:val="21"/>
                <w:highlight w:val="none"/>
              </w:rPr>
              <w:t>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上传保存。</w:t>
            </w:r>
          </w:p>
        </w:tc>
      </w:tr>
      <w:tr w14:paraId="7C750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7F4247E5">
            <w:pPr>
              <w:widowControl/>
              <w:jc w:val="left"/>
              <w:rPr>
                <w:rFonts w:hint="eastAsia" w:ascii="宋体" w:hAnsi="宋体" w:eastAsia="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91ACB37">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44132FEF">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对在“信用中国”网站(www.creditchina.gov.cn) 、中国政府采购网(www.ccgp.gov.cn)被列入失信被执行人、</w:t>
            </w:r>
            <w:r>
              <w:rPr>
                <w:rFonts w:hint="eastAsia" w:ascii="宋体"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189F3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4041E48B">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061A768">
            <w:pPr>
              <w:spacing w:line="380" w:lineRule="exact"/>
              <w:rPr>
                <w:rFonts w:hint="eastAsia" w:ascii="宋体" w:hAnsi="宋体" w:eastAsia="宋体" w:cs="宋体"/>
                <w:color w:val="auto"/>
                <w:sz w:val="21"/>
                <w:szCs w:val="21"/>
                <w:highlight w:val="none"/>
              </w:rPr>
            </w:pPr>
            <w:bookmarkStart w:id="100" w:name="_28.3"/>
            <w:bookmarkEnd w:id="100"/>
            <w:bookmarkStart w:id="101" w:name="_26"/>
            <w:bookmarkEnd w:id="101"/>
            <w:r>
              <w:rPr>
                <w:rFonts w:hint="eastAsia" w:ascii="宋体" w:hAnsi="宋体" w:eastAsia="宋体" w:cs="宋体"/>
                <w:color w:val="auto"/>
                <w:sz w:val="21"/>
                <w:szCs w:val="21"/>
                <w:highlight w:val="none"/>
              </w:rPr>
              <w:t>评标方法</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280C2AE9">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综合评分法</w:t>
            </w:r>
          </w:p>
          <w:p w14:paraId="18CCDD87">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w:t>
            </w:r>
          </w:p>
        </w:tc>
      </w:tr>
      <w:tr w14:paraId="3DCF4A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6CD00402">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4956FCA2">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w:t>
            </w:r>
            <w:r>
              <w:rPr>
                <w:rFonts w:hint="eastAsia" w:ascii="宋体" w:hAnsi="宋体" w:cs="宋体"/>
                <w:color w:val="auto"/>
                <w:szCs w:val="21"/>
                <w:highlight w:val="none"/>
                <w:lang w:eastAsia="zh-CN"/>
              </w:rPr>
              <w:t>排名</w:t>
            </w:r>
            <w:r>
              <w:rPr>
                <w:rFonts w:hint="eastAsia" w:ascii="宋体" w:hAnsi="宋体" w:eastAsia="宋体" w:cs="宋体"/>
                <w:color w:val="auto"/>
                <w:sz w:val="21"/>
                <w:szCs w:val="21"/>
                <w:highlight w:val="none"/>
              </w:rPr>
              <w:t>并列</w:t>
            </w:r>
            <w:r>
              <w:rPr>
                <w:rFonts w:hint="eastAsia" w:ascii="宋体" w:hAnsi="宋体" w:cs="宋体"/>
                <w:color w:val="auto"/>
                <w:sz w:val="21"/>
                <w:szCs w:val="21"/>
                <w:highlight w:val="none"/>
                <w:lang w:eastAsia="zh-CN"/>
              </w:rPr>
              <w:t>时</w:t>
            </w:r>
            <w:r>
              <w:rPr>
                <w:rFonts w:hint="eastAsia" w:ascii="宋体" w:hAnsi="宋体" w:eastAsia="宋体" w:cs="宋体"/>
                <w:color w:val="auto"/>
                <w:sz w:val="21"/>
                <w:szCs w:val="21"/>
                <w:highlight w:val="none"/>
              </w:rPr>
              <w:t>，确定中标人</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 xml:space="preserve">方式 </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7AF6F02B">
            <w:pPr>
              <w:pStyle w:val="8"/>
              <w:spacing w:line="380" w:lineRule="exact"/>
              <w:rPr>
                <w:rFonts w:hint="eastAsia"/>
                <w:b/>
                <w:bCs/>
                <w:color w:val="auto"/>
                <w:highlight w:val="none"/>
                <w:lang w:eastAsia="zh-CN"/>
              </w:rPr>
            </w:pPr>
            <w:r>
              <w:rPr>
                <w:rFonts w:hint="eastAsia" w:ascii="宋体" w:hAnsi="宋体" w:eastAsia="宋体" w:cs="宋体"/>
                <w:color w:val="auto"/>
                <w:szCs w:val="21"/>
                <w:highlight w:val="none"/>
              </w:rPr>
              <w:t>中标候选人并列</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，采购人按以下方式确定中标人：</w:t>
            </w:r>
          </w:p>
          <w:p w14:paraId="16151D58">
            <w:pPr>
              <w:pStyle w:val="8"/>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综合评分法</w:t>
            </w:r>
          </w:p>
          <w:p w14:paraId="27B2030D">
            <w:pPr>
              <w:pStyle w:val="8"/>
              <w:spacing w:line="380" w:lineRule="exac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☑以</w:t>
            </w:r>
            <w:r>
              <w:rPr>
                <w:rFonts w:hint="eastAsia" w:ascii="Times New Roman" w:hAnsi="宋体" w:eastAsia="宋体" w:cs="Times New Roman"/>
                <w:color w:val="auto"/>
                <w:szCs w:val="24"/>
                <w:highlight w:val="none"/>
              </w:rPr>
              <w:t>技术分</w:t>
            </w:r>
            <w:r>
              <w:rPr>
                <w:rFonts w:hint="eastAsia" w:ascii="Times New Roman" w:hAnsi="宋体" w:cs="Times New Roman"/>
                <w:color w:val="auto"/>
                <w:szCs w:val="24"/>
                <w:highlight w:val="none"/>
                <w:lang w:eastAsia="zh-CN"/>
              </w:rPr>
              <w:t>得分</w:t>
            </w:r>
            <w:r>
              <w:rPr>
                <w:rFonts w:hint="eastAsia" w:ascii="Times New Roman" w:hAnsi="宋体" w:eastAsia="宋体" w:cs="Times New Roman"/>
                <w:color w:val="auto"/>
                <w:sz w:val="21"/>
                <w:szCs w:val="24"/>
                <w:highlight w:val="none"/>
              </w:rPr>
              <w:t>由高到低顺序</w:t>
            </w:r>
            <w:r>
              <w:rPr>
                <w:rFonts w:hint="eastAsia" w:ascii="宋体" w:hAnsi="宋体" w:eastAsia="宋体" w:cs="宋体"/>
                <w:color w:val="auto"/>
                <w:szCs w:val="21"/>
                <w:highlight w:val="none"/>
              </w:rPr>
              <w:t>确定中标人</w:t>
            </w:r>
            <w:r>
              <w:rPr>
                <w:rFonts w:hint="eastAsia" w:ascii="宋体" w:hAnsi="宋体" w:cs="宋体"/>
                <w:color w:val="auto"/>
                <w:szCs w:val="21"/>
                <w:highlight w:val="none"/>
                <w:lang w:eastAsia="zh-CN"/>
              </w:rPr>
              <w:t>。</w:t>
            </w:r>
          </w:p>
          <w:p w14:paraId="217E17D9">
            <w:pPr>
              <w:pStyle w:val="8"/>
              <w:spacing w:line="380" w:lineRule="exact"/>
              <w:rPr>
                <w:rFonts w:hint="eastAsia" w:ascii="宋体" w:hAnsi="宋体" w:eastAsia="宋体" w:cs="宋体"/>
                <w:color w:val="auto"/>
                <w:sz w:val="21"/>
                <w:highlight w:val="none"/>
                <w:lang w:eastAsia="zh-CN"/>
              </w:rPr>
            </w:pPr>
            <w:r>
              <w:rPr>
                <w:rFonts w:hint="eastAsia" w:ascii="宋体" w:hAnsi="宋体" w:cs="宋体"/>
                <w:color w:val="auto"/>
                <w:szCs w:val="21"/>
                <w:highlight w:val="none"/>
                <w:lang w:eastAsia="zh-CN"/>
              </w:rPr>
              <w:t>□</w:t>
            </w:r>
            <w:r>
              <w:rPr>
                <w:rFonts w:ascii="宋体" w:hAnsi="宋体" w:eastAsia="宋体" w:cs="宋体"/>
                <w:color w:val="auto"/>
                <w:sz w:val="21"/>
                <w:highlight w:val="none"/>
              </w:rPr>
              <w:t>采取随机抽取的方式确定</w:t>
            </w:r>
            <w:r>
              <w:rPr>
                <w:rFonts w:hint="eastAsia" w:ascii="宋体" w:hAnsi="宋体" w:eastAsia="宋体" w:cs="宋体"/>
                <w:color w:val="auto"/>
                <w:sz w:val="21"/>
                <w:highlight w:val="none"/>
                <w:lang w:eastAsia="zh-CN"/>
              </w:rPr>
              <w:t>。</w:t>
            </w:r>
          </w:p>
        </w:tc>
      </w:tr>
      <w:tr w14:paraId="1F94B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0E9A469F">
            <w:pPr>
              <w:spacing w:line="38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35.1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7D74B3F3">
            <w:pPr>
              <w:spacing w:line="380" w:lineRule="exact"/>
              <w:rPr>
                <w:rFonts w:hint="eastAsia" w:ascii="宋体" w:hAnsi="宋体" w:eastAsia="宋体" w:cs="宋体"/>
                <w:color w:val="auto"/>
                <w:sz w:val="21"/>
                <w:szCs w:val="21"/>
                <w:highlight w:val="none"/>
              </w:rPr>
            </w:pPr>
            <w:bookmarkStart w:id="102" w:name="_39.1"/>
            <w:bookmarkEnd w:id="102"/>
            <w:r>
              <w:rPr>
                <w:rFonts w:hint="eastAsia" w:ascii="宋体" w:hAnsi="宋体" w:eastAsia="宋体" w:cs="宋体"/>
                <w:color w:val="auto"/>
                <w:sz w:val="21"/>
                <w:szCs w:val="21"/>
                <w:highlight w:val="none"/>
              </w:rPr>
              <w:t>履约保证金金额</w:t>
            </w:r>
          </w:p>
        </w:tc>
        <w:tc>
          <w:tcPr>
            <w:tcW w:w="7609" w:type="dxa"/>
            <w:tcBorders>
              <w:top w:val="single" w:color="auto" w:sz="4" w:space="0"/>
              <w:left w:val="single" w:color="auto" w:sz="4" w:space="0"/>
              <w:bottom w:val="single" w:color="auto" w:sz="4" w:space="0"/>
              <w:right w:val="single" w:color="auto" w:sz="4" w:space="0"/>
            </w:tcBorders>
            <w:noWrap w:val="0"/>
            <w:vAlign w:val="bottom"/>
          </w:tcPr>
          <w:p w14:paraId="7C7F1EE6">
            <w:pPr>
              <w:autoSpaceDE w:val="0"/>
              <w:autoSpaceDN w:val="0"/>
              <w:snapToGrid w:val="0"/>
              <w:spacing w:line="380" w:lineRule="exact"/>
              <w:jc w:val="left"/>
              <w:textAlignment w:val="bottom"/>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p>
        </w:tc>
      </w:tr>
      <w:tr w14:paraId="173DC6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0B3D3345">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0AC5A95A">
            <w:pPr>
              <w:spacing w:line="380" w:lineRule="exact"/>
              <w:rPr>
                <w:rFonts w:hint="eastAsia" w:ascii="宋体" w:hAnsi="宋体" w:eastAsia="宋体" w:cs="宋体"/>
                <w:color w:val="auto"/>
                <w:sz w:val="21"/>
                <w:szCs w:val="21"/>
                <w:highlight w:val="none"/>
              </w:rPr>
            </w:pPr>
            <w:bookmarkStart w:id="103" w:name="_40.1"/>
            <w:bookmarkEnd w:id="103"/>
            <w:r>
              <w:rPr>
                <w:rFonts w:hint="eastAsia" w:ascii="宋体" w:hAnsi="宋体" w:eastAsia="宋体" w:cs="宋体"/>
                <w:color w:val="auto"/>
                <w:sz w:val="21"/>
                <w:szCs w:val="21"/>
                <w:highlight w:val="none"/>
              </w:rPr>
              <w:t>签订合同携带的材料</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63D39C8F">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w:t>
            </w:r>
            <w:r>
              <w:rPr>
                <w:rFonts w:hint="eastAsia" w:ascii="宋体" w:hAnsi="宋体" w:eastAsia="宋体" w:cs="宋体"/>
                <w:color w:val="auto"/>
                <w:szCs w:val="21"/>
                <w:highlight w:val="none"/>
                <w:lang w:eastAsia="zh-CN"/>
              </w:rPr>
              <w:t>有效的法定代表人</w:t>
            </w:r>
            <w:r>
              <w:rPr>
                <w:rFonts w:hint="eastAsia" w:ascii="宋体" w:hAnsi="宋体" w:eastAsia="宋体" w:cs="宋体"/>
                <w:color w:val="auto"/>
                <w:szCs w:val="21"/>
                <w:highlight w:val="none"/>
              </w:rPr>
              <w:t>授权委托书及</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资格证件。</w:t>
            </w:r>
          </w:p>
          <w:p w14:paraId="7E71EC9D">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证明材料。</w:t>
            </w:r>
          </w:p>
        </w:tc>
      </w:tr>
      <w:tr w14:paraId="73E2BE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889" w:type="dxa"/>
            <w:vMerge w:val="restart"/>
            <w:tcBorders>
              <w:top w:val="single" w:color="auto" w:sz="4" w:space="0"/>
              <w:left w:val="single" w:color="auto" w:sz="4" w:space="0"/>
              <w:bottom w:val="single" w:color="auto" w:sz="4" w:space="0"/>
              <w:right w:val="single" w:color="auto" w:sz="4" w:space="0"/>
            </w:tcBorders>
            <w:noWrap w:val="0"/>
            <w:vAlign w:val="center"/>
          </w:tcPr>
          <w:p w14:paraId="7F69B335">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F5A1ACB">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6E736342">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14:paraId="5CAC4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5DBFF7C8">
            <w:pPr>
              <w:widowControl/>
              <w:jc w:val="left"/>
              <w:rPr>
                <w:rFonts w:hint="eastAsia" w:ascii="宋体" w:hAnsi="宋体" w:eastAsia="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F27DC9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2F30711D">
            <w:pPr>
              <w:snapToGrid w:val="0"/>
              <w:spacing w:line="380" w:lineRule="exac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（1）名称：广西壮族自治区市场监督管理局</w:t>
            </w:r>
          </w:p>
          <w:p w14:paraId="65CCE970">
            <w:pPr>
              <w:snapToGrid w:val="0"/>
              <w:spacing w:line="380" w:lineRule="exac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联系电话：077</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-5300133</w:t>
            </w:r>
          </w:p>
          <w:p w14:paraId="3A3D260F">
            <w:pPr>
              <w:snapToGrid w:val="0"/>
              <w:spacing w:line="380" w:lineRule="exac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 xml:space="preserve">通讯地址：广西南宁市青秀区怡宾路1号    </w:t>
            </w:r>
          </w:p>
          <w:p w14:paraId="44797EA8">
            <w:pPr>
              <w:snapToGrid w:val="0"/>
              <w:spacing w:line="380" w:lineRule="exac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（2）名称：广西科联招标中心有限公司</w:t>
            </w:r>
          </w:p>
          <w:p w14:paraId="2BC9F98F">
            <w:pPr>
              <w:snapToGrid w:val="0"/>
              <w:spacing w:line="380" w:lineRule="exac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 xml:space="preserve">联系电话：陈工，0771-3486228 </w:t>
            </w:r>
          </w:p>
          <w:p w14:paraId="023A7CB5">
            <w:pPr>
              <w:snapToGrid w:val="0"/>
              <w:spacing w:line="38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通讯地址：广西科联招标中心有限公司102室（广西南宁市大学东路170号广西农业机械研究院内）</w:t>
            </w:r>
          </w:p>
        </w:tc>
      </w:tr>
      <w:tr w14:paraId="1D4AF1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747ED304">
            <w:pPr>
              <w:widowControl/>
              <w:jc w:val="left"/>
              <w:rPr>
                <w:rFonts w:hint="eastAsia" w:ascii="宋体" w:hAnsi="宋体" w:eastAsia="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993E02E">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4435F6EF">
            <w:pPr>
              <w:snapToGrid w:val="0"/>
              <w:spacing w:beforeLines="0" w:afterLines="0"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4"/>
                <w:highlight w:val="none"/>
              </w:rPr>
              <w:t>质疑期内每个工作日（北京时间）上午</w:t>
            </w:r>
            <w:r>
              <w:rPr>
                <w:rFonts w:hint="eastAsia" w:ascii="宋体" w:hAnsi="宋体" w:cs="宋体"/>
                <w:color w:val="auto"/>
                <w:sz w:val="21"/>
                <w:szCs w:val="24"/>
                <w:highlight w:val="none"/>
                <w:u w:val="single"/>
              </w:rPr>
              <w:t>8</w:t>
            </w:r>
            <w:r>
              <w:rPr>
                <w:rFonts w:hint="eastAsia" w:ascii="宋体" w:hAnsi="宋体" w:cs="宋体"/>
                <w:color w:val="auto"/>
                <w:sz w:val="21"/>
                <w:szCs w:val="24"/>
                <w:highlight w:val="none"/>
              </w:rPr>
              <w:t>时</w:t>
            </w:r>
            <w:r>
              <w:rPr>
                <w:rFonts w:hint="eastAsia" w:ascii="宋体" w:hAnsi="宋体" w:cs="宋体"/>
                <w:color w:val="auto"/>
                <w:sz w:val="21"/>
                <w:szCs w:val="24"/>
                <w:highlight w:val="none"/>
                <w:u w:val="single"/>
              </w:rPr>
              <w:t>00</w:t>
            </w:r>
            <w:r>
              <w:rPr>
                <w:rFonts w:hint="eastAsia" w:ascii="宋体" w:hAnsi="宋体" w:cs="宋体"/>
                <w:color w:val="auto"/>
                <w:sz w:val="21"/>
                <w:szCs w:val="24"/>
                <w:highlight w:val="none"/>
              </w:rPr>
              <w:t>分到</w:t>
            </w:r>
            <w:r>
              <w:rPr>
                <w:rFonts w:hint="eastAsia" w:ascii="宋体" w:hAnsi="宋体" w:cs="宋体"/>
                <w:color w:val="auto"/>
                <w:sz w:val="21"/>
                <w:szCs w:val="24"/>
                <w:highlight w:val="none"/>
                <w:u w:val="single"/>
              </w:rPr>
              <w:t>12</w:t>
            </w:r>
            <w:r>
              <w:rPr>
                <w:rFonts w:hint="eastAsia" w:ascii="宋体" w:hAnsi="宋体" w:cs="宋体"/>
                <w:color w:val="auto"/>
                <w:sz w:val="21"/>
                <w:szCs w:val="24"/>
                <w:highlight w:val="none"/>
              </w:rPr>
              <w:t>时</w:t>
            </w:r>
            <w:r>
              <w:rPr>
                <w:rFonts w:hint="eastAsia" w:ascii="宋体" w:hAnsi="宋体" w:cs="宋体"/>
                <w:color w:val="auto"/>
                <w:sz w:val="21"/>
                <w:szCs w:val="24"/>
                <w:highlight w:val="none"/>
                <w:u w:val="single"/>
              </w:rPr>
              <w:t>00</w:t>
            </w:r>
            <w:r>
              <w:rPr>
                <w:rFonts w:hint="eastAsia" w:ascii="宋体" w:hAnsi="宋体" w:cs="宋体"/>
                <w:color w:val="auto"/>
                <w:sz w:val="21"/>
                <w:szCs w:val="24"/>
                <w:highlight w:val="none"/>
              </w:rPr>
              <w:t>分，下午</w:t>
            </w:r>
            <w:r>
              <w:rPr>
                <w:rFonts w:hint="eastAsia" w:ascii="宋体" w:hAnsi="宋体" w:cs="宋体"/>
                <w:color w:val="auto"/>
                <w:sz w:val="21"/>
                <w:szCs w:val="24"/>
                <w:highlight w:val="none"/>
                <w:u w:val="single"/>
              </w:rPr>
              <w:t>15</w:t>
            </w:r>
            <w:r>
              <w:rPr>
                <w:rFonts w:hint="eastAsia" w:ascii="宋体" w:hAnsi="宋体" w:cs="宋体"/>
                <w:color w:val="auto"/>
                <w:sz w:val="21"/>
                <w:szCs w:val="24"/>
                <w:highlight w:val="none"/>
              </w:rPr>
              <w:t>时</w:t>
            </w:r>
            <w:r>
              <w:rPr>
                <w:rFonts w:hint="eastAsia" w:ascii="宋体" w:hAnsi="宋体" w:cs="宋体"/>
                <w:color w:val="auto"/>
                <w:sz w:val="21"/>
                <w:szCs w:val="24"/>
                <w:highlight w:val="none"/>
                <w:u w:val="single"/>
              </w:rPr>
              <w:t>00</w:t>
            </w:r>
            <w:r>
              <w:rPr>
                <w:rFonts w:hint="eastAsia" w:ascii="宋体" w:hAnsi="宋体" w:cs="宋体"/>
                <w:color w:val="auto"/>
                <w:sz w:val="21"/>
                <w:szCs w:val="24"/>
                <w:highlight w:val="none"/>
              </w:rPr>
              <w:t>分到</w:t>
            </w:r>
            <w:r>
              <w:rPr>
                <w:rFonts w:hint="eastAsia" w:ascii="宋体" w:hAnsi="宋体" w:cs="宋体"/>
                <w:color w:val="auto"/>
                <w:sz w:val="21"/>
                <w:szCs w:val="24"/>
                <w:highlight w:val="none"/>
                <w:u w:val="single"/>
              </w:rPr>
              <w:t>18</w:t>
            </w:r>
            <w:r>
              <w:rPr>
                <w:rFonts w:hint="eastAsia" w:ascii="宋体" w:hAnsi="宋体" w:cs="宋体"/>
                <w:color w:val="auto"/>
                <w:sz w:val="21"/>
                <w:szCs w:val="24"/>
                <w:highlight w:val="none"/>
              </w:rPr>
              <w:t>时</w:t>
            </w:r>
            <w:r>
              <w:rPr>
                <w:rFonts w:hint="eastAsia" w:ascii="宋体" w:hAnsi="宋体" w:cs="宋体"/>
                <w:color w:val="auto"/>
                <w:sz w:val="21"/>
                <w:szCs w:val="24"/>
                <w:highlight w:val="none"/>
                <w:u w:val="single"/>
              </w:rPr>
              <w:t>00</w:t>
            </w:r>
            <w:r>
              <w:rPr>
                <w:rFonts w:hint="eastAsia" w:ascii="宋体" w:hAnsi="宋体" w:cs="宋体"/>
                <w:color w:val="auto"/>
                <w:sz w:val="21"/>
                <w:szCs w:val="24"/>
                <w:highlight w:val="none"/>
              </w:rPr>
              <w:t>分。</w:t>
            </w:r>
          </w:p>
        </w:tc>
      </w:tr>
      <w:tr w14:paraId="256564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89" w:type="dxa"/>
            <w:tcBorders>
              <w:top w:val="nil"/>
              <w:left w:val="single" w:color="auto" w:sz="4" w:space="0"/>
              <w:bottom w:val="single" w:color="auto" w:sz="4" w:space="0"/>
              <w:right w:val="single" w:color="auto" w:sz="4" w:space="0"/>
            </w:tcBorders>
            <w:noWrap w:val="0"/>
            <w:vAlign w:val="center"/>
          </w:tcPr>
          <w:p w14:paraId="3F20F473">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59AAB017">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投诉受理方式</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3456CE92">
            <w:pPr>
              <w:snapToGrid w:val="0"/>
              <w:spacing w:beforeLines="0" w:afterLines="0" w:line="360" w:lineRule="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1.受理方式：纸质方式受理，投诉书正、副本（经过质疑的事项才可投诉）。</w:t>
            </w:r>
          </w:p>
          <w:p w14:paraId="05BE2CAE">
            <w:pPr>
              <w:snapToGrid w:val="0"/>
              <w:spacing w:beforeLines="0" w:afterLines="0" w:line="360" w:lineRule="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2.</w:t>
            </w:r>
            <w:r>
              <w:rPr>
                <w:rFonts w:hint="eastAsia" w:asciiTheme="minorEastAsia" w:hAnsiTheme="minorEastAsia" w:eastAsiaTheme="minorEastAsia" w:cstheme="minorEastAsia"/>
                <w:color w:val="auto"/>
                <w:sz w:val="21"/>
                <w:szCs w:val="21"/>
                <w:highlight w:val="none"/>
              </w:rPr>
              <w:t>通讯</w:t>
            </w:r>
            <w:r>
              <w:rPr>
                <w:rFonts w:hint="eastAsia" w:asciiTheme="minorEastAsia" w:hAnsiTheme="minorEastAsia" w:eastAsiaTheme="minorEastAsia" w:cstheme="minorEastAsia"/>
                <w:color w:val="auto"/>
                <w:sz w:val="21"/>
                <w:szCs w:val="24"/>
                <w:highlight w:val="none"/>
              </w:rPr>
              <w:t>方式</w:t>
            </w:r>
          </w:p>
          <w:p w14:paraId="45A3A9C5">
            <w:pPr>
              <w:snapToGrid w:val="0"/>
              <w:spacing w:beforeLines="0" w:afterLines="0" w:line="360" w:lineRule="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名称：广西壮族自治区财政厅政府采购监督管理处</w:t>
            </w:r>
          </w:p>
          <w:p w14:paraId="5ECAD2EC">
            <w:pPr>
              <w:snapToGrid w:val="0"/>
              <w:spacing w:beforeLines="0" w:afterLines="0" w:line="360" w:lineRule="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地址：南宁市桃源路69号广西财政大厦7楼</w:t>
            </w:r>
          </w:p>
          <w:p w14:paraId="2BC24BA4">
            <w:pPr>
              <w:snapToGrid w:val="0"/>
              <w:spacing w:beforeLines="0" w:afterLines="0" w:line="360" w:lineRule="auto"/>
              <w:rPr>
                <w:rFonts w:hint="eastAsia" w:ascii="宋体" w:hAnsi="宋体" w:eastAsia="宋体" w:cs="宋体"/>
                <w:color w:val="auto"/>
                <w:sz w:val="21"/>
                <w:szCs w:val="21"/>
                <w:highlight w:val="none"/>
                <w:lang w:eastAsia="zh-CN"/>
              </w:rPr>
            </w:pPr>
            <w:r>
              <w:rPr>
                <w:rFonts w:hint="eastAsia" w:asciiTheme="minorEastAsia" w:hAnsiTheme="minorEastAsia" w:eastAsiaTheme="minorEastAsia" w:cstheme="minorEastAsia"/>
                <w:color w:val="auto"/>
                <w:sz w:val="21"/>
                <w:szCs w:val="24"/>
                <w:highlight w:val="none"/>
              </w:rPr>
              <w:t xml:space="preserve">联系电话：0771-5331544/5331539 </w:t>
            </w:r>
          </w:p>
        </w:tc>
      </w:tr>
      <w:tr w14:paraId="740DAE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889" w:type="dxa"/>
            <w:vMerge w:val="restart"/>
            <w:tcBorders>
              <w:top w:val="single" w:color="auto" w:sz="4" w:space="0"/>
              <w:left w:val="single" w:color="auto" w:sz="4" w:space="0"/>
              <w:bottom w:val="single" w:color="auto" w:sz="4" w:space="0"/>
              <w:right w:val="single" w:color="auto" w:sz="4" w:space="0"/>
            </w:tcBorders>
            <w:noWrap w:val="0"/>
            <w:vAlign w:val="center"/>
          </w:tcPr>
          <w:p w14:paraId="01BD21A6">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5E00C294">
            <w:pPr>
              <w:spacing w:line="380" w:lineRule="exact"/>
              <w:rPr>
                <w:rFonts w:hint="eastAsia" w:ascii="宋体" w:hAnsi="宋体" w:eastAsia="宋体" w:cs="宋体"/>
                <w:color w:val="auto"/>
                <w:sz w:val="21"/>
                <w:szCs w:val="21"/>
                <w:highlight w:val="none"/>
              </w:rPr>
            </w:pPr>
            <w:bookmarkStart w:id="104" w:name="_42"/>
            <w:bookmarkEnd w:id="104"/>
            <w:bookmarkStart w:id="105" w:name="_41"/>
            <w:bookmarkEnd w:id="105"/>
            <w:r>
              <w:rPr>
                <w:rFonts w:hint="eastAsia" w:ascii="宋体" w:hAnsi="宋体" w:eastAsia="宋体" w:cs="宋体"/>
                <w:color w:val="auto"/>
                <w:sz w:val="21"/>
                <w:szCs w:val="21"/>
                <w:highlight w:val="none"/>
              </w:rPr>
              <w:t>采购代理</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费支付方式</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0A5880B3">
            <w:pPr>
              <w:pStyle w:val="12"/>
              <w:snapToGrid w:val="0"/>
              <w:spacing w:line="380" w:lineRule="exact"/>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本项目</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代理服务费由</w:t>
            </w:r>
            <w:r>
              <w:rPr>
                <w:rFonts w:hint="eastAsia" w:ascii="宋体" w:hAnsi="宋体" w:eastAsia="宋体" w:cs="宋体"/>
                <w:color w:val="auto"/>
                <w:sz w:val="21"/>
                <w:szCs w:val="21"/>
                <w:highlight w:val="none"/>
                <w:u w:val="single"/>
              </w:rPr>
              <w:t>中标人</w:t>
            </w:r>
            <w:r>
              <w:rPr>
                <w:rFonts w:hint="eastAsia" w:hAnsi="宋体" w:cs="宋体"/>
                <w:color w:val="auto"/>
                <w:highlight w:val="none"/>
              </w:rPr>
              <w:t>在</w:t>
            </w:r>
            <w:r>
              <w:rPr>
                <w:rFonts w:hint="eastAsia" w:hAnsi="宋体" w:eastAsia="宋体" w:cs="宋体"/>
                <w:color w:val="auto"/>
                <w:sz w:val="21"/>
                <w:highlight w:val="none"/>
                <w:lang w:val="en-US" w:eastAsia="zh-CN"/>
              </w:rPr>
              <w:t>签订合同</w:t>
            </w:r>
            <w:r>
              <w:rPr>
                <w:rFonts w:hint="eastAsia" w:hAnsi="宋体" w:cs="宋体"/>
                <w:color w:val="auto"/>
                <w:highlight w:val="none"/>
              </w:rPr>
              <w:t>前，</w:t>
            </w:r>
            <w:r>
              <w:rPr>
                <w:rFonts w:hint="eastAsia" w:hAnsi="宋体" w:eastAsia="宋体" w:cs="宋体"/>
                <w:color w:val="auto"/>
                <w:sz w:val="21"/>
                <w:highlight w:val="none"/>
                <w:lang w:val="en-US" w:eastAsia="zh-CN"/>
              </w:rPr>
              <w:t>以银行转账、电汇等方式</w:t>
            </w:r>
            <w:r>
              <w:rPr>
                <w:rFonts w:hint="eastAsia" w:hAnsi="宋体" w:cs="宋体"/>
                <w:color w:val="auto"/>
                <w:highlight w:val="none"/>
              </w:rPr>
              <w:t>一次性向采购代理机构支付</w:t>
            </w:r>
            <w:r>
              <w:rPr>
                <w:rFonts w:hint="eastAsia" w:ascii="宋体" w:hAnsi="宋体" w:eastAsia="宋体" w:cs="宋体"/>
                <w:color w:val="auto"/>
                <w:sz w:val="21"/>
                <w:szCs w:val="21"/>
                <w:highlight w:val="none"/>
              </w:rPr>
              <w:t>。</w:t>
            </w:r>
          </w:p>
        </w:tc>
      </w:tr>
      <w:tr w14:paraId="1AE431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4"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280F7462">
            <w:pPr>
              <w:widowControl/>
              <w:jc w:val="left"/>
              <w:rPr>
                <w:rFonts w:hint="eastAsia" w:ascii="宋体" w:hAnsi="宋体" w:eastAsia="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47BC53A9">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6952AF8B">
            <w:pPr>
              <w:snapToGrid w:val="0"/>
              <w:spacing w:line="380" w:lineRule="exact"/>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以分标（</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中标金额/</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采购预算/□暂定中标金额/□其他</w:t>
            </w:r>
            <w:r>
              <w:rPr>
                <w:rFonts w:hint="eastAsia" w:ascii="宋体" w:hAnsi="宋体" w:eastAsia="宋体" w:cs="宋体"/>
                <w:color w:val="auto"/>
                <w:szCs w:val="20"/>
                <w:highlight w:val="none"/>
                <w:u w:val="single"/>
              </w:rPr>
              <w:t xml:space="preserve"> </w:t>
            </w:r>
            <w:r>
              <w:rPr>
                <w:rFonts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）为计费额，按本须知正文第40.2条规定的收费计算标准（</w:t>
            </w:r>
            <w:r>
              <w:rPr>
                <w:rFonts w:hint="eastAsia" w:ascii="宋体" w:hAnsi="宋体" w:cs="宋体"/>
                <w:color w:val="auto"/>
                <w:szCs w:val="20"/>
                <w:highlight w:val="none"/>
                <w:lang w:eastAsia="zh-CN"/>
              </w:rPr>
              <w:t>服务</w:t>
            </w:r>
            <w:r>
              <w:rPr>
                <w:rFonts w:hint="eastAsia" w:ascii="宋体" w:hAnsi="宋体" w:eastAsia="宋体" w:cs="宋体"/>
                <w:color w:val="auto"/>
                <w:szCs w:val="20"/>
                <w:highlight w:val="none"/>
              </w:rPr>
              <w:t>类）采用差额定率累进法计算出收费基准价格，采购代理收费以（□收费基准价格/□收费基准价格下浮</w:t>
            </w:r>
            <w:r>
              <w:rPr>
                <w:rFonts w:hint="eastAsia" w:ascii="宋体" w:hAnsi="宋体" w:eastAsia="宋体" w:cs="宋体"/>
                <w:color w:val="auto"/>
                <w:szCs w:val="20"/>
                <w:highlight w:val="none"/>
                <w:u w:val="single"/>
              </w:rPr>
              <w:t xml:space="preserve"> </w:t>
            </w:r>
            <w:r>
              <w:rPr>
                <w:rFonts w:ascii="宋体" w:hAnsi="宋体" w:eastAsia="宋体" w:cs="宋体"/>
                <w:color w:val="auto"/>
                <w:szCs w:val="20"/>
                <w:highlight w:val="none"/>
                <w:u w:val="single"/>
              </w:rPr>
              <w:t xml:space="preserve"> </w:t>
            </w:r>
            <w:r>
              <w:rPr>
                <w:rFonts w:hint="eastAsia" w:ascii="宋体" w:hAnsi="宋体" w:eastAsia="宋体" w:cs="宋体"/>
                <w:color w:val="auto"/>
                <w:szCs w:val="20"/>
                <w:highlight w:val="none"/>
                <w:u w:val="single"/>
              </w:rPr>
              <w:t>%</w:t>
            </w:r>
            <w:r>
              <w:rPr>
                <w:rFonts w:ascii="宋体" w:hAnsi="宋体" w:eastAsia="宋体" w:cs="宋体"/>
                <w:color w:val="auto"/>
                <w:szCs w:val="20"/>
                <w:highlight w:val="none"/>
              </w:rPr>
              <w:t>/</w:t>
            </w:r>
            <w:r>
              <w:rPr>
                <w:rFonts w:hint="eastAsia" w:ascii="宋体" w:hAnsi="宋体" w:eastAsia="宋体" w:cs="宋体"/>
                <w:color w:val="auto"/>
                <w:szCs w:val="20"/>
                <w:highlight w:val="none"/>
              </w:rPr>
              <w:t>□收费基准价格上浮</w:t>
            </w:r>
            <w:r>
              <w:rPr>
                <w:rFonts w:hint="eastAsia" w:ascii="宋体" w:hAnsi="宋体" w:eastAsia="宋体" w:cs="宋体"/>
                <w:color w:val="auto"/>
                <w:szCs w:val="20"/>
                <w:highlight w:val="none"/>
                <w:u w:val="single"/>
              </w:rPr>
              <w:t xml:space="preserve"> </w:t>
            </w:r>
            <w:r>
              <w:rPr>
                <w:rFonts w:ascii="宋体" w:hAnsi="宋体" w:eastAsia="宋体" w:cs="宋体"/>
                <w:color w:val="auto"/>
                <w:szCs w:val="20"/>
                <w:highlight w:val="none"/>
                <w:u w:val="single"/>
              </w:rPr>
              <w:t xml:space="preserve">  </w:t>
            </w:r>
            <w:r>
              <w:rPr>
                <w:rFonts w:hint="eastAsia" w:ascii="宋体" w:hAnsi="宋体" w:eastAsia="宋体" w:cs="宋体"/>
                <w:color w:val="auto"/>
                <w:szCs w:val="20"/>
                <w:highlight w:val="none"/>
                <w:u w:val="single"/>
              </w:rPr>
              <w:t>%</w:t>
            </w:r>
            <w:r>
              <w:rPr>
                <w:rFonts w:hint="eastAsia" w:ascii="宋体" w:hAnsi="宋体" w:eastAsia="宋体" w:cs="宋体"/>
                <w:color w:val="auto"/>
                <w:szCs w:val="20"/>
                <w:highlight w:val="none"/>
              </w:rPr>
              <w:t>）收取。</w:t>
            </w:r>
          </w:p>
          <w:p w14:paraId="2FF11E84">
            <w:pPr>
              <w:pStyle w:val="12"/>
              <w:snapToGrid w:val="0"/>
              <w:spacing w:line="380" w:lineRule="exact"/>
              <w:rPr>
                <w:rFonts w:hint="default" w:ascii="宋体" w:hAnsi="宋体" w:eastAsia="宋体" w:cs="宋体"/>
                <w:color w:val="auto"/>
                <w:sz w:val="21"/>
                <w:szCs w:val="21"/>
                <w:highlight w:val="none"/>
                <w:u w:val="single"/>
                <w:lang w:val="en-US" w:eastAsia="zh-CN"/>
              </w:rPr>
            </w:pPr>
            <w:r>
              <w:rPr>
                <w:rFonts w:hint="eastAsia" w:hAnsi="宋体" w:cs="宋体"/>
                <w:color w:val="auto"/>
                <w:szCs w:val="20"/>
                <w:highlight w:val="none"/>
                <w:lang w:eastAsia="zh-CN"/>
              </w:rPr>
              <w:t>□</w:t>
            </w:r>
            <w:r>
              <w:rPr>
                <w:rFonts w:hint="eastAsia" w:ascii="宋体" w:hAnsi="宋体" w:eastAsia="宋体" w:cs="宋体"/>
                <w:color w:val="auto"/>
                <w:szCs w:val="20"/>
                <w:highlight w:val="none"/>
              </w:rPr>
              <w:t>固定采购代理收费：</w:t>
            </w:r>
            <w:r>
              <w:rPr>
                <w:rFonts w:hint="eastAsia" w:hAnsi="宋体" w:cs="宋体"/>
                <w:color w:val="auto"/>
                <w:szCs w:val="20"/>
                <w:highlight w:val="none"/>
                <w:u w:val="single"/>
                <w:lang w:eastAsia="zh-CN"/>
              </w:rPr>
              <w:t xml:space="preserve"> </w:t>
            </w:r>
            <w:r>
              <w:rPr>
                <w:rFonts w:hint="eastAsia" w:hAnsi="宋体" w:cs="宋体"/>
                <w:color w:val="auto"/>
                <w:szCs w:val="20"/>
                <w:highlight w:val="none"/>
                <w:u w:val="single"/>
                <w:lang w:val="en-US" w:eastAsia="zh-CN"/>
              </w:rPr>
              <w:t xml:space="preserve">          。</w:t>
            </w:r>
          </w:p>
        </w:tc>
      </w:tr>
      <w:tr w14:paraId="33355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668438DB">
            <w:pPr>
              <w:widowControl/>
              <w:jc w:val="left"/>
              <w:rPr>
                <w:rFonts w:hint="eastAsia" w:ascii="宋体" w:hAnsi="宋体" w:eastAsia="宋体" w:cs="宋体"/>
                <w:color w:val="auto"/>
                <w:sz w:val="21"/>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74C4879F">
            <w:pPr>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代理服务费收款账户信息</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68EDF726">
            <w:pPr>
              <w:pStyle w:val="12"/>
              <w:snapToGrid w:val="0"/>
              <w:spacing w:line="380" w:lineRule="exact"/>
              <w:rPr>
                <w:rFonts w:hint="eastAsia" w:hAnsi="宋体" w:cs="宋体"/>
                <w:color w:val="auto"/>
                <w:sz w:val="21"/>
                <w:szCs w:val="21"/>
                <w:highlight w:val="none"/>
                <w:lang w:eastAsia="zh-CN"/>
              </w:rPr>
            </w:pPr>
            <w:r>
              <w:rPr>
                <w:rFonts w:hint="eastAsia" w:hAnsi="宋体" w:cs="宋体"/>
                <w:color w:val="auto"/>
                <w:sz w:val="21"/>
                <w:szCs w:val="21"/>
                <w:highlight w:val="none"/>
                <w:lang w:eastAsia="zh-CN"/>
              </w:rPr>
              <w:t>采购代理服务费收取银行账户的信息</w:t>
            </w:r>
          </w:p>
          <w:p w14:paraId="0AE23F27">
            <w:pPr>
              <w:pStyle w:val="12"/>
              <w:snapToGrid w:val="0"/>
              <w:spacing w:line="380" w:lineRule="exact"/>
              <w:rPr>
                <w:rFonts w:hint="eastAsia" w:hAnsi="宋体" w:cs="宋体"/>
                <w:color w:val="auto"/>
                <w:sz w:val="21"/>
                <w:szCs w:val="21"/>
                <w:highlight w:val="none"/>
                <w:lang w:eastAsia="zh-CN"/>
              </w:rPr>
            </w:pPr>
            <w:r>
              <w:rPr>
                <w:rFonts w:hint="eastAsia" w:hAnsi="宋体" w:cs="宋体"/>
                <w:color w:val="auto"/>
                <w:sz w:val="21"/>
                <w:szCs w:val="21"/>
                <w:highlight w:val="none"/>
                <w:lang w:eastAsia="zh-CN"/>
              </w:rPr>
              <w:t>开户名称：广西科联招标中心有限公司</w:t>
            </w:r>
          </w:p>
          <w:p w14:paraId="7C6C8F17">
            <w:pPr>
              <w:pStyle w:val="12"/>
              <w:snapToGrid w:val="0"/>
              <w:spacing w:line="380" w:lineRule="exact"/>
              <w:rPr>
                <w:rFonts w:hint="eastAsia" w:hAnsi="宋体" w:cs="宋体"/>
                <w:color w:val="auto"/>
                <w:sz w:val="21"/>
                <w:szCs w:val="21"/>
                <w:highlight w:val="none"/>
                <w:lang w:eastAsia="zh-CN"/>
              </w:rPr>
            </w:pPr>
            <w:r>
              <w:rPr>
                <w:rFonts w:hint="eastAsia" w:hAnsi="宋体" w:cs="宋体"/>
                <w:color w:val="auto"/>
                <w:sz w:val="21"/>
                <w:szCs w:val="21"/>
                <w:highlight w:val="none"/>
                <w:lang w:eastAsia="zh-CN"/>
              </w:rPr>
              <w:t xml:space="preserve">开户银行：中国工商银行南宁市高新科技支行 </w:t>
            </w:r>
          </w:p>
          <w:p w14:paraId="382A9E14">
            <w:pPr>
              <w:pStyle w:val="12"/>
              <w:snapToGrid w:val="0"/>
              <w:spacing w:line="380" w:lineRule="exact"/>
              <w:rPr>
                <w:rFonts w:hint="eastAsia" w:hAnsi="宋体" w:cs="宋体"/>
                <w:color w:val="auto"/>
                <w:sz w:val="21"/>
                <w:szCs w:val="21"/>
                <w:highlight w:val="none"/>
                <w:lang w:eastAsia="zh-CN"/>
              </w:rPr>
            </w:pPr>
            <w:r>
              <w:rPr>
                <w:rFonts w:hint="eastAsia" w:hAnsi="宋体" w:cs="宋体"/>
                <w:color w:val="auto"/>
                <w:sz w:val="21"/>
                <w:szCs w:val="21"/>
                <w:highlight w:val="none"/>
                <w:lang w:eastAsia="zh-CN"/>
              </w:rPr>
              <w:t xml:space="preserve">银行账号：2102111229300032105 </w:t>
            </w:r>
          </w:p>
          <w:p w14:paraId="17409410">
            <w:pPr>
              <w:pStyle w:val="12"/>
              <w:snapToGrid w:val="0"/>
              <w:spacing w:line="380" w:lineRule="exact"/>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开户行行号：102611011101</w:t>
            </w:r>
          </w:p>
        </w:tc>
      </w:tr>
      <w:tr w14:paraId="0BB5F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66B9114D">
            <w:pPr>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4F8789EE">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37258E4A">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w:t>
            </w:r>
            <w:r>
              <w:rPr>
                <w:rFonts w:hint="eastAsia" w:ascii="宋体" w:hAnsi="宋体" w:eastAsia="宋体" w:cs="宋体"/>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14:paraId="13849B10">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法律责任：</w:t>
            </w:r>
          </w:p>
          <w:p w14:paraId="7C4D997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本采购文件根据《中华人民共和国政府采购法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政府采购货物和服务招标投标管理办法</w:t>
            </w:r>
            <w:r>
              <w:rPr>
                <w:rFonts w:hint="eastAsia" w:ascii="宋体" w:hAnsi="宋体" w:eastAsia="宋体" w:cs="宋体"/>
                <w:color w:val="auto"/>
                <w:sz w:val="21"/>
                <w:szCs w:val="21"/>
                <w:highlight w:val="none"/>
              </w:rPr>
              <w:t>》等有关法律、法规编制，参与本项目的各政府采购当事人依法享有上述法律法规所赋予的权利与义务。</w:t>
            </w:r>
          </w:p>
        </w:tc>
      </w:tr>
      <w:tr w14:paraId="57B34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5263BB0E">
            <w:pPr>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4C6B881E">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其他释义</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5EBD3F47">
            <w:pPr>
              <w:pStyle w:val="8"/>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1.本</w:t>
            </w:r>
            <w:r>
              <w:rPr>
                <w:rFonts w:hint="eastAsia" w:ascii="宋体" w:hAnsi="宋体" w:eastAsia="宋体" w:cs="宋体"/>
                <w:color w:val="auto"/>
                <w:kern w:val="2"/>
                <w:szCs w:val="21"/>
                <w:highlight w:val="none"/>
                <w:lang w:eastAsia="zh-CN"/>
              </w:rPr>
              <w:t>招标</w:t>
            </w:r>
            <w:r>
              <w:rPr>
                <w:rFonts w:hint="eastAsia" w:ascii="宋体" w:hAnsi="宋体" w:eastAsia="宋体" w:cs="宋体"/>
                <w:color w:val="auto"/>
                <w:kern w:val="2"/>
                <w:szCs w:val="21"/>
                <w:highlight w:val="none"/>
              </w:rPr>
              <w:t>文件中描述</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的“公章”是指根据我国对公章的管理规定，用投标人法定主体行为名称制作的</w:t>
            </w:r>
            <w:r>
              <w:rPr>
                <w:rFonts w:hint="eastAsia" w:ascii="宋体" w:hAnsi="宋体" w:eastAsia="宋体" w:cs="宋体"/>
                <w:color w:val="auto"/>
                <w:kern w:val="2"/>
                <w:szCs w:val="21"/>
                <w:highlight w:val="none"/>
                <w:lang w:eastAsia="zh-CN"/>
              </w:rPr>
              <w:t>实物</w:t>
            </w:r>
            <w:r>
              <w:rPr>
                <w:rFonts w:hint="eastAsia" w:ascii="宋体" w:hAnsi="宋体" w:eastAsia="宋体" w:cs="宋体"/>
                <w:color w:val="auto"/>
                <w:kern w:val="2"/>
                <w:szCs w:val="21"/>
                <w:highlight w:val="none"/>
              </w:rPr>
              <w:t>印章</w:t>
            </w:r>
            <w:r>
              <w:rPr>
                <w:rFonts w:hint="eastAsia" w:ascii="宋体" w:hAnsi="宋体" w:eastAsia="宋体" w:cs="宋体"/>
                <w:color w:val="auto"/>
                <w:kern w:val="2"/>
                <w:szCs w:val="21"/>
                <w:highlight w:val="none"/>
                <w:lang w:eastAsia="zh-CN"/>
              </w:rPr>
              <w:t>或投标人</w:t>
            </w:r>
            <w:r>
              <w:rPr>
                <w:rFonts w:hint="eastAsia" w:ascii="宋体" w:hAnsi="宋体" w:eastAsia="宋体" w:cs="宋体"/>
                <w:color w:val="auto"/>
                <w:kern w:val="2"/>
                <w:szCs w:val="21"/>
                <w:highlight w:val="none"/>
              </w:rPr>
              <w:t>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13955A6A">
            <w:pPr>
              <w:pStyle w:val="8"/>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2.本</w:t>
            </w:r>
            <w:r>
              <w:rPr>
                <w:rFonts w:hint="eastAsia" w:ascii="宋体" w:hAnsi="宋体" w:eastAsia="宋体" w:cs="宋体"/>
                <w:color w:val="auto"/>
                <w:kern w:val="2"/>
                <w:szCs w:val="21"/>
                <w:highlight w:val="none"/>
                <w:lang w:eastAsia="zh-CN"/>
              </w:rPr>
              <w:t>招标</w:t>
            </w:r>
            <w:r>
              <w:rPr>
                <w:rFonts w:hint="eastAsia" w:ascii="宋体" w:hAnsi="宋体" w:eastAsia="宋体" w:cs="宋体"/>
                <w:color w:val="auto"/>
                <w:kern w:val="2"/>
                <w:szCs w:val="21"/>
                <w:highlight w:val="none"/>
              </w:rPr>
              <w:t>文件中描述</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的“签字”是指</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通过指定电子化政府采购平台办理数字证书（CA认证）获得的以</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法定代表人或者委托代理人姓名制作的电子印章或手写签字。</w:t>
            </w:r>
          </w:p>
          <w:p w14:paraId="6D452A25">
            <w:pPr>
              <w:pStyle w:val="8"/>
              <w:tabs>
                <w:tab w:val="center" w:pos="4153"/>
                <w:tab w:val="right" w:pos="8306"/>
              </w:tabs>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Cs w:val="21"/>
                <w:highlight w:val="none"/>
                <w:lang w:val="en-US" w:eastAsia="zh-CN"/>
              </w:rPr>
              <w:t>3.本招标文件所称的“电子签章”“电子签名”，是指经</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2"/>
                <w:szCs w:val="21"/>
                <w:highlight w:val="none"/>
                <w:lang w:val="en-US" w:eastAsia="zh-CN"/>
              </w:rPr>
              <w:t>认可的CA认证的电子签名数据为表现形式的印章，可用于签署</w:t>
            </w:r>
            <w:r>
              <w:rPr>
                <w:rFonts w:hint="eastAsia" w:ascii="宋体" w:hAnsi="宋体" w:cs="宋体"/>
                <w:color w:val="auto"/>
                <w:kern w:val="2"/>
                <w:szCs w:val="21"/>
                <w:highlight w:val="none"/>
                <w:lang w:val="en-US" w:eastAsia="zh-CN"/>
              </w:rPr>
              <w:t>电子版投标文件</w:t>
            </w:r>
            <w:r>
              <w:rPr>
                <w:rFonts w:hint="eastAsia" w:ascii="宋体" w:hAnsi="宋体" w:eastAsia="宋体" w:cs="宋体"/>
                <w:color w:val="auto"/>
                <w:kern w:val="2"/>
                <w:szCs w:val="21"/>
                <w:highlight w:val="none"/>
                <w:lang w:val="en-US" w:eastAsia="zh-CN"/>
              </w:rPr>
              <w:t>，电子印章与实物印章具有同等法律效力，不因其采用电子化表现形式而否定其法律效力。</w:t>
            </w:r>
          </w:p>
          <w:p w14:paraId="55A35B72">
            <w:pPr>
              <w:pStyle w:val="8"/>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4</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为其他组织或者自然人时，本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规定的法定代表人指负责人或者自然人。本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所称负责人是指参加</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标的其他组织营业执照上的负责人，本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所称自然人指参与</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标的自然人本人。</w:t>
            </w:r>
          </w:p>
          <w:p w14:paraId="2DFF34FE">
            <w:pPr>
              <w:pStyle w:val="8"/>
              <w:spacing w:line="360" w:lineRule="auto"/>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5</w:t>
            </w:r>
            <w:r>
              <w:rPr>
                <w:rFonts w:hint="eastAsia" w:ascii="宋体" w:hAnsi="宋体" w:eastAsia="宋体" w:cs="宋体"/>
                <w:color w:val="auto"/>
                <w:kern w:val="2"/>
                <w:szCs w:val="21"/>
                <w:highlight w:val="none"/>
              </w:rPr>
              <w:t>.自然人</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规定盖公章处由自然人摁手指指印。</w:t>
            </w:r>
          </w:p>
          <w:p w14:paraId="1A24264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2"/>
                <w:szCs w:val="21"/>
                <w:highlight w:val="none"/>
                <w:lang w:val="en-US" w:eastAsia="zh-CN"/>
              </w:rPr>
              <w:t xml:space="preserve">    6.</w:t>
            </w:r>
            <w:r>
              <w:rPr>
                <w:rFonts w:hint="eastAsia" w:ascii="宋体" w:hAnsi="宋体" w:eastAsia="宋体" w:cs="宋体"/>
                <w:color w:val="auto"/>
                <w:kern w:val="2"/>
                <w:szCs w:val="21"/>
                <w:highlight w:val="none"/>
              </w:rPr>
              <w:t>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所称的“以上”“以下”“以内”“届满”，包括本数；所称的“不满”“超过”“以外”，不包括本数。</w:t>
            </w:r>
          </w:p>
        </w:tc>
      </w:tr>
    </w:tbl>
    <w:p w14:paraId="0B9DA7E3">
      <w:pPr>
        <w:widowControl/>
        <w:spacing w:line="412" w:lineRule="auto"/>
        <w:jc w:val="left"/>
        <w:rPr>
          <w:rFonts w:ascii="Arial" w:hAnsi="Arial" w:eastAsia="黑体"/>
          <w:b/>
          <w:bCs/>
          <w:color w:val="auto"/>
          <w:sz w:val="32"/>
          <w:szCs w:val="32"/>
          <w:highlight w:val="none"/>
        </w:rPr>
        <w:sectPr>
          <w:footerReference r:id="rId6" w:type="default"/>
          <w:pgSz w:w="11905" w:h="16838"/>
          <w:pgMar w:top="1134" w:right="1134" w:bottom="1134" w:left="1134" w:header="850" w:footer="850" w:gutter="0"/>
          <w:pgNumType w:fmt="decimal"/>
          <w:cols w:space="0" w:num="1"/>
          <w:titlePg/>
          <w:rtlGutter w:val="0"/>
          <w:docGrid w:linePitch="331" w:charSpace="0"/>
        </w:sectPr>
      </w:pPr>
    </w:p>
    <w:p w14:paraId="66B983CE">
      <w:pPr>
        <w:rPr>
          <w:rFonts w:hint="eastAsia" w:ascii="Times New Roman" w:hAnsi="Times New Roman" w:eastAsia="宋体" w:cs="Times New Roman"/>
          <w:color w:val="auto"/>
          <w:highlight w:val="none"/>
        </w:rPr>
      </w:pPr>
    </w:p>
    <w:p w14:paraId="773083DB">
      <w:pPr>
        <w:pStyle w:val="3"/>
        <w:jc w:val="center"/>
        <w:rPr>
          <w:rFonts w:cs="Times New Roman"/>
          <w:color w:val="auto"/>
          <w:highlight w:val="none"/>
        </w:rPr>
      </w:pPr>
      <w:bookmarkStart w:id="106" w:name="_Toc24313"/>
      <w:bookmarkStart w:id="107" w:name="_Toc25117"/>
      <w:bookmarkStart w:id="108" w:name="_Toc1030"/>
      <w:bookmarkStart w:id="109" w:name="_Toc13813"/>
      <w:bookmarkStart w:id="110" w:name="_Toc7784"/>
      <w:bookmarkStart w:id="111" w:name="_Toc11336"/>
      <w:bookmarkStart w:id="112" w:name="_Toc29311"/>
      <w:bookmarkStart w:id="113" w:name="_Toc30841"/>
      <w:bookmarkStart w:id="114" w:name="_Toc453"/>
      <w:bookmarkStart w:id="115" w:name="_Toc8807"/>
      <w:r>
        <w:rPr>
          <w:rFonts w:hint="eastAsia" w:cs="Times New Roman"/>
          <w:color w:val="auto"/>
          <w:highlight w:val="none"/>
        </w:rPr>
        <w:t>第二节</w:t>
      </w:r>
      <w:r>
        <w:rPr>
          <w:rFonts w:cs="Times New Roman"/>
          <w:color w:val="auto"/>
          <w:highlight w:val="none"/>
        </w:rPr>
        <w:t xml:space="preserve"> </w:t>
      </w:r>
      <w:r>
        <w:rPr>
          <w:rFonts w:hint="eastAsia" w:cs="Times New Roman"/>
          <w:color w:val="auto"/>
          <w:highlight w:val="none"/>
        </w:rPr>
        <w:t>投标人须知正文</w:t>
      </w:r>
      <w:bookmarkEnd w:id="106"/>
      <w:bookmarkEnd w:id="107"/>
      <w:bookmarkEnd w:id="108"/>
      <w:bookmarkEnd w:id="109"/>
      <w:bookmarkEnd w:id="110"/>
      <w:bookmarkEnd w:id="111"/>
      <w:bookmarkEnd w:id="112"/>
      <w:bookmarkEnd w:id="113"/>
      <w:bookmarkEnd w:id="114"/>
      <w:bookmarkEnd w:id="115"/>
    </w:p>
    <w:p w14:paraId="6AF769B7">
      <w:pPr>
        <w:pStyle w:val="4"/>
        <w:keepNext w:val="0"/>
        <w:keepLines w:val="0"/>
        <w:spacing w:line="400" w:lineRule="exact"/>
        <w:jc w:val="center"/>
        <w:rPr>
          <w:rFonts w:ascii="Times New Roman" w:hAnsi="Times New Roman" w:eastAsia="宋体" w:cs="Times New Roman"/>
          <w:color w:val="auto"/>
          <w:highlight w:val="none"/>
        </w:rPr>
      </w:pPr>
      <w:bookmarkStart w:id="116" w:name="_Toc18594"/>
      <w:bookmarkStart w:id="117" w:name="_Toc30794"/>
      <w:bookmarkStart w:id="118" w:name="_Toc6594"/>
      <w:bookmarkStart w:id="119" w:name="_Toc3522"/>
      <w:bookmarkStart w:id="120" w:name="_Toc21176"/>
      <w:bookmarkStart w:id="121" w:name="_Toc3607"/>
      <w:bookmarkStart w:id="122" w:name="_Toc22266"/>
      <w:bookmarkStart w:id="123" w:name="_Toc19454"/>
      <w:bookmarkStart w:id="124" w:name="_Toc28360"/>
      <w:bookmarkStart w:id="125" w:name="_Toc15523"/>
      <w:r>
        <w:rPr>
          <w:rFonts w:hint="eastAsia" w:ascii="Times New Roman" w:hAnsi="Times New Roman" w:eastAsia="宋体" w:cs="Times New Roman"/>
          <w:color w:val="auto"/>
          <w:highlight w:val="none"/>
        </w:rPr>
        <w:t>一、总</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则</w:t>
      </w:r>
      <w:bookmarkEnd w:id="116"/>
      <w:bookmarkEnd w:id="117"/>
      <w:bookmarkEnd w:id="118"/>
      <w:bookmarkEnd w:id="119"/>
      <w:bookmarkEnd w:id="120"/>
      <w:bookmarkEnd w:id="121"/>
      <w:bookmarkEnd w:id="122"/>
      <w:bookmarkEnd w:id="123"/>
      <w:bookmarkEnd w:id="124"/>
      <w:bookmarkEnd w:id="125"/>
    </w:p>
    <w:p w14:paraId="048E3C14">
      <w:pPr>
        <w:spacing w:line="360" w:lineRule="auto"/>
        <w:ind w:firstLine="480" w:firstLineChars="200"/>
        <w:rPr>
          <w:rFonts w:ascii="黑体" w:hAnsi="黑体" w:eastAsia="黑体" w:cs="Times New Roman"/>
          <w:color w:val="auto"/>
          <w:sz w:val="24"/>
          <w:highlight w:val="none"/>
        </w:rPr>
      </w:pPr>
      <w:bookmarkStart w:id="126" w:name="_Toc254970527"/>
      <w:bookmarkStart w:id="127" w:name="_Toc254970668"/>
      <w:r>
        <w:rPr>
          <w:rFonts w:hint="eastAsia" w:ascii="黑体" w:hAnsi="黑体" w:eastAsia="黑体" w:cs="Times New Roman"/>
          <w:color w:val="auto"/>
          <w:sz w:val="24"/>
          <w:highlight w:val="none"/>
        </w:rPr>
        <w:t>1.适用范围</w:t>
      </w:r>
      <w:bookmarkEnd w:id="126"/>
      <w:bookmarkEnd w:id="127"/>
    </w:p>
    <w:p w14:paraId="1B4CC39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1.1适用法律：本项目采购人、采购代理机构、投标人、评标委员会的相关行为均受《中华人民共和国政府采购法</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中华人民共和国政府采购法实施条例</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政府采购货物和服务招标投标管理办法》及本项目本级和上级财政部门政府采购有关规定的约束和保护。</w:t>
      </w:r>
    </w:p>
    <w:p w14:paraId="767247A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5FF43568">
      <w:pPr>
        <w:spacing w:line="360" w:lineRule="auto"/>
        <w:ind w:firstLine="480" w:firstLineChars="200"/>
        <w:rPr>
          <w:rFonts w:hint="eastAsia" w:ascii="黑体" w:hAnsi="黑体" w:eastAsia="黑体" w:cs="Times New Roman"/>
          <w:color w:val="auto"/>
          <w:sz w:val="24"/>
          <w:highlight w:val="none"/>
        </w:rPr>
      </w:pPr>
      <w:bookmarkStart w:id="128" w:name="_Toc254970669"/>
      <w:bookmarkStart w:id="129" w:name="_Toc254970528"/>
      <w:r>
        <w:rPr>
          <w:rFonts w:hint="eastAsia" w:ascii="黑体" w:hAnsi="黑体" w:eastAsia="黑体" w:cs="Times New Roman"/>
          <w:color w:val="auto"/>
          <w:sz w:val="24"/>
          <w:highlight w:val="none"/>
        </w:rPr>
        <w:t>2.定义</w:t>
      </w:r>
      <w:bookmarkEnd w:id="128"/>
      <w:bookmarkEnd w:id="129"/>
    </w:p>
    <w:p w14:paraId="12AC57AA">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2.1“采购人”是指依法进行政府采购的国家机关、事业单位、团体组织。</w:t>
      </w:r>
    </w:p>
    <w:p w14:paraId="2FDD9E8F">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2.2“采购代理机构” 指政府采购集中采购机构和集中采购机构以外的采购代理机构。</w:t>
      </w:r>
    </w:p>
    <w:p w14:paraId="47BA079F">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2.3“供应商”是指向采购人提供货物、工程或者服务的法人、其他组织或者自然人。</w:t>
      </w:r>
    </w:p>
    <w:p w14:paraId="21A20BAC">
      <w:pPr>
        <w:spacing w:line="360" w:lineRule="auto"/>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2.4“投标人”是指响应招标、参加投标竞争的法人、非法人组织或者自然人。</w:t>
      </w:r>
    </w:p>
    <w:p w14:paraId="6B1EAF69">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2.5“服务”是指除货物和工程以外的其他政府采购对象。</w:t>
      </w:r>
    </w:p>
    <w:p w14:paraId="4556722A">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2.6“书面形式”是指合同书、信件和数据电文（包括电报、电传、传真、短信、电子数据交换和电子邮件）等可以有形地表现所载内容的形式。</w:t>
      </w:r>
    </w:p>
    <w:p w14:paraId="794B5C7A">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2.7“实质性要求”</w:t>
      </w:r>
      <w:r>
        <w:rPr>
          <w:rFonts w:hint="eastAsia" w:ascii="宋体" w:hAnsi="宋体" w:eastAsia="宋体" w:cs="宋体"/>
          <w:b/>
          <w:bCs/>
          <w:color w:val="auto"/>
          <w:sz w:val="21"/>
          <w:szCs w:val="21"/>
          <w:highlight w:val="none"/>
        </w:rPr>
        <w:t>详见“投标人须知前附表”</w:t>
      </w:r>
      <w:r>
        <w:rPr>
          <w:rFonts w:hint="eastAsia" w:ascii="宋体" w:hAnsi="宋体" w:eastAsia="宋体" w:cs="Times New Roman"/>
          <w:b/>
          <w:color w:val="auto"/>
          <w:szCs w:val="21"/>
          <w:highlight w:val="none"/>
        </w:rPr>
        <w:t>。</w:t>
      </w:r>
    </w:p>
    <w:p w14:paraId="010E3C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2.8</w:t>
      </w:r>
      <w:r>
        <w:rPr>
          <w:rFonts w:hint="eastAsia" w:ascii="宋体" w:hAnsi="宋体" w:eastAsia="宋体" w:cs="宋体"/>
          <w:color w:val="auto"/>
          <w:szCs w:val="21"/>
          <w:highlight w:val="none"/>
        </w:rPr>
        <w:t>“正偏离”是指投标文件对招标文件“采购需求”中有关条款作出的响应优于条款要求并有利于采购人的情形。</w:t>
      </w:r>
    </w:p>
    <w:p w14:paraId="2C1A3F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6B5F67FD">
      <w:pPr>
        <w:spacing w:line="360" w:lineRule="auto"/>
        <w:ind w:firstLine="480" w:firstLineChars="200"/>
        <w:rPr>
          <w:rFonts w:hint="eastAsia" w:ascii="黑体" w:hAnsi="黑体" w:eastAsia="黑体" w:cs="Times New Roman"/>
          <w:color w:val="auto"/>
          <w:sz w:val="24"/>
          <w:highlight w:val="none"/>
        </w:rPr>
      </w:pPr>
      <w:bookmarkStart w:id="130" w:name="_Toc254970670"/>
      <w:bookmarkStart w:id="131" w:name="_Toc254970529"/>
      <w:r>
        <w:rPr>
          <w:rFonts w:hint="eastAsia" w:ascii="黑体" w:hAnsi="黑体" w:eastAsia="黑体" w:cs="Times New Roman"/>
          <w:color w:val="auto"/>
          <w:sz w:val="24"/>
          <w:highlight w:val="none"/>
        </w:rPr>
        <w:t>3.</w:t>
      </w:r>
      <w:bookmarkEnd w:id="130"/>
      <w:bookmarkEnd w:id="131"/>
      <w:r>
        <w:rPr>
          <w:rFonts w:hint="eastAsia" w:ascii="黑体" w:hAnsi="黑体" w:eastAsia="黑体" w:cs="Times New Roman"/>
          <w:color w:val="auto"/>
          <w:sz w:val="24"/>
          <w:highlight w:val="none"/>
        </w:rPr>
        <w:t>投标人的资格要求</w:t>
      </w:r>
    </w:p>
    <w:p w14:paraId="7326A64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投标人的资格要求详见“招标公告”。</w:t>
      </w:r>
    </w:p>
    <w:p w14:paraId="7130C88D">
      <w:pPr>
        <w:spacing w:line="360" w:lineRule="auto"/>
        <w:ind w:firstLine="480" w:firstLineChars="200"/>
        <w:rPr>
          <w:rFonts w:hint="eastAsia" w:ascii="黑体" w:hAnsi="黑体" w:eastAsia="黑体" w:cs="Times New Roman"/>
          <w:color w:val="auto"/>
          <w:sz w:val="24"/>
          <w:highlight w:val="none"/>
        </w:rPr>
      </w:pPr>
      <w:bookmarkStart w:id="132" w:name="_Toc254970530"/>
      <w:bookmarkStart w:id="133" w:name="_Toc254970671"/>
      <w:r>
        <w:rPr>
          <w:rFonts w:hint="eastAsia" w:ascii="黑体" w:hAnsi="黑体" w:eastAsia="黑体" w:cs="Times New Roman"/>
          <w:color w:val="auto"/>
          <w:sz w:val="24"/>
          <w:highlight w:val="none"/>
        </w:rPr>
        <w:t>4.投标委托</w:t>
      </w:r>
      <w:bookmarkEnd w:id="132"/>
      <w:bookmarkEnd w:id="133"/>
    </w:p>
    <w:p w14:paraId="4D59013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投标人代表参加投标活动过程中必须携带个人有效身份证件。如投标人代表不是法定代表人，须持有法定代表人授权委托书（按第六章要求格式填写）。</w:t>
      </w:r>
    </w:p>
    <w:p w14:paraId="1D06D932">
      <w:pPr>
        <w:spacing w:line="360" w:lineRule="auto"/>
        <w:ind w:firstLine="480" w:firstLineChars="200"/>
        <w:rPr>
          <w:rFonts w:hint="eastAsia" w:ascii="黑体" w:hAnsi="黑体" w:eastAsia="黑体" w:cs="Times New Roman"/>
          <w:color w:val="auto"/>
          <w:sz w:val="24"/>
          <w:highlight w:val="none"/>
        </w:rPr>
      </w:pPr>
      <w:bookmarkStart w:id="134" w:name="_5.投标费用"/>
      <w:bookmarkEnd w:id="134"/>
      <w:bookmarkStart w:id="135" w:name="_Toc254970672"/>
      <w:bookmarkStart w:id="136" w:name="_Toc254970531"/>
      <w:r>
        <w:rPr>
          <w:rFonts w:hint="eastAsia" w:ascii="黑体" w:hAnsi="黑体" w:eastAsia="黑体" w:cs="Times New Roman"/>
          <w:color w:val="auto"/>
          <w:sz w:val="24"/>
          <w:highlight w:val="none"/>
        </w:rPr>
        <w:t>5.投标费用</w:t>
      </w:r>
      <w:bookmarkEnd w:id="135"/>
      <w:bookmarkEnd w:id="136"/>
    </w:p>
    <w:p w14:paraId="611A5EC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74813A50">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6.联合体投标</w:t>
      </w:r>
    </w:p>
    <w:p w14:paraId="274ECA4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6.1本项目是否接受联合体投标，详见“投标人须知前附表”。</w:t>
      </w:r>
    </w:p>
    <w:p w14:paraId="4F6AFDA7">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6.2如接受联合体投标，联合体投标要求详见“投标人须知前附表”。</w:t>
      </w:r>
    </w:p>
    <w:p w14:paraId="70D187DD">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 xml:space="preserve">7.转包与分包             </w:t>
      </w:r>
    </w:p>
    <w:p w14:paraId="53A0D794">
      <w:pPr>
        <w:spacing w:line="360" w:lineRule="auto"/>
        <w:ind w:firstLine="422" w:firstLineChars="200"/>
        <w:rPr>
          <w:rFonts w:hint="default" w:ascii="宋体" w:hAnsi="宋体" w:eastAsia="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7.1 本项目不允许转包。</w:t>
      </w:r>
    </w:p>
    <w:p w14:paraId="4701755B">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Times New Roman"/>
          <w:b/>
          <w:color w:val="auto"/>
          <w:szCs w:val="21"/>
          <w:highlight w:val="none"/>
        </w:rPr>
        <w:t>7.</w:t>
      </w:r>
      <w:r>
        <w:rPr>
          <w:rFonts w:hint="eastAsia" w:ascii="宋体" w:hAnsi="宋体" w:cs="Times New Roman"/>
          <w:b/>
          <w:color w:val="auto"/>
          <w:szCs w:val="21"/>
          <w:highlight w:val="none"/>
          <w:lang w:val="en-US" w:eastAsia="zh-CN"/>
        </w:rPr>
        <w:t>2</w:t>
      </w:r>
      <w:r>
        <w:rPr>
          <w:rFonts w:hint="eastAsia" w:ascii="宋体" w:hAnsi="宋体" w:eastAsia="宋体" w:cs="Times New Roman"/>
          <w:b/>
          <w:color w:val="auto"/>
          <w:szCs w:val="21"/>
          <w:highlight w:val="none"/>
        </w:rPr>
        <w:t>本项目是否允许分包详见“投标人须知前附表”，本项目不允许违法分包。</w:t>
      </w:r>
    </w:p>
    <w:p w14:paraId="4656E940">
      <w:pPr>
        <w:spacing w:line="360" w:lineRule="auto"/>
        <w:ind w:firstLine="480" w:firstLineChars="200"/>
        <w:rPr>
          <w:rFonts w:hint="eastAsia" w:ascii="黑体" w:hAnsi="黑体" w:eastAsia="黑体" w:cs="Times New Roman"/>
          <w:color w:val="auto"/>
          <w:sz w:val="24"/>
          <w:highlight w:val="none"/>
        </w:rPr>
      </w:pPr>
      <w:bookmarkStart w:id="137" w:name="_Toc254970673"/>
      <w:bookmarkStart w:id="138" w:name="_Toc254970532"/>
      <w:r>
        <w:rPr>
          <w:rFonts w:hint="eastAsia" w:ascii="黑体" w:hAnsi="黑体" w:eastAsia="黑体" w:cs="Times New Roman"/>
          <w:color w:val="auto"/>
          <w:sz w:val="24"/>
          <w:highlight w:val="none"/>
        </w:rPr>
        <w:t>8.特别说明：</w:t>
      </w:r>
      <w:bookmarkEnd w:id="137"/>
      <w:bookmarkEnd w:id="138"/>
      <w:bookmarkStart w:id="139" w:name="_8.1提供相同品牌产品且通过资格审查、符合性审查的不同投标人参加同一合"/>
      <w:bookmarkEnd w:id="139"/>
    </w:p>
    <w:p w14:paraId="74FD73D6">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8.1如果本招标文件要求投标人提供资格、信誉、荣誉、业绩与企业认证等材料的，则投标人所提供的以上材料必须为</w:t>
      </w:r>
      <w:r>
        <w:rPr>
          <w:rFonts w:hint="eastAsia" w:ascii="宋体" w:hAnsi="宋体" w:cs="Times New Roman"/>
          <w:b/>
          <w:color w:val="auto"/>
          <w:szCs w:val="21"/>
          <w:highlight w:val="none"/>
          <w:lang w:eastAsia="zh-CN"/>
        </w:rPr>
        <w:t>该</w:t>
      </w:r>
      <w:r>
        <w:rPr>
          <w:rFonts w:hint="eastAsia" w:ascii="宋体" w:hAnsi="宋体" w:eastAsia="宋体" w:cs="Times New Roman"/>
          <w:b/>
          <w:color w:val="auto"/>
          <w:szCs w:val="21"/>
          <w:highlight w:val="none"/>
        </w:rPr>
        <w:t>投标人所拥有。</w:t>
      </w:r>
    </w:p>
    <w:p w14:paraId="076761C2">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8.2投标人应仔细阅读招标文件的所有内容，按照招标文件的要求提交投标文件，并对所提供的全部资料的真实性承担法律责任。</w:t>
      </w:r>
    </w:p>
    <w:p w14:paraId="55E0F5CC">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8.3投标人在投标活动中提供任何虚假材料，将报监管部门查处；中标后发现的，中标人须依照《中华人民共和国</w:t>
      </w:r>
      <w:r>
        <w:rPr>
          <w:rFonts w:hint="eastAsia" w:ascii="宋体" w:hAnsi="宋体" w:cs="宋体"/>
          <w:b/>
          <w:color w:val="auto"/>
          <w:szCs w:val="21"/>
          <w:highlight w:val="none"/>
          <w:lang w:val="en-US" w:eastAsia="zh-CN"/>
        </w:rPr>
        <w:t>民法典</w:t>
      </w:r>
      <w:r>
        <w:rPr>
          <w:rFonts w:hint="eastAsia" w:ascii="宋体" w:hAnsi="宋体" w:eastAsia="宋体" w:cs="Times New Roman"/>
          <w:b/>
          <w:color w:val="auto"/>
          <w:szCs w:val="21"/>
          <w:highlight w:val="none"/>
        </w:rPr>
        <w:t>》规定赔偿采购人，且民事赔偿并不免除违法投标人的行政与刑事责任。</w:t>
      </w:r>
    </w:p>
    <w:p w14:paraId="4DE8CA68">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9.回避与串通投标</w:t>
      </w:r>
    </w:p>
    <w:p w14:paraId="70B9FBEF">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9.1在政府采购活动中，采购人员及相关人员与供应商有下列利害关系之一的，应当回避：</w:t>
      </w:r>
    </w:p>
    <w:p w14:paraId="7A3C662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14:paraId="7BA308A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14:paraId="347799E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14:paraId="4CB3C02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14:paraId="75AA7F3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4D7C3035">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4134AA0">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9.2有下列情形之一的视为投标人相互串通投标，投标文件将被视为无效：</w:t>
      </w:r>
    </w:p>
    <w:p w14:paraId="438EDBBC">
      <w:pPr>
        <w:spacing w:line="360" w:lineRule="auto"/>
        <w:ind w:firstLine="422" w:firstLineChars="200"/>
        <w:rPr>
          <w:rFonts w:hint="eastAsia" w:ascii="宋体" w:hAnsi="宋体" w:eastAsia="宋体" w:cs="宋体"/>
          <w:b/>
          <w:color w:val="auto"/>
          <w:highlight w:val="none"/>
          <w:lang w:eastAsia="zh-CN"/>
        </w:rPr>
      </w:pPr>
      <w:r>
        <w:rPr>
          <w:rFonts w:hint="eastAsia" w:ascii="宋体" w:hAnsi="宋体" w:eastAsia="宋体" w:cs="宋体"/>
          <w:b/>
          <w:color w:val="auto"/>
          <w:highlight w:val="none"/>
        </w:rPr>
        <w:t>（1）不同投标人的投标文件由同一单位或者个人编制；</w:t>
      </w:r>
      <w:r>
        <w:rPr>
          <w:rFonts w:hint="eastAsia" w:cs="宋体"/>
          <w:b/>
          <w:color w:val="auto"/>
          <w:szCs w:val="21"/>
          <w:highlight w:val="none"/>
        </w:rPr>
        <w:t>或者不同投标人报名的IP地址一致的；</w:t>
      </w:r>
    </w:p>
    <w:p w14:paraId="0387306A">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14:paraId="4DA2BE93">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14:paraId="1B58C0A7">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w:t>
      </w:r>
      <w:r>
        <w:rPr>
          <w:rFonts w:hint="eastAsia" w:ascii="宋体" w:hAnsi="宋体" w:cs="宋体"/>
          <w:b/>
          <w:color w:val="auto"/>
          <w:highlight w:val="none"/>
          <w:lang w:eastAsia="zh-CN"/>
        </w:rPr>
        <w:t>电子版投标文件</w:t>
      </w:r>
      <w:r>
        <w:rPr>
          <w:rFonts w:hint="eastAsia" w:ascii="宋体" w:hAnsi="宋体" w:eastAsia="宋体" w:cs="宋体"/>
          <w:b/>
          <w:color w:val="auto"/>
          <w:highlight w:val="none"/>
        </w:rPr>
        <w:t>异常一致或者投标报价呈规律性差异；</w:t>
      </w:r>
    </w:p>
    <w:p w14:paraId="7A2EDE67">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（5）不同投标人的投标文件相互混装；</w:t>
      </w:r>
    </w:p>
    <w:p w14:paraId="0BF939D6">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6</w:t>
      </w:r>
      <w:r>
        <w:rPr>
          <w:rFonts w:hint="eastAsia" w:ascii="宋体" w:hAnsi="宋体" w:eastAsia="宋体" w:cs="宋体"/>
          <w:b/>
          <w:color w:val="auto"/>
          <w:highlight w:val="none"/>
        </w:rPr>
        <w:t>）不同投标人的</w:t>
      </w:r>
      <w:r>
        <w:rPr>
          <w:rFonts w:hint="eastAsia" w:ascii="宋体" w:hAnsi="宋体" w:eastAsia="宋体" w:cs="宋体"/>
          <w:b/>
          <w:color w:val="auto"/>
          <w:highlight w:val="none"/>
          <w:lang w:eastAsia="zh-CN"/>
        </w:rPr>
        <w:t>投标</w:t>
      </w:r>
      <w:r>
        <w:rPr>
          <w:rFonts w:hint="eastAsia" w:ascii="宋体" w:hAnsi="宋体" w:eastAsia="宋体" w:cs="宋体"/>
          <w:b/>
          <w:color w:val="auto"/>
          <w:highlight w:val="none"/>
        </w:rPr>
        <w:t>保证金从同一单位或者个人账户转出。</w:t>
      </w:r>
    </w:p>
    <w:p w14:paraId="4401031E">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9.3供应商有下列情形之一的，属于恶意串通行为，将报同级监督管理部门：</w:t>
      </w:r>
    </w:p>
    <w:p w14:paraId="52CF13D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w:t>
      </w:r>
    </w:p>
    <w:p w14:paraId="466D745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w:t>
      </w:r>
    </w:p>
    <w:p w14:paraId="17A6841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（3）供应商之间协商报价、技术方案等投标文件的实质性内容；</w:t>
      </w:r>
    </w:p>
    <w:p w14:paraId="59943E9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14:paraId="5A289B9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151E4D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14:paraId="30BBA1B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14:paraId="50789E66">
      <w:pPr>
        <w:pStyle w:val="12"/>
        <w:snapToGrid w:val="0"/>
        <w:spacing w:line="360" w:lineRule="auto"/>
        <w:ind w:left="2" w:leftChars="1" w:firstLine="422" w:firstLineChars="200"/>
        <w:rPr>
          <w:rFonts w:hAnsi="宋体" w:eastAsia="宋体" w:cs="Times New Roman"/>
          <w:b/>
          <w:color w:val="auto"/>
          <w:highlight w:val="none"/>
        </w:rPr>
      </w:pPr>
    </w:p>
    <w:p w14:paraId="590AA644">
      <w:pPr>
        <w:pStyle w:val="4"/>
        <w:keepNext w:val="0"/>
        <w:keepLines w:val="0"/>
        <w:spacing w:line="400" w:lineRule="exact"/>
        <w:jc w:val="center"/>
        <w:rPr>
          <w:rFonts w:hint="eastAsia" w:ascii="Times New Roman" w:hAnsi="Times New Roman" w:eastAsia="宋体" w:cs="Times New Roman"/>
          <w:color w:val="auto"/>
          <w:highlight w:val="none"/>
        </w:rPr>
      </w:pPr>
      <w:bookmarkStart w:id="140" w:name="_Toc254970675"/>
      <w:bookmarkStart w:id="141" w:name="_Toc18580"/>
      <w:bookmarkStart w:id="142" w:name="_Toc9988"/>
      <w:bookmarkStart w:id="143" w:name="_Toc254970534"/>
      <w:bookmarkStart w:id="144" w:name="_Toc19016"/>
      <w:bookmarkStart w:id="145" w:name="_Toc25104"/>
      <w:bookmarkStart w:id="146" w:name="_Toc6920"/>
      <w:bookmarkStart w:id="147" w:name="_Toc11054"/>
      <w:bookmarkStart w:id="148" w:name="_Toc10320"/>
      <w:bookmarkStart w:id="149" w:name="_Toc128"/>
      <w:bookmarkStart w:id="150" w:name="_Toc22911"/>
      <w:bookmarkStart w:id="151" w:name="_Toc17855"/>
      <w:r>
        <w:rPr>
          <w:rFonts w:hint="eastAsia" w:ascii="Times New Roman" w:hAnsi="Times New Roman" w:eastAsia="宋体" w:cs="Times New Roman"/>
          <w:color w:val="auto"/>
          <w:highlight w:val="none"/>
        </w:rPr>
        <w:t>二、招标文件</w:t>
      </w:r>
      <w:bookmarkEnd w:id="140"/>
      <w:bookmarkEnd w:id="141"/>
      <w:bookmarkEnd w:id="142"/>
      <w:bookmarkEnd w:id="143"/>
      <w:bookmarkEnd w:id="144"/>
      <w:bookmarkEnd w:id="145"/>
      <w:bookmarkEnd w:id="146"/>
      <w:bookmarkEnd w:id="147"/>
      <w:bookmarkEnd w:id="148"/>
      <w:bookmarkEnd w:id="149"/>
      <w:bookmarkEnd w:id="150"/>
      <w:bookmarkEnd w:id="151"/>
    </w:p>
    <w:p w14:paraId="088F0BAA">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10.招标文件的组成</w:t>
      </w:r>
    </w:p>
    <w:p w14:paraId="18D79F8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第一章 招标公告；</w:t>
      </w:r>
    </w:p>
    <w:p w14:paraId="6C8AD4A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第二章 采购需求； </w:t>
      </w:r>
    </w:p>
    <w:p w14:paraId="7CC19B7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第三章 投标人须知；</w:t>
      </w:r>
    </w:p>
    <w:p w14:paraId="1E0BD51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评标方法</w:t>
      </w:r>
      <w:r>
        <w:rPr>
          <w:rFonts w:hint="eastAsia" w:ascii="宋体" w:hAnsi="宋体" w:cs="Times New Roman"/>
          <w:color w:val="auto"/>
          <w:szCs w:val="21"/>
          <w:highlight w:val="none"/>
          <w:lang w:eastAsia="zh-CN"/>
        </w:rPr>
        <w:t>和</w:t>
      </w:r>
      <w:r>
        <w:rPr>
          <w:rFonts w:hint="eastAsia" w:ascii="宋体" w:hAnsi="宋体" w:eastAsia="宋体" w:cs="Times New Roman"/>
          <w:color w:val="auto"/>
          <w:szCs w:val="21"/>
          <w:highlight w:val="none"/>
        </w:rPr>
        <w:t>评标标准；</w:t>
      </w:r>
    </w:p>
    <w:p w14:paraId="2F778D8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第五章 拟签订的合同文本；</w:t>
      </w:r>
    </w:p>
    <w:p w14:paraId="79B39B1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第六章 投标文件格式；</w:t>
      </w:r>
    </w:p>
    <w:p w14:paraId="2FF052C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14:paraId="586FA365">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根据本章</w:t>
      </w:r>
      <w:r>
        <w:rPr>
          <w:rFonts w:hint="eastAsia" w:ascii="宋体" w:hAnsi="宋体" w:eastAsia="宋体" w:cs="宋体"/>
          <w:color w:val="auto"/>
          <w:highlight w:val="none"/>
        </w:rPr>
        <w:t>第11.1</w:t>
      </w:r>
      <w:r>
        <w:rPr>
          <w:rFonts w:hint="eastAsia" w:ascii="Times New Roman" w:hAnsi="宋体" w:eastAsia="宋体" w:cs="Times New Roman"/>
          <w:color w:val="auto"/>
          <w:highlight w:val="none"/>
        </w:rPr>
        <w:t>项的规定对招标文件所做的澄清、修改，构成招标文件的组成部分。当招标文件与招标文件的澄清和修改就同一内容的表述不一致时，</w:t>
      </w:r>
      <w:r>
        <w:rPr>
          <w:rFonts w:hint="eastAsia" w:ascii="Times New Roman" w:hAnsi="Times New Roman" w:eastAsia="宋体" w:cs="Times New Roman"/>
          <w:color w:val="auto"/>
          <w:highlight w:val="none"/>
        </w:rPr>
        <w:t>以最后澄清或修改公告为准。</w:t>
      </w:r>
    </w:p>
    <w:p w14:paraId="7D9F564E">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11.招标文件的澄清、修改 、现场考察和答疑会</w:t>
      </w:r>
    </w:p>
    <w:p w14:paraId="4136E81C">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 11.1采购人或者采购代理机构可以对已发出的招标文件进行必要的澄清或者修改，但不得改变采购标的和资格条件。澄清或者修改应当在原</w:t>
      </w:r>
      <w:r>
        <w:rPr>
          <w:rFonts w:hint="eastAsia" w:ascii="宋体" w:hAnsi="宋体" w:cs="Times New Roman"/>
          <w:b/>
          <w:color w:val="auto"/>
          <w:szCs w:val="21"/>
          <w:highlight w:val="none"/>
          <w:lang w:eastAsia="zh-CN"/>
        </w:rPr>
        <w:t>招标</w:t>
      </w:r>
      <w:r>
        <w:rPr>
          <w:rFonts w:hint="eastAsia" w:ascii="宋体" w:hAnsi="宋体" w:eastAsia="宋体" w:cs="Times New Roman"/>
          <w:b/>
          <w:color w:val="auto"/>
          <w:szCs w:val="21"/>
          <w:highlight w:val="none"/>
        </w:rPr>
        <w:t>公告发布媒体上发布澄清公告。澄清或者修改的内容为招标文件的组成部分。</w:t>
      </w:r>
    </w:p>
    <w:p w14:paraId="2D96BF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14:paraId="66443E3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规定的政府采购信息发布媒体上发布更正公告及平台短信通知)所有获取招标文件的潜在投标人；不足15日的，采购人或者采购代理机构应当顺延提交投标文件的截止时间。</w:t>
      </w:r>
    </w:p>
    <w:p w14:paraId="1F5945D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0B27322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14:paraId="08A88F7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bookmarkStart w:id="152" w:name="_Hlk53134511"/>
      <w:r>
        <w:rPr>
          <w:rFonts w:hint="eastAsia" w:ascii="宋体" w:hAnsi="宋体" w:eastAsia="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152"/>
    <w:p w14:paraId="4CE6FB84">
      <w:pPr>
        <w:pStyle w:val="4"/>
        <w:keepNext w:val="0"/>
        <w:keepLines w:val="0"/>
        <w:spacing w:line="400" w:lineRule="exact"/>
        <w:jc w:val="center"/>
        <w:rPr>
          <w:rFonts w:ascii="Times New Roman" w:hAnsi="Times New Roman" w:eastAsia="宋体" w:cs="Times New Roman"/>
          <w:color w:val="auto"/>
          <w:highlight w:val="none"/>
        </w:rPr>
      </w:pPr>
      <w:bookmarkStart w:id="153" w:name="_Toc32499"/>
      <w:bookmarkStart w:id="154" w:name="_Toc7841"/>
      <w:bookmarkStart w:id="155" w:name="_Toc24872"/>
      <w:bookmarkStart w:id="156" w:name="_Toc12080"/>
      <w:bookmarkStart w:id="157" w:name="_Toc254970676"/>
      <w:bookmarkStart w:id="158" w:name="_Toc16623"/>
      <w:bookmarkStart w:id="159" w:name="_Toc254970535"/>
      <w:bookmarkStart w:id="160" w:name="_Toc28419"/>
      <w:bookmarkStart w:id="161" w:name="_Toc2635"/>
      <w:bookmarkStart w:id="162" w:name="_Toc32154"/>
      <w:bookmarkStart w:id="163" w:name="_Toc20"/>
      <w:bookmarkStart w:id="164" w:name="_Toc27367"/>
      <w:r>
        <w:rPr>
          <w:rFonts w:hint="eastAsia" w:ascii="Times New Roman" w:hAnsi="Times New Roman" w:eastAsia="宋体" w:cs="Times New Roman"/>
          <w:color w:val="auto"/>
          <w:highlight w:val="none"/>
        </w:rPr>
        <w:t>三、投标文件的编制</w:t>
      </w:r>
      <w:bookmarkEnd w:id="153"/>
      <w:bookmarkEnd w:id="154"/>
      <w:bookmarkEnd w:id="155"/>
      <w:bookmarkEnd w:id="156"/>
      <w:bookmarkEnd w:id="157"/>
      <w:bookmarkEnd w:id="158"/>
      <w:bookmarkEnd w:id="159"/>
      <w:bookmarkEnd w:id="160"/>
      <w:bookmarkEnd w:id="161"/>
      <w:bookmarkEnd w:id="162"/>
      <w:bookmarkEnd w:id="163"/>
      <w:bookmarkEnd w:id="164"/>
    </w:p>
    <w:p w14:paraId="1735B737">
      <w:pPr>
        <w:spacing w:line="360" w:lineRule="auto"/>
        <w:ind w:firstLine="480" w:firstLineChars="200"/>
        <w:rPr>
          <w:rFonts w:ascii="黑体" w:hAnsi="黑体" w:eastAsia="黑体" w:cs="Times New Roman"/>
          <w:color w:val="auto"/>
          <w:sz w:val="24"/>
          <w:highlight w:val="none"/>
        </w:rPr>
      </w:pPr>
      <w:bookmarkStart w:id="165" w:name="_Toc254970677"/>
      <w:bookmarkStart w:id="166" w:name="_Toc254970536"/>
      <w:r>
        <w:rPr>
          <w:rFonts w:hint="eastAsia" w:ascii="黑体" w:hAnsi="黑体" w:eastAsia="黑体" w:cs="Times New Roman"/>
          <w:color w:val="auto"/>
          <w:sz w:val="24"/>
          <w:highlight w:val="none"/>
        </w:rPr>
        <w:t>12.投标文件的编制原则</w:t>
      </w:r>
    </w:p>
    <w:p w14:paraId="420167A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投标人必须按照招标文件的要求编制投标文件。投标文件必须对招标文件提出的要求和条件作出明确响应。</w:t>
      </w:r>
    </w:p>
    <w:p w14:paraId="3F19B36A">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13.投标文件的组成</w:t>
      </w:r>
      <w:bookmarkEnd w:id="165"/>
      <w:bookmarkEnd w:id="166"/>
    </w:p>
    <w:p w14:paraId="3C0A0ED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13.1投标文件由报价文件、资格文件、商务技术文件</w:t>
      </w:r>
      <w:r>
        <w:rPr>
          <w:rFonts w:hint="eastAsia" w:ascii="宋体" w:hAnsi="宋体" w:cs="Times New Roman"/>
          <w:color w:val="auto"/>
          <w:szCs w:val="21"/>
          <w:highlight w:val="none"/>
          <w:lang w:val="en-US" w:eastAsia="zh-CN"/>
        </w:rPr>
        <w:t>三</w:t>
      </w:r>
      <w:r>
        <w:rPr>
          <w:rFonts w:hint="eastAsia" w:ascii="宋体" w:hAnsi="宋体" w:eastAsia="宋体" w:cs="Times New Roman"/>
          <w:color w:val="auto"/>
          <w:szCs w:val="21"/>
          <w:highlight w:val="none"/>
        </w:rPr>
        <w:t>部分组成。</w:t>
      </w:r>
    </w:p>
    <w:p w14:paraId="721901DE">
      <w:pPr>
        <w:spacing w:line="360" w:lineRule="auto"/>
        <w:ind w:firstLine="420" w:firstLineChars="200"/>
        <w:rPr>
          <w:rFonts w:hint="eastAsia" w:ascii="宋体" w:hAnsi="宋体" w:eastAsia="宋体" w:cs="Times New Roman"/>
          <w:bCs/>
          <w:color w:val="auto"/>
          <w:szCs w:val="21"/>
          <w:highlight w:val="none"/>
        </w:rPr>
      </w:pPr>
      <w:bookmarkStart w:id="167" w:name="_13.2资格证明文件：具体材料见“投标人须知前附表”。"/>
      <w:bookmarkEnd w:id="167"/>
      <w:bookmarkStart w:id="168" w:name="_13.1报价文件:_具体材料见“投标人须知前附表”。"/>
      <w:bookmarkEnd w:id="168"/>
      <w:r>
        <w:rPr>
          <w:rFonts w:hint="eastAsia" w:ascii="宋体" w:hAnsi="宋体" w:eastAsia="宋体" w:cs="Times New Roman"/>
          <w:bCs/>
          <w:color w:val="auto"/>
          <w:szCs w:val="21"/>
          <w:highlight w:val="none"/>
        </w:rPr>
        <w:t>（1）资格文件：具体材料见“投标人须知前附表”。</w:t>
      </w:r>
    </w:p>
    <w:p w14:paraId="6D8BFC1A">
      <w:pPr>
        <w:spacing w:line="360" w:lineRule="auto"/>
        <w:ind w:firstLine="420" w:firstLineChars="200"/>
        <w:rPr>
          <w:rFonts w:hint="eastAsia" w:ascii="宋体" w:hAnsi="宋体" w:eastAsia="宋体" w:cs="Times New Roman"/>
          <w:bCs/>
          <w:color w:val="auto"/>
          <w:szCs w:val="21"/>
          <w:highlight w:val="none"/>
        </w:rPr>
      </w:pPr>
      <w:bookmarkStart w:id="169" w:name="_13.3商务文件:_具体材料见“投标人须知前附表”。"/>
      <w:bookmarkEnd w:id="169"/>
      <w:r>
        <w:rPr>
          <w:rFonts w:hint="eastAsia" w:ascii="宋体" w:hAnsi="宋体" w:eastAsia="宋体" w:cs="Times New Roman"/>
          <w:bCs/>
          <w:color w:val="auto"/>
          <w:szCs w:val="21"/>
          <w:highlight w:val="none"/>
        </w:rPr>
        <w:t>（2）</w:t>
      </w:r>
      <w:r>
        <w:rPr>
          <w:rFonts w:hint="eastAsia" w:ascii="宋体" w:hAnsi="宋体" w:cs="Times New Roman"/>
          <w:bCs/>
          <w:color w:val="auto"/>
          <w:szCs w:val="21"/>
          <w:highlight w:val="none"/>
          <w:lang w:eastAsia="zh-CN"/>
        </w:rPr>
        <w:t>商务技术文件</w:t>
      </w:r>
      <w:r>
        <w:rPr>
          <w:rFonts w:hint="eastAsia" w:ascii="宋体" w:hAnsi="宋体" w:eastAsia="宋体" w:cs="Times New Roman"/>
          <w:bCs/>
          <w:color w:val="auto"/>
          <w:szCs w:val="21"/>
          <w:highlight w:val="none"/>
        </w:rPr>
        <w:t>：具体材料见“投标人须知前附表”。</w:t>
      </w:r>
    </w:p>
    <w:p w14:paraId="7FAE4474">
      <w:pPr>
        <w:spacing w:line="360" w:lineRule="auto"/>
        <w:ind w:firstLine="420" w:firstLineChars="200"/>
        <w:rPr>
          <w:rFonts w:hint="eastAsia" w:ascii="宋体" w:hAnsi="宋体" w:eastAsia="宋体" w:cs="Times New Roman"/>
          <w:bCs/>
          <w:color w:val="auto"/>
          <w:szCs w:val="21"/>
          <w:highlight w:val="none"/>
        </w:rPr>
      </w:pPr>
      <w:bookmarkStart w:id="170" w:name="_13.4技术文件：具体材料见“投标人须知前附表”。"/>
      <w:bookmarkEnd w:id="170"/>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rPr>
        <w:t>）报价文件： 具体材料见“投标人须知前附表”。</w:t>
      </w:r>
    </w:p>
    <w:p w14:paraId="364EFCC2">
      <w:pPr>
        <w:spacing w:line="360" w:lineRule="auto"/>
        <w:ind w:firstLine="420" w:firstLineChars="200"/>
        <w:rPr>
          <w:rFonts w:hint="eastAsia" w:ascii="宋体" w:hAnsi="宋体" w:eastAsia="宋体" w:cs="Times New Roman"/>
          <w:bCs/>
          <w:color w:val="auto"/>
          <w:szCs w:val="21"/>
          <w:highlight w:val="none"/>
        </w:rPr>
      </w:pPr>
      <w:bookmarkStart w:id="171" w:name="_13.5投标文件电子版：具体材料见“投标人须知前附表”。"/>
      <w:bookmarkEnd w:id="171"/>
      <w:r>
        <w:rPr>
          <w:rFonts w:hint="eastAsia" w:ascii="宋体" w:hAnsi="宋体" w:eastAsia="宋体" w:cs="Times New Roman"/>
          <w:bCs/>
          <w:color w:val="auto"/>
          <w:szCs w:val="21"/>
          <w:highlight w:val="none"/>
        </w:rPr>
        <w:t>13.2投标文件电子版：具体要求见本节19.投标文件编制。</w:t>
      </w:r>
    </w:p>
    <w:p w14:paraId="752E5089">
      <w:pPr>
        <w:spacing w:line="360" w:lineRule="auto"/>
        <w:ind w:firstLine="480" w:firstLineChars="200"/>
        <w:rPr>
          <w:rFonts w:hint="eastAsia" w:ascii="黑体" w:hAnsi="黑体" w:eastAsia="黑体" w:cs="Times New Roman"/>
          <w:color w:val="auto"/>
          <w:sz w:val="24"/>
          <w:highlight w:val="none"/>
        </w:rPr>
      </w:pPr>
      <w:bookmarkStart w:id="172" w:name="_Toc254970537"/>
      <w:bookmarkStart w:id="173" w:name="_Toc254970678"/>
      <w:r>
        <w:rPr>
          <w:rFonts w:hint="eastAsia" w:ascii="黑体" w:hAnsi="黑体" w:eastAsia="黑体" w:cs="Times New Roman"/>
          <w:color w:val="auto"/>
          <w:sz w:val="24"/>
          <w:highlight w:val="none"/>
        </w:rPr>
        <w:t>14.投标文件的语言及计量</w:t>
      </w:r>
      <w:bookmarkEnd w:id="172"/>
      <w:bookmarkEnd w:id="173"/>
    </w:p>
    <w:p w14:paraId="54E0178B">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14.1语言文字</w:t>
      </w:r>
    </w:p>
    <w:p w14:paraId="2A50A9FF">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6A89432">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14.2投标计量单位</w:t>
      </w:r>
    </w:p>
    <w:p w14:paraId="2F119BC8">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招标文件已有明确规定的，使用招标文件规定的计量单位；招标文件没有规定的，应采用中华人民共和国法定计量单位，货币种类为人民币，否则视同未响应。</w:t>
      </w:r>
    </w:p>
    <w:p w14:paraId="5AF80335">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15.投标</w:t>
      </w:r>
      <w:r>
        <w:rPr>
          <w:rFonts w:hint="eastAsia" w:ascii="黑体" w:hAnsi="黑体" w:eastAsia="黑体" w:cs="Times New Roman"/>
          <w:color w:val="auto"/>
          <w:sz w:val="24"/>
          <w:highlight w:val="none"/>
          <w:lang w:val="en-US" w:eastAsia="zh-CN"/>
        </w:rPr>
        <w:t>文件提交</w:t>
      </w:r>
      <w:r>
        <w:rPr>
          <w:rFonts w:hint="eastAsia" w:ascii="黑体" w:hAnsi="黑体" w:eastAsia="黑体" w:cs="Times New Roman"/>
          <w:color w:val="auto"/>
          <w:sz w:val="24"/>
          <w:highlight w:val="none"/>
        </w:rPr>
        <w:t>的风险</w:t>
      </w:r>
    </w:p>
    <w:p w14:paraId="19E9B7EE">
      <w:pPr>
        <w:spacing w:line="360" w:lineRule="auto"/>
        <w:ind w:firstLine="420" w:firstLineChars="200"/>
        <w:rPr>
          <w:rFonts w:hint="eastAsia" w:ascii="Times New Roman" w:hAnsi="宋体" w:eastAsia="宋体" w:cs="Times New Roman"/>
          <w:b/>
          <w:bCs/>
          <w:color w:val="auto"/>
          <w:highlight w:val="none"/>
        </w:rPr>
      </w:pPr>
      <w:r>
        <w:rPr>
          <w:rFonts w:hint="eastAsia" w:ascii="Times New Roman" w:hAnsi="宋体" w:eastAsia="宋体" w:cs="Times New Roman"/>
          <w:color w:val="auto"/>
          <w:highlight w:val="none"/>
        </w:rPr>
        <w:t>投标文件分为资格文件、商务技术文件、报价文件</w:t>
      </w:r>
      <w:r>
        <w:rPr>
          <w:rFonts w:hint="eastAsia" w:hAnsi="宋体" w:cs="Times New Roman"/>
          <w:color w:val="auto"/>
          <w:highlight w:val="none"/>
          <w:lang w:val="en-US" w:eastAsia="zh-CN"/>
        </w:rPr>
        <w:t>三</w:t>
      </w:r>
      <w:r>
        <w:rPr>
          <w:rFonts w:hint="eastAsia" w:ascii="Times New Roman" w:hAnsi="宋体" w:eastAsia="宋体" w:cs="Times New Roman"/>
          <w:color w:val="auto"/>
          <w:highlight w:val="none"/>
        </w:rPr>
        <w:t>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168AECC5">
      <w:pPr>
        <w:spacing w:line="360" w:lineRule="auto"/>
        <w:ind w:firstLine="480" w:firstLineChars="200"/>
        <w:rPr>
          <w:rFonts w:ascii="黑体" w:hAnsi="黑体" w:eastAsia="黑体" w:cs="Times New Roman"/>
          <w:color w:val="auto"/>
          <w:sz w:val="24"/>
          <w:highlight w:val="none"/>
        </w:rPr>
      </w:pPr>
      <w:bookmarkStart w:id="174" w:name="_Toc254970538"/>
      <w:bookmarkStart w:id="175" w:name="_Toc254970679"/>
      <w:r>
        <w:rPr>
          <w:rFonts w:hint="eastAsia" w:ascii="黑体" w:hAnsi="黑体" w:eastAsia="黑体" w:cs="Times New Roman"/>
          <w:color w:val="auto"/>
          <w:sz w:val="24"/>
          <w:highlight w:val="none"/>
        </w:rPr>
        <w:t>16.投标报价</w:t>
      </w:r>
      <w:bookmarkEnd w:id="174"/>
      <w:bookmarkEnd w:id="175"/>
    </w:p>
    <w:p w14:paraId="68E627E6">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16.1投标报价应</w:t>
      </w:r>
      <w:r>
        <w:rPr>
          <w:rFonts w:hint="eastAsia" w:ascii="宋体" w:hAnsi="宋体" w:eastAsia="宋体" w:cs="Times New Roman"/>
          <w:bCs/>
          <w:color w:val="auto"/>
          <w:szCs w:val="20"/>
          <w:highlight w:val="none"/>
        </w:rPr>
        <w:t>按“第六章　投标文件格式”中“开标一览表”格式填写。</w:t>
      </w:r>
    </w:p>
    <w:p w14:paraId="4938B4AF">
      <w:pPr>
        <w:spacing w:line="360" w:lineRule="auto"/>
        <w:ind w:firstLine="420" w:firstLineChars="200"/>
        <w:rPr>
          <w:rFonts w:hint="eastAsia" w:ascii="宋体" w:hAnsi="宋体" w:eastAsia="宋体" w:cs="Times New Roman"/>
          <w:bCs/>
          <w:color w:val="auto"/>
          <w:szCs w:val="21"/>
          <w:highlight w:val="none"/>
        </w:rPr>
      </w:pPr>
      <w:bookmarkStart w:id="176" w:name="_16.2投标报价具体定义见投标人须知前附表。"/>
      <w:bookmarkEnd w:id="176"/>
      <w:r>
        <w:rPr>
          <w:rFonts w:hint="eastAsia" w:ascii="宋体" w:hAnsi="宋体" w:eastAsia="宋体" w:cs="Times New Roman"/>
          <w:bCs/>
          <w:color w:val="auto"/>
          <w:szCs w:val="21"/>
          <w:highlight w:val="none"/>
        </w:rPr>
        <w:t>16.2投标报价具体包括内容详见“投标人须知前附表”。</w:t>
      </w:r>
    </w:p>
    <w:p w14:paraId="68857580">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16.3投标人必须就所投每个分标的全部内容分别作完整唯一总价报价，不得存在漏项报价；投标人必须就所投分标的单项内容作唯一报价。</w:t>
      </w:r>
    </w:p>
    <w:p w14:paraId="4BCBBF90">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17.投标有效期</w:t>
      </w:r>
    </w:p>
    <w:p w14:paraId="726E9B2C">
      <w:pPr>
        <w:spacing w:line="360" w:lineRule="auto"/>
        <w:ind w:firstLine="420" w:firstLineChars="200"/>
        <w:rPr>
          <w:rFonts w:hint="eastAsia" w:ascii="宋体" w:hAnsi="宋体" w:eastAsia="宋体" w:cs="Times New Roman"/>
          <w:bCs/>
          <w:color w:val="auto"/>
          <w:szCs w:val="21"/>
          <w:highlight w:val="none"/>
        </w:rPr>
      </w:pPr>
      <w:bookmarkStart w:id="177" w:name="_17.1投标有效期应按“投标人须知中的前附表”规定的期限。"/>
      <w:bookmarkEnd w:id="177"/>
      <w:r>
        <w:rPr>
          <w:rFonts w:hint="eastAsia" w:ascii="宋体" w:hAnsi="宋体" w:eastAsia="宋体" w:cs="Times New Roman"/>
          <w:bCs/>
          <w:color w:val="auto"/>
          <w:szCs w:val="21"/>
          <w:highlight w:val="none"/>
        </w:rPr>
        <w:t>17.1投标有效期是指为保证采购人有足够的时间在开标后完成评标、定标、合同签订等工作而要求投标人提交的投标文件在一定时间内保持有效的期限。</w:t>
      </w:r>
    </w:p>
    <w:p w14:paraId="3A159A6C">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17.2</w:t>
      </w:r>
      <w:bookmarkStart w:id="178" w:name="_Toc254970540"/>
      <w:bookmarkStart w:id="179" w:name="_Toc254970681"/>
      <w:r>
        <w:rPr>
          <w:rFonts w:hint="eastAsia" w:ascii="宋体" w:hAnsi="宋体" w:eastAsia="宋体" w:cs="Times New Roman"/>
          <w:bCs/>
          <w:color w:val="auto"/>
          <w:szCs w:val="21"/>
          <w:highlight w:val="none"/>
        </w:rPr>
        <w:t xml:space="preserve"> 投标有效期应按规定的期限作出承诺，具体详见“投标人须知前附表”。</w:t>
      </w:r>
    </w:p>
    <w:p w14:paraId="41524DD3">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17.3投标人的投标文件在投标有效期内均保持有效。</w:t>
      </w:r>
      <w:bookmarkEnd w:id="178"/>
      <w:bookmarkEnd w:id="179"/>
    </w:p>
    <w:p w14:paraId="2C376B5A">
      <w:pPr>
        <w:spacing w:line="360" w:lineRule="auto"/>
        <w:ind w:firstLine="480" w:firstLineChars="200"/>
        <w:rPr>
          <w:rFonts w:hint="eastAsia" w:ascii="黑体" w:hAnsi="黑体" w:eastAsia="黑体" w:cs="Times New Roman"/>
          <w:color w:val="auto"/>
          <w:sz w:val="24"/>
          <w:highlight w:val="none"/>
        </w:rPr>
      </w:pPr>
      <w:bookmarkStart w:id="180" w:name="_18.投标保证金"/>
      <w:bookmarkEnd w:id="180"/>
      <w:bookmarkStart w:id="181" w:name="_Toc254970682"/>
      <w:bookmarkStart w:id="182" w:name="_Toc254970541"/>
      <w:r>
        <w:rPr>
          <w:rFonts w:hint="eastAsia" w:ascii="黑体" w:hAnsi="黑体" w:eastAsia="黑体" w:cs="Times New Roman"/>
          <w:color w:val="auto"/>
          <w:sz w:val="24"/>
          <w:highlight w:val="none"/>
        </w:rPr>
        <w:t>18.投标保证金</w:t>
      </w:r>
      <w:bookmarkEnd w:id="181"/>
      <w:bookmarkEnd w:id="182"/>
    </w:p>
    <w:p w14:paraId="07D55EBF">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bookmarkStart w:id="183" w:name="_Toc254970542"/>
      <w:bookmarkStart w:id="184" w:name="_Toc254970683"/>
      <w:r>
        <w:rPr>
          <w:rFonts w:hint="eastAsia" w:ascii="宋体" w:hAnsi="宋体" w:eastAsia="宋体" w:cs="宋体"/>
          <w:b w:val="0"/>
          <w:color w:val="auto"/>
          <w:sz w:val="21"/>
          <w:szCs w:val="21"/>
          <w:highlight w:val="none"/>
        </w:rPr>
        <w:t>18.1投标人须按“投标人须知前附表” 的规定提交投标保证金。</w:t>
      </w:r>
    </w:p>
    <w:p w14:paraId="5F0F590D">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18.2投标保证金的退还</w:t>
      </w:r>
    </w:p>
    <w:p w14:paraId="3D6F5F9A">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18.2.1未中标人的投标保证金自中标通知书发出之日起</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个工作日内退还，退还方式如下：</w:t>
      </w:r>
    </w:p>
    <w:p w14:paraId="627C351B">
      <w:pPr>
        <w:pStyle w:val="5"/>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（1）采用银行转账方式的，以转账方式退回到投标人银行账户。</w:t>
      </w:r>
    </w:p>
    <w:p w14:paraId="5F52BBC7">
      <w:pPr>
        <w:pStyle w:val="6"/>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方式的，由投标人代表持相关授权证明材料至采购代理机构办理支票、汇票、本票或者金融机构、担保机构出具的保函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 xml:space="preserve">原件退还手续。 </w:t>
      </w:r>
    </w:p>
    <w:p w14:paraId="7CDC495B">
      <w:pPr>
        <w:pStyle w:val="5"/>
        <w:keepNext w:val="0"/>
        <w:keepLines w:val="0"/>
        <w:numPr>
          <w:ilvl w:val="0"/>
          <w:numId w:val="0"/>
        </w:numPr>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18.2.2中标人的投标保证金自采购合同签订之日起</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 xml:space="preserve">个工作日内退还，退还方式同本须知正文第18.2.1。 </w:t>
      </w:r>
    </w:p>
    <w:p w14:paraId="79C2D526">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18.3除逾期退还投标保证金和终止招标的情形以外，投标保证金不计息。</w:t>
      </w:r>
    </w:p>
    <w:p w14:paraId="3C66589C">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18.4投标人有下列情形之一的，投标保证金将不予退还： </w:t>
      </w:r>
    </w:p>
    <w:p w14:paraId="7A9B429C">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（1）投标人在投标有效期内撤销投标文件的；</w:t>
      </w:r>
    </w:p>
    <w:p w14:paraId="729BD4A0">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457D02AD">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（3）投标人在投标过程中弄虚作假，提供虚假材料的；</w:t>
      </w:r>
    </w:p>
    <w:p w14:paraId="5871127B">
      <w:pPr>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（4）中标人无正当理由不与采购人签订合同的；</w:t>
      </w:r>
    </w:p>
    <w:p w14:paraId="2ADC67B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（5）投标人出现本章第9.2、9.3情形的；</w:t>
      </w:r>
    </w:p>
    <w:p w14:paraId="551441F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严重扰乱招投标程序的。</w:t>
      </w:r>
    </w:p>
    <w:p w14:paraId="1A066B2F">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19.投标文件的</w:t>
      </w:r>
      <w:bookmarkEnd w:id="183"/>
      <w:bookmarkEnd w:id="184"/>
      <w:r>
        <w:rPr>
          <w:rFonts w:hint="eastAsia" w:ascii="黑体" w:hAnsi="黑体" w:eastAsia="黑体" w:cs="Times New Roman"/>
          <w:color w:val="auto"/>
          <w:sz w:val="24"/>
          <w:highlight w:val="none"/>
        </w:rPr>
        <w:t>编制</w:t>
      </w:r>
    </w:p>
    <w:p w14:paraId="18B0EB52">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85" w:name="_19.2投标文件应按报价文件、资格证明文件、商务文件、技术文件分别编制"/>
      <w:bookmarkEnd w:id="185"/>
      <w:r>
        <w:rPr>
          <w:rFonts w:hint="eastAsia" w:ascii="宋体" w:hAnsi="宋体" w:eastAsia="宋体" w:cs="宋体"/>
          <w:color w:val="auto"/>
          <w:szCs w:val="21"/>
          <w:highlight w:val="none"/>
        </w:rPr>
        <w:t xml:space="preserve"> </w:t>
      </w:r>
    </w:p>
    <w:p w14:paraId="3A0601B9">
      <w:pPr>
        <w:pStyle w:val="3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eastAsia="宋体" w:cs="宋体"/>
          <w:b/>
          <w:color w:val="auto"/>
          <w:sz w:val="21"/>
          <w:szCs w:val="21"/>
          <w:highlight w:val="none"/>
        </w:rPr>
        <w:t>其投标无效。</w:t>
      </w:r>
    </w:p>
    <w:p w14:paraId="25F50E40">
      <w:pPr>
        <w:pStyle w:val="30"/>
        <w:snapToGrid w:val="0"/>
        <w:spacing w:before="0"/>
        <w:ind w:firstLine="420"/>
        <w:rPr>
          <w:rFonts w:hint="eastAsia" w:ascii="宋体" w:hAnsi="宋体" w:eastAsia="宋体" w:cs="宋体"/>
          <w:color w:val="auto"/>
          <w:sz w:val="21"/>
          <w:szCs w:val="21"/>
          <w:highlight w:val="none"/>
        </w:rPr>
      </w:pPr>
    </w:p>
    <w:p w14:paraId="0D71523B">
      <w:pPr>
        <w:pStyle w:val="3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的身份认证，确保在电子投标过程中能够对相关数据电文进行加密和使用电子签名。</w:t>
      </w:r>
    </w:p>
    <w:p w14:paraId="5F79C0D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51116B4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 19.5投标文件应避免涂改、行间插字或者删除</w:t>
      </w:r>
      <w:r>
        <w:rPr>
          <w:rFonts w:hint="eastAsia" w:ascii="宋体" w:hAnsi="宋体" w:eastAsia="宋体" w:cs="宋体"/>
          <w:color w:val="auto"/>
          <w:szCs w:val="21"/>
          <w:highlight w:val="none"/>
          <w:lang w:eastAsia="zh-CN"/>
        </w:rPr>
        <w:t>。</w:t>
      </w:r>
    </w:p>
    <w:p w14:paraId="32DD3F63">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45BE9D06">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19.7本项目为全流程电子化项目，异常情况见“第二节 投标人须知正文”中“四、24.2开标程序</w:t>
      </w:r>
      <w:r>
        <w:rPr>
          <w:rFonts w:hint="eastAsia" w:ascii="宋体" w:hAnsi="宋体" w:cs="宋体"/>
          <w:b/>
          <w:color w:val="auto"/>
          <w:szCs w:val="21"/>
          <w:highlight w:val="none"/>
          <w:u w:val="single"/>
          <w:lang w:eastAsia="zh-CN"/>
        </w:rPr>
        <w:t>”</w:t>
      </w:r>
      <w:r>
        <w:rPr>
          <w:rFonts w:hint="eastAsia" w:ascii="宋体" w:hAnsi="宋体" w:eastAsia="宋体" w:cs="宋体"/>
          <w:b/>
          <w:color w:val="auto"/>
          <w:szCs w:val="21"/>
          <w:highlight w:val="none"/>
          <w:u w:val="single"/>
        </w:rPr>
        <w:t>。</w:t>
      </w:r>
    </w:p>
    <w:p w14:paraId="5DECA525">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20.备份投标文件</w:t>
      </w:r>
    </w:p>
    <w:p w14:paraId="361BA95C">
      <w:pPr>
        <w:spacing w:line="360" w:lineRule="auto"/>
        <w:ind w:firstLine="420" w:firstLineChars="200"/>
        <w:rPr>
          <w:rFonts w:hint="eastAsia" w:ascii="黑体" w:hAnsi="黑体" w:eastAsia="黑体" w:cs="Times New Roman"/>
          <w:color w:val="auto"/>
          <w:sz w:val="24"/>
          <w:highlight w:val="none"/>
        </w:rPr>
      </w:pPr>
      <w:r>
        <w:rPr>
          <w:rFonts w:hint="eastAsia" w:ascii="Times New Roman" w:hAnsi="宋体" w:eastAsia="宋体" w:cs="Times New Roman"/>
          <w:bCs/>
          <w:color w:val="auto"/>
          <w:szCs w:val="21"/>
          <w:highlight w:val="none"/>
        </w:rPr>
        <w:t>详见“投标人须知前附表”。</w:t>
      </w:r>
    </w:p>
    <w:p w14:paraId="446F1102">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21.投标文件的提交</w:t>
      </w:r>
    </w:p>
    <w:p w14:paraId="53348DC9">
      <w:pPr>
        <w:spacing w:line="360" w:lineRule="auto"/>
        <w:ind w:firstLine="420" w:firstLineChars="200"/>
        <w:rPr>
          <w:rFonts w:hint="eastAsia" w:ascii="Times New Roman" w:hAnsi="宋体" w:eastAsia="宋体" w:cs="Times New Roman"/>
          <w:b/>
          <w:color w:val="auto"/>
          <w:highlight w:val="none"/>
        </w:rPr>
      </w:pPr>
      <w:bookmarkStart w:id="186" w:name="_21.1投标人必须在“投标人须知中的前附表”规定的投标文件接收时间和投"/>
      <w:bookmarkEnd w:id="186"/>
      <w:r>
        <w:rPr>
          <w:rFonts w:hint="eastAsia" w:ascii="宋体" w:hAnsi="宋体" w:eastAsia="宋体" w:cs="宋体"/>
          <w:bCs/>
          <w:color w:val="auto"/>
          <w:szCs w:val="21"/>
          <w:highlight w:val="none"/>
        </w:rPr>
        <w:t>21.1</w:t>
      </w:r>
      <w:r>
        <w:rPr>
          <w:rFonts w:hint="eastAsia" w:ascii="Times New Roman" w:hAnsi="宋体" w:eastAsia="宋体" w:cs="Times New Roman"/>
          <w:bCs/>
          <w:color w:val="auto"/>
          <w:szCs w:val="21"/>
          <w:highlight w:val="none"/>
        </w:rPr>
        <w:t>投标人必须在“投标人须知前附表”规定的投标文件接收时间和投标地点提交电子版投标文件。</w:t>
      </w:r>
      <w:r>
        <w:rPr>
          <w:rFonts w:hint="eastAsia" w:hAnsi="宋体" w:cs="Times New Roman"/>
          <w:bCs/>
          <w:color w:val="auto"/>
          <w:szCs w:val="21"/>
          <w:highlight w:val="none"/>
          <w:lang w:eastAsia="zh-CN"/>
        </w:rPr>
        <w:t>电子版投标文件</w:t>
      </w:r>
      <w:r>
        <w:rPr>
          <w:rFonts w:hint="eastAsia" w:ascii="Times New Roman" w:hAnsi="宋体" w:eastAsia="宋体" w:cs="Times New Roman"/>
          <w:bCs/>
          <w:color w:val="auto"/>
          <w:szCs w:val="21"/>
          <w:highlight w:val="none"/>
        </w:rPr>
        <w:t>应在制作完成后，在投标截止时间前通过有效数字证书（</w:t>
      </w:r>
      <w:r>
        <w:rPr>
          <w:rFonts w:ascii="Times New Roman" w:hAnsi="宋体" w:eastAsia="宋体" w:cs="Times New Roman"/>
          <w:bCs/>
          <w:color w:val="auto"/>
          <w:szCs w:val="21"/>
          <w:highlight w:val="none"/>
        </w:rPr>
        <w:t>CA</w:t>
      </w:r>
      <w:r>
        <w:rPr>
          <w:rFonts w:hint="eastAsia" w:ascii="Times New Roman" w:hAnsi="宋体" w:eastAsia="宋体" w:cs="Times New Roman"/>
          <w:bCs/>
          <w:color w:val="auto"/>
          <w:szCs w:val="21"/>
          <w:highlight w:val="none"/>
        </w:rPr>
        <w:t>认证锁）进行电子签章、加密，然后通过网络将加密的</w:t>
      </w:r>
      <w:r>
        <w:rPr>
          <w:rFonts w:hint="eastAsia" w:hAnsi="宋体" w:cs="Times New Roman"/>
          <w:bCs/>
          <w:color w:val="auto"/>
          <w:szCs w:val="21"/>
          <w:highlight w:val="none"/>
          <w:lang w:eastAsia="zh-CN"/>
        </w:rPr>
        <w:t>电子版投标文件提交</w:t>
      </w:r>
      <w:r>
        <w:rPr>
          <w:rFonts w:hint="eastAsia" w:ascii="Times New Roman" w:hAnsi="宋体" w:eastAsia="宋体" w:cs="Times New Roman"/>
          <w:bCs/>
          <w:color w:val="auto"/>
          <w:szCs w:val="21"/>
          <w:highlight w:val="none"/>
        </w:rPr>
        <w:t>至</w:t>
      </w:r>
      <w:r>
        <w:rPr>
          <w:rFonts w:hint="eastAsia" w:ascii="宋体" w:hAnsi="宋体" w:cs="宋体"/>
          <w:b w:val="0"/>
          <w:bCs w:val="0"/>
          <w:color w:val="auto"/>
          <w:sz w:val="21"/>
          <w:szCs w:val="21"/>
          <w:highlight w:val="none"/>
          <w:lang w:val="en-US" w:eastAsia="zh-CN"/>
        </w:rPr>
        <w:t>广西政府采购云平台</w:t>
      </w:r>
      <w:r>
        <w:rPr>
          <w:rFonts w:hint="eastAsia" w:ascii="Times New Roman" w:hAnsi="宋体" w:eastAsia="宋体" w:cs="Times New Roman"/>
          <w:bCs/>
          <w:color w:val="auto"/>
          <w:szCs w:val="21"/>
          <w:highlight w:val="none"/>
        </w:rPr>
        <w:t>。</w:t>
      </w:r>
      <w:r>
        <w:rPr>
          <w:rFonts w:ascii="Times New Roman" w:hAnsi="宋体" w:eastAsia="宋体" w:cs="Times New Roman"/>
          <w:bCs/>
          <w:color w:val="auto"/>
          <w:szCs w:val="21"/>
          <w:highlight w:val="none"/>
        </w:rPr>
        <w:t xml:space="preserve"> </w:t>
      </w:r>
      <w:r>
        <w:rPr>
          <w:rFonts w:ascii="Times New Roman" w:hAnsi="宋体" w:eastAsia="宋体" w:cs="Times New Roman"/>
          <w:b/>
          <w:color w:val="auto"/>
          <w:highlight w:val="none"/>
        </w:rPr>
        <w:t xml:space="preserve"> </w:t>
      </w:r>
    </w:p>
    <w:p w14:paraId="4E2FB455">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1"/>
          <w:highlight w:val="none"/>
        </w:rPr>
        <w:t>21.2未在规定时间内提交或者未按照招标文件要求</w:t>
      </w:r>
      <w:r>
        <w:rPr>
          <w:rFonts w:hint="eastAsia" w:ascii="宋体" w:hAnsi="宋体" w:cs="Times New Roman"/>
          <w:b/>
          <w:color w:val="auto"/>
          <w:szCs w:val="21"/>
          <w:highlight w:val="none"/>
          <w:lang w:eastAsia="zh-CN"/>
        </w:rPr>
        <w:t>加密</w:t>
      </w:r>
      <w:r>
        <w:rPr>
          <w:rFonts w:hint="eastAsia" w:ascii="宋体" w:hAnsi="宋体" w:eastAsia="宋体" w:cs="Times New Roman"/>
          <w:b/>
          <w:color w:val="auto"/>
          <w:szCs w:val="21"/>
          <w:highlight w:val="none"/>
        </w:rPr>
        <w:t>的</w:t>
      </w:r>
      <w:r>
        <w:rPr>
          <w:rFonts w:hint="eastAsia" w:ascii="宋体" w:hAnsi="宋体" w:cs="Times New Roman"/>
          <w:b/>
          <w:color w:val="auto"/>
          <w:szCs w:val="21"/>
          <w:highlight w:val="none"/>
          <w:lang w:eastAsia="zh-CN"/>
        </w:rPr>
        <w:t>电子版投标文件</w:t>
      </w:r>
      <w:r>
        <w:rPr>
          <w:rFonts w:hint="eastAsia" w:ascii="宋体" w:hAnsi="宋体" w:eastAsia="宋体" w:cs="Times New Roman"/>
          <w:b/>
          <w:color w:val="auto"/>
          <w:szCs w:val="21"/>
          <w:highlight w:val="none"/>
        </w:rPr>
        <w:t>，</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将拒收。</w:t>
      </w:r>
    </w:p>
    <w:p w14:paraId="51366EA5">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21.3电子版投标文件提交方式见“招标公告”</w:t>
      </w:r>
      <w:r>
        <w:rPr>
          <w:rFonts w:hint="eastAsia" w:ascii="宋体" w:hAnsi="宋体" w:cs="Times New Roman"/>
          <w:color w:val="auto"/>
          <w:szCs w:val="21"/>
          <w:highlight w:val="none"/>
          <w:lang w:eastAsia="zh-CN"/>
        </w:rPr>
        <w:t>。</w:t>
      </w:r>
    </w:p>
    <w:p w14:paraId="37C87285">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22. 投标文件的补充、修改、撤回</w:t>
      </w:r>
      <w:bookmarkStart w:id="187" w:name="_Toc254970684"/>
      <w:bookmarkStart w:id="188" w:name="_Toc254970543"/>
    </w:p>
    <w:p w14:paraId="2F753D20">
      <w:pPr>
        <w:spacing w:line="360" w:lineRule="auto"/>
        <w:ind w:firstLine="420" w:firstLineChars="200"/>
        <w:rPr>
          <w:rFonts w:hint="eastAsia" w:ascii="黑体" w:hAnsi="黑体" w:eastAsia="黑体" w:cs="Times New Roman"/>
          <w:color w:val="auto"/>
          <w:sz w:val="24"/>
          <w:highlight w:val="none"/>
        </w:rPr>
      </w:pPr>
      <w:r>
        <w:rPr>
          <w:rFonts w:hint="eastAsia" w:ascii="宋体" w:hAnsi="宋体" w:eastAsia="宋体" w:cs="宋体"/>
          <w:color w:val="auto"/>
          <w:szCs w:val="21"/>
          <w:highlight w:val="none"/>
        </w:rPr>
        <w:t xml:space="preserve">22.1 </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应当在投标截止时间前完成投标文件的传输</w:t>
      </w:r>
      <w:r>
        <w:rPr>
          <w:rFonts w:hint="eastAsia" w:ascii="宋体" w:hAnsi="宋体" w:cs="宋体"/>
          <w:color w:val="auto"/>
          <w:szCs w:val="21"/>
          <w:highlight w:val="none"/>
          <w:lang w:eastAsia="zh-CN"/>
        </w:rPr>
        <w:t>提交</w:t>
      </w:r>
      <w:r>
        <w:rPr>
          <w:rFonts w:hint="eastAsia" w:ascii="宋体" w:hAnsi="宋体" w:eastAsia="宋体" w:cs="宋体"/>
          <w:color w:val="auto"/>
          <w:szCs w:val="21"/>
          <w:highlight w:val="none"/>
        </w:rPr>
        <w:t>，并可以补充、修改或者撤回投标文件。补充或者修改投标文件的，应当先行撤回原文件，补充、修改后重新传输</w:t>
      </w:r>
      <w:r>
        <w:rPr>
          <w:rFonts w:hint="eastAsia" w:ascii="宋体" w:hAnsi="宋体" w:cs="宋体"/>
          <w:color w:val="auto"/>
          <w:szCs w:val="21"/>
          <w:highlight w:val="none"/>
          <w:lang w:eastAsia="zh-CN"/>
        </w:rPr>
        <w:t>提交</w:t>
      </w:r>
      <w:r>
        <w:rPr>
          <w:rFonts w:hint="eastAsia" w:ascii="宋体" w:hAnsi="宋体" w:eastAsia="宋体" w:cs="宋体"/>
          <w:color w:val="auto"/>
          <w:szCs w:val="21"/>
          <w:highlight w:val="none"/>
        </w:rPr>
        <w:t>。投标截止时间前未完成传输的，视为撤回投标文件。投标截止时间后</w:t>
      </w:r>
      <w:r>
        <w:rPr>
          <w:rFonts w:hint="eastAsia" w:ascii="宋体" w:hAnsi="宋体" w:cs="宋体"/>
          <w:color w:val="auto"/>
          <w:szCs w:val="21"/>
          <w:highlight w:val="none"/>
          <w:lang w:eastAsia="zh-CN"/>
        </w:rPr>
        <w:t>提</w:t>
      </w:r>
      <w:r>
        <w:rPr>
          <w:rFonts w:hint="eastAsia" w:ascii="宋体" w:hAnsi="宋体" w:eastAsia="宋体" w:cs="宋体"/>
          <w:color w:val="auto"/>
          <w:szCs w:val="21"/>
          <w:highlight w:val="none"/>
        </w:rPr>
        <w:t>交的投标文件，</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将拒收。</w:t>
      </w:r>
    </w:p>
    <w:p w14:paraId="1421CF81">
      <w:pPr>
        <w:pStyle w:val="3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收到投标文件，将妥善保存并即时向</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bookmarkEnd w:id="187"/>
    <w:bookmarkEnd w:id="188"/>
    <w:p w14:paraId="3D2E78AD">
      <w:pPr>
        <w:pStyle w:val="10"/>
        <w:snapToGrid w:val="0"/>
        <w:spacing w:line="400" w:lineRule="exact"/>
        <w:ind w:firstLine="739"/>
        <w:rPr>
          <w:rFonts w:hint="eastAsia" w:hAnsi="宋体" w:eastAsia="宋体" w:cs="Times New Roman"/>
          <w:snapToGrid w:val="0"/>
          <w:color w:val="auto"/>
          <w:sz w:val="21"/>
          <w:szCs w:val="21"/>
          <w:highlight w:val="none"/>
        </w:rPr>
      </w:pPr>
    </w:p>
    <w:p w14:paraId="3D91BDE8">
      <w:pPr>
        <w:pStyle w:val="4"/>
        <w:keepNext w:val="0"/>
        <w:keepLines w:val="0"/>
        <w:spacing w:line="400" w:lineRule="exact"/>
        <w:jc w:val="center"/>
        <w:rPr>
          <w:rFonts w:hint="eastAsia" w:ascii="Times New Roman" w:hAnsi="Times New Roman" w:eastAsia="宋体" w:cs="Times New Roman"/>
          <w:color w:val="auto"/>
          <w:highlight w:val="none"/>
        </w:rPr>
      </w:pPr>
      <w:bookmarkStart w:id="189" w:name="_Toc254970685"/>
      <w:bookmarkStart w:id="190" w:name="_Toc1356"/>
      <w:bookmarkStart w:id="191" w:name="_Toc13250"/>
      <w:bookmarkStart w:id="192" w:name="_Toc1586"/>
      <w:bookmarkStart w:id="193" w:name="_Toc27037"/>
      <w:bookmarkStart w:id="194" w:name="_Toc810"/>
      <w:bookmarkStart w:id="195" w:name="_Toc14091"/>
      <w:bookmarkStart w:id="196" w:name="_Toc32494"/>
      <w:bookmarkStart w:id="197" w:name="_Toc22661"/>
      <w:bookmarkStart w:id="198" w:name="_Toc254970544"/>
      <w:bookmarkStart w:id="199" w:name="_Toc2573"/>
      <w:bookmarkStart w:id="200" w:name="_Toc12790"/>
      <w:r>
        <w:rPr>
          <w:rFonts w:hint="eastAsia" w:ascii="Times New Roman" w:hAnsi="Times New Roman" w:eastAsia="宋体" w:cs="Times New Roman"/>
          <w:color w:val="auto"/>
          <w:highlight w:val="none"/>
        </w:rPr>
        <w:t>四、开</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189"/>
      <w:bookmarkEnd w:id="190"/>
      <w:bookmarkEnd w:id="191"/>
      <w:bookmarkEnd w:id="192"/>
      <w:bookmarkEnd w:id="193"/>
      <w:bookmarkEnd w:id="194"/>
      <w:bookmarkEnd w:id="195"/>
      <w:bookmarkEnd w:id="196"/>
      <w:bookmarkEnd w:id="197"/>
      <w:bookmarkEnd w:id="198"/>
      <w:bookmarkEnd w:id="199"/>
      <w:bookmarkEnd w:id="200"/>
    </w:p>
    <w:p w14:paraId="7AF1D694">
      <w:pPr>
        <w:spacing w:line="360" w:lineRule="auto"/>
        <w:ind w:firstLine="480" w:firstLineChars="200"/>
        <w:rPr>
          <w:rFonts w:ascii="黑体" w:hAnsi="黑体" w:eastAsia="黑体" w:cs="Times New Roman"/>
          <w:color w:val="auto"/>
          <w:sz w:val="24"/>
          <w:highlight w:val="none"/>
        </w:rPr>
      </w:pPr>
      <w:bookmarkStart w:id="201" w:name="_23.开标时间和地点"/>
      <w:bookmarkEnd w:id="201"/>
      <w:r>
        <w:rPr>
          <w:rFonts w:hint="eastAsia" w:ascii="黑体" w:hAnsi="黑体" w:eastAsia="黑体" w:cs="Times New Roman"/>
          <w:color w:val="auto"/>
          <w:sz w:val="24"/>
          <w:highlight w:val="none"/>
        </w:rPr>
        <w:t>23.开标时间和地点</w:t>
      </w:r>
    </w:p>
    <w:p w14:paraId="4CFCACD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161A1D2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14:paraId="2EB76938">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24.开标程序</w:t>
      </w:r>
    </w:p>
    <w:p w14:paraId="60CB2E9C">
      <w:pPr>
        <w:autoSpaceDE w:val="0"/>
        <w:autoSpaceDN w:val="0"/>
        <w:adjustRightInd w:val="0"/>
        <w:spacing w:line="44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bCs/>
          <w:color w:val="auto"/>
          <w:szCs w:val="21"/>
          <w:highlight w:val="none"/>
        </w:rPr>
        <w:t>24.1</w:t>
      </w:r>
      <w:r>
        <w:rPr>
          <w:rFonts w:hint="eastAsia" w:ascii="宋体" w:hAnsi="宋体" w:eastAsia="宋体" w:cs="Times New Roman"/>
          <w:color w:val="auto"/>
          <w:kern w:val="0"/>
          <w:szCs w:val="21"/>
          <w:highlight w:val="none"/>
        </w:rPr>
        <w:t>开标形式：</w:t>
      </w:r>
    </w:p>
    <w:p w14:paraId="76AEA387">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bCs/>
          <w:color w:val="auto"/>
          <w:szCs w:val="21"/>
          <w:highlight w:val="none"/>
        </w:rPr>
        <w:t>开标的准备工作由采购代理机构负责落实，采购代理机构必须基于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Times New Roman"/>
          <w:bCs/>
          <w:color w:val="auto"/>
          <w:szCs w:val="21"/>
          <w:highlight w:val="none"/>
          <w:lang w:eastAsia="zh-CN"/>
        </w:rPr>
        <w:t>依法抽取</w:t>
      </w:r>
      <w:r>
        <w:rPr>
          <w:rFonts w:hint="eastAsia" w:ascii="宋体" w:hAnsi="宋体" w:eastAsia="宋体" w:cs="Times New Roman"/>
          <w:bCs/>
          <w:color w:val="auto"/>
          <w:szCs w:val="21"/>
          <w:highlight w:val="none"/>
        </w:rPr>
        <w:t>评审专家，如采购代理机构未按规定</w:t>
      </w:r>
      <w:r>
        <w:rPr>
          <w:rFonts w:hint="eastAsia" w:ascii="宋体" w:hAnsi="宋体" w:cs="Times New Roman"/>
          <w:bCs/>
          <w:color w:val="auto"/>
          <w:szCs w:val="21"/>
          <w:highlight w:val="none"/>
          <w:lang w:eastAsia="zh-CN"/>
        </w:rPr>
        <w:t>抽</w:t>
      </w:r>
      <w:r>
        <w:rPr>
          <w:rFonts w:hint="eastAsia" w:ascii="宋体" w:hAnsi="宋体" w:eastAsia="宋体" w:cs="Times New Roman"/>
          <w:bCs/>
          <w:color w:val="auto"/>
          <w:szCs w:val="21"/>
          <w:highlight w:val="none"/>
        </w:rPr>
        <w:t>取专家的，视为本次开评标无效，应当重新采购；</w:t>
      </w:r>
    </w:p>
    <w:p w14:paraId="17B1C75D">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（2）采购代理机构将按照招标文件规定的时间通过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Cs/>
          <w:color w:val="auto"/>
          <w:szCs w:val="21"/>
          <w:highlight w:val="none"/>
        </w:rPr>
        <w:t>组织线上开标活动、开启投标文件，所有</w:t>
      </w:r>
      <w:r>
        <w:rPr>
          <w:rFonts w:hint="eastAsia" w:ascii="宋体" w:hAnsi="宋体" w:cs="Times New Roman"/>
          <w:bCs/>
          <w:color w:val="auto"/>
          <w:szCs w:val="21"/>
          <w:highlight w:val="none"/>
          <w:lang w:eastAsia="zh-CN"/>
        </w:rPr>
        <w:t>投标人</w:t>
      </w:r>
      <w:r>
        <w:rPr>
          <w:rFonts w:hint="eastAsia" w:ascii="宋体" w:hAnsi="宋体" w:eastAsia="宋体" w:cs="Times New Roman"/>
          <w:bCs/>
          <w:color w:val="auto"/>
          <w:szCs w:val="21"/>
          <w:highlight w:val="none"/>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FCFFA0B">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24.2开标程序：</w:t>
      </w:r>
    </w:p>
    <w:p w14:paraId="7724E790">
      <w:pPr>
        <w:pStyle w:val="12"/>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color w:val="auto"/>
          <w:szCs w:val="21"/>
          <w:highlight w:val="none"/>
        </w:rPr>
        <w:t>（1）解密</w:t>
      </w:r>
      <w:r>
        <w:rPr>
          <w:rFonts w:hint="eastAsia" w:hAnsi="宋体" w:cs="Times New Roman"/>
          <w:b/>
          <w:color w:val="auto"/>
          <w:szCs w:val="21"/>
          <w:highlight w:val="none"/>
          <w:lang w:eastAsia="zh-CN"/>
        </w:rPr>
        <w:t>电子版投标文件</w:t>
      </w:r>
      <w:r>
        <w:rPr>
          <w:rFonts w:hint="eastAsia" w:hAnsi="宋体" w:eastAsia="宋体" w:cs="Times New Roman"/>
          <w:b/>
          <w:color w:val="auto"/>
          <w:szCs w:val="21"/>
          <w:highlight w:val="none"/>
        </w:rPr>
        <w:t>。</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仿宋_GB2312"/>
          <w:color w:val="auto"/>
          <w:szCs w:val="21"/>
          <w:highlight w:val="none"/>
        </w:rPr>
        <w:t>按开标时间自动提取所有投标文件。采购代理机构依托</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向各投标人发出电子加密投标文件【开始解密】通知，由投标人在规定的时间内自行将投标文件在线解密。投标人的法定代表人或其委托代理人</w:t>
      </w:r>
      <w:r>
        <w:rPr>
          <w:rFonts w:hint="eastAsia" w:hAnsi="宋体" w:eastAsia="宋体" w:cs="Times New Roman"/>
          <w:b/>
          <w:color w:val="auto"/>
          <w:szCs w:val="21"/>
          <w:highlight w:val="none"/>
        </w:rPr>
        <w:t>须携带加密时所用的CA锁准时登录到</w:t>
      </w:r>
      <w:r>
        <w:rPr>
          <w:rFonts w:hint="eastAsia" w:ascii="宋体" w:hAnsi="宋体" w:cs="Times New Roman"/>
          <w:b/>
          <w:bCs w:val="0"/>
          <w:color w:val="auto"/>
          <w:sz w:val="21"/>
          <w:szCs w:val="21"/>
          <w:highlight w:val="none"/>
          <w:lang w:val="en-US" w:eastAsia="zh-CN"/>
        </w:rPr>
        <w:t>广西政府采购云平台</w:t>
      </w:r>
      <w:r>
        <w:rPr>
          <w:rFonts w:hint="eastAsia" w:hAnsi="宋体" w:eastAsia="宋体" w:cs="Times New Roman"/>
          <w:b/>
          <w:color w:val="auto"/>
          <w:szCs w:val="21"/>
          <w:highlight w:val="none"/>
        </w:rPr>
        <w:t>电子开标大厅签到并对</w:t>
      </w:r>
      <w:r>
        <w:rPr>
          <w:rFonts w:hint="eastAsia" w:hAnsi="宋体" w:cs="Times New Roman"/>
          <w:b/>
          <w:color w:val="auto"/>
          <w:szCs w:val="21"/>
          <w:highlight w:val="none"/>
          <w:lang w:eastAsia="zh-CN"/>
        </w:rPr>
        <w:t>电子版投标文件在线</w:t>
      </w:r>
      <w:r>
        <w:rPr>
          <w:rFonts w:hint="eastAsia" w:hAnsi="宋体" w:eastAsia="宋体" w:cs="Times New Roman"/>
          <w:b/>
          <w:color w:val="auto"/>
          <w:szCs w:val="21"/>
          <w:highlight w:val="none"/>
        </w:rPr>
        <w:t>解密</w:t>
      </w:r>
      <w:r>
        <w:rPr>
          <w:rFonts w:hint="eastAsia" w:hAnsi="宋体" w:eastAsia="宋体" w:cs="Times New Roman"/>
          <w:color w:val="auto"/>
          <w:szCs w:val="21"/>
          <w:highlight w:val="none"/>
        </w:rPr>
        <w:t>。</w:t>
      </w:r>
      <w:r>
        <w:rPr>
          <w:rFonts w:hint="eastAsia" w:hAnsi="宋体" w:eastAsia="宋体" w:cs="Times New Roman"/>
          <w:b/>
          <w:bCs/>
          <w:color w:val="auto"/>
          <w:szCs w:val="21"/>
          <w:highlight w:val="none"/>
        </w:rPr>
        <w:t>投标文件未按时解密的，</w:t>
      </w:r>
      <w:r>
        <w:rPr>
          <w:rFonts w:hint="eastAsia" w:hAnsi="宋体" w:eastAsia="宋体" w:cs="Times New Roman"/>
          <w:b/>
          <w:color w:val="auto"/>
          <w:szCs w:val="21"/>
          <w:highlight w:val="none"/>
        </w:rPr>
        <w:t>均视为无效投标。</w:t>
      </w:r>
    </w:p>
    <w:p w14:paraId="098BCEB5">
      <w:pPr>
        <w:pStyle w:val="12"/>
        <w:snapToGrid w:val="0"/>
        <w:spacing w:line="440" w:lineRule="exact"/>
        <w:ind w:firstLine="420" w:firstLineChars="200"/>
        <w:rPr>
          <w:rFonts w:hint="eastAsia" w:hAnsi="宋体" w:eastAsia="宋体" w:cs="Times New Roman"/>
          <w:color w:val="auto"/>
          <w:szCs w:val="21"/>
          <w:highlight w:val="none"/>
        </w:rPr>
      </w:pPr>
      <w:r>
        <w:rPr>
          <w:rFonts w:hint="eastAsia" w:hAnsi="宋体" w:eastAsia="宋体" w:cs="Times New Roman"/>
          <w:color w:val="auto"/>
          <w:szCs w:val="21"/>
          <w:highlight w:val="none"/>
        </w:rPr>
        <w:t>（解密</w:t>
      </w:r>
      <w:r>
        <w:rPr>
          <w:rFonts w:hint="eastAsia" w:hAnsi="宋体" w:eastAsia="宋体" w:cs="Times New Roman"/>
          <w:bCs/>
          <w:color w:val="auto"/>
          <w:szCs w:val="21"/>
          <w:highlight w:val="none"/>
        </w:rPr>
        <w:t>异常情况处理：详见本章</w:t>
      </w:r>
      <w:r>
        <w:rPr>
          <w:rFonts w:hint="eastAsia" w:hAnsi="宋体" w:eastAsia="宋体" w:cs="Times New Roman"/>
          <w:color w:val="auto"/>
          <w:highlight w:val="none"/>
        </w:rPr>
        <w:t>29.3 电子交易活动的中止。</w:t>
      </w:r>
      <w:r>
        <w:rPr>
          <w:rFonts w:hint="eastAsia" w:hAnsi="宋体" w:eastAsia="宋体" w:cs="Times New Roman"/>
          <w:color w:val="auto"/>
          <w:szCs w:val="21"/>
          <w:highlight w:val="none"/>
        </w:rPr>
        <w:t>）</w:t>
      </w:r>
    </w:p>
    <w:p w14:paraId="780C111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b/>
          <w:color w:val="auto"/>
          <w:szCs w:val="21"/>
          <w:highlight w:val="none"/>
        </w:rPr>
        <w:t>电子唱标。</w:t>
      </w:r>
      <w:r>
        <w:rPr>
          <w:rFonts w:hint="eastAsia" w:ascii="宋体" w:hAnsi="宋体" w:eastAsia="宋体" w:cs="Times New Roman"/>
          <w:color w:val="auto"/>
          <w:szCs w:val="21"/>
          <w:highlight w:val="none"/>
        </w:rPr>
        <w:t>投标文件解密结束，各投标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报价均在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远程不见面开标大厅展示；</w:t>
      </w:r>
    </w:p>
    <w:p w14:paraId="392495EC">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14:paraId="7CA645DE">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4</w:t>
      </w:r>
      <w:r>
        <w:rPr>
          <w:rFonts w:hint="eastAsia" w:ascii="宋体" w:hAnsi="宋体" w:eastAsia="宋体" w:cs="Times New Roman"/>
          <w:bCs/>
          <w:color w:val="auto"/>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C377347">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5</w:t>
      </w:r>
      <w:r>
        <w:rPr>
          <w:rFonts w:hint="eastAsia" w:ascii="宋体" w:hAnsi="宋体" w:eastAsia="宋体" w:cs="Times New Roman"/>
          <w:bCs/>
          <w:color w:val="auto"/>
          <w:szCs w:val="21"/>
          <w:highlight w:val="none"/>
        </w:rPr>
        <w:t>）开标结束。</w:t>
      </w:r>
    </w:p>
    <w:p w14:paraId="1D52AFCE">
      <w:pPr>
        <w:pStyle w:val="12"/>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bCs/>
          <w:color w:val="auto"/>
          <w:szCs w:val="21"/>
          <w:highlight w:val="none"/>
        </w:rPr>
        <w:t>特别说明：</w:t>
      </w:r>
      <w:r>
        <w:rPr>
          <w:rFonts w:hint="eastAsia" w:hAnsi="宋体" w:eastAsia="宋体" w:cs="Times New Roman"/>
          <w:color w:val="auto"/>
          <w:szCs w:val="21"/>
          <w:highlight w:val="none"/>
        </w:rPr>
        <w:t>如遇</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电子化开标或评审程序调整的，按调整后执行。</w:t>
      </w:r>
    </w:p>
    <w:p w14:paraId="686054FB">
      <w:pPr>
        <w:pStyle w:val="12"/>
        <w:snapToGrid w:val="0"/>
        <w:spacing w:line="400" w:lineRule="exact"/>
        <w:ind w:left="689" w:leftChars="228" w:hanging="210" w:hangingChars="100"/>
        <w:rPr>
          <w:rFonts w:hint="eastAsia" w:hAnsi="宋体" w:eastAsia="宋体" w:cs="Times New Roman"/>
          <w:color w:val="auto"/>
          <w:highlight w:val="none"/>
        </w:rPr>
      </w:pPr>
    </w:p>
    <w:p w14:paraId="0EC3AF75">
      <w:pPr>
        <w:pStyle w:val="4"/>
        <w:keepNext w:val="0"/>
        <w:keepLines w:val="0"/>
        <w:spacing w:line="400" w:lineRule="exact"/>
        <w:jc w:val="center"/>
        <w:rPr>
          <w:rFonts w:hint="eastAsia" w:ascii="Times New Roman" w:hAnsi="Times New Roman" w:eastAsia="宋体" w:cs="Times New Roman"/>
          <w:color w:val="auto"/>
          <w:highlight w:val="none"/>
        </w:rPr>
      </w:pPr>
      <w:bookmarkStart w:id="202" w:name="_Toc2575"/>
      <w:bookmarkStart w:id="203" w:name="_Toc6866"/>
      <w:bookmarkStart w:id="204" w:name="_Toc29189"/>
      <w:bookmarkStart w:id="205" w:name="_Toc8919"/>
      <w:bookmarkStart w:id="206" w:name="_Toc23512"/>
      <w:bookmarkStart w:id="207" w:name="_Toc25053"/>
      <w:bookmarkStart w:id="208" w:name="_Toc22509"/>
      <w:bookmarkStart w:id="209" w:name="_Toc1489"/>
      <w:bookmarkStart w:id="210" w:name="_Toc19053"/>
      <w:bookmarkStart w:id="211" w:name="_Toc31994"/>
      <w:r>
        <w:rPr>
          <w:rFonts w:hint="eastAsia" w:ascii="Times New Roman" w:hAnsi="Times New Roman" w:eastAsia="宋体" w:cs="Times New Roman"/>
          <w:color w:val="auto"/>
          <w:highlight w:val="none"/>
        </w:rPr>
        <w:t>五、资格审查</w:t>
      </w:r>
      <w:bookmarkEnd w:id="202"/>
      <w:bookmarkEnd w:id="203"/>
      <w:bookmarkEnd w:id="204"/>
      <w:bookmarkEnd w:id="205"/>
      <w:bookmarkEnd w:id="206"/>
      <w:bookmarkEnd w:id="207"/>
      <w:bookmarkEnd w:id="208"/>
      <w:bookmarkEnd w:id="209"/>
      <w:bookmarkEnd w:id="210"/>
      <w:bookmarkEnd w:id="211"/>
    </w:p>
    <w:p w14:paraId="3D51573C">
      <w:pPr>
        <w:pStyle w:val="5"/>
        <w:keepNext w:val="0"/>
        <w:keepLines w:val="0"/>
        <w:spacing w:before="0" w:after="0" w:line="360" w:lineRule="auto"/>
        <w:ind w:firstLine="482"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25.资格审查</w:t>
      </w:r>
    </w:p>
    <w:p w14:paraId="22359B26">
      <w:pPr>
        <w:spacing w:line="360" w:lineRule="auto"/>
        <w:ind w:firstLine="422" w:firstLineChars="200"/>
        <w:rPr>
          <w:rFonts w:hint="eastAsia" w:ascii="宋体" w:hAnsi="宋体" w:eastAsia="宋体" w:cs="Times New Roman"/>
          <w:b/>
          <w:bCs/>
          <w:color w:val="auto"/>
          <w:szCs w:val="20"/>
          <w:highlight w:val="none"/>
        </w:rPr>
      </w:pPr>
      <w:r>
        <w:rPr>
          <w:rFonts w:hint="eastAsia" w:ascii="宋体" w:hAnsi="宋体" w:eastAsia="宋体" w:cs="Times New Roman"/>
          <w:b/>
          <w:bCs/>
          <w:color w:val="auto"/>
          <w:szCs w:val="20"/>
          <w:highlight w:val="none"/>
        </w:rPr>
        <w:t xml:space="preserve"> 25.1开标结束后，采购人或采购</w:t>
      </w:r>
      <w:r>
        <w:rPr>
          <w:rFonts w:hint="eastAsia" w:ascii="宋体" w:hAnsi="宋体" w:cs="Times New Roman"/>
          <w:b/>
          <w:bCs/>
          <w:color w:val="auto"/>
          <w:szCs w:val="20"/>
          <w:highlight w:val="none"/>
          <w:lang w:eastAsia="zh-CN"/>
        </w:rPr>
        <w:t>代理</w:t>
      </w:r>
      <w:r>
        <w:rPr>
          <w:rFonts w:hint="eastAsia" w:ascii="宋体" w:hAnsi="宋体" w:eastAsia="宋体" w:cs="Times New Roman"/>
          <w:b/>
          <w:bCs/>
          <w:color w:val="auto"/>
          <w:szCs w:val="20"/>
          <w:highlight w:val="none"/>
        </w:rPr>
        <w:t>机构依法通过</w:t>
      </w:r>
      <w:r>
        <w:rPr>
          <w:rFonts w:hint="eastAsia" w:ascii="宋体" w:hAnsi="宋体" w:cs="Times New Roman"/>
          <w:b/>
          <w:bCs/>
          <w:color w:val="auto"/>
          <w:szCs w:val="20"/>
          <w:highlight w:val="none"/>
          <w:lang w:eastAsia="zh-CN"/>
        </w:rPr>
        <w:t>电子版投标文件</w:t>
      </w:r>
      <w:r>
        <w:rPr>
          <w:rFonts w:hint="eastAsia" w:ascii="宋体" w:hAnsi="宋体" w:eastAsia="宋体" w:cs="Times New Roman"/>
          <w:b/>
          <w:bCs/>
          <w:color w:val="auto"/>
          <w:szCs w:val="20"/>
          <w:highlight w:val="none"/>
        </w:rPr>
        <w:t>对投标人的资格进行线上审查。</w:t>
      </w:r>
    </w:p>
    <w:p w14:paraId="0B6B22E9">
      <w:pPr>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25.</w:t>
      </w:r>
      <w:r>
        <w:rPr>
          <w:rFonts w:hint="eastAsia" w:ascii="宋体" w:hAnsi="宋体" w:cs="Times New Roman"/>
          <w:color w:val="auto"/>
          <w:highlight w:val="none"/>
          <w:lang w:val="en-US" w:eastAsia="zh-CN"/>
        </w:rPr>
        <w:t>2</w:t>
      </w:r>
      <w:r>
        <w:rPr>
          <w:rFonts w:hint="eastAsia" w:ascii="宋体" w:hAnsi="宋体" w:eastAsia="宋体" w:cs="Times New Roman"/>
          <w:color w:val="auto"/>
          <w:highlight w:val="none"/>
        </w:rPr>
        <w:t>资格审查标准为本“招标文件”中“投标人须知前附表”13.1点载明对投标人资格要求的条件。本项目资格审查采用合格制，凡符合招标文件规定的投标人资格要求的投标人均通过资格审查。</w:t>
      </w:r>
    </w:p>
    <w:p w14:paraId="5D018EA6">
      <w:pPr>
        <w:spacing w:line="360" w:lineRule="auto"/>
        <w:ind w:firstLine="422" w:firstLineChars="200"/>
        <w:rPr>
          <w:rFonts w:hint="eastAsia" w:ascii="宋体" w:hAnsi="宋体" w:eastAsia="宋体" w:cs="Times New Roman"/>
          <w:b/>
          <w:bCs/>
          <w:color w:val="auto"/>
          <w:szCs w:val="20"/>
          <w:highlight w:val="none"/>
        </w:rPr>
      </w:pPr>
      <w:bookmarkStart w:id="212" w:name="_25.3_投标人有下列情形之一的，资格审查不通过而导致其投标无效："/>
      <w:bookmarkEnd w:id="212"/>
      <w:r>
        <w:rPr>
          <w:rFonts w:hint="eastAsia" w:ascii="宋体" w:hAnsi="宋体" w:eastAsia="宋体" w:cs="Times New Roman"/>
          <w:b/>
          <w:bCs/>
          <w:color w:val="auto"/>
          <w:szCs w:val="20"/>
          <w:highlight w:val="none"/>
        </w:rPr>
        <w:t>25.</w:t>
      </w:r>
      <w:r>
        <w:rPr>
          <w:rFonts w:hint="eastAsia" w:ascii="宋体" w:hAnsi="宋体" w:cs="Times New Roman"/>
          <w:b/>
          <w:bCs/>
          <w:color w:val="auto"/>
          <w:szCs w:val="20"/>
          <w:highlight w:val="none"/>
          <w:lang w:val="en-US" w:eastAsia="zh-CN"/>
        </w:rPr>
        <w:t>3</w:t>
      </w:r>
      <w:r>
        <w:rPr>
          <w:rFonts w:hint="eastAsia" w:ascii="宋体" w:hAnsi="宋体" w:eastAsia="宋体" w:cs="Times New Roman"/>
          <w:b/>
          <w:bCs/>
          <w:color w:val="auto"/>
          <w:szCs w:val="20"/>
          <w:highlight w:val="none"/>
        </w:rPr>
        <w:t>投标人有下列情形之一的，资格审查不通过，作无效投标处理：</w:t>
      </w:r>
    </w:p>
    <w:p w14:paraId="2E497E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highlight w:val="none"/>
        </w:rPr>
        <w:t>已与“信用中国”平台做接口，采购人或者采购代理机构可直接在线查询）</w:t>
      </w:r>
    </w:p>
    <w:p w14:paraId="4DE2B42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（2）投标文件未提供任一项“投标人须知前附表”资格文件规定的“必须提供”的文件资料的；</w:t>
      </w:r>
    </w:p>
    <w:p w14:paraId="61D2D51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（3）投标文件提供的资格文件出现任一项不符合“投标人须知前附表”资格文件规定的“必须提供”的文件资料要求或者无效的。</w:t>
      </w:r>
    </w:p>
    <w:p w14:paraId="77162111">
      <w:pPr>
        <w:pStyle w:val="13"/>
        <w:spacing w:line="360" w:lineRule="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sz w:val="21"/>
          <w:szCs w:val="24"/>
          <w:highlight w:val="none"/>
          <w:lang w:val="en-US" w:eastAsia="zh-CN"/>
        </w:rPr>
        <w:t xml:space="preserve"> （4）同一合同项下的不同供应商，单位负责人为同一人或者存在直接控股、管理关系的；为本项目提供过整体设计、规范编制或者项目管理、监理、检测等服务的。</w:t>
      </w:r>
    </w:p>
    <w:p w14:paraId="245022BE">
      <w:pPr>
        <w:pStyle w:val="5"/>
        <w:keepNext w:val="0"/>
        <w:keepLines w:val="0"/>
        <w:spacing w:before="0" w:after="0" w:line="360" w:lineRule="auto"/>
        <w:ind w:firstLine="420" w:firstLineChars="200"/>
        <w:rPr>
          <w:rFonts w:ascii="宋体" w:hAnsi="宋体" w:eastAsia="宋体" w:cs="Times New Roman"/>
          <w:b w:val="0"/>
          <w:bCs w:val="0"/>
          <w:color w:val="auto"/>
          <w:sz w:val="21"/>
          <w:szCs w:val="20"/>
          <w:highlight w:val="none"/>
        </w:rPr>
      </w:pPr>
      <w:r>
        <w:rPr>
          <w:rFonts w:hint="eastAsia" w:ascii="宋体" w:hAnsi="宋体" w:eastAsia="宋体" w:cs="Times New Roman"/>
          <w:b w:val="0"/>
          <w:bCs w:val="0"/>
          <w:color w:val="auto"/>
          <w:sz w:val="21"/>
          <w:szCs w:val="20"/>
          <w:highlight w:val="none"/>
        </w:rPr>
        <w:t>25.</w:t>
      </w:r>
      <w:r>
        <w:rPr>
          <w:rFonts w:hint="eastAsia" w:ascii="宋体" w:hAnsi="宋体" w:cs="Times New Roman"/>
          <w:b w:val="0"/>
          <w:bCs w:val="0"/>
          <w:color w:val="auto"/>
          <w:sz w:val="21"/>
          <w:szCs w:val="20"/>
          <w:highlight w:val="none"/>
          <w:lang w:val="en-US" w:eastAsia="zh-CN"/>
        </w:rPr>
        <w:t>4</w:t>
      </w:r>
      <w:r>
        <w:rPr>
          <w:rFonts w:hint="eastAsia" w:ascii="宋体" w:hAnsi="宋体" w:eastAsia="宋体" w:cs="Times New Roman"/>
          <w:b w:val="0"/>
          <w:bCs w:val="0"/>
          <w:color w:val="auto"/>
          <w:sz w:val="21"/>
          <w:szCs w:val="20"/>
          <w:highlight w:val="none"/>
        </w:rPr>
        <w:t>资格审查的合格投标人不足3家的，不得评标。</w:t>
      </w:r>
    </w:p>
    <w:p w14:paraId="250DB32D">
      <w:pPr>
        <w:pStyle w:val="4"/>
        <w:keepNext w:val="0"/>
        <w:keepLines w:val="0"/>
        <w:spacing w:line="360" w:lineRule="auto"/>
        <w:jc w:val="center"/>
        <w:rPr>
          <w:rFonts w:hint="eastAsia" w:ascii="Times New Roman" w:hAnsi="Times New Roman" w:eastAsia="宋体" w:cs="Times New Roman"/>
          <w:color w:val="auto"/>
          <w:highlight w:val="none"/>
        </w:rPr>
      </w:pPr>
      <w:bookmarkStart w:id="213" w:name="_Toc1454"/>
      <w:bookmarkStart w:id="214" w:name="_Toc21152"/>
      <w:bookmarkStart w:id="215" w:name="_Toc20983"/>
      <w:bookmarkStart w:id="216" w:name="_Toc19035"/>
      <w:bookmarkStart w:id="217" w:name="_Toc2770"/>
      <w:bookmarkStart w:id="218" w:name="_Toc29412"/>
      <w:bookmarkStart w:id="219" w:name="_Toc11169"/>
      <w:bookmarkStart w:id="220" w:name="_Toc20446"/>
      <w:bookmarkStart w:id="221" w:name="_Toc15749"/>
      <w:bookmarkStart w:id="222" w:name="_Toc3548"/>
      <w:r>
        <w:rPr>
          <w:rFonts w:hint="eastAsia" w:ascii="Times New Roman" w:hAnsi="Times New Roman" w:eastAsia="宋体" w:cs="Times New Roman"/>
          <w:color w:val="auto"/>
          <w:highlight w:val="none"/>
        </w:rPr>
        <w:t>六、评</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213"/>
      <w:bookmarkEnd w:id="214"/>
      <w:bookmarkEnd w:id="215"/>
      <w:bookmarkEnd w:id="216"/>
      <w:bookmarkEnd w:id="217"/>
      <w:bookmarkEnd w:id="218"/>
      <w:bookmarkEnd w:id="219"/>
      <w:bookmarkEnd w:id="220"/>
      <w:bookmarkEnd w:id="221"/>
      <w:bookmarkEnd w:id="222"/>
    </w:p>
    <w:p w14:paraId="29BC1C9E">
      <w:pPr>
        <w:spacing w:line="360" w:lineRule="auto"/>
        <w:ind w:firstLine="480" w:firstLineChars="200"/>
        <w:rPr>
          <w:rFonts w:ascii="黑体" w:hAnsi="黑体" w:eastAsia="黑体" w:cs="Times New Roman"/>
          <w:color w:val="auto"/>
          <w:sz w:val="24"/>
          <w:highlight w:val="none"/>
        </w:rPr>
      </w:pPr>
      <w:bookmarkStart w:id="223" w:name="_26.组建评标委员会"/>
      <w:bookmarkEnd w:id="223"/>
      <w:r>
        <w:rPr>
          <w:rFonts w:hint="eastAsia" w:ascii="黑体" w:hAnsi="黑体" w:eastAsia="黑体" w:cs="Times New Roman"/>
          <w:color w:val="auto"/>
          <w:sz w:val="24"/>
          <w:highlight w:val="none"/>
        </w:rPr>
        <w:t>26.组建评标委员会</w:t>
      </w:r>
    </w:p>
    <w:p w14:paraId="7D39E92B">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评标委员会由采购人代表和评审专家组成，人数为</w:t>
      </w:r>
      <w:r>
        <w:rPr>
          <w:rFonts w:ascii="Times New Roman" w:hAnsi="宋体" w:eastAsia="宋体" w:cs="Times New Roman"/>
          <w:color w:val="auto"/>
          <w:highlight w:val="none"/>
        </w:rPr>
        <w:t>5</w:t>
      </w:r>
      <w:r>
        <w:rPr>
          <w:rFonts w:hint="eastAsia" w:ascii="Times New Roman" w:hAnsi="宋体" w:eastAsia="宋体" w:cs="Times New Roman"/>
          <w:color w:val="auto"/>
          <w:highlight w:val="none"/>
        </w:rPr>
        <w:t>人以上单数，其中评审专家不得少于成员总数的三分之二。</w:t>
      </w:r>
    </w:p>
    <w:p w14:paraId="793AD747">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参加过采购项目前期咨询论证的专家，不得参加该采购项目的评审活动。</w:t>
      </w:r>
    </w:p>
    <w:p w14:paraId="79001EF6">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27.评标的依据</w:t>
      </w:r>
    </w:p>
    <w:p w14:paraId="2A3725BB">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评标委员会以招标文件为依据对投标文件进行评审，</w:t>
      </w:r>
      <w:r>
        <w:rPr>
          <w:rFonts w:hint="eastAsia" w:ascii="Times New Roman" w:hAnsi="宋体" w:eastAsia="宋体" w:cs="宋体"/>
          <w:color w:val="auto"/>
          <w:highlight w:val="none"/>
        </w:rPr>
        <w:t>“第四章</w:t>
      </w:r>
      <w:r>
        <w:rPr>
          <w:rFonts w:ascii="Times New Roman" w:hAnsi="宋体" w:eastAsia="宋体" w:cs="宋体"/>
          <w:color w:val="auto"/>
          <w:highlight w:val="none"/>
        </w:rPr>
        <w:t xml:space="preserve"> </w:t>
      </w:r>
      <w:r>
        <w:rPr>
          <w:rFonts w:hint="eastAsia" w:ascii="Times New Roman" w:hAnsi="宋体" w:eastAsia="宋体" w:cs="宋体"/>
          <w:color w:val="auto"/>
          <w:highlight w:val="none"/>
        </w:rPr>
        <w:t>评标方法和评标标准”</w:t>
      </w:r>
      <w:r>
        <w:rPr>
          <w:rFonts w:hint="eastAsia" w:ascii="Times New Roman" w:hAnsi="宋体" w:eastAsia="宋体" w:cs="Times New Roman"/>
          <w:color w:val="auto"/>
          <w:highlight w:val="none"/>
        </w:rPr>
        <w:t>没有规定的方法、评审因素和标准，不作为评标依据。</w:t>
      </w:r>
    </w:p>
    <w:p w14:paraId="32E15D93">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28.评标原则</w:t>
      </w:r>
    </w:p>
    <w:p w14:paraId="7545669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519847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2</w:t>
      </w:r>
      <w:r>
        <w:rPr>
          <w:rFonts w:hint="eastAsia" w:ascii="宋体" w:hAnsi="宋体" w:eastAsia="宋体" w:cs="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8BD958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3</w:t>
      </w:r>
      <w:r>
        <w:rPr>
          <w:rFonts w:hint="eastAsia" w:ascii="宋体" w:hAnsi="宋体" w:eastAsia="宋体" w:cs="宋体"/>
          <w:color w:val="auto"/>
          <w:highlight w:val="none"/>
        </w:rPr>
        <w:t>评标过程的监控。本项目电子评标过程实行网上留痕、全程录音、录像监控，投标人在评标过程中所进行的试图影响评标结果的不公正活动，可能导致其投标</w:t>
      </w:r>
      <w:r>
        <w:rPr>
          <w:rFonts w:hint="eastAsia" w:ascii="宋体" w:hAnsi="宋体" w:eastAsia="宋体" w:cs="宋体"/>
          <w:color w:val="auto"/>
          <w:highlight w:val="none"/>
          <w:lang w:eastAsia="zh-CN"/>
        </w:rPr>
        <w:t>作</w:t>
      </w:r>
      <w:r>
        <w:rPr>
          <w:rFonts w:hint="eastAsia" w:ascii="宋体" w:hAnsi="宋体" w:eastAsia="宋体" w:cs="宋体"/>
          <w:color w:val="auto"/>
          <w:highlight w:val="none"/>
        </w:rPr>
        <w:t>无效处理。</w:t>
      </w:r>
    </w:p>
    <w:p w14:paraId="701249E7">
      <w:pPr>
        <w:widowControl/>
        <w:spacing w:line="56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4</w:t>
      </w:r>
      <w:r>
        <w:rPr>
          <w:rFonts w:hint="eastAsia" w:ascii="宋体" w:hAnsi="宋体" w:eastAsia="宋体" w:cs="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F3D42E0">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29.评标方法</w:t>
      </w:r>
      <w:r>
        <w:rPr>
          <w:rFonts w:hint="eastAsia" w:ascii="黑体" w:hAnsi="黑体" w:eastAsia="黑体" w:cs="Times New Roman"/>
          <w:color w:val="auto"/>
          <w:sz w:val="24"/>
          <w:highlight w:val="none"/>
          <w:lang w:eastAsia="zh-CN"/>
        </w:rPr>
        <w:t>和</w:t>
      </w:r>
      <w:r>
        <w:rPr>
          <w:rFonts w:hint="eastAsia" w:ascii="黑体" w:hAnsi="黑体" w:eastAsia="黑体" w:cs="Times New Roman"/>
          <w:color w:val="auto"/>
          <w:sz w:val="24"/>
          <w:highlight w:val="none"/>
        </w:rPr>
        <w:t>评标标准</w:t>
      </w:r>
    </w:p>
    <w:p w14:paraId="4C4D3A0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29.1本项目的评标方法详见“投标人须知前附表”。</w:t>
      </w:r>
    </w:p>
    <w:p w14:paraId="0AE9208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14:paraId="6329F44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7FC2B50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6FA5DBE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1DA33B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0953BF6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19D9028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5CCEA3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B403179">
      <w:pPr>
        <w:pStyle w:val="12"/>
        <w:snapToGrid w:val="0"/>
        <w:spacing w:line="400" w:lineRule="exact"/>
        <w:ind w:firstLine="420" w:firstLineChars="200"/>
        <w:rPr>
          <w:rFonts w:hAnsi="宋体" w:eastAsia="宋体" w:cs="Times New Roman"/>
          <w:color w:val="auto"/>
          <w:highlight w:val="none"/>
        </w:rPr>
      </w:pPr>
    </w:p>
    <w:p w14:paraId="3BD14B05">
      <w:pPr>
        <w:pStyle w:val="4"/>
        <w:keepNext w:val="0"/>
        <w:keepLines w:val="0"/>
        <w:spacing w:line="400" w:lineRule="exact"/>
        <w:jc w:val="center"/>
        <w:rPr>
          <w:rFonts w:hint="eastAsia" w:ascii="Times New Roman" w:hAnsi="Times New Roman" w:eastAsia="宋体" w:cs="Times New Roman"/>
          <w:color w:val="auto"/>
          <w:highlight w:val="none"/>
        </w:rPr>
      </w:pPr>
      <w:bookmarkStart w:id="224" w:name="_Toc254970687"/>
      <w:bookmarkStart w:id="225" w:name="_Toc254970546"/>
      <w:bookmarkStart w:id="226" w:name="_Toc31226"/>
      <w:bookmarkStart w:id="227" w:name="_Toc14661"/>
      <w:bookmarkStart w:id="228" w:name="_Toc10518"/>
      <w:bookmarkStart w:id="229" w:name="_Toc10427"/>
      <w:bookmarkStart w:id="230" w:name="_Toc24771"/>
      <w:bookmarkStart w:id="231" w:name="_Toc32339"/>
      <w:bookmarkStart w:id="232" w:name="_Toc15452"/>
      <w:bookmarkStart w:id="233" w:name="_Toc4688"/>
      <w:bookmarkStart w:id="234" w:name="_Toc31698"/>
      <w:bookmarkStart w:id="235" w:name="_Toc2302"/>
      <w:r>
        <w:rPr>
          <w:rFonts w:hint="eastAsia" w:ascii="Times New Roman" w:hAnsi="Times New Roman" w:eastAsia="宋体" w:cs="Times New Roman"/>
          <w:color w:val="auto"/>
          <w:highlight w:val="none"/>
        </w:rPr>
        <w:t>七、</w:t>
      </w:r>
      <w:bookmarkEnd w:id="224"/>
      <w:bookmarkEnd w:id="225"/>
      <w:r>
        <w:rPr>
          <w:rFonts w:hint="eastAsia" w:ascii="Times New Roman" w:hAnsi="Times New Roman" w:eastAsia="宋体" w:cs="Times New Roman"/>
          <w:color w:val="auto"/>
          <w:highlight w:val="none"/>
        </w:rPr>
        <w:t>中标和合同</w:t>
      </w:r>
      <w:bookmarkEnd w:id="226"/>
      <w:bookmarkEnd w:id="227"/>
      <w:bookmarkEnd w:id="228"/>
      <w:bookmarkEnd w:id="229"/>
      <w:bookmarkEnd w:id="230"/>
      <w:bookmarkEnd w:id="231"/>
      <w:bookmarkEnd w:id="232"/>
      <w:bookmarkEnd w:id="233"/>
      <w:bookmarkEnd w:id="234"/>
      <w:bookmarkEnd w:id="235"/>
    </w:p>
    <w:p w14:paraId="5660A25B">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30.确定中标人</w:t>
      </w:r>
    </w:p>
    <w:p w14:paraId="04FB526E">
      <w:pPr>
        <w:spacing w:line="360" w:lineRule="auto"/>
        <w:ind w:firstLine="420" w:firstLineChars="200"/>
        <w:rPr>
          <w:rFonts w:hint="eastAsia" w:ascii="宋体" w:hAnsi="宋体" w:eastAsia="宋体" w:cs="Courier New"/>
          <w:b/>
          <w:bCs/>
          <w:color w:val="auto"/>
          <w:szCs w:val="21"/>
          <w:highlight w:val="none"/>
        </w:rPr>
      </w:pPr>
      <w:r>
        <w:rPr>
          <w:rFonts w:hint="eastAsia" w:ascii="宋体" w:hAnsi="宋体" w:cs="宋体"/>
          <w:b w:val="0"/>
          <w:bCs w:val="0"/>
          <w:color w:val="auto"/>
          <w:szCs w:val="21"/>
          <w:highlight w:val="none"/>
        </w:rPr>
        <w:t>30.1</w:t>
      </w:r>
      <w:r>
        <w:rPr>
          <w:rFonts w:hint="eastAsia" w:ascii="宋体" w:hAnsi="宋体" w:eastAsia="宋体" w:cs="宋体"/>
          <w:color w:val="auto"/>
          <w:sz w:val="21"/>
          <w:highlight w:val="none"/>
        </w:rPr>
        <w:t>采购人在收到</w:t>
      </w:r>
      <w:r>
        <w:rPr>
          <w:rFonts w:hint="eastAsia" w:ascii="宋体" w:hAnsi="宋体" w:cs="宋体"/>
          <w:color w:val="auto"/>
          <w:sz w:val="21"/>
          <w:highlight w:val="none"/>
          <w:lang w:eastAsia="zh-CN"/>
        </w:rPr>
        <w:t>评标委员会出具的</w:t>
      </w:r>
      <w:r>
        <w:rPr>
          <w:rFonts w:hint="eastAsia" w:ascii="宋体" w:hAnsi="宋体" w:eastAsia="宋体" w:cs="宋体"/>
          <w:color w:val="auto"/>
          <w:sz w:val="21"/>
          <w:highlight w:val="none"/>
        </w:rPr>
        <w:t>评标报告之日起5个工作日内在评标报告推荐的中标候选人名单中按顺序确定中标人。采购人也可以事先授权评标委员会直接确定中标人。</w:t>
      </w:r>
      <w:r>
        <w:rPr>
          <w:rFonts w:ascii="宋体" w:hAnsi="宋体" w:eastAsia="宋体" w:cs="宋体"/>
          <w:color w:val="auto"/>
          <w:sz w:val="21"/>
          <w:highlight w:val="none"/>
        </w:rPr>
        <w:t>中标候选人并列的，由采购人或者采购人委托评标委员会按照</w:t>
      </w:r>
      <w:r>
        <w:rPr>
          <w:rFonts w:hint="eastAsia"/>
          <w:color w:val="auto"/>
          <w:highlight w:val="none"/>
          <w:lang w:eastAsia="zh-CN"/>
        </w:rPr>
        <w:t>“投标人须知前附表”</w:t>
      </w:r>
      <w:r>
        <w:rPr>
          <w:rFonts w:ascii="宋体" w:hAnsi="宋体" w:eastAsia="宋体" w:cs="宋体"/>
          <w:color w:val="auto"/>
          <w:sz w:val="21"/>
          <w:highlight w:val="none"/>
        </w:rPr>
        <w:t>规定的方式确定中标人；招标文件未规定的，采取随机抽取的方式确定。</w:t>
      </w:r>
      <w:r>
        <w:rPr>
          <w:rFonts w:hint="eastAsia" w:ascii="宋体" w:hAnsi="宋体" w:cs="宋体"/>
          <w:b/>
          <w:bCs/>
          <w:color w:val="auto"/>
          <w:szCs w:val="21"/>
          <w:highlight w:val="none"/>
          <w:lang w:val="en-US" w:eastAsia="zh-CN"/>
        </w:rPr>
        <w:t xml:space="preserve">   </w:t>
      </w:r>
    </w:p>
    <w:p w14:paraId="0F1FDB46">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07772C2">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30.3中标</w:t>
      </w:r>
      <w:r>
        <w:rPr>
          <w:rFonts w:hint="eastAsia" w:ascii="宋体" w:hAnsi="宋体" w:cs="Courier New"/>
          <w:color w:val="auto"/>
          <w:szCs w:val="21"/>
          <w:highlight w:val="none"/>
          <w:lang w:eastAsia="zh-CN"/>
        </w:rPr>
        <w:t>人</w:t>
      </w:r>
      <w:r>
        <w:rPr>
          <w:rFonts w:hint="eastAsia" w:ascii="宋体" w:hAnsi="宋体" w:eastAsia="宋体" w:cs="Courier New"/>
          <w:color w:val="auto"/>
          <w:szCs w:val="21"/>
          <w:highlight w:val="none"/>
        </w:rPr>
        <w:t>无正当理由拒签合同的，根据《中华人民共和国政府采购法》</w:t>
      </w:r>
      <w:r>
        <w:rPr>
          <w:rFonts w:hint="default" w:ascii="宋体" w:hAnsi="宋体" w:eastAsia="宋体" w:cs="Courier New"/>
          <w:color w:val="auto"/>
          <w:szCs w:val="21"/>
          <w:highlight w:val="none"/>
          <w:lang w:val="en-US"/>
        </w:rPr>
        <w:t>第七十七条第一款</w:t>
      </w:r>
      <w:r>
        <w:rPr>
          <w:rFonts w:hint="eastAsia" w:ascii="宋体" w:hAnsi="宋体" w:eastAsia="宋体" w:cs="Courier New"/>
          <w:color w:val="auto"/>
          <w:szCs w:val="21"/>
          <w:highlight w:val="none"/>
        </w:rPr>
        <w:t>规定处理。</w:t>
      </w:r>
    </w:p>
    <w:p w14:paraId="0B84AE63">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30.4根据《中华人民共和国民法典》</w:t>
      </w:r>
      <w:r>
        <w:rPr>
          <w:rFonts w:hint="default" w:ascii="Times New Roman" w:hAnsi="Times New Roman" w:eastAsia="宋体" w:cs="Times New Roman"/>
          <w:color w:val="auto"/>
          <w:sz w:val="21"/>
          <w:szCs w:val="21"/>
          <w:highlight w:val="none"/>
          <w:lang w:val="en-US"/>
        </w:rPr>
        <w:t>第五百六十三条</w:t>
      </w:r>
      <w:r>
        <w:rPr>
          <w:rFonts w:hint="eastAsia" w:ascii="宋体" w:hAnsi="宋体" w:eastAsia="宋体" w:cs="Courier New"/>
          <w:color w:val="auto"/>
          <w:szCs w:val="21"/>
          <w:highlight w:val="none"/>
        </w:rPr>
        <w:t>，因不可抗力致使不能实现合同目的的，当事人可以解除合同。</w:t>
      </w:r>
    </w:p>
    <w:p w14:paraId="777419A1">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31. 结果公告</w:t>
      </w:r>
    </w:p>
    <w:p w14:paraId="2BED02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发出中标通知书。</w:t>
      </w:r>
      <w:r>
        <w:rPr>
          <w:rFonts w:hint="eastAsia" w:ascii="宋体" w:hAnsi="宋体" w:eastAsia="宋体" w:cs="宋体"/>
          <w:b/>
          <w:color w:val="auto"/>
          <w:szCs w:val="21"/>
          <w:highlight w:val="none"/>
        </w:rPr>
        <w:t>采购代理机构发出中标通知书前，应当对中标人信用进行核实，对列入失信被执行人、</w:t>
      </w:r>
      <w:r>
        <w:rPr>
          <w:rFonts w:hint="eastAsia" w:ascii="宋体" w:hAnsi="宋体" w:eastAsia="宋体" w:cs="宋体"/>
          <w:b/>
          <w:color w:val="auto"/>
          <w:szCs w:val="21"/>
          <w:highlight w:val="none"/>
          <w:lang w:eastAsia="zh-CN"/>
        </w:rPr>
        <w:t>重大税收违法失信主体</w:t>
      </w:r>
      <w:r>
        <w:rPr>
          <w:rFonts w:hint="eastAsia" w:ascii="宋体" w:hAnsi="宋体" w:eastAsia="宋体" w:cs="宋体"/>
          <w:b/>
          <w:color w:val="auto"/>
          <w:szCs w:val="21"/>
          <w:highlight w:val="none"/>
        </w:rPr>
        <w:t>、政府采购严重违法失信行为记录名单及其他不符合《中华人民共和国政府采购法》第二十二条规定条件的投标人，取消其中标资格，并</w:t>
      </w:r>
      <w:r>
        <w:rPr>
          <w:rFonts w:hint="eastAsia" w:ascii="宋体" w:hAnsi="宋体" w:eastAsia="宋体" w:cs="宋体"/>
          <w:b/>
          <w:color w:val="auto"/>
          <w:szCs w:val="21"/>
          <w:highlight w:val="none"/>
          <w:lang w:eastAsia="zh-CN"/>
        </w:rPr>
        <w:t>依法</w:t>
      </w:r>
      <w:r>
        <w:rPr>
          <w:rFonts w:hint="eastAsia" w:ascii="宋体" w:hAnsi="宋体" w:eastAsia="宋体" w:cs="宋体"/>
          <w:b/>
          <w:color w:val="auto"/>
          <w:szCs w:val="21"/>
          <w:highlight w:val="none"/>
        </w:rPr>
        <w:t>确定排名第二的中标候选人为中标人。</w:t>
      </w:r>
      <w:r>
        <w:rPr>
          <w:rFonts w:hint="eastAsia" w:ascii="宋体" w:hAnsi="宋体" w:eastAsia="宋体" w:cs="宋体"/>
          <w:color w:val="auto"/>
          <w:szCs w:val="21"/>
          <w:highlight w:val="none"/>
        </w:rPr>
        <w:t>排名第二的中标候选人因前款规定的同样原因被取消中标资格的，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确定排名第三的中标候选人为中标人，以此类推。</w:t>
      </w:r>
    </w:p>
    <w:p w14:paraId="7B0C6F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14:paraId="30A766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31.2中小企业在政府采购活动过程中，请根据企业的真实情况出具《中小企业声明函》。依法享受中小企业</w:t>
      </w:r>
      <w:r>
        <w:rPr>
          <w:rFonts w:hint="eastAsia" w:ascii="宋体" w:hAnsi="宋体" w:eastAsia="宋体" w:cs="宋体"/>
          <w:color w:val="auto"/>
          <w:szCs w:val="21"/>
          <w:highlight w:val="none"/>
          <w:lang w:eastAsia="zh-CN"/>
        </w:rPr>
        <w:t>扶持</w:t>
      </w:r>
      <w:r>
        <w:rPr>
          <w:rFonts w:hint="eastAsia" w:ascii="宋体" w:hAnsi="宋体" w:eastAsia="宋体" w:cs="宋体"/>
          <w:color w:val="auto"/>
          <w:szCs w:val="21"/>
          <w:highlight w:val="none"/>
        </w:rPr>
        <w:t>政策的，采购人或者采购代理机构在公告中标结果时，同时公告其《中小企业声明函》，接受社会监督。</w:t>
      </w:r>
    </w:p>
    <w:p w14:paraId="60603BAF">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32.发出中标通知书</w:t>
      </w:r>
    </w:p>
    <w:p w14:paraId="249305B0">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32.1在发布中标公告的同时，采购代理机构向中标人通过</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发出电子中标通知书。</w:t>
      </w:r>
    </w:p>
    <w:p w14:paraId="25C1D852">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32.2对未通过资格审查的投标人，采购人或采购</w:t>
      </w:r>
      <w:r>
        <w:rPr>
          <w:rFonts w:hint="eastAsia" w:ascii="宋体" w:hAnsi="宋体" w:cs="Times New Roman"/>
          <w:b/>
          <w:color w:val="auto"/>
          <w:szCs w:val="21"/>
          <w:highlight w:val="none"/>
          <w:lang w:eastAsia="zh-CN"/>
        </w:rPr>
        <w:t>代理</w:t>
      </w:r>
      <w:r>
        <w:rPr>
          <w:rFonts w:hint="eastAsia" w:ascii="宋体" w:hAnsi="宋体" w:eastAsia="宋体" w:cs="Times New Roman"/>
          <w:b/>
          <w:color w:val="auto"/>
          <w:szCs w:val="21"/>
          <w:highlight w:val="none"/>
        </w:rPr>
        <w:t>机构应当告知其未通过的原因；采用综合评分办法评审的，采购人或采购机构还应当告知未中标人本人的评审得分与排序。</w:t>
      </w:r>
    </w:p>
    <w:p w14:paraId="2B487E1E">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33. 无义务解释未中标原因</w:t>
      </w:r>
    </w:p>
    <w:p w14:paraId="357E8CC7">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采购代理机构无义务向未中标的投标人解释未中标原因和退还投标文件。</w:t>
      </w:r>
    </w:p>
    <w:p w14:paraId="3719E3BB">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34.合同授予标准</w:t>
      </w:r>
    </w:p>
    <w:p w14:paraId="70431AA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Courier New"/>
          <w:color w:val="auto"/>
          <w:szCs w:val="21"/>
          <w:highlight w:val="none"/>
        </w:rPr>
        <w:t>合同将授予被确定实质上响应招标文件要求，具备履行合同能力的中标人（招标文件另有约定多名中标人的除外）。</w:t>
      </w:r>
    </w:p>
    <w:p w14:paraId="740EA80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35.履约保证金</w:t>
      </w:r>
    </w:p>
    <w:p w14:paraId="3992DEEA">
      <w:pPr>
        <w:pStyle w:val="5"/>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bookmarkStart w:id="236" w:name="_39.1中标人须于签订合同前按本须知前附表规定的金额转账或电汇到指定账"/>
      <w:bookmarkEnd w:id="236"/>
      <w:r>
        <w:rPr>
          <w:rFonts w:hint="eastAsia" w:ascii="宋体" w:hAnsi="宋体" w:eastAsia="宋体" w:cs="宋体"/>
          <w:b w:val="0"/>
          <w:color w:val="auto"/>
          <w:sz w:val="21"/>
          <w:szCs w:val="21"/>
          <w:highlight w:val="none"/>
        </w:rPr>
        <w:t>35.1 履约保证金的金额、提交方式、退付的时间和条件详见 “投标人须知前附表”。中标人未按规定提交履约保证金的，视为拒绝与采购人签订合同，采购人可以按照评标报告推荐的中标候选人名单排序，</w:t>
      </w:r>
      <w:r>
        <w:rPr>
          <w:rFonts w:hint="eastAsia" w:ascii="宋体" w:hAnsi="宋体" w:eastAsia="宋体" w:cs="宋体"/>
          <w:b w:val="0"/>
          <w:color w:val="auto"/>
          <w:sz w:val="21"/>
          <w:szCs w:val="21"/>
          <w:highlight w:val="none"/>
          <w:lang w:eastAsia="zh-CN"/>
        </w:rPr>
        <w:t>依法</w:t>
      </w:r>
      <w:r>
        <w:rPr>
          <w:rFonts w:hint="eastAsia" w:ascii="宋体" w:hAnsi="宋体" w:eastAsia="宋体" w:cs="宋体"/>
          <w:b w:val="0"/>
          <w:color w:val="auto"/>
          <w:sz w:val="21"/>
          <w:szCs w:val="21"/>
          <w:highlight w:val="none"/>
        </w:rPr>
        <w:t>确定下一候选人为中标人，也可以重新开展政府采购活动。</w:t>
      </w:r>
    </w:p>
    <w:p w14:paraId="0C5D244A">
      <w:pPr>
        <w:pStyle w:val="5"/>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14:paraId="1267596B">
      <w:pPr>
        <w:pStyle w:val="5"/>
        <w:keepNext w:val="0"/>
        <w:keepLines w:val="0"/>
        <w:numPr>
          <w:ilvl w:val="0"/>
          <w:numId w:val="0"/>
        </w:numPr>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35.3在履约保证金退还日期前，若中标人的开户名称、开户银行、</w:t>
      </w:r>
      <w:r>
        <w:rPr>
          <w:rFonts w:hint="eastAsia" w:ascii="宋体" w:hAnsi="宋体" w:eastAsia="宋体" w:cs="宋体"/>
          <w:b w:val="0"/>
          <w:color w:val="auto"/>
          <w:sz w:val="21"/>
          <w:szCs w:val="21"/>
          <w:highlight w:val="none"/>
          <w:lang w:eastAsia="zh-CN"/>
        </w:rPr>
        <w:t>账</w:t>
      </w:r>
      <w:r>
        <w:rPr>
          <w:rFonts w:hint="eastAsia" w:ascii="宋体" w:hAnsi="宋体" w:eastAsia="宋体" w:cs="宋体"/>
          <w:b w:val="0"/>
          <w:color w:val="auto"/>
          <w:sz w:val="21"/>
          <w:szCs w:val="21"/>
          <w:highlight w:val="none"/>
        </w:rPr>
        <w:t>号有变动的，请以书面形式通知履约保证金收取单位，否则由此产生的后果由中标人自行承担。</w:t>
      </w:r>
    </w:p>
    <w:p w14:paraId="6E6DD55A">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36.签订合同</w:t>
      </w:r>
    </w:p>
    <w:p w14:paraId="1BD496E0">
      <w:pPr>
        <w:spacing w:line="360" w:lineRule="auto"/>
        <w:ind w:firstLine="420" w:firstLineChars="200"/>
        <w:rPr>
          <w:rFonts w:hint="eastAsia" w:ascii="宋体" w:hAnsi="宋体" w:eastAsia="宋体" w:cs="宋体"/>
          <w:b w:val="0"/>
          <w:color w:val="auto"/>
          <w:sz w:val="21"/>
          <w:szCs w:val="21"/>
          <w:highlight w:val="none"/>
        </w:rPr>
      </w:pPr>
      <w:bookmarkStart w:id="237" w:name="_40.1投标人接到中标通知书后，按须知前附表规定向采购人出示相关资格证"/>
      <w:bookmarkEnd w:id="237"/>
      <w:r>
        <w:rPr>
          <w:rFonts w:hint="eastAsia" w:ascii="宋体" w:hAnsi="宋体" w:cs="宋体"/>
          <w:b w:val="0"/>
          <w:color w:val="auto"/>
          <w:sz w:val="21"/>
          <w:szCs w:val="21"/>
          <w:highlight w:val="none"/>
          <w:lang w:eastAsia="zh-CN"/>
        </w:rPr>
        <w:t xml:space="preserve"> </w:t>
      </w:r>
      <w:r>
        <w:rPr>
          <w:rFonts w:hint="eastAsia" w:ascii="宋体" w:hAnsi="宋体" w:cs="宋体"/>
          <w:b/>
          <w:bCs/>
          <w:color w:val="auto"/>
          <w:sz w:val="21"/>
          <w:szCs w:val="21"/>
          <w:highlight w:val="none"/>
          <w:lang w:eastAsia="zh-CN"/>
        </w:rPr>
        <w:t>36.1中标人在中标通知书发出之日起</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r>
        <w:rPr>
          <w:rFonts w:hint="eastAsia" w:ascii="宋体" w:hAnsi="宋体" w:eastAsia="宋体" w:cs="宋体"/>
          <w:b w:val="0"/>
          <w:color w:val="auto"/>
          <w:sz w:val="21"/>
          <w:szCs w:val="21"/>
          <w:highlight w:val="none"/>
        </w:rPr>
        <w:t>。</w:t>
      </w:r>
    </w:p>
    <w:p w14:paraId="1B5C28FD">
      <w:pPr>
        <w:spacing w:line="360" w:lineRule="auto"/>
        <w:ind w:firstLine="420" w:firstLineChars="200"/>
        <w:rPr>
          <w:rFonts w:hint="eastAsia"/>
          <w:b/>
          <w:bCs/>
          <w:i/>
          <w:iCs/>
          <w:color w:val="auto"/>
          <w:szCs w:val="21"/>
          <w:highlight w:val="none"/>
          <w:lang w:eastAsia="zh-CN"/>
        </w:rPr>
      </w:pPr>
      <w:r>
        <w:rPr>
          <w:rFonts w:hint="eastAsia" w:ascii="宋体" w:hAnsi="宋体" w:cs="Times New Roman"/>
          <w:b w:val="0"/>
          <w:bCs w:val="0"/>
          <w:i w:val="0"/>
          <w:iCs w:val="0"/>
          <w:color w:val="auto"/>
          <w:sz w:val="21"/>
          <w:szCs w:val="21"/>
          <w:highlight w:val="none"/>
          <w:lang w:val="zh-CN" w:eastAsia="zh-CN"/>
        </w:rPr>
        <w:t>36.2采购合同由采购人与中标人根据招标文件、投标文件等内容签订。</w:t>
      </w:r>
    </w:p>
    <w:p w14:paraId="765C5B28">
      <w:pPr>
        <w:pStyle w:val="30"/>
        <w:snapToGrid w:val="0"/>
        <w:spacing w:before="0"/>
        <w:ind w:firstLine="420"/>
        <w:rPr>
          <w:rFonts w:hint="eastAsia" w:ascii="宋体" w:hAnsi="宋体" w:eastAsia="宋体" w:cs="仿宋_GB2312"/>
          <w:color w:val="auto"/>
          <w:sz w:val="21"/>
          <w:szCs w:val="21"/>
          <w:highlight w:val="none"/>
        </w:rPr>
      </w:pPr>
      <w:r>
        <w:rPr>
          <w:rFonts w:hint="eastAsia" w:ascii="宋体" w:hAnsi="宋体" w:eastAsia="宋体" w:cs="Times New Roman"/>
          <w:color w:val="auto"/>
          <w:sz w:val="21"/>
          <w:szCs w:val="21"/>
          <w:highlight w:val="none"/>
        </w:rPr>
        <w:t>36.3签订合同时间：按中标通知书规定的时间与采购人签订合同。</w:t>
      </w:r>
    </w:p>
    <w:p w14:paraId="5CA6FB3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36.4中标人拒绝与采购人签订合同的，采购人可以按照评审报告推荐的中标候选人名单排序，</w:t>
      </w:r>
      <w:r>
        <w:rPr>
          <w:rFonts w:hint="eastAsia" w:ascii="宋体" w:hAnsi="宋体" w:cs="Times New Roman"/>
          <w:color w:val="auto"/>
          <w:szCs w:val="21"/>
          <w:highlight w:val="none"/>
          <w:lang w:eastAsia="zh-CN"/>
        </w:rPr>
        <w:t>依法</w:t>
      </w:r>
      <w:r>
        <w:rPr>
          <w:rFonts w:hint="eastAsia" w:ascii="宋体" w:hAnsi="宋体" w:eastAsia="宋体" w:cs="Times New Roman"/>
          <w:color w:val="auto"/>
          <w:szCs w:val="21"/>
          <w:highlight w:val="none"/>
        </w:rPr>
        <w:t>确定下一候选人为中标人，也可以重新开展政府采购活动。如采购人无正当理由拒签合同的，给中标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造成损失的，中标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可追究采购人承担相应的法律责任。</w:t>
      </w:r>
    </w:p>
    <w:p w14:paraId="058D544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36.5政府采购合同是政府采购项目验收的依据，中标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8CF229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36.6采购人或中标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不得单方面向合同另一方提出任何招标文件没有约定的条件或不合理的要求，作为签订合同的条件；也不得协商另行订立背离招标文件和合同实质性内容的协议。</w:t>
      </w:r>
    </w:p>
    <w:p w14:paraId="658B92A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36.7</w:t>
      </w:r>
      <w:r>
        <w:rPr>
          <w:rFonts w:hint="eastAsia" w:ascii="宋体" w:hAnsi="宋体" w:eastAsia="宋体" w:cs="仿宋_GB2312"/>
          <w:color w:val="auto"/>
          <w:szCs w:val="21"/>
          <w:highlight w:val="none"/>
        </w:rPr>
        <w:t>如签订合同并生效后，</w:t>
      </w:r>
      <w:r>
        <w:rPr>
          <w:rFonts w:hint="eastAsia" w:ascii="宋体" w:hAnsi="宋体" w:cs="仿宋_GB2312"/>
          <w:color w:val="auto"/>
          <w:szCs w:val="21"/>
          <w:highlight w:val="none"/>
          <w:lang w:eastAsia="zh-CN"/>
        </w:rPr>
        <w:t>中标人</w:t>
      </w:r>
      <w:r>
        <w:rPr>
          <w:rFonts w:hint="eastAsia" w:ascii="宋体" w:hAnsi="宋体" w:eastAsia="宋体" w:cs="仿宋_GB2312"/>
          <w:color w:val="auto"/>
          <w:szCs w:val="21"/>
          <w:highlight w:val="none"/>
        </w:rPr>
        <w:t>无故拒绝或延期，除按照合同条款处理外，将承担相应的法律责任。</w:t>
      </w:r>
    </w:p>
    <w:p w14:paraId="2566A493">
      <w:pPr>
        <w:spacing w:line="360" w:lineRule="auto"/>
        <w:ind w:firstLine="480" w:firstLineChars="200"/>
        <w:rPr>
          <w:rFonts w:hint="eastAsia" w:ascii="黑体" w:hAnsi="黑体" w:eastAsia="黑体" w:cs="Times New Roman"/>
          <w:color w:val="auto"/>
          <w:sz w:val="24"/>
          <w:highlight w:val="none"/>
        </w:rPr>
      </w:pPr>
      <w:bookmarkStart w:id="238" w:name="_41.政府采购合同公告"/>
      <w:bookmarkEnd w:id="238"/>
      <w:r>
        <w:rPr>
          <w:rFonts w:hint="eastAsia" w:ascii="黑体" w:hAnsi="黑体" w:eastAsia="黑体" w:cs="Times New Roman"/>
          <w:color w:val="auto"/>
          <w:sz w:val="24"/>
          <w:highlight w:val="none"/>
        </w:rPr>
        <w:t>37.政府采购合同公告</w:t>
      </w:r>
    </w:p>
    <w:p w14:paraId="2CA41A68">
      <w:pPr>
        <w:spacing w:line="360" w:lineRule="auto"/>
        <w:ind w:firstLine="420" w:firstLineChars="200"/>
        <w:rPr>
          <w:rFonts w:hint="eastAsia" w:ascii="宋体" w:hAnsi="宋体" w:eastAsia="宋体" w:cs="Times New Roman"/>
          <w:color w:val="auto"/>
          <w:highlight w:val="none"/>
        </w:rPr>
      </w:pPr>
      <w:r>
        <w:rPr>
          <w:rFonts w:hint="eastAsia" w:ascii="Times New Roman" w:hAnsi="宋体" w:eastAsia="宋体" w:cs="Times New Roman"/>
          <w:color w:val="auto"/>
          <w:highlight w:val="none"/>
        </w:rPr>
        <w:t>采购人应当自政府采购合同签订之日起</w:t>
      </w:r>
      <w:r>
        <w:rPr>
          <w:rFonts w:ascii="Times New Roman" w:hAnsi="宋体" w:eastAsia="宋体" w:cs="Times New Roman"/>
          <w:color w:val="auto"/>
          <w:highlight w:val="none"/>
        </w:rPr>
        <w:t>2</w:t>
      </w:r>
      <w:r>
        <w:rPr>
          <w:rFonts w:hint="eastAsia" w:ascii="Times New Roman" w:hAnsi="宋体" w:eastAsia="宋体" w:cs="Times New Roman"/>
          <w:color w:val="auto"/>
          <w:highlight w:val="none"/>
        </w:rPr>
        <w:t>个工作日内，将政府采购合同</w:t>
      </w:r>
      <w:r>
        <w:rPr>
          <w:rFonts w:hint="eastAsia" w:ascii="宋体" w:hAnsi="宋体" w:eastAsia="宋体" w:cs="Times New Roman"/>
          <w:bCs/>
          <w:color w:val="auto"/>
          <w:highlight w:val="none"/>
        </w:rPr>
        <w:t>在省级以上人民政府财政部门指定的媒体</w:t>
      </w:r>
      <w:r>
        <w:rPr>
          <w:rFonts w:hint="eastAsia" w:ascii="Times New Roman" w:hAnsi="宋体" w:eastAsia="宋体" w:cs="Times New Roman"/>
          <w:color w:val="auto"/>
          <w:highlight w:val="none"/>
        </w:rPr>
        <w:t>上公告，但政府采购合同中涉及国家秘密、商业秘密的内容除外。</w:t>
      </w:r>
    </w:p>
    <w:p w14:paraId="6A73F943">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38. 询问、质疑和投诉</w:t>
      </w:r>
    </w:p>
    <w:p w14:paraId="63AD47A7">
      <w:pPr>
        <w:spacing w:line="360" w:lineRule="auto"/>
        <w:ind w:firstLine="422" w:firstLineChars="200"/>
        <w:rPr>
          <w:rFonts w:hint="eastAsia" w:ascii="Times New Roman" w:hAnsi="宋体" w:eastAsia="宋体" w:cs="Times New Roman"/>
          <w:b/>
          <w:color w:val="auto"/>
          <w:szCs w:val="21"/>
          <w:highlight w:val="none"/>
        </w:rPr>
      </w:pPr>
      <w:r>
        <w:rPr>
          <w:rFonts w:ascii="Times New Roman" w:hAnsi="宋体" w:eastAsia="宋体" w:cs="Times New Roman"/>
          <w:b/>
          <w:color w:val="auto"/>
          <w:szCs w:val="21"/>
          <w:highlight w:val="none"/>
        </w:rPr>
        <w:t>38.1</w:t>
      </w:r>
      <w:r>
        <w:rPr>
          <w:rFonts w:hint="eastAsia" w:ascii="Times New Roman" w:hAnsi="宋体" w:eastAsia="宋体" w:cs="Times New Roman"/>
          <w:b/>
          <w:color w:val="auto"/>
          <w:szCs w:val="21"/>
          <w:highlight w:val="none"/>
        </w:rPr>
        <w:t>询问</w:t>
      </w:r>
    </w:p>
    <w:p w14:paraId="5AF13584">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14:paraId="7404808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14:paraId="1BD3E29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询问事项可能影响中标结果的，采购人应当暂停签订合同，已经签订合同的，应当中止履行合同。</w:t>
      </w:r>
    </w:p>
    <w:p w14:paraId="75718465">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14:paraId="799832A3">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bCs/>
          <w:color w:val="auto"/>
          <w:szCs w:val="21"/>
          <w:highlight w:val="none"/>
        </w:rPr>
        <w:t>38.2.1</w:t>
      </w:r>
      <w:r>
        <w:rPr>
          <w:rFonts w:hint="eastAsia" w:ascii="宋体" w:hAnsi="宋体" w:eastAsia="宋体" w:cs="Times New Roman"/>
          <w:b/>
          <w:color w:val="auto"/>
          <w:szCs w:val="21"/>
          <w:highlight w:val="none"/>
        </w:rPr>
        <w:t>供应商认为招标文件、采购过程或者中标结果使自己的合法权益受到损害的，必须在知道或者应知其权益受到损害之日起7个工作日内，以书面形式向采购人</w:t>
      </w:r>
      <w:r>
        <w:rPr>
          <w:rFonts w:hint="eastAsia" w:ascii="宋体" w:hAnsi="宋体" w:cs="Times New Roman"/>
          <w:b/>
          <w:color w:val="auto"/>
          <w:szCs w:val="21"/>
          <w:highlight w:val="none"/>
          <w:lang w:eastAsia="zh-CN"/>
        </w:rPr>
        <w:t>或</w:t>
      </w:r>
      <w:r>
        <w:rPr>
          <w:rFonts w:hint="eastAsia" w:ascii="宋体" w:hAnsi="宋体" w:eastAsia="宋体" w:cs="Times New Roman"/>
          <w:b/>
          <w:color w:val="auto"/>
          <w:szCs w:val="21"/>
          <w:highlight w:val="none"/>
        </w:rPr>
        <w:t xml:space="preserve">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5ACFCAC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（1）潜在供应商依法获取招标文件后，认为采购文件使自己的权益受到损害的，应当在招标文件公告期限届满之日起7个工作日内提出质疑。</w:t>
      </w:r>
    </w:p>
    <w:p w14:paraId="7133871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02C18F6E">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50F99B1C">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395CD2D0">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14:paraId="2C4C3F13">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14:paraId="20A58FF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w:t>
      </w:r>
      <w:r>
        <w:rPr>
          <w:rFonts w:hint="eastAsia" w:ascii="宋体" w:hAnsi="宋体" w:eastAsia="宋体" w:cs="宋体"/>
          <w:bCs/>
          <w:color w:val="auto"/>
          <w:highlight w:val="none"/>
          <w:lang w:eastAsia="zh-CN"/>
        </w:rPr>
        <w:t>质疑</w:t>
      </w:r>
      <w:r>
        <w:rPr>
          <w:rFonts w:hint="eastAsia" w:ascii="宋体" w:hAnsi="宋体" w:eastAsia="宋体" w:cs="宋体"/>
          <w:bCs/>
          <w:color w:val="auto"/>
          <w:highlight w:val="none"/>
        </w:rPr>
        <w:t>的采购文件的，可以对该采购文件质疑）；</w:t>
      </w:r>
    </w:p>
    <w:p w14:paraId="301A0DC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14:paraId="20582EB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14:paraId="0C1BF94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14:paraId="4BBEA43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）供应商对同一采购程序环节的质疑应当在质疑有效期内一次性提出；</w:t>
      </w:r>
    </w:p>
    <w:p w14:paraId="1B89E80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）供应商提交质疑应当提交必要的证明材料，证明材料应以合法手段取得；</w:t>
      </w:r>
    </w:p>
    <w:p w14:paraId="6C556E4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7</w:t>
      </w:r>
      <w:r>
        <w:rPr>
          <w:rFonts w:hint="eastAsia" w:ascii="宋体" w:hAnsi="宋体" w:eastAsia="宋体" w:cs="宋体"/>
          <w:bCs/>
          <w:color w:val="auto"/>
          <w:highlight w:val="none"/>
        </w:rPr>
        <w:t>）财政部门规定的其他条件。</w:t>
      </w:r>
    </w:p>
    <w:p w14:paraId="0EA02183">
      <w:pPr>
        <w:spacing w:line="360" w:lineRule="auto"/>
        <w:ind w:firstLine="422" w:firstLineChars="200"/>
        <w:rPr>
          <w:rFonts w:ascii="宋体" w:hAnsi="宋体" w:eastAsia="宋体" w:cs="Times New Roman"/>
          <w:b/>
          <w:bCs/>
          <w:color w:val="auto"/>
          <w:szCs w:val="21"/>
          <w:highlight w:val="none"/>
        </w:rPr>
      </w:pPr>
      <w:bookmarkStart w:id="239" w:name="_9.2质疑、投诉应当采用书面形式，质疑函、投诉书均应明确阐述招标文件、"/>
      <w:bookmarkEnd w:id="239"/>
      <w:r>
        <w:rPr>
          <w:rFonts w:hint="eastAsia" w:ascii="宋体" w:hAnsi="宋体" w:eastAsia="宋体" w:cs="Times New Roman"/>
          <w:b/>
          <w:bCs/>
          <w:color w:val="auto"/>
          <w:szCs w:val="21"/>
          <w:highlight w:val="none"/>
        </w:rPr>
        <w:t xml:space="preserve"> 38.2.5 </w:t>
      </w:r>
      <w:r>
        <w:rPr>
          <w:rFonts w:hint="eastAsia" w:ascii="Times New Roman" w:hAnsi="宋体" w:eastAsia="宋体" w:cs="Times New Roman"/>
          <w:b/>
          <w:bCs/>
          <w:color w:val="auto"/>
          <w:highlight w:val="none"/>
        </w:rPr>
        <w:t>供应商提出质疑应当提交质疑函和必要的证明材料，针对同一采购程序环节的质疑必须在法定质疑期内一次性提出。质疑函应当包括下列内容（质疑函格式后附）：</w:t>
      </w:r>
    </w:p>
    <w:p w14:paraId="2A49B83E">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14B72174">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05D90CEA">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4273B60E">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14:paraId="4F074DAA">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7EDE5B7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2A443BC3">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供应商为自然人的，应当由本人签字；供应商为法人或者其他组织的，应当由法定代表人、主要负责人，或者其委托代理人签字或者盖章，并加盖公章。</w:t>
      </w:r>
    </w:p>
    <w:p w14:paraId="7793B355">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auto"/>
          <w:highlight w:val="none"/>
        </w:rPr>
        <w:t>。</w:t>
      </w:r>
    </w:p>
    <w:p w14:paraId="4E20A221">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1A3F542F">
      <w:pPr>
        <w:spacing w:line="360" w:lineRule="auto"/>
        <w:ind w:firstLine="420" w:firstLineChars="200"/>
        <w:rPr>
          <w:rFonts w:hint="eastAsia" w:ascii="Times New Roman" w:hAnsi="宋体" w:eastAsia="宋体" w:cs="Times New Roman"/>
          <w:bCs/>
          <w:color w:val="auto"/>
          <w:highlight w:val="none"/>
        </w:rPr>
      </w:pPr>
      <w:r>
        <w:rPr>
          <w:rFonts w:hint="eastAsia" w:ascii="Times New Roman" w:hAnsi="宋体" w:eastAsia="宋体" w:cs="Times New Roman"/>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1B2387F1">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6CA8208E">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质疑答复导致中标结果改变的，采购人或者采购代理机构应当将有关情况书面报告本级财政部门。</w:t>
      </w:r>
    </w:p>
    <w:p w14:paraId="35BC270A">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38.3</w:t>
      </w:r>
      <w:r>
        <w:rPr>
          <w:rFonts w:hint="eastAsia" w:ascii="Times New Roman" w:hAnsi="宋体" w:eastAsia="宋体" w:cs="Times New Roman"/>
          <w:b/>
          <w:color w:val="auto"/>
          <w:highlight w:val="none"/>
        </w:rPr>
        <w:t>投诉</w:t>
      </w:r>
    </w:p>
    <w:p w14:paraId="49B5B42C">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 xml:space="preserve">1 </w:t>
      </w:r>
      <w:r>
        <w:rPr>
          <w:rFonts w:hint="eastAsia" w:ascii="宋体" w:hAnsi="宋体" w:eastAsia="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未在规定期限内做出答复的，供应商可以在答复期满后15个工作日内向本级财政部门提起投诉，投诉</w:t>
      </w:r>
      <w:r>
        <w:rPr>
          <w:rFonts w:hint="eastAsia" w:ascii="宋体" w:hAnsi="宋体" w:eastAsia="宋体" w:cs="宋体"/>
          <w:bCs/>
          <w:color w:val="auto"/>
          <w:highlight w:val="none"/>
          <w:lang w:eastAsia="zh-CN"/>
        </w:rPr>
        <w:t>联系</w:t>
      </w:r>
      <w:r>
        <w:rPr>
          <w:rFonts w:hint="eastAsia" w:ascii="宋体" w:hAnsi="宋体" w:eastAsia="宋体" w:cs="宋体"/>
          <w:bCs/>
          <w:color w:val="auto"/>
          <w:highlight w:val="none"/>
        </w:rPr>
        <w:t>方式见“投标人须知前附表”。</w:t>
      </w:r>
    </w:p>
    <w:p w14:paraId="2C5AC0AB">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38.3.2 </w:t>
      </w:r>
      <w:r>
        <w:rPr>
          <w:rFonts w:hint="eastAsia" w:ascii="宋体" w:hAnsi="宋体" w:eastAsia="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14:paraId="482691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（1）投诉人和被投诉人的名称、地址、邮编、联系人及联系电话等； </w:t>
      </w:r>
    </w:p>
    <w:p w14:paraId="5E7A444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（2）质疑和质疑答复情况及相关证明材料； </w:t>
      </w:r>
    </w:p>
    <w:p w14:paraId="1DA0F0B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14:paraId="3762DC4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26C570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14:paraId="7CCF8E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14:paraId="49541F3F">
      <w:pPr>
        <w:spacing w:line="360" w:lineRule="auto"/>
        <w:ind w:firstLine="420" w:firstLineChars="200"/>
        <w:rPr>
          <w:rFonts w:hint="eastAsia" w:ascii="宋体" w:hAnsi="宋体" w:cs="宋体"/>
          <w:b w:val="0"/>
          <w:bCs/>
          <w:color w:val="auto"/>
          <w:highlight w:val="none"/>
        </w:rPr>
      </w:pPr>
      <w:r>
        <w:rPr>
          <w:rFonts w:hint="eastAsia" w:ascii="宋体" w:hAnsi="宋体" w:cs="宋体"/>
          <w:b w:val="0"/>
          <w:bCs/>
          <w:color w:val="auto"/>
          <w:highlight w:val="none"/>
        </w:rPr>
        <w:t>投诉人为自然人的，应当由本人签字；投诉人为法人或者其他组织的，应当由法定代表人、主要负责人，或者其授权代表签字或者盖章，并加盖公章。</w:t>
      </w:r>
    </w:p>
    <w:p w14:paraId="7BB2BF1A">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38.3.3  </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14:paraId="06721D02">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38.3.4</w:t>
      </w:r>
      <w:r>
        <w:rPr>
          <w:rFonts w:hint="eastAsia" w:ascii="宋体" w:hAnsi="宋体" w:eastAsia="宋体" w:cs="宋体"/>
          <w:color w:val="auto"/>
          <w:highlight w:val="none"/>
        </w:rPr>
        <w:t xml:space="preserve">  投诉人提起投诉应当符合下列条件：</w:t>
      </w:r>
    </w:p>
    <w:p w14:paraId="54C019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14:paraId="53475C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14:paraId="3B2EAFF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14:paraId="0D03A2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14:paraId="0CECE52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）同一投诉事项未经</w:t>
      </w:r>
      <w:r>
        <w:rPr>
          <w:rFonts w:hint="eastAsia" w:ascii="宋体" w:hAnsi="宋体" w:eastAsia="宋体" w:cs="宋体"/>
          <w:bCs/>
          <w:color w:val="auto"/>
          <w:highlight w:val="none"/>
          <w:lang w:eastAsia="zh-CN"/>
        </w:rPr>
        <w:t>财政</w:t>
      </w:r>
      <w:r>
        <w:rPr>
          <w:rFonts w:hint="eastAsia" w:ascii="宋体" w:hAnsi="宋体" w:eastAsia="宋体" w:cs="宋体"/>
          <w:bCs/>
          <w:color w:val="auto"/>
          <w:highlight w:val="none"/>
        </w:rPr>
        <w:t>部门</w:t>
      </w:r>
      <w:r>
        <w:rPr>
          <w:rFonts w:hint="eastAsia" w:ascii="宋体" w:hAnsi="宋体" w:eastAsia="宋体" w:cs="宋体"/>
          <w:color w:val="auto"/>
          <w:highlight w:val="none"/>
        </w:rPr>
        <w:t>投诉处理；</w:t>
      </w:r>
    </w:p>
    <w:p w14:paraId="24FE22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）国务院财政部门规定的其他条件。</w:t>
      </w:r>
    </w:p>
    <w:p w14:paraId="732EDE14">
      <w:pPr>
        <w:snapToGrid w:val="0"/>
        <w:spacing w:line="360" w:lineRule="auto"/>
        <w:ind w:left="120" w:leftChars="57" w:firstLine="482" w:firstLineChars="150"/>
        <w:jc w:val="center"/>
        <w:outlineLvl w:val="2"/>
        <w:rPr>
          <w:rFonts w:hint="eastAsia" w:ascii="Times New Roman" w:hAnsi="Times New Roman" w:eastAsia="宋体" w:cs="Times New Roman"/>
          <w:b/>
          <w:bCs/>
          <w:color w:val="auto"/>
          <w:sz w:val="32"/>
          <w:szCs w:val="32"/>
          <w:highlight w:val="none"/>
        </w:rPr>
      </w:pPr>
      <w:bookmarkStart w:id="240" w:name="_Toc23239"/>
      <w:bookmarkStart w:id="241" w:name="_Toc26583"/>
      <w:bookmarkStart w:id="242" w:name="_Toc14937"/>
      <w:bookmarkStart w:id="243" w:name="_Toc25946"/>
      <w:bookmarkStart w:id="244" w:name="_Toc8731"/>
      <w:bookmarkStart w:id="245" w:name="_Toc1756"/>
      <w:bookmarkStart w:id="246" w:name="_Toc13659"/>
      <w:bookmarkStart w:id="247" w:name="_Toc7828"/>
      <w:bookmarkStart w:id="248" w:name="_Toc29288"/>
      <w:bookmarkStart w:id="249" w:name="_Toc27653"/>
      <w:r>
        <w:rPr>
          <w:rFonts w:hint="eastAsia" w:ascii="Times New Roman" w:hAnsi="Times New Roman" w:eastAsia="宋体" w:cs="Times New Roman"/>
          <w:b/>
          <w:bCs/>
          <w:color w:val="auto"/>
          <w:sz w:val="32"/>
          <w:szCs w:val="32"/>
          <w:highlight w:val="none"/>
        </w:rPr>
        <w:t>八、验收</w:t>
      </w:r>
      <w:bookmarkEnd w:id="240"/>
      <w:bookmarkEnd w:id="241"/>
      <w:bookmarkEnd w:id="242"/>
      <w:bookmarkEnd w:id="243"/>
      <w:bookmarkEnd w:id="244"/>
      <w:bookmarkEnd w:id="245"/>
      <w:bookmarkEnd w:id="246"/>
      <w:bookmarkEnd w:id="247"/>
      <w:bookmarkEnd w:id="248"/>
      <w:bookmarkEnd w:id="249"/>
    </w:p>
    <w:p w14:paraId="0BB16FA1">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39.</w:t>
      </w:r>
      <w:r>
        <w:rPr>
          <w:rFonts w:hint="eastAsia" w:ascii="Times New Roman" w:hAnsi="宋体" w:eastAsia="宋体" w:cs="Times New Roman"/>
          <w:b/>
          <w:color w:val="auto"/>
          <w:highlight w:val="none"/>
        </w:rPr>
        <w:t>验收</w:t>
      </w:r>
    </w:p>
    <w:p w14:paraId="3BE46DEB">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须承担由此发生的一切损失和费用，并接受相应的处理。</w:t>
      </w:r>
    </w:p>
    <w:p w14:paraId="2BF74664">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14:paraId="6283651E">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如有</w:t>
      </w:r>
      <w:r>
        <w:rPr>
          <w:rFonts w:hint="eastAsia" w:ascii="宋体" w:hAnsi="宋体" w:cs="宋体"/>
          <w:color w:val="auto"/>
          <w:highlight w:val="none"/>
          <w:lang w:eastAsia="zh-CN"/>
        </w:rPr>
        <w:t>）</w:t>
      </w:r>
      <w:r>
        <w:rPr>
          <w:rFonts w:hint="eastAsia" w:ascii="宋体" w:hAnsi="宋体" w:eastAsia="宋体" w:cs="宋体"/>
          <w:color w:val="auto"/>
          <w:highlight w:val="none"/>
        </w:rPr>
        <w:t>返还条件挂钩。履约验收的各项资料应当存档备查。</w:t>
      </w:r>
    </w:p>
    <w:p w14:paraId="7E5213F7">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支付采购资金。验收不合格的项目，采购人将依法及时处理。采购合同的履行、违约责任和解决争议的方式等适用《中华人民共和国民法典》。</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在履约过程中有政府采购法律法规规定的违法违规情形的，采购人应当及时报告本级财政部门。</w:t>
      </w:r>
    </w:p>
    <w:p w14:paraId="23994513">
      <w:pPr>
        <w:pStyle w:val="12"/>
        <w:snapToGrid w:val="0"/>
        <w:spacing w:line="400" w:lineRule="exact"/>
        <w:rPr>
          <w:rFonts w:hAnsi="宋体" w:eastAsia="宋体" w:cs="Times New Roman"/>
          <w:color w:val="auto"/>
          <w:highlight w:val="none"/>
        </w:rPr>
      </w:pPr>
    </w:p>
    <w:p w14:paraId="0BA8ACB6">
      <w:pPr>
        <w:pStyle w:val="4"/>
        <w:keepNext w:val="0"/>
        <w:keepLines w:val="0"/>
        <w:spacing w:line="360" w:lineRule="auto"/>
        <w:jc w:val="center"/>
        <w:rPr>
          <w:rFonts w:hint="eastAsia" w:ascii="Times New Roman" w:hAnsi="Times New Roman" w:eastAsia="宋体" w:cs="Times New Roman"/>
          <w:color w:val="auto"/>
          <w:highlight w:val="none"/>
        </w:rPr>
      </w:pPr>
      <w:bookmarkStart w:id="250" w:name="_八、其他事项"/>
      <w:bookmarkEnd w:id="250"/>
      <w:bookmarkStart w:id="251" w:name="_Toc13217"/>
      <w:bookmarkStart w:id="252" w:name="_Toc32163"/>
      <w:bookmarkStart w:id="253" w:name="_Toc24348"/>
      <w:bookmarkStart w:id="254" w:name="_Toc5795"/>
      <w:bookmarkStart w:id="255" w:name="_Toc16509"/>
      <w:bookmarkStart w:id="256" w:name="_Toc14814"/>
      <w:bookmarkStart w:id="257" w:name="_Toc13612"/>
      <w:bookmarkStart w:id="258" w:name="_Toc28972"/>
      <w:bookmarkStart w:id="259" w:name="_Toc31560"/>
      <w:bookmarkStart w:id="260" w:name="_Toc27249"/>
      <w:r>
        <w:rPr>
          <w:rFonts w:hint="eastAsia" w:ascii="Times New Roman" w:hAnsi="Times New Roman" w:eastAsia="宋体" w:cs="Times New Roman"/>
          <w:color w:val="auto"/>
          <w:highlight w:val="none"/>
        </w:rPr>
        <w:t>九、其他事项</w:t>
      </w:r>
      <w:bookmarkEnd w:id="251"/>
      <w:bookmarkEnd w:id="252"/>
      <w:bookmarkEnd w:id="253"/>
      <w:bookmarkEnd w:id="254"/>
      <w:bookmarkEnd w:id="255"/>
      <w:bookmarkEnd w:id="256"/>
      <w:bookmarkEnd w:id="257"/>
      <w:bookmarkEnd w:id="258"/>
      <w:bookmarkEnd w:id="259"/>
      <w:bookmarkEnd w:id="260"/>
    </w:p>
    <w:p w14:paraId="2496A7DD">
      <w:pPr>
        <w:spacing w:line="360" w:lineRule="auto"/>
        <w:ind w:firstLine="480" w:firstLineChars="200"/>
        <w:rPr>
          <w:rFonts w:ascii="黑体" w:hAnsi="黑体" w:eastAsia="黑体" w:cs="Times New Roman"/>
          <w:color w:val="auto"/>
          <w:sz w:val="24"/>
          <w:highlight w:val="none"/>
        </w:rPr>
      </w:pPr>
      <w:bookmarkStart w:id="261" w:name="_42.代理服务费"/>
      <w:bookmarkEnd w:id="261"/>
      <w:r>
        <w:rPr>
          <w:rFonts w:hint="eastAsia" w:ascii="黑体" w:hAnsi="黑体" w:eastAsia="黑体" w:cs="Times New Roman"/>
          <w:color w:val="auto"/>
          <w:sz w:val="24"/>
          <w:highlight w:val="none"/>
        </w:rPr>
        <w:t>40.</w:t>
      </w:r>
      <w:r>
        <w:rPr>
          <w:rFonts w:hint="eastAsia" w:ascii="黑体" w:hAnsi="黑体" w:eastAsia="黑体" w:cs="Times New Roman"/>
          <w:color w:val="auto"/>
          <w:sz w:val="24"/>
          <w:highlight w:val="none"/>
          <w:lang w:eastAsia="zh-CN"/>
        </w:rPr>
        <w:t>采购</w:t>
      </w:r>
      <w:r>
        <w:rPr>
          <w:rFonts w:hint="eastAsia" w:ascii="黑体" w:hAnsi="黑体" w:eastAsia="黑体" w:cs="Times New Roman"/>
          <w:color w:val="auto"/>
          <w:sz w:val="24"/>
          <w:highlight w:val="none"/>
        </w:rPr>
        <w:t>代理服务费</w:t>
      </w:r>
    </w:p>
    <w:p w14:paraId="297B48D9">
      <w:pPr>
        <w:spacing w:line="360" w:lineRule="auto"/>
        <w:ind w:firstLine="420" w:firstLineChars="200"/>
        <w:rPr>
          <w:rFonts w:hint="eastAsia" w:ascii="宋体" w:hAnsi="宋体" w:eastAsia="宋体" w:cs="Times New Roman"/>
          <w:b/>
          <w:color w:val="auto"/>
          <w:szCs w:val="21"/>
          <w:highlight w:val="none"/>
        </w:rPr>
      </w:pPr>
      <w:r>
        <w:rPr>
          <w:rFonts w:hint="eastAsia" w:ascii="宋体" w:hAnsi="宋体" w:cs="Times New Roman"/>
          <w:b w:val="0"/>
          <w:bCs/>
          <w:color w:val="auto"/>
          <w:szCs w:val="21"/>
          <w:highlight w:val="none"/>
          <w:lang w:val="en-US" w:eastAsia="zh-CN"/>
        </w:rPr>
        <w:t>40.1</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w:t>
      </w:r>
      <w:r>
        <w:rPr>
          <w:rFonts w:hint="eastAsia" w:ascii="宋体" w:hAnsi="宋体" w:cs="Times New Roman"/>
          <w:b w:val="0"/>
          <w:bCs/>
          <w:color w:val="auto"/>
          <w:szCs w:val="21"/>
          <w:highlight w:val="none"/>
          <w:lang w:eastAsia="zh-CN"/>
        </w:rPr>
        <w:t>费</w:t>
      </w:r>
      <w:r>
        <w:rPr>
          <w:rFonts w:hint="eastAsia" w:ascii="宋体" w:hAnsi="宋体" w:eastAsia="宋体" w:cs="Times New Roman"/>
          <w:b w:val="0"/>
          <w:bCs/>
          <w:color w:val="auto"/>
          <w:szCs w:val="21"/>
          <w:highlight w:val="none"/>
        </w:rPr>
        <w:t>收费标准及缴费账户详见“投标人须知前附表”，投标人为联合体的，可以由联合体中的一方或者多方共同</w:t>
      </w:r>
      <w:r>
        <w:rPr>
          <w:rFonts w:hint="eastAsia" w:ascii="宋体" w:hAnsi="宋体" w:cs="Times New Roman"/>
          <w:b w:val="0"/>
          <w:bCs/>
          <w:color w:val="auto"/>
          <w:szCs w:val="21"/>
          <w:highlight w:val="none"/>
          <w:lang w:eastAsia="zh-CN"/>
        </w:rPr>
        <w:t>缴</w:t>
      </w:r>
      <w:r>
        <w:rPr>
          <w:rFonts w:hint="eastAsia" w:ascii="宋体" w:hAnsi="宋体" w:eastAsia="宋体" w:cs="Times New Roman"/>
          <w:b w:val="0"/>
          <w:bCs/>
          <w:color w:val="auto"/>
          <w:szCs w:val="21"/>
          <w:highlight w:val="none"/>
        </w:rPr>
        <w:t>纳</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代理服务费。</w:t>
      </w:r>
    </w:p>
    <w:p w14:paraId="198C2C2A">
      <w:pPr>
        <w:pStyle w:val="5"/>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40.2</w:t>
      </w:r>
      <w:r>
        <w:rPr>
          <w:rFonts w:hint="eastAsia" w:ascii="宋体" w:hAnsi="宋体" w:eastAsia="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代理服务</w:t>
      </w:r>
      <w:r>
        <w:rPr>
          <w:rFonts w:hint="eastAsia" w:ascii="宋体" w:hAnsi="宋体" w:eastAsia="宋体" w:cs="宋体"/>
          <w:b w:val="0"/>
          <w:color w:val="auto"/>
          <w:sz w:val="21"/>
          <w:szCs w:val="21"/>
          <w:highlight w:val="none"/>
          <w:lang w:eastAsia="zh-CN"/>
        </w:rPr>
        <w:t>费</w:t>
      </w:r>
      <w:r>
        <w:rPr>
          <w:rFonts w:hint="eastAsia" w:ascii="宋体" w:hAnsi="宋体" w:eastAsia="宋体" w:cs="宋体"/>
          <w:b w:val="0"/>
          <w:color w:val="auto"/>
          <w:sz w:val="21"/>
          <w:szCs w:val="21"/>
          <w:highlight w:val="none"/>
        </w:rPr>
        <w:t>收费标准：</w:t>
      </w:r>
    </w:p>
    <w:tbl>
      <w:tblPr>
        <w:tblStyle w:val="20"/>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8BA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02FC852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2A23624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14:paraId="2E1F17B3">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noWrap w:val="0"/>
            <w:vAlign w:val="center"/>
          </w:tcPr>
          <w:p w14:paraId="312D8BA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noWrap w:val="0"/>
            <w:vAlign w:val="center"/>
          </w:tcPr>
          <w:p w14:paraId="5B2AC52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1F46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AFE781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0E77823D">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14:paraId="09767E4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14:paraId="565F07A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5113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6DB70A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582CC60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14:paraId="36B3E5B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14:paraId="7FACC98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767E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D8ABA1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4FC92984">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14:paraId="65F1C91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14:paraId="5114773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4E4E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0447BA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31BC3B3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14:paraId="559F6D4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14:paraId="687BE21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1C96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83E1A8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03B32F9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14:paraId="30C3A93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14:paraId="51528EB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540B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9E18CE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08AB6EA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14:paraId="43BBF35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14:paraId="48CE991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5E04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04ACAC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0A54D408">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14:paraId="62E1871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14:paraId="3EA24074">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7935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E34364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27A69682">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14:paraId="43A48CE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14:paraId="62740F6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2BD7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41778C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5630544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14:paraId="77202FF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14:paraId="4113DDEC">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5F04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E2FEC5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cs="宋体"/>
                <w:color w:val="auto"/>
                <w:szCs w:val="21"/>
                <w:highlight w:val="none"/>
                <w:lang w:val="en-US" w:eastAsia="zh-CN"/>
              </w:rPr>
              <w:t>元</w:t>
            </w:r>
            <w:r>
              <w:rPr>
                <w:rFonts w:hint="eastAsia" w:ascii="宋体" w:hAnsi="宋体" w:eastAsia="宋体" w:cs="宋体"/>
                <w:color w:val="auto"/>
                <w:szCs w:val="21"/>
                <w:highlight w:val="none"/>
              </w:rPr>
              <w:t>以上</w:t>
            </w:r>
          </w:p>
        </w:tc>
        <w:tc>
          <w:tcPr>
            <w:tcW w:w="1659" w:type="dxa"/>
            <w:noWrap w:val="0"/>
            <w:vAlign w:val="top"/>
          </w:tcPr>
          <w:p w14:paraId="5379812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14:paraId="5E01FAF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14:paraId="046377D0">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3E3577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14:paraId="478EB8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1312D0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429DD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14:paraId="3BEC44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 万元×l.5 ％＝ 1.5 万元</w:t>
      </w:r>
    </w:p>
    <w:p w14:paraId="5F2AE1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200 － 100 ）万元 ×0.8％＝0.8万元</w:t>
      </w:r>
    </w:p>
    <w:p w14:paraId="15A72958">
      <w:pPr>
        <w:pStyle w:val="12"/>
        <w:snapToGrid w:val="0"/>
        <w:spacing w:before="120" w:after="120"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合计收费＝ 1.5+0.8＝ 2.3（万元）</w:t>
      </w:r>
    </w:p>
    <w:p w14:paraId="288D92DA">
      <w:pPr>
        <w:pStyle w:val="13"/>
        <w:rPr>
          <w:rFonts w:hint="eastAsia"/>
          <w:color w:val="auto"/>
          <w:highlight w:val="none"/>
        </w:rPr>
      </w:pPr>
    </w:p>
    <w:p w14:paraId="55CD567F">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41. 需要补充的其他内容</w:t>
      </w:r>
    </w:p>
    <w:p w14:paraId="6CE158F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14:paraId="157E41E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14:paraId="5958D1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提供的服务的人员为中小企业依照《中华人民共和国劳动合同法》订立劳动合同的从业人员，不对其中涉及的货物的制造商和工程承建商作出要求的，享受本文件规定的中小企业扶持政策。</w:t>
      </w:r>
    </w:p>
    <w:p w14:paraId="228F9A5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41D80A9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14:paraId="271C54C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41.4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31926D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42.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14:paraId="081896E5">
      <w:pPr>
        <w:spacing w:line="580" w:lineRule="exact"/>
        <w:jc w:val="center"/>
        <w:rPr>
          <w:rFonts w:hint="eastAsia" w:ascii="宋体" w:hAnsi="宋体" w:eastAsia="宋体" w:cs="宋体"/>
          <w:color w:val="auto"/>
          <w:sz w:val="44"/>
          <w:szCs w:val="44"/>
          <w:highlight w:val="none"/>
        </w:rPr>
      </w:pPr>
    </w:p>
    <w:p w14:paraId="2777C305">
      <w:pPr>
        <w:spacing w:line="5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广西线上“政采贷”政策告知函</w:t>
      </w:r>
    </w:p>
    <w:p w14:paraId="062DACCB">
      <w:pPr>
        <w:spacing w:line="580" w:lineRule="exact"/>
        <w:ind w:firstLine="420" w:firstLineChars="200"/>
        <w:rPr>
          <w:rFonts w:hint="eastAsia" w:ascii="宋体" w:hAnsi="宋体" w:cs="宋体"/>
          <w:color w:val="auto"/>
          <w:szCs w:val="32"/>
          <w:highlight w:val="none"/>
        </w:rPr>
      </w:pPr>
    </w:p>
    <w:p w14:paraId="23BBB079">
      <w:pPr>
        <w:spacing w:line="580" w:lineRule="exact"/>
        <w:rPr>
          <w:rFonts w:hint="eastAsia" w:ascii="宋体" w:hAnsi="宋体" w:cs="宋体"/>
          <w:color w:val="auto"/>
          <w:szCs w:val="21"/>
          <w:highlight w:val="none"/>
        </w:rPr>
      </w:pPr>
      <w:r>
        <w:rPr>
          <w:rFonts w:hint="eastAsia" w:ascii="宋体" w:hAnsi="宋体" w:cs="宋体"/>
          <w:color w:val="auto"/>
          <w:szCs w:val="21"/>
          <w:highlight w:val="none"/>
        </w:rPr>
        <w:t>各供应商：</w:t>
      </w:r>
    </w:p>
    <w:p w14:paraId="00E1B523">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35033623">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cs="宋体"/>
          <w:color w:val="auto"/>
          <w:szCs w:val="21"/>
          <w:highlight w:val="none"/>
          <w:lang w:val="en-US" w:eastAsia="zh-CN"/>
        </w:rPr>
        <w:t>258</w:t>
      </w:r>
      <w:r>
        <w:rPr>
          <w:rFonts w:hint="eastAsia" w:ascii="宋体" w:hAnsi="宋体" w:cs="宋体"/>
          <w:color w:val="auto"/>
          <w:szCs w:val="21"/>
          <w:highlight w:val="none"/>
        </w:rPr>
        <w:t>号），按照双方自愿的原则提供便捷、优惠的贷款服务。</w:t>
      </w:r>
    </w:p>
    <w:p w14:paraId="15A4679A">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联系方式，可在中征应收账款融资服务平台查询</w:t>
      </w:r>
      <w:r>
        <w:rPr>
          <w:rFonts w:hint="eastAsia" w:ascii="宋体" w:hAnsi="宋体" w:cs="宋体"/>
          <w:color w:val="auto"/>
          <w:szCs w:val="21"/>
          <w:highlight w:val="none"/>
          <w:lang w:eastAsia="zh-CN"/>
        </w:rPr>
        <w:t>（网址：</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"https://www.crcrfsp.com/" </w:instrText>
      </w:r>
      <w:r>
        <w:rPr>
          <w:rFonts w:hint="eastAsia" w:ascii="宋体" w:hAnsi="宋体" w:cs="宋体"/>
          <w:color w:val="auto"/>
          <w:szCs w:val="21"/>
          <w:highlight w:val="none"/>
          <w:lang w:eastAsia="zh-CN"/>
        </w:rPr>
        <w:fldChar w:fldCharType="separate"/>
      </w:r>
      <w:r>
        <w:rPr>
          <w:rStyle w:val="25"/>
          <w:rFonts w:hint="eastAsia" w:ascii="宋体" w:hAnsi="宋体" w:eastAsia="宋体" w:cs="宋体"/>
          <w:color w:val="auto"/>
          <w:szCs w:val="21"/>
          <w:highlight w:val="none"/>
          <w:lang w:eastAsia="zh-CN"/>
        </w:rPr>
        <w:t>https://www.crcrfsp.com/</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，客服电话：</w:t>
      </w:r>
      <w:r>
        <w:rPr>
          <w:rFonts w:hint="eastAsia" w:ascii="宋体" w:hAnsi="宋体" w:cs="宋体"/>
          <w:color w:val="auto"/>
          <w:szCs w:val="21"/>
          <w:highlight w:val="none"/>
          <w:lang w:val="en-US" w:eastAsia="zh-CN"/>
        </w:rPr>
        <w:t>400-009-0001</w:t>
      </w:r>
      <w:r>
        <w:rPr>
          <w:rFonts w:hint="eastAsia" w:ascii="宋体" w:hAnsi="宋体" w:cs="宋体"/>
          <w:color w:val="auto"/>
          <w:szCs w:val="21"/>
          <w:highlight w:val="none"/>
          <w:lang w:eastAsia="zh-CN"/>
        </w:rPr>
        <w:t>）。</w:t>
      </w:r>
    </w:p>
    <w:p w14:paraId="47AB1596">
      <w:pPr>
        <w:numPr>
          <w:ilvl w:val="0"/>
          <w:numId w:val="1"/>
        </w:numPr>
        <w:spacing w:line="360" w:lineRule="auto"/>
        <w:ind w:firstLine="420" w:firstLineChars="200"/>
        <w:jc w:val="left"/>
        <w:rPr>
          <w:rFonts w:hint="eastAsia" w:ascii="Times New Roman" w:hAnsi="宋体" w:eastAsia="宋体" w:cs="Times New Roman"/>
          <w:color w:val="auto"/>
          <w:highlight w:val="none"/>
        </w:rPr>
      </w:pPr>
      <w:r>
        <w:rPr>
          <w:rFonts w:ascii="Times New Roman" w:hAnsi="宋体" w:eastAsia="宋体" w:cs="Times New Roman"/>
          <w:color w:val="auto"/>
          <w:highlight w:val="none"/>
        </w:rPr>
        <w:br w:type="page"/>
      </w:r>
      <w:bookmarkStart w:id="262" w:name="_Toc532545043"/>
    </w:p>
    <w:p w14:paraId="7432EA54">
      <w:pPr>
        <w:pStyle w:val="12"/>
        <w:jc w:val="center"/>
        <w:outlineLvl w:val="0"/>
        <w:rPr>
          <w:rFonts w:hint="eastAsia" w:ascii="Times New Roman" w:hAnsi="Times New Roman" w:eastAsia="宋体" w:cs="Times New Roman"/>
          <w:b/>
          <w:color w:val="auto"/>
          <w:sz w:val="36"/>
          <w:highlight w:val="none"/>
          <w:lang w:eastAsia="zh-CN"/>
        </w:rPr>
      </w:pPr>
      <w:bookmarkStart w:id="263" w:name="_Toc18631"/>
      <w:bookmarkStart w:id="264" w:name="_Toc24569"/>
      <w:bookmarkStart w:id="265" w:name="_Toc11694"/>
      <w:bookmarkStart w:id="266" w:name="_Toc2789"/>
      <w:bookmarkStart w:id="267" w:name="_Toc12751"/>
      <w:bookmarkStart w:id="268" w:name="_Toc31952"/>
      <w:bookmarkStart w:id="269" w:name="_Toc26567"/>
      <w:bookmarkStart w:id="270" w:name="_Toc14666"/>
      <w:bookmarkStart w:id="271" w:name="_Toc10118"/>
      <w:bookmarkStart w:id="272" w:name="_Toc10034"/>
      <w:bookmarkStart w:id="273" w:name="_Toc19117"/>
      <w:bookmarkStart w:id="274" w:name="_Toc28468"/>
      <w:bookmarkStart w:id="275" w:name="_Toc3584"/>
      <w:r>
        <w:rPr>
          <w:rFonts w:hint="eastAsia" w:ascii="Times New Roman" w:hAnsi="Times New Roman" w:eastAsia="宋体" w:cs="Times New Roman"/>
          <w:b/>
          <w:color w:val="auto"/>
          <w:sz w:val="36"/>
          <w:highlight w:val="none"/>
        </w:rPr>
        <w:t>第四章</w:t>
      </w:r>
      <w:r>
        <w:rPr>
          <w:rFonts w:ascii="Times New Roman" w:hAnsi="Times New Roman" w:eastAsia="宋体" w:cs="Times New Roman"/>
          <w:b/>
          <w:color w:val="auto"/>
          <w:sz w:val="36"/>
          <w:highlight w:val="none"/>
        </w:rPr>
        <w:t xml:space="preserve">  </w:t>
      </w:r>
      <w:bookmarkEnd w:id="262"/>
      <w:bookmarkEnd w:id="263"/>
      <w:bookmarkEnd w:id="264"/>
      <w:bookmarkEnd w:id="265"/>
      <w:bookmarkEnd w:id="266"/>
      <w:bookmarkEnd w:id="267"/>
      <w:bookmarkEnd w:id="268"/>
      <w:bookmarkEnd w:id="269"/>
      <w:bookmarkEnd w:id="270"/>
      <w:r>
        <w:rPr>
          <w:rFonts w:hint="eastAsia" w:ascii="Times New Roman" w:hAnsi="Times New Roman" w:cs="Times New Roman"/>
          <w:b/>
          <w:color w:val="auto"/>
          <w:sz w:val="36"/>
          <w:highlight w:val="none"/>
          <w:lang w:eastAsia="zh-CN"/>
        </w:rPr>
        <w:t>评标方法和评标标准</w:t>
      </w:r>
      <w:bookmarkEnd w:id="271"/>
      <w:bookmarkEnd w:id="272"/>
      <w:bookmarkEnd w:id="273"/>
      <w:bookmarkEnd w:id="274"/>
      <w:bookmarkEnd w:id="275"/>
    </w:p>
    <w:p w14:paraId="2206C0A2">
      <w:pPr>
        <w:pStyle w:val="12"/>
        <w:jc w:val="center"/>
        <w:outlineLvl w:val="1"/>
        <w:rPr>
          <w:rFonts w:ascii="Times New Roman" w:hAnsi="Times New Roman" w:eastAsia="宋体" w:cs="Times New Roman"/>
          <w:b/>
          <w:bCs/>
          <w:color w:val="auto"/>
          <w:sz w:val="32"/>
          <w:szCs w:val="32"/>
          <w:highlight w:val="none"/>
        </w:rPr>
      </w:pPr>
      <w:bookmarkStart w:id="276" w:name="_Toc20519"/>
      <w:bookmarkStart w:id="277" w:name="_Toc28945"/>
      <w:bookmarkStart w:id="278" w:name="_Toc12345"/>
      <w:bookmarkStart w:id="279" w:name="_Toc9604"/>
      <w:bookmarkStart w:id="280" w:name="_Toc6104"/>
      <w:bookmarkStart w:id="281" w:name="_Toc28074"/>
      <w:bookmarkStart w:id="282" w:name="_Toc5889"/>
      <w:bookmarkStart w:id="283" w:name="_Toc14342"/>
      <w:bookmarkStart w:id="284" w:name="_Toc3574"/>
      <w:bookmarkStart w:id="285" w:name="_Toc29945"/>
      <w:r>
        <w:rPr>
          <w:rFonts w:hint="eastAsia" w:ascii="Times New Roman" w:hAnsi="Times New Roman" w:eastAsia="宋体" w:cs="Times New Roman"/>
          <w:b/>
          <w:bCs/>
          <w:color w:val="auto"/>
          <w:sz w:val="32"/>
          <w:szCs w:val="32"/>
          <w:highlight w:val="none"/>
        </w:rPr>
        <w:t>第一节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评标方法</w:t>
      </w:r>
      <w:bookmarkEnd w:id="276"/>
      <w:bookmarkEnd w:id="277"/>
      <w:bookmarkEnd w:id="278"/>
      <w:bookmarkEnd w:id="279"/>
      <w:bookmarkEnd w:id="280"/>
      <w:bookmarkEnd w:id="281"/>
      <w:bookmarkEnd w:id="282"/>
      <w:bookmarkEnd w:id="283"/>
      <w:bookmarkEnd w:id="284"/>
      <w:bookmarkEnd w:id="285"/>
    </w:p>
    <w:p w14:paraId="72FDCC2D">
      <w:pPr>
        <w:pStyle w:val="12"/>
        <w:tabs>
          <w:tab w:val="left" w:pos="2472"/>
        </w:tabs>
        <w:spacing w:line="460" w:lineRule="exact"/>
        <w:ind w:firstLine="420" w:firstLineChars="200"/>
        <w:rPr>
          <w:rFonts w:eastAsia="宋体" w:cs="Times New Roman"/>
          <w:color w:val="auto"/>
          <w:szCs w:val="21"/>
          <w:highlight w:val="none"/>
        </w:rPr>
      </w:pPr>
      <w:r>
        <w:rPr>
          <w:rFonts w:hint="eastAsia" w:hAnsi="宋体" w:eastAsia="宋体" w:cs="宋体"/>
          <w:color w:val="auto"/>
          <w:szCs w:val="21"/>
          <w:highlight w:val="none"/>
        </w:rPr>
        <w:t>本项目采用</w:t>
      </w:r>
      <w:r>
        <w:rPr>
          <w:rFonts w:hint="eastAsia" w:hAnsi="宋体" w:eastAsia="宋体" w:cs="宋体"/>
          <w:color w:val="auto"/>
          <w:szCs w:val="21"/>
          <w:highlight w:val="none"/>
          <w:u w:val="single"/>
        </w:rPr>
        <w:t xml:space="preserve"> 以下勾选的方式</w:t>
      </w:r>
      <w:r>
        <w:rPr>
          <w:rFonts w:hint="eastAsia" w:hAnsi="宋体" w:eastAsia="宋体" w:cs="宋体"/>
          <w:color w:val="auto"/>
          <w:szCs w:val="21"/>
          <w:highlight w:val="none"/>
        </w:rPr>
        <w:t>进行评审。</w:t>
      </w:r>
    </w:p>
    <w:p w14:paraId="27C02B0D">
      <w:pPr>
        <w:pStyle w:val="12"/>
        <w:spacing w:line="360" w:lineRule="auto"/>
        <w:ind w:firstLine="420"/>
        <w:rPr>
          <w:rFonts w:hint="eastAsia" w:hAnsi="宋体" w:eastAsia="宋体" w:cs="Times New Roman"/>
          <w:color w:val="auto"/>
          <w:highlight w:val="none"/>
        </w:rPr>
      </w:pPr>
      <w:r>
        <w:rPr>
          <w:rFonts w:hint="eastAsia" w:hAnsi="宋体" w:eastAsia="宋体" w:cs="Times New Roman"/>
          <w:color w:val="auto"/>
          <w:szCs w:val="21"/>
          <w:highlight w:val="none"/>
        </w:rPr>
        <w:t>□最低评标价法，是指投标文件满足招标文件</w:t>
      </w:r>
      <w:r>
        <w:rPr>
          <w:rFonts w:hint="eastAsia" w:hAnsi="宋体" w:eastAsia="宋体" w:cs="Times New Roman"/>
          <w:color w:val="auto"/>
          <w:highlight w:val="none"/>
        </w:rPr>
        <w:t>全部实质性要求，且投标报价最低的投标人为中标候选人的评标方法。</w:t>
      </w:r>
    </w:p>
    <w:p w14:paraId="6C84D1D3">
      <w:pPr>
        <w:autoSpaceDE w:val="0"/>
        <w:autoSpaceDN w:val="0"/>
        <w:adjustRightInd w:val="0"/>
        <w:spacing w:line="440" w:lineRule="exact"/>
        <w:ind w:firstLine="420" w:firstLineChars="200"/>
        <w:rPr>
          <w:rFonts w:hint="eastAsia" w:ascii="宋体" w:hAnsi="宋体" w:eastAsia="宋体" w:cs="Times New Roman"/>
          <w:color w:val="auto"/>
          <w:sz w:val="24"/>
          <w:highlight w:val="none"/>
        </w:rPr>
      </w:pPr>
      <w:r>
        <w:rPr>
          <w:rFonts w:hint="eastAsia" w:hAnsi="宋体" w:cs="Times New Roman"/>
          <w:color w:val="auto"/>
          <w:highlight w:val="none"/>
          <w:lang w:eastAsia="zh-CN"/>
        </w:rPr>
        <w:t>☑</w:t>
      </w:r>
      <w:r>
        <w:rPr>
          <w:rFonts w:hint="eastAsia" w:ascii="Times New Roman" w:hAnsi="宋体" w:eastAsia="宋体" w:cs="Times New Roman"/>
          <w:color w:val="auto"/>
          <w:highlight w:val="none"/>
        </w:rPr>
        <w:t>综合评分法，</w:t>
      </w:r>
      <w:r>
        <w:rPr>
          <w:rFonts w:hint="eastAsia" w:ascii="宋体" w:hAnsi="宋体" w:eastAsia="宋体" w:cs="Times New Roman"/>
          <w:color w:val="auto"/>
          <w:szCs w:val="20"/>
          <w:highlight w:val="none"/>
        </w:rPr>
        <w:t>是指投标文件满足招标文件全部实质性要求，且按照评审因素的量化指标评审得分最高的投标人为中标候选人的评标方法。评标委员会将对各投标人的</w:t>
      </w:r>
      <w:r>
        <w:rPr>
          <w:rFonts w:hint="eastAsia" w:ascii="宋体" w:hAnsi="宋体" w:cs="Times New Roman"/>
          <w:color w:val="auto"/>
          <w:szCs w:val="20"/>
          <w:highlight w:val="none"/>
          <w:lang w:eastAsia="zh-CN"/>
        </w:rPr>
        <w:t>投标文件</w:t>
      </w:r>
      <w:r>
        <w:rPr>
          <w:rFonts w:hint="eastAsia" w:ascii="宋体" w:hAnsi="宋体" w:eastAsia="宋体" w:cs="Times New Roman"/>
          <w:color w:val="auto"/>
          <w:szCs w:val="20"/>
          <w:highlight w:val="none"/>
        </w:rPr>
        <w:t>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w:t>
      </w:r>
      <w:r>
        <w:rPr>
          <w:rFonts w:hint="eastAsia" w:ascii="宋体" w:hAnsi="宋体" w:cs="Times New Roman"/>
          <w:color w:val="auto"/>
          <w:szCs w:val="20"/>
          <w:highlight w:val="none"/>
          <w:lang w:eastAsia="zh-CN"/>
        </w:rPr>
        <w:t>“投标人须知前附表”规定的方式排列</w:t>
      </w:r>
      <w:r>
        <w:rPr>
          <w:rFonts w:hint="eastAsia" w:ascii="宋体" w:hAnsi="宋体" w:eastAsia="宋体" w:cs="Times New Roman"/>
          <w:color w:val="auto"/>
          <w:szCs w:val="20"/>
          <w:highlight w:val="none"/>
        </w:rPr>
        <w:t xml:space="preserve">。 </w:t>
      </w:r>
    </w:p>
    <w:p w14:paraId="0B44C7ED">
      <w:pPr>
        <w:pStyle w:val="12"/>
        <w:spacing w:line="360" w:lineRule="auto"/>
        <w:ind w:firstLine="420"/>
        <w:rPr>
          <w:rFonts w:hint="eastAsia" w:hAnsi="宋体" w:eastAsia="宋体" w:cs="Times New Roman"/>
          <w:color w:val="auto"/>
          <w:highlight w:val="none"/>
        </w:rPr>
      </w:pPr>
    </w:p>
    <w:p w14:paraId="22172F71">
      <w:pPr>
        <w:pStyle w:val="12"/>
        <w:tabs>
          <w:tab w:val="left" w:pos="2472"/>
        </w:tabs>
        <w:spacing w:line="460" w:lineRule="exact"/>
        <w:jc w:val="center"/>
        <w:outlineLvl w:val="1"/>
        <w:rPr>
          <w:rFonts w:hint="eastAsia" w:ascii="Times New Roman" w:hAnsi="Times New Roman" w:eastAsia="宋体" w:cs="Times New Roman"/>
          <w:b/>
          <w:bCs/>
          <w:color w:val="auto"/>
          <w:sz w:val="32"/>
          <w:szCs w:val="32"/>
          <w:highlight w:val="none"/>
        </w:rPr>
      </w:pPr>
      <w:bookmarkStart w:id="286" w:name="_Toc1643"/>
      <w:bookmarkStart w:id="287" w:name="_Toc18477"/>
      <w:bookmarkStart w:id="288" w:name="_Toc4190"/>
      <w:bookmarkStart w:id="289" w:name="_Toc24507"/>
      <w:bookmarkStart w:id="290" w:name="_Toc9259"/>
      <w:bookmarkStart w:id="291" w:name="_Toc10545"/>
      <w:bookmarkStart w:id="292" w:name="_Toc9023"/>
      <w:bookmarkStart w:id="293" w:name="_Toc23151"/>
      <w:bookmarkStart w:id="294" w:name="_Toc588"/>
      <w:bookmarkStart w:id="295" w:name="_Toc30114"/>
      <w:r>
        <w:rPr>
          <w:rFonts w:hint="eastAsia" w:ascii="Times New Roman" w:hAnsi="Times New Roman" w:eastAsia="宋体" w:cs="Times New Roman"/>
          <w:b/>
          <w:bCs/>
          <w:color w:val="auto"/>
          <w:sz w:val="32"/>
          <w:szCs w:val="32"/>
          <w:highlight w:val="none"/>
        </w:rPr>
        <w:t>第二节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评标程序</w:t>
      </w:r>
      <w:bookmarkEnd w:id="286"/>
      <w:bookmarkEnd w:id="287"/>
      <w:bookmarkEnd w:id="288"/>
      <w:bookmarkEnd w:id="289"/>
      <w:bookmarkEnd w:id="290"/>
      <w:bookmarkEnd w:id="291"/>
      <w:bookmarkEnd w:id="292"/>
      <w:bookmarkEnd w:id="293"/>
      <w:bookmarkEnd w:id="294"/>
      <w:bookmarkEnd w:id="295"/>
    </w:p>
    <w:p w14:paraId="2C89FC22">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1.符合性审查</w:t>
      </w:r>
    </w:p>
    <w:p w14:paraId="65ADE9C7">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评标委员会应当对符合资格的投标人的投标文件进行投标报价、商务、技术等实质性内容符合性审查，以确定其是否满足招标文件的实质性要求。</w:t>
      </w:r>
    </w:p>
    <w:p w14:paraId="174762EB">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2.符合性审查不通过而导致投标无效的情形</w:t>
      </w:r>
    </w:p>
    <w:p w14:paraId="5B5540A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投标人的投标文件中存在对招标文件的任何实质性要求和条件的负偏离，将被视为投标无效。</w:t>
      </w:r>
    </w:p>
    <w:p w14:paraId="70A81EE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2.1在报价评审时，如发现下列情形之一的，将被视为投标无效：</w:t>
      </w:r>
    </w:p>
    <w:p w14:paraId="4B6F4C0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（1）投标文件未提供“投标人须知前附表”第13.1条规定中“必须提供”的文件资料的;</w:t>
      </w:r>
    </w:p>
    <w:p w14:paraId="4C0FEE2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（2）未采用人民币报价或者未按照招标文件标明的币种报价的；</w:t>
      </w:r>
    </w:p>
    <w:p w14:paraId="4899CF3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（3）报价超出招标文件规定最高限价，或者超出采购预算金额的；</w:t>
      </w:r>
    </w:p>
    <w:p w14:paraId="2541793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（4）投标人未就所投</w:t>
      </w:r>
      <w:r>
        <w:rPr>
          <w:rFonts w:hint="eastAsia" w:ascii="宋体" w:hAnsi="宋体" w:cs="宋体"/>
          <w:color w:val="auto"/>
          <w:szCs w:val="21"/>
          <w:highlight w:val="none"/>
        </w:rPr>
        <w:t>分标</w:t>
      </w:r>
      <w:r>
        <w:rPr>
          <w:rFonts w:hint="eastAsia" w:ascii="宋体" w:hAnsi="宋体" w:eastAsia="宋体" w:cs="Times New Roman"/>
          <w:color w:val="auto"/>
          <w:szCs w:val="21"/>
          <w:highlight w:val="none"/>
        </w:rPr>
        <w:t>进行报价或者存在漏项报价；投标人未就所投</w:t>
      </w:r>
      <w:r>
        <w:rPr>
          <w:rFonts w:hint="eastAsia" w:ascii="宋体" w:hAnsi="宋体" w:cs="宋体"/>
          <w:color w:val="auto"/>
          <w:szCs w:val="21"/>
          <w:highlight w:val="none"/>
        </w:rPr>
        <w:t>分标</w:t>
      </w:r>
      <w:r>
        <w:rPr>
          <w:rFonts w:hint="eastAsia" w:ascii="宋体" w:hAnsi="宋体" w:eastAsia="宋体" w:cs="Times New Roman"/>
          <w:color w:val="auto"/>
          <w:szCs w:val="21"/>
          <w:highlight w:val="none"/>
        </w:rPr>
        <w:t>的单项内容作唯一报价；投标人未就所投</w:t>
      </w:r>
      <w:r>
        <w:rPr>
          <w:rFonts w:hint="eastAsia" w:ascii="宋体" w:hAnsi="宋体" w:cs="宋体"/>
          <w:color w:val="auto"/>
          <w:szCs w:val="21"/>
          <w:highlight w:val="none"/>
        </w:rPr>
        <w:t>分标</w:t>
      </w:r>
      <w:r>
        <w:rPr>
          <w:rFonts w:hint="eastAsia" w:ascii="宋体" w:hAnsi="宋体" w:eastAsia="宋体" w:cs="Times New Roman"/>
          <w:color w:val="auto"/>
          <w:szCs w:val="21"/>
          <w:highlight w:val="none"/>
        </w:rPr>
        <w:t>的全部内容作唯一总价报价；存在有选择、有条件报价的（招标文件允许有备选方案或者其他约定的除外）；</w:t>
      </w:r>
    </w:p>
    <w:p w14:paraId="09192CC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（5）修正后的报价，投标人不确认的；</w:t>
      </w:r>
    </w:p>
    <w:p w14:paraId="0BDFEF3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（6）投标人属于本章第5条第（2）项情形的。</w:t>
      </w:r>
    </w:p>
    <w:p w14:paraId="47E4F3B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2.2在商务评审时，如发现下列情形之一的，将被视为投标无效：</w:t>
      </w:r>
    </w:p>
    <w:p w14:paraId="4D912BD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（1）投标文件未按招标文件要求签署、盖章的；</w:t>
      </w:r>
    </w:p>
    <w:p w14:paraId="373668C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（2）委托代理人未能出具有效身份证明或者出具的身份证明与授权委托书中的信息不符的；</w:t>
      </w:r>
    </w:p>
    <w:p w14:paraId="73E6176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（3）为无效投标保证金的或者未按照招标文件的规定提交投标保证金的； </w:t>
      </w:r>
    </w:p>
    <w:p w14:paraId="01C11F82">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w:t>
      </w:r>
      <w:r>
        <w:rPr>
          <w:rFonts w:hint="eastAsia" w:ascii="宋体" w:hAnsi="宋体" w:cs="宋体"/>
          <w:color w:val="auto"/>
          <w:szCs w:val="21"/>
          <w:highlight w:val="none"/>
        </w:rPr>
        <w:t>投标有效期</w:t>
      </w:r>
      <w:r>
        <w:rPr>
          <w:rFonts w:hint="eastAsia" w:ascii="宋体" w:hAnsi="宋体" w:cs="宋体"/>
          <w:color w:val="auto"/>
          <w:szCs w:val="21"/>
          <w:highlight w:val="none"/>
          <w:lang w:eastAsia="zh-CN"/>
        </w:rPr>
        <w:t>不满足</w:t>
      </w:r>
      <w:r>
        <w:rPr>
          <w:rFonts w:hint="eastAsia" w:ascii="宋体" w:hAnsi="宋体" w:cs="宋体"/>
          <w:color w:val="auto"/>
          <w:szCs w:val="21"/>
          <w:highlight w:val="none"/>
        </w:rPr>
        <w:t>招标文件</w:t>
      </w:r>
      <w:r>
        <w:rPr>
          <w:rFonts w:hint="eastAsia" w:ascii="宋体" w:hAnsi="宋体" w:cs="宋体"/>
          <w:color w:val="auto"/>
          <w:szCs w:val="21"/>
          <w:highlight w:val="none"/>
          <w:lang w:eastAsia="zh-CN"/>
        </w:rPr>
        <w:t>要求</w:t>
      </w:r>
      <w:r>
        <w:rPr>
          <w:rFonts w:hint="eastAsia" w:ascii="宋体" w:hAnsi="宋体" w:cs="宋体"/>
          <w:color w:val="auto"/>
          <w:szCs w:val="21"/>
          <w:highlight w:val="none"/>
        </w:rPr>
        <w:t>的</w:t>
      </w:r>
      <w:r>
        <w:rPr>
          <w:rFonts w:hint="eastAsia" w:ascii="宋体" w:hAnsi="宋体" w:cs="Times New Roman"/>
          <w:color w:val="auto"/>
          <w:szCs w:val="21"/>
          <w:highlight w:val="none"/>
          <w:lang w:val="en-US" w:eastAsia="zh-CN"/>
        </w:rPr>
        <w:t>；</w:t>
      </w:r>
    </w:p>
    <w:p w14:paraId="37C2956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）投标文件的实质性内容未使用中文表述、使用计量单位不符合招标文件要求的；</w:t>
      </w:r>
    </w:p>
    <w:p w14:paraId="0CEF442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）投标文件中的文件资料因填写不齐全或者内容虚假或者出现其他情形而导致被评标委员会认定无效的；</w:t>
      </w:r>
    </w:p>
    <w:p w14:paraId="5AF6E80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）投标文件含有采购人不能接受的附加条件的；</w:t>
      </w:r>
    </w:p>
    <w:p w14:paraId="13EEA0A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w:t>
      </w:r>
      <w:r>
        <w:rPr>
          <w:rFonts w:hint="eastAsia" w:ascii="宋体" w:hAnsi="宋体" w:cs="宋体"/>
          <w:color w:val="auto"/>
          <w:szCs w:val="21"/>
          <w:highlight w:val="none"/>
          <w:lang w:val="en-US" w:eastAsia="zh-CN"/>
        </w:rPr>
        <w:t>不满足</w:t>
      </w:r>
      <w:r>
        <w:rPr>
          <w:rFonts w:hint="eastAsia" w:ascii="宋体" w:hAnsi="宋体" w:eastAsia="宋体" w:cs="Times New Roman"/>
          <w:color w:val="auto"/>
          <w:szCs w:val="21"/>
          <w:highlight w:val="none"/>
        </w:rPr>
        <w:t>招标文件实质性要求的；</w:t>
      </w:r>
    </w:p>
    <w:p w14:paraId="536B3AF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rPr>
        <w:t>）属于投标人须知正文第9.2条情形的；</w:t>
      </w:r>
    </w:p>
    <w:p w14:paraId="7209A27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0</w:t>
      </w:r>
      <w:r>
        <w:rPr>
          <w:rFonts w:hint="eastAsia" w:ascii="宋体" w:hAnsi="宋体" w:eastAsia="宋体" w:cs="Times New Roman"/>
          <w:color w:val="auto"/>
          <w:szCs w:val="21"/>
          <w:highlight w:val="none"/>
        </w:rPr>
        <w:t>）法律、法规和招标文件规定的其他无效情形。</w:t>
      </w:r>
    </w:p>
    <w:p w14:paraId="305414A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2.3在技术评审时，如发现下列情形之一的，将被视为投标无效：</w:t>
      </w:r>
    </w:p>
    <w:p w14:paraId="49094B30">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不满足</w:t>
      </w:r>
      <w:r>
        <w:rPr>
          <w:rFonts w:hint="eastAsia" w:ascii="宋体" w:hAnsi="宋体" w:cs="宋体"/>
          <w:color w:val="auto"/>
          <w:szCs w:val="21"/>
          <w:highlight w:val="none"/>
        </w:rPr>
        <w:t>招标文件实质性要求的</w:t>
      </w:r>
      <w:r>
        <w:rPr>
          <w:rFonts w:hint="eastAsia" w:ascii="宋体" w:hAnsi="宋体" w:cs="宋体"/>
          <w:color w:val="auto"/>
          <w:szCs w:val="21"/>
          <w:highlight w:val="none"/>
          <w:lang w:val="en-US" w:eastAsia="zh-CN"/>
        </w:rPr>
        <w:t>；</w:t>
      </w:r>
    </w:p>
    <w:p w14:paraId="60110A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）虚假投标，或者出现其他情形而导致被评标委员会认定无效的；</w:t>
      </w:r>
    </w:p>
    <w:p w14:paraId="4561B0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提供技术方案的，投标技术方案不明确，招标文件未允许但存在一个或者一个以上备选（替代）投标方案的。</w:t>
      </w:r>
    </w:p>
    <w:p w14:paraId="46E52C78">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3.澄清、说明或者补正</w:t>
      </w:r>
    </w:p>
    <w:p w14:paraId="10248D3A">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对投标文件中含义不明确、同类问题表述不一致或者有明显文字和计算错误的内容，评标委员会应在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发布电子澄清函，要求投标人在规定时间内作出必要的澄清、说明或者补正。投标人在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接收到电子澄清函后根据澄清函内容上传PDF格式回函，电子澄清答复函使用CA证书加盖</w:t>
      </w:r>
      <w:r>
        <w:rPr>
          <w:rFonts w:hint="eastAsia" w:ascii="宋体" w:hAnsi="宋体" w:cs="Courier New"/>
          <w:color w:val="auto"/>
          <w:szCs w:val="21"/>
          <w:highlight w:val="none"/>
          <w:lang w:eastAsia="zh-CN"/>
        </w:rPr>
        <w:t>投标人</w:t>
      </w:r>
      <w:r>
        <w:rPr>
          <w:rFonts w:hint="eastAsia" w:ascii="宋体" w:hAnsi="宋体" w:eastAsia="宋体" w:cs="Courier New"/>
          <w:color w:val="auto"/>
          <w:szCs w:val="21"/>
          <w:highlight w:val="none"/>
        </w:rPr>
        <w:t>公章后在线上传至评标委员会。投标人的澄清、说明或者补正不得超出投标文件的范围或者改变投标文件的实质性内容。投标人未在规定时间内进行澄清、说明或者补正的，有可能对评审产生影响。</w:t>
      </w:r>
    </w:p>
    <w:p w14:paraId="553607E8">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4D36612">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4.投标文件修正</w:t>
      </w:r>
    </w:p>
    <w:p w14:paraId="66C98B4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4.1投标文件报价出现前后不一致的，按照下列规定修正： </w:t>
      </w:r>
    </w:p>
    <w:p w14:paraId="431B175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（1）广西政府采购云平台电子开标大厅中的“开标记录表”内容与电子版投标文件中相应内容不一致的，以广西政府采购云平台电子开标大厅中的“开标记录表”为准；</w:t>
      </w:r>
    </w:p>
    <w:p w14:paraId="4450648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45E146D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0B3A263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7B6CA405">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同时出现两种以上不一致的，按照以上（</w:t>
      </w:r>
      <w:r>
        <w:rPr>
          <w:rFonts w:ascii="Times New Roman" w:hAnsi="宋体" w:eastAsia="宋体" w:cs="Times New Roman"/>
          <w:color w:val="auto"/>
          <w:highlight w:val="none"/>
        </w:rPr>
        <w:t>1</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4</w:t>
      </w:r>
      <w:r>
        <w:rPr>
          <w:rFonts w:hint="eastAsia" w:ascii="Times New Roman" w:hAnsi="宋体" w:eastAsia="宋体" w:cs="Times New Roman"/>
          <w:color w:val="auto"/>
          <w:highlight w:val="none"/>
        </w:rPr>
        <w:t>）规定的顺序修正。修正后的报价经投标人确认后产生约束力，投标人不确认的，其投标无效。</w:t>
      </w:r>
    </w:p>
    <w:p w14:paraId="1859E29C">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4.2经投标人确认修正后的报价若超过采购预算金额或者最高限价，投标人的投标文件作无效投标处理。</w:t>
      </w:r>
    </w:p>
    <w:p w14:paraId="4C4D9DE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4.3经投标人确认修正后的报价作为签订合同的依据，并以此报价计算价格分。</w:t>
      </w:r>
    </w:p>
    <w:p w14:paraId="7BFC20E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5.比较与评价</w:t>
      </w:r>
    </w:p>
    <w:p w14:paraId="463F42D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5.1评标委员会按照招标文件中规定的评标方法和评标标准，对符合性审查合格的投标文件进行商务和技术评估，综合比较与评价。</w:t>
      </w:r>
    </w:p>
    <w:p w14:paraId="38415D2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5.2评标委员会</w:t>
      </w:r>
      <w:r>
        <w:rPr>
          <w:rFonts w:hint="eastAsia" w:ascii="宋体" w:hAnsi="宋体" w:eastAsia="宋体" w:cs="宋体"/>
          <w:color w:val="auto"/>
          <w:highlight w:val="none"/>
          <w:lang w:eastAsia="zh-CN"/>
        </w:rPr>
        <w:t>各成员</w:t>
      </w:r>
      <w:r>
        <w:rPr>
          <w:rFonts w:hint="eastAsia" w:ascii="宋体" w:hAnsi="宋体" w:eastAsia="宋体" w:cs="宋体"/>
          <w:color w:val="auto"/>
          <w:highlight w:val="none"/>
        </w:rPr>
        <w:t>独立对每个投标人的投标文件进行评价，并汇总每个投标人的得分。</w:t>
      </w:r>
    </w:p>
    <w:p w14:paraId="065B7541">
      <w:pPr>
        <w:widowControl/>
        <w:numPr>
          <w:ilvl w:val="0"/>
          <w:numId w:val="2"/>
        </w:numPr>
        <w:spacing w:after="15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w:t>
      </w:r>
      <w:r>
        <w:rPr>
          <w:rFonts w:hint="eastAsia" w:ascii="宋体" w:hAnsi="宋体" w:cs="宋体"/>
          <w:color w:val="auto"/>
          <w:highlight w:val="none"/>
          <w:lang w:val="en-US" w:eastAsia="zh-CN"/>
        </w:rPr>
        <w:t>标</w:t>
      </w:r>
      <w:r>
        <w:rPr>
          <w:rFonts w:hint="eastAsia" w:ascii="宋体" w:hAnsi="宋体" w:eastAsia="宋体" w:cs="宋体"/>
          <w:color w:val="auto"/>
          <w:highlight w:val="none"/>
        </w:rPr>
        <w:t>委员会成员要根据政府采购法律法规和</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文件所载明的评</w:t>
      </w:r>
      <w:r>
        <w:rPr>
          <w:rFonts w:hint="eastAsia" w:ascii="宋体" w:hAnsi="宋体" w:eastAsia="宋体" w:cs="宋体"/>
          <w:color w:val="auto"/>
          <w:highlight w:val="none"/>
          <w:lang w:eastAsia="zh-CN"/>
        </w:rPr>
        <w:t>标</w:t>
      </w:r>
      <w:r>
        <w:rPr>
          <w:rFonts w:hint="eastAsia" w:ascii="宋体" w:hAnsi="宋体" w:eastAsia="宋体" w:cs="宋体"/>
          <w:color w:val="auto"/>
          <w:highlight w:val="none"/>
        </w:rPr>
        <w:t>方法、标准进行评审。对</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的价格分等客观评分项的评分应当一致，对其他需要借助专业知识评判的主观评分项，应当严格按照评分细则公正评分。</w:t>
      </w:r>
    </w:p>
    <w:p w14:paraId="6A8CE115">
      <w:pPr>
        <w:widowControl/>
        <w:numPr>
          <w:ilvl w:val="0"/>
          <w:numId w:val="2"/>
        </w:numPr>
        <w:spacing w:after="150" w:line="360" w:lineRule="auto"/>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24BF16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 xml:space="preserve">①采购评审中出现下列情形之一的，评标委员会应当启动异常低价投标审查程序： </w:t>
      </w:r>
    </w:p>
    <w:p w14:paraId="2401F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cs="宋体"/>
          <w:i w:val="0"/>
          <w:iCs w:val="0"/>
          <w:caps w:val="0"/>
          <w:color w:val="auto"/>
          <w:spacing w:val="0"/>
          <w:sz w:val="21"/>
          <w:szCs w:val="21"/>
          <w:highlight w:val="none"/>
          <w:shd w:val="clear" w:color="auto" w:fill="FFFFFF"/>
          <w:lang w:val="en-US" w:eastAsia="zh-CN"/>
        </w:rPr>
        <w:t>A.</w:t>
      </w:r>
      <w:r>
        <w:rPr>
          <w:rFonts w:hint="eastAsia" w:ascii="宋体" w:hAnsi="宋体" w:eastAsia="宋体" w:cs="宋体"/>
          <w:i w:val="0"/>
          <w:iCs w:val="0"/>
          <w:caps w:val="0"/>
          <w:color w:val="auto"/>
          <w:spacing w:val="0"/>
          <w:sz w:val="21"/>
          <w:szCs w:val="21"/>
          <w:highlight w:val="none"/>
          <w:shd w:val="clear" w:color="auto" w:fill="FFFFFF"/>
        </w:rPr>
        <w:t xml:space="preserve">投标报价低于全部通过符合性审查投标人投标报价平均值50%的，即投标报价＜全部通过符合性审查投标人投标报价平均值×50%； </w:t>
      </w:r>
    </w:p>
    <w:p w14:paraId="0473E3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cs="宋体"/>
          <w:i w:val="0"/>
          <w:iCs w:val="0"/>
          <w:caps w:val="0"/>
          <w:color w:val="auto"/>
          <w:spacing w:val="0"/>
          <w:sz w:val="21"/>
          <w:szCs w:val="21"/>
          <w:highlight w:val="none"/>
          <w:shd w:val="clear" w:color="auto" w:fill="FFFFFF"/>
          <w:lang w:val="en-US" w:eastAsia="zh-CN"/>
        </w:rPr>
        <w:t>B.</w:t>
      </w:r>
      <w:r>
        <w:rPr>
          <w:rFonts w:hint="eastAsia" w:ascii="宋体" w:hAnsi="宋体" w:eastAsia="宋体" w:cs="宋体"/>
          <w:i w:val="0"/>
          <w:iCs w:val="0"/>
          <w:caps w:val="0"/>
          <w:color w:val="auto"/>
          <w:spacing w:val="0"/>
          <w:sz w:val="21"/>
          <w:szCs w:val="21"/>
          <w:highlight w:val="none"/>
          <w:shd w:val="clear" w:color="auto" w:fill="FFFFFF"/>
        </w:rPr>
        <w:t xml:space="preserve">投标报价低于通过符合性审查的次低报价投标人投标报价50%的，即投标报价＜通过符合性审查的次低报价投标人投标报价×50%； </w:t>
      </w:r>
    </w:p>
    <w:p w14:paraId="53AE07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cs="宋体"/>
          <w:i w:val="0"/>
          <w:iCs w:val="0"/>
          <w:caps w:val="0"/>
          <w:color w:val="auto"/>
          <w:spacing w:val="0"/>
          <w:sz w:val="21"/>
          <w:szCs w:val="21"/>
          <w:highlight w:val="none"/>
          <w:shd w:val="clear" w:color="auto" w:fill="FFFFFF"/>
          <w:lang w:val="en-US" w:eastAsia="zh-CN"/>
        </w:rPr>
        <w:t>C.</w:t>
      </w:r>
      <w:r>
        <w:rPr>
          <w:rFonts w:hint="eastAsia" w:ascii="宋体" w:hAnsi="宋体" w:eastAsia="宋体" w:cs="宋体"/>
          <w:i w:val="0"/>
          <w:iCs w:val="0"/>
          <w:caps w:val="0"/>
          <w:color w:val="auto"/>
          <w:spacing w:val="0"/>
          <w:sz w:val="21"/>
          <w:szCs w:val="21"/>
          <w:highlight w:val="none"/>
          <w:shd w:val="clear" w:color="auto" w:fill="FFFFFF"/>
        </w:rPr>
        <w:t>投标报价低于采购项目最高限价45%的，即投标报价＜采购项目最高限价×45%；</w:t>
      </w:r>
    </w:p>
    <w:p w14:paraId="4B546A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cs="宋体"/>
          <w:i w:val="0"/>
          <w:iCs w:val="0"/>
          <w:caps w:val="0"/>
          <w:color w:val="auto"/>
          <w:spacing w:val="0"/>
          <w:sz w:val="21"/>
          <w:szCs w:val="21"/>
          <w:highlight w:val="none"/>
          <w:shd w:val="clear" w:color="auto" w:fill="FFFFFF"/>
          <w:lang w:val="en-US" w:eastAsia="zh-CN"/>
        </w:rPr>
        <w:t>D.</w:t>
      </w:r>
      <w:r>
        <w:rPr>
          <w:rFonts w:hint="eastAsia" w:ascii="宋体" w:hAnsi="宋体" w:eastAsia="宋体" w:cs="宋体"/>
          <w:i w:val="0"/>
          <w:iCs w:val="0"/>
          <w:caps w:val="0"/>
          <w:color w:val="auto"/>
          <w:spacing w:val="0"/>
          <w:sz w:val="21"/>
          <w:szCs w:val="21"/>
          <w:highlight w:val="none"/>
          <w:shd w:val="clear" w:color="auto" w:fill="FFFFFF"/>
        </w:rPr>
        <w:t>评标委员会基于专业判断，认为投标人报价过低，有可能影响产品质量或者不能诚信履约的其他情形。</w:t>
      </w:r>
    </w:p>
    <w:p w14:paraId="230D3F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相关法律法规对投标人报价有规定的，从其规定。</w:t>
      </w:r>
    </w:p>
    <w:p w14:paraId="1745C6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 xml:space="preserve"> </w:t>
      </w:r>
      <w:r>
        <w:rPr>
          <w:rFonts w:hint="eastAsia" w:ascii="宋体" w:hAnsi="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②</w:t>
      </w:r>
      <w:bookmarkStart w:id="296" w:name="OLE_LINK6"/>
      <w:r>
        <w:rPr>
          <w:rFonts w:hint="eastAsia" w:ascii="宋体" w:hAnsi="宋体" w:eastAsia="宋体" w:cs="宋体"/>
          <w:i w:val="0"/>
          <w:iCs w:val="0"/>
          <w:caps w:val="0"/>
          <w:color w:val="auto"/>
          <w:spacing w:val="0"/>
          <w:sz w:val="21"/>
          <w:szCs w:val="21"/>
          <w:highlight w:val="none"/>
          <w:shd w:val="clear" w:color="auto" w:fill="FFFFFF"/>
        </w:rPr>
        <w:t>评标委员会启动异常低价投标审查后，属于上述A项至D项情形的，应当要求相关投标人在评标现场合理的时间内对投标价格作出解释，提供项目具体成本测算等与报价合理性相关的书面说明及必要的证明材料，包括但不限于原材料成本、人工成本、制造费用等，给予相关投标人的合理时间一般不少于30分钟。其中，属于上述C项情形，投标人已随投标文件一并提交相关书面说明及必要的证明材料的，在评标现场可不再重复提交。</w:t>
      </w:r>
    </w:p>
    <w:bookmarkEnd w:id="296"/>
    <w:p w14:paraId="24C1D9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 xml:space="preserve"> </w:t>
      </w:r>
      <w:r>
        <w:rPr>
          <w:rFonts w:hint="eastAsia" w:ascii="宋体" w:hAnsi="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③评标委员会依据专业经验，参考同类项目中标（成交）价格、类似产品市场价格水平、行业人工费用标准、国家有关部门指导行业协会发布的行业平均成本等情况，对报价合理性进行判断。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i w:val="0"/>
          <w:iCs w:val="0"/>
          <w:caps w:val="0"/>
          <w:color w:val="auto"/>
          <w:spacing w:val="0"/>
          <w:sz w:val="21"/>
          <w:szCs w:val="21"/>
          <w:highlight w:val="none"/>
          <w:shd w:val="clear" w:color="auto" w:fill="FFFFFF"/>
        </w:rPr>
        <w:t>投标人不能提供书面说明、证明材料，或者提供的书面说明、证明材料不能证明其报价合理性的，评标委员会应当将其作为无效投标处理。</w:t>
      </w:r>
    </w:p>
    <w:p w14:paraId="3438782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5.3评标委员会按照招标文件中规定的评标方法和标准计算各投标人的报价得分。在评标过程中，不得去掉报价中的最高报价和最低报价。</w:t>
      </w:r>
    </w:p>
    <w:p w14:paraId="0A772EB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5.4各投标人的得分为评标委员会各成员的有效评分的算术平均数。</w:t>
      </w:r>
    </w:p>
    <w:p w14:paraId="1E694D4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14:paraId="154618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w:t>
      </w:r>
      <w:r>
        <w:rPr>
          <w:rFonts w:hint="eastAsia" w:ascii="宋体" w:hAnsi="宋体" w:eastAsia="宋体" w:cs="宋体"/>
          <w:color w:val="auto"/>
          <w:highlight w:val="none"/>
          <w:lang w:eastAsia="zh-CN"/>
        </w:rPr>
        <w:t>各</w:t>
      </w:r>
      <w:r>
        <w:rPr>
          <w:rFonts w:hint="eastAsia" w:ascii="宋体" w:hAnsi="宋体" w:eastAsia="宋体" w:cs="宋体"/>
          <w:color w:val="auto"/>
          <w:highlight w:val="none"/>
        </w:rPr>
        <w:t>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77A73408">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6.评审复核</w:t>
      </w:r>
    </w:p>
    <w:p w14:paraId="3F558F8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6.1评标报告签署前，评标委员会要对评审结果进行复核，复核意见要体现在评标报告中。</w:t>
      </w:r>
    </w:p>
    <w:p w14:paraId="02453A1E">
      <w:pPr>
        <w:widowControl/>
        <w:spacing w:line="560" w:lineRule="exact"/>
        <w:ind w:firstLine="420" w:firstLineChars="200"/>
        <w:jc w:val="left"/>
        <w:textAlignment w:val="baseline"/>
        <w:rPr>
          <w:rFonts w:hint="eastAsia" w:ascii="Times New Roman" w:hAnsi="宋体" w:eastAsia="宋体" w:cs="Times New Roman"/>
          <w:color w:val="auto"/>
          <w:highlight w:val="none"/>
        </w:rPr>
      </w:pPr>
      <w:r>
        <w:rPr>
          <w:rFonts w:hint="eastAsia" w:ascii="宋体" w:hAnsi="宋体" w:eastAsia="宋体" w:cs="宋体"/>
          <w:color w:val="auto"/>
          <w:highlight w:val="none"/>
        </w:rPr>
        <w:t>6.2</w:t>
      </w:r>
      <w:r>
        <w:rPr>
          <w:rFonts w:hint="eastAsia" w:ascii="Times New Roman" w:hAnsi="宋体" w:eastAsia="宋体" w:cs="Times New Roman"/>
          <w:color w:val="auto"/>
          <w:highlight w:val="none"/>
        </w:rPr>
        <w:t>评标结果汇总完成后，除下列情形外，任何人不得修改评标结果：</w:t>
      </w:r>
    </w:p>
    <w:p w14:paraId="209B676A">
      <w:pPr>
        <w:widowControl/>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（一）分值汇总计算错误的；</w:t>
      </w:r>
    </w:p>
    <w:p w14:paraId="0974AE63">
      <w:pPr>
        <w:widowControl/>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（二）分项评分超出评分标准范围的；</w:t>
      </w:r>
    </w:p>
    <w:p w14:paraId="0FC04F9C">
      <w:pPr>
        <w:widowControl/>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（三）评标委员会成员对客观评审因素评分不一致的；</w:t>
      </w:r>
    </w:p>
    <w:p w14:paraId="51822AB0">
      <w:pPr>
        <w:widowControl/>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（四）经评标委员会认定评分畸高、畸低的。</w:t>
      </w:r>
    </w:p>
    <w:p w14:paraId="1DD4994B">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476DCE7">
      <w:pPr>
        <w:pStyle w:val="3"/>
        <w:jc w:val="center"/>
        <w:rPr>
          <w:rFonts w:cs="Times New Roman"/>
          <w:b w:val="0"/>
          <w:color w:val="auto"/>
          <w:sz w:val="30"/>
          <w:szCs w:val="30"/>
          <w:highlight w:val="none"/>
        </w:rPr>
      </w:pPr>
      <w:bookmarkStart w:id="297" w:name="_Toc5755"/>
      <w:bookmarkStart w:id="298" w:name="_Toc28193"/>
      <w:bookmarkStart w:id="299" w:name="_Toc4866"/>
      <w:bookmarkStart w:id="300" w:name="_Toc28829"/>
      <w:bookmarkStart w:id="301" w:name="_Toc25728"/>
      <w:bookmarkStart w:id="302" w:name="_Toc27331"/>
      <w:bookmarkStart w:id="303" w:name="_Toc19942"/>
      <w:bookmarkStart w:id="304" w:name="_Toc22963"/>
      <w:bookmarkStart w:id="305" w:name="_Toc17834"/>
      <w:bookmarkStart w:id="306" w:name="_Toc13548"/>
      <w:r>
        <w:rPr>
          <w:rFonts w:hint="eastAsia" w:cs="Times New Roman"/>
          <w:b w:val="0"/>
          <w:color w:val="auto"/>
          <w:sz w:val="30"/>
          <w:szCs w:val="30"/>
          <w:highlight w:val="none"/>
        </w:rPr>
        <w:t>第三节</w:t>
      </w:r>
      <w:r>
        <w:rPr>
          <w:rFonts w:cs="Times New Roman"/>
          <w:b w:val="0"/>
          <w:color w:val="auto"/>
          <w:sz w:val="30"/>
          <w:szCs w:val="30"/>
          <w:highlight w:val="none"/>
        </w:rPr>
        <w:t xml:space="preserve"> </w:t>
      </w:r>
      <w:r>
        <w:rPr>
          <w:rFonts w:hint="eastAsia" w:cs="Times New Roman"/>
          <w:b w:val="0"/>
          <w:color w:val="auto"/>
          <w:sz w:val="30"/>
          <w:szCs w:val="30"/>
          <w:highlight w:val="none"/>
        </w:rPr>
        <w:t>评分标准</w:t>
      </w:r>
      <w:bookmarkEnd w:id="297"/>
      <w:bookmarkEnd w:id="298"/>
      <w:bookmarkEnd w:id="299"/>
      <w:bookmarkEnd w:id="300"/>
      <w:bookmarkEnd w:id="301"/>
      <w:bookmarkEnd w:id="302"/>
      <w:bookmarkEnd w:id="303"/>
      <w:bookmarkEnd w:id="304"/>
      <w:bookmarkEnd w:id="305"/>
      <w:bookmarkEnd w:id="306"/>
    </w:p>
    <w:p w14:paraId="1331B3FA">
      <w:pPr>
        <w:pStyle w:val="12"/>
        <w:ind w:firstLine="602" w:firstLineChars="200"/>
        <w:jc w:val="center"/>
        <w:rPr>
          <w:rFonts w:hint="eastAsia" w:ascii="Times New Roman" w:hAnsi="Times New Roman" w:eastAsia="宋体" w:cs="Times New Roman"/>
          <w:b/>
          <w:color w:val="auto"/>
          <w:sz w:val="30"/>
          <w:szCs w:val="30"/>
          <w:highlight w:val="none"/>
        </w:rPr>
      </w:pPr>
    </w:p>
    <w:p w14:paraId="342EA2EC">
      <w:pPr>
        <w:pStyle w:val="12"/>
        <w:ind w:firstLine="602" w:firstLineChars="200"/>
        <w:jc w:val="center"/>
        <w:rPr>
          <w:rFonts w:hint="eastAsia" w:ascii="Times New Roman" w:hAnsi="Times New Roman" w:eastAsia="宋体" w:cs="Times New Roman"/>
          <w:b/>
          <w:color w:val="auto"/>
          <w:sz w:val="30"/>
          <w:szCs w:val="30"/>
          <w:highlight w:val="none"/>
        </w:rPr>
      </w:pPr>
      <w:r>
        <w:rPr>
          <w:rFonts w:hint="eastAsia" w:hAnsi="宋体" w:cs="宋体"/>
          <w:b/>
          <w:color w:val="auto"/>
          <w:sz w:val="30"/>
          <w:szCs w:val="30"/>
          <w:highlight w:val="none"/>
          <w:lang w:val="en-US" w:eastAsia="zh-CN"/>
        </w:rPr>
        <w:t>一</w:t>
      </w:r>
      <w:r>
        <w:rPr>
          <w:rFonts w:hint="eastAsia" w:ascii="宋体" w:hAnsi="宋体" w:cs="宋体"/>
          <w:b/>
          <w:color w:val="auto"/>
          <w:sz w:val="30"/>
          <w:szCs w:val="30"/>
          <w:highlight w:val="none"/>
        </w:rPr>
        <w:t>、</w:t>
      </w:r>
      <w:r>
        <w:rPr>
          <w:rFonts w:hint="eastAsia" w:ascii="Times New Roman" w:hAnsi="Times New Roman" w:eastAsia="宋体" w:cs="Times New Roman"/>
          <w:b/>
          <w:color w:val="auto"/>
          <w:sz w:val="30"/>
          <w:szCs w:val="30"/>
          <w:highlight w:val="none"/>
        </w:rPr>
        <w:t>综合评分法</w:t>
      </w:r>
    </w:p>
    <w:p w14:paraId="21EC0B25">
      <w:pPr>
        <w:spacing w:line="360" w:lineRule="auto"/>
        <w:ind w:firstLine="420"/>
        <w:rPr>
          <w:rFonts w:hint="eastAsia" w:ascii="宋体" w:hAnsi="宋体" w:eastAsia="宋体" w:cs="Times New Roman"/>
          <w:bCs/>
          <w:color w:val="auto"/>
          <w:szCs w:val="20"/>
          <w:highlight w:val="none"/>
        </w:rPr>
      </w:pPr>
    </w:p>
    <w:p w14:paraId="27283319">
      <w:pPr>
        <w:spacing w:line="360" w:lineRule="auto"/>
        <w:ind w:firstLine="420"/>
        <w:rPr>
          <w:rFonts w:hint="eastAsia" w:ascii="宋体" w:hAnsi="宋体" w:eastAsia="宋体" w:cs="Times New Roman"/>
          <w:bCs/>
          <w:color w:val="auto"/>
          <w:szCs w:val="20"/>
          <w:highlight w:val="none"/>
        </w:rPr>
      </w:pPr>
      <w:r>
        <w:rPr>
          <w:rFonts w:hint="eastAsia" w:ascii="宋体" w:hAnsi="宋体" w:cs="Times New Roman"/>
          <w:bCs/>
          <w:color w:val="auto"/>
          <w:szCs w:val="20"/>
          <w:highlight w:val="none"/>
          <w:lang w:eastAsia="zh-CN"/>
        </w:rPr>
        <w:t>注：</w:t>
      </w:r>
      <w:r>
        <w:rPr>
          <w:rFonts w:hint="eastAsia" w:ascii="宋体" w:hAnsi="宋体" w:eastAsia="宋体" w:cs="Times New Roman"/>
          <w:bCs/>
          <w:color w:val="auto"/>
          <w:szCs w:val="20"/>
          <w:highlight w:val="none"/>
        </w:rPr>
        <w:t>计分方法按四舍五入取至百分位。</w:t>
      </w:r>
    </w:p>
    <w:tbl>
      <w:tblPr>
        <w:tblStyle w:val="20"/>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666"/>
        <w:gridCol w:w="1008"/>
        <w:gridCol w:w="7735"/>
      </w:tblGrid>
      <w:tr w14:paraId="5C0D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473A997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color w:val="auto"/>
                <w:szCs w:val="21"/>
                <w:highlight w:val="none"/>
              </w:rPr>
              <w:t>序号</w:t>
            </w:r>
          </w:p>
        </w:tc>
        <w:tc>
          <w:tcPr>
            <w:tcW w:w="1674" w:type="dxa"/>
            <w:gridSpan w:val="2"/>
            <w:tcBorders>
              <w:top w:val="single" w:color="auto" w:sz="4" w:space="0"/>
              <w:left w:val="single" w:color="auto" w:sz="4" w:space="0"/>
              <w:bottom w:val="single" w:color="auto" w:sz="4" w:space="0"/>
              <w:right w:val="single" w:color="auto" w:sz="4" w:space="0"/>
            </w:tcBorders>
            <w:noWrap w:val="0"/>
            <w:vAlign w:val="center"/>
          </w:tcPr>
          <w:p w14:paraId="45FE8C74">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评审因素及分值</w:t>
            </w:r>
          </w:p>
        </w:tc>
        <w:tc>
          <w:tcPr>
            <w:tcW w:w="7735" w:type="dxa"/>
            <w:tcBorders>
              <w:top w:val="single" w:color="auto" w:sz="4" w:space="0"/>
              <w:left w:val="single" w:color="auto" w:sz="4" w:space="0"/>
              <w:bottom w:val="single" w:color="auto" w:sz="4" w:space="0"/>
              <w:right w:val="single" w:color="auto" w:sz="4" w:space="0"/>
            </w:tcBorders>
            <w:noWrap w:val="0"/>
            <w:vAlign w:val="center"/>
          </w:tcPr>
          <w:p w14:paraId="0EFFBE70">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评审标准</w:t>
            </w:r>
          </w:p>
        </w:tc>
      </w:tr>
      <w:tr w14:paraId="0C7A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46C0435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74" w:type="dxa"/>
            <w:gridSpan w:val="2"/>
            <w:tcBorders>
              <w:top w:val="single" w:color="auto" w:sz="4" w:space="0"/>
              <w:left w:val="single" w:color="auto" w:sz="4" w:space="0"/>
              <w:bottom w:val="single" w:color="auto" w:sz="4" w:space="0"/>
              <w:right w:val="single" w:color="auto" w:sz="4" w:space="0"/>
            </w:tcBorders>
            <w:noWrap w:val="0"/>
            <w:vAlign w:val="center"/>
          </w:tcPr>
          <w:p w14:paraId="3081C692">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价格分</w:t>
            </w:r>
            <w:r>
              <w:rPr>
                <w:rFonts w:hint="eastAsia" w:ascii="宋体" w:hAnsi="宋体" w:eastAsia="宋体" w:cs="宋体"/>
                <w:color w:val="auto"/>
                <w:szCs w:val="21"/>
                <w:highlight w:val="none"/>
              </w:rPr>
              <w:t>（10分）</w:t>
            </w:r>
          </w:p>
        </w:tc>
        <w:tc>
          <w:tcPr>
            <w:tcW w:w="7735" w:type="dxa"/>
            <w:tcBorders>
              <w:top w:val="single" w:color="auto" w:sz="4" w:space="0"/>
              <w:left w:val="single" w:color="auto" w:sz="4" w:space="0"/>
              <w:bottom w:val="single" w:color="auto" w:sz="4" w:space="0"/>
              <w:right w:val="single" w:color="auto" w:sz="4" w:space="0"/>
            </w:tcBorders>
            <w:noWrap w:val="0"/>
            <w:vAlign w:val="center"/>
          </w:tcPr>
          <w:p w14:paraId="4AA2A2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1.1评标价</w:t>
            </w:r>
            <w:r>
              <w:rPr>
                <w:rFonts w:hint="eastAsia" w:ascii="宋体" w:hAnsi="宋体" w:cs="宋体"/>
                <w:color w:val="auto"/>
                <w:szCs w:val="21"/>
                <w:highlight w:val="none"/>
                <w:lang w:eastAsia="zh-CN"/>
              </w:rPr>
              <w:t>（产品抽检单价合计）</w:t>
            </w:r>
            <w:r>
              <w:rPr>
                <w:rFonts w:hint="eastAsia" w:ascii="宋体" w:hAnsi="宋体" w:eastAsia="宋体" w:cs="宋体"/>
                <w:color w:val="auto"/>
                <w:szCs w:val="21"/>
                <w:highlight w:val="none"/>
              </w:rPr>
              <w:t>为投标人的投标报价进行政策性扣除后的价格，评标价只是作为评标时使用。最终中标人的中标金额等于投标报价。</w:t>
            </w:r>
          </w:p>
          <w:p w14:paraId="666937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1.2政策性扣除计算方法：</w:t>
            </w:r>
          </w:p>
          <w:p w14:paraId="755321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1.2.1适用于非专门面向中小企业采购项目</w:t>
            </w:r>
          </w:p>
          <w:p w14:paraId="15355D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投标人被评定为监狱企业或者残疾人福利性单位或者其服务全部由符合政策要求的小型、微型企业承接的，该投标人的投标报价给予 10%的扣除，扣除后的价格为评标价，即评标价=投标报价×（1-10%）；接受大中型企业与小微企业组成联合体或者允许大中型企业向一家或者多家小微企业分包的采购项目，对于联合协议或者分包意向协议约定小微企业的合同份额占到合同总金额 30%以上的，对联合体或者大中型企业的投标报价给予 4%的扣除，用扣除后的价格参加评审，扣除后的价格为评标价，即评标价=投标报价×（1－4%）。</w:t>
            </w:r>
          </w:p>
          <w:p w14:paraId="0ADCAE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1.2.2对本国产品的价格评审优惠</w:t>
            </w:r>
          </w:p>
          <w:p w14:paraId="46B607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对其提供的产品出具《关于符合本国产品标准的声明函》（样式见“第六章投标文件格式”）或财政部会同有关部门规定的有关证明文件，该产品被视为本国产品的，给予政策性价格扣除，用扣除后的价格参与评审。</w:t>
            </w:r>
          </w:p>
          <w:p w14:paraId="3FACDC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对本国产品的支持政策：政府采购活动中既有本国产品又有非本国产品参与竞争的，依法对本国产品给予价格评审优惠，对本国产品的报价给予20%的价格扣除，用扣除后的价格参与评审。</w:t>
            </w:r>
          </w:p>
          <w:p w14:paraId="2FDA06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17AE76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除上述情况外，评标价=投标报价。</w:t>
            </w:r>
          </w:p>
          <w:p w14:paraId="40B47A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1.3满足招标文件要求且评标价最低的评标价为评标基准价，基准价得分为</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 xml:space="preserve">   分。</w:t>
            </w:r>
          </w:p>
          <w:p w14:paraId="2FDBF0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1.4价格分计算公式：        </w:t>
            </w:r>
          </w:p>
          <w:p w14:paraId="53CC8F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价格分=(评标基准价／评标价)×</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0B66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26" w:type="dxa"/>
            <w:vMerge w:val="restart"/>
            <w:tcBorders>
              <w:top w:val="single" w:color="auto" w:sz="4" w:space="0"/>
              <w:left w:val="single" w:color="auto" w:sz="4" w:space="0"/>
              <w:right w:val="single" w:color="auto" w:sz="4" w:space="0"/>
            </w:tcBorders>
            <w:noWrap w:val="0"/>
            <w:vAlign w:val="center"/>
          </w:tcPr>
          <w:p w14:paraId="459C329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66" w:type="dxa"/>
            <w:vMerge w:val="restart"/>
            <w:tcBorders>
              <w:top w:val="single" w:color="auto" w:sz="4" w:space="0"/>
              <w:left w:val="single" w:color="auto" w:sz="4" w:space="0"/>
              <w:right w:val="single" w:color="auto" w:sz="4" w:space="0"/>
            </w:tcBorders>
            <w:noWrap w:val="0"/>
            <w:vAlign w:val="center"/>
          </w:tcPr>
          <w:p w14:paraId="4CFFB0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分）</w:t>
            </w:r>
          </w:p>
        </w:tc>
        <w:tc>
          <w:tcPr>
            <w:tcW w:w="1008" w:type="dxa"/>
            <w:vMerge w:val="restart"/>
            <w:tcBorders>
              <w:top w:val="single" w:color="auto" w:sz="4" w:space="0"/>
              <w:left w:val="single" w:color="auto" w:sz="4" w:space="0"/>
              <w:right w:val="single" w:color="auto" w:sz="4" w:space="0"/>
            </w:tcBorders>
            <w:noWrap w:val="0"/>
            <w:vAlign w:val="center"/>
          </w:tcPr>
          <w:p w14:paraId="59865F2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检测能力（3</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tc>
        <w:tc>
          <w:tcPr>
            <w:tcW w:w="7735" w:type="dxa"/>
            <w:tcBorders>
              <w:top w:val="single" w:color="auto" w:sz="4" w:space="0"/>
              <w:left w:val="single" w:color="auto" w:sz="4" w:space="0"/>
              <w:bottom w:val="single" w:color="auto" w:sz="4" w:space="0"/>
              <w:right w:val="single" w:color="auto" w:sz="4" w:space="0"/>
            </w:tcBorders>
            <w:noWrap w:val="0"/>
            <w:vAlign w:val="center"/>
          </w:tcPr>
          <w:p w14:paraId="5E9C07D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具有CNAS资质</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得2分。</w:t>
            </w:r>
            <w:r>
              <w:rPr>
                <w:rFonts w:hint="eastAsia" w:ascii="宋体" w:hAnsi="宋体" w:eastAsia="宋体" w:cs="宋体"/>
                <w:color w:val="auto"/>
                <w:szCs w:val="21"/>
                <w:highlight w:val="none"/>
                <w:lang w:eastAsia="zh-CN"/>
              </w:rPr>
              <w:t>（提供有效证书扫描件）</w:t>
            </w:r>
          </w:p>
        </w:tc>
      </w:tr>
      <w:tr w14:paraId="4D21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6" w:type="dxa"/>
            <w:vMerge w:val="continue"/>
            <w:tcBorders>
              <w:left w:val="single" w:color="auto" w:sz="4" w:space="0"/>
              <w:right w:val="single" w:color="auto" w:sz="4" w:space="0"/>
            </w:tcBorders>
            <w:noWrap w:val="0"/>
            <w:vAlign w:val="center"/>
          </w:tcPr>
          <w:p w14:paraId="71A39776">
            <w:pPr>
              <w:spacing w:line="360" w:lineRule="auto"/>
              <w:jc w:val="center"/>
              <w:rPr>
                <w:rFonts w:hint="eastAsia" w:ascii="宋体" w:hAnsi="宋体" w:eastAsia="宋体" w:cs="宋体"/>
                <w:color w:val="auto"/>
                <w:szCs w:val="21"/>
                <w:highlight w:val="none"/>
              </w:rPr>
            </w:pPr>
          </w:p>
        </w:tc>
        <w:tc>
          <w:tcPr>
            <w:tcW w:w="666" w:type="dxa"/>
            <w:vMerge w:val="continue"/>
            <w:tcBorders>
              <w:left w:val="single" w:color="auto" w:sz="4" w:space="0"/>
              <w:right w:val="single" w:color="auto" w:sz="4" w:space="0"/>
            </w:tcBorders>
            <w:noWrap w:val="0"/>
            <w:vAlign w:val="center"/>
          </w:tcPr>
          <w:p w14:paraId="18704FE7">
            <w:pPr>
              <w:spacing w:line="360" w:lineRule="auto"/>
              <w:jc w:val="center"/>
              <w:rPr>
                <w:rFonts w:hint="eastAsia" w:ascii="宋体" w:hAnsi="宋体" w:eastAsia="宋体" w:cs="宋体"/>
                <w:color w:val="auto"/>
                <w:szCs w:val="21"/>
                <w:highlight w:val="none"/>
              </w:rPr>
            </w:pPr>
          </w:p>
        </w:tc>
        <w:tc>
          <w:tcPr>
            <w:tcW w:w="1008" w:type="dxa"/>
            <w:vMerge w:val="continue"/>
            <w:tcBorders>
              <w:left w:val="single" w:color="auto" w:sz="4" w:space="0"/>
              <w:right w:val="single" w:color="auto" w:sz="4" w:space="0"/>
            </w:tcBorders>
            <w:noWrap w:val="0"/>
            <w:vAlign w:val="center"/>
          </w:tcPr>
          <w:p w14:paraId="2A2567E0">
            <w:pPr>
              <w:spacing w:line="360" w:lineRule="auto"/>
              <w:rPr>
                <w:rFonts w:hint="eastAsia" w:ascii="宋体" w:hAnsi="宋体" w:eastAsia="宋体" w:cs="宋体"/>
                <w:color w:val="auto"/>
                <w:szCs w:val="21"/>
                <w:highlight w:val="none"/>
              </w:rPr>
            </w:pPr>
          </w:p>
        </w:tc>
        <w:tc>
          <w:tcPr>
            <w:tcW w:w="7735" w:type="dxa"/>
            <w:tcBorders>
              <w:top w:val="single" w:color="auto" w:sz="4" w:space="0"/>
              <w:left w:val="single" w:color="auto" w:sz="4" w:space="0"/>
              <w:bottom w:val="single" w:color="auto" w:sz="4" w:space="0"/>
              <w:right w:val="single" w:color="auto" w:sz="4" w:space="0"/>
            </w:tcBorders>
            <w:noWrap w:val="0"/>
            <w:vAlign w:val="center"/>
          </w:tcPr>
          <w:p w14:paraId="69D82C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资质覆盖能力需对应</w:t>
            </w:r>
            <w:r>
              <w:rPr>
                <w:rFonts w:hint="eastAsia" w:ascii="宋体" w:hAnsi="宋体" w:eastAsia="宋体" w:cs="宋体"/>
                <w:b/>
                <w:bCs/>
                <w:color w:val="auto"/>
                <w:szCs w:val="21"/>
                <w:highlight w:val="none"/>
              </w:rPr>
              <w:t>所</w:t>
            </w:r>
            <w:r>
              <w:rPr>
                <w:rFonts w:hint="eastAsia" w:ascii="宋体" w:hAnsi="宋体" w:eastAsia="宋体" w:cs="宋体"/>
                <w:b/>
                <w:bCs/>
                <w:color w:val="auto"/>
                <w:szCs w:val="21"/>
                <w:highlight w:val="none"/>
                <w:lang w:val="en-US" w:eastAsia="zh-CN"/>
              </w:rPr>
              <w:t>投</w:t>
            </w:r>
            <w:r>
              <w:rPr>
                <w:rFonts w:hint="eastAsia" w:ascii="宋体" w:hAnsi="宋体" w:eastAsia="宋体" w:cs="宋体"/>
                <w:b/>
                <w:bCs/>
                <w:color w:val="auto"/>
                <w:szCs w:val="21"/>
                <w:highlight w:val="none"/>
              </w:rPr>
              <w:t>分标</w:t>
            </w:r>
            <w:r>
              <w:rPr>
                <w:rFonts w:hint="eastAsia" w:ascii="宋体" w:hAnsi="宋体" w:eastAsia="宋体" w:cs="宋体"/>
                <w:color w:val="auto"/>
                <w:szCs w:val="21"/>
                <w:highlight w:val="none"/>
              </w:rPr>
              <w:t>所列产品、检验项目，</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须提供资质覆盖能力自查表以及加盖公章的检验检测机构资质认定证书（CMA）、附表相关页扫描件，同时对相应产品、检验项目做好明显标记，否则不得分。</w:t>
            </w:r>
          </w:p>
          <w:p w14:paraId="6EB814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按产品名称，每</w:t>
            </w:r>
            <w:r>
              <w:rPr>
                <w:rFonts w:hint="eastAsia" w:ascii="宋体" w:hAnsi="宋体" w:eastAsia="宋体" w:cs="宋体"/>
                <w:color w:val="auto"/>
                <w:szCs w:val="21"/>
                <w:highlight w:val="none"/>
                <w:lang w:val="en-US" w:eastAsia="zh-CN"/>
              </w:rPr>
              <w:t>1种产品的分值=</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lang w:val="en-US" w:eastAsia="zh-CN"/>
              </w:rPr>
              <w:t>分/产品种数</w:t>
            </w:r>
            <w:r>
              <w:rPr>
                <w:rFonts w:hint="eastAsia" w:ascii="宋体" w:hAnsi="宋体" w:eastAsia="宋体" w:cs="宋体"/>
                <w:color w:val="auto"/>
                <w:szCs w:val="21"/>
                <w:highlight w:val="none"/>
                <w:lang w:eastAsia="zh-CN"/>
              </w:rPr>
              <w:t>，该</w:t>
            </w:r>
            <w:r>
              <w:rPr>
                <w:rFonts w:hint="eastAsia" w:ascii="宋体" w:hAnsi="宋体" w:eastAsia="宋体" w:cs="宋体"/>
                <w:color w:val="auto"/>
                <w:szCs w:val="21"/>
                <w:highlight w:val="none"/>
                <w:lang w:val="en-US" w:eastAsia="zh-CN"/>
              </w:rPr>
              <w:t>产品的检验项目齐全的，得该产品相应分值</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检验项目不齐全的，得该产品一半分值。</w:t>
            </w:r>
          </w:p>
          <w:p w14:paraId="6F305F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此项</w:t>
            </w:r>
            <w:r>
              <w:rPr>
                <w:rFonts w:hint="eastAsia" w:ascii="宋体" w:hAnsi="宋体" w:eastAsia="宋体" w:cs="宋体"/>
                <w:color w:val="auto"/>
                <w:szCs w:val="21"/>
                <w:highlight w:val="none"/>
                <w:lang w:eastAsia="zh-CN"/>
              </w:rPr>
              <w:t>可累计计分，满分</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rPr>
              <w:t>。</w:t>
            </w:r>
          </w:p>
          <w:p w14:paraId="54281A6E">
            <w:pPr>
              <w:spacing w:line="360" w:lineRule="auto"/>
              <w:rPr>
                <w:rFonts w:hint="eastAsia" w:ascii="宋体" w:hAnsi="宋体" w:eastAsia="宋体" w:cs="宋体"/>
                <w:color w:val="auto"/>
                <w:szCs w:val="21"/>
                <w:highlight w:val="none"/>
              </w:rPr>
            </w:pPr>
            <w:r>
              <w:rPr>
                <w:rFonts w:hint="eastAsia" w:ascii="宋体" w:hAnsi="宋体" w:eastAsia="宋体" w:cs="宋体"/>
                <w:b w:val="0"/>
                <w:bCs w:val="0"/>
                <w:color w:val="auto"/>
                <w:kern w:val="2"/>
                <w:sz w:val="21"/>
                <w:szCs w:val="21"/>
                <w:highlight w:val="none"/>
                <w:lang w:val="en-US" w:eastAsia="zh-CN" w:bidi="ar-SA"/>
              </w:rPr>
              <w:t>注：供应商必须对相应产品、检验项目做好明显标记，并如实填写检验项目资质覆盖情况自查表并加盖电子签章，格式详见第六章“检验项目资质覆盖情况自查表”。</w:t>
            </w:r>
          </w:p>
        </w:tc>
      </w:tr>
      <w:tr w14:paraId="2F2E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6" w:type="dxa"/>
            <w:vMerge w:val="continue"/>
            <w:tcBorders>
              <w:left w:val="single" w:color="auto" w:sz="4" w:space="0"/>
              <w:right w:val="single" w:color="auto" w:sz="4" w:space="0"/>
            </w:tcBorders>
            <w:noWrap w:val="0"/>
            <w:vAlign w:val="center"/>
          </w:tcPr>
          <w:p w14:paraId="74A6F4A4">
            <w:pPr>
              <w:spacing w:line="360" w:lineRule="auto"/>
              <w:jc w:val="center"/>
              <w:rPr>
                <w:rFonts w:hint="eastAsia" w:ascii="宋体" w:hAnsi="宋体" w:eastAsia="宋体" w:cs="宋体"/>
                <w:color w:val="auto"/>
                <w:szCs w:val="21"/>
                <w:highlight w:val="none"/>
              </w:rPr>
            </w:pPr>
          </w:p>
        </w:tc>
        <w:tc>
          <w:tcPr>
            <w:tcW w:w="666" w:type="dxa"/>
            <w:vMerge w:val="continue"/>
            <w:tcBorders>
              <w:left w:val="single" w:color="auto" w:sz="4" w:space="0"/>
              <w:right w:val="single" w:color="auto" w:sz="4" w:space="0"/>
            </w:tcBorders>
            <w:noWrap w:val="0"/>
            <w:vAlign w:val="center"/>
          </w:tcPr>
          <w:p w14:paraId="67F03DA1">
            <w:pPr>
              <w:spacing w:line="360" w:lineRule="auto"/>
              <w:jc w:val="center"/>
              <w:rPr>
                <w:rFonts w:hint="eastAsia" w:ascii="宋体" w:hAnsi="宋体" w:eastAsia="宋体" w:cs="宋体"/>
                <w:color w:val="auto"/>
                <w:szCs w:val="21"/>
                <w:highlight w:val="none"/>
              </w:rPr>
            </w:pPr>
          </w:p>
        </w:tc>
        <w:tc>
          <w:tcPr>
            <w:tcW w:w="1008" w:type="dxa"/>
            <w:vMerge w:val="continue"/>
            <w:tcBorders>
              <w:left w:val="single" w:color="auto" w:sz="4" w:space="0"/>
              <w:right w:val="single" w:color="auto" w:sz="4" w:space="0"/>
            </w:tcBorders>
            <w:noWrap w:val="0"/>
            <w:vAlign w:val="center"/>
          </w:tcPr>
          <w:p w14:paraId="1B69C37F">
            <w:pPr>
              <w:spacing w:line="360" w:lineRule="auto"/>
              <w:rPr>
                <w:rFonts w:hint="eastAsia" w:ascii="宋体" w:hAnsi="宋体" w:eastAsia="宋体" w:cs="宋体"/>
                <w:color w:val="auto"/>
                <w:szCs w:val="21"/>
                <w:highlight w:val="none"/>
              </w:rPr>
            </w:pPr>
          </w:p>
        </w:tc>
        <w:tc>
          <w:tcPr>
            <w:tcW w:w="7735" w:type="dxa"/>
            <w:tcBorders>
              <w:top w:val="single" w:color="auto" w:sz="4" w:space="0"/>
              <w:left w:val="single" w:color="auto" w:sz="4" w:space="0"/>
              <w:bottom w:val="single" w:color="auto" w:sz="4" w:space="0"/>
              <w:right w:val="single" w:color="auto" w:sz="4" w:space="0"/>
            </w:tcBorders>
            <w:noWrap w:val="0"/>
            <w:vAlign w:val="center"/>
          </w:tcPr>
          <w:p w14:paraId="43B51BB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（1）拟投入检验员具有中级职称或研究生以上（含）学历的，每人得0.</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分，满分</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分。                     </w:t>
            </w:r>
          </w:p>
          <w:p w14:paraId="77C1030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（2）拟投入检验员具有高级职称的，每人得</w:t>
            </w:r>
            <w:r>
              <w:rPr>
                <w:rFonts w:hint="eastAsia" w:ascii="宋体" w:hAnsi="宋体" w:eastAsia="宋体" w:cs="宋体"/>
                <w:color w:val="auto"/>
                <w:highlight w:val="none"/>
                <w:lang w:val="en-US" w:eastAsia="zh-CN"/>
              </w:rPr>
              <w:t>0.5</w:t>
            </w:r>
            <w:r>
              <w:rPr>
                <w:rFonts w:hint="eastAsia" w:ascii="宋体" w:hAnsi="宋体" w:eastAsia="宋体" w:cs="宋体"/>
                <w:color w:val="auto"/>
                <w:highlight w:val="none"/>
              </w:rPr>
              <w:t>分，满分</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p>
          <w:p w14:paraId="67411BE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（3）拟投入抽样人员数量。每人得0.2分，满分</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p>
          <w:p w14:paraId="13A70EF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同一人员不重复计分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此项</w:t>
            </w:r>
            <w:r>
              <w:rPr>
                <w:rFonts w:hint="eastAsia" w:ascii="宋体" w:hAnsi="宋体" w:eastAsia="宋体" w:cs="宋体"/>
                <w:color w:val="auto"/>
                <w:szCs w:val="21"/>
                <w:highlight w:val="none"/>
                <w:lang w:eastAsia="zh-CN"/>
              </w:rPr>
              <w:t>可累计计分</w:t>
            </w:r>
            <w:r>
              <w:rPr>
                <w:rFonts w:hint="eastAsia" w:ascii="宋体" w:hAnsi="宋体" w:eastAsia="宋体" w:cs="宋体"/>
                <w:color w:val="auto"/>
                <w:szCs w:val="21"/>
                <w:highlight w:val="none"/>
              </w:rPr>
              <w:t>。</w:t>
            </w:r>
          </w:p>
          <w:p w14:paraId="35F24C42">
            <w:pPr>
              <w:spacing w:line="360" w:lineRule="auto"/>
              <w:rPr>
                <w:rFonts w:hint="eastAsia" w:ascii="宋体" w:hAnsi="宋体" w:eastAsia="宋体" w:cs="宋体"/>
                <w:color w:val="auto"/>
                <w:szCs w:val="21"/>
                <w:highlight w:val="none"/>
              </w:rPr>
            </w:pPr>
            <w:r>
              <w:rPr>
                <w:rFonts w:hint="eastAsia" w:ascii="宋体" w:hAnsi="宋体" w:eastAsia="宋体" w:cs="宋体"/>
                <w:b w:val="0"/>
                <w:bCs w:val="0"/>
                <w:color w:val="auto"/>
                <w:kern w:val="2"/>
                <w:sz w:val="21"/>
                <w:szCs w:val="24"/>
                <w:highlight w:val="none"/>
                <w:lang w:val="en-US" w:eastAsia="zh-CN" w:bidi="ar-SA"/>
              </w:rPr>
              <w:t>注：提供职称证扫描件或学历证书扫描件，检验员上岗证扫描件（经本单位或相关部门培训合格上岗的证明</w:t>
            </w:r>
            <w:r>
              <w:rPr>
                <w:rFonts w:hint="eastAsia" w:ascii="宋体" w:hAnsi="宋体" w:cs="宋体"/>
                <w:b w:val="0"/>
                <w:bCs w:val="0"/>
                <w:color w:val="auto"/>
                <w:kern w:val="2"/>
                <w:sz w:val="21"/>
                <w:szCs w:val="24"/>
                <w:highlight w:val="none"/>
                <w:lang w:val="en-US" w:eastAsia="zh-CN" w:bidi="ar-SA"/>
              </w:rPr>
              <w:t>，检验员证上的检验能力需与</w:t>
            </w:r>
            <w:r>
              <w:rPr>
                <w:rFonts w:hint="eastAsia" w:ascii="宋体" w:hAnsi="宋体" w:cs="宋体"/>
                <w:b/>
                <w:bCs/>
                <w:color w:val="auto"/>
                <w:kern w:val="2"/>
                <w:sz w:val="21"/>
                <w:szCs w:val="24"/>
                <w:highlight w:val="none"/>
                <w:lang w:val="en-US" w:eastAsia="zh-CN" w:bidi="ar-SA"/>
              </w:rPr>
              <w:t>所投分标产品</w:t>
            </w:r>
            <w:r>
              <w:rPr>
                <w:rFonts w:hint="eastAsia" w:ascii="宋体" w:hAnsi="宋体" w:cs="宋体"/>
                <w:b w:val="0"/>
                <w:bCs w:val="0"/>
                <w:color w:val="auto"/>
                <w:kern w:val="2"/>
                <w:sz w:val="21"/>
                <w:szCs w:val="24"/>
                <w:highlight w:val="none"/>
                <w:lang w:val="en-US" w:eastAsia="zh-CN" w:bidi="ar-SA"/>
              </w:rPr>
              <w:t>种类或类别相对应</w:t>
            </w:r>
            <w:r>
              <w:rPr>
                <w:rFonts w:hint="eastAsia" w:ascii="宋体" w:hAnsi="宋体" w:eastAsia="宋体" w:cs="宋体"/>
                <w:b w:val="0"/>
                <w:bCs w:val="0"/>
                <w:color w:val="auto"/>
                <w:kern w:val="2"/>
                <w:sz w:val="21"/>
                <w:szCs w:val="24"/>
                <w:highlight w:val="none"/>
                <w:lang w:val="en-US" w:eastAsia="zh-CN" w:bidi="ar-SA"/>
              </w:rPr>
              <w:t>）和供应商与其签订的劳动合同或银行工资流水或投标文件提交截止之日前半年内任意1个月，供应商为其缴纳社保记录证明扫描件为准。</w:t>
            </w:r>
          </w:p>
        </w:tc>
      </w:tr>
      <w:tr w14:paraId="1AD7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26" w:type="dxa"/>
            <w:vMerge w:val="continue"/>
            <w:tcBorders>
              <w:left w:val="single" w:color="auto" w:sz="4" w:space="0"/>
              <w:right w:val="single" w:color="auto" w:sz="4" w:space="0"/>
            </w:tcBorders>
            <w:noWrap w:val="0"/>
            <w:vAlign w:val="center"/>
          </w:tcPr>
          <w:p w14:paraId="10D266B6">
            <w:pPr>
              <w:spacing w:line="360" w:lineRule="auto"/>
              <w:jc w:val="center"/>
              <w:rPr>
                <w:rFonts w:hint="eastAsia" w:ascii="宋体" w:hAnsi="宋体" w:eastAsia="宋体" w:cs="宋体"/>
                <w:color w:val="auto"/>
                <w:szCs w:val="21"/>
                <w:highlight w:val="none"/>
              </w:rPr>
            </w:pPr>
          </w:p>
        </w:tc>
        <w:tc>
          <w:tcPr>
            <w:tcW w:w="666" w:type="dxa"/>
            <w:vMerge w:val="continue"/>
            <w:tcBorders>
              <w:left w:val="single" w:color="auto" w:sz="4" w:space="0"/>
              <w:right w:val="single" w:color="auto" w:sz="4" w:space="0"/>
            </w:tcBorders>
            <w:noWrap w:val="0"/>
            <w:vAlign w:val="center"/>
          </w:tcPr>
          <w:p w14:paraId="2A8660C7">
            <w:pPr>
              <w:spacing w:line="360" w:lineRule="auto"/>
              <w:jc w:val="center"/>
              <w:rPr>
                <w:rFonts w:hint="eastAsia" w:ascii="宋体" w:hAnsi="宋体" w:eastAsia="宋体" w:cs="宋体"/>
                <w:color w:val="auto"/>
                <w:szCs w:val="21"/>
                <w:highlight w:val="none"/>
              </w:rPr>
            </w:pPr>
          </w:p>
        </w:tc>
        <w:tc>
          <w:tcPr>
            <w:tcW w:w="1008" w:type="dxa"/>
            <w:vMerge w:val="restart"/>
            <w:tcBorders>
              <w:top w:val="single" w:color="auto" w:sz="4" w:space="0"/>
              <w:left w:val="single" w:color="auto" w:sz="4" w:space="0"/>
              <w:right w:val="single" w:color="auto" w:sz="4" w:space="0"/>
            </w:tcBorders>
            <w:noWrap w:val="0"/>
            <w:vAlign w:val="center"/>
          </w:tcPr>
          <w:p w14:paraId="66974B0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业绩分（</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分）</w:t>
            </w:r>
          </w:p>
        </w:tc>
        <w:tc>
          <w:tcPr>
            <w:tcW w:w="7735" w:type="dxa"/>
            <w:tcBorders>
              <w:top w:val="single" w:color="auto" w:sz="4" w:space="0"/>
              <w:left w:val="single" w:color="auto" w:sz="4" w:space="0"/>
              <w:bottom w:val="single" w:color="auto" w:sz="4" w:space="0"/>
              <w:right w:val="single" w:color="auto" w:sz="4" w:space="0"/>
            </w:tcBorders>
            <w:noWrap w:val="0"/>
            <w:vAlign w:val="center"/>
          </w:tcPr>
          <w:p w14:paraId="047C2F6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年以来承担过</w:t>
            </w:r>
            <w:r>
              <w:rPr>
                <w:rFonts w:hint="eastAsia" w:ascii="宋体" w:hAnsi="宋体" w:eastAsia="宋体" w:cs="宋体"/>
                <w:b/>
                <w:bCs/>
                <w:color w:val="auto"/>
                <w:szCs w:val="21"/>
                <w:highlight w:val="none"/>
              </w:rPr>
              <w:t>所</w:t>
            </w:r>
            <w:r>
              <w:rPr>
                <w:rFonts w:hint="eastAsia" w:ascii="宋体" w:hAnsi="宋体" w:eastAsia="宋体" w:cs="宋体"/>
                <w:b/>
                <w:bCs/>
                <w:color w:val="auto"/>
                <w:szCs w:val="21"/>
                <w:highlight w:val="none"/>
                <w:lang w:val="en-US" w:eastAsia="zh-CN"/>
              </w:rPr>
              <w:t>投</w:t>
            </w:r>
            <w:r>
              <w:rPr>
                <w:rFonts w:hint="eastAsia" w:ascii="宋体" w:hAnsi="宋体" w:eastAsia="宋体" w:cs="宋体"/>
                <w:b/>
                <w:bCs/>
                <w:color w:val="auto"/>
                <w:szCs w:val="21"/>
                <w:highlight w:val="none"/>
              </w:rPr>
              <w:t>分标中任</w:t>
            </w:r>
            <w:r>
              <w:rPr>
                <w:rFonts w:hint="eastAsia" w:ascii="宋体" w:hAnsi="宋体" w:cs="宋体"/>
                <w:b/>
                <w:bCs/>
                <w:color w:val="auto"/>
                <w:szCs w:val="21"/>
                <w:highlight w:val="none"/>
                <w:lang w:eastAsia="zh-CN"/>
              </w:rPr>
              <w:t>一</w:t>
            </w:r>
            <w:r>
              <w:rPr>
                <w:rFonts w:hint="eastAsia" w:ascii="宋体" w:hAnsi="宋体" w:eastAsia="宋体" w:cs="宋体"/>
                <w:b/>
                <w:bCs/>
                <w:color w:val="auto"/>
                <w:szCs w:val="21"/>
                <w:highlight w:val="none"/>
              </w:rPr>
              <w:t>产品</w:t>
            </w:r>
            <w:r>
              <w:rPr>
                <w:rFonts w:hint="eastAsia" w:ascii="宋体" w:hAnsi="宋体" w:cs="宋体"/>
                <w:color w:val="auto"/>
                <w:szCs w:val="21"/>
                <w:highlight w:val="none"/>
                <w:lang w:eastAsia="zh-CN"/>
              </w:rPr>
              <w:t>市</w:t>
            </w:r>
            <w:r>
              <w:rPr>
                <w:rFonts w:hint="eastAsia" w:ascii="宋体" w:hAnsi="宋体" w:eastAsia="宋体" w:cs="宋体"/>
                <w:color w:val="auto"/>
                <w:szCs w:val="21"/>
                <w:highlight w:val="none"/>
              </w:rPr>
              <w:t>级（含）以上监督抽查任务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或风险监测任务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，提供任务委托书、任务下达文件或其他证明资料扫描件。</w:t>
            </w:r>
          </w:p>
          <w:p w14:paraId="32A6FA3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（1）承担过国家级监督抽查任务</w:t>
            </w:r>
            <w:r>
              <w:rPr>
                <w:rFonts w:hint="eastAsia" w:ascii="宋体" w:hAnsi="宋体" w:eastAsia="宋体" w:cs="宋体"/>
                <w:color w:val="auto"/>
                <w:szCs w:val="21"/>
                <w:highlight w:val="none"/>
                <w:lang w:eastAsia="zh-CN"/>
              </w:rPr>
              <w:t>，每种产品每</w:t>
            </w:r>
            <w:r>
              <w:rPr>
                <w:rFonts w:hint="eastAsia" w:ascii="宋体" w:hAnsi="宋体" w:eastAsia="宋体" w:cs="宋体"/>
                <w:color w:val="auto"/>
                <w:szCs w:val="21"/>
                <w:highlight w:val="none"/>
                <w:lang w:val="en-US" w:eastAsia="zh-CN"/>
              </w:rPr>
              <w:t>1次任务计1</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分；</w:t>
            </w:r>
          </w:p>
          <w:p w14:paraId="3A97031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（2）承担过省级监督抽查任务</w:t>
            </w:r>
            <w:r>
              <w:rPr>
                <w:rFonts w:hint="eastAsia" w:ascii="宋体" w:hAnsi="宋体" w:eastAsia="宋体" w:cs="宋体"/>
                <w:color w:val="auto"/>
                <w:szCs w:val="21"/>
                <w:highlight w:val="none"/>
                <w:lang w:eastAsia="zh-CN"/>
              </w:rPr>
              <w:t>，每种产品每</w:t>
            </w:r>
            <w:r>
              <w:rPr>
                <w:rFonts w:hint="eastAsia" w:ascii="宋体" w:hAnsi="宋体" w:eastAsia="宋体" w:cs="宋体"/>
                <w:color w:val="auto"/>
                <w:szCs w:val="21"/>
                <w:highlight w:val="none"/>
                <w:lang w:val="en-US" w:eastAsia="zh-CN"/>
              </w:rPr>
              <w:t>1次任务计</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分</w:t>
            </w:r>
            <w:r>
              <w:rPr>
                <w:rFonts w:hint="eastAsia" w:ascii="宋体" w:hAnsi="宋体" w:cs="宋体"/>
                <w:color w:val="auto"/>
                <w:szCs w:val="21"/>
                <w:highlight w:val="none"/>
                <w:lang w:val="en-US" w:eastAsia="zh-CN"/>
              </w:rPr>
              <w:t>；</w:t>
            </w:r>
          </w:p>
          <w:p w14:paraId="7DB2BC73">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承担过</w:t>
            </w:r>
            <w:r>
              <w:rPr>
                <w:rFonts w:hint="eastAsia" w:ascii="宋体" w:hAnsi="宋体" w:eastAsia="宋体" w:cs="宋体"/>
                <w:color w:val="auto"/>
                <w:szCs w:val="21"/>
                <w:highlight w:val="none"/>
                <w:lang w:eastAsia="zh-CN"/>
              </w:rPr>
              <w:t>市</w:t>
            </w:r>
            <w:r>
              <w:rPr>
                <w:rFonts w:hint="eastAsia" w:ascii="宋体" w:hAnsi="宋体" w:eastAsia="宋体" w:cs="宋体"/>
                <w:color w:val="auto"/>
                <w:szCs w:val="21"/>
                <w:highlight w:val="none"/>
              </w:rPr>
              <w:t>级监督抽查任务</w:t>
            </w:r>
            <w:r>
              <w:rPr>
                <w:rFonts w:hint="eastAsia" w:ascii="宋体" w:hAnsi="宋体" w:eastAsia="宋体" w:cs="宋体"/>
                <w:color w:val="auto"/>
                <w:szCs w:val="21"/>
                <w:highlight w:val="none"/>
                <w:lang w:eastAsia="zh-CN"/>
              </w:rPr>
              <w:t>，每种产品每</w:t>
            </w:r>
            <w:r>
              <w:rPr>
                <w:rFonts w:hint="eastAsia" w:ascii="宋体" w:hAnsi="宋体" w:eastAsia="宋体" w:cs="宋体"/>
                <w:color w:val="auto"/>
                <w:szCs w:val="21"/>
                <w:highlight w:val="none"/>
                <w:lang w:val="en-US" w:eastAsia="zh-CN"/>
              </w:rPr>
              <w:t>1次任务计0.5分。</w:t>
            </w:r>
          </w:p>
          <w:p w14:paraId="69492A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此项可累积计分，满分</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w:t>
            </w:r>
          </w:p>
        </w:tc>
      </w:tr>
      <w:tr w14:paraId="58F4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26" w:type="dxa"/>
            <w:vMerge w:val="continue"/>
            <w:tcBorders>
              <w:left w:val="single" w:color="auto" w:sz="4" w:space="0"/>
              <w:right w:val="single" w:color="auto" w:sz="4" w:space="0"/>
            </w:tcBorders>
            <w:noWrap w:val="0"/>
            <w:vAlign w:val="center"/>
          </w:tcPr>
          <w:p w14:paraId="263789DB">
            <w:pPr>
              <w:spacing w:line="360" w:lineRule="auto"/>
              <w:rPr>
                <w:color w:val="auto"/>
                <w:highlight w:val="none"/>
              </w:rPr>
            </w:pPr>
          </w:p>
        </w:tc>
        <w:tc>
          <w:tcPr>
            <w:tcW w:w="666" w:type="dxa"/>
            <w:vMerge w:val="continue"/>
            <w:tcBorders>
              <w:left w:val="single" w:color="auto" w:sz="4" w:space="0"/>
              <w:right w:val="single" w:color="auto" w:sz="4" w:space="0"/>
            </w:tcBorders>
            <w:noWrap w:val="0"/>
            <w:vAlign w:val="center"/>
          </w:tcPr>
          <w:p w14:paraId="1EA9D5EB">
            <w:pPr>
              <w:spacing w:line="360" w:lineRule="auto"/>
              <w:rPr>
                <w:color w:val="auto"/>
                <w:highlight w:val="none"/>
              </w:rPr>
            </w:pPr>
          </w:p>
        </w:tc>
        <w:tc>
          <w:tcPr>
            <w:tcW w:w="1008" w:type="dxa"/>
            <w:vMerge w:val="continue"/>
            <w:tcBorders>
              <w:left w:val="single" w:color="auto" w:sz="4" w:space="0"/>
              <w:right w:val="single" w:color="auto" w:sz="4" w:space="0"/>
            </w:tcBorders>
            <w:noWrap w:val="0"/>
            <w:vAlign w:val="center"/>
          </w:tcPr>
          <w:p w14:paraId="43150B43">
            <w:pPr>
              <w:spacing w:line="360" w:lineRule="auto"/>
              <w:rPr>
                <w:color w:val="auto"/>
                <w:highlight w:val="none"/>
              </w:rPr>
            </w:pPr>
          </w:p>
        </w:tc>
        <w:tc>
          <w:tcPr>
            <w:tcW w:w="7735" w:type="dxa"/>
            <w:tcBorders>
              <w:top w:val="single" w:color="auto" w:sz="4" w:space="0"/>
              <w:left w:val="single" w:color="auto" w:sz="4" w:space="0"/>
              <w:bottom w:val="single" w:color="auto" w:sz="4" w:space="0"/>
              <w:right w:val="single" w:color="auto" w:sz="4" w:space="0"/>
            </w:tcBorders>
            <w:noWrap w:val="0"/>
            <w:vAlign w:val="center"/>
          </w:tcPr>
          <w:p w14:paraId="3AD6D51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（1）2023年以来为</w:t>
            </w:r>
            <w:r>
              <w:rPr>
                <w:rFonts w:hint="eastAsia" w:ascii="宋体" w:hAnsi="宋体" w:cs="宋体"/>
                <w:color w:val="auto"/>
                <w:szCs w:val="21"/>
                <w:highlight w:val="none"/>
                <w:lang w:eastAsia="zh-CN"/>
              </w:rPr>
              <w:t>市</w:t>
            </w:r>
            <w:r>
              <w:rPr>
                <w:rFonts w:hint="eastAsia" w:ascii="宋体" w:hAnsi="宋体" w:eastAsia="宋体" w:cs="宋体"/>
                <w:color w:val="auto"/>
                <w:szCs w:val="21"/>
                <w:highlight w:val="none"/>
              </w:rPr>
              <w:t>级（含）以上单位提供工业产业质量提升服务（提供合同或服务来源文件扫描件），每个产业得1分，满分3分。</w:t>
            </w:r>
          </w:p>
          <w:p w14:paraId="4DCE157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（2）2023年以来为</w:t>
            </w:r>
            <w:r>
              <w:rPr>
                <w:rFonts w:hint="eastAsia" w:ascii="宋体" w:hAnsi="宋体" w:cs="宋体"/>
                <w:color w:val="auto"/>
                <w:szCs w:val="21"/>
                <w:highlight w:val="none"/>
                <w:lang w:eastAsia="zh-CN"/>
              </w:rPr>
              <w:t>市</w:t>
            </w:r>
            <w:r>
              <w:rPr>
                <w:rFonts w:hint="eastAsia" w:ascii="宋体" w:hAnsi="宋体" w:eastAsia="宋体" w:cs="宋体"/>
                <w:color w:val="auto"/>
                <w:szCs w:val="21"/>
                <w:highlight w:val="none"/>
              </w:rPr>
              <w:t>级（含）以上单位提供生产企业质量技术帮扶“巡回问诊”或“提质强企”工作（提供合同或服务来源文件扫描件），每次得1分，满分2分。</w:t>
            </w:r>
          </w:p>
          <w:p w14:paraId="55B75A4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（3）2023年以来为</w:t>
            </w:r>
            <w:r>
              <w:rPr>
                <w:rFonts w:hint="eastAsia" w:ascii="宋体" w:hAnsi="宋体" w:cs="宋体"/>
                <w:color w:val="auto"/>
                <w:szCs w:val="21"/>
                <w:highlight w:val="none"/>
                <w:lang w:eastAsia="zh-CN"/>
              </w:rPr>
              <w:t>市</w:t>
            </w:r>
            <w:r>
              <w:rPr>
                <w:rFonts w:hint="eastAsia" w:ascii="宋体" w:hAnsi="宋体" w:eastAsia="宋体" w:cs="宋体"/>
                <w:color w:val="auto"/>
                <w:szCs w:val="21"/>
                <w:highlight w:val="none"/>
              </w:rPr>
              <w:t>级（含）以上单位提供缺陷消费品召回管理服务（提供合同或服务来源文件扫描件），每次得1分，满分2分。</w:t>
            </w:r>
          </w:p>
          <w:p w14:paraId="2330FBD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此项可累积计分，满分共</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tc>
      </w:tr>
      <w:tr w14:paraId="14D4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restart"/>
            <w:tcBorders>
              <w:top w:val="single" w:color="auto" w:sz="4" w:space="0"/>
              <w:left w:val="single" w:color="auto" w:sz="4" w:space="0"/>
              <w:right w:val="single" w:color="auto" w:sz="4" w:space="0"/>
            </w:tcBorders>
            <w:noWrap w:val="0"/>
            <w:vAlign w:val="center"/>
          </w:tcPr>
          <w:p w14:paraId="61B8063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66" w:type="dxa"/>
            <w:vMerge w:val="restart"/>
            <w:tcBorders>
              <w:top w:val="single" w:color="auto" w:sz="4" w:space="0"/>
              <w:left w:val="single" w:color="auto" w:sz="4" w:space="0"/>
              <w:right w:val="single" w:color="auto" w:sz="4" w:space="0"/>
            </w:tcBorders>
            <w:noWrap w:val="0"/>
            <w:vAlign w:val="center"/>
          </w:tcPr>
          <w:p w14:paraId="3761432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技术部分（</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rPr>
              <w:t xml:space="preserve">  分）</w:t>
            </w:r>
          </w:p>
        </w:tc>
        <w:tc>
          <w:tcPr>
            <w:tcW w:w="1008" w:type="dxa"/>
            <w:vMerge w:val="restart"/>
            <w:tcBorders>
              <w:top w:val="single" w:color="auto" w:sz="4" w:space="0"/>
              <w:left w:val="single" w:color="auto" w:sz="4" w:space="0"/>
              <w:right w:val="single" w:color="auto" w:sz="4" w:space="0"/>
            </w:tcBorders>
            <w:noWrap w:val="0"/>
            <w:vAlign w:val="center"/>
          </w:tcPr>
          <w:p w14:paraId="4CB41331">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szCs w:val="21"/>
                <w:highlight w:val="none"/>
              </w:rPr>
              <w:t>服务能力（3</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tc>
        <w:tc>
          <w:tcPr>
            <w:tcW w:w="7735" w:type="dxa"/>
            <w:tcBorders>
              <w:top w:val="single" w:color="auto" w:sz="4" w:space="0"/>
              <w:left w:val="single" w:color="auto" w:sz="4" w:space="0"/>
              <w:bottom w:val="single" w:color="auto" w:sz="4" w:space="0"/>
              <w:right w:val="single" w:color="auto" w:sz="4" w:space="0"/>
            </w:tcBorders>
            <w:noWrap w:val="0"/>
            <w:vAlign w:val="center"/>
          </w:tcPr>
          <w:p w14:paraId="5E37AB5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年以来相关部门组织举行的</w:t>
            </w:r>
            <w:r>
              <w:rPr>
                <w:rFonts w:hint="eastAsia" w:ascii="宋体" w:hAnsi="宋体" w:eastAsia="宋体" w:cs="宋体"/>
                <w:b/>
                <w:bCs/>
                <w:color w:val="auto"/>
                <w:szCs w:val="21"/>
                <w:highlight w:val="none"/>
                <w:lang w:eastAsia="zh-CN"/>
              </w:rPr>
              <w:t>工业</w:t>
            </w:r>
            <w:r>
              <w:rPr>
                <w:rFonts w:hint="eastAsia" w:ascii="宋体" w:hAnsi="宋体" w:eastAsia="宋体" w:cs="宋体"/>
                <w:b/>
                <w:bCs/>
                <w:color w:val="auto"/>
                <w:szCs w:val="21"/>
                <w:highlight w:val="none"/>
              </w:rPr>
              <w:t>产品</w:t>
            </w:r>
            <w:r>
              <w:rPr>
                <w:rFonts w:hint="eastAsia" w:ascii="宋体" w:hAnsi="宋体" w:eastAsia="宋体" w:cs="宋体"/>
                <w:color w:val="auto"/>
                <w:szCs w:val="21"/>
                <w:highlight w:val="none"/>
              </w:rPr>
              <w:t>实验室能力验证项目结果满意情况。提供有效证明材料。</w:t>
            </w:r>
          </w:p>
          <w:p w14:paraId="48E9FDB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（1）未参加能力验证：0分；</w:t>
            </w:r>
          </w:p>
          <w:p w14:paraId="574D4874">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（2）提供每次满意结果的有效证明材料得0.5分，满分</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w:t>
            </w:r>
          </w:p>
        </w:tc>
      </w:tr>
      <w:tr w14:paraId="4A18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tcBorders>
              <w:left w:val="single" w:color="auto" w:sz="4" w:space="0"/>
              <w:bottom w:val="single" w:color="auto" w:sz="4" w:space="0"/>
              <w:right w:val="single" w:color="auto" w:sz="4" w:space="0"/>
            </w:tcBorders>
            <w:noWrap w:val="0"/>
            <w:vAlign w:val="center"/>
          </w:tcPr>
          <w:p w14:paraId="643BF4AA">
            <w:pPr>
              <w:spacing w:line="360" w:lineRule="auto"/>
              <w:jc w:val="center"/>
              <w:rPr>
                <w:rFonts w:hint="eastAsia" w:ascii="宋体" w:hAnsi="宋体" w:eastAsia="宋体" w:cs="宋体"/>
                <w:color w:val="auto"/>
                <w:szCs w:val="21"/>
                <w:highlight w:val="none"/>
              </w:rPr>
            </w:pPr>
          </w:p>
        </w:tc>
        <w:tc>
          <w:tcPr>
            <w:tcW w:w="666" w:type="dxa"/>
            <w:vMerge w:val="continue"/>
            <w:tcBorders>
              <w:left w:val="single" w:color="auto" w:sz="4" w:space="0"/>
              <w:bottom w:val="single" w:color="auto" w:sz="4" w:space="0"/>
              <w:right w:val="single" w:color="auto" w:sz="4" w:space="0"/>
            </w:tcBorders>
            <w:noWrap w:val="0"/>
            <w:vAlign w:val="center"/>
          </w:tcPr>
          <w:p w14:paraId="376023B7">
            <w:pPr>
              <w:spacing w:line="360" w:lineRule="auto"/>
              <w:jc w:val="center"/>
              <w:rPr>
                <w:rFonts w:hint="eastAsia" w:ascii="宋体" w:hAnsi="宋体" w:eastAsia="宋体" w:cs="宋体"/>
                <w:color w:val="auto"/>
                <w:szCs w:val="21"/>
                <w:highlight w:val="none"/>
              </w:rPr>
            </w:pPr>
          </w:p>
        </w:tc>
        <w:tc>
          <w:tcPr>
            <w:tcW w:w="1008" w:type="dxa"/>
            <w:vMerge w:val="continue"/>
            <w:tcBorders>
              <w:left w:val="single" w:color="auto" w:sz="4" w:space="0"/>
              <w:right w:val="single" w:color="auto" w:sz="4" w:space="0"/>
            </w:tcBorders>
            <w:noWrap w:val="0"/>
            <w:vAlign w:val="center"/>
          </w:tcPr>
          <w:p w14:paraId="295DA0F6">
            <w:pPr>
              <w:widowControl/>
              <w:spacing w:line="360" w:lineRule="auto"/>
              <w:jc w:val="left"/>
              <w:rPr>
                <w:rFonts w:hint="eastAsia" w:ascii="宋体" w:hAnsi="宋体" w:eastAsia="宋体" w:cs="宋体"/>
                <w:color w:val="auto"/>
                <w:szCs w:val="21"/>
                <w:highlight w:val="none"/>
              </w:rPr>
            </w:pPr>
          </w:p>
        </w:tc>
        <w:tc>
          <w:tcPr>
            <w:tcW w:w="7735" w:type="dxa"/>
            <w:tcBorders>
              <w:top w:val="single" w:color="auto" w:sz="4" w:space="0"/>
              <w:left w:val="single" w:color="auto" w:sz="4" w:space="0"/>
              <w:bottom w:val="single" w:color="auto" w:sz="4" w:space="0"/>
              <w:right w:val="single" w:color="auto" w:sz="4" w:space="0"/>
            </w:tcBorders>
            <w:noWrap w:val="0"/>
            <w:vAlign w:val="center"/>
          </w:tcPr>
          <w:p w14:paraId="184F46B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2023</w:t>
            </w:r>
            <w:r>
              <w:rPr>
                <w:rFonts w:hint="eastAsia" w:ascii="宋体" w:hAnsi="宋体" w:eastAsia="宋体" w:cs="宋体"/>
                <w:color w:val="auto"/>
                <w:szCs w:val="21"/>
                <w:highlight w:val="none"/>
              </w:rPr>
              <w:t>年以来主持或者参与</w:t>
            </w:r>
            <w:r>
              <w:rPr>
                <w:rFonts w:hint="eastAsia" w:ascii="宋体" w:hAnsi="宋体" w:eastAsia="宋体" w:cs="宋体"/>
                <w:b/>
                <w:bCs/>
                <w:color w:val="auto"/>
                <w:szCs w:val="21"/>
                <w:highlight w:val="none"/>
                <w:lang w:eastAsia="zh-CN"/>
              </w:rPr>
              <w:t>工业产品</w:t>
            </w:r>
            <w:r>
              <w:rPr>
                <w:rFonts w:hint="eastAsia" w:ascii="宋体" w:hAnsi="宋体" w:eastAsia="宋体" w:cs="宋体"/>
                <w:color w:val="auto"/>
                <w:szCs w:val="21"/>
                <w:highlight w:val="none"/>
              </w:rPr>
              <w:t>类国家、行业标准、地方标准、团体标准制修订（已发布）。作为标准起草人或单位（排名前</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）。提供相关证明文件扫描件且加盖</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公章。</w:t>
            </w:r>
          </w:p>
          <w:p w14:paraId="40151B2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（1）每项国家标准2分；</w:t>
            </w:r>
          </w:p>
          <w:p w14:paraId="49986DE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（2）每项行业标准得1分；</w:t>
            </w:r>
          </w:p>
          <w:p w14:paraId="68476A3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（3）每项地方标准、团体标准得0.5分，最高得3分；</w:t>
            </w:r>
          </w:p>
          <w:p w14:paraId="102B3AF5">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此项可累积计分，满分</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r>
      <w:tr w14:paraId="76F5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tcBorders>
              <w:left w:val="single" w:color="auto" w:sz="4" w:space="0"/>
              <w:bottom w:val="single" w:color="auto" w:sz="4" w:space="0"/>
              <w:right w:val="single" w:color="auto" w:sz="4" w:space="0"/>
            </w:tcBorders>
            <w:noWrap w:val="0"/>
            <w:vAlign w:val="center"/>
          </w:tcPr>
          <w:p w14:paraId="1AEF3DFC">
            <w:pPr>
              <w:spacing w:line="360" w:lineRule="auto"/>
              <w:jc w:val="center"/>
              <w:rPr>
                <w:rFonts w:hint="eastAsia" w:ascii="宋体" w:hAnsi="宋体" w:eastAsia="宋体" w:cs="宋体"/>
                <w:color w:val="auto"/>
                <w:szCs w:val="21"/>
                <w:highlight w:val="none"/>
              </w:rPr>
            </w:pPr>
          </w:p>
        </w:tc>
        <w:tc>
          <w:tcPr>
            <w:tcW w:w="666" w:type="dxa"/>
            <w:vMerge w:val="continue"/>
            <w:tcBorders>
              <w:left w:val="single" w:color="auto" w:sz="4" w:space="0"/>
              <w:bottom w:val="single" w:color="auto" w:sz="4" w:space="0"/>
              <w:right w:val="single" w:color="auto" w:sz="4" w:space="0"/>
            </w:tcBorders>
            <w:noWrap w:val="0"/>
            <w:vAlign w:val="center"/>
          </w:tcPr>
          <w:p w14:paraId="3FC3C433">
            <w:pPr>
              <w:spacing w:line="360" w:lineRule="auto"/>
              <w:jc w:val="center"/>
              <w:rPr>
                <w:rFonts w:hint="eastAsia" w:ascii="宋体" w:hAnsi="宋体" w:eastAsia="宋体" w:cs="宋体"/>
                <w:color w:val="auto"/>
                <w:szCs w:val="21"/>
                <w:highlight w:val="none"/>
              </w:rPr>
            </w:pPr>
          </w:p>
        </w:tc>
        <w:tc>
          <w:tcPr>
            <w:tcW w:w="1008" w:type="dxa"/>
            <w:vMerge w:val="continue"/>
            <w:tcBorders>
              <w:left w:val="single" w:color="auto" w:sz="4" w:space="0"/>
              <w:right w:val="single" w:color="auto" w:sz="4" w:space="0"/>
            </w:tcBorders>
            <w:noWrap w:val="0"/>
            <w:vAlign w:val="center"/>
          </w:tcPr>
          <w:p w14:paraId="7FFEEBBC">
            <w:pPr>
              <w:widowControl/>
              <w:spacing w:line="360" w:lineRule="auto"/>
              <w:jc w:val="left"/>
              <w:rPr>
                <w:rFonts w:hint="eastAsia" w:ascii="宋体" w:hAnsi="宋体" w:eastAsia="宋体" w:cs="宋体"/>
                <w:color w:val="auto"/>
                <w:highlight w:val="none"/>
              </w:rPr>
            </w:pPr>
          </w:p>
        </w:tc>
        <w:tc>
          <w:tcPr>
            <w:tcW w:w="7735" w:type="dxa"/>
            <w:tcBorders>
              <w:top w:val="single" w:color="auto" w:sz="4" w:space="0"/>
              <w:left w:val="single" w:color="auto" w:sz="4" w:space="0"/>
              <w:bottom w:val="single" w:color="auto" w:sz="4" w:space="0"/>
              <w:right w:val="single" w:color="auto" w:sz="4" w:space="0"/>
            </w:tcBorders>
            <w:noWrap w:val="0"/>
            <w:vAlign w:val="center"/>
          </w:tcPr>
          <w:p w14:paraId="63AE876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w:t>
            </w:r>
            <w:r>
              <w:rPr>
                <w:rFonts w:hint="eastAsia" w:ascii="宋体" w:hAnsi="宋体" w:eastAsia="宋体" w:cs="宋体"/>
                <w:b/>
                <w:bCs/>
                <w:color w:val="auto"/>
                <w:szCs w:val="21"/>
                <w:highlight w:val="none"/>
              </w:rPr>
              <w:t>所</w:t>
            </w:r>
            <w:r>
              <w:rPr>
                <w:rFonts w:hint="eastAsia" w:ascii="宋体" w:hAnsi="宋体" w:eastAsia="宋体" w:cs="宋体"/>
                <w:b/>
                <w:bCs/>
                <w:color w:val="auto"/>
                <w:szCs w:val="21"/>
                <w:highlight w:val="none"/>
                <w:lang w:val="en-US" w:eastAsia="zh-CN"/>
              </w:rPr>
              <w:t>投</w:t>
            </w:r>
            <w:r>
              <w:rPr>
                <w:rFonts w:hint="eastAsia" w:ascii="宋体" w:hAnsi="宋体" w:eastAsia="宋体" w:cs="宋体"/>
                <w:b/>
                <w:bCs/>
                <w:color w:val="auto"/>
                <w:szCs w:val="21"/>
                <w:highlight w:val="none"/>
              </w:rPr>
              <w:t>分标中任一产品</w:t>
            </w:r>
            <w:r>
              <w:rPr>
                <w:rFonts w:hint="eastAsia" w:ascii="宋体" w:hAnsi="宋体" w:eastAsia="宋体" w:cs="宋体"/>
                <w:color w:val="auto"/>
                <w:szCs w:val="21"/>
                <w:highlight w:val="none"/>
              </w:rPr>
              <w:t>的监督抽查服务方案。方案中需要对本项目任务部署、抽样、样品接收及核查、检验、配合异议处理及复检的工作内容和安排、检验结果的处理、保密工作、检验结果数据追溯、应急工作的实施等内容进行合理安排和制定。</w:t>
            </w:r>
          </w:p>
          <w:p w14:paraId="40B761D9">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一档（1分）：服务方案简单复制原有承检工作规范及抽查任务手册内容，无针对性</w:t>
            </w:r>
            <w:r>
              <w:rPr>
                <w:rFonts w:hint="eastAsia" w:ascii="宋体" w:hAnsi="宋体" w:eastAsia="宋体" w:cs="宋体"/>
                <w:color w:val="auto"/>
                <w:szCs w:val="21"/>
                <w:highlight w:val="none"/>
                <w:lang w:eastAsia="zh-CN"/>
              </w:rPr>
              <w:t>；</w:t>
            </w:r>
          </w:p>
          <w:p w14:paraId="3CE101AE">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二档（3分）：服务方案对任务部署、抽样、样品接收及核查、检验、配合异议处理及复检的工作内容和安排、检验结果的处理、保密工作、检验结果数据追溯、应急工作的实施等内容有描述</w:t>
            </w:r>
            <w:r>
              <w:rPr>
                <w:rFonts w:hint="eastAsia" w:ascii="宋体" w:hAnsi="宋体" w:eastAsia="宋体" w:cs="宋体"/>
                <w:color w:val="auto"/>
                <w:szCs w:val="21"/>
                <w:highlight w:val="none"/>
                <w:lang w:eastAsia="zh-CN"/>
              </w:rPr>
              <w:t>；</w:t>
            </w:r>
          </w:p>
          <w:p w14:paraId="2F8DF8A2">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三档（5分）：服务方案详细，有任务部署计划，有抽样、样品接收及核查、检验、配合异议处理及复检的工作内容和安排的描述，对检验结果的处理、保密工作、检验结果数据追溯、应急工作的实施等内容有提及</w:t>
            </w:r>
            <w:r>
              <w:rPr>
                <w:rFonts w:hint="eastAsia" w:ascii="宋体" w:hAnsi="宋体" w:eastAsia="宋体" w:cs="宋体"/>
                <w:color w:val="auto"/>
                <w:szCs w:val="21"/>
                <w:highlight w:val="none"/>
                <w:lang w:eastAsia="zh-CN"/>
              </w:rPr>
              <w:t>；</w:t>
            </w:r>
          </w:p>
          <w:p w14:paraId="3A75DDEA">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四档（7分）：服务方案详细，任务部署合理，有针对性，有清晰的任务进度跟踪机制，对抽样、样品接收及核查、检验、配合异议处理及复检的工作内容和安排有详细描述，对检验结果的处理、保密工作、检验结果数据追溯有完善的管理制度，有详细的应急预案，涵盖各种紧急情况。</w:t>
            </w:r>
          </w:p>
        </w:tc>
      </w:tr>
      <w:tr w14:paraId="2F51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tcBorders>
              <w:left w:val="single" w:color="auto" w:sz="4" w:space="0"/>
              <w:bottom w:val="single" w:color="auto" w:sz="4" w:space="0"/>
              <w:right w:val="single" w:color="auto" w:sz="4" w:space="0"/>
            </w:tcBorders>
            <w:noWrap w:val="0"/>
            <w:vAlign w:val="center"/>
          </w:tcPr>
          <w:p w14:paraId="02233462">
            <w:pPr>
              <w:spacing w:line="360" w:lineRule="auto"/>
              <w:jc w:val="center"/>
              <w:rPr>
                <w:rFonts w:hint="eastAsia" w:ascii="宋体" w:hAnsi="宋体" w:eastAsia="宋体" w:cs="宋体"/>
                <w:color w:val="auto"/>
                <w:szCs w:val="21"/>
                <w:highlight w:val="none"/>
              </w:rPr>
            </w:pPr>
          </w:p>
        </w:tc>
        <w:tc>
          <w:tcPr>
            <w:tcW w:w="666" w:type="dxa"/>
            <w:vMerge w:val="continue"/>
            <w:tcBorders>
              <w:left w:val="single" w:color="auto" w:sz="4" w:space="0"/>
              <w:bottom w:val="single" w:color="auto" w:sz="4" w:space="0"/>
              <w:right w:val="single" w:color="auto" w:sz="4" w:space="0"/>
            </w:tcBorders>
            <w:noWrap w:val="0"/>
            <w:vAlign w:val="center"/>
          </w:tcPr>
          <w:p w14:paraId="4182F07B">
            <w:pPr>
              <w:spacing w:line="360" w:lineRule="auto"/>
              <w:jc w:val="center"/>
              <w:rPr>
                <w:rFonts w:hint="eastAsia" w:ascii="宋体" w:hAnsi="宋体" w:eastAsia="宋体" w:cs="宋体"/>
                <w:color w:val="auto"/>
                <w:szCs w:val="21"/>
                <w:highlight w:val="none"/>
              </w:rPr>
            </w:pPr>
          </w:p>
        </w:tc>
        <w:tc>
          <w:tcPr>
            <w:tcW w:w="1008" w:type="dxa"/>
            <w:vMerge w:val="continue"/>
            <w:tcBorders>
              <w:left w:val="single" w:color="auto" w:sz="4" w:space="0"/>
              <w:right w:val="single" w:color="auto" w:sz="4" w:space="0"/>
            </w:tcBorders>
            <w:noWrap w:val="0"/>
            <w:vAlign w:val="center"/>
          </w:tcPr>
          <w:p w14:paraId="269A01D2">
            <w:pPr>
              <w:widowControl/>
              <w:spacing w:line="360" w:lineRule="auto"/>
              <w:jc w:val="left"/>
              <w:rPr>
                <w:rFonts w:hint="eastAsia" w:ascii="宋体" w:hAnsi="宋体" w:eastAsia="宋体" w:cs="宋体"/>
                <w:color w:val="auto"/>
                <w:highlight w:val="none"/>
              </w:rPr>
            </w:pPr>
          </w:p>
        </w:tc>
        <w:tc>
          <w:tcPr>
            <w:tcW w:w="7735" w:type="dxa"/>
            <w:tcBorders>
              <w:top w:val="single" w:color="auto" w:sz="4" w:space="0"/>
              <w:left w:val="single" w:color="auto" w:sz="4" w:space="0"/>
              <w:bottom w:val="single" w:color="auto" w:sz="4" w:space="0"/>
              <w:right w:val="single" w:color="auto" w:sz="4" w:space="0"/>
            </w:tcBorders>
            <w:noWrap w:val="0"/>
            <w:vAlign w:val="center"/>
          </w:tcPr>
          <w:p w14:paraId="4250ECC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2023年以来，供应商</w:t>
            </w:r>
            <w:r>
              <w:rPr>
                <w:rFonts w:hint="eastAsia" w:ascii="宋体" w:hAnsi="宋体" w:eastAsia="宋体" w:cs="宋体"/>
                <w:color w:val="auto"/>
                <w:szCs w:val="21"/>
                <w:highlight w:val="none"/>
                <w:lang w:eastAsia="zh-CN"/>
              </w:rPr>
              <w:t>承担</w:t>
            </w:r>
            <w:r>
              <w:rPr>
                <w:rFonts w:hint="eastAsia" w:ascii="宋体" w:hAnsi="宋体" w:eastAsia="宋体" w:cs="宋体"/>
                <w:color w:val="auto"/>
                <w:kern w:val="0"/>
                <w:szCs w:val="21"/>
                <w:highlight w:val="none"/>
              </w:rPr>
              <w:t>过</w:t>
            </w:r>
            <w:r>
              <w:rPr>
                <w:rFonts w:hint="eastAsia" w:ascii="宋体" w:hAnsi="宋体" w:eastAsia="宋体" w:cs="宋体"/>
                <w:b/>
                <w:bCs/>
                <w:color w:val="auto"/>
                <w:kern w:val="0"/>
                <w:szCs w:val="21"/>
                <w:highlight w:val="none"/>
              </w:rPr>
              <w:t>所</w:t>
            </w:r>
            <w:r>
              <w:rPr>
                <w:rFonts w:hint="eastAsia" w:ascii="宋体" w:hAnsi="宋体" w:eastAsia="宋体" w:cs="宋体"/>
                <w:b/>
                <w:bCs/>
                <w:color w:val="auto"/>
                <w:kern w:val="0"/>
                <w:szCs w:val="21"/>
                <w:highlight w:val="none"/>
                <w:lang w:val="en-US" w:eastAsia="zh-CN"/>
              </w:rPr>
              <w:t>投</w:t>
            </w:r>
            <w:r>
              <w:rPr>
                <w:rFonts w:hint="eastAsia" w:ascii="宋体" w:hAnsi="宋体" w:eastAsia="宋体" w:cs="宋体"/>
                <w:b/>
                <w:bCs/>
                <w:color w:val="auto"/>
                <w:kern w:val="0"/>
                <w:szCs w:val="21"/>
                <w:highlight w:val="none"/>
              </w:rPr>
              <w:t>分标中任</w:t>
            </w:r>
            <w:r>
              <w:rPr>
                <w:rFonts w:hint="eastAsia" w:ascii="宋体" w:hAnsi="宋体" w:cs="宋体"/>
                <w:b/>
                <w:bCs/>
                <w:color w:val="auto"/>
                <w:kern w:val="0"/>
                <w:szCs w:val="21"/>
                <w:highlight w:val="none"/>
                <w:lang w:eastAsia="zh-CN"/>
              </w:rPr>
              <w:t>一</w:t>
            </w:r>
            <w:r>
              <w:rPr>
                <w:rFonts w:hint="eastAsia" w:ascii="宋体" w:hAnsi="宋体" w:eastAsia="宋体" w:cs="宋体"/>
                <w:b/>
                <w:bCs/>
                <w:color w:val="auto"/>
                <w:kern w:val="0"/>
                <w:szCs w:val="21"/>
                <w:highlight w:val="none"/>
              </w:rPr>
              <w:t>产品</w:t>
            </w:r>
            <w:r>
              <w:rPr>
                <w:rFonts w:hint="eastAsia" w:ascii="宋体" w:hAnsi="宋体" w:eastAsia="宋体" w:cs="宋体"/>
                <w:color w:val="auto"/>
                <w:kern w:val="0"/>
                <w:szCs w:val="21"/>
                <w:highlight w:val="none"/>
                <w:lang w:eastAsia="zh-CN"/>
              </w:rPr>
              <w:t>的监督抽查任务中，提供向组织抽查部门提交过的</w:t>
            </w:r>
            <w:r>
              <w:rPr>
                <w:rFonts w:hint="eastAsia" w:ascii="宋体" w:hAnsi="宋体" w:eastAsia="宋体" w:cs="宋体"/>
                <w:color w:val="auto"/>
                <w:kern w:val="0"/>
                <w:szCs w:val="21"/>
                <w:highlight w:val="none"/>
                <w:lang w:val="en-US" w:eastAsia="zh-CN"/>
              </w:rPr>
              <w:t>1份</w:t>
            </w:r>
            <w:r>
              <w:rPr>
                <w:rFonts w:hint="eastAsia" w:ascii="宋体" w:hAnsi="宋体" w:eastAsia="宋体" w:cs="宋体"/>
                <w:color w:val="auto"/>
                <w:kern w:val="0"/>
                <w:szCs w:val="21"/>
                <w:highlight w:val="none"/>
                <w:lang w:eastAsia="zh-CN"/>
              </w:rPr>
              <w:t>分析报告</w:t>
            </w:r>
            <w:r>
              <w:rPr>
                <w:rFonts w:hint="eastAsia" w:ascii="Times New Roman" w:hAnsi="Times New Roman" w:cs="Times New Roman"/>
                <w:color w:val="auto"/>
                <w:highlight w:val="none"/>
                <w:lang w:eastAsia="zh-CN"/>
              </w:rPr>
              <w:t>（有单位公章，扫描件）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rPr>
              <w:t>分析报告需体现抽</w:t>
            </w:r>
            <w:r>
              <w:rPr>
                <w:rFonts w:hint="eastAsia" w:ascii="宋体" w:hAnsi="宋体" w:eastAsia="宋体" w:cs="宋体"/>
                <w:color w:val="auto"/>
                <w:szCs w:val="21"/>
                <w:highlight w:val="none"/>
                <w:lang w:eastAsia="zh-CN"/>
              </w:rPr>
              <w:t>查</w:t>
            </w:r>
            <w:r>
              <w:rPr>
                <w:rFonts w:hint="eastAsia" w:ascii="宋体" w:hAnsi="宋体" w:eastAsia="宋体" w:cs="宋体"/>
                <w:color w:val="auto"/>
                <w:szCs w:val="21"/>
                <w:highlight w:val="none"/>
              </w:rPr>
              <w:t>工作总结、质量分析</w:t>
            </w:r>
            <w:r>
              <w:rPr>
                <w:rFonts w:hint="eastAsia" w:ascii="宋体" w:hAnsi="宋体" w:eastAsia="宋体" w:cs="宋体"/>
                <w:color w:val="auto"/>
                <w:szCs w:val="21"/>
                <w:highlight w:val="none"/>
                <w:lang w:eastAsia="zh-CN"/>
              </w:rPr>
              <w:t>及解决问题对策建议等</w:t>
            </w:r>
            <w:r>
              <w:rPr>
                <w:rFonts w:hint="eastAsia" w:ascii="宋体" w:hAnsi="宋体" w:eastAsia="宋体" w:cs="宋体"/>
                <w:color w:val="auto"/>
                <w:szCs w:val="21"/>
                <w:highlight w:val="none"/>
              </w:rPr>
              <w:t>。</w:t>
            </w:r>
          </w:p>
          <w:p w14:paraId="3DA74FB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一档（2分）：分析报告仅能反应监督抽查任务的工作成果，质量分析无针对性；</w:t>
            </w:r>
          </w:p>
          <w:p w14:paraId="5E2DC2B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二档（5分）：分析报告能反应监督抽查任务工作情况，有简单的成果质量分析，能提出解决问题对策建议；</w:t>
            </w:r>
          </w:p>
          <w:p w14:paraId="62D2E7CA">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三档（7分）：分析报告内容条理清晰，能反应出抽查工作的过程及成效，对成果质量分析详细，有切实可行的解决问题对策建议。</w:t>
            </w:r>
          </w:p>
        </w:tc>
      </w:tr>
      <w:tr w14:paraId="1C3A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tcBorders>
              <w:left w:val="single" w:color="auto" w:sz="4" w:space="0"/>
              <w:bottom w:val="single" w:color="auto" w:sz="4" w:space="0"/>
              <w:right w:val="single" w:color="auto" w:sz="4" w:space="0"/>
            </w:tcBorders>
            <w:noWrap w:val="0"/>
            <w:vAlign w:val="center"/>
          </w:tcPr>
          <w:p w14:paraId="763DD74F">
            <w:pPr>
              <w:spacing w:line="360" w:lineRule="auto"/>
              <w:jc w:val="center"/>
              <w:rPr>
                <w:rFonts w:hint="eastAsia" w:ascii="宋体" w:hAnsi="宋体" w:eastAsia="宋体" w:cs="宋体"/>
                <w:color w:val="auto"/>
                <w:szCs w:val="21"/>
                <w:highlight w:val="none"/>
              </w:rPr>
            </w:pPr>
          </w:p>
        </w:tc>
        <w:tc>
          <w:tcPr>
            <w:tcW w:w="666" w:type="dxa"/>
            <w:vMerge w:val="continue"/>
            <w:tcBorders>
              <w:left w:val="single" w:color="auto" w:sz="4" w:space="0"/>
              <w:bottom w:val="single" w:color="auto" w:sz="4" w:space="0"/>
              <w:right w:val="single" w:color="auto" w:sz="4" w:space="0"/>
            </w:tcBorders>
            <w:noWrap w:val="0"/>
            <w:vAlign w:val="center"/>
          </w:tcPr>
          <w:p w14:paraId="72F9FF51">
            <w:pPr>
              <w:spacing w:line="360" w:lineRule="auto"/>
              <w:jc w:val="center"/>
              <w:rPr>
                <w:rFonts w:hint="eastAsia" w:ascii="宋体" w:hAnsi="宋体" w:eastAsia="宋体" w:cs="宋体"/>
                <w:color w:val="auto"/>
                <w:szCs w:val="21"/>
                <w:highlight w:val="none"/>
              </w:rPr>
            </w:pPr>
          </w:p>
        </w:tc>
        <w:tc>
          <w:tcPr>
            <w:tcW w:w="1008" w:type="dxa"/>
            <w:vMerge w:val="continue"/>
            <w:tcBorders>
              <w:left w:val="single" w:color="auto" w:sz="4" w:space="0"/>
              <w:right w:val="single" w:color="auto" w:sz="4" w:space="0"/>
            </w:tcBorders>
            <w:noWrap w:val="0"/>
            <w:vAlign w:val="center"/>
          </w:tcPr>
          <w:p w14:paraId="276DD1E5">
            <w:pPr>
              <w:widowControl/>
              <w:spacing w:line="360" w:lineRule="auto"/>
              <w:jc w:val="left"/>
              <w:rPr>
                <w:rFonts w:hint="eastAsia" w:ascii="宋体" w:hAnsi="宋体" w:eastAsia="宋体" w:cs="宋体"/>
                <w:color w:val="auto"/>
                <w:highlight w:val="none"/>
              </w:rPr>
            </w:pPr>
          </w:p>
        </w:tc>
        <w:tc>
          <w:tcPr>
            <w:tcW w:w="7735" w:type="dxa"/>
            <w:tcBorders>
              <w:top w:val="single" w:color="auto" w:sz="4" w:space="0"/>
              <w:left w:val="single" w:color="auto" w:sz="4" w:space="0"/>
              <w:bottom w:val="single" w:color="auto" w:sz="4" w:space="0"/>
              <w:right w:val="single" w:color="auto" w:sz="4" w:space="0"/>
            </w:tcBorders>
            <w:noWrap w:val="0"/>
            <w:vAlign w:val="center"/>
          </w:tcPr>
          <w:p w14:paraId="063B745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抽样可视化平台及录像设备投入（满分5分）：</w:t>
            </w:r>
          </w:p>
          <w:p w14:paraId="20E8190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配备抽样可视化监控系统平台，同时配合单兵视频实时记录终端（执法记录仪）开展抽样记录。可支持实时存储与调看监控图像，支持监控图像实时、分时共享给抽检任务下达部门，方便下达部门监督与指挥。同时配备抽样可视化监控系统平台及单兵视频实时记录终端（执法记录仪）的，每台套得0.5分，满分</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7876D83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（2）仅配备执法记录仪的（执法记录仪能至少满足40小时的录像存储，单次使用续航8小时以上），每台套得0.2分，满分4分；</w:t>
            </w:r>
          </w:p>
          <w:p w14:paraId="02B080B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（3）仅配备相机、录像机的，每台套得0.1分，满分2分；</w:t>
            </w:r>
          </w:p>
          <w:p w14:paraId="34DE165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（4）其他的，不得分。</w:t>
            </w:r>
          </w:p>
          <w:p w14:paraId="374E12D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此项不累积计分。</w:t>
            </w:r>
          </w:p>
          <w:p w14:paraId="3D7E7334">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注：须提供抽样图像和视频设备清单、产权证明（供应商的购置合同或发票）；配备抽样可视化监控平台的须提供系统服务或开发合同、单兵设备及管理系统截图（须提供抽样图像和视频设备清单、产权证明（购置合同或发票）；配备抽样可视化监控平台的须提供系统服务或开发合同、单兵设备及管理系统截图（供应商须提供平台软件登录端口或手机APP安装二维码、测试账号及密码以便评审专家现场备查）。</w:t>
            </w:r>
          </w:p>
        </w:tc>
      </w:tr>
      <w:tr w14:paraId="2119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426" w:type="dxa"/>
            <w:vMerge w:val="continue"/>
            <w:tcBorders>
              <w:left w:val="single" w:color="auto" w:sz="4" w:space="0"/>
              <w:bottom w:val="single" w:color="auto" w:sz="4" w:space="0"/>
              <w:right w:val="single" w:color="auto" w:sz="4" w:space="0"/>
            </w:tcBorders>
            <w:noWrap w:val="0"/>
            <w:vAlign w:val="center"/>
          </w:tcPr>
          <w:p w14:paraId="6FC9E5D0">
            <w:pPr>
              <w:spacing w:line="360" w:lineRule="auto"/>
              <w:jc w:val="center"/>
              <w:rPr>
                <w:rFonts w:hint="eastAsia" w:ascii="宋体" w:hAnsi="宋体" w:eastAsia="宋体" w:cs="宋体"/>
                <w:color w:val="auto"/>
                <w:szCs w:val="21"/>
                <w:highlight w:val="none"/>
              </w:rPr>
            </w:pPr>
          </w:p>
        </w:tc>
        <w:tc>
          <w:tcPr>
            <w:tcW w:w="666" w:type="dxa"/>
            <w:vMerge w:val="continue"/>
            <w:tcBorders>
              <w:left w:val="single" w:color="auto" w:sz="4" w:space="0"/>
              <w:bottom w:val="single" w:color="auto" w:sz="4" w:space="0"/>
              <w:right w:val="single" w:color="auto" w:sz="4" w:space="0"/>
            </w:tcBorders>
            <w:noWrap w:val="0"/>
            <w:vAlign w:val="center"/>
          </w:tcPr>
          <w:p w14:paraId="64E1801C">
            <w:pPr>
              <w:spacing w:line="360" w:lineRule="auto"/>
              <w:jc w:val="center"/>
              <w:rPr>
                <w:rFonts w:hint="eastAsia" w:ascii="宋体" w:hAnsi="宋体" w:eastAsia="宋体" w:cs="宋体"/>
                <w:color w:val="auto"/>
                <w:szCs w:val="21"/>
                <w:highlight w:val="none"/>
              </w:rPr>
            </w:pPr>
          </w:p>
        </w:tc>
        <w:tc>
          <w:tcPr>
            <w:tcW w:w="1008" w:type="dxa"/>
            <w:vMerge w:val="restart"/>
            <w:tcBorders>
              <w:top w:val="single" w:color="auto" w:sz="4" w:space="0"/>
              <w:left w:val="single" w:color="auto" w:sz="4" w:space="0"/>
              <w:right w:val="single" w:color="auto" w:sz="4" w:space="0"/>
            </w:tcBorders>
            <w:noWrap w:val="0"/>
            <w:vAlign w:val="center"/>
          </w:tcPr>
          <w:p w14:paraId="6F0A056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综合科研实力（</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w:t>
            </w:r>
          </w:p>
        </w:tc>
        <w:tc>
          <w:tcPr>
            <w:tcW w:w="7735" w:type="dxa"/>
            <w:tcBorders>
              <w:top w:val="single" w:color="auto" w:sz="4" w:space="0"/>
              <w:left w:val="single" w:color="auto" w:sz="4" w:space="0"/>
              <w:bottom w:val="single" w:color="auto" w:sz="4" w:space="0"/>
              <w:right w:val="single" w:color="auto" w:sz="4" w:space="0"/>
            </w:tcBorders>
            <w:noWrap w:val="0"/>
            <w:vAlign w:val="center"/>
          </w:tcPr>
          <w:p w14:paraId="40FD32E9">
            <w:pPr>
              <w:spacing w:line="360" w:lineRule="auto"/>
              <w:rPr>
                <w:rFonts w:hint="eastAsia" w:ascii="宋体" w:hAnsi="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年以来承担过</w:t>
            </w:r>
            <w:r>
              <w:rPr>
                <w:rFonts w:hint="eastAsia" w:ascii="宋体" w:hAnsi="宋体" w:eastAsia="宋体" w:cs="宋体"/>
                <w:b/>
                <w:bCs/>
                <w:color w:val="auto"/>
                <w:szCs w:val="21"/>
                <w:highlight w:val="none"/>
              </w:rPr>
              <w:t>所</w:t>
            </w:r>
            <w:r>
              <w:rPr>
                <w:rFonts w:hint="eastAsia" w:ascii="宋体" w:hAnsi="宋体" w:eastAsia="宋体" w:cs="宋体"/>
                <w:b/>
                <w:bCs/>
                <w:color w:val="auto"/>
                <w:szCs w:val="21"/>
                <w:highlight w:val="none"/>
                <w:lang w:val="en-US" w:eastAsia="zh-CN"/>
              </w:rPr>
              <w:t>投</w:t>
            </w:r>
            <w:r>
              <w:rPr>
                <w:rFonts w:hint="eastAsia" w:ascii="宋体" w:hAnsi="宋体" w:eastAsia="宋体" w:cs="宋体"/>
                <w:b/>
                <w:bCs/>
                <w:color w:val="auto"/>
                <w:szCs w:val="21"/>
                <w:highlight w:val="none"/>
              </w:rPr>
              <w:t>分标</w:t>
            </w:r>
            <w:r>
              <w:rPr>
                <w:rFonts w:hint="eastAsia" w:ascii="宋体" w:hAnsi="宋体" w:eastAsia="宋体" w:cs="宋体"/>
                <w:b/>
                <w:bCs/>
                <w:color w:val="auto"/>
                <w:szCs w:val="21"/>
                <w:highlight w:val="none"/>
                <w:lang w:eastAsia="zh-CN"/>
              </w:rPr>
              <w:t>任一</w:t>
            </w:r>
            <w:r>
              <w:rPr>
                <w:rFonts w:hint="eastAsia" w:ascii="宋体" w:hAnsi="宋体" w:eastAsia="宋体" w:cs="宋体"/>
                <w:b/>
                <w:bCs/>
                <w:color w:val="auto"/>
                <w:szCs w:val="21"/>
                <w:highlight w:val="none"/>
              </w:rPr>
              <w:t>产品</w:t>
            </w:r>
            <w:r>
              <w:rPr>
                <w:rFonts w:hint="eastAsia" w:ascii="宋体" w:hAnsi="宋体" w:eastAsia="宋体" w:cs="宋体"/>
                <w:color w:val="auto"/>
                <w:szCs w:val="21"/>
                <w:highlight w:val="none"/>
              </w:rPr>
              <w:t>相关的国家、省（部） 级组织的科研项目，或发表过与所</w:t>
            </w:r>
            <w:r>
              <w:rPr>
                <w:rFonts w:hint="eastAsia" w:ascii="宋体" w:hAnsi="宋体" w:eastAsia="宋体" w:cs="宋体"/>
                <w:color w:val="auto"/>
                <w:szCs w:val="21"/>
                <w:highlight w:val="none"/>
                <w:lang w:val="en-US" w:eastAsia="zh-CN"/>
              </w:rPr>
              <w:t>投</w:t>
            </w:r>
            <w:r>
              <w:rPr>
                <w:rFonts w:hint="eastAsia" w:ascii="宋体" w:hAnsi="宋体" w:eastAsia="宋体" w:cs="宋体"/>
                <w:color w:val="auto"/>
                <w:szCs w:val="21"/>
                <w:highlight w:val="none"/>
              </w:rPr>
              <w:t>分标</w:t>
            </w:r>
            <w:r>
              <w:rPr>
                <w:rFonts w:hint="eastAsia" w:ascii="宋体" w:hAnsi="宋体" w:eastAsia="宋体" w:cs="宋体"/>
                <w:color w:val="auto"/>
                <w:szCs w:val="21"/>
                <w:highlight w:val="none"/>
                <w:lang w:eastAsia="zh-CN"/>
              </w:rPr>
              <w:t>任一</w:t>
            </w:r>
            <w:r>
              <w:rPr>
                <w:rFonts w:hint="eastAsia" w:ascii="宋体" w:hAnsi="宋体" w:eastAsia="宋体" w:cs="宋体"/>
                <w:color w:val="auto"/>
                <w:szCs w:val="21"/>
                <w:highlight w:val="none"/>
              </w:rPr>
              <w:t>产品抽样检验服务</w:t>
            </w:r>
            <w:r>
              <w:rPr>
                <w:rFonts w:hint="eastAsia" w:ascii="宋体" w:hAnsi="宋体" w:cs="宋体"/>
                <w:color w:val="auto"/>
                <w:szCs w:val="21"/>
                <w:highlight w:val="none"/>
                <w:lang w:eastAsia="zh-CN"/>
              </w:rPr>
              <w:t>、质量分析、质量监管等</w:t>
            </w:r>
            <w:r>
              <w:rPr>
                <w:rFonts w:hint="eastAsia" w:ascii="宋体" w:hAnsi="宋体" w:eastAsia="宋体" w:cs="宋体"/>
                <w:color w:val="auto"/>
                <w:szCs w:val="21"/>
                <w:highlight w:val="none"/>
              </w:rPr>
              <w:t>相关</w:t>
            </w:r>
            <w:r>
              <w:rPr>
                <w:rFonts w:hint="eastAsia" w:ascii="宋体" w:hAnsi="宋体" w:cs="宋体"/>
                <w:color w:val="auto"/>
                <w:szCs w:val="21"/>
                <w:highlight w:val="none"/>
                <w:lang w:eastAsia="zh-CN"/>
              </w:rPr>
              <w:t>内容</w:t>
            </w:r>
            <w:r>
              <w:rPr>
                <w:rFonts w:hint="eastAsia" w:ascii="宋体" w:hAnsi="宋体" w:eastAsia="宋体" w:cs="宋体"/>
                <w:color w:val="auto"/>
                <w:szCs w:val="21"/>
                <w:highlight w:val="none"/>
              </w:rPr>
              <w:t>的文章或出版著作或获得相关专利的，每项得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分，满分</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w:t>
            </w:r>
          </w:p>
          <w:p w14:paraId="677EE979">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val="en-US" w:eastAsia="zh-CN"/>
              </w:rPr>
              <w:t>注：提供项目完成证明材料（验收报告或者成果鉴定证明），发表文章、著作、专利相关证明材料，需体现项目承担单位、人员的信息。</w:t>
            </w:r>
          </w:p>
        </w:tc>
      </w:tr>
      <w:tr w14:paraId="3290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426" w:type="dxa"/>
            <w:vMerge w:val="continue"/>
            <w:tcBorders>
              <w:left w:val="single" w:color="auto" w:sz="4" w:space="0"/>
              <w:bottom w:val="single" w:color="auto" w:sz="4" w:space="0"/>
              <w:right w:val="single" w:color="auto" w:sz="4" w:space="0"/>
            </w:tcBorders>
            <w:noWrap w:val="0"/>
            <w:vAlign w:val="center"/>
          </w:tcPr>
          <w:p w14:paraId="25DB2FD9">
            <w:pPr>
              <w:spacing w:line="360" w:lineRule="auto"/>
              <w:jc w:val="left"/>
              <w:rPr>
                <w:rFonts w:ascii="Times New Roman" w:hAnsi="Times New Roman" w:cs="Times New Roman"/>
                <w:color w:val="auto"/>
                <w:highlight w:val="none"/>
              </w:rPr>
            </w:pPr>
          </w:p>
        </w:tc>
        <w:tc>
          <w:tcPr>
            <w:tcW w:w="666" w:type="dxa"/>
            <w:vMerge w:val="continue"/>
            <w:tcBorders>
              <w:left w:val="single" w:color="auto" w:sz="4" w:space="0"/>
              <w:bottom w:val="single" w:color="auto" w:sz="4" w:space="0"/>
              <w:right w:val="single" w:color="auto" w:sz="4" w:space="0"/>
            </w:tcBorders>
            <w:noWrap w:val="0"/>
            <w:vAlign w:val="center"/>
          </w:tcPr>
          <w:p w14:paraId="6E73E708">
            <w:pPr>
              <w:spacing w:line="360" w:lineRule="auto"/>
              <w:jc w:val="left"/>
              <w:rPr>
                <w:rFonts w:ascii="Times New Roman" w:hAnsi="Times New Roman" w:cs="Times New Roman"/>
                <w:color w:val="auto"/>
                <w:highlight w:val="none"/>
              </w:rPr>
            </w:pPr>
          </w:p>
        </w:tc>
        <w:tc>
          <w:tcPr>
            <w:tcW w:w="1008" w:type="dxa"/>
            <w:vMerge w:val="continue"/>
            <w:tcBorders>
              <w:left w:val="single" w:color="auto" w:sz="4" w:space="0"/>
              <w:bottom w:val="single" w:color="auto" w:sz="4" w:space="0"/>
              <w:right w:val="single" w:color="auto" w:sz="4" w:space="0"/>
            </w:tcBorders>
            <w:noWrap w:val="0"/>
            <w:vAlign w:val="center"/>
          </w:tcPr>
          <w:p w14:paraId="02FBF9BB">
            <w:pPr>
              <w:spacing w:line="360" w:lineRule="auto"/>
              <w:jc w:val="left"/>
              <w:rPr>
                <w:rFonts w:ascii="Times New Roman" w:hAnsi="Times New Roman" w:cs="Times New Roman"/>
                <w:color w:val="auto"/>
                <w:highlight w:val="none"/>
              </w:rPr>
            </w:pPr>
          </w:p>
        </w:tc>
        <w:tc>
          <w:tcPr>
            <w:tcW w:w="7735" w:type="dxa"/>
            <w:tcBorders>
              <w:top w:val="single" w:color="auto" w:sz="4" w:space="0"/>
              <w:left w:val="single" w:color="auto" w:sz="4" w:space="0"/>
              <w:bottom w:val="single" w:color="auto" w:sz="4" w:space="0"/>
              <w:right w:val="single" w:color="auto" w:sz="4" w:space="0"/>
            </w:tcBorders>
            <w:noWrap w:val="0"/>
            <w:vAlign w:val="center"/>
          </w:tcPr>
          <w:p w14:paraId="12DF4986">
            <w:pPr>
              <w:spacing w:line="360" w:lineRule="auto"/>
              <w:jc w:val="left"/>
              <w:rPr>
                <w:rFonts w:hint="eastAsia" w:ascii="宋体" w:hAnsi="宋体" w:eastAsia="宋体" w:cs="宋体"/>
                <w:color w:val="auto"/>
                <w:szCs w:val="21"/>
                <w:highlight w:val="none"/>
                <w:lang w:val="en-US" w:eastAsia="zh-CN"/>
              </w:rPr>
            </w:pPr>
            <w:r>
              <w:rPr>
                <w:rFonts w:hint="eastAsia" w:ascii="宋体" w:hAnsi="宋体" w:cs="宋体"/>
                <w:color w:val="auto"/>
                <w:highlight w:val="none"/>
                <w:lang w:eastAsia="zh-CN"/>
              </w:rPr>
              <w:t>投标人为所投分标产品标准化技术委员会或分委会员单位之一的得</w:t>
            </w:r>
            <w:r>
              <w:rPr>
                <w:rFonts w:hint="eastAsia" w:ascii="宋体" w:hAnsi="宋体" w:cs="宋体"/>
                <w:color w:val="auto"/>
                <w:highlight w:val="none"/>
                <w:lang w:val="en-US" w:eastAsia="zh-CN"/>
              </w:rPr>
              <w:t>3分，否则不得分。提供有效证明材料。</w:t>
            </w:r>
          </w:p>
        </w:tc>
      </w:tr>
      <w:tr w14:paraId="6F05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Merge w:val="continue"/>
            <w:tcBorders>
              <w:left w:val="single" w:color="auto" w:sz="4" w:space="0"/>
              <w:bottom w:val="single" w:color="auto" w:sz="4" w:space="0"/>
              <w:right w:val="single" w:color="auto" w:sz="4" w:space="0"/>
            </w:tcBorders>
            <w:noWrap w:val="0"/>
            <w:vAlign w:val="center"/>
          </w:tcPr>
          <w:p w14:paraId="29E08A53">
            <w:pPr>
              <w:spacing w:line="360" w:lineRule="auto"/>
              <w:jc w:val="center"/>
              <w:rPr>
                <w:rFonts w:hint="eastAsia" w:ascii="宋体" w:hAnsi="宋体" w:eastAsia="宋体" w:cs="宋体"/>
                <w:color w:val="auto"/>
                <w:szCs w:val="21"/>
                <w:highlight w:val="none"/>
              </w:rPr>
            </w:pPr>
          </w:p>
        </w:tc>
        <w:tc>
          <w:tcPr>
            <w:tcW w:w="666" w:type="dxa"/>
            <w:vMerge w:val="continue"/>
            <w:tcBorders>
              <w:left w:val="single" w:color="auto" w:sz="4" w:space="0"/>
              <w:bottom w:val="single" w:color="auto" w:sz="4" w:space="0"/>
              <w:right w:val="single" w:color="auto" w:sz="4" w:space="0"/>
            </w:tcBorders>
            <w:noWrap w:val="0"/>
            <w:vAlign w:val="center"/>
          </w:tcPr>
          <w:p w14:paraId="56AA4EE2">
            <w:pPr>
              <w:spacing w:line="360" w:lineRule="auto"/>
              <w:jc w:val="center"/>
              <w:rPr>
                <w:rFonts w:hint="eastAsia" w:ascii="宋体" w:hAnsi="宋体" w:eastAsia="宋体" w:cs="宋体"/>
                <w:color w:val="auto"/>
                <w:szCs w:val="21"/>
                <w:highlight w:val="none"/>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ED99355">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szCs w:val="21"/>
                <w:highlight w:val="none"/>
              </w:rPr>
              <w:t>以往工作质量状况（</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c>
          <w:tcPr>
            <w:tcW w:w="7735" w:type="dxa"/>
            <w:tcBorders>
              <w:top w:val="single" w:color="auto" w:sz="4" w:space="0"/>
              <w:left w:val="single" w:color="auto" w:sz="4" w:space="0"/>
              <w:bottom w:val="single" w:color="auto" w:sz="4" w:space="0"/>
              <w:right w:val="single" w:color="auto" w:sz="4" w:space="0"/>
            </w:tcBorders>
            <w:noWrap w:val="0"/>
            <w:vAlign w:val="center"/>
          </w:tcPr>
          <w:p w14:paraId="3874F63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在202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年</w:t>
            </w:r>
            <w:r>
              <w:rPr>
                <w:rFonts w:hint="eastAsia" w:ascii="宋体" w:hAnsi="宋体" w:cs="宋体"/>
                <w:color w:val="auto"/>
                <w:highlight w:val="none"/>
                <w:lang w:eastAsia="zh-CN"/>
              </w:rPr>
              <w:t>以来</w:t>
            </w:r>
            <w:r>
              <w:rPr>
                <w:rFonts w:hint="eastAsia" w:ascii="宋体" w:hAnsi="宋体" w:eastAsia="宋体" w:cs="宋体"/>
                <w:color w:val="auto"/>
                <w:highlight w:val="none"/>
              </w:rPr>
              <w:t>省级以上市场监督管理部门组织开展的工业产品质量监督抽查承检机构考核中，获得排名前三的，得</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分；排名在第三名以后的，得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分；未参加此项工作的，得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cs="宋体"/>
                <w:color w:val="auto"/>
                <w:highlight w:val="none"/>
                <w:lang w:eastAsia="zh-CN"/>
              </w:rPr>
              <w:t>（排名以最高名次的材料为准）</w:t>
            </w:r>
            <w:r>
              <w:rPr>
                <w:rFonts w:hint="eastAsia" w:ascii="宋体" w:hAnsi="宋体" w:eastAsia="宋体" w:cs="宋体"/>
                <w:color w:val="auto"/>
                <w:highlight w:val="none"/>
              </w:rPr>
              <w:t>。参加此项工作的单位须提供省级以上市场监督管理部门出具的相关考核结果文件扫描件，否则视为未参加此项工作。</w:t>
            </w:r>
          </w:p>
        </w:tc>
      </w:tr>
      <w:tr w14:paraId="230A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1F0122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674" w:type="dxa"/>
            <w:gridSpan w:val="2"/>
            <w:tcBorders>
              <w:top w:val="single" w:color="auto" w:sz="4" w:space="0"/>
              <w:left w:val="single" w:color="auto" w:sz="4" w:space="0"/>
              <w:bottom w:val="single" w:color="auto" w:sz="4" w:space="0"/>
              <w:right w:val="single" w:color="auto" w:sz="4" w:space="0"/>
            </w:tcBorders>
            <w:noWrap w:val="0"/>
            <w:vAlign w:val="center"/>
          </w:tcPr>
          <w:p w14:paraId="201AE96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综合得分</w:t>
            </w:r>
          </w:p>
        </w:tc>
        <w:tc>
          <w:tcPr>
            <w:tcW w:w="7735" w:type="dxa"/>
            <w:tcBorders>
              <w:top w:val="single" w:color="auto" w:sz="4" w:space="0"/>
              <w:left w:val="single" w:color="auto" w:sz="4" w:space="0"/>
              <w:bottom w:val="single" w:color="auto" w:sz="4" w:space="0"/>
              <w:right w:val="single" w:color="auto" w:sz="4" w:space="0"/>
            </w:tcBorders>
            <w:noWrap w:val="0"/>
            <w:vAlign w:val="center"/>
          </w:tcPr>
          <w:p w14:paraId="43DC7FB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=1+2+3（各项评分分值计算保留小数点后两位，小数点后第三位“四舍五入”）</w:t>
            </w:r>
          </w:p>
        </w:tc>
      </w:tr>
    </w:tbl>
    <w:p w14:paraId="332D7187">
      <w:pPr>
        <w:rPr>
          <w:rFonts w:hint="eastAsia"/>
          <w:color w:val="auto"/>
          <w:highlight w:val="none"/>
          <w:lang w:eastAsia="zh-CN"/>
        </w:rPr>
      </w:pPr>
    </w:p>
    <w:p w14:paraId="7C7E451A">
      <w:pPr>
        <w:rPr>
          <w:rFonts w:hint="eastAsia" w:cs="Times New Roman"/>
          <w:b w:val="0"/>
          <w:color w:val="auto"/>
          <w:sz w:val="30"/>
          <w:szCs w:val="30"/>
          <w:highlight w:val="none"/>
        </w:rPr>
      </w:pPr>
      <w:bookmarkStart w:id="307" w:name="_Toc16466"/>
      <w:bookmarkStart w:id="308" w:name="_Toc11083"/>
      <w:bookmarkStart w:id="309" w:name="_Toc2202"/>
      <w:bookmarkStart w:id="310" w:name="_Toc10751"/>
      <w:bookmarkStart w:id="311" w:name="_Toc18582"/>
      <w:bookmarkStart w:id="312" w:name="_Toc12855"/>
      <w:bookmarkStart w:id="313" w:name="_Toc9480"/>
      <w:bookmarkStart w:id="314" w:name="_Toc20313"/>
      <w:bookmarkStart w:id="315" w:name="_Toc23906"/>
      <w:bookmarkStart w:id="316" w:name="_Toc15061"/>
      <w:r>
        <w:rPr>
          <w:rFonts w:hint="eastAsia" w:cs="Times New Roman"/>
          <w:b w:val="0"/>
          <w:color w:val="auto"/>
          <w:sz w:val="30"/>
          <w:szCs w:val="30"/>
          <w:highlight w:val="none"/>
        </w:rPr>
        <w:br w:type="page"/>
      </w:r>
    </w:p>
    <w:p w14:paraId="6E1FE1BC">
      <w:pPr>
        <w:pStyle w:val="3"/>
        <w:jc w:val="center"/>
        <w:rPr>
          <w:rFonts w:hint="eastAsia" w:cs="Times New Roman"/>
          <w:b w:val="0"/>
          <w:color w:val="auto"/>
          <w:sz w:val="30"/>
          <w:szCs w:val="30"/>
          <w:highlight w:val="none"/>
        </w:rPr>
      </w:pPr>
      <w:r>
        <w:rPr>
          <w:rFonts w:hint="eastAsia" w:cs="Times New Roman"/>
          <w:b w:val="0"/>
          <w:color w:val="auto"/>
          <w:sz w:val="30"/>
          <w:szCs w:val="30"/>
          <w:highlight w:val="none"/>
        </w:rPr>
        <w:t>第四节</w:t>
      </w:r>
      <w:r>
        <w:rPr>
          <w:rFonts w:cs="Times New Roman"/>
          <w:b w:val="0"/>
          <w:color w:val="auto"/>
          <w:sz w:val="30"/>
          <w:szCs w:val="30"/>
          <w:highlight w:val="none"/>
        </w:rPr>
        <w:t xml:space="preserve"> </w:t>
      </w:r>
      <w:r>
        <w:rPr>
          <w:rFonts w:hint="eastAsia" w:cs="Times New Roman"/>
          <w:b w:val="0"/>
          <w:color w:val="auto"/>
          <w:sz w:val="30"/>
          <w:szCs w:val="30"/>
          <w:highlight w:val="none"/>
        </w:rPr>
        <w:t>中标候选人推荐原则</w:t>
      </w:r>
      <w:bookmarkEnd w:id="307"/>
      <w:bookmarkEnd w:id="308"/>
      <w:bookmarkEnd w:id="309"/>
      <w:bookmarkEnd w:id="310"/>
      <w:bookmarkEnd w:id="311"/>
      <w:bookmarkEnd w:id="312"/>
      <w:bookmarkEnd w:id="313"/>
      <w:bookmarkEnd w:id="314"/>
      <w:bookmarkEnd w:id="315"/>
      <w:bookmarkEnd w:id="316"/>
    </w:p>
    <w:p w14:paraId="0326AD2D">
      <w:pPr>
        <w:pStyle w:val="12"/>
        <w:numPr>
          <w:ilvl w:val="0"/>
          <w:numId w:val="0"/>
        </w:numPr>
        <w:spacing w:line="360" w:lineRule="auto"/>
        <w:ind w:left="472" w:leftChars="0"/>
        <w:contextualSpacing/>
        <w:rPr>
          <w:rFonts w:hAnsi="宋体" w:eastAsia="宋体" w:cs="Times New Roman"/>
          <w:b/>
          <w:bCs/>
          <w:color w:val="auto"/>
          <w:sz w:val="24"/>
          <w:szCs w:val="24"/>
          <w:highlight w:val="none"/>
        </w:rPr>
      </w:pPr>
      <w:r>
        <w:rPr>
          <w:rFonts w:hint="eastAsia" w:hAnsi="宋体" w:eastAsia="宋体" w:cs="Times New Roman"/>
          <w:b/>
          <w:bCs/>
          <w:color w:val="auto"/>
          <w:sz w:val="24"/>
          <w:szCs w:val="24"/>
          <w:highlight w:val="none"/>
        </w:rPr>
        <w:t>（一）综合评分法</w:t>
      </w:r>
    </w:p>
    <w:p w14:paraId="46FCB865">
      <w:pPr>
        <w:pStyle w:val="12"/>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评标委员会将根据评审后总得分由高到低</w:t>
      </w:r>
      <w:r>
        <w:rPr>
          <w:rFonts w:hint="eastAsia" w:hAnsi="宋体" w:cs="Times New Roman"/>
          <w:color w:val="auto"/>
          <w:highlight w:val="none"/>
          <w:lang w:val="en-US" w:eastAsia="zh-CN"/>
        </w:rPr>
        <w:t>顺序</w:t>
      </w:r>
      <w:r>
        <w:rPr>
          <w:rFonts w:hint="eastAsia" w:ascii="Times New Roman" w:hAnsi="宋体" w:eastAsia="宋体" w:cs="Times New Roman"/>
          <w:color w:val="auto"/>
          <w:sz w:val="21"/>
          <w:szCs w:val="24"/>
          <w:highlight w:val="none"/>
        </w:rPr>
        <w:t>排列</w:t>
      </w:r>
      <w:r>
        <w:rPr>
          <w:rFonts w:hint="eastAsia" w:hAnsi="宋体" w:eastAsia="宋体" w:cs="Times New Roman"/>
          <w:color w:val="auto"/>
          <w:highlight w:val="none"/>
        </w:rPr>
        <w:t>。总得分相同的，以投标报价由低到高顺序排列</w:t>
      </w:r>
      <w:r>
        <w:rPr>
          <w:rFonts w:hint="eastAsia" w:hAnsi="宋体" w:cs="Times New Roman"/>
          <w:color w:val="auto"/>
          <w:highlight w:val="none"/>
          <w:lang w:eastAsia="zh-CN"/>
        </w:rPr>
        <w:t>，</w:t>
      </w:r>
      <w:r>
        <w:rPr>
          <w:rFonts w:hint="eastAsia" w:hAnsi="宋体" w:eastAsia="宋体" w:cs="Times New Roman"/>
          <w:color w:val="auto"/>
          <w:highlight w:val="none"/>
        </w:rPr>
        <w:t>得分且投标报价相同的并列</w:t>
      </w:r>
      <w:r>
        <w:rPr>
          <w:rFonts w:hint="eastAsia" w:hAnsi="宋体" w:cs="Times New Roman"/>
          <w:color w:val="auto"/>
          <w:highlight w:val="none"/>
          <w:lang w:eastAsia="zh-CN"/>
        </w:rPr>
        <w:t>。</w:t>
      </w:r>
      <w:r>
        <w:rPr>
          <w:rFonts w:hint="eastAsia" w:hAnsi="宋体" w:eastAsia="宋体" w:cs="Times New Roman"/>
          <w:color w:val="auto"/>
          <w:highlight w:val="none"/>
        </w:rPr>
        <w:t>投标文件满足招标文件全部实质性要求，且按照评审因素的量化指标评审得分最高的投标人为排名第一的中标候选人。</w:t>
      </w:r>
    </w:p>
    <w:p w14:paraId="75B6D12D">
      <w:pPr>
        <w:pStyle w:val="3"/>
        <w:spacing w:before="0" w:after="0" w:line="360" w:lineRule="auto"/>
        <w:ind w:firstLine="600" w:firstLineChars="200"/>
        <w:jc w:val="center"/>
        <w:rPr>
          <w:rFonts w:hint="eastAsia" w:cs="Times New Roman"/>
          <w:b w:val="0"/>
          <w:color w:val="auto"/>
          <w:sz w:val="30"/>
          <w:szCs w:val="30"/>
          <w:highlight w:val="none"/>
        </w:rPr>
      </w:pPr>
      <w:bookmarkStart w:id="317" w:name="_Toc11545"/>
      <w:bookmarkStart w:id="318" w:name="_Toc11073"/>
      <w:bookmarkStart w:id="319" w:name="_Toc29218"/>
      <w:bookmarkStart w:id="320" w:name="_Toc7971"/>
      <w:bookmarkStart w:id="321" w:name="_Toc13808"/>
      <w:bookmarkStart w:id="322" w:name="_Toc22384"/>
      <w:bookmarkStart w:id="323" w:name="_Toc11695"/>
      <w:bookmarkStart w:id="324" w:name="_Toc9602"/>
      <w:bookmarkStart w:id="325" w:name="_Toc27419"/>
      <w:bookmarkStart w:id="326" w:name="_Toc13625"/>
      <w:r>
        <w:rPr>
          <w:rFonts w:hint="eastAsia" w:cs="Times New Roman"/>
          <w:b w:val="0"/>
          <w:color w:val="auto"/>
          <w:sz w:val="30"/>
          <w:szCs w:val="30"/>
          <w:highlight w:val="none"/>
        </w:rPr>
        <w:t>第五节</w:t>
      </w:r>
      <w:r>
        <w:rPr>
          <w:rFonts w:cs="Times New Roman"/>
          <w:b w:val="0"/>
          <w:color w:val="auto"/>
          <w:sz w:val="30"/>
          <w:szCs w:val="30"/>
          <w:highlight w:val="none"/>
        </w:rPr>
        <w:t xml:space="preserve"> </w:t>
      </w:r>
      <w:r>
        <w:rPr>
          <w:rFonts w:hint="eastAsia" w:cs="Times New Roman"/>
          <w:b w:val="0"/>
          <w:color w:val="auto"/>
          <w:sz w:val="30"/>
          <w:szCs w:val="30"/>
          <w:highlight w:val="none"/>
        </w:rPr>
        <w:t>评标报告</w:t>
      </w:r>
      <w:bookmarkEnd w:id="317"/>
      <w:bookmarkEnd w:id="318"/>
      <w:bookmarkEnd w:id="319"/>
      <w:bookmarkEnd w:id="320"/>
      <w:bookmarkEnd w:id="321"/>
      <w:bookmarkEnd w:id="322"/>
      <w:bookmarkEnd w:id="323"/>
      <w:bookmarkEnd w:id="324"/>
      <w:bookmarkEnd w:id="325"/>
      <w:bookmarkEnd w:id="326"/>
    </w:p>
    <w:p w14:paraId="1E01DAB3">
      <w:pPr>
        <w:pStyle w:val="30"/>
        <w:spacing w:before="0"/>
        <w:ind w:firstLine="482"/>
        <w:rPr>
          <w:rFonts w:ascii="宋体" w:hAnsi="宋体" w:eastAsia="宋体" w:cs="Times New Roman"/>
          <w:b/>
          <w:bCs/>
          <w:color w:val="auto"/>
          <w:szCs w:val="24"/>
          <w:highlight w:val="none"/>
        </w:rPr>
      </w:pPr>
      <w:r>
        <w:rPr>
          <w:rFonts w:hint="eastAsia" w:ascii="宋体" w:hAnsi="宋体" w:eastAsia="宋体" w:cs="Times New Roman"/>
          <w:b/>
          <w:bCs/>
          <w:color w:val="auto"/>
          <w:szCs w:val="24"/>
          <w:highlight w:val="none"/>
        </w:rPr>
        <w:t>（一）评标报告与推荐中标候选人</w:t>
      </w:r>
    </w:p>
    <w:p w14:paraId="2B3AA210">
      <w:pPr>
        <w:pStyle w:val="12"/>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评标委员会根据原始评标记录和评标结果编写评标报告，并通过电子交易平台向采购人、采购代理机构提交。</w:t>
      </w:r>
    </w:p>
    <w:p w14:paraId="4EA40416">
      <w:pPr>
        <w:widowControl/>
        <w:spacing w:line="360" w:lineRule="auto"/>
        <w:ind w:firstLine="482" w:firstLineChars="200"/>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（二）评标争议事项处理</w:t>
      </w:r>
    </w:p>
    <w:p w14:paraId="4563C98D">
      <w:pPr>
        <w:pStyle w:val="12"/>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2B4738B4">
      <w:pPr>
        <w:widowControl/>
        <w:jc w:val="left"/>
        <w:rPr>
          <w:b/>
          <w:color w:val="auto"/>
          <w:sz w:val="36"/>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38A725BD">
      <w:pPr>
        <w:pStyle w:val="12"/>
        <w:tabs>
          <w:tab w:val="left" w:pos="2472"/>
        </w:tabs>
        <w:spacing w:line="460" w:lineRule="exact"/>
        <w:jc w:val="center"/>
        <w:rPr>
          <w:rFonts w:hint="eastAsia" w:ascii="Times New Roman" w:hAnsi="Times New Roman" w:eastAsia="宋体" w:cs="Times New Roman"/>
          <w:b/>
          <w:color w:val="auto"/>
          <w:sz w:val="36"/>
          <w:highlight w:val="none"/>
        </w:rPr>
      </w:pPr>
    </w:p>
    <w:p w14:paraId="49D1066A">
      <w:pPr>
        <w:pStyle w:val="12"/>
        <w:tabs>
          <w:tab w:val="left" w:pos="2472"/>
        </w:tabs>
        <w:spacing w:line="460" w:lineRule="exact"/>
        <w:jc w:val="center"/>
        <w:rPr>
          <w:rFonts w:ascii="Times New Roman" w:hAnsi="Times New Roman" w:eastAsia="宋体" w:cs="Times New Roman"/>
          <w:b/>
          <w:color w:val="auto"/>
          <w:sz w:val="36"/>
          <w:highlight w:val="none"/>
        </w:rPr>
      </w:pPr>
    </w:p>
    <w:p w14:paraId="5BB1BA91">
      <w:pPr>
        <w:pStyle w:val="12"/>
        <w:tabs>
          <w:tab w:val="left" w:pos="2472"/>
        </w:tabs>
        <w:spacing w:line="460" w:lineRule="exact"/>
        <w:jc w:val="center"/>
        <w:rPr>
          <w:rFonts w:ascii="Times New Roman" w:hAnsi="Times New Roman" w:eastAsia="宋体" w:cs="Times New Roman"/>
          <w:b/>
          <w:color w:val="auto"/>
          <w:sz w:val="36"/>
          <w:highlight w:val="none"/>
        </w:rPr>
      </w:pPr>
    </w:p>
    <w:p w14:paraId="4C46A192">
      <w:pPr>
        <w:pStyle w:val="12"/>
        <w:tabs>
          <w:tab w:val="left" w:pos="2472"/>
        </w:tabs>
        <w:spacing w:line="460" w:lineRule="exact"/>
        <w:jc w:val="center"/>
        <w:rPr>
          <w:rFonts w:ascii="Times New Roman" w:hAnsi="Times New Roman" w:eastAsia="宋体" w:cs="Times New Roman"/>
          <w:b/>
          <w:color w:val="auto"/>
          <w:sz w:val="36"/>
          <w:highlight w:val="none"/>
        </w:rPr>
      </w:pPr>
    </w:p>
    <w:p w14:paraId="347F77F1">
      <w:pPr>
        <w:pStyle w:val="12"/>
        <w:tabs>
          <w:tab w:val="left" w:pos="2472"/>
        </w:tabs>
        <w:spacing w:line="460" w:lineRule="exact"/>
        <w:jc w:val="center"/>
        <w:rPr>
          <w:rFonts w:ascii="Times New Roman" w:hAnsi="Times New Roman" w:eastAsia="宋体" w:cs="Times New Roman"/>
          <w:b/>
          <w:color w:val="auto"/>
          <w:sz w:val="36"/>
          <w:highlight w:val="none"/>
        </w:rPr>
      </w:pPr>
    </w:p>
    <w:p w14:paraId="27CD0D9C">
      <w:pPr>
        <w:pStyle w:val="12"/>
        <w:tabs>
          <w:tab w:val="left" w:pos="2472"/>
        </w:tabs>
        <w:spacing w:line="460" w:lineRule="exact"/>
        <w:jc w:val="center"/>
        <w:rPr>
          <w:rFonts w:ascii="Times New Roman" w:hAnsi="Times New Roman" w:eastAsia="宋体" w:cs="Times New Roman"/>
          <w:b/>
          <w:color w:val="auto"/>
          <w:sz w:val="36"/>
          <w:highlight w:val="none"/>
        </w:rPr>
      </w:pPr>
    </w:p>
    <w:p w14:paraId="11FC9DFF">
      <w:pPr>
        <w:pStyle w:val="12"/>
        <w:tabs>
          <w:tab w:val="left" w:pos="2472"/>
        </w:tabs>
        <w:spacing w:line="460" w:lineRule="exact"/>
        <w:jc w:val="center"/>
        <w:rPr>
          <w:rFonts w:ascii="Times New Roman" w:hAnsi="Times New Roman" w:eastAsia="宋体" w:cs="Times New Roman"/>
          <w:b/>
          <w:color w:val="auto"/>
          <w:sz w:val="36"/>
          <w:highlight w:val="none"/>
        </w:rPr>
      </w:pPr>
    </w:p>
    <w:p w14:paraId="22200A58">
      <w:pPr>
        <w:pStyle w:val="12"/>
        <w:tabs>
          <w:tab w:val="left" w:pos="2472"/>
        </w:tabs>
        <w:spacing w:line="460" w:lineRule="exact"/>
        <w:jc w:val="center"/>
        <w:rPr>
          <w:rFonts w:ascii="Times New Roman" w:hAnsi="Times New Roman" w:eastAsia="宋体" w:cs="Times New Roman"/>
          <w:b/>
          <w:color w:val="auto"/>
          <w:sz w:val="36"/>
          <w:highlight w:val="none"/>
        </w:rPr>
      </w:pPr>
    </w:p>
    <w:p w14:paraId="6FBF5507">
      <w:pPr>
        <w:pStyle w:val="12"/>
        <w:tabs>
          <w:tab w:val="left" w:pos="2472"/>
        </w:tabs>
        <w:spacing w:line="460" w:lineRule="exact"/>
        <w:jc w:val="center"/>
        <w:rPr>
          <w:rFonts w:ascii="Times New Roman" w:hAnsi="Times New Roman" w:eastAsia="宋体" w:cs="Times New Roman"/>
          <w:b/>
          <w:color w:val="auto"/>
          <w:sz w:val="36"/>
          <w:highlight w:val="none"/>
        </w:rPr>
      </w:pPr>
    </w:p>
    <w:p w14:paraId="0AC60049">
      <w:pPr>
        <w:pStyle w:val="12"/>
        <w:tabs>
          <w:tab w:val="left" w:pos="2472"/>
        </w:tabs>
        <w:spacing w:line="460" w:lineRule="exact"/>
        <w:jc w:val="center"/>
        <w:rPr>
          <w:rFonts w:ascii="Times New Roman" w:hAnsi="Times New Roman" w:eastAsia="宋体" w:cs="Times New Roman"/>
          <w:b/>
          <w:color w:val="auto"/>
          <w:sz w:val="36"/>
          <w:highlight w:val="none"/>
        </w:rPr>
      </w:pPr>
    </w:p>
    <w:p w14:paraId="71FA2170">
      <w:pPr>
        <w:pStyle w:val="12"/>
        <w:tabs>
          <w:tab w:val="left" w:pos="2472"/>
        </w:tabs>
        <w:spacing w:line="460" w:lineRule="exact"/>
        <w:jc w:val="center"/>
        <w:rPr>
          <w:rFonts w:ascii="Times New Roman" w:hAnsi="Times New Roman" w:eastAsia="宋体" w:cs="Times New Roman"/>
          <w:b/>
          <w:color w:val="auto"/>
          <w:sz w:val="36"/>
          <w:highlight w:val="none"/>
        </w:rPr>
      </w:pPr>
    </w:p>
    <w:p w14:paraId="1AB0DB71">
      <w:pPr>
        <w:pStyle w:val="12"/>
        <w:tabs>
          <w:tab w:val="left" w:pos="2472"/>
        </w:tabs>
        <w:spacing w:line="460" w:lineRule="exact"/>
        <w:jc w:val="center"/>
        <w:rPr>
          <w:rFonts w:ascii="Times New Roman" w:hAnsi="Times New Roman" w:eastAsia="宋体" w:cs="Times New Roman"/>
          <w:b/>
          <w:color w:val="auto"/>
          <w:sz w:val="36"/>
          <w:highlight w:val="none"/>
        </w:rPr>
      </w:pPr>
    </w:p>
    <w:p w14:paraId="78FF4FCC">
      <w:pPr>
        <w:pStyle w:val="12"/>
        <w:tabs>
          <w:tab w:val="left" w:pos="2472"/>
        </w:tabs>
        <w:spacing w:line="460" w:lineRule="exact"/>
        <w:jc w:val="center"/>
        <w:rPr>
          <w:rFonts w:ascii="Times New Roman" w:hAnsi="Times New Roman" w:eastAsia="宋体" w:cs="Times New Roman"/>
          <w:b/>
          <w:color w:val="auto"/>
          <w:sz w:val="36"/>
          <w:highlight w:val="none"/>
        </w:rPr>
      </w:pPr>
    </w:p>
    <w:p w14:paraId="12748779">
      <w:pPr>
        <w:pStyle w:val="12"/>
        <w:tabs>
          <w:tab w:val="left" w:pos="2472"/>
        </w:tabs>
        <w:spacing w:line="460" w:lineRule="exact"/>
        <w:jc w:val="center"/>
        <w:outlineLvl w:val="0"/>
        <w:rPr>
          <w:rFonts w:ascii="Times New Roman" w:hAnsi="Times New Roman" w:eastAsia="宋体" w:cs="Times New Roman"/>
          <w:b/>
          <w:color w:val="auto"/>
          <w:sz w:val="36"/>
          <w:highlight w:val="none"/>
        </w:rPr>
      </w:pPr>
      <w:bookmarkStart w:id="327" w:name="_Toc26262"/>
      <w:bookmarkStart w:id="328" w:name="_Toc17049"/>
      <w:bookmarkStart w:id="329" w:name="_Toc31791"/>
      <w:bookmarkStart w:id="330" w:name="_Toc20993"/>
      <w:bookmarkStart w:id="331" w:name="_Toc3422"/>
      <w:bookmarkStart w:id="332" w:name="_Toc3838"/>
      <w:bookmarkStart w:id="333" w:name="_Toc27014"/>
      <w:bookmarkStart w:id="334" w:name="_Toc7167"/>
      <w:bookmarkStart w:id="335" w:name="_Toc25572"/>
      <w:bookmarkStart w:id="336" w:name="_Toc29347"/>
      <w:bookmarkStart w:id="337" w:name="_Toc9012"/>
      <w:bookmarkStart w:id="338" w:name="_Toc32021"/>
      <w:bookmarkStart w:id="339" w:name="_Toc9058"/>
      <w:r>
        <w:rPr>
          <w:rFonts w:hint="eastAsia" w:ascii="Times New Roman" w:hAnsi="Times New Roman" w:eastAsia="宋体" w:cs="Times New Roman"/>
          <w:b/>
          <w:color w:val="auto"/>
          <w:sz w:val="36"/>
          <w:highlight w:val="none"/>
        </w:rPr>
        <w:t>第五章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拟签订的合同文本</w:t>
      </w:r>
      <w:bookmarkEnd w:id="327"/>
      <w:bookmarkEnd w:id="328"/>
      <w:bookmarkEnd w:id="329"/>
      <w:bookmarkEnd w:id="330"/>
      <w:bookmarkEnd w:id="331"/>
      <w:bookmarkEnd w:id="332"/>
      <w:bookmarkEnd w:id="333"/>
      <w:bookmarkEnd w:id="334"/>
      <w:bookmarkEnd w:id="335"/>
      <w:bookmarkEnd w:id="336"/>
      <w:bookmarkEnd w:id="337"/>
      <w:bookmarkEnd w:id="338"/>
      <w:bookmarkEnd w:id="339"/>
    </w:p>
    <w:p w14:paraId="1FD8F4C7">
      <w:pPr>
        <w:widowControl/>
        <w:jc w:val="left"/>
        <w:rPr>
          <w:rFonts w:ascii="宋体" w:hAnsi="Courier New"/>
          <w:bCs/>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45A7C0B1">
      <w:pPr>
        <w:spacing w:line="360" w:lineRule="auto"/>
        <w:rPr>
          <w:rFonts w:ascii="仿宋_GB2312" w:hAnsi="楷体" w:eastAsia="仿宋_GB2312" w:cs="Times New Roman"/>
          <w:color w:val="auto"/>
          <w:sz w:val="24"/>
          <w:highlight w:val="none"/>
        </w:rPr>
      </w:pPr>
    </w:p>
    <w:p w14:paraId="5C85ECAE">
      <w:pPr>
        <w:snapToGrid w:val="0"/>
        <w:rPr>
          <w:rFonts w:hint="eastAsia" w:ascii="宋体" w:hAnsi="宋体" w:eastAsia="宋体" w:cs="宋体"/>
          <w:b/>
          <w:bCs/>
          <w:i/>
          <w:iCs/>
          <w:color w:val="auto"/>
          <w:sz w:val="32"/>
          <w:szCs w:val="32"/>
          <w:highlight w:val="none"/>
        </w:rPr>
      </w:pPr>
    </w:p>
    <w:p w14:paraId="7F21E25A">
      <w:pPr>
        <w:snapToGrid w:val="0"/>
        <w:spacing w:line="400" w:lineRule="exact"/>
        <w:jc w:val="center"/>
        <w:rPr>
          <w:rFonts w:hint="eastAsia" w:ascii="宋体" w:hAnsi="宋体" w:eastAsia="宋体" w:cs="宋体"/>
          <w:b/>
          <w:bCs/>
          <w:color w:val="auto"/>
          <w:sz w:val="32"/>
          <w:szCs w:val="32"/>
          <w:highlight w:val="none"/>
        </w:rPr>
      </w:pPr>
    </w:p>
    <w:p w14:paraId="77CB43A5">
      <w:pPr>
        <w:snapToGrid w:val="0"/>
        <w:spacing w:line="400" w:lineRule="exact"/>
        <w:jc w:val="center"/>
        <w:rPr>
          <w:rFonts w:hint="eastAsia" w:ascii="宋体" w:hAnsi="宋体" w:eastAsia="宋体" w:cs="宋体"/>
          <w:color w:val="auto"/>
          <w:highlight w:val="none"/>
          <w:lang w:eastAsia="zh-CN"/>
        </w:rPr>
      </w:pPr>
      <w:r>
        <w:rPr>
          <w:rFonts w:hint="eastAsia" w:ascii="宋体" w:hAnsi="宋体" w:eastAsia="宋体" w:cs="宋体"/>
          <w:b/>
          <w:bCs/>
          <w:color w:val="auto"/>
          <w:sz w:val="32"/>
          <w:szCs w:val="32"/>
          <w:highlight w:val="none"/>
        </w:rPr>
        <w:t>《广西壮族自治区政府采购合同》</w:t>
      </w:r>
      <w:r>
        <w:rPr>
          <w:rFonts w:hint="eastAsia" w:ascii="宋体" w:hAnsi="宋体" w:eastAsia="宋体" w:cs="宋体"/>
          <w:b/>
          <w:color w:val="auto"/>
          <w:sz w:val="32"/>
          <w:szCs w:val="32"/>
          <w:highlight w:val="none"/>
        </w:rPr>
        <w:t>文本</w:t>
      </w:r>
    </w:p>
    <w:p w14:paraId="42B99C3F">
      <w:pPr>
        <w:spacing w:line="520" w:lineRule="exact"/>
        <w:rPr>
          <w:rFonts w:hint="eastAsia" w:ascii="宋体" w:hAnsi="宋体" w:eastAsia="宋体" w:cs="宋体"/>
          <w:b/>
          <w:color w:val="auto"/>
          <w:sz w:val="32"/>
          <w:szCs w:val="32"/>
          <w:highlight w:val="none"/>
        </w:rPr>
      </w:pPr>
    </w:p>
    <w:p w14:paraId="57E59B2E">
      <w:pPr>
        <w:spacing w:line="360" w:lineRule="auto"/>
        <w:ind w:right="800" w:firstLine="6090" w:firstLineChars="29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合同编号：</w:t>
      </w:r>
      <w:r>
        <w:rPr>
          <w:rFonts w:hint="eastAsia" w:ascii="宋体" w:hAnsi="宋体" w:eastAsia="宋体" w:cs="宋体"/>
          <w:color w:val="auto"/>
          <w:szCs w:val="21"/>
          <w:highlight w:val="none"/>
          <w:u w:val="single"/>
        </w:rPr>
        <w:t xml:space="preserve">               </w:t>
      </w:r>
    </w:p>
    <w:p w14:paraId="7AFC5682">
      <w:pPr>
        <w:spacing w:line="360" w:lineRule="auto"/>
        <w:ind w:right="800"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采购计划号：</w:t>
      </w:r>
      <w:r>
        <w:rPr>
          <w:rFonts w:hint="eastAsia" w:ascii="宋体" w:hAnsi="宋体" w:eastAsia="宋体" w:cs="宋体"/>
          <w:color w:val="auto"/>
          <w:szCs w:val="21"/>
          <w:highlight w:val="none"/>
          <w:u w:val="single"/>
        </w:rPr>
        <w:t xml:space="preserve">               </w:t>
      </w:r>
    </w:p>
    <w:p w14:paraId="46F636F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032A650">
      <w:pPr>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中标</w:t>
      </w:r>
      <w:r>
        <w:rPr>
          <w:rFonts w:hint="eastAsia" w:ascii="宋体" w:hAnsi="宋体" w:cs="宋体"/>
          <w:color w:val="auto"/>
          <w:szCs w:val="21"/>
          <w:highlight w:val="none"/>
          <w:lang w:val="en-US" w:eastAsia="zh-CN"/>
        </w:rPr>
        <w:t>人</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257483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4957204">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61985FA6">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szCs w:val="21"/>
          <w:highlight w:val="none"/>
        </w:rPr>
        <w:t>签订时间：</w:t>
      </w:r>
      <w:r>
        <w:rPr>
          <w:rFonts w:hint="eastAsia" w:ascii="宋体" w:hAnsi="宋体" w:eastAsia="宋体" w:cs="宋体"/>
          <w:color w:val="auto"/>
          <w:szCs w:val="21"/>
          <w:highlight w:val="none"/>
          <w:u w:val="single"/>
        </w:rPr>
        <w:t xml:space="preserve">               </w:t>
      </w:r>
    </w:p>
    <w:p w14:paraId="3337AA30">
      <w:pPr>
        <w:spacing w:line="360" w:lineRule="auto"/>
        <w:ind w:firstLine="420" w:firstLineChars="200"/>
        <w:rPr>
          <w:rFonts w:hint="eastAsia" w:ascii="宋体" w:hAnsi="宋体" w:eastAsia="宋体" w:cs="宋体"/>
          <w:color w:val="auto"/>
          <w:szCs w:val="21"/>
          <w:highlight w:val="none"/>
        </w:rPr>
      </w:pPr>
    </w:p>
    <w:p w14:paraId="1CA9D9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w:t>
      </w:r>
      <w:r>
        <w:rPr>
          <w:rFonts w:hint="eastAsia" w:ascii="宋体" w:hAnsi="宋体" w:eastAsia="宋体" w:cs="宋体"/>
          <w:color w:val="auto"/>
          <w:szCs w:val="21"/>
          <w:highlight w:val="none"/>
          <w:lang w:eastAsia="zh-CN"/>
        </w:rPr>
        <w:t>民法典</w:t>
      </w:r>
      <w:r>
        <w:rPr>
          <w:rFonts w:hint="eastAsia" w:ascii="宋体" w:hAnsi="宋体" w:eastAsia="宋体" w:cs="宋体"/>
          <w:color w:val="auto"/>
          <w:szCs w:val="21"/>
          <w:highlight w:val="none"/>
        </w:rPr>
        <w:t>》等法律、法规规定，按照招标文件规定条款和乙方投标文件及其承诺，甲乙双方签订本合同。</w:t>
      </w:r>
    </w:p>
    <w:p w14:paraId="1F92A47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p w14:paraId="17DD0166">
      <w:pPr>
        <w:pBdr>
          <w:top w:val="none" w:color="000000" w:sz="0" w:space="0"/>
          <w:left w:val="none" w:color="000000" w:sz="0" w:space="0"/>
          <w:bottom w:val="none" w:color="000000" w:sz="0" w:space="0"/>
          <w:right w:val="none" w:color="000000" w:sz="0" w:space="0"/>
          <w:between w:val="none" w:color="000000" w:sz="0" w:space="0"/>
        </w:pBdr>
        <w:snapToGrid w:val="0"/>
        <w:spacing w:line="360" w:lineRule="auto"/>
        <w:ind w:firstLine="420" w:firstLineChars="200"/>
        <w:rPr>
          <w:rFonts w:hint="default" w:ascii="Times New Roman" w:hAnsi="Times New Roman" w:eastAsia="宋体" w:cs="Times New Roman"/>
          <w:color w:val="auto"/>
          <w:kern w:val="1"/>
          <w:szCs w:val="21"/>
          <w:highlight w:val="none"/>
          <w:lang w:val="en-US" w:eastAsia="zh-CN"/>
        </w:rPr>
      </w:pPr>
      <w:r>
        <w:rPr>
          <w:rFonts w:ascii="Times New Roman" w:hAnsi="Times New Roman" w:eastAsia="宋体" w:cs="Times New Roman"/>
          <w:color w:val="auto"/>
          <w:kern w:val="1"/>
          <w:szCs w:val="21"/>
          <w:highlight w:val="none"/>
        </w:rPr>
        <w:t>1.</w:t>
      </w:r>
      <w:r>
        <w:rPr>
          <w:rFonts w:ascii="Times New Roman" w:hAnsi="Times New Roman" w:eastAsia="宋体" w:cs="Times New Roman"/>
          <w:bCs/>
          <w:color w:val="auto"/>
          <w:kern w:val="1"/>
          <w:szCs w:val="21"/>
          <w:highlight w:val="none"/>
        </w:rPr>
        <w:t>服务需求：</w:t>
      </w:r>
      <w:r>
        <w:rPr>
          <w:rFonts w:hint="eastAsia" w:ascii="Times New Roman" w:hAnsi="Times New Roman" w:eastAsia="宋体" w:cs="Times New Roman"/>
          <w:bCs/>
          <w:color w:val="auto"/>
          <w:kern w:val="1"/>
          <w:szCs w:val="21"/>
          <w:highlight w:val="none"/>
          <w:u w:val="single"/>
          <w:lang w:val="en-US" w:eastAsia="zh-CN"/>
        </w:rPr>
        <w:t xml:space="preserve">                    </w:t>
      </w:r>
    </w:p>
    <w:p w14:paraId="369BC74B">
      <w:pPr>
        <w:pBdr>
          <w:top w:val="none" w:color="000000" w:sz="0" w:space="0"/>
          <w:left w:val="none" w:color="000000" w:sz="0" w:space="0"/>
          <w:bottom w:val="none" w:color="000000" w:sz="0" w:space="0"/>
          <w:right w:val="none" w:color="000000" w:sz="0" w:space="0"/>
          <w:between w:val="none" w:color="000000" w:sz="0" w:space="0"/>
        </w:pBdr>
        <w:snapToGrid w:val="0"/>
        <w:spacing w:line="360" w:lineRule="auto"/>
        <w:ind w:firstLine="420" w:firstLineChars="200"/>
        <w:rPr>
          <w:rFonts w:ascii="Times New Roman" w:hAnsi="Times New Roman" w:eastAsia="宋体" w:cs="Times New Roman"/>
          <w:color w:val="auto"/>
          <w:kern w:val="1"/>
          <w:szCs w:val="21"/>
          <w:highlight w:val="none"/>
        </w:rPr>
      </w:pPr>
      <w:r>
        <w:rPr>
          <w:rFonts w:ascii="Times New Roman" w:hAnsi="Times New Roman" w:eastAsia="宋体" w:cs="Times New Roman"/>
          <w:color w:val="auto"/>
          <w:kern w:val="1"/>
          <w:szCs w:val="21"/>
          <w:highlight w:val="none"/>
        </w:rPr>
        <w:t>2.</w:t>
      </w:r>
      <w:r>
        <w:rPr>
          <w:rFonts w:ascii="Times New Roman" w:hAnsi="Times New Roman" w:eastAsia="宋体" w:cs="Times New Roman"/>
          <w:color w:val="auto"/>
          <w:kern w:val="1"/>
          <w:highlight w:val="none"/>
        </w:rPr>
        <w:t>合同暂定金额</w:t>
      </w:r>
      <w:r>
        <w:rPr>
          <w:rFonts w:ascii="Times New Roman" w:hAnsi="Times New Roman" w:eastAsia="宋体" w:cs="Times New Roman"/>
          <w:color w:val="auto"/>
          <w:kern w:val="1"/>
          <w:szCs w:val="21"/>
          <w:highlight w:val="none"/>
        </w:rPr>
        <w:t>：</w:t>
      </w:r>
      <w:r>
        <w:rPr>
          <w:rFonts w:ascii="Times New Roman" w:hAnsi="Times New Roman" w:eastAsia="宋体" w:cs="Times New Roman"/>
          <w:color w:val="auto"/>
          <w:kern w:val="1"/>
          <w:highlight w:val="none"/>
        </w:rPr>
        <w:t>见下表。</w:t>
      </w:r>
    </w:p>
    <w:p w14:paraId="4F000FE3">
      <w:pPr>
        <w:pBdr>
          <w:top w:val="none" w:color="000000" w:sz="0" w:space="0"/>
          <w:left w:val="none" w:color="000000" w:sz="0" w:space="0"/>
          <w:bottom w:val="none" w:color="000000" w:sz="0" w:space="0"/>
          <w:right w:val="none" w:color="000000" w:sz="0" w:space="0"/>
          <w:between w:val="none" w:color="000000" w:sz="0" w:space="0"/>
        </w:pBdr>
        <w:snapToGrid w:val="0"/>
        <w:spacing w:line="360" w:lineRule="auto"/>
        <w:ind w:firstLine="420" w:firstLineChars="200"/>
        <w:rPr>
          <w:rFonts w:ascii="Times New Roman" w:hAnsi="Times New Roman" w:eastAsia="宋体" w:cs="Times New Roman"/>
          <w:color w:val="auto"/>
          <w:kern w:val="1"/>
          <w:highlight w:val="none"/>
        </w:rPr>
      </w:pPr>
      <w:r>
        <w:rPr>
          <w:rFonts w:ascii="Times New Roman" w:hAnsi="Times New Roman" w:eastAsia="宋体" w:cs="Times New Roman"/>
          <w:color w:val="auto"/>
          <w:kern w:val="1"/>
          <w:highlight w:val="none"/>
        </w:rPr>
        <w:t>3.本项目为固定综合单价合同。合同结算总金额最高不超过所</w:t>
      </w:r>
      <w:r>
        <w:rPr>
          <w:rFonts w:hint="eastAsia" w:ascii="Times New Roman" w:hAnsi="Times New Roman" w:eastAsia="宋体" w:cs="Times New Roman"/>
          <w:color w:val="auto"/>
          <w:kern w:val="1"/>
          <w:highlight w:val="none"/>
          <w:lang w:val="en-US" w:eastAsia="zh-CN"/>
        </w:rPr>
        <w:t>中标</w:t>
      </w:r>
      <w:r>
        <w:rPr>
          <w:rFonts w:ascii="Times New Roman" w:hAnsi="Times New Roman" w:eastAsia="宋体" w:cs="Times New Roman"/>
          <w:color w:val="auto"/>
          <w:kern w:val="1"/>
          <w:highlight w:val="none"/>
        </w:rPr>
        <w:t>分标的预算金额。</w:t>
      </w:r>
    </w:p>
    <w:p w14:paraId="4F95655E">
      <w:pPr>
        <w:pBdr>
          <w:top w:val="none" w:color="000000" w:sz="0" w:space="0"/>
          <w:left w:val="none" w:color="000000" w:sz="0" w:space="0"/>
          <w:bottom w:val="none" w:color="000000" w:sz="0" w:space="0"/>
          <w:right w:val="none" w:color="000000" w:sz="0" w:space="0"/>
          <w:between w:val="none" w:color="000000" w:sz="0" w:space="0"/>
        </w:pBdr>
        <w:snapToGrid w:val="0"/>
        <w:spacing w:line="360" w:lineRule="auto"/>
        <w:ind w:firstLine="420" w:firstLineChars="200"/>
        <w:rPr>
          <w:rFonts w:ascii="Times New Roman" w:hAnsi="Times New Roman" w:eastAsia="宋体" w:cs="Times New Roman"/>
          <w:color w:val="auto"/>
          <w:kern w:val="1"/>
          <w:highlight w:val="none"/>
        </w:rPr>
      </w:pPr>
      <w:r>
        <w:rPr>
          <w:rFonts w:ascii="Times New Roman" w:hAnsi="Times New Roman" w:eastAsia="宋体" w:cs="Times New Roman"/>
          <w:color w:val="auto"/>
          <w:kern w:val="1"/>
          <w:highlight w:val="none"/>
        </w:rPr>
        <w:t>4.本项目</w:t>
      </w:r>
      <w:r>
        <w:rPr>
          <w:rFonts w:hint="eastAsia" w:ascii="Times New Roman" w:hAnsi="Times New Roman" w:eastAsia="宋体" w:cs="Times New Roman"/>
          <w:color w:val="auto"/>
          <w:kern w:val="1"/>
          <w:highlight w:val="none"/>
        </w:rPr>
        <w:t>为固定综合单价合同</w:t>
      </w:r>
      <w:r>
        <w:rPr>
          <w:rFonts w:ascii="Times New Roman" w:hAnsi="Times New Roman" w:eastAsia="宋体" w:cs="Times New Roman"/>
          <w:color w:val="auto"/>
          <w:kern w:val="1"/>
          <w:highlight w:val="none"/>
        </w:rPr>
        <w:t>。</w:t>
      </w:r>
    </w:p>
    <w:p w14:paraId="1A97B81A">
      <w:pPr>
        <w:pBdr>
          <w:top w:val="none" w:color="000000" w:sz="0" w:space="0"/>
          <w:left w:val="none" w:color="000000" w:sz="0" w:space="0"/>
          <w:bottom w:val="none" w:color="000000" w:sz="0" w:space="0"/>
          <w:right w:val="none" w:color="000000" w:sz="0" w:space="0"/>
          <w:between w:val="none" w:color="000000" w:sz="0" w:space="0"/>
        </w:pBdr>
        <w:snapToGrid w:val="0"/>
        <w:spacing w:line="360" w:lineRule="auto"/>
        <w:ind w:firstLine="420" w:firstLineChars="200"/>
        <w:rPr>
          <w:rFonts w:ascii="Times New Roman" w:hAnsi="Times New Roman" w:eastAsia="宋体" w:cs="Times New Roman"/>
          <w:color w:val="auto"/>
          <w:kern w:val="1"/>
          <w:highlight w:val="none"/>
        </w:rPr>
      </w:pPr>
      <w:r>
        <w:rPr>
          <w:rFonts w:ascii="Times New Roman" w:hAnsi="Times New Roman" w:eastAsia="宋体" w:cs="Times New Roman"/>
          <w:color w:val="auto"/>
          <w:kern w:val="1"/>
          <w:highlight w:val="none"/>
        </w:rPr>
        <w:t>5.本项目实际发生抽查批次按合同履行过程中对应的分标实际发生的数量汇总计算，合同结算金额=合同单价×实际发生抽查批次。结算金额最高不超过所</w:t>
      </w:r>
      <w:r>
        <w:rPr>
          <w:rFonts w:hint="eastAsia" w:ascii="Times New Roman" w:hAnsi="Times New Roman" w:eastAsia="宋体" w:cs="Times New Roman"/>
          <w:color w:val="auto"/>
          <w:kern w:val="1"/>
          <w:highlight w:val="none"/>
          <w:lang w:val="en-US" w:eastAsia="zh-CN"/>
        </w:rPr>
        <w:t>成交</w:t>
      </w:r>
      <w:r>
        <w:rPr>
          <w:rFonts w:ascii="Times New Roman" w:hAnsi="Times New Roman" w:eastAsia="宋体" w:cs="Times New Roman"/>
          <w:color w:val="auto"/>
          <w:kern w:val="1"/>
          <w:highlight w:val="none"/>
        </w:rPr>
        <w:t>分标的预算金额。</w:t>
      </w:r>
      <w:r>
        <w:rPr>
          <w:rFonts w:hint="eastAsia" w:ascii="Times New Roman" w:hAnsi="Times New Roman" w:eastAsia="宋体" w:cs="Times New Roman"/>
          <w:color w:val="auto"/>
          <w:kern w:val="1"/>
          <w:highlight w:val="none"/>
          <w:lang w:eastAsia="zh-CN"/>
        </w:rPr>
        <w:t>抽查产品和</w:t>
      </w:r>
      <w:r>
        <w:rPr>
          <w:rFonts w:ascii="Times New Roman" w:hAnsi="Times New Roman" w:eastAsia="宋体" w:cs="Times New Roman"/>
          <w:color w:val="auto"/>
          <w:kern w:val="1"/>
          <w:highlight w:val="none"/>
        </w:rPr>
        <w:t>批次</w:t>
      </w:r>
      <w:r>
        <w:rPr>
          <w:rFonts w:hint="eastAsia" w:ascii="Times New Roman" w:hAnsi="Times New Roman" w:eastAsia="宋体" w:cs="Times New Roman"/>
          <w:color w:val="auto"/>
          <w:kern w:val="1"/>
          <w:highlight w:val="none"/>
          <w:lang w:eastAsia="zh-CN"/>
        </w:rPr>
        <w:t>分配以甲方下达的抽查任务文件为准。</w:t>
      </w:r>
      <w:r>
        <w:rPr>
          <w:rFonts w:ascii="Times New Roman" w:hAnsi="Times New Roman" w:eastAsia="宋体" w:cs="Times New Roman"/>
          <w:color w:val="auto"/>
          <w:kern w:val="1"/>
          <w:highlight w:val="none"/>
        </w:rPr>
        <w:t>合同单价和合同批次、合同暂定金额见下表：</w:t>
      </w:r>
    </w:p>
    <w:tbl>
      <w:tblPr>
        <w:tblStyle w:val="20"/>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700"/>
        <w:gridCol w:w="3194"/>
        <w:gridCol w:w="1257"/>
        <w:gridCol w:w="1295"/>
        <w:gridCol w:w="1773"/>
      </w:tblGrid>
      <w:tr w14:paraId="1787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637" w:type="dxa"/>
            <w:shd w:val="clear" w:color="auto" w:fill="FFFFFF"/>
            <w:tcMar>
              <w:top w:w="12" w:type="dxa"/>
              <w:left w:w="12" w:type="dxa"/>
              <w:right w:w="12" w:type="dxa"/>
            </w:tcMar>
            <w:vAlign w:val="center"/>
          </w:tcPr>
          <w:p w14:paraId="1539F3CA">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b/>
                <w:color w:val="auto"/>
                <w:kern w:val="1"/>
                <w:sz w:val="22"/>
                <w:szCs w:val="22"/>
                <w:highlight w:val="none"/>
              </w:rPr>
            </w:pPr>
            <w:r>
              <w:rPr>
                <w:rFonts w:ascii="Times New Roman" w:hAnsi="Times New Roman" w:eastAsia="宋体" w:cs="Times New Roman"/>
                <w:b/>
                <w:color w:val="auto"/>
                <w:kern w:val="0"/>
                <w:sz w:val="22"/>
                <w:szCs w:val="22"/>
                <w:highlight w:val="none"/>
                <w:lang w:bidi="ar"/>
              </w:rPr>
              <w:t>分标</w:t>
            </w:r>
          </w:p>
        </w:tc>
        <w:tc>
          <w:tcPr>
            <w:tcW w:w="700" w:type="dxa"/>
            <w:shd w:val="clear" w:color="auto" w:fill="FFFFFF"/>
            <w:tcMar>
              <w:top w:w="12" w:type="dxa"/>
              <w:left w:w="12" w:type="dxa"/>
              <w:right w:w="12" w:type="dxa"/>
            </w:tcMar>
            <w:vAlign w:val="center"/>
          </w:tcPr>
          <w:p w14:paraId="3C1E873C">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b/>
                <w:color w:val="auto"/>
                <w:kern w:val="1"/>
                <w:sz w:val="22"/>
                <w:szCs w:val="22"/>
                <w:highlight w:val="none"/>
              </w:rPr>
            </w:pPr>
            <w:r>
              <w:rPr>
                <w:rFonts w:ascii="Times New Roman" w:hAnsi="Times New Roman" w:eastAsia="宋体" w:cs="Times New Roman"/>
                <w:b/>
                <w:color w:val="auto"/>
                <w:kern w:val="0"/>
                <w:sz w:val="22"/>
                <w:szCs w:val="22"/>
                <w:highlight w:val="none"/>
                <w:lang w:bidi="ar"/>
              </w:rPr>
              <w:t>序号</w:t>
            </w:r>
          </w:p>
        </w:tc>
        <w:tc>
          <w:tcPr>
            <w:tcW w:w="3194" w:type="dxa"/>
            <w:shd w:val="clear" w:color="auto" w:fill="FFFFFF"/>
            <w:tcMar>
              <w:top w:w="12" w:type="dxa"/>
              <w:left w:w="12" w:type="dxa"/>
              <w:right w:w="12" w:type="dxa"/>
            </w:tcMar>
            <w:vAlign w:val="center"/>
          </w:tcPr>
          <w:p w14:paraId="329CC8FB">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b/>
                <w:color w:val="auto"/>
                <w:kern w:val="1"/>
                <w:sz w:val="22"/>
                <w:szCs w:val="22"/>
                <w:highlight w:val="none"/>
              </w:rPr>
            </w:pPr>
            <w:r>
              <w:rPr>
                <w:rFonts w:ascii="Times New Roman" w:hAnsi="Times New Roman" w:eastAsia="宋体" w:cs="Times New Roman"/>
                <w:b/>
                <w:color w:val="auto"/>
                <w:kern w:val="1"/>
                <w:sz w:val="22"/>
                <w:szCs w:val="22"/>
                <w:highlight w:val="none"/>
              </w:rPr>
              <w:t>产品名称</w:t>
            </w:r>
          </w:p>
        </w:tc>
        <w:tc>
          <w:tcPr>
            <w:tcW w:w="1257" w:type="dxa"/>
            <w:shd w:val="clear" w:color="auto" w:fill="FFFFFF"/>
            <w:tcMar>
              <w:top w:w="12" w:type="dxa"/>
              <w:left w:w="12" w:type="dxa"/>
              <w:right w:w="12" w:type="dxa"/>
            </w:tcMar>
            <w:vAlign w:val="center"/>
          </w:tcPr>
          <w:p w14:paraId="3635A974">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b/>
                <w:color w:val="auto"/>
                <w:kern w:val="1"/>
                <w:sz w:val="22"/>
                <w:szCs w:val="22"/>
                <w:highlight w:val="none"/>
              </w:rPr>
            </w:pPr>
            <w:r>
              <w:rPr>
                <w:rFonts w:ascii="Times New Roman" w:hAnsi="Times New Roman" w:eastAsia="宋体" w:cs="Times New Roman"/>
                <w:b/>
                <w:color w:val="auto"/>
                <w:kern w:val="0"/>
                <w:szCs w:val="21"/>
                <w:highlight w:val="none"/>
                <w:lang w:bidi="ar"/>
              </w:rPr>
              <w:t>合同单价（元）</w:t>
            </w:r>
          </w:p>
        </w:tc>
        <w:tc>
          <w:tcPr>
            <w:tcW w:w="1295" w:type="dxa"/>
            <w:shd w:val="clear" w:color="auto" w:fill="FFFFFF"/>
            <w:tcMar>
              <w:top w:w="12" w:type="dxa"/>
              <w:left w:w="12" w:type="dxa"/>
              <w:right w:w="12" w:type="dxa"/>
            </w:tcMar>
            <w:vAlign w:val="center"/>
          </w:tcPr>
          <w:p w14:paraId="09E9DC7A">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b/>
                <w:color w:val="auto"/>
                <w:kern w:val="1"/>
                <w:szCs w:val="21"/>
                <w:highlight w:val="none"/>
              </w:rPr>
            </w:pPr>
            <w:r>
              <w:rPr>
                <w:rFonts w:ascii="Times New Roman" w:hAnsi="Times New Roman" w:eastAsia="宋体" w:cs="Times New Roman"/>
                <w:b/>
                <w:color w:val="auto"/>
                <w:kern w:val="0"/>
                <w:szCs w:val="21"/>
                <w:highlight w:val="none"/>
                <w:lang w:bidi="ar"/>
              </w:rPr>
              <w:t>抽检批次</w:t>
            </w:r>
          </w:p>
        </w:tc>
        <w:tc>
          <w:tcPr>
            <w:tcW w:w="1773" w:type="dxa"/>
            <w:tcMar>
              <w:top w:w="12" w:type="dxa"/>
              <w:left w:w="12" w:type="dxa"/>
              <w:right w:w="12" w:type="dxa"/>
            </w:tcMar>
            <w:vAlign w:val="center"/>
          </w:tcPr>
          <w:p w14:paraId="37006879">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b/>
                <w:color w:val="auto"/>
                <w:kern w:val="1"/>
                <w:szCs w:val="21"/>
                <w:highlight w:val="none"/>
              </w:rPr>
            </w:pPr>
            <w:r>
              <w:rPr>
                <w:rFonts w:ascii="Times New Roman" w:hAnsi="Times New Roman" w:eastAsia="宋体" w:cs="Times New Roman"/>
                <w:b/>
                <w:color w:val="auto"/>
                <w:kern w:val="0"/>
                <w:szCs w:val="21"/>
                <w:highlight w:val="none"/>
                <w:lang w:bidi="ar"/>
              </w:rPr>
              <w:t>合同暂定金额（元）</w:t>
            </w:r>
          </w:p>
        </w:tc>
      </w:tr>
      <w:tr w14:paraId="6315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637" w:type="dxa"/>
            <w:vMerge w:val="restart"/>
            <w:shd w:val="clear" w:color="auto" w:fill="FFFFFF"/>
            <w:tcMar>
              <w:top w:w="12" w:type="dxa"/>
              <w:left w:w="12" w:type="dxa"/>
              <w:right w:w="12" w:type="dxa"/>
            </w:tcMar>
            <w:vAlign w:val="center"/>
          </w:tcPr>
          <w:p w14:paraId="3DFFEB7A">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hint="eastAsia" w:ascii="Times New Roman" w:hAnsi="Times New Roman" w:eastAsia="宋体" w:cs="Times New Roman"/>
                <w:color w:val="auto"/>
                <w:kern w:val="1"/>
                <w:sz w:val="22"/>
                <w:szCs w:val="22"/>
                <w:highlight w:val="none"/>
                <w:lang w:eastAsia="zh-CN"/>
              </w:rPr>
            </w:pPr>
            <w:r>
              <w:rPr>
                <w:rFonts w:hint="eastAsia" w:ascii="Times New Roman" w:hAnsi="Times New Roman" w:eastAsia="宋体" w:cs="Times New Roman"/>
                <w:color w:val="auto"/>
                <w:kern w:val="0"/>
                <w:sz w:val="22"/>
                <w:szCs w:val="22"/>
                <w:highlight w:val="none"/>
                <w:lang w:eastAsia="zh-CN" w:bidi="ar"/>
              </w:rPr>
              <w:t xml:space="preserve"> </w:t>
            </w:r>
          </w:p>
        </w:tc>
        <w:tc>
          <w:tcPr>
            <w:tcW w:w="700" w:type="dxa"/>
            <w:shd w:val="clear" w:color="auto" w:fill="FFFFFF"/>
            <w:tcMar>
              <w:top w:w="12" w:type="dxa"/>
              <w:left w:w="12" w:type="dxa"/>
              <w:right w:w="12" w:type="dxa"/>
            </w:tcMar>
            <w:vAlign w:val="center"/>
          </w:tcPr>
          <w:p w14:paraId="554265AA">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color w:val="auto"/>
                <w:kern w:val="1"/>
                <w:sz w:val="22"/>
                <w:szCs w:val="22"/>
                <w:highlight w:val="none"/>
              </w:rPr>
            </w:pPr>
          </w:p>
        </w:tc>
        <w:tc>
          <w:tcPr>
            <w:tcW w:w="3194" w:type="dxa"/>
            <w:shd w:val="clear" w:color="auto" w:fill="FFFFFF"/>
            <w:tcMar>
              <w:top w:w="12" w:type="dxa"/>
              <w:left w:w="12" w:type="dxa"/>
              <w:right w:w="12" w:type="dxa"/>
            </w:tcMar>
            <w:vAlign w:val="center"/>
          </w:tcPr>
          <w:p w14:paraId="5CE76E36">
            <w:pPr>
              <w:widowControl/>
              <w:spacing w:line="360" w:lineRule="auto"/>
              <w:jc w:val="center"/>
              <w:textAlignment w:val="center"/>
              <w:rPr>
                <w:rFonts w:ascii="Times New Roman" w:hAnsi="Times New Roman" w:eastAsia="宋体" w:cs="Times New Roman"/>
                <w:color w:val="auto"/>
                <w:kern w:val="1"/>
                <w:sz w:val="22"/>
                <w:szCs w:val="22"/>
                <w:highlight w:val="none"/>
              </w:rPr>
            </w:pPr>
          </w:p>
        </w:tc>
        <w:tc>
          <w:tcPr>
            <w:tcW w:w="1257" w:type="dxa"/>
            <w:shd w:val="clear" w:color="auto" w:fill="FFFFFF"/>
            <w:tcMar>
              <w:top w:w="12" w:type="dxa"/>
              <w:left w:w="12" w:type="dxa"/>
              <w:right w:w="12" w:type="dxa"/>
            </w:tcMar>
            <w:vAlign w:val="center"/>
          </w:tcPr>
          <w:p w14:paraId="4CEB6301">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color w:val="auto"/>
                <w:kern w:val="1"/>
                <w:sz w:val="22"/>
                <w:szCs w:val="22"/>
                <w:highlight w:val="none"/>
              </w:rPr>
            </w:pPr>
          </w:p>
        </w:tc>
        <w:tc>
          <w:tcPr>
            <w:tcW w:w="1295" w:type="dxa"/>
            <w:tcMar>
              <w:top w:w="12" w:type="dxa"/>
              <w:left w:w="12" w:type="dxa"/>
              <w:right w:w="12" w:type="dxa"/>
            </w:tcMar>
            <w:vAlign w:val="center"/>
          </w:tcPr>
          <w:p w14:paraId="210F8C66">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color w:val="auto"/>
                <w:kern w:val="1"/>
                <w:sz w:val="22"/>
                <w:szCs w:val="22"/>
                <w:highlight w:val="none"/>
              </w:rPr>
            </w:pPr>
          </w:p>
        </w:tc>
        <w:tc>
          <w:tcPr>
            <w:tcW w:w="1773" w:type="dxa"/>
            <w:noWrap/>
            <w:tcMar>
              <w:top w:w="12" w:type="dxa"/>
              <w:left w:w="12" w:type="dxa"/>
              <w:right w:w="12" w:type="dxa"/>
            </w:tcMar>
            <w:vAlign w:val="center"/>
          </w:tcPr>
          <w:p w14:paraId="44440F50">
            <w:pPr>
              <w:widowControl/>
              <w:spacing w:line="360" w:lineRule="auto"/>
              <w:jc w:val="center"/>
              <w:textAlignment w:val="center"/>
              <w:rPr>
                <w:rFonts w:ascii="Times New Roman" w:hAnsi="Times New Roman" w:eastAsia="宋体" w:cs="Times New Roman"/>
                <w:color w:val="auto"/>
                <w:kern w:val="1"/>
                <w:sz w:val="22"/>
                <w:szCs w:val="22"/>
                <w:highlight w:val="none"/>
              </w:rPr>
            </w:pPr>
          </w:p>
        </w:tc>
      </w:tr>
      <w:tr w14:paraId="5428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637" w:type="dxa"/>
            <w:vMerge w:val="continue"/>
            <w:shd w:val="clear" w:color="auto" w:fill="FFFFFF"/>
            <w:tcMar>
              <w:top w:w="12" w:type="dxa"/>
              <w:left w:w="12" w:type="dxa"/>
              <w:right w:w="12" w:type="dxa"/>
            </w:tcMar>
            <w:vAlign w:val="center"/>
          </w:tcPr>
          <w:p w14:paraId="5D6532F5">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color w:val="auto"/>
                <w:kern w:val="0"/>
                <w:sz w:val="22"/>
                <w:szCs w:val="22"/>
                <w:highlight w:val="none"/>
                <w:lang w:bidi="ar"/>
              </w:rPr>
            </w:pPr>
          </w:p>
        </w:tc>
        <w:tc>
          <w:tcPr>
            <w:tcW w:w="700" w:type="dxa"/>
            <w:shd w:val="clear" w:color="auto" w:fill="FFFFFF"/>
            <w:tcMar>
              <w:top w:w="12" w:type="dxa"/>
              <w:left w:w="12" w:type="dxa"/>
              <w:right w:w="12" w:type="dxa"/>
            </w:tcMar>
            <w:vAlign w:val="center"/>
          </w:tcPr>
          <w:p w14:paraId="2C206D30">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color w:val="auto"/>
                <w:kern w:val="1"/>
                <w:sz w:val="22"/>
                <w:szCs w:val="22"/>
                <w:highlight w:val="none"/>
              </w:rPr>
            </w:pPr>
          </w:p>
        </w:tc>
        <w:tc>
          <w:tcPr>
            <w:tcW w:w="3194" w:type="dxa"/>
            <w:shd w:val="clear" w:color="auto" w:fill="FFFFFF"/>
            <w:tcMar>
              <w:top w:w="12" w:type="dxa"/>
              <w:left w:w="12" w:type="dxa"/>
              <w:right w:w="12" w:type="dxa"/>
            </w:tcMar>
            <w:vAlign w:val="center"/>
          </w:tcPr>
          <w:p w14:paraId="592B1375">
            <w:pPr>
              <w:widowControl/>
              <w:spacing w:line="360" w:lineRule="auto"/>
              <w:jc w:val="center"/>
              <w:textAlignment w:val="center"/>
              <w:rPr>
                <w:rFonts w:ascii="Times New Roman" w:hAnsi="Times New Roman" w:eastAsia="宋体" w:cs="Times New Roman"/>
                <w:color w:val="auto"/>
                <w:kern w:val="1"/>
                <w:sz w:val="22"/>
                <w:szCs w:val="22"/>
                <w:highlight w:val="none"/>
              </w:rPr>
            </w:pPr>
          </w:p>
        </w:tc>
        <w:tc>
          <w:tcPr>
            <w:tcW w:w="1257" w:type="dxa"/>
            <w:shd w:val="clear" w:color="auto" w:fill="FFFFFF"/>
            <w:tcMar>
              <w:top w:w="12" w:type="dxa"/>
              <w:left w:w="12" w:type="dxa"/>
              <w:right w:w="12" w:type="dxa"/>
            </w:tcMar>
            <w:vAlign w:val="center"/>
          </w:tcPr>
          <w:p w14:paraId="636C45DC">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color w:val="auto"/>
                <w:kern w:val="1"/>
                <w:sz w:val="22"/>
                <w:szCs w:val="22"/>
                <w:highlight w:val="none"/>
              </w:rPr>
            </w:pPr>
          </w:p>
        </w:tc>
        <w:tc>
          <w:tcPr>
            <w:tcW w:w="1295" w:type="dxa"/>
            <w:tcMar>
              <w:top w:w="12" w:type="dxa"/>
              <w:left w:w="12" w:type="dxa"/>
              <w:right w:w="12" w:type="dxa"/>
            </w:tcMar>
            <w:vAlign w:val="center"/>
          </w:tcPr>
          <w:p w14:paraId="47EE771B">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color w:val="auto"/>
                <w:kern w:val="1"/>
                <w:sz w:val="22"/>
                <w:szCs w:val="22"/>
                <w:highlight w:val="none"/>
              </w:rPr>
            </w:pPr>
          </w:p>
        </w:tc>
        <w:tc>
          <w:tcPr>
            <w:tcW w:w="1773" w:type="dxa"/>
            <w:noWrap/>
            <w:tcMar>
              <w:top w:w="12" w:type="dxa"/>
              <w:left w:w="12" w:type="dxa"/>
              <w:right w:w="12" w:type="dxa"/>
            </w:tcMar>
            <w:vAlign w:val="center"/>
          </w:tcPr>
          <w:p w14:paraId="02C0F184">
            <w:pPr>
              <w:widowControl/>
              <w:spacing w:line="360" w:lineRule="auto"/>
              <w:jc w:val="center"/>
              <w:textAlignment w:val="center"/>
              <w:rPr>
                <w:rFonts w:ascii="Times New Roman" w:hAnsi="Times New Roman" w:eastAsia="宋体" w:cs="Times New Roman"/>
                <w:color w:val="auto"/>
                <w:kern w:val="1"/>
                <w:sz w:val="22"/>
                <w:szCs w:val="22"/>
                <w:highlight w:val="none"/>
              </w:rPr>
            </w:pPr>
          </w:p>
        </w:tc>
      </w:tr>
      <w:tr w14:paraId="7F4F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637" w:type="dxa"/>
            <w:vMerge w:val="continue"/>
            <w:shd w:val="clear" w:color="auto" w:fill="FFFFFF"/>
            <w:tcMar>
              <w:top w:w="12" w:type="dxa"/>
              <w:left w:w="12" w:type="dxa"/>
              <w:right w:w="12" w:type="dxa"/>
            </w:tcMar>
            <w:vAlign w:val="center"/>
          </w:tcPr>
          <w:p w14:paraId="576D5E3B">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color w:val="auto"/>
                <w:kern w:val="0"/>
                <w:sz w:val="22"/>
                <w:szCs w:val="22"/>
                <w:highlight w:val="none"/>
                <w:lang w:bidi="ar"/>
              </w:rPr>
            </w:pPr>
          </w:p>
        </w:tc>
        <w:tc>
          <w:tcPr>
            <w:tcW w:w="700" w:type="dxa"/>
            <w:shd w:val="clear" w:color="auto" w:fill="FFFFFF"/>
            <w:tcMar>
              <w:top w:w="12" w:type="dxa"/>
              <w:left w:w="12" w:type="dxa"/>
              <w:right w:w="12" w:type="dxa"/>
            </w:tcMar>
            <w:vAlign w:val="center"/>
          </w:tcPr>
          <w:p w14:paraId="7E853F9D">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color w:val="auto"/>
                <w:kern w:val="1"/>
                <w:sz w:val="22"/>
                <w:szCs w:val="22"/>
                <w:highlight w:val="none"/>
              </w:rPr>
            </w:pPr>
          </w:p>
        </w:tc>
        <w:tc>
          <w:tcPr>
            <w:tcW w:w="3194" w:type="dxa"/>
            <w:shd w:val="clear" w:color="auto" w:fill="FFFFFF"/>
            <w:tcMar>
              <w:top w:w="12" w:type="dxa"/>
              <w:left w:w="12" w:type="dxa"/>
              <w:right w:w="12" w:type="dxa"/>
            </w:tcMar>
            <w:vAlign w:val="center"/>
          </w:tcPr>
          <w:p w14:paraId="5AB3965D">
            <w:pPr>
              <w:widowControl/>
              <w:spacing w:line="360" w:lineRule="auto"/>
              <w:jc w:val="center"/>
              <w:textAlignment w:val="center"/>
              <w:rPr>
                <w:rFonts w:ascii="Times New Roman" w:hAnsi="Times New Roman" w:eastAsia="宋体" w:cs="Times New Roman"/>
                <w:color w:val="auto"/>
                <w:kern w:val="1"/>
                <w:sz w:val="22"/>
                <w:szCs w:val="22"/>
                <w:highlight w:val="none"/>
              </w:rPr>
            </w:pPr>
          </w:p>
        </w:tc>
        <w:tc>
          <w:tcPr>
            <w:tcW w:w="1257" w:type="dxa"/>
            <w:shd w:val="clear" w:color="auto" w:fill="FFFFFF"/>
            <w:tcMar>
              <w:top w:w="12" w:type="dxa"/>
              <w:left w:w="12" w:type="dxa"/>
              <w:right w:w="12" w:type="dxa"/>
            </w:tcMar>
            <w:vAlign w:val="center"/>
          </w:tcPr>
          <w:p w14:paraId="54A807C9">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color w:val="auto"/>
                <w:kern w:val="1"/>
                <w:sz w:val="22"/>
                <w:szCs w:val="22"/>
                <w:highlight w:val="none"/>
              </w:rPr>
            </w:pPr>
          </w:p>
        </w:tc>
        <w:tc>
          <w:tcPr>
            <w:tcW w:w="1295" w:type="dxa"/>
            <w:tcMar>
              <w:top w:w="12" w:type="dxa"/>
              <w:left w:w="12" w:type="dxa"/>
              <w:right w:w="12" w:type="dxa"/>
            </w:tcMar>
            <w:vAlign w:val="center"/>
          </w:tcPr>
          <w:p w14:paraId="4D59C05D">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color w:val="auto"/>
                <w:kern w:val="1"/>
                <w:sz w:val="22"/>
                <w:szCs w:val="22"/>
                <w:highlight w:val="none"/>
              </w:rPr>
            </w:pPr>
          </w:p>
        </w:tc>
        <w:tc>
          <w:tcPr>
            <w:tcW w:w="1773" w:type="dxa"/>
            <w:noWrap/>
            <w:tcMar>
              <w:top w:w="12" w:type="dxa"/>
              <w:left w:w="12" w:type="dxa"/>
              <w:right w:w="12" w:type="dxa"/>
            </w:tcMar>
            <w:vAlign w:val="center"/>
          </w:tcPr>
          <w:p w14:paraId="3E825B1C">
            <w:pPr>
              <w:widowControl/>
              <w:spacing w:line="360" w:lineRule="auto"/>
              <w:jc w:val="center"/>
              <w:textAlignment w:val="center"/>
              <w:rPr>
                <w:rFonts w:ascii="Times New Roman" w:hAnsi="Times New Roman" w:eastAsia="宋体" w:cs="Times New Roman"/>
                <w:color w:val="auto"/>
                <w:kern w:val="1"/>
                <w:sz w:val="22"/>
                <w:szCs w:val="22"/>
                <w:highlight w:val="none"/>
              </w:rPr>
            </w:pPr>
          </w:p>
        </w:tc>
      </w:tr>
      <w:tr w14:paraId="340A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637" w:type="dxa"/>
            <w:vMerge w:val="continue"/>
            <w:shd w:val="clear" w:color="auto" w:fill="FFFFFF"/>
            <w:tcMar>
              <w:top w:w="12" w:type="dxa"/>
              <w:left w:w="12" w:type="dxa"/>
              <w:right w:w="12" w:type="dxa"/>
            </w:tcMar>
            <w:vAlign w:val="center"/>
          </w:tcPr>
          <w:p w14:paraId="0E04072A">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color w:val="auto"/>
                <w:kern w:val="0"/>
                <w:sz w:val="22"/>
                <w:szCs w:val="22"/>
                <w:highlight w:val="none"/>
                <w:lang w:bidi="ar"/>
              </w:rPr>
            </w:pPr>
          </w:p>
        </w:tc>
        <w:tc>
          <w:tcPr>
            <w:tcW w:w="700" w:type="dxa"/>
            <w:shd w:val="clear" w:color="auto" w:fill="FFFFFF"/>
            <w:tcMar>
              <w:top w:w="12" w:type="dxa"/>
              <w:left w:w="12" w:type="dxa"/>
              <w:right w:w="12" w:type="dxa"/>
            </w:tcMar>
            <w:vAlign w:val="center"/>
          </w:tcPr>
          <w:p w14:paraId="2083DFA1">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color w:val="auto"/>
                <w:kern w:val="1"/>
                <w:sz w:val="22"/>
                <w:szCs w:val="22"/>
                <w:highlight w:val="none"/>
              </w:rPr>
            </w:pPr>
          </w:p>
        </w:tc>
        <w:tc>
          <w:tcPr>
            <w:tcW w:w="3194" w:type="dxa"/>
            <w:shd w:val="clear" w:color="auto" w:fill="FFFFFF"/>
            <w:tcMar>
              <w:top w:w="12" w:type="dxa"/>
              <w:left w:w="12" w:type="dxa"/>
              <w:right w:w="12" w:type="dxa"/>
            </w:tcMar>
            <w:vAlign w:val="center"/>
          </w:tcPr>
          <w:p w14:paraId="4171E828">
            <w:pPr>
              <w:widowControl/>
              <w:spacing w:line="360" w:lineRule="auto"/>
              <w:jc w:val="center"/>
              <w:textAlignment w:val="center"/>
              <w:rPr>
                <w:rFonts w:ascii="Times New Roman" w:hAnsi="Times New Roman" w:eastAsia="宋体" w:cs="Times New Roman"/>
                <w:color w:val="auto"/>
                <w:kern w:val="1"/>
                <w:sz w:val="22"/>
                <w:szCs w:val="22"/>
                <w:highlight w:val="none"/>
              </w:rPr>
            </w:pPr>
          </w:p>
        </w:tc>
        <w:tc>
          <w:tcPr>
            <w:tcW w:w="1257" w:type="dxa"/>
            <w:shd w:val="clear" w:color="auto" w:fill="FFFFFF"/>
            <w:tcMar>
              <w:top w:w="12" w:type="dxa"/>
              <w:left w:w="12" w:type="dxa"/>
              <w:right w:w="12" w:type="dxa"/>
            </w:tcMar>
            <w:vAlign w:val="center"/>
          </w:tcPr>
          <w:p w14:paraId="1DAF4F39">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color w:val="auto"/>
                <w:kern w:val="1"/>
                <w:sz w:val="22"/>
                <w:szCs w:val="22"/>
                <w:highlight w:val="none"/>
              </w:rPr>
            </w:pPr>
          </w:p>
        </w:tc>
        <w:tc>
          <w:tcPr>
            <w:tcW w:w="1295" w:type="dxa"/>
            <w:tcMar>
              <w:top w:w="12" w:type="dxa"/>
              <w:left w:w="12" w:type="dxa"/>
              <w:right w:w="12" w:type="dxa"/>
            </w:tcMar>
            <w:vAlign w:val="center"/>
          </w:tcPr>
          <w:p w14:paraId="7C18E82D">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color w:val="auto"/>
                <w:kern w:val="1"/>
                <w:sz w:val="22"/>
                <w:szCs w:val="22"/>
                <w:highlight w:val="none"/>
              </w:rPr>
            </w:pPr>
          </w:p>
        </w:tc>
        <w:tc>
          <w:tcPr>
            <w:tcW w:w="1773" w:type="dxa"/>
            <w:noWrap/>
            <w:tcMar>
              <w:top w:w="12" w:type="dxa"/>
              <w:left w:w="12" w:type="dxa"/>
              <w:right w:w="12" w:type="dxa"/>
            </w:tcMar>
            <w:vAlign w:val="center"/>
          </w:tcPr>
          <w:p w14:paraId="6E5CF649">
            <w:pPr>
              <w:widowControl/>
              <w:spacing w:line="360" w:lineRule="auto"/>
              <w:jc w:val="center"/>
              <w:textAlignment w:val="center"/>
              <w:rPr>
                <w:rFonts w:ascii="Times New Roman" w:hAnsi="Times New Roman" w:eastAsia="宋体" w:cs="Times New Roman"/>
                <w:color w:val="auto"/>
                <w:kern w:val="1"/>
                <w:sz w:val="22"/>
                <w:szCs w:val="22"/>
                <w:highlight w:val="none"/>
              </w:rPr>
            </w:pPr>
          </w:p>
        </w:tc>
      </w:tr>
      <w:tr w14:paraId="12A9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637" w:type="dxa"/>
            <w:vMerge w:val="continue"/>
            <w:shd w:val="clear" w:color="auto" w:fill="FFFFFF"/>
            <w:tcMar>
              <w:top w:w="12" w:type="dxa"/>
              <w:left w:w="12" w:type="dxa"/>
              <w:right w:w="12" w:type="dxa"/>
            </w:tcMar>
            <w:vAlign w:val="center"/>
          </w:tcPr>
          <w:p w14:paraId="3AAC12EB">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color w:val="auto"/>
                <w:kern w:val="0"/>
                <w:sz w:val="22"/>
                <w:szCs w:val="22"/>
                <w:highlight w:val="none"/>
                <w:lang w:bidi="ar"/>
              </w:rPr>
            </w:pPr>
          </w:p>
        </w:tc>
        <w:tc>
          <w:tcPr>
            <w:tcW w:w="700" w:type="dxa"/>
            <w:shd w:val="clear" w:color="auto" w:fill="FFFFFF"/>
            <w:tcMar>
              <w:top w:w="12" w:type="dxa"/>
              <w:left w:w="12" w:type="dxa"/>
              <w:right w:w="12" w:type="dxa"/>
            </w:tcMar>
            <w:vAlign w:val="center"/>
          </w:tcPr>
          <w:p w14:paraId="5217E8A8">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color w:val="auto"/>
                <w:kern w:val="1"/>
                <w:sz w:val="22"/>
                <w:szCs w:val="22"/>
                <w:highlight w:val="none"/>
              </w:rPr>
            </w:pPr>
          </w:p>
        </w:tc>
        <w:tc>
          <w:tcPr>
            <w:tcW w:w="3194" w:type="dxa"/>
            <w:shd w:val="clear" w:color="auto" w:fill="FFFFFF"/>
            <w:tcMar>
              <w:top w:w="12" w:type="dxa"/>
              <w:left w:w="12" w:type="dxa"/>
              <w:right w:w="12" w:type="dxa"/>
            </w:tcMar>
            <w:vAlign w:val="center"/>
          </w:tcPr>
          <w:p w14:paraId="716A5604">
            <w:pPr>
              <w:widowControl/>
              <w:spacing w:line="360" w:lineRule="auto"/>
              <w:jc w:val="center"/>
              <w:textAlignment w:val="center"/>
              <w:rPr>
                <w:rFonts w:ascii="Times New Roman" w:hAnsi="Times New Roman" w:eastAsia="宋体" w:cs="Times New Roman"/>
                <w:color w:val="auto"/>
                <w:kern w:val="1"/>
                <w:sz w:val="22"/>
                <w:szCs w:val="22"/>
                <w:highlight w:val="none"/>
              </w:rPr>
            </w:pPr>
          </w:p>
        </w:tc>
        <w:tc>
          <w:tcPr>
            <w:tcW w:w="1257" w:type="dxa"/>
            <w:shd w:val="clear" w:color="auto" w:fill="FFFFFF"/>
            <w:tcMar>
              <w:top w:w="12" w:type="dxa"/>
              <w:left w:w="12" w:type="dxa"/>
              <w:right w:w="12" w:type="dxa"/>
            </w:tcMar>
            <w:vAlign w:val="center"/>
          </w:tcPr>
          <w:p w14:paraId="623EBD46">
            <w:pPr>
              <w:widowControl/>
              <w:spacing w:line="360" w:lineRule="auto"/>
              <w:jc w:val="center"/>
              <w:textAlignment w:val="center"/>
              <w:rPr>
                <w:rFonts w:ascii="Times New Roman" w:hAnsi="Times New Roman" w:eastAsia="宋体" w:cs="Times New Roman"/>
                <w:color w:val="auto"/>
                <w:kern w:val="1"/>
                <w:sz w:val="22"/>
                <w:szCs w:val="22"/>
                <w:highlight w:val="none"/>
              </w:rPr>
            </w:pPr>
          </w:p>
        </w:tc>
        <w:tc>
          <w:tcPr>
            <w:tcW w:w="1295" w:type="dxa"/>
            <w:tcMar>
              <w:top w:w="12" w:type="dxa"/>
              <w:left w:w="12" w:type="dxa"/>
              <w:right w:w="12" w:type="dxa"/>
            </w:tcMar>
            <w:vAlign w:val="center"/>
          </w:tcPr>
          <w:p w14:paraId="1B49D6AF">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color w:val="auto"/>
                <w:kern w:val="1"/>
                <w:sz w:val="22"/>
                <w:szCs w:val="22"/>
                <w:highlight w:val="none"/>
              </w:rPr>
            </w:pPr>
          </w:p>
        </w:tc>
        <w:tc>
          <w:tcPr>
            <w:tcW w:w="1773" w:type="dxa"/>
            <w:noWrap/>
            <w:tcMar>
              <w:top w:w="12" w:type="dxa"/>
              <w:left w:w="12" w:type="dxa"/>
              <w:right w:w="12" w:type="dxa"/>
            </w:tcMar>
            <w:vAlign w:val="center"/>
          </w:tcPr>
          <w:p w14:paraId="090E00D8">
            <w:pPr>
              <w:widowControl/>
              <w:spacing w:line="360" w:lineRule="auto"/>
              <w:jc w:val="center"/>
              <w:textAlignment w:val="center"/>
              <w:rPr>
                <w:rFonts w:ascii="Times New Roman" w:hAnsi="Times New Roman" w:eastAsia="宋体" w:cs="Times New Roman"/>
                <w:color w:val="auto"/>
                <w:kern w:val="1"/>
                <w:sz w:val="22"/>
                <w:szCs w:val="22"/>
                <w:highlight w:val="none"/>
              </w:rPr>
            </w:pPr>
          </w:p>
        </w:tc>
      </w:tr>
      <w:tr w14:paraId="053B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637" w:type="dxa"/>
            <w:vMerge w:val="continue"/>
            <w:shd w:val="clear" w:color="auto" w:fill="FFFFFF"/>
            <w:tcMar>
              <w:top w:w="12" w:type="dxa"/>
              <w:left w:w="12" w:type="dxa"/>
              <w:right w:w="12" w:type="dxa"/>
            </w:tcMar>
            <w:vAlign w:val="center"/>
          </w:tcPr>
          <w:p w14:paraId="2895ABDD">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color w:val="auto"/>
                <w:kern w:val="0"/>
                <w:sz w:val="22"/>
                <w:szCs w:val="22"/>
                <w:highlight w:val="none"/>
                <w:lang w:bidi="ar"/>
              </w:rPr>
            </w:pPr>
          </w:p>
        </w:tc>
        <w:tc>
          <w:tcPr>
            <w:tcW w:w="700" w:type="dxa"/>
            <w:shd w:val="clear" w:color="auto" w:fill="FFFFFF"/>
            <w:tcMar>
              <w:top w:w="12" w:type="dxa"/>
              <w:left w:w="12" w:type="dxa"/>
              <w:right w:w="12" w:type="dxa"/>
            </w:tcMar>
            <w:vAlign w:val="center"/>
          </w:tcPr>
          <w:p w14:paraId="1E37A694">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color w:val="auto"/>
                <w:kern w:val="1"/>
                <w:sz w:val="22"/>
                <w:szCs w:val="22"/>
                <w:highlight w:val="none"/>
              </w:rPr>
            </w:pPr>
          </w:p>
        </w:tc>
        <w:tc>
          <w:tcPr>
            <w:tcW w:w="3194" w:type="dxa"/>
            <w:shd w:val="clear" w:color="auto" w:fill="FFFFFF"/>
            <w:tcMar>
              <w:top w:w="12" w:type="dxa"/>
              <w:left w:w="12" w:type="dxa"/>
              <w:right w:w="12" w:type="dxa"/>
            </w:tcMar>
            <w:vAlign w:val="center"/>
          </w:tcPr>
          <w:p w14:paraId="16B0F8CB">
            <w:pPr>
              <w:widowControl/>
              <w:spacing w:line="360" w:lineRule="auto"/>
              <w:jc w:val="center"/>
              <w:textAlignment w:val="center"/>
              <w:rPr>
                <w:rFonts w:ascii="Times New Roman" w:hAnsi="Times New Roman" w:eastAsia="宋体" w:cs="Times New Roman"/>
                <w:color w:val="auto"/>
                <w:kern w:val="1"/>
                <w:sz w:val="22"/>
                <w:szCs w:val="22"/>
                <w:highlight w:val="none"/>
              </w:rPr>
            </w:pPr>
          </w:p>
        </w:tc>
        <w:tc>
          <w:tcPr>
            <w:tcW w:w="1257" w:type="dxa"/>
            <w:shd w:val="clear" w:color="auto" w:fill="FFFFFF"/>
            <w:tcMar>
              <w:top w:w="12" w:type="dxa"/>
              <w:left w:w="12" w:type="dxa"/>
              <w:right w:w="12" w:type="dxa"/>
            </w:tcMar>
            <w:vAlign w:val="center"/>
          </w:tcPr>
          <w:p w14:paraId="525DF5CF">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color w:val="auto"/>
                <w:kern w:val="1"/>
                <w:sz w:val="22"/>
                <w:szCs w:val="22"/>
                <w:highlight w:val="none"/>
              </w:rPr>
            </w:pPr>
          </w:p>
        </w:tc>
        <w:tc>
          <w:tcPr>
            <w:tcW w:w="1295" w:type="dxa"/>
            <w:tcMar>
              <w:top w:w="12" w:type="dxa"/>
              <w:left w:w="12" w:type="dxa"/>
              <w:right w:w="12" w:type="dxa"/>
            </w:tcMar>
            <w:vAlign w:val="center"/>
          </w:tcPr>
          <w:p w14:paraId="7DA140F5">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color w:val="auto"/>
                <w:kern w:val="1"/>
                <w:sz w:val="22"/>
                <w:szCs w:val="22"/>
                <w:highlight w:val="none"/>
              </w:rPr>
            </w:pPr>
          </w:p>
        </w:tc>
        <w:tc>
          <w:tcPr>
            <w:tcW w:w="1773" w:type="dxa"/>
            <w:noWrap/>
            <w:tcMar>
              <w:top w:w="12" w:type="dxa"/>
              <w:left w:w="12" w:type="dxa"/>
              <w:right w:w="12" w:type="dxa"/>
            </w:tcMar>
            <w:vAlign w:val="center"/>
          </w:tcPr>
          <w:p w14:paraId="5BFBBCB0">
            <w:pPr>
              <w:widowControl/>
              <w:spacing w:line="360" w:lineRule="auto"/>
              <w:jc w:val="center"/>
              <w:textAlignment w:val="center"/>
              <w:rPr>
                <w:rFonts w:ascii="Times New Roman" w:hAnsi="Times New Roman" w:eastAsia="宋体" w:cs="Times New Roman"/>
                <w:color w:val="auto"/>
                <w:kern w:val="1"/>
                <w:sz w:val="22"/>
                <w:szCs w:val="22"/>
                <w:highlight w:val="none"/>
              </w:rPr>
            </w:pPr>
          </w:p>
        </w:tc>
      </w:tr>
      <w:tr w14:paraId="27AF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637" w:type="dxa"/>
            <w:vMerge w:val="continue"/>
            <w:shd w:val="clear" w:color="auto" w:fill="FFFFFF"/>
            <w:tcMar>
              <w:top w:w="12" w:type="dxa"/>
              <w:left w:w="12" w:type="dxa"/>
              <w:right w:w="12" w:type="dxa"/>
            </w:tcMar>
            <w:vAlign w:val="center"/>
          </w:tcPr>
          <w:p w14:paraId="350F0088">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color w:val="auto"/>
                <w:kern w:val="0"/>
                <w:sz w:val="22"/>
                <w:szCs w:val="22"/>
                <w:highlight w:val="none"/>
                <w:lang w:bidi="ar"/>
              </w:rPr>
            </w:pPr>
          </w:p>
        </w:tc>
        <w:tc>
          <w:tcPr>
            <w:tcW w:w="700" w:type="dxa"/>
            <w:shd w:val="clear" w:color="auto" w:fill="FFFFFF"/>
            <w:tcMar>
              <w:top w:w="12" w:type="dxa"/>
              <w:left w:w="12" w:type="dxa"/>
              <w:right w:w="12" w:type="dxa"/>
            </w:tcMar>
            <w:vAlign w:val="center"/>
          </w:tcPr>
          <w:p w14:paraId="003C2914">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color w:val="auto"/>
                <w:kern w:val="1"/>
                <w:sz w:val="22"/>
                <w:szCs w:val="22"/>
                <w:highlight w:val="none"/>
              </w:rPr>
            </w:pPr>
          </w:p>
        </w:tc>
        <w:tc>
          <w:tcPr>
            <w:tcW w:w="3194" w:type="dxa"/>
            <w:shd w:val="clear" w:color="auto" w:fill="FFFFFF"/>
            <w:tcMar>
              <w:top w:w="12" w:type="dxa"/>
              <w:left w:w="12" w:type="dxa"/>
              <w:right w:w="12" w:type="dxa"/>
            </w:tcMar>
            <w:vAlign w:val="center"/>
          </w:tcPr>
          <w:p w14:paraId="675DC831">
            <w:pPr>
              <w:widowControl/>
              <w:spacing w:line="360" w:lineRule="auto"/>
              <w:jc w:val="center"/>
              <w:textAlignment w:val="center"/>
              <w:rPr>
                <w:rFonts w:ascii="Times New Roman" w:hAnsi="Times New Roman" w:eastAsia="宋体" w:cs="Times New Roman"/>
                <w:color w:val="auto"/>
                <w:kern w:val="1"/>
                <w:sz w:val="22"/>
                <w:szCs w:val="22"/>
                <w:highlight w:val="none"/>
              </w:rPr>
            </w:pPr>
          </w:p>
        </w:tc>
        <w:tc>
          <w:tcPr>
            <w:tcW w:w="1257" w:type="dxa"/>
            <w:shd w:val="clear" w:color="auto" w:fill="FFFFFF"/>
            <w:tcMar>
              <w:top w:w="12" w:type="dxa"/>
              <w:left w:w="12" w:type="dxa"/>
              <w:right w:w="12" w:type="dxa"/>
            </w:tcMar>
            <w:vAlign w:val="center"/>
          </w:tcPr>
          <w:p w14:paraId="331493BA">
            <w:pPr>
              <w:widowControl/>
              <w:spacing w:line="360" w:lineRule="auto"/>
              <w:jc w:val="center"/>
              <w:textAlignment w:val="center"/>
              <w:rPr>
                <w:rFonts w:ascii="Times New Roman" w:hAnsi="Times New Roman" w:eastAsia="宋体" w:cs="Times New Roman"/>
                <w:color w:val="auto"/>
                <w:kern w:val="1"/>
                <w:sz w:val="22"/>
                <w:szCs w:val="22"/>
                <w:highlight w:val="none"/>
              </w:rPr>
            </w:pPr>
          </w:p>
        </w:tc>
        <w:tc>
          <w:tcPr>
            <w:tcW w:w="1295" w:type="dxa"/>
            <w:tcMar>
              <w:top w:w="12" w:type="dxa"/>
              <w:left w:w="12" w:type="dxa"/>
              <w:right w:w="12" w:type="dxa"/>
            </w:tcMar>
            <w:vAlign w:val="center"/>
          </w:tcPr>
          <w:p w14:paraId="1DB53F8A">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ascii="Times New Roman" w:hAnsi="Times New Roman" w:eastAsia="宋体" w:cs="Times New Roman"/>
                <w:color w:val="auto"/>
                <w:kern w:val="1"/>
                <w:sz w:val="22"/>
                <w:szCs w:val="22"/>
                <w:highlight w:val="none"/>
              </w:rPr>
            </w:pPr>
          </w:p>
        </w:tc>
        <w:tc>
          <w:tcPr>
            <w:tcW w:w="1773" w:type="dxa"/>
            <w:noWrap/>
            <w:tcMar>
              <w:top w:w="12" w:type="dxa"/>
              <w:left w:w="12" w:type="dxa"/>
              <w:right w:w="12" w:type="dxa"/>
            </w:tcMar>
            <w:vAlign w:val="center"/>
          </w:tcPr>
          <w:p w14:paraId="02092933">
            <w:pPr>
              <w:widowControl/>
              <w:spacing w:line="360" w:lineRule="auto"/>
              <w:jc w:val="center"/>
              <w:textAlignment w:val="center"/>
              <w:rPr>
                <w:rFonts w:ascii="Times New Roman" w:hAnsi="Times New Roman" w:eastAsia="宋体" w:cs="Times New Roman"/>
                <w:color w:val="auto"/>
                <w:kern w:val="1"/>
                <w:sz w:val="22"/>
                <w:szCs w:val="22"/>
                <w:highlight w:val="none"/>
              </w:rPr>
            </w:pPr>
          </w:p>
        </w:tc>
      </w:tr>
      <w:tr w14:paraId="27C2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637" w:type="dxa"/>
            <w:vMerge w:val="continue"/>
            <w:shd w:val="clear" w:color="auto" w:fill="FFFFFF"/>
            <w:tcMar>
              <w:top w:w="12" w:type="dxa"/>
              <w:left w:w="12" w:type="dxa"/>
              <w:right w:w="12" w:type="dxa"/>
            </w:tcMar>
            <w:vAlign w:val="center"/>
          </w:tcPr>
          <w:p w14:paraId="17813DFB">
            <w:pPr>
              <w:pBdr>
                <w:top w:val="none" w:color="000000" w:sz="0" w:space="0"/>
                <w:left w:val="none" w:color="000000" w:sz="0" w:space="0"/>
                <w:bottom w:val="none" w:color="000000" w:sz="0" w:space="0"/>
                <w:right w:val="none" w:color="000000" w:sz="0" w:space="0"/>
                <w:between w:val="none" w:color="000000" w:sz="0" w:space="0"/>
              </w:pBdr>
              <w:spacing w:line="360" w:lineRule="auto"/>
              <w:jc w:val="center"/>
              <w:rPr>
                <w:rFonts w:hint="default" w:ascii="Times New Roman" w:hAnsi="Times New Roman" w:eastAsia="宋体" w:cs="Times New Roman"/>
                <w:color w:val="auto"/>
                <w:kern w:val="1"/>
                <w:sz w:val="22"/>
                <w:szCs w:val="22"/>
                <w:highlight w:val="none"/>
                <w:lang w:val="en-US"/>
              </w:rPr>
            </w:pPr>
          </w:p>
        </w:tc>
        <w:tc>
          <w:tcPr>
            <w:tcW w:w="5151" w:type="dxa"/>
            <w:gridSpan w:val="3"/>
            <w:noWrap/>
            <w:tcMar>
              <w:top w:w="12" w:type="dxa"/>
              <w:left w:w="12" w:type="dxa"/>
              <w:right w:w="12" w:type="dxa"/>
            </w:tcMar>
            <w:vAlign w:val="center"/>
          </w:tcPr>
          <w:p w14:paraId="598DA686">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hint="default" w:ascii="Times New Roman" w:hAnsi="Times New Roman" w:eastAsia="宋体" w:cs="Times New Roman"/>
                <w:color w:val="auto"/>
                <w:kern w:val="1"/>
                <w:sz w:val="22"/>
                <w:szCs w:val="22"/>
                <w:highlight w:val="none"/>
                <w:lang w:val="en-US"/>
              </w:rPr>
            </w:pPr>
          </w:p>
        </w:tc>
        <w:tc>
          <w:tcPr>
            <w:tcW w:w="1295" w:type="dxa"/>
            <w:noWrap/>
            <w:tcMar>
              <w:top w:w="12" w:type="dxa"/>
              <w:left w:w="12" w:type="dxa"/>
              <w:right w:w="12" w:type="dxa"/>
            </w:tcMar>
            <w:vAlign w:val="center"/>
          </w:tcPr>
          <w:p w14:paraId="1D6B1F2C">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hint="default" w:ascii="Times New Roman" w:hAnsi="Times New Roman" w:eastAsia="宋体" w:cs="Times New Roman"/>
                <w:color w:val="auto"/>
                <w:kern w:val="1"/>
                <w:sz w:val="22"/>
                <w:szCs w:val="22"/>
                <w:highlight w:val="none"/>
                <w:lang w:val="en-US"/>
              </w:rPr>
            </w:pPr>
          </w:p>
        </w:tc>
        <w:tc>
          <w:tcPr>
            <w:tcW w:w="1773" w:type="dxa"/>
            <w:noWrap/>
            <w:tcMar>
              <w:top w:w="12" w:type="dxa"/>
              <w:left w:w="12" w:type="dxa"/>
              <w:right w:w="12" w:type="dxa"/>
            </w:tcMar>
            <w:vAlign w:val="center"/>
          </w:tcPr>
          <w:p w14:paraId="12EE02AB">
            <w:pPr>
              <w:widowControl/>
              <w:pBdr>
                <w:top w:val="none" w:color="000000" w:sz="0" w:space="0"/>
                <w:left w:val="none" w:color="000000" w:sz="0" w:space="0"/>
                <w:bottom w:val="none" w:color="000000" w:sz="0" w:space="0"/>
                <w:right w:val="none" w:color="000000" w:sz="0" w:space="0"/>
                <w:between w:val="none" w:color="000000" w:sz="0" w:space="0"/>
              </w:pBdr>
              <w:spacing w:line="360" w:lineRule="auto"/>
              <w:jc w:val="center"/>
              <w:textAlignment w:val="center"/>
              <w:rPr>
                <w:rFonts w:hint="default" w:ascii="Times New Roman" w:hAnsi="Times New Roman" w:eastAsia="宋体" w:cs="Times New Roman"/>
                <w:color w:val="auto"/>
                <w:kern w:val="1"/>
                <w:sz w:val="22"/>
                <w:szCs w:val="22"/>
                <w:highlight w:val="none"/>
                <w:lang w:val="en-US"/>
              </w:rPr>
            </w:pPr>
          </w:p>
        </w:tc>
      </w:tr>
    </w:tbl>
    <w:p w14:paraId="4F06E34E">
      <w:pPr>
        <w:pBdr>
          <w:top w:val="none" w:color="000000" w:sz="0" w:space="0"/>
          <w:left w:val="none" w:color="000000" w:sz="0" w:space="0"/>
          <w:bottom w:val="none" w:color="000000" w:sz="0" w:space="0"/>
          <w:right w:val="none" w:color="000000" w:sz="0" w:space="0"/>
          <w:between w:val="none" w:color="000000" w:sz="0" w:space="0"/>
        </w:pBdr>
        <w:snapToGrid w:val="0"/>
        <w:spacing w:line="360" w:lineRule="auto"/>
        <w:ind w:firstLine="420" w:firstLineChars="200"/>
        <w:rPr>
          <w:rFonts w:ascii="Times New Roman" w:hAnsi="Times New Roman" w:eastAsia="宋体" w:cs="Times New Roman"/>
          <w:color w:val="auto"/>
          <w:kern w:val="1"/>
          <w:highlight w:val="none"/>
        </w:rPr>
      </w:pPr>
      <w:r>
        <w:rPr>
          <w:rFonts w:ascii="Times New Roman" w:hAnsi="Times New Roman" w:eastAsia="宋体" w:cs="Times New Roman"/>
          <w:color w:val="auto"/>
          <w:kern w:val="1"/>
          <w:highlight w:val="none"/>
        </w:rPr>
        <w:t>6.服务期自合同签订之日起一年。服务期满后，合同自动终止。</w:t>
      </w:r>
      <w:r>
        <w:rPr>
          <w:rFonts w:hint="eastAsia" w:ascii="Times New Roman" w:hAnsi="Times New Roman" w:eastAsia="宋体" w:cs="Times New Roman"/>
          <w:color w:val="auto"/>
          <w:kern w:val="1"/>
          <w:highlight w:val="none"/>
        </w:rPr>
        <w:t>或服务期内，预算使用完毕，合同自行终止。</w:t>
      </w:r>
    </w:p>
    <w:p w14:paraId="1CCA98C8">
      <w:pPr>
        <w:pBdr>
          <w:top w:val="none" w:color="000000" w:sz="0" w:space="0"/>
          <w:left w:val="none" w:color="000000" w:sz="0" w:space="0"/>
          <w:bottom w:val="none" w:color="000000" w:sz="0" w:space="0"/>
          <w:right w:val="none" w:color="000000" w:sz="0" w:space="0"/>
          <w:between w:val="none" w:color="000000" w:sz="0" w:space="0"/>
        </w:pBdr>
        <w:snapToGrid w:val="0"/>
        <w:spacing w:line="360" w:lineRule="auto"/>
        <w:ind w:firstLine="420" w:firstLineChars="200"/>
        <w:rPr>
          <w:rFonts w:ascii="Times New Roman" w:hAnsi="Times New Roman" w:eastAsia="宋体" w:cs="Times New Roman"/>
          <w:color w:val="auto"/>
          <w:kern w:val="1"/>
          <w:highlight w:val="none"/>
        </w:rPr>
      </w:pPr>
      <w:r>
        <w:rPr>
          <w:rFonts w:ascii="Times New Roman" w:hAnsi="Times New Roman" w:eastAsia="宋体" w:cs="Times New Roman"/>
          <w:color w:val="auto"/>
          <w:kern w:val="1"/>
          <w:highlight w:val="none"/>
        </w:rPr>
        <w:t>7.合同金额包括完成本项目采购要求、人员要求所产生的全部费用。如</w:t>
      </w:r>
      <w:r>
        <w:rPr>
          <w:rFonts w:hint="eastAsia" w:ascii="Times New Roman" w:hAnsi="Times New Roman" w:eastAsia="宋体" w:cs="Times New Roman"/>
          <w:color w:val="auto"/>
          <w:kern w:val="1"/>
          <w:highlight w:val="none"/>
          <w:lang w:val="en-US" w:eastAsia="zh-CN"/>
        </w:rPr>
        <w:t>响应</w:t>
      </w:r>
      <w:r>
        <w:rPr>
          <w:rFonts w:ascii="Times New Roman" w:hAnsi="Times New Roman" w:eastAsia="宋体" w:cs="Times New Roman"/>
          <w:color w:val="auto"/>
          <w:kern w:val="1"/>
          <w:highlight w:val="none"/>
        </w:rPr>
        <w:t>文件对其另有规定的，从其规定。</w:t>
      </w:r>
    </w:p>
    <w:p w14:paraId="6E763C61">
      <w:pPr>
        <w:pBdr>
          <w:top w:val="none" w:color="000000" w:sz="0" w:space="0"/>
          <w:left w:val="none" w:color="000000" w:sz="0" w:space="0"/>
          <w:bottom w:val="none" w:color="000000" w:sz="0" w:space="0"/>
          <w:right w:val="none" w:color="000000" w:sz="0" w:space="0"/>
          <w:between w:val="none" w:color="000000" w:sz="0" w:space="0"/>
        </w:pBdr>
        <w:snapToGrid w:val="0"/>
        <w:spacing w:line="360" w:lineRule="auto"/>
        <w:ind w:firstLine="420" w:firstLineChars="200"/>
        <w:rPr>
          <w:rFonts w:ascii="Times New Roman" w:hAnsi="Times New Roman" w:eastAsia="宋体" w:cs="Times New Roman"/>
          <w:color w:val="auto"/>
          <w:kern w:val="1"/>
          <w:highlight w:val="none"/>
        </w:rPr>
      </w:pPr>
      <w:r>
        <w:rPr>
          <w:rFonts w:ascii="Times New Roman" w:hAnsi="Times New Roman" w:eastAsia="宋体" w:cs="Times New Roman"/>
          <w:color w:val="auto"/>
          <w:kern w:val="1"/>
          <w:highlight w:val="none"/>
        </w:rPr>
        <w:t>8.抽检领域以甲方</w:t>
      </w:r>
      <w:r>
        <w:rPr>
          <w:rFonts w:hint="eastAsia" w:ascii="Times New Roman" w:hAnsi="Times New Roman" w:eastAsia="宋体" w:cs="Times New Roman"/>
          <w:color w:val="auto"/>
          <w:kern w:val="1"/>
          <w:highlight w:val="none"/>
        </w:rPr>
        <w:t>向乙方</w:t>
      </w:r>
      <w:r>
        <w:rPr>
          <w:rFonts w:ascii="Times New Roman" w:hAnsi="Times New Roman" w:eastAsia="宋体" w:cs="Times New Roman"/>
          <w:color w:val="auto"/>
          <w:kern w:val="1"/>
          <w:highlight w:val="none"/>
        </w:rPr>
        <w:t>下达的任务文件为准</w:t>
      </w:r>
      <w:r>
        <w:rPr>
          <w:rFonts w:hint="eastAsia" w:ascii="Times New Roman" w:hAnsi="Times New Roman" w:eastAsia="宋体" w:cs="Times New Roman"/>
          <w:color w:val="auto"/>
          <w:kern w:val="1"/>
          <w:highlight w:val="none"/>
        </w:rPr>
        <w:t>。</w:t>
      </w:r>
    </w:p>
    <w:p w14:paraId="1D3E0E84">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第二条　质量</w:t>
      </w:r>
      <w:r>
        <w:rPr>
          <w:rFonts w:hint="eastAsia" w:ascii="宋体" w:hAnsi="宋体" w:eastAsia="宋体" w:cs="宋体"/>
          <w:b/>
          <w:color w:val="auto"/>
          <w:szCs w:val="21"/>
          <w:highlight w:val="none"/>
          <w:lang w:eastAsia="zh-CN"/>
        </w:rPr>
        <w:t>要求</w:t>
      </w:r>
    </w:p>
    <w:p w14:paraId="6EE5A32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1.乙方所提供的服务必须与</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文件和承诺相一致。</w:t>
      </w:r>
    </w:p>
    <w:p w14:paraId="2C39B05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2.乙方所提供的服务质量应达到</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文件要求和承诺的质量要求。</w:t>
      </w:r>
    </w:p>
    <w:p w14:paraId="388CA0E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应当按《中华人民共和国产品质量法》《产品质量监督抽查管理暂行办法》等法律法规规定和甲方要求，开展抽样、检验、异议处理等工作，不得违反相关规定，不得出现有意或恶意影响工作进度、因工作质量问题影响抽检结果、因乙方行为造成不良社会影响或有损甲方形象、声誉等行为。</w:t>
      </w:r>
    </w:p>
    <w:p w14:paraId="6F2520E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甲方如有应急事项服务要求，乙方应在</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小时内作出响应。</w:t>
      </w:r>
    </w:p>
    <w:p w14:paraId="48555AD7">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14:paraId="7D9C4C3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乙方应保证所提供服务在使用时不会侵犯任何第三方的专利权、商标权、工业设计权等知识产权及</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合法权利，且所有权、处分权等没有受到任何限制。</w:t>
      </w:r>
    </w:p>
    <w:p w14:paraId="122B802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没有甲方事先书面同意，乙方不得将由甲方提供的有关合同或者任何合同条文、规格、计划、图纸、样品或者资料提供给</w:t>
      </w:r>
      <w:r>
        <w:rPr>
          <w:rFonts w:hint="eastAsia" w:ascii="宋体" w:hAnsi="宋体" w:cs="宋体"/>
          <w:color w:val="auto"/>
          <w:szCs w:val="21"/>
          <w:highlight w:val="none"/>
          <w:lang w:val="en-US" w:eastAsia="zh-CN"/>
        </w:rPr>
        <w:t>予</w:t>
      </w:r>
      <w:r>
        <w:rPr>
          <w:rFonts w:hint="eastAsia" w:ascii="宋体" w:hAnsi="宋体" w:eastAsia="宋体" w:cs="宋体"/>
          <w:color w:val="auto"/>
          <w:szCs w:val="21"/>
          <w:highlight w:val="none"/>
        </w:rPr>
        <w:t>履行本合同无关的任何</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人。即使向履行本合同有关的人员提供，也应注意保密并限于履行合同的必需范围。乙方的保密义务持续有效，不因为本合同履行终止、解除或者无效而解除。</w:t>
      </w:r>
    </w:p>
    <w:p w14:paraId="2C78D7F8">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第四条　交付和验收</w:t>
      </w:r>
    </w:p>
    <w:p w14:paraId="09FDC6F7">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服务期：合同签订之日起一年，服务期满后，合同自动终止；或服务期内，分标的预算用尽，该分标的合同自动终止。实施地点：广西区内甲方指定地点。</w:t>
      </w:r>
    </w:p>
    <w:p w14:paraId="2532B7C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乙方应按投标文件的承诺向甲方提供相应的服务，并提供所服务内容的相关技术资料。</w:t>
      </w:r>
    </w:p>
    <w:p w14:paraId="09B3A03A">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乙方提供不符合投标文件和本合同规定的服务成果，甲方有权拒绝接受。</w:t>
      </w:r>
    </w:p>
    <w:p w14:paraId="46581DE7">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eastAsia="宋体" w:cs="宋体"/>
          <w:color w:val="auto"/>
          <w:szCs w:val="21"/>
          <w:highlight w:val="none"/>
        </w:rPr>
        <w:t>乙方完成服务后应及时书面通知甲方进行验收，甲方应在收到通知后</w:t>
      </w:r>
      <w:r>
        <w:rPr>
          <w:rFonts w:hint="eastAsia" w:ascii="宋体" w:hAnsi="宋体" w:cs="宋体"/>
          <w:color w:val="auto"/>
          <w:szCs w:val="21"/>
          <w:highlight w:val="none"/>
          <w:lang w:val="en-US" w:eastAsia="zh-CN"/>
        </w:rPr>
        <w:t>七</w:t>
      </w:r>
      <w:r>
        <w:rPr>
          <w:rFonts w:hint="eastAsia" w:ascii="宋体" w:hAnsi="宋体" w:eastAsia="宋体" w:cs="宋体"/>
          <w:color w:val="auto"/>
          <w:szCs w:val="21"/>
          <w:highlight w:val="none"/>
        </w:rPr>
        <w:t>个工作日内进行验收。验收合格后由甲乙双方签署验收单并加盖</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公章，甲乙双方各执一份。</w:t>
      </w:r>
    </w:p>
    <w:p w14:paraId="7B0633B8">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eastAsia="宋体" w:cs="宋体"/>
          <w:color w:val="auto"/>
          <w:szCs w:val="21"/>
          <w:highlight w:val="none"/>
        </w:rPr>
        <w:t>甲乙双方应按照《广西壮族自治区政府采购项目履约验收管理办法》、双方合同、投标文件验收。</w:t>
      </w:r>
    </w:p>
    <w:p w14:paraId="0934B66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6.</w:t>
      </w:r>
      <w:r>
        <w:rPr>
          <w:rFonts w:hint="eastAsia" w:ascii="宋体" w:hAnsi="宋体" w:eastAsia="宋体" w:cs="宋体"/>
          <w:color w:val="auto"/>
          <w:szCs w:val="21"/>
          <w:highlight w:val="none"/>
        </w:rPr>
        <w:t>甲方在初步验收或者最终验收过程中如发现乙方提供的服务成果不满足投标文件及本合同规定的，可暂缓向乙方付款，直到乙方及时完善并提交相应的服务成果且经甲方验收合格后，方可办理付款。</w:t>
      </w:r>
    </w:p>
    <w:p w14:paraId="63C31C41">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eastAsia="宋体" w:cs="宋体"/>
          <w:color w:val="auto"/>
          <w:szCs w:val="21"/>
          <w:highlight w:val="none"/>
        </w:rPr>
        <w:t>甲</w:t>
      </w:r>
      <w:r>
        <w:rPr>
          <w:rFonts w:hint="eastAsia" w:ascii="宋体" w:hAnsi="宋体" w:cs="宋体"/>
          <w:color w:val="auto"/>
          <w:szCs w:val="21"/>
          <w:highlight w:val="none"/>
          <w:lang w:eastAsia="zh-CN"/>
        </w:rPr>
        <w:t>方在</w:t>
      </w:r>
      <w:r>
        <w:rPr>
          <w:rFonts w:hint="eastAsia" w:ascii="宋体" w:hAnsi="宋体" w:eastAsia="宋体" w:cs="宋体"/>
          <w:color w:val="auto"/>
          <w:szCs w:val="21"/>
          <w:highlight w:val="none"/>
        </w:rPr>
        <w:t>验收时以书面形式提出异议的，乙方应自收到甲方书面异议后五个工作日内及时予以解决，否则甲方有权不出具服务验收合格单。</w:t>
      </w:r>
    </w:p>
    <w:p w14:paraId="0DD74C99">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第五条  服务及培训</w:t>
      </w:r>
    </w:p>
    <w:p w14:paraId="6B34547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乙方应按照国家有关法律法规和本合同所附的《服务承</w:t>
      </w:r>
      <w:r>
        <w:rPr>
          <w:rFonts w:hint="eastAsia" w:ascii="宋体" w:hAnsi="宋体" w:cs="宋体"/>
          <w:color w:val="auto"/>
          <w:szCs w:val="21"/>
          <w:highlight w:val="none"/>
          <w:lang w:eastAsia="zh-CN"/>
        </w:rPr>
        <w:t>诺书</w:t>
      </w:r>
      <w:r>
        <w:rPr>
          <w:rFonts w:hint="eastAsia" w:ascii="宋体" w:hAnsi="宋体" w:eastAsia="宋体" w:cs="宋体"/>
          <w:color w:val="auto"/>
          <w:szCs w:val="21"/>
          <w:highlight w:val="none"/>
        </w:rPr>
        <w:t>》要求为甲方提供相应的服务。</w:t>
      </w:r>
    </w:p>
    <w:p w14:paraId="7F41ADC9">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甲方应提供必要测试条件（如场地、电源、水源等）。</w:t>
      </w:r>
    </w:p>
    <w:p w14:paraId="3F5960FE">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乙方负责甲方有关人员的培训。培训时间、地点：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B441CBA">
      <w:pPr>
        <w:snapToGrid w:val="0"/>
        <w:spacing w:line="360" w:lineRule="auto"/>
        <w:ind w:firstLine="422"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第六条　付款方式</w:t>
      </w:r>
    </w:p>
    <w:p w14:paraId="3FB828EF">
      <w:pPr>
        <w:snapToGrid w:val="0"/>
        <w:spacing w:line="360" w:lineRule="auto"/>
        <w:ind w:firstLine="420" w:firstLineChars="200"/>
        <w:rPr>
          <w:rFonts w:hint="eastAsia" w:hAnsi="宋体" w:eastAsia="宋体" w:cs="宋体"/>
          <w:i w:val="0"/>
          <w:iCs w:val="0"/>
          <w:color w:val="auto"/>
          <w:sz w:val="21"/>
          <w:highlight w:val="none"/>
        </w:rPr>
      </w:pPr>
      <w:r>
        <w:rPr>
          <w:rFonts w:hint="eastAsia" w:hAnsi="宋体" w:cs="宋体"/>
          <w:i w:val="0"/>
          <w:iCs w:val="0"/>
          <w:color w:val="auto"/>
          <w:sz w:val="21"/>
          <w:highlight w:val="none"/>
          <w:lang w:val="en-US" w:eastAsia="zh-CN"/>
        </w:rPr>
        <w:t>1.</w:t>
      </w:r>
      <w:r>
        <w:rPr>
          <w:rFonts w:hint="eastAsia" w:hAnsi="宋体" w:eastAsia="宋体" w:cs="宋体"/>
          <w:i w:val="0"/>
          <w:iCs w:val="0"/>
          <w:color w:val="auto"/>
          <w:sz w:val="21"/>
          <w:highlight w:val="none"/>
        </w:rPr>
        <w:t>乙方与甲方</w:t>
      </w:r>
      <w:r>
        <w:rPr>
          <w:rFonts w:hint="eastAsia" w:hAnsi="宋体" w:cs="宋体"/>
          <w:i w:val="0"/>
          <w:iCs w:val="0"/>
          <w:color w:val="auto"/>
          <w:sz w:val="21"/>
          <w:highlight w:val="none"/>
          <w:lang w:eastAsia="zh-CN"/>
        </w:rPr>
        <w:t>签订合同</w:t>
      </w:r>
      <w:r>
        <w:rPr>
          <w:rFonts w:hint="eastAsia" w:hAnsi="宋体" w:eastAsia="宋体" w:cs="宋体"/>
          <w:i w:val="0"/>
          <w:iCs w:val="0"/>
          <w:color w:val="auto"/>
          <w:sz w:val="21"/>
          <w:highlight w:val="none"/>
        </w:rPr>
        <w:t>后20个工作日内，甲方向乙方预付合同款的50%；乙方完成</w:t>
      </w:r>
      <w:r>
        <w:rPr>
          <w:rFonts w:hint="eastAsia" w:hAnsi="宋体" w:cs="宋体"/>
          <w:i w:val="0"/>
          <w:iCs w:val="0"/>
          <w:color w:val="auto"/>
          <w:sz w:val="21"/>
          <w:highlight w:val="none"/>
          <w:lang w:eastAsia="zh-CN"/>
        </w:rPr>
        <w:t>抽样工作后</w:t>
      </w:r>
      <w:r>
        <w:rPr>
          <w:rFonts w:hint="eastAsia" w:hAnsi="宋体" w:eastAsia="宋体" w:cs="宋体"/>
          <w:i w:val="0"/>
          <w:iCs w:val="0"/>
          <w:color w:val="auto"/>
          <w:sz w:val="21"/>
          <w:highlight w:val="none"/>
        </w:rPr>
        <w:t>，支付合同款的40%；乙方在完成</w:t>
      </w:r>
      <w:r>
        <w:rPr>
          <w:rFonts w:hint="eastAsia" w:hAnsi="宋体" w:cs="宋体"/>
          <w:i w:val="0"/>
          <w:iCs w:val="0"/>
          <w:color w:val="auto"/>
          <w:sz w:val="21"/>
          <w:highlight w:val="none"/>
          <w:lang w:eastAsia="zh-CN"/>
        </w:rPr>
        <w:t>抽检任务后</w:t>
      </w:r>
      <w:r>
        <w:rPr>
          <w:rFonts w:hint="eastAsia" w:hAnsi="宋体" w:eastAsia="宋体" w:cs="宋体"/>
          <w:i w:val="0"/>
          <w:iCs w:val="0"/>
          <w:color w:val="auto"/>
          <w:sz w:val="21"/>
          <w:highlight w:val="none"/>
        </w:rPr>
        <w:t>，并经甲方验收合格后，甲方于20个工作日内支付合同剩余款项。乙方在每次支付款项7个工作日前提交请款函和发票给甲方。</w:t>
      </w:r>
    </w:p>
    <w:p w14:paraId="3148F7D4">
      <w:pPr>
        <w:snapToGrid w:val="0"/>
        <w:spacing w:line="360" w:lineRule="auto"/>
        <w:ind w:firstLine="420" w:firstLineChars="200"/>
        <w:rPr>
          <w:rFonts w:hint="eastAsia" w:ascii="宋体" w:hAnsi="宋体" w:eastAsia="宋体" w:cs="宋体"/>
          <w:i w:val="0"/>
          <w:iCs w:val="0"/>
          <w:color w:val="auto"/>
          <w:szCs w:val="21"/>
          <w:highlight w:val="none"/>
          <w:lang w:eastAsia="zh-CN"/>
        </w:rPr>
      </w:pPr>
      <w:r>
        <w:rPr>
          <w:rFonts w:hint="eastAsia" w:hAnsi="宋体" w:cs="宋体"/>
          <w:i w:val="0"/>
          <w:iCs w:val="0"/>
          <w:color w:val="auto"/>
          <w:sz w:val="21"/>
          <w:highlight w:val="none"/>
          <w:lang w:val="en-US" w:eastAsia="zh-CN"/>
        </w:rPr>
        <w:t>2.</w:t>
      </w:r>
      <w:r>
        <w:rPr>
          <w:rFonts w:hint="eastAsia" w:hAnsi="宋体" w:eastAsia="宋体" w:cs="宋体"/>
          <w:i w:val="0"/>
          <w:iCs w:val="0"/>
          <w:color w:val="auto"/>
          <w:sz w:val="21"/>
          <w:highlight w:val="none"/>
        </w:rPr>
        <w:t>乙方在完成抽样任务之后，向甲方提交未抽到样情况表等材料。乙方在完成检验任务之后，向甲方提交涉及区外企业的不合格产品检验报告、监督抽查结果汇总表、产品监督抽查分析报告等材料，并按要求将相关检验结果、检验报告信息上传</w:t>
      </w:r>
      <w:r>
        <w:rPr>
          <w:rFonts w:hint="eastAsia" w:hAnsi="宋体" w:cs="宋体"/>
          <w:color w:val="auto"/>
          <w:highlight w:val="none"/>
        </w:rPr>
        <w:t>广西工业产品“AI质安通”监管平台</w:t>
      </w:r>
      <w:r>
        <w:rPr>
          <w:rFonts w:hint="eastAsia" w:hAnsi="宋体" w:eastAsia="宋体" w:cs="宋体"/>
          <w:i w:val="0"/>
          <w:iCs w:val="0"/>
          <w:color w:val="auto"/>
          <w:sz w:val="21"/>
          <w:highlight w:val="none"/>
        </w:rPr>
        <w:t>。</w:t>
      </w:r>
    </w:p>
    <w:p w14:paraId="1DF311DF">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履约保证金</w:t>
      </w:r>
    </w:p>
    <w:p w14:paraId="22F42CB8">
      <w:pPr>
        <w:autoSpaceDE w:val="0"/>
        <w:autoSpaceDN w:val="0"/>
        <w:snapToGrid w:val="0"/>
        <w:spacing w:line="360" w:lineRule="auto"/>
        <w:ind w:firstLine="422" w:firstLineChars="200"/>
        <w:textAlignment w:val="bottom"/>
        <w:rPr>
          <w:rFonts w:hint="eastAsia" w:ascii="宋体" w:hAnsi="宋体" w:eastAsia="宋体" w:cs="宋体"/>
          <w:color w:val="auto"/>
          <w:szCs w:val="21"/>
          <w:highlight w:val="none"/>
        </w:rPr>
      </w:pPr>
      <w:r>
        <w:rPr>
          <w:rFonts w:hint="eastAsia" w:ascii="宋体" w:hAnsi="宋体" w:cs="宋体"/>
          <w:b/>
          <w:bCs/>
          <w:color w:val="auto"/>
          <w:szCs w:val="21"/>
          <w:highlight w:val="none"/>
          <w:lang w:eastAsia="zh-CN"/>
        </w:rPr>
        <w:t>本项目</w:t>
      </w:r>
      <w:r>
        <w:rPr>
          <w:rFonts w:hint="eastAsia" w:ascii="宋体" w:hAnsi="宋体" w:cs="宋体"/>
          <w:b/>
          <w:bCs/>
          <w:color w:val="auto"/>
          <w:szCs w:val="21"/>
          <w:highlight w:val="none"/>
          <w:lang w:val="en-US" w:eastAsia="zh-CN"/>
        </w:rPr>
        <w:t>不</w:t>
      </w:r>
      <w:r>
        <w:rPr>
          <w:rFonts w:hint="eastAsia" w:ascii="宋体" w:hAnsi="宋体" w:cs="宋体"/>
          <w:b/>
          <w:bCs/>
          <w:color w:val="auto"/>
          <w:szCs w:val="21"/>
          <w:highlight w:val="none"/>
          <w:lang w:eastAsia="zh-CN"/>
        </w:rPr>
        <w:t>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p>
    <w:p w14:paraId="67F17ECF">
      <w:pPr>
        <w:spacing w:line="360" w:lineRule="auto"/>
        <w:ind w:firstLine="422" w:firstLineChars="200"/>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 xml:space="preserve">第八条  </w:t>
      </w:r>
      <w:r>
        <w:rPr>
          <w:rFonts w:hint="eastAsia" w:ascii="宋体" w:hAnsi="宋体" w:cs="宋体"/>
          <w:b/>
          <w:color w:val="auto"/>
          <w:szCs w:val="21"/>
          <w:highlight w:val="none"/>
          <w:lang w:val="en-US" w:eastAsia="zh-CN"/>
        </w:rPr>
        <w:t>合同价格</w:t>
      </w:r>
    </w:p>
    <w:p w14:paraId="4953502B">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履行合同的价格，包括完成本项目采购要求、人员要求所产生的全部费用和必要的保险费用和各项税金，以及样品抽取、购买、运输、检验、异议处理、复检（复检结果有变更时）、复查（不合格整改后）等工作费用。</w:t>
      </w:r>
    </w:p>
    <w:p w14:paraId="42CBC3AA">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2.乙方负责自行处置样品，并承担样品处置所需费用。</w:t>
      </w:r>
    </w:p>
    <w:p w14:paraId="422582F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违约责任</w:t>
      </w:r>
    </w:p>
    <w:p w14:paraId="37BCA35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除不可抗力原因外，乙方没有按照合同规定的时间提供服务的，甲方可要求乙方支付违约金。每推迟一天按合同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金额的3‰支付违约金，该违约金累计不超过合同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 xml:space="preserve">金额的10%。                                  </w:t>
      </w:r>
    </w:p>
    <w:p w14:paraId="6CE8822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乙方提供的服务如侵犯了第三方合法权益而引发的任何纠纷或者诉讼，均由乙方负责交涉并承担全部责任。</w:t>
      </w:r>
    </w:p>
    <w:p w14:paraId="122B1EE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甲方延期付款的，每天向乙方偿付延期款额3‰滞纳金，但滞纳金累计不得超过延期款额5%。</w:t>
      </w:r>
    </w:p>
    <w:p w14:paraId="1828251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不可抗力事件处理</w:t>
      </w:r>
    </w:p>
    <w:p w14:paraId="2A326642">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在合同有效期内，任何一方因不可抗力事件导致不能履行合同，则合同履行期可延长，其延长期与不可抗力影响期相同。</w:t>
      </w:r>
    </w:p>
    <w:p w14:paraId="6CF3B8B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不可抗力事件发生后，应立即通知对方，并寄送有关权威机构出具的证明。</w:t>
      </w:r>
    </w:p>
    <w:p w14:paraId="70300704">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不可抗力事件延续一百二十天以上，双方应通过友好协商，确定是否继续履行合同。</w:t>
      </w:r>
    </w:p>
    <w:p w14:paraId="4D22A1E3">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第十一条  合同争议解决</w:t>
      </w:r>
    </w:p>
    <w:p w14:paraId="583B206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因服务质量问题发生争议的，应邀请国家认可的质量检测机构进行鉴定。服务符合标准的，鉴定费由甲方承担；服务不符合标准的，鉴定费由乙方承担。</w:t>
      </w:r>
    </w:p>
    <w:p w14:paraId="6553178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因履行本合同引起的或者与本合同有关的争议，甲乙双方应首先通过友好协商解决，如果协商不能解决，可向甲方所在地有管辖权</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人民法院提起诉讼。</w:t>
      </w:r>
    </w:p>
    <w:p w14:paraId="7FF1CF4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诉讼期间，本合同继续履行。</w:t>
      </w:r>
    </w:p>
    <w:p w14:paraId="1C22F89D">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第十二条  合同生效及</w:t>
      </w:r>
      <w:r>
        <w:rPr>
          <w:rFonts w:hint="eastAsia" w:ascii="宋体" w:hAnsi="宋体" w:eastAsia="宋体" w:cs="宋体"/>
          <w:b/>
          <w:color w:val="auto"/>
          <w:szCs w:val="21"/>
          <w:highlight w:val="none"/>
          <w:lang w:eastAsia="zh-CN"/>
        </w:rPr>
        <w:t>其他</w:t>
      </w:r>
    </w:p>
    <w:p w14:paraId="75007892">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合同经双方法定代表人或者</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委托代理人签字并加盖</w:t>
      </w:r>
      <w:r>
        <w:rPr>
          <w:rFonts w:hint="default" w:ascii="宋体" w:hAnsi="宋体" w:eastAsia="宋体" w:cs="宋体"/>
          <w:color w:val="auto"/>
          <w:szCs w:val="21"/>
          <w:highlight w:val="none"/>
          <w:lang w:val="en-US"/>
        </w:rPr>
        <w:t>单位</w:t>
      </w:r>
      <w:r>
        <w:rPr>
          <w:rFonts w:hint="eastAsia" w:ascii="宋体" w:hAnsi="宋体" w:eastAsia="宋体" w:cs="宋体"/>
          <w:color w:val="auto"/>
          <w:szCs w:val="21"/>
          <w:highlight w:val="none"/>
        </w:rPr>
        <w:t>公章后生效（委托代理人签字的需后附法定代表人授权委托书，格式自拟）。</w:t>
      </w:r>
    </w:p>
    <w:p w14:paraId="5820CFB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合同执行中涉及采购资金和采购内容修改或者补充的，须经财政部门审批，并签书面补充协议报财政部门备案，方可作为主合同不可分割的一部分。</w:t>
      </w:r>
    </w:p>
    <w:p w14:paraId="72890F1F">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本合同未尽事宜，遵照《中华人民共和国民法典》有关条文执行。</w:t>
      </w:r>
    </w:p>
    <w:p w14:paraId="51026DA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第十三条　合同的变更、终止与转让</w:t>
      </w:r>
    </w:p>
    <w:p w14:paraId="78187AA3">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除《中华人民共和国政府采购法》第五十条规定的情形外，本合同一经签订，甲乙双方不得擅自变更、中止或者终止。</w:t>
      </w:r>
    </w:p>
    <w:p w14:paraId="013A9788">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乙方不得擅自转让其应履行的合同义务。</w:t>
      </w:r>
    </w:p>
    <w:p w14:paraId="65A683C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本合同书与下列文件一起构成合同文件</w:t>
      </w:r>
    </w:p>
    <w:p w14:paraId="3FCE620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中标通知书；</w:t>
      </w:r>
    </w:p>
    <w:p w14:paraId="049AA2D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投标函</w:t>
      </w:r>
    </w:p>
    <w:p w14:paraId="77B79CD1">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商务条款偏离表和服务要求偏离表；</w:t>
      </w:r>
    </w:p>
    <w:p w14:paraId="3BA8A44E">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采购需求</w:t>
      </w:r>
      <w:r>
        <w:rPr>
          <w:rFonts w:hint="eastAsia" w:ascii="宋体" w:hAnsi="宋体" w:eastAsia="宋体" w:cs="宋体"/>
          <w:color w:val="auto"/>
          <w:szCs w:val="21"/>
          <w:highlight w:val="none"/>
        </w:rPr>
        <w:t>；</w:t>
      </w:r>
    </w:p>
    <w:p w14:paraId="0625D913">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 w:val="21"/>
          <w:szCs w:val="21"/>
          <w:highlight w:val="none"/>
          <w:lang w:eastAsia="zh-CN"/>
        </w:rPr>
        <w:t>开标一览表</w:t>
      </w:r>
      <w:r>
        <w:rPr>
          <w:rFonts w:hint="eastAsia" w:ascii="宋体" w:hAnsi="宋体" w:eastAsia="宋体" w:cs="宋体"/>
          <w:color w:val="auto"/>
          <w:szCs w:val="21"/>
          <w:highlight w:val="none"/>
        </w:rPr>
        <w:t>；</w:t>
      </w:r>
    </w:p>
    <w:p w14:paraId="50D66EF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合同文件</w:t>
      </w:r>
      <w:r>
        <w:rPr>
          <w:rFonts w:hint="eastAsia" w:ascii="宋体" w:hAnsi="宋体" w:eastAsia="宋体" w:cs="宋体"/>
          <w:color w:val="auto"/>
          <w:szCs w:val="21"/>
          <w:highlight w:val="none"/>
        </w:rPr>
        <w:t>。</w:t>
      </w:r>
    </w:p>
    <w:p w14:paraId="407F3ECB">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上述合同文件互相补充和解释。如果合同文件之间存在矛盾或者不一致之处，以上述文件的排列顺序在先者为准。</w:t>
      </w:r>
    </w:p>
    <w:p w14:paraId="7A68C99D">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第十五条　</w:t>
      </w:r>
      <w:r>
        <w:rPr>
          <w:rFonts w:hint="eastAsia" w:ascii="宋体" w:hAnsi="宋体" w:eastAsia="宋体" w:cs="宋体"/>
          <w:color w:val="auto"/>
          <w:szCs w:val="21"/>
          <w:highlight w:val="none"/>
        </w:rPr>
        <w:t>本合同一式</w:t>
      </w:r>
      <w:r>
        <w:rPr>
          <w:rFonts w:hint="eastAsia" w:ascii="宋体" w:hAnsi="宋体" w:cs="宋体"/>
          <w:color w:val="auto"/>
          <w:szCs w:val="21"/>
          <w:highlight w:val="none"/>
          <w:lang w:val="en-US" w:eastAsia="zh-CN"/>
        </w:rPr>
        <w:t>七</w:t>
      </w:r>
      <w:r>
        <w:rPr>
          <w:rFonts w:hint="eastAsia" w:ascii="宋体" w:hAnsi="宋体" w:eastAsia="宋体" w:cs="宋体"/>
          <w:color w:val="auto"/>
          <w:szCs w:val="21"/>
          <w:highlight w:val="none"/>
        </w:rPr>
        <w:t>份，具有同等法律效力，财政部门（政府采购监管部门）、采购代理机构各一份，</w:t>
      </w:r>
      <w:r>
        <w:rPr>
          <w:rFonts w:hint="eastAsia" w:ascii="宋体" w:hAnsi="宋体" w:cs="宋体"/>
          <w:color w:val="auto"/>
          <w:szCs w:val="21"/>
          <w:highlight w:val="none"/>
          <w:lang w:val="en-US" w:eastAsia="zh-CN"/>
        </w:rPr>
        <w:t>甲方三份，乙方两份</w:t>
      </w:r>
      <w:r>
        <w:rPr>
          <w:rFonts w:hint="eastAsia" w:ascii="宋体" w:hAnsi="宋体" w:eastAsia="宋体" w:cs="宋体"/>
          <w:color w:val="auto"/>
          <w:szCs w:val="21"/>
          <w:highlight w:val="none"/>
        </w:rPr>
        <w:t>。</w:t>
      </w:r>
    </w:p>
    <w:p w14:paraId="69F251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本合同甲乙双方签字盖章后生效，自签订之日起七个工作日内，甲方应当将合同副本报同级财政部门备案。</w:t>
      </w:r>
    </w:p>
    <w:p w14:paraId="1FB61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本合同自签订之日起2个工作日内，甲方应当将采购合同在广西壮族自治区财政厅指定的媒体上公告。</w:t>
      </w:r>
    </w:p>
    <w:tbl>
      <w:tblPr>
        <w:tblStyle w:val="20"/>
        <w:tblpPr w:leftFromText="180" w:rightFromText="180" w:vertAnchor="text" w:horzAnchor="margin" w:tblpXSpec="center" w:tblpY="214"/>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323C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2E2F9F7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甲方：（章）</w:t>
            </w:r>
          </w:p>
          <w:p w14:paraId="439E5AD3">
            <w:pPr>
              <w:snapToGrid w:val="0"/>
              <w:spacing w:line="360" w:lineRule="auto"/>
              <w:rPr>
                <w:rFonts w:hint="eastAsia" w:ascii="宋体" w:hAnsi="宋体" w:eastAsia="宋体" w:cs="宋体"/>
                <w:color w:val="auto"/>
                <w:szCs w:val="21"/>
                <w:highlight w:val="none"/>
              </w:rPr>
            </w:pPr>
          </w:p>
          <w:p w14:paraId="0DB1012E">
            <w:pPr>
              <w:snapToGrid w:val="0"/>
              <w:spacing w:line="360" w:lineRule="auto"/>
              <w:rPr>
                <w:rFonts w:hint="eastAsia" w:ascii="宋体" w:hAnsi="宋体" w:eastAsia="宋体" w:cs="宋体"/>
                <w:color w:val="auto"/>
                <w:szCs w:val="21"/>
                <w:highlight w:val="none"/>
              </w:rPr>
            </w:pPr>
          </w:p>
          <w:p w14:paraId="522D5CBE">
            <w:pPr>
              <w:snapToGrid w:val="0"/>
              <w:spacing w:line="360" w:lineRule="auto"/>
              <w:ind w:firstLine="945" w:firstLineChars="450"/>
              <w:jc w:val="right"/>
              <w:rPr>
                <w:rFonts w:hint="eastAsia" w:ascii="宋体" w:hAnsi="宋体" w:eastAsia="宋体" w:cs="宋体"/>
                <w:color w:val="auto"/>
                <w:szCs w:val="21"/>
                <w:highlight w:val="none"/>
              </w:rPr>
            </w:pPr>
          </w:p>
          <w:p w14:paraId="00DA0848">
            <w:pPr>
              <w:snapToGrid w:val="0"/>
              <w:spacing w:line="360" w:lineRule="auto"/>
              <w:ind w:firstLine="945" w:firstLineChars="4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682977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1B905011">
            <w:pPr>
              <w:snapToGrid w:val="0"/>
              <w:spacing w:line="360" w:lineRule="auto"/>
              <w:rPr>
                <w:rFonts w:hint="eastAsia" w:ascii="宋体" w:hAnsi="宋体" w:eastAsia="宋体" w:cs="宋体"/>
                <w:color w:val="auto"/>
                <w:szCs w:val="21"/>
                <w:highlight w:val="none"/>
              </w:rPr>
            </w:pPr>
          </w:p>
          <w:p w14:paraId="619183F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F12D481">
            <w:pPr>
              <w:snapToGrid w:val="0"/>
              <w:spacing w:line="360" w:lineRule="auto"/>
              <w:jc w:val="right"/>
              <w:rPr>
                <w:rFonts w:hint="eastAsia" w:ascii="宋体" w:hAnsi="宋体" w:eastAsia="宋体" w:cs="宋体"/>
                <w:color w:val="auto"/>
                <w:szCs w:val="21"/>
                <w:highlight w:val="none"/>
              </w:rPr>
            </w:pPr>
          </w:p>
          <w:p w14:paraId="1A3578D2">
            <w:pPr>
              <w:snapToGrid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3854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2CE2965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BFB3FA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r>
      <w:tr w14:paraId="7085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3E27CAE5">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4E09AF3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14:paraId="10BD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153B919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69F2BBE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76FB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5056BD8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D68214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59E6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62D1B83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5D1F56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r>
      <w:tr w14:paraId="2E91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4ABBC43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68C613E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7D42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774C9D2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3FF461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007F1C84">
      <w:pPr>
        <w:snapToGrid w:val="0"/>
        <w:jc w:val="center"/>
        <w:rPr>
          <w:rFonts w:hint="eastAsia" w:ascii="宋体" w:hAnsi="宋体" w:eastAsia="宋体" w:cs="宋体"/>
          <w:b/>
          <w:bCs/>
          <w:color w:val="auto"/>
          <w:sz w:val="32"/>
          <w:szCs w:val="32"/>
          <w:highlight w:val="none"/>
        </w:rPr>
      </w:pPr>
    </w:p>
    <w:p w14:paraId="164CC583">
      <w:pPr>
        <w:snapToGrid w:val="0"/>
        <w:spacing w:line="360" w:lineRule="auto"/>
        <w:ind w:left="420" w:hanging="420" w:hangingChars="200"/>
        <w:rPr>
          <w:rFonts w:hint="eastAsia" w:ascii="宋体" w:hAnsi="宋体" w:eastAsia="宋体" w:cs="宋体"/>
          <w:color w:val="auto"/>
          <w:szCs w:val="21"/>
          <w:highlight w:val="none"/>
        </w:rPr>
      </w:pPr>
    </w:p>
    <w:p w14:paraId="4B4809D2">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合 同 附 件</w:t>
      </w:r>
    </w:p>
    <w:tbl>
      <w:tblPr>
        <w:tblStyle w:val="20"/>
        <w:tblW w:w="8522" w:type="dxa"/>
        <w:tblInd w:w="0" w:type="dxa"/>
        <w:tblLayout w:type="fixed"/>
        <w:tblCellMar>
          <w:top w:w="0" w:type="dxa"/>
          <w:left w:w="108" w:type="dxa"/>
          <w:bottom w:w="0" w:type="dxa"/>
          <w:right w:w="108" w:type="dxa"/>
        </w:tblCellMar>
      </w:tblPr>
      <w:tblGrid>
        <w:gridCol w:w="4248"/>
        <w:gridCol w:w="4274"/>
      </w:tblGrid>
      <w:tr w14:paraId="5632873B">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noWrap w:val="0"/>
            <w:vAlign w:val="top"/>
          </w:tcPr>
          <w:p w14:paraId="621A2CF4">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1. </w:t>
            </w:r>
            <w:r>
              <w:rPr>
                <w:rFonts w:hint="eastAsia" w:ascii="宋体" w:hAnsi="宋体" w:eastAsia="宋体" w:cs="宋体"/>
                <w:b/>
                <w:color w:val="auto"/>
                <w:szCs w:val="21"/>
                <w:highlight w:val="none"/>
                <w:lang w:eastAsia="zh-CN"/>
              </w:rPr>
              <w:t>乙方</w:t>
            </w:r>
            <w:r>
              <w:rPr>
                <w:rFonts w:hint="eastAsia" w:ascii="宋体" w:hAnsi="宋体" w:eastAsia="宋体" w:cs="宋体"/>
                <w:b/>
                <w:color w:val="auto"/>
                <w:szCs w:val="21"/>
                <w:highlight w:val="none"/>
              </w:rPr>
              <w:t>承诺具体事项：</w:t>
            </w:r>
          </w:p>
        </w:tc>
      </w:tr>
      <w:tr w14:paraId="03E68A12">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noWrap w:val="0"/>
            <w:vAlign w:val="top"/>
          </w:tcPr>
          <w:p w14:paraId="2E6EE2F2">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 服务具体事项：</w:t>
            </w:r>
          </w:p>
        </w:tc>
      </w:tr>
      <w:tr w14:paraId="5675A721">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noWrap w:val="0"/>
            <w:vAlign w:val="top"/>
          </w:tcPr>
          <w:p w14:paraId="44B8FCF2">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其他</w:t>
            </w:r>
            <w:r>
              <w:rPr>
                <w:rFonts w:hint="eastAsia" w:ascii="宋体" w:hAnsi="宋体" w:eastAsia="宋体" w:cs="宋体"/>
                <w:b/>
                <w:color w:val="auto"/>
                <w:szCs w:val="21"/>
                <w:highlight w:val="none"/>
              </w:rPr>
              <w:t>具体事项：</w:t>
            </w:r>
          </w:p>
        </w:tc>
      </w:tr>
      <w:tr w14:paraId="0BED75CA">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14:paraId="3DCF83A0">
            <w:pPr>
              <w:snapToGrid w:val="0"/>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甲方（章）</w:t>
            </w:r>
          </w:p>
          <w:p w14:paraId="17D2B678">
            <w:pPr>
              <w:snapToGrid w:val="0"/>
              <w:spacing w:line="360" w:lineRule="auto"/>
              <w:ind w:firstLine="422" w:firstLineChars="200"/>
              <w:rPr>
                <w:rFonts w:hint="eastAsia" w:ascii="宋体" w:hAnsi="宋体" w:eastAsia="宋体" w:cs="宋体"/>
                <w:b/>
                <w:color w:val="auto"/>
                <w:szCs w:val="21"/>
                <w:highlight w:val="none"/>
              </w:rPr>
            </w:pPr>
          </w:p>
          <w:p w14:paraId="2E48E232">
            <w:pPr>
              <w:snapToGrid w:val="0"/>
              <w:spacing w:line="360" w:lineRule="auto"/>
              <w:rPr>
                <w:rFonts w:hint="eastAsia" w:ascii="宋体" w:hAnsi="宋体" w:eastAsia="宋体" w:cs="宋体"/>
                <w:b/>
                <w:color w:val="auto"/>
                <w:szCs w:val="21"/>
                <w:highlight w:val="none"/>
              </w:rPr>
            </w:pPr>
          </w:p>
          <w:p w14:paraId="72E377E1">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noWrap w:val="0"/>
            <w:vAlign w:val="center"/>
          </w:tcPr>
          <w:p w14:paraId="1F97B78A">
            <w:pPr>
              <w:snapToGrid w:val="0"/>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乙方（章）</w:t>
            </w:r>
          </w:p>
          <w:p w14:paraId="2B29E8B2">
            <w:pPr>
              <w:snapToGrid w:val="0"/>
              <w:spacing w:line="360" w:lineRule="auto"/>
              <w:ind w:firstLine="422" w:firstLineChars="200"/>
              <w:rPr>
                <w:rFonts w:hint="eastAsia" w:ascii="宋体" w:hAnsi="宋体" w:eastAsia="宋体" w:cs="宋体"/>
                <w:b/>
                <w:color w:val="auto"/>
                <w:szCs w:val="21"/>
                <w:highlight w:val="none"/>
              </w:rPr>
            </w:pPr>
          </w:p>
          <w:p w14:paraId="5AEBBDA9">
            <w:pPr>
              <w:snapToGrid w:val="0"/>
              <w:spacing w:line="360" w:lineRule="auto"/>
              <w:rPr>
                <w:rFonts w:hint="eastAsia" w:ascii="宋体" w:hAnsi="宋体" w:eastAsia="宋体" w:cs="宋体"/>
                <w:b/>
                <w:color w:val="auto"/>
                <w:szCs w:val="21"/>
                <w:highlight w:val="none"/>
              </w:rPr>
            </w:pPr>
          </w:p>
          <w:p w14:paraId="7C1F99D0">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w:t>
            </w:r>
          </w:p>
        </w:tc>
      </w:tr>
    </w:tbl>
    <w:p w14:paraId="2D19ED7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注：服务事项填不下时可另加附页</w:t>
      </w:r>
    </w:p>
    <w:p w14:paraId="055F5C54">
      <w:pPr>
        <w:snapToGrid w:val="0"/>
        <w:spacing w:line="360" w:lineRule="auto"/>
        <w:jc w:val="left"/>
        <w:rPr>
          <w:rFonts w:hint="eastAsia" w:ascii="宋体" w:hAnsi="宋体" w:eastAsia="宋体" w:cs="宋体"/>
          <w:color w:val="auto"/>
          <w:szCs w:val="21"/>
          <w:highlight w:val="none"/>
        </w:rPr>
      </w:pPr>
    </w:p>
    <w:p w14:paraId="19ED40E7">
      <w:pPr>
        <w:pStyle w:val="12"/>
        <w:tabs>
          <w:tab w:val="left" w:pos="2472"/>
        </w:tabs>
        <w:spacing w:line="460" w:lineRule="exact"/>
        <w:jc w:val="center"/>
        <w:rPr>
          <w:rFonts w:hint="eastAsia" w:ascii="Times New Roman" w:hAnsi="Times New Roman" w:eastAsia="宋体" w:cs="Times New Roman"/>
          <w:b/>
          <w:color w:val="auto"/>
          <w:sz w:val="36"/>
          <w:highlight w:val="none"/>
        </w:rPr>
      </w:pPr>
      <w:r>
        <w:rPr>
          <w:rFonts w:hint="eastAsia" w:ascii="宋体" w:hAnsi="宋体" w:eastAsia="宋体" w:cs="宋体"/>
          <w:b/>
          <w:color w:val="auto"/>
          <w:sz w:val="32"/>
          <w:szCs w:val="32"/>
          <w:highlight w:val="none"/>
        </w:rPr>
        <w:br w:type="page"/>
      </w:r>
    </w:p>
    <w:p w14:paraId="1CB96584">
      <w:pPr>
        <w:pStyle w:val="12"/>
        <w:tabs>
          <w:tab w:val="left" w:pos="2472"/>
        </w:tabs>
        <w:spacing w:line="460" w:lineRule="exact"/>
        <w:jc w:val="center"/>
        <w:rPr>
          <w:rFonts w:ascii="Times New Roman" w:hAnsi="Times New Roman" w:eastAsia="宋体" w:cs="Times New Roman"/>
          <w:b/>
          <w:color w:val="auto"/>
          <w:sz w:val="36"/>
          <w:highlight w:val="none"/>
        </w:rPr>
      </w:pPr>
    </w:p>
    <w:p w14:paraId="67DDD90E">
      <w:pPr>
        <w:pStyle w:val="12"/>
        <w:tabs>
          <w:tab w:val="left" w:pos="2472"/>
        </w:tabs>
        <w:spacing w:line="460" w:lineRule="exact"/>
        <w:jc w:val="center"/>
        <w:rPr>
          <w:rFonts w:ascii="Times New Roman" w:hAnsi="Times New Roman" w:eastAsia="宋体" w:cs="Times New Roman"/>
          <w:b/>
          <w:color w:val="auto"/>
          <w:sz w:val="36"/>
          <w:highlight w:val="none"/>
        </w:rPr>
      </w:pPr>
    </w:p>
    <w:p w14:paraId="7E6A2CD2">
      <w:pPr>
        <w:pStyle w:val="12"/>
        <w:tabs>
          <w:tab w:val="left" w:pos="2472"/>
        </w:tabs>
        <w:spacing w:line="460" w:lineRule="exact"/>
        <w:jc w:val="center"/>
        <w:rPr>
          <w:rFonts w:ascii="Times New Roman" w:hAnsi="Times New Roman" w:eastAsia="宋体" w:cs="Times New Roman"/>
          <w:b/>
          <w:color w:val="auto"/>
          <w:sz w:val="36"/>
          <w:highlight w:val="none"/>
        </w:rPr>
      </w:pPr>
    </w:p>
    <w:p w14:paraId="10E9290C">
      <w:pPr>
        <w:pStyle w:val="12"/>
        <w:tabs>
          <w:tab w:val="left" w:pos="2472"/>
        </w:tabs>
        <w:spacing w:line="460" w:lineRule="exact"/>
        <w:jc w:val="center"/>
        <w:rPr>
          <w:rFonts w:ascii="Times New Roman" w:hAnsi="Times New Roman" w:eastAsia="宋体" w:cs="Times New Roman"/>
          <w:b/>
          <w:color w:val="auto"/>
          <w:sz w:val="36"/>
          <w:highlight w:val="none"/>
        </w:rPr>
      </w:pPr>
    </w:p>
    <w:p w14:paraId="05141A0D">
      <w:pPr>
        <w:pStyle w:val="12"/>
        <w:tabs>
          <w:tab w:val="left" w:pos="2472"/>
        </w:tabs>
        <w:spacing w:line="460" w:lineRule="exact"/>
        <w:jc w:val="center"/>
        <w:rPr>
          <w:rFonts w:ascii="Times New Roman" w:hAnsi="Times New Roman" w:eastAsia="宋体" w:cs="Times New Roman"/>
          <w:b/>
          <w:color w:val="auto"/>
          <w:sz w:val="36"/>
          <w:highlight w:val="none"/>
        </w:rPr>
      </w:pPr>
    </w:p>
    <w:p w14:paraId="53DE7B2A">
      <w:pPr>
        <w:pStyle w:val="12"/>
        <w:tabs>
          <w:tab w:val="left" w:pos="2472"/>
        </w:tabs>
        <w:spacing w:line="460" w:lineRule="exact"/>
        <w:jc w:val="center"/>
        <w:rPr>
          <w:rFonts w:ascii="Times New Roman" w:hAnsi="Times New Roman" w:eastAsia="宋体" w:cs="Times New Roman"/>
          <w:b/>
          <w:color w:val="auto"/>
          <w:sz w:val="36"/>
          <w:highlight w:val="none"/>
        </w:rPr>
      </w:pPr>
    </w:p>
    <w:p w14:paraId="0EB05B39">
      <w:pPr>
        <w:pStyle w:val="12"/>
        <w:tabs>
          <w:tab w:val="left" w:pos="2472"/>
        </w:tabs>
        <w:spacing w:line="460" w:lineRule="exact"/>
        <w:jc w:val="center"/>
        <w:rPr>
          <w:rFonts w:ascii="Times New Roman" w:hAnsi="Times New Roman" w:eastAsia="宋体" w:cs="Times New Roman"/>
          <w:b/>
          <w:color w:val="auto"/>
          <w:sz w:val="36"/>
          <w:highlight w:val="none"/>
        </w:rPr>
      </w:pPr>
    </w:p>
    <w:p w14:paraId="7799F467">
      <w:pPr>
        <w:pStyle w:val="12"/>
        <w:tabs>
          <w:tab w:val="left" w:pos="2472"/>
        </w:tabs>
        <w:spacing w:line="460" w:lineRule="exact"/>
        <w:jc w:val="center"/>
        <w:rPr>
          <w:rFonts w:ascii="Times New Roman" w:hAnsi="Times New Roman" w:eastAsia="宋体" w:cs="Times New Roman"/>
          <w:b/>
          <w:color w:val="auto"/>
          <w:sz w:val="36"/>
          <w:highlight w:val="none"/>
        </w:rPr>
      </w:pPr>
    </w:p>
    <w:p w14:paraId="4E235911">
      <w:pPr>
        <w:pStyle w:val="12"/>
        <w:tabs>
          <w:tab w:val="left" w:pos="2472"/>
        </w:tabs>
        <w:spacing w:line="460" w:lineRule="exact"/>
        <w:jc w:val="center"/>
        <w:rPr>
          <w:rFonts w:ascii="Times New Roman" w:hAnsi="Times New Roman" w:eastAsia="宋体" w:cs="Times New Roman"/>
          <w:b/>
          <w:color w:val="auto"/>
          <w:sz w:val="36"/>
          <w:highlight w:val="none"/>
        </w:rPr>
      </w:pPr>
    </w:p>
    <w:p w14:paraId="0B797E74">
      <w:pPr>
        <w:pStyle w:val="12"/>
        <w:tabs>
          <w:tab w:val="left" w:pos="2472"/>
        </w:tabs>
        <w:spacing w:line="460" w:lineRule="exact"/>
        <w:jc w:val="center"/>
        <w:rPr>
          <w:rFonts w:ascii="Times New Roman" w:hAnsi="Times New Roman" w:eastAsia="宋体" w:cs="Times New Roman"/>
          <w:b/>
          <w:color w:val="auto"/>
          <w:sz w:val="36"/>
          <w:highlight w:val="none"/>
        </w:rPr>
      </w:pPr>
    </w:p>
    <w:p w14:paraId="1E4AF446">
      <w:pPr>
        <w:pStyle w:val="12"/>
        <w:tabs>
          <w:tab w:val="left" w:pos="2472"/>
        </w:tabs>
        <w:spacing w:line="460" w:lineRule="exact"/>
        <w:jc w:val="center"/>
        <w:rPr>
          <w:rFonts w:ascii="Times New Roman" w:hAnsi="Times New Roman" w:eastAsia="宋体" w:cs="Times New Roman"/>
          <w:b/>
          <w:color w:val="auto"/>
          <w:sz w:val="36"/>
          <w:highlight w:val="none"/>
        </w:rPr>
      </w:pPr>
    </w:p>
    <w:p w14:paraId="774D98B3">
      <w:pPr>
        <w:pStyle w:val="12"/>
        <w:tabs>
          <w:tab w:val="left" w:pos="2472"/>
        </w:tabs>
        <w:spacing w:line="460" w:lineRule="exact"/>
        <w:jc w:val="center"/>
        <w:outlineLvl w:val="0"/>
        <w:rPr>
          <w:rFonts w:ascii="Times New Roman" w:hAnsi="Times New Roman" w:eastAsia="宋体" w:cs="Times New Roman"/>
          <w:b/>
          <w:color w:val="auto"/>
          <w:sz w:val="36"/>
          <w:highlight w:val="none"/>
        </w:rPr>
      </w:pPr>
      <w:bookmarkStart w:id="340" w:name="_Toc24704"/>
      <w:bookmarkStart w:id="341" w:name="_Toc26884"/>
      <w:bookmarkStart w:id="342" w:name="_Toc2517"/>
      <w:bookmarkStart w:id="343" w:name="_Toc9123"/>
      <w:bookmarkStart w:id="344" w:name="_Toc2377"/>
      <w:bookmarkStart w:id="345" w:name="_Toc5736"/>
      <w:bookmarkStart w:id="346" w:name="_Toc19106"/>
      <w:bookmarkStart w:id="347" w:name="_Toc19350"/>
      <w:bookmarkStart w:id="348" w:name="_Toc26390"/>
      <w:bookmarkStart w:id="349" w:name="_Toc32149"/>
      <w:bookmarkStart w:id="350" w:name="_Toc20296"/>
      <w:bookmarkStart w:id="351" w:name="_Toc20832"/>
      <w:bookmarkStart w:id="352" w:name="_Toc11043"/>
      <w:r>
        <w:rPr>
          <w:rFonts w:hint="eastAsia" w:ascii="Times New Roman" w:hAnsi="Times New Roman" w:eastAsia="宋体" w:cs="Times New Roman"/>
          <w:b/>
          <w:color w:val="auto"/>
          <w:sz w:val="36"/>
          <w:highlight w:val="none"/>
        </w:rPr>
        <w:t>第六章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投标文件格式</w:t>
      </w:r>
      <w:bookmarkEnd w:id="340"/>
      <w:bookmarkEnd w:id="341"/>
      <w:bookmarkEnd w:id="342"/>
      <w:bookmarkEnd w:id="343"/>
      <w:bookmarkEnd w:id="344"/>
      <w:bookmarkEnd w:id="345"/>
      <w:bookmarkEnd w:id="346"/>
      <w:bookmarkEnd w:id="347"/>
      <w:bookmarkEnd w:id="348"/>
      <w:bookmarkEnd w:id="349"/>
      <w:bookmarkEnd w:id="350"/>
      <w:bookmarkEnd w:id="351"/>
      <w:bookmarkEnd w:id="352"/>
    </w:p>
    <w:p w14:paraId="23959F75">
      <w:pPr>
        <w:widowControl/>
        <w:spacing w:beforeAutospacing="1" w:line="360" w:lineRule="auto"/>
        <w:jc w:val="left"/>
        <w:rPr>
          <w:rFonts w:ascii="宋体" w:hAnsi="宋体"/>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4A3140C4">
      <w:pPr>
        <w:pStyle w:val="12"/>
        <w:jc w:val="center"/>
        <w:outlineLvl w:val="1"/>
        <w:rPr>
          <w:rFonts w:hint="eastAsia" w:hAnsi="宋体" w:eastAsia="宋体" w:cs="Times New Roman"/>
          <w:b/>
          <w:bCs/>
          <w:color w:val="auto"/>
          <w:sz w:val="28"/>
          <w:szCs w:val="28"/>
          <w:highlight w:val="none"/>
        </w:rPr>
      </w:pPr>
      <w:bookmarkStart w:id="353" w:name="_Toc32508"/>
      <w:bookmarkStart w:id="354" w:name="_Toc21700"/>
      <w:bookmarkStart w:id="355" w:name="_Toc24486"/>
      <w:bookmarkStart w:id="356" w:name="_Toc32370"/>
      <w:bookmarkStart w:id="357" w:name="_Toc23486"/>
      <w:bookmarkStart w:id="358" w:name="_Toc11854"/>
      <w:bookmarkStart w:id="359" w:name="_Toc4270"/>
      <w:bookmarkStart w:id="360" w:name="_Toc7817"/>
      <w:bookmarkStart w:id="361" w:name="_Toc16890"/>
      <w:bookmarkStart w:id="362" w:name="_Toc20281"/>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一</w:t>
      </w:r>
      <w:r>
        <w:rPr>
          <w:rFonts w:hint="eastAsia" w:hAnsi="宋体" w:eastAsia="宋体" w:cs="Times New Roman"/>
          <w:b/>
          <w:bCs/>
          <w:color w:val="auto"/>
          <w:sz w:val="28"/>
          <w:szCs w:val="28"/>
          <w:highlight w:val="none"/>
        </w:rPr>
        <w:t>节 资格文件格式</w:t>
      </w:r>
      <w:bookmarkEnd w:id="353"/>
      <w:bookmarkEnd w:id="354"/>
      <w:bookmarkEnd w:id="355"/>
      <w:bookmarkEnd w:id="356"/>
      <w:bookmarkEnd w:id="357"/>
      <w:bookmarkEnd w:id="358"/>
      <w:bookmarkEnd w:id="359"/>
      <w:bookmarkEnd w:id="360"/>
      <w:bookmarkEnd w:id="361"/>
      <w:bookmarkEnd w:id="362"/>
    </w:p>
    <w:p w14:paraId="7D20DF76">
      <w:pPr>
        <w:pStyle w:val="12"/>
        <w:spacing w:line="360" w:lineRule="auto"/>
        <w:ind w:firstLine="420"/>
        <w:rPr>
          <w:rFonts w:hint="eastAsia" w:hAnsi="宋体" w:eastAsia="宋体" w:cs="Times New Roman"/>
          <w:color w:val="auto"/>
          <w:sz w:val="30"/>
          <w:highlight w:val="none"/>
        </w:rPr>
      </w:pPr>
    </w:p>
    <w:p w14:paraId="7948F181">
      <w:pPr>
        <w:pStyle w:val="7"/>
        <w:ind w:left="0"/>
        <w:jc w:val="left"/>
        <w:rPr>
          <w:rFonts w:hint="eastAsia" w:hAnsi="宋体" w:eastAsia="宋体" w:cs="Times New Roman"/>
          <w:color w:val="auto"/>
          <w:sz w:val="30"/>
          <w:highlight w:val="none"/>
        </w:rPr>
      </w:pPr>
      <w:r>
        <w:rPr>
          <w:rFonts w:hint="eastAsia" w:hAnsi="宋体" w:cs="宋体"/>
          <w:b/>
          <w:bCs/>
          <w:color w:val="auto"/>
          <w:sz w:val="28"/>
          <w:szCs w:val="28"/>
          <w:highlight w:val="none"/>
          <w:lang w:val="en-US" w:eastAsia="zh-CN"/>
        </w:rPr>
        <w:t>1.资格文件封面的格式（参照此格式自拟）：</w:t>
      </w:r>
    </w:p>
    <w:p w14:paraId="3D10BABD">
      <w:pPr>
        <w:rPr>
          <w:rFonts w:hint="eastAsia"/>
          <w:color w:val="auto"/>
          <w:highlight w:val="none"/>
        </w:rPr>
      </w:pPr>
    </w:p>
    <w:p w14:paraId="709576DA">
      <w:pPr>
        <w:snapToGrid w:val="0"/>
        <w:spacing w:before="165" w:beforeLines="50" w:after="50"/>
        <w:rPr>
          <w:rFonts w:hint="eastAsia" w:ascii="宋体" w:hAnsi="宋体" w:eastAsia="宋体" w:cs="Times New Roman"/>
          <w:bCs/>
          <w:color w:val="auto"/>
          <w:sz w:val="32"/>
          <w:szCs w:val="20"/>
          <w:highlight w:val="none"/>
          <w:lang w:eastAsia="zh-CN"/>
        </w:rPr>
      </w:pPr>
      <w:r>
        <w:rPr>
          <w:rFonts w:hint="eastAsia" w:ascii="宋体" w:hAnsi="宋体" w:eastAsia="宋体" w:cs="Times New Roman"/>
          <w:color w:val="auto"/>
          <w:sz w:val="24"/>
          <w:highlight w:val="none"/>
        </w:rPr>
        <w:t xml:space="preserve">                                                         </w:t>
      </w:r>
      <w:r>
        <w:rPr>
          <w:rFonts w:hint="eastAsia" w:ascii="宋体" w:hAnsi="宋体" w:cs="Times New Roman"/>
          <w:bCs/>
          <w:color w:val="auto"/>
          <w:highlight w:val="none"/>
          <w:lang w:eastAsia="zh-CN"/>
        </w:rPr>
        <w:t>电子版投标文件</w:t>
      </w:r>
    </w:p>
    <w:p w14:paraId="6A6F1B2A">
      <w:pPr>
        <w:snapToGrid w:val="0"/>
        <w:spacing w:before="165" w:beforeLines="50" w:after="50"/>
        <w:rPr>
          <w:rFonts w:hint="eastAsia" w:ascii="宋体" w:hAnsi="宋体" w:eastAsia="宋体" w:cs="Times New Roman"/>
          <w:color w:val="auto"/>
          <w:sz w:val="24"/>
          <w:szCs w:val="20"/>
          <w:highlight w:val="none"/>
        </w:rPr>
      </w:pPr>
    </w:p>
    <w:p w14:paraId="515DFF7E">
      <w:pPr>
        <w:snapToGrid w:val="0"/>
        <w:spacing w:before="165" w:beforeLines="50" w:after="50"/>
        <w:jc w:val="center"/>
        <w:rPr>
          <w:rFonts w:hint="eastAsia" w:ascii="宋体" w:hAnsi="宋体" w:eastAsia="宋体" w:cs="Times New Roman"/>
          <w:b/>
          <w:color w:val="auto"/>
          <w:sz w:val="24"/>
          <w:szCs w:val="20"/>
          <w:highlight w:val="none"/>
          <w:lang w:eastAsia="zh-CN"/>
        </w:rPr>
      </w:pPr>
      <w:r>
        <w:rPr>
          <w:rFonts w:hint="eastAsia" w:ascii="宋体" w:hAnsi="宋体" w:eastAsia="宋体" w:cs="Times New Roman"/>
          <w:b/>
          <w:color w:val="auto"/>
          <w:sz w:val="32"/>
          <w:szCs w:val="32"/>
          <w:highlight w:val="none"/>
        </w:rPr>
        <w:t>资格文件</w:t>
      </w:r>
    </w:p>
    <w:p w14:paraId="0E9A0FB8">
      <w:pPr>
        <w:snapToGrid w:val="0"/>
        <w:spacing w:before="165" w:beforeLines="50" w:after="50"/>
        <w:rPr>
          <w:rFonts w:hint="eastAsia" w:ascii="宋体" w:hAnsi="宋体" w:eastAsia="宋体" w:cs="Times New Roman"/>
          <w:bCs/>
          <w:color w:val="auto"/>
          <w:sz w:val="24"/>
          <w:szCs w:val="20"/>
          <w:highlight w:val="none"/>
        </w:rPr>
      </w:pPr>
    </w:p>
    <w:p w14:paraId="091892CD">
      <w:pPr>
        <w:snapToGrid w:val="0"/>
        <w:spacing w:before="165" w:beforeLines="50" w:after="50"/>
        <w:rPr>
          <w:rFonts w:hint="eastAsia" w:ascii="宋体" w:hAnsi="宋体" w:eastAsia="宋体" w:cs="Times New Roman"/>
          <w:bCs/>
          <w:color w:val="auto"/>
          <w:sz w:val="24"/>
          <w:szCs w:val="20"/>
          <w:highlight w:val="none"/>
        </w:rPr>
      </w:pPr>
    </w:p>
    <w:p w14:paraId="3A95D341">
      <w:pPr>
        <w:snapToGrid w:val="0"/>
        <w:spacing w:before="165" w:beforeLines="50" w:after="50"/>
        <w:rPr>
          <w:rFonts w:hint="eastAsia" w:ascii="宋体" w:hAnsi="宋体" w:eastAsia="宋体" w:cs="Times New Roman"/>
          <w:bCs/>
          <w:color w:val="auto"/>
          <w:sz w:val="24"/>
          <w:szCs w:val="20"/>
          <w:highlight w:val="none"/>
        </w:rPr>
      </w:pPr>
    </w:p>
    <w:p w14:paraId="788D132F">
      <w:pPr>
        <w:snapToGrid w:val="0"/>
        <w:spacing w:before="165" w:beforeLines="50" w:after="50"/>
        <w:rPr>
          <w:rFonts w:hint="eastAsia" w:ascii="宋体" w:hAnsi="宋体" w:eastAsia="宋体" w:cs="Times New Roman"/>
          <w:bCs/>
          <w:color w:val="auto"/>
          <w:sz w:val="24"/>
          <w:szCs w:val="20"/>
          <w:highlight w:val="none"/>
        </w:rPr>
      </w:pPr>
    </w:p>
    <w:p w14:paraId="0BD6CA4B">
      <w:pPr>
        <w:snapToGrid w:val="0"/>
        <w:spacing w:before="165" w:beforeLines="50" w:after="50"/>
        <w:rPr>
          <w:rFonts w:hint="eastAsia" w:ascii="宋体" w:hAnsi="宋体" w:eastAsia="宋体" w:cs="Times New Roman"/>
          <w:bCs/>
          <w:color w:val="auto"/>
          <w:sz w:val="24"/>
          <w:szCs w:val="20"/>
          <w:highlight w:val="none"/>
        </w:rPr>
      </w:pPr>
    </w:p>
    <w:p w14:paraId="05AC8E09">
      <w:pPr>
        <w:snapToGrid w:val="0"/>
        <w:spacing w:before="165" w:beforeLines="50" w:after="50"/>
        <w:rPr>
          <w:rFonts w:hint="eastAsia" w:ascii="宋体" w:hAnsi="宋体" w:eastAsia="宋体" w:cs="Times New Roman"/>
          <w:bCs/>
          <w:color w:val="auto"/>
          <w:sz w:val="24"/>
          <w:szCs w:val="20"/>
          <w:highlight w:val="none"/>
        </w:rPr>
      </w:pPr>
    </w:p>
    <w:p w14:paraId="08F832EF">
      <w:pPr>
        <w:snapToGrid w:val="0"/>
        <w:spacing w:before="165" w:beforeLines="50" w:after="50"/>
        <w:rPr>
          <w:rFonts w:hint="eastAsia" w:ascii="宋体" w:hAnsi="宋体" w:eastAsia="宋体" w:cs="Times New Roman"/>
          <w:bCs/>
          <w:color w:val="auto"/>
          <w:sz w:val="24"/>
          <w:szCs w:val="20"/>
          <w:highlight w:val="none"/>
        </w:rPr>
      </w:pPr>
    </w:p>
    <w:p w14:paraId="7FA8BCCA">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14:paraId="510DEF46">
      <w:pPr>
        <w:snapToGrid w:val="0"/>
        <w:spacing w:before="165" w:beforeLines="50" w:after="50"/>
        <w:ind w:firstLine="540" w:firstLineChars="225"/>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项目编号：</w:t>
      </w:r>
    </w:p>
    <w:p w14:paraId="7EE78CB6">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 </w:t>
      </w:r>
    </w:p>
    <w:p w14:paraId="5840B1E8">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w:t>
      </w:r>
      <w:r>
        <w:rPr>
          <w:rFonts w:hint="eastAsia" w:ascii="宋体" w:hAnsi="宋体" w:cs="宋体"/>
          <w:bCs/>
          <w:color w:val="auto"/>
          <w:sz w:val="24"/>
          <w:highlight w:val="none"/>
        </w:rPr>
        <w:t>（如有则填写，无分标时填写“无”或者留空）</w:t>
      </w:r>
      <w:r>
        <w:rPr>
          <w:rFonts w:hint="eastAsia" w:ascii="宋体" w:hAnsi="宋体" w:eastAsia="宋体" w:cs="Times New Roman"/>
          <w:bCs/>
          <w:color w:val="auto"/>
          <w:sz w:val="24"/>
          <w:highlight w:val="none"/>
        </w:rPr>
        <w:t>：</w:t>
      </w:r>
    </w:p>
    <w:p w14:paraId="72E9F48E">
      <w:pPr>
        <w:pStyle w:val="6"/>
        <w:snapToGrid w:val="0"/>
        <w:spacing w:before="50" w:after="50"/>
        <w:ind w:firstLine="540" w:firstLineChars="225"/>
        <w:rPr>
          <w:rFonts w:hint="eastAsia" w:ascii="宋体" w:hAnsi="宋体" w:eastAsia="宋体" w:cs="Times New Roman"/>
          <w:bCs/>
          <w:color w:val="auto"/>
          <w:sz w:val="24"/>
          <w:szCs w:val="24"/>
          <w:highlight w:val="none"/>
        </w:rPr>
      </w:pPr>
    </w:p>
    <w:p w14:paraId="0D0806E8">
      <w:pPr>
        <w:pStyle w:val="6"/>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14:paraId="7D6460C0">
      <w:pPr>
        <w:pStyle w:val="6"/>
        <w:snapToGrid w:val="0"/>
        <w:spacing w:before="50" w:after="50"/>
        <w:ind w:firstLine="540" w:firstLineChars="225"/>
        <w:rPr>
          <w:rFonts w:hint="eastAsia" w:ascii="宋体" w:hAnsi="宋体" w:eastAsia="宋体" w:cs="Times New Roman"/>
          <w:bCs/>
          <w:color w:val="auto"/>
          <w:sz w:val="24"/>
          <w:szCs w:val="24"/>
          <w:highlight w:val="none"/>
        </w:rPr>
      </w:pPr>
    </w:p>
    <w:p w14:paraId="147FDDC3">
      <w:pPr>
        <w:pStyle w:val="6"/>
        <w:snapToGrid w:val="0"/>
        <w:spacing w:before="50" w:after="50"/>
        <w:ind w:firstLine="960" w:firstLineChars="400"/>
        <w:rPr>
          <w:rFonts w:hint="eastAsia" w:ascii="宋体" w:hAnsi="宋体" w:eastAsia="宋体" w:cs="Times New Roman"/>
          <w:bCs/>
          <w:color w:val="auto"/>
          <w:sz w:val="24"/>
          <w:szCs w:val="24"/>
          <w:highlight w:val="none"/>
        </w:rPr>
      </w:pPr>
    </w:p>
    <w:p w14:paraId="73583096">
      <w:pPr>
        <w:snapToGrid w:val="0"/>
        <w:spacing w:before="165" w:beforeLines="50" w:after="50"/>
        <w:ind w:firstLine="645"/>
        <w:jc w:val="center"/>
        <w:rPr>
          <w:rFonts w:hint="eastAsia" w:ascii="宋体" w:hAnsi="宋体" w:eastAsia="宋体" w:cs="Times New Roman"/>
          <w:color w:val="auto"/>
          <w:sz w:val="24"/>
          <w:highlight w:val="none"/>
        </w:rPr>
      </w:pPr>
    </w:p>
    <w:p w14:paraId="55070C03">
      <w:pPr>
        <w:snapToGrid w:val="0"/>
        <w:spacing w:before="165" w:beforeLines="50" w:after="50"/>
        <w:ind w:firstLine="645"/>
        <w:jc w:val="center"/>
        <w:rPr>
          <w:rFonts w:hint="eastAsia" w:ascii="宋体" w:hAnsi="宋体" w:eastAsia="宋体" w:cs="Times New Roman"/>
          <w:color w:val="auto"/>
          <w:sz w:val="24"/>
          <w:highlight w:val="none"/>
        </w:rPr>
      </w:pPr>
    </w:p>
    <w:p w14:paraId="2B7025C5">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年  月  日</w:t>
      </w:r>
    </w:p>
    <w:p w14:paraId="2432CA9C">
      <w:pPr>
        <w:widowControl/>
        <w:spacing w:line="360" w:lineRule="auto"/>
        <w:jc w:val="left"/>
        <w:rPr>
          <w:rFonts w:ascii="宋体" w:hAnsi="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2AAEAA5E">
      <w:pPr>
        <w:spacing w:line="360" w:lineRule="auto"/>
        <w:jc w:val="both"/>
        <w:rPr>
          <w:rFonts w:hint="eastAsia" w:ascii="宋体" w:hAnsi="宋体" w:eastAsia="宋体" w:cs="宋体"/>
          <w:b/>
          <w:color w:val="auto"/>
          <w:kern w:val="0"/>
          <w:sz w:val="28"/>
          <w:szCs w:val="28"/>
          <w:highlight w:val="none"/>
        </w:rPr>
      </w:pPr>
      <w:r>
        <w:rPr>
          <w:rFonts w:hint="eastAsia" w:ascii="宋体" w:hAnsi="宋体" w:cs="宋体"/>
          <w:b/>
          <w:color w:val="auto"/>
          <w:kern w:val="0"/>
          <w:sz w:val="28"/>
          <w:szCs w:val="28"/>
          <w:highlight w:val="none"/>
          <w:lang w:val="en-US" w:eastAsia="zh-CN"/>
        </w:rPr>
        <w:t>2.</w:t>
      </w:r>
      <w:r>
        <w:rPr>
          <w:rFonts w:hint="eastAsia" w:ascii="宋体" w:hAnsi="宋体" w:eastAsia="宋体" w:cs="宋体"/>
          <w:b/>
          <w:color w:val="auto"/>
          <w:kern w:val="0"/>
          <w:sz w:val="28"/>
          <w:szCs w:val="28"/>
          <w:highlight w:val="none"/>
        </w:rPr>
        <w:t>资格文件目录</w:t>
      </w:r>
    </w:p>
    <w:p w14:paraId="60FA00C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57F69ECF">
      <w:pPr>
        <w:snapToGrid/>
        <w:spacing w:line="24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141EB0E6">
      <w:pPr>
        <w:snapToGrid w:val="0"/>
        <w:spacing w:before="50" w:after="120" w:afterLines="50" w:line="360" w:lineRule="auto"/>
        <w:jc w:val="both"/>
        <w:rPr>
          <w:rFonts w:hint="eastAsia" w:ascii="仿宋_GB2312" w:hAnsi="仿宋" w:eastAsia="仿宋_GB2312" w:cs="仿宋_GB2312"/>
          <w:b/>
          <w:color w:val="auto"/>
          <w:kern w:val="0"/>
          <w:sz w:val="32"/>
          <w:szCs w:val="32"/>
          <w:highlight w:val="none"/>
        </w:rPr>
      </w:pPr>
      <w:r>
        <w:rPr>
          <w:rFonts w:hint="eastAsia" w:ascii="宋体" w:hAnsi="宋体" w:cs="宋体"/>
          <w:b/>
          <w:color w:val="auto"/>
          <w:kern w:val="0"/>
          <w:sz w:val="32"/>
          <w:szCs w:val="32"/>
          <w:highlight w:val="none"/>
          <w:lang w:val="en-US" w:eastAsia="zh-CN"/>
        </w:rPr>
        <w:t>3.</w:t>
      </w:r>
      <w:r>
        <w:rPr>
          <w:rFonts w:hint="eastAsia" w:ascii="宋体" w:hAnsi="宋体" w:eastAsia="宋体" w:cs="宋体"/>
          <w:b/>
          <w:color w:val="auto"/>
          <w:kern w:val="2"/>
          <w:sz w:val="28"/>
          <w:szCs w:val="28"/>
          <w:highlight w:val="none"/>
        </w:rPr>
        <w:t>投标人直接控股股东信息表</w:t>
      </w:r>
      <w:r>
        <w:rPr>
          <w:rFonts w:hint="eastAsia" w:ascii="宋体" w:hAnsi="宋体" w:cs="宋体"/>
          <w:b/>
          <w:color w:val="auto"/>
          <w:sz w:val="28"/>
          <w:szCs w:val="28"/>
          <w:highlight w:val="none"/>
          <w:lang w:eastAsia="zh-CN"/>
        </w:rPr>
        <w:t>格式</w:t>
      </w:r>
      <w:r>
        <w:rPr>
          <w:rFonts w:hint="eastAsia"/>
          <w:color w:val="auto"/>
          <w:sz w:val="28"/>
          <w:szCs w:val="28"/>
          <w:highlight w:val="none"/>
          <w:lang w:eastAsia="zh-CN"/>
        </w:rPr>
        <w:t>：</w:t>
      </w:r>
    </w:p>
    <w:p w14:paraId="4E193447">
      <w:pPr>
        <w:snapToGrid w:val="0"/>
        <w:spacing w:before="50" w:after="120" w:afterLines="50" w:line="360" w:lineRule="auto"/>
        <w:jc w:val="center"/>
        <w:rPr>
          <w:rFonts w:hint="eastAsia" w:ascii="仿宋_GB2312" w:hAnsi="仿宋" w:eastAsia="仿宋_GB2312" w:cs="仿宋_GB2312"/>
          <w:b/>
          <w:color w:val="auto"/>
          <w:kern w:val="0"/>
          <w:sz w:val="32"/>
          <w:szCs w:val="32"/>
          <w:highlight w:val="none"/>
        </w:rPr>
      </w:pPr>
      <w:r>
        <w:rPr>
          <w:rFonts w:hint="eastAsia" w:ascii="宋体" w:hAnsi="宋体" w:eastAsia="宋体" w:cs="宋体"/>
          <w:b/>
          <w:color w:val="auto"/>
          <w:kern w:val="2"/>
          <w:sz w:val="28"/>
          <w:szCs w:val="28"/>
          <w:highlight w:val="none"/>
        </w:rPr>
        <w:t>投标人直接控股股东信息表</w:t>
      </w:r>
    </w:p>
    <w:tbl>
      <w:tblPr>
        <w:tblStyle w:val="20"/>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7CBEC342">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D1DC79D">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928B2EF">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BA5289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CA9D243">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103E547">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429641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BAE3B40">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03C1D4">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83A2D0">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8D5EB0">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B91290">
            <w:pPr>
              <w:spacing w:line="360" w:lineRule="auto"/>
              <w:jc w:val="center"/>
              <w:rPr>
                <w:rFonts w:hint="eastAsia" w:ascii="宋体" w:hAnsi="宋体" w:cs="宋体"/>
                <w:color w:val="auto"/>
                <w:kern w:val="0"/>
                <w:sz w:val="24"/>
                <w:highlight w:val="none"/>
              </w:rPr>
            </w:pPr>
          </w:p>
        </w:tc>
      </w:tr>
      <w:tr w14:paraId="1965F543">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5BCE54">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CAF423">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073DDD">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50B97B">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6B0DD9">
            <w:pPr>
              <w:spacing w:line="360" w:lineRule="auto"/>
              <w:jc w:val="center"/>
              <w:rPr>
                <w:rFonts w:hint="eastAsia" w:ascii="宋体" w:hAnsi="宋体" w:cs="宋体"/>
                <w:color w:val="auto"/>
                <w:kern w:val="0"/>
                <w:sz w:val="24"/>
                <w:highlight w:val="none"/>
              </w:rPr>
            </w:pPr>
          </w:p>
        </w:tc>
      </w:tr>
      <w:tr w14:paraId="26BA295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DCE7CB">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C78B90">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E40E37">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40AF11">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0568DB">
            <w:pPr>
              <w:spacing w:line="360" w:lineRule="auto"/>
              <w:jc w:val="center"/>
              <w:rPr>
                <w:rFonts w:hint="eastAsia" w:ascii="宋体" w:hAnsi="宋体" w:cs="宋体"/>
                <w:color w:val="auto"/>
                <w:kern w:val="0"/>
                <w:sz w:val="24"/>
                <w:highlight w:val="none"/>
              </w:rPr>
            </w:pPr>
          </w:p>
        </w:tc>
      </w:tr>
      <w:tr w14:paraId="76EE1B7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0080AC">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4272DB">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DBFD0C">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F8934F">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6ED248">
            <w:pPr>
              <w:spacing w:line="360" w:lineRule="auto"/>
              <w:jc w:val="center"/>
              <w:rPr>
                <w:rFonts w:hint="eastAsia" w:ascii="宋体" w:hAnsi="宋体" w:cs="宋体"/>
                <w:color w:val="auto"/>
                <w:kern w:val="0"/>
                <w:sz w:val="24"/>
                <w:highlight w:val="none"/>
              </w:rPr>
            </w:pPr>
          </w:p>
        </w:tc>
      </w:tr>
    </w:tbl>
    <w:p w14:paraId="745CE2E7">
      <w:pPr>
        <w:snapToGrid w:val="0"/>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注：</w:t>
      </w:r>
    </w:p>
    <w:p w14:paraId="06F06824">
      <w:pPr>
        <w:snapToGrid w:val="0"/>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CEB0A85">
      <w:pPr>
        <w:snapToGrid w:val="0"/>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2.本表所指的控股关系仅限于直接控股关系，不包括间接的控股关系。公司实际控制人与公司之间的关系不属于本表所指的直接控股关系。</w:t>
      </w:r>
    </w:p>
    <w:p w14:paraId="33CBF62D">
      <w:pPr>
        <w:snapToGrid w:val="0"/>
        <w:spacing w:line="360" w:lineRule="auto"/>
        <w:ind w:firstLine="420" w:firstLineChars="200"/>
        <w:jc w:val="left"/>
        <w:rPr>
          <w:rFonts w:hint="eastAsia" w:ascii="宋体" w:hAnsi="宋体"/>
          <w:color w:val="auto"/>
          <w:sz w:val="24"/>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不存在直接控股股东的，则填“无”。</w:t>
      </w:r>
    </w:p>
    <w:p w14:paraId="259A83AF">
      <w:pPr>
        <w:snapToGrid w:val="0"/>
        <w:spacing w:line="360" w:lineRule="auto"/>
        <w:jc w:val="left"/>
        <w:rPr>
          <w:rFonts w:hint="eastAsia" w:ascii="宋体" w:hAnsi="宋体"/>
          <w:color w:val="auto"/>
          <w:sz w:val="24"/>
          <w:highlight w:val="none"/>
        </w:rPr>
      </w:pPr>
    </w:p>
    <w:p w14:paraId="49E43C74">
      <w:pPr>
        <w:snapToGrid w:val="0"/>
        <w:spacing w:line="360" w:lineRule="auto"/>
        <w:jc w:val="left"/>
        <w:rPr>
          <w:rFonts w:hint="eastAsia" w:ascii="宋体" w:hAnsi="宋体"/>
          <w:color w:val="auto"/>
          <w:sz w:val="24"/>
          <w:highlight w:val="none"/>
        </w:rPr>
      </w:pPr>
    </w:p>
    <w:p w14:paraId="7E19E2B9">
      <w:pPr>
        <w:snapToGrid w:val="0"/>
        <w:spacing w:line="360" w:lineRule="auto"/>
        <w:ind w:firstLine="0" w:firstLineChars="0"/>
        <w:jc w:val="center"/>
        <w:rPr>
          <w:rFonts w:hint="eastAsia" w:ascii="宋体" w:hAnsi="宋体" w:eastAsia="宋体" w:cs="Times New Roman"/>
          <w:color w:val="auto"/>
          <w:kern w:val="2"/>
          <w:sz w:val="24"/>
          <w:highlight w:val="none"/>
        </w:rPr>
      </w:pPr>
      <w:r>
        <w:rPr>
          <w:rFonts w:hint="eastAsia" w:ascii="宋体" w:hAnsi="宋体" w:eastAsia="宋体" w:cs="Times New Roman"/>
          <w:color w:val="auto"/>
          <w:kern w:val="2"/>
          <w:sz w:val="24"/>
          <w:highlight w:val="none"/>
          <w:lang w:val="zh-CN"/>
        </w:rPr>
        <w:t>投标人名称(盖公章)：</w:t>
      </w:r>
    </w:p>
    <w:p w14:paraId="49157311">
      <w:pPr>
        <w:snapToGrid w:val="0"/>
        <w:spacing w:line="360" w:lineRule="auto"/>
        <w:ind w:firstLine="0" w:firstLineChars="0"/>
        <w:jc w:val="center"/>
        <w:rPr>
          <w:rFonts w:hint="eastAsia" w:ascii="宋体" w:hAnsi="宋体" w:eastAsia="宋体" w:cs="Times New Roman"/>
          <w:color w:val="auto"/>
          <w:kern w:val="2"/>
          <w:sz w:val="24"/>
          <w:highlight w:val="none"/>
          <w:lang w:val="zh-CN"/>
        </w:rPr>
      </w:pPr>
      <w:r>
        <w:rPr>
          <w:rFonts w:hint="eastAsia" w:ascii="宋体" w:hAnsi="宋体" w:eastAsia="宋体" w:cs="Times New Roman"/>
          <w:color w:val="auto"/>
          <w:kern w:val="2"/>
          <w:sz w:val="24"/>
          <w:highlight w:val="none"/>
          <w:lang w:val="zh-CN"/>
        </w:rPr>
        <w:t>日期</w:t>
      </w:r>
      <w:r>
        <w:rPr>
          <w:rFonts w:hint="eastAsia" w:ascii="宋体" w:hAnsi="宋体" w:eastAsia="宋体" w:cs="Times New Roman"/>
          <w:color w:val="auto"/>
          <w:kern w:val="2"/>
          <w:sz w:val="24"/>
          <w:highlight w:val="none"/>
        </w:rPr>
        <w:t xml:space="preserve">：  年  </w:t>
      </w:r>
      <w:r>
        <w:rPr>
          <w:rFonts w:hint="eastAsia" w:ascii="宋体" w:hAnsi="宋体" w:eastAsia="宋体" w:cs="Times New Roman"/>
          <w:color w:val="auto"/>
          <w:kern w:val="2"/>
          <w:sz w:val="24"/>
          <w:highlight w:val="none"/>
          <w:lang w:val="zh-CN"/>
        </w:rPr>
        <w:t>月</w:t>
      </w:r>
      <w:r>
        <w:rPr>
          <w:rFonts w:hint="eastAsia" w:ascii="宋体" w:hAnsi="宋体" w:eastAsia="宋体" w:cs="Times New Roman"/>
          <w:color w:val="auto"/>
          <w:kern w:val="2"/>
          <w:sz w:val="24"/>
          <w:highlight w:val="none"/>
        </w:rPr>
        <w:t xml:space="preserve">   </w:t>
      </w:r>
      <w:r>
        <w:rPr>
          <w:rFonts w:hint="eastAsia" w:ascii="宋体" w:hAnsi="宋体" w:eastAsia="宋体" w:cs="Times New Roman"/>
          <w:color w:val="auto"/>
          <w:kern w:val="2"/>
          <w:sz w:val="24"/>
          <w:highlight w:val="none"/>
          <w:lang w:val="zh-CN"/>
        </w:rPr>
        <w:t>日</w:t>
      </w:r>
    </w:p>
    <w:p w14:paraId="2C076DF3">
      <w:pPr>
        <w:snapToGrid w:val="0"/>
        <w:jc w:val="both"/>
        <w:rPr>
          <w:rFonts w:hint="eastAsia" w:ascii="宋体" w:hAnsi="宋体"/>
          <w:b/>
          <w:color w:val="auto"/>
          <w:sz w:val="28"/>
          <w:szCs w:val="28"/>
          <w:highlight w:val="none"/>
        </w:rPr>
      </w:pPr>
      <w:r>
        <w:rPr>
          <w:rFonts w:hint="eastAsia" w:ascii="宋体" w:hAnsi="宋体"/>
          <w:b/>
          <w:color w:val="auto"/>
          <w:sz w:val="28"/>
          <w:szCs w:val="28"/>
          <w:highlight w:val="none"/>
        </w:rPr>
        <w:br w:type="page"/>
      </w:r>
      <w:r>
        <w:rPr>
          <w:rFonts w:hint="eastAsia" w:ascii="宋体" w:hAnsi="宋体" w:cs="宋体"/>
          <w:b/>
          <w:color w:val="auto"/>
          <w:kern w:val="0"/>
          <w:sz w:val="32"/>
          <w:szCs w:val="32"/>
          <w:highlight w:val="none"/>
          <w:lang w:val="en-US" w:eastAsia="zh-CN"/>
        </w:rPr>
        <w:t>4.</w:t>
      </w:r>
      <w:r>
        <w:rPr>
          <w:rFonts w:hint="eastAsia" w:ascii="宋体" w:hAnsi="宋体"/>
          <w:b/>
          <w:color w:val="auto"/>
          <w:sz w:val="28"/>
          <w:szCs w:val="28"/>
          <w:highlight w:val="none"/>
        </w:rPr>
        <w:t>投标人直接管理关系信息表</w:t>
      </w:r>
      <w:r>
        <w:rPr>
          <w:rFonts w:hint="eastAsia" w:ascii="宋体" w:hAnsi="宋体" w:cs="宋体"/>
          <w:b/>
          <w:color w:val="auto"/>
          <w:sz w:val="28"/>
          <w:szCs w:val="28"/>
          <w:highlight w:val="none"/>
          <w:lang w:eastAsia="zh-CN"/>
        </w:rPr>
        <w:t>格式</w:t>
      </w:r>
      <w:r>
        <w:rPr>
          <w:rFonts w:hint="eastAsia"/>
          <w:color w:val="auto"/>
          <w:sz w:val="28"/>
          <w:szCs w:val="28"/>
          <w:highlight w:val="none"/>
          <w:lang w:eastAsia="zh-CN"/>
        </w:rPr>
        <w:t>：</w:t>
      </w:r>
    </w:p>
    <w:p w14:paraId="70C39C49">
      <w:pPr>
        <w:snapToGrid w:val="0"/>
        <w:spacing w:line="360" w:lineRule="auto"/>
        <w:jc w:val="center"/>
        <w:rPr>
          <w:rFonts w:hint="eastAsia" w:ascii="宋体" w:hAnsi="宋体"/>
          <w:b/>
          <w:color w:val="auto"/>
          <w:sz w:val="32"/>
          <w:szCs w:val="32"/>
          <w:highlight w:val="none"/>
        </w:rPr>
      </w:pPr>
    </w:p>
    <w:p w14:paraId="664DE6FD">
      <w:pPr>
        <w:snapToGrid w:val="0"/>
        <w:spacing w:line="360" w:lineRule="auto"/>
        <w:jc w:val="center"/>
        <w:rPr>
          <w:rFonts w:hint="eastAsia" w:ascii="宋体" w:hAnsi="宋体"/>
          <w:color w:val="auto"/>
          <w:sz w:val="32"/>
          <w:szCs w:val="32"/>
          <w:highlight w:val="none"/>
        </w:rPr>
      </w:pPr>
      <w:r>
        <w:rPr>
          <w:rFonts w:hint="eastAsia" w:ascii="宋体" w:hAnsi="宋体"/>
          <w:b/>
          <w:color w:val="auto"/>
          <w:sz w:val="28"/>
          <w:szCs w:val="28"/>
          <w:highlight w:val="none"/>
        </w:rPr>
        <w:t>投标人直接管理关系信息表</w:t>
      </w:r>
    </w:p>
    <w:tbl>
      <w:tblPr>
        <w:tblStyle w:val="20"/>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10AD3B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C75B586">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A431499">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AC24664">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85AE82C">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F4EED9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C62EB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B62C9B">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88DC6C">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87F12D">
            <w:pPr>
              <w:spacing w:line="360" w:lineRule="auto"/>
              <w:jc w:val="center"/>
              <w:rPr>
                <w:rFonts w:hint="eastAsia" w:ascii="宋体" w:hAnsi="宋体" w:cs="宋体"/>
                <w:color w:val="auto"/>
                <w:kern w:val="0"/>
                <w:sz w:val="24"/>
                <w:highlight w:val="none"/>
              </w:rPr>
            </w:pPr>
          </w:p>
        </w:tc>
      </w:tr>
      <w:tr w14:paraId="1A32927A">
        <w:tblPrEx>
          <w:shd w:val="clear" w:color="auto" w:fill="FBFBFB"/>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E672E6">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7F3573">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2D64D1">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1116B7">
            <w:pPr>
              <w:spacing w:line="360" w:lineRule="auto"/>
              <w:jc w:val="center"/>
              <w:rPr>
                <w:rFonts w:hint="eastAsia" w:ascii="宋体" w:hAnsi="宋体" w:cs="宋体"/>
                <w:color w:val="auto"/>
                <w:kern w:val="0"/>
                <w:sz w:val="24"/>
                <w:highlight w:val="none"/>
              </w:rPr>
            </w:pPr>
          </w:p>
        </w:tc>
      </w:tr>
      <w:tr w14:paraId="2B282AD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83FB40">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D3511C">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8CB4DB">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78A82A">
            <w:pPr>
              <w:spacing w:line="360" w:lineRule="auto"/>
              <w:jc w:val="center"/>
              <w:rPr>
                <w:rFonts w:hint="eastAsia" w:ascii="宋体" w:hAnsi="宋体" w:cs="宋体"/>
                <w:color w:val="auto"/>
                <w:kern w:val="0"/>
                <w:sz w:val="24"/>
                <w:highlight w:val="none"/>
              </w:rPr>
            </w:pPr>
          </w:p>
        </w:tc>
      </w:tr>
      <w:tr w14:paraId="64A3C2C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B4B826">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563818">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B9184C">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9E0C35">
            <w:pPr>
              <w:spacing w:line="360" w:lineRule="auto"/>
              <w:jc w:val="center"/>
              <w:rPr>
                <w:rFonts w:hint="eastAsia" w:ascii="宋体" w:hAnsi="宋体" w:cs="宋体"/>
                <w:color w:val="auto"/>
                <w:kern w:val="0"/>
                <w:sz w:val="24"/>
                <w:highlight w:val="none"/>
              </w:rPr>
            </w:pPr>
          </w:p>
        </w:tc>
      </w:tr>
    </w:tbl>
    <w:p w14:paraId="25C6AC89">
      <w:pPr>
        <w:snapToGrid w:val="0"/>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注：</w:t>
      </w:r>
    </w:p>
    <w:p w14:paraId="2B664D49">
      <w:pPr>
        <w:snapToGrid w:val="0"/>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771CCC8E">
      <w:pPr>
        <w:snapToGrid w:val="0"/>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pacing w:val="-6"/>
          <w:sz w:val="21"/>
          <w:szCs w:val="21"/>
          <w:highlight w:val="none"/>
        </w:rPr>
        <w:t>本表所指的管理关系仅限于直接管理关系，不包括间接的管理关系。</w:t>
      </w:r>
    </w:p>
    <w:p w14:paraId="76BEDA03">
      <w:pPr>
        <w:snapToGrid w:val="0"/>
        <w:spacing w:line="360"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不存在直接管理关系的，则填“无”。</w:t>
      </w:r>
    </w:p>
    <w:p w14:paraId="0F63C99F">
      <w:pPr>
        <w:snapToGrid w:val="0"/>
        <w:spacing w:line="360" w:lineRule="auto"/>
        <w:rPr>
          <w:rFonts w:hint="eastAsia" w:ascii="宋体" w:hAnsi="宋体" w:eastAsia="宋体" w:cs="宋体"/>
          <w:color w:val="auto"/>
          <w:kern w:val="0"/>
          <w:sz w:val="24"/>
          <w:highlight w:val="none"/>
        </w:rPr>
      </w:pPr>
    </w:p>
    <w:p w14:paraId="56934977">
      <w:pPr>
        <w:spacing w:line="360" w:lineRule="auto"/>
        <w:rPr>
          <w:rFonts w:hint="eastAsia" w:ascii="仿宋_GB2312" w:hAnsi="仿宋" w:eastAsia="仿宋_GB2312" w:cs="仿宋_GB2312"/>
          <w:b/>
          <w:bCs/>
          <w:color w:val="auto"/>
          <w:sz w:val="24"/>
          <w:highlight w:val="none"/>
        </w:rPr>
      </w:pPr>
    </w:p>
    <w:p w14:paraId="77D24F13">
      <w:pPr>
        <w:snapToGrid w:val="0"/>
        <w:spacing w:line="360" w:lineRule="auto"/>
        <w:rPr>
          <w:rFonts w:hint="eastAsia" w:ascii="仿宋_GB2312" w:hAnsi="仿宋" w:eastAsia="仿宋_GB2312" w:cs="仿宋_GB2312"/>
          <w:b/>
          <w:color w:val="auto"/>
          <w:kern w:val="0"/>
          <w:sz w:val="32"/>
          <w:szCs w:val="32"/>
          <w:highlight w:val="none"/>
          <w:lang w:val="zh-CN"/>
        </w:rPr>
      </w:pPr>
    </w:p>
    <w:p w14:paraId="10BF70D8">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6D548E26">
      <w:pP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14:paraId="5BE46279">
      <w:pPr>
        <w:snapToGrid w:val="0"/>
        <w:spacing w:line="360" w:lineRule="auto"/>
        <w:ind w:right="480"/>
        <w:jc w:val="center"/>
        <w:rPr>
          <w:rFonts w:hint="eastAsia" w:ascii="宋体" w:hAnsi="宋体" w:eastAsia="宋体" w:cs="Times New Roman"/>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4CC63268">
      <w:pPr>
        <w:pStyle w:val="9"/>
        <w:rPr>
          <w:rFonts w:hint="eastAsia"/>
          <w:color w:val="auto"/>
          <w:highlight w:val="none"/>
        </w:rPr>
      </w:pPr>
      <w:r>
        <w:rPr>
          <w:rFonts w:hint="eastAsia" w:ascii="宋体" w:hAnsi="宋体" w:cs="宋体"/>
          <w:b/>
          <w:color w:val="auto"/>
          <w:kern w:val="0"/>
          <w:sz w:val="32"/>
          <w:szCs w:val="32"/>
          <w:highlight w:val="none"/>
          <w:lang w:val="en-US" w:eastAsia="zh-CN"/>
        </w:rPr>
        <w:t>5.</w:t>
      </w:r>
      <w:r>
        <w:rPr>
          <w:rFonts w:hint="eastAsia" w:ascii="宋体" w:hAnsi="宋体" w:cs="宋体"/>
          <w:b/>
          <w:color w:val="auto"/>
          <w:sz w:val="28"/>
          <w:szCs w:val="28"/>
          <w:highlight w:val="none"/>
        </w:rPr>
        <w:t>声明函</w:t>
      </w:r>
      <w:r>
        <w:rPr>
          <w:rFonts w:hint="eastAsia" w:ascii="宋体" w:hAnsi="宋体" w:cs="宋体"/>
          <w:b/>
          <w:color w:val="auto"/>
          <w:sz w:val="28"/>
          <w:szCs w:val="28"/>
          <w:highlight w:val="none"/>
          <w:lang w:eastAsia="zh-CN"/>
        </w:rPr>
        <w:t>的格式</w:t>
      </w:r>
      <w:r>
        <w:rPr>
          <w:rFonts w:hint="eastAsia"/>
          <w:color w:val="auto"/>
          <w:sz w:val="28"/>
          <w:szCs w:val="28"/>
          <w:highlight w:val="none"/>
          <w:lang w:eastAsia="zh-CN"/>
        </w:rPr>
        <w:t>：</w:t>
      </w:r>
    </w:p>
    <w:p w14:paraId="22CF9BC7">
      <w:pPr>
        <w:snapToGrid w:val="0"/>
        <w:spacing w:before="50" w:after="165" w:afterLines="5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声明函</w:t>
      </w:r>
    </w:p>
    <w:p w14:paraId="115702F7">
      <w:pPr>
        <w:tabs>
          <w:tab w:val="left" w:pos="7200"/>
        </w:tabs>
        <w:spacing w:line="360"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致：</w:t>
      </w:r>
      <w:bookmarkStart w:id="363" w:name="PO_3000001866_PM031_5"/>
      <w:r>
        <w:rPr>
          <w:rFonts w:hint="eastAsia" w:ascii="宋体" w:hAnsi="宋体" w:eastAsia="宋体" w:cs="Times New Roman"/>
          <w:color w:val="auto"/>
          <w:szCs w:val="21"/>
          <w:highlight w:val="none"/>
          <w:u w:val="single"/>
          <w:lang w:eastAsia="zh-CN"/>
        </w:rPr>
        <w:t>广西科联招标中心有限公司</w:t>
      </w:r>
      <w:bookmarkEnd w:id="363"/>
      <w:r>
        <w:rPr>
          <w:rFonts w:hint="eastAsia" w:ascii="宋体" w:hAnsi="宋体" w:eastAsia="宋体" w:cs="Times New Roman"/>
          <w:color w:val="auto"/>
          <w:szCs w:val="21"/>
          <w:highlight w:val="none"/>
          <w:u w:val="single"/>
        </w:rPr>
        <w:t xml:space="preserve"> </w:t>
      </w:r>
    </w:p>
    <w:p w14:paraId="469EDDD3">
      <w:pPr>
        <w:pStyle w:val="13"/>
        <w:ind w:firstLine="420" w:firstLineChars="200"/>
        <w:rPr>
          <w:rFonts w:hint="eastAsia"/>
          <w:color w:val="auto"/>
          <w:sz w:val="21"/>
          <w:szCs w:val="21"/>
          <w:highlight w:val="none"/>
        </w:rPr>
      </w:pPr>
      <w:r>
        <w:rPr>
          <w:rFonts w:hint="eastAsia" w:ascii="宋体" w:hAnsi="宋体" w:eastAsia="宋体" w:cs="宋体"/>
          <w:i/>
          <w:iCs/>
          <w:color w:val="auto"/>
          <w:sz w:val="21"/>
          <w:szCs w:val="21"/>
          <w:highlight w:val="none"/>
          <w:u w:val="single"/>
        </w:rPr>
        <w:t>（</w:t>
      </w:r>
      <w:r>
        <w:rPr>
          <w:rFonts w:hint="eastAsia" w:ascii="宋体" w:hAnsi="宋体" w:cs="宋体"/>
          <w:i/>
          <w:iCs/>
          <w:color w:val="auto"/>
          <w:sz w:val="21"/>
          <w:szCs w:val="21"/>
          <w:highlight w:val="none"/>
          <w:u w:val="single"/>
          <w:lang w:val="en-US" w:eastAsia="zh-CN"/>
        </w:rPr>
        <w:t>投标人</w:t>
      </w:r>
      <w:r>
        <w:rPr>
          <w:rFonts w:hint="eastAsia" w:ascii="宋体" w:hAnsi="宋体" w:eastAsia="宋体" w:cs="宋体"/>
          <w:i/>
          <w:iCs/>
          <w:color w:val="auto"/>
          <w:sz w:val="21"/>
          <w:szCs w:val="21"/>
          <w:highlight w:val="none"/>
          <w:u w:val="single"/>
        </w:rPr>
        <w:t>名称）</w:t>
      </w:r>
      <w:r>
        <w:rPr>
          <w:rFonts w:hint="eastAsia" w:ascii="宋体" w:hAnsi="宋体" w:eastAsia="宋体" w:cs="宋体"/>
          <w:color w:val="auto"/>
          <w:sz w:val="21"/>
          <w:szCs w:val="21"/>
          <w:highlight w:val="none"/>
        </w:rPr>
        <w:t>系中华人民共和国合法供应商，经营地址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14A905C">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我方愿意参加贵方组织的</w:t>
      </w:r>
      <w:r>
        <w:rPr>
          <w:rFonts w:hint="eastAsia" w:ascii="宋体" w:hAnsi="宋体" w:cs="Times New Roman"/>
          <w:i/>
          <w:iCs/>
          <w:color w:val="auto"/>
          <w:szCs w:val="21"/>
          <w:highlight w:val="none"/>
          <w:u w:val="single"/>
          <w:lang w:eastAsia="zh-CN"/>
        </w:rPr>
        <w:t>（项目名称）</w:t>
      </w:r>
      <w:r>
        <w:rPr>
          <w:rFonts w:hint="eastAsia" w:ascii="宋体" w:hAnsi="宋体" w:cs="Times New Roman"/>
          <w:i/>
          <w:iCs/>
          <w:color w:val="auto"/>
          <w:szCs w:val="21"/>
          <w:highlight w:val="none"/>
          <w:u w:val="single"/>
          <w:lang w:val="en-US" w:eastAsia="zh-CN"/>
        </w:rPr>
        <w:t xml:space="preserve"> </w:t>
      </w:r>
      <w:r>
        <w:rPr>
          <w:rFonts w:hint="eastAsia" w:ascii="宋体" w:hAnsi="宋体" w:eastAsia="宋体" w:cs="Times New Roman"/>
          <w:color w:val="auto"/>
          <w:szCs w:val="21"/>
          <w:highlight w:val="none"/>
        </w:rPr>
        <w:t>（项目编号：</w:t>
      </w:r>
      <w:r>
        <w:rPr>
          <w:rFonts w:hint="eastAsia" w:ascii="宋体" w:hAnsi="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）项目的投标，为便于贵方公正、择优地确定中标人，我方就本次投标有关事项郑重声明如下：</w:t>
      </w:r>
    </w:p>
    <w:p w14:paraId="4DACB55E">
      <w:pPr>
        <w:pStyle w:val="13"/>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我方向贵方提交的所有</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文件、资料都是准确的和真实的</w:t>
      </w:r>
      <w:r>
        <w:rPr>
          <w:rFonts w:hint="eastAsia" w:ascii="宋体" w:hAnsi="宋体" w:cs="宋体"/>
          <w:color w:val="auto"/>
          <w:sz w:val="21"/>
          <w:szCs w:val="21"/>
          <w:highlight w:val="none"/>
          <w:lang w:eastAsia="zh-CN"/>
        </w:rPr>
        <w:t>。</w:t>
      </w:r>
    </w:p>
    <w:p w14:paraId="1ABAF527">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32E5885">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在此，我方宣布同意如下：</w:t>
      </w:r>
    </w:p>
    <w:p w14:paraId="3C3C8291">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（1）将按</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文件的约定履行合同责任和义务；</w:t>
      </w:r>
    </w:p>
    <w:p w14:paraId="4476C162">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（2）已详细审查</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全部</w:t>
      </w:r>
      <w:r>
        <w:rPr>
          <w:rFonts w:hint="eastAsia" w:ascii="宋体" w:hAnsi="宋体" w:cs="宋体"/>
          <w:color w:val="auto"/>
          <w:kern w:val="0"/>
          <w:sz w:val="21"/>
          <w:szCs w:val="21"/>
          <w:highlight w:val="none"/>
          <w:lang w:val="en-US" w:eastAsia="zh-CN"/>
        </w:rPr>
        <w:t>内容</w:t>
      </w:r>
      <w:r>
        <w:rPr>
          <w:rFonts w:hint="eastAsia" w:ascii="宋体" w:hAnsi="宋体" w:eastAsia="宋体" w:cs="宋体"/>
          <w:color w:val="auto"/>
          <w:sz w:val="21"/>
          <w:szCs w:val="21"/>
          <w:highlight w:val="none"/>
        </w:rPr>
        <w:t>，包括澄清或者更正公告（如有）；</w:t>
      </w:r>
    </w:p>
    <w:p w14:paraId="2282F20C">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（3）同意提供按照贵方可能要求的与</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有关的一切数据或者资料。</w:t>
      </w:r>
    </w:p>
    <w:p w14:paraId="0579C813">
      <w:pPr>
        <w:pStyle w:val="13"/>
        <w:rPr>
          <w:rFonts w:hint="eastAsia"/>
          <w:color w:val="auto"/>
          <w:highlight w:val="none"/>
        </w:rPr>
      </w:pPr>
    </w:p>
    <w:p w14:paraId="7D83D3C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4.</w:t>
      </w:r>
      <w:r>
        <w:rPr>
          <w:rFonts w:hint="eastAsia" w:ascii="宋体" w:hAnsi="宋体" w:eastAsia="宋体" w:cs="Times New Roman"/>
          <w:b w:val="0"/>
          <w:bCs w:val="0"/>
          <w:color w:val="auto"/>
          <w:kern w:val="2"/>
          <w:sz w:val="21"/>
          <w:szCs w:val="21"/>
          <w:highlight w:val="none"/>
          <w:lang w:val="en-US" w:eastAsia="zh-CN" w:bidi="ar-SA"/>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未被列入失信被执行人、</w:t>
      </w:r>
      <w:r>
        <w:rPr>
          <w:rFonts w:hint="eastAsia" w:ascii="宋体" w:hAnsi="宋体" w:cs="Times New Roman"/>
          <w:color w:val="auto"/>
          <w:szCs w:val="21"/>
          <w:highlight w:val="none"/>
          <w:lang w:eastAsia="zh-CN"/>
        </w:rPr>
        <w:t>重大税收违法失信主体</w:t>
      </w:r>
      <w:r>
        <w:rPr>
          <w:rFonts w:hint="eastAsia" w:ascii="宋体" w:hAnsi="宋体" w:eastAsia="宋体" w:cs="Times New Roman"/>
          <w:color w:val="auto"/>
          <w:szCs w:val="21"/>
          <w:highlight w:val="none"/>
        </w:rPr>
        <w:t>、政府采购严重违法失信行为记录名单。</w:t>
      </w:r>
    </w:p>
    <w:p w14:paraId="60DAAD88">
      <w:pPr>
        <w:spacing w:line="360" w:lineRule="exact"/>
        <w:ind w:firstLine="420" w:firstLineChars="200"/>
        <w:contextualSpacing/>
        <w:rPr>
          <w:rFonts w:hint="eastAsia" w:ascii="宋体" w:hAnsi="宋体" w:eastAsia="宋体" w:cs="宋体"/>
          <w:i/>
          <w:iCs/>
          <w:color w:val="auto"/>
          <w:sz w:val="21"/>
          <w:szCs w:val="21"/>
          <w:highlight w:val="none"/>
        </w:rPr>
      </w:pPr>
      <w:r>
        <w:rPr>
          <w:rFonts w:hint="eastAsia" w:ascii="宋体" w:hAnsi="宋体" w:cs="Times New Roman"/>
          <w:color w:val="auto"/>
          <w:szCs w:val="21"/>
          <w:highlight w:val="none"/>
          <w:lang w:val="en-US" w:eastAsia="zh-CN"/>
        </w:rPr>
        <w:t>5.</w:t>
      </w:r>
      <w:r>
        <w:rPr>
          <w:rFonts w:hint="eastAsia" w:ascii="宋体" w:hAnsi="宋体" w:eastAsia="宋体" w:cs="宋体"/>
          <w:color w:val="auto"/>
          <w:sz w:val="21"/>
          <w:szCs w:val="21"/>
          <w:highlight w:val="none"/>
        </w:rPr>
        <w:t>根据《中华人民共和国政府采购法实施条例》第五十条要求对政府采购合同进行公告，但政府采购合同中涉及国家秘密、商业秘密的内容除外。我方就对本次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文件进行注明如下：</w:t>
      </w:r>
      <w:r>
        <w:rPr>
          <w:rFonts w:hint="eastAsia" w:ascii="宋体" w:hAnsi="宋体" w:eastAsia="宋体" w:cs="宋体"/>
          <w:i/>
          <w:iCs/>
          <w:color w:val="auto"/>
          <w:sz w:val="21"/>
          <w:szCs w:val="21"/>
          <w:highlight w:val="none"/>
        </w:rPr>
        <w:t>（两项内容中必须选择一项）</w:t>
      </w:r>
    </w:p>
    <w:p w14:paraId="1BB8C9E7">
      <w:pPr>
        <w:spacing w:line="360" w:lineRule="exact"/>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□我方本次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kern w:val="0"/>
          <w:sz w:val="21"/>
          <w:szCs w:val="21"/>
          <w:highlight w:val="none"/>
        </w:rPr>
        <w:t>内容中</w:t>
      </w:r>
      <w:r>
        <w:rPr>
          <w:rFonts w:hint="eastAsia" w:ascii="宋体" w:hAnsi="宋体" w:eastAsia="宋体" w:cs="宋体"/>
          <w:color w:val="auto"/>
          <w:sz w:val="21"/>
          <w:szCs w:val="21"/>
          <w:highlight w:val="none"/>
        </w:rPr>
        <w:t>未</w:t>
      </w:r>
      <w:r>
        <w:rPr>
          <w:rFonts w:hint="eastAsia" w:ascii="宋体" w:hAnsi="宋体" w:eastAsia="宋体" w:cs="宋体"/>
          <w:color w:val="auto"/>
          <w:kern w:val="0"/>
          <w:sz w:val="21"/>
          <w:szCs w:val="21"/>
          <w:highlight w:val="none"/>
        </w:rPr>
        <w:t>涉及商业秘密</w:t>
      </w:r>
      <w:r>
        <w:rPr>
          <w:rFonts w:hint="eastAsia" w:ascii="宋体" w:hAnsi="宋体" w:cs="宋体"/>
          <w:color w:val="auto"/>
          <w:kern w:val="0"/>
          <w:sz w:val="21"/>
          <w:szCs w:val="21"/>
          <w:highlight w:val="none"/>
          <w:lang w:eastAsia="zh-CN"/>
        </w:rPr>
        <w:t>。</w:t>
      </w:r>
    </w:p>
    <w:p w14:paraId="2E8630A2">
      <w:pPr>
        <w:spacing w:line="360" w:lineRule="exact"/>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□我方本次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kern w:val="0"/>
          <w:sz w:val="21"/>
          <w:szCs w:val="21"/>
          <w:highlight w:val="none"/>
        </w:rPr>
        <w:t>涉及商业秘密的内容有：</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lang w:eastAsia="zh-CN"/>
        </w:rPr>
        <w:t>。</w:t>
      </w:r>
    </w:p>
    <w:p w14:paraId="247C44C4">
      <w:pPr>
        <w:pStyle w:val="13"/>
        <w:rPr>
          <w:rFonts w:hint="default" w:eastAsia="宋体"/>
          <w:color w:val="auto"/>
          <w:highlight w:val="none"/>
          <w:lang w:val="en-US" w:eastAsia="zh-CN"/>
        </w:rPr>
      </w:pPr>
    </w:p>
    <w:p w14:paraId="0DD52A8A">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以上事项如有虚假或</w:t>
      </w:r>
      <w:r>
        <w:rPr>
          <w:rFonts w:hint="eastAsia" w:ascii="宋体" w:hAnsi="宋体" w:cs="Times New Roman"/>
          <w:color w:val="auto"/>
          <w:szCs w:val="21"/>
          <w:highlight w:val="none"/>
          <w:lang w:val="en-US" w:eastAsia="zh-CN"/>
        </w:rPr>
        <w:t>者</w:t>
      </w:r>
      <w:r>
        <w:rPr>
          <w:rFonts w:hint="eastAsia" w:ascii="宋体" w:hAnsi="宋体" w:eastAsia="宋体" w:cs="Times New Roman"/>
          <w:color w:val="auto"/>
          <w:szCs w:val="21"/>
          <w:highlight w:val="none"/>
        </w:rPr>
        <w:t>隐瞒，我方愿意承担一切后果，并不再寻求任何旨在减轻或</w:t>
      </w:r>
      <w:r>
        <w:rPr>
          <w:rFonts w:hint="eastAsia" w:ascii="宋体" w:hAnsi="宋体" w:cs="Times New Roman"/>
          <w:color w:val="auto"/>
          <w:szCs w:val="21"/>
          <w:highlight w:val="none"/>
          <w:lang w:val="en-US" w:eastAsia="zh-CN"/>
        </w:rPr>
        <w:t>者</w:t>
      </w:r>
      <w:r>
        <w:rPr>
          <w:rFonts w:hint="eastAsia" w:ascii="宋体" w:hAnsi="宋体" w:eastAsia="宋体" w:cs="Times New Roman"/>
          <w:color w:val="auto"/>
          <w:szCs w:val="21"/>
          <w:highlight w:val="none"/>
        </w:rPr>
        <w:t xml:space="preserve">免除法律责任的辩解。 </w:t>
      </w:r>
    </w:p>
    <w:p w14:paraId="7FD4D2D2">
      <w:pPr>
        <w:tabs>
          <w:tab w:val="left" w:pos="939"/>
        </w:tabs>
        <w:spacing w:line="360" w:lineRule="exact"/>
        <w:ind w:left="141" w:leftChars="67" w:firstLine="315" w:firstLineChars="15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58CA0393">
      <w:pPr>
        <w:snapToGrid w:val="0"/>
        <w:spacing w:before="50" w:after="165" w:afterLines="50"/>
        <w:ind w:firstLine="181" w:firstLineChars="100"/>
        <w:jc w:val="left"/>
        <w:rPr>
          <w:rFonts w:hint="eastAsia" w:ascii="宋体" w:hAnsi="宋体" w:eastAsia="宋体" w:cs="Times New Roman"/>
          <w:color w:val="auto"/>
          <w:sz w:val="18"/>
          <w:szCs w:val="18"/>
          <w:highlight w:val="none"/>
        </w:rPr>
      </w:pPr>
      <w:r>
        <w:rPr>
          <w:rFonts w:hint="eastAsia" w:ascii="宋体" w:hAnsi="宋体" w:cs="Times New Roman"/>
          <w:b/>
          <w:color w:val="auto"/>
          <w:sz w:val="18"/>
          <w:szCs w:val="18"/>
          <w:highlight w:val="none"/>
          <w:lang w:val="en-US" w:eastAsia="zh-CN"/>
        </w:rPr>
        <w:t xml:space="preserve">  注： </w:t>
      </w:r>
      <w:r>
        <w:rPr>
          <w:rFonts w:hint="eastAsia" w:ascii="宋体" w:hAnsi="宋体" w:eastAsia="宋体" w:cs="Times New Roman"/>
          <w:b/>
          <w:color w:val="auto"/>
          <w:sz w:val="18"/>
          <w:szCs w:val="18"/>
          <w:highlight w:val="none"/>
        </w:rPr>
        <w:t>如为联合体投标，盖章处须加盖联合体各方公章，否则</w:t>
      </w:r>
      <w:r>
        <w:rPr>
          <w:rFonts w:hint="eastAsia" w:ascii="宋体" w:hAnsi="宋体" w:eastAsia="宋体" w:cs="宋体"/>
          <w:b/>
          <w:bCs/>
          <w:color w:val="auto"/>
          <w:sz w:val="18"/>
          <w:szCs w:val="18"/>
          <w:highlight w:val="none"/>
        </w:rPr>
        <w:t>其</w:t>
      </w:r>
      <w:r>
        <w:rPr>
          <w:rFonts w:hint="eastAsia" w:ascii="宋体" w:hAnsi="宋体" w:cs="宋体"/>
          <w:b/>
          <w:bCs/>
          <w:color w:val="auto"/>
          <w:sz w:val="18"/>
          <w:szCs w:val="18"/>
          <w:highlight w:val="none"/>
          <w:lang w:val="en-US" w:eastAsia="zh-CN"/>
        </w:rPr>
        <w:t>投标</w:t>
      </w:r>
      <w:r>
        <w:rPr>
          <w:rFonts w:hint="eastAsia" w:ascii="宋体" w:hAnsi="宋体" w:eastAsia="宋体" w:cs="宋体"/>
          <w:b/>
          <w:bCs/>
          <w:color w:val="auto"/>
          <w:sz w:val="18"/>
          <w:szCs w:val="18"/>
          <w:highlight w:val="none"/>
        </w:rPr>
        <w:t>文件</w:t>
      </w:r>
      <w:r>
        <w:rPr>
          <w:rFonts w:hint="eastAsia" w:ascii="宋体" w:hAnsi="宋体" w:eastAsia="宋体" w:cs="宋体"/>
          <w:b/>
          <w:bCs/>
          <w:color w:val="auto"/>
          <w:sz w:val="18"/>
          <w:szCs w:val="18"/>
          <w:highlight w:val="none"/>
          <w:lang w:eastAsia="zh-CN"/>
        </w:rPr>
        <w:t>作无效</w:t>
      </w:r>
      <w:r>
        <w:rPr>
          <w:rFonts w:hint="eastAsia" w:ascii="宋体" w:hAnsi="宋体" w:eastAsia="宋体" w:cs="宋体"/>
          <w:b/>
          <w:bCs/>
          <w:color w:val="auto"/>
          <w:sz w:val="18"/>
          <w:szCs w:val="18"/>
          <w:highlight w:val="none"/>
        </w:rPr>
        <w:t>响应处理</w:t>
      </w:r>
      <w:r>
        <w:rPr>
          <w:rFonts w:hint="eastAsia" w:ascii="宋体" w:hAnsi="宋体" w:eastAsia="宋体" w:cs="Times New Roman"/>
          <w:b/>
          <w:color w:val="auto"/>
          <w:sz w:val="18"/>
          <w:szCs w:val="18"/>
          <w:highlight w:val="none"/>
        </w:rPr>
        <w:t>。</w:t>
      </w:r>
    </w:p>
    <w:p w14:paraId="3FF458F6">
      <w:pPr>
        <w:snapToGrid w:val="0"/>
        <w:spacing w:before="50" w:after="331" w:afterLines="100" w:line="360" w:lineRule="auto"/>
        <w:jc w:val="left"/>
        <w:rPr>
          <w:rFonts w:hint="eastAsia" w:ascii="宋体" w:hAnsi="宋体" w:eastAsia="宋体" w:cs="宋体"/>
          <w:color w:val="auto"/>
          <w:sz w:val="24"/>
          <w:highlight w:val="none"/>
        </w:rPr>
      </w:pPr>
      <w:r>
        <w:rPr>
          <w:rFonts w:hint="eastAsia" w:ascii="宋体" w:hAnsi="宋体" w:eastAsia="宋体" w:cs="Times New Roman"/>
          <w:color w:val="auto"/>
          <w:sz w:val="24"/>
          <w:highlight w:val="none"/>
        </w:rPr>
        <w:t xml:space="preserve">                                     </w:t>
      </w:r>
    </w:p>
    <w:p w14:paraId="4171F213">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highlight w:val="none"/>
          <w:lang w:val="zh-CN"/>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投标人名称(盖公章)：</w:t>
      </w:r>
      <w:r>
        <w:rPr>
          <w:rFonts w:hint="eastAsia" w:ascii="宋体" w:hAnsi="宋体" w:eastAsia="宋体" w:cs="Times New Roman"/>
          <w:color w:val="auto"/>
          <w:szCs w:val="21"/>
          <w:highlight w:val="none"/>
        </w:rPr>
        <w:t xml:space="preserve">                                     年    月    日</w:t>
      </w:r>
    </w:p>
    <w:p w14:paraId="15010198">
      <w:pP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14:paraId="0F4B9CB2">
      <w:pPr>
        <w:pStyle w:val="7"/>
        <w:ind w:left="0"/>
        <w:jc w:val="left"/>
        <w:rPr>
          <w:rFonts w:hint="eastAsia"/>
          <w:color w:val="auto"/>
          <w:highlight w:val="none"/>
        </w:rPr>
      </w:pPr>
      <w:r>
        <w:rPr>
          <w:rFonts w:hint="eastAsia" w:hAnsi="宋体" w:cs="宋体"/>
          <w:b/>
          <w:bCs/>
          <w:color w:val="auto"/>
          <w:sz w:val="28"/>
          <w:szCs w:val="28"/>
          <w:highlight w:val="none"/>
          <w:lang w:val="en-US" w:eastAsia="zh-CN"/>
        </w:rPr>
        <w:t>6.联合体投标协议书的格式：</w:t>
      </w:r>
    </w:p>
    <w:p w14:paraId="6B6C4B97">
      <w:pPr>
        <w:pStyle w:val="12"/>
        <w:spacing w:line="600" w:lineRule="exact"/>
        <w:jc w:val="center"/>
        <w:rPr>
          <w:rFonts w:hint="eastAsia" w:ascii="宋体" w:hAnsi="宋体" w:cs="宋体"/>
          <w:b/>
          <w:bCs/>
          <w:color w:val="auto"/>
          <w:sz w:val="28"/>
          <w:szCs w:val="28"/>
          <w:highlight w:val="none"/>
        </w:rPr>
      </w:pPr>
    </w:p>
    <w:p w14:paraId="23A11146">
      <w:pPr>
        <w:pStyle w:val="12"/>
        <w:spacing w:line="600" w:lineRule="exact"/>
        <w:jc w:val="center"/>
        <w:rPr>
          <w:rFonts w:hint="eastAsia" w:ascii="宋体" w:hAnsi="宋体" w:cs="宋体"/>
          <w:color w:val="auto"/>
          <w:sz w:val="28"/>
          <w:szCs w:val="28"/>
          <w:highlight w:val="none"/>
        </w:rPr>
      </w:pPr>
      <w:r>
        <w:rPr>
          <w:rFonts w:hint="eastAsia" w:ascii="宋体" w:hAnsi="宋体" w:cs="宋体"/>
          <w:b/>
          <w:bCs/>
          <w:color w:val="auto"/>
          <w:sz w:val="28"/>
          <w:szCs w:val="28"/>
          <w:highlight w:val="none"/>
        </w:rPr>
        <w:t>联合体</w:t>
      </w:r>
      <w:r>
        <w:rPr>
          <w:rFonts w:hint="eastAsia" w:ascii="宋体" w:hAnsi="宋体" w:cs="宋体"/>
          <w:b/>
          <w:bCs/>
          <w:color w:val="auto"/>
          <w:sz w:val="28"/>
          <w:szCs w:val="28"/>
          <w:highlight w:val="none"/>
          <w:lang w:eastAsia="zh-CN"/>
        </w:rPr>
        <w:t>投标</w:t>
      </w:r>
      <w:r>
        <w:rPr>
          <w:rFonts w:hint="eastAsia" w:ascii="宋体" w:hAnsi="宋体" w:cs="宋体"/>
          <w:b/>
          <w:bCs/>
          <w:color w:val="auto"/>
          <w:sz w:val="28"/>
          <w:szCs w:val="28"/>
          <w:highlight w:val="none"/>
        </w:rPr>
        <w:t>协议书</w:t>
      </w:r>
    </w:p>
    <w:p w14:paraId="15EF8DC7">
      <w:pPr>
        <w:autoSpaceDE w:val="0"/>
        <w:autoSpaceDN w:val="0"/>
        <w:adjustRightInd w:val="0"/>
        <w:spacing w:line="360" w:lineRule="auto"/>
        <w:jc w:val="left"/>
        <w:rPr>
          <w:rFonts w:hint="eastAsia" w:ascii="宋体" w:hAnsi="宋体" w:cs="宋体"/>
          <w:color w:val="auto"/>
          <w:kern w:val="0"/>
          <w:szCs w:val="21"/>
          <w:highlight w:val="none"/>
          <w:u w:val="single"/>
        </w:rPr>
      </w:pPr>
    </w:p>
    <w:p w14:paraId="369CFF5F">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w:t>
      </w:r>
      <w:bookmarkStart w:id="364" w:name="PO_3000001919_PM031_1"/>
      <w:r>
        <w:rPr>
          <w:rFonts w:hint="eastAsia" w:ascii="宋体" w:hAnsi="宋体" w:cs="宋体"/>
          <w:color w:val="auto"/>
          <w:kern w:val="0"/>
          <w:szCs w:val="21"/>
          <w:highlight w:val="none"/>
          <w:u w:val="single"/>
          <w:lang w:eastAsia="zh-CN"/>
        </w:rPr>
        <w:t>广西科联招标中心有限公司</w:t>
      </w:r>
      <w:bookmarkEnd w:id="364"/>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i/>
          <w:iCs/>
          <w:color w:val="auto"/>
          <w:kern w:val="0"/>
          <w:szCs w:val="21"/>
          <w:highlight w:val="none"/>
          <w:u w:val="single"/>
          <w:lang w:eastAsia="zh-CN"/>
        </w:rPr>
        <w:t>（项目名称）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14:paraId="05377594">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（某成员单位名称）为联合体名称牵头人。</w:t>
      </w:r>
    </w:p>
    <w:p w14:paraId="0342F9EB">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w:t>
      </w:r>
      <w:r>
        <w:rPr>
          <w:rFonts w:hint="eastAsia" w:ascii="宋体" w:hAnsi="宋体" w:cs="宋体"/>
          <w:color w:val="auto"/>
          <w:kern w:val="0"/>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7115F7ED">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3.</w:t>
      </w:r>
      <w:r>
        <w:rPr>
          <w:rFonts w:hint="eastAsia" w:ascii="宋体" w:hAnsi="宋体" w:cs="宋体"/>
          <w:color w:val="auto"/>
          <w:kern w:val="0"/>
          <w:szCs w:val="21"/>
          <w:highlight w:val="none"/>
        </w:rPr>
        <w:t>联合体牵头人在本项目中签署和盖章的一切文件和处理的一切事宜，联合体各成员均予以承认。 联合体各成员将严格按照招标文件、投标文件和合同的要求全面履行义务，并向</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人承担连带责任。</w:t>
      </w:r>
    </w:p>
    <w:p w14:paraId="6114152F">
      <w:pPr>
        <w:autoSpaceDE w:val="0"/>
        <w:autoSpaceDN w:val="0"/>
        <w:adjustRightInd w:val="0"/>
        <w:spacing w:line="360" w:lineRule="auto"/>
        <w:ind w:firstLine="42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lang w:eastAsia="zh-CN"/>
        </w:rPr>
        <w:t>4.</w:t>
      </w:r>
      <w:r>
        <w:rPr>
          <w:rFonts w:hint="eastAsia" w:ascii="宋体" w:hAnsi="宋体" w:cs="宋体"/>
          <w:color w:val="auto"/>
          <w:kern w:val="0"/>
          <w:szCs w:val="21"/>
          <w:highlight w:val="none"/>
        </w:rPr>
        <w:t>联合体各成员单位内部的职责分工如下</w:t>
      </w:r>
      <w:r>
        <w:rPr>
          <w:rFonts w:hint="eastAsia" w:ascii="宋体" w:hAnsi="宋体" w:cs="宋体"/>
          <w:color w:val="auto"/>
          <w:kern w:val="0"/>
          <w:szCs w:val="21"/>
          <w:highlight w:val="none"/>
          <w:u w:val="single"/>
        </w:rPr>
        <w:t>：                             。</w:t>
      </w:r>
    </w:p>
    <w:p w14:paraId="580421B3">
      <w:pPr>
        <w:pStyle w:val="12"/>
        <w:spacing w:line="360" w:lineRule="auto"/>
        <w:ind w:firstLine="420" w:firstLineChars="200"/>
        <w:rPr>
          <w:rFonts w:hint="eastAsia" w:ascii="宋体" w:hAnsi="宋体" w:cs="宋体"/>
          <w:color w:val="auto"/>
          <w:szCs w:val="21"/>
          <w:highlight w:val="none"/>
        </w:rPr>
      </w:pPr>
      <w:r>
        <w:rPr>
          <w:rFonts w:hint="eastAsia" w:hAnsi="宋体" w:cs="宋体"/>
          <w:color w:val="auto"/>
          <w:kern w:val="0"/>
          <w:highlight w:val="none"/>
          <w:lang w:eastAsia="zh-CN"/>
        </w:rPr>
        <w:t>5.</w:t>
      </w:r>
      <w:r>
        <w:rPr>
          <w:rFonts w:hint="eastAsia" w:hAnsi="宋体" w:cs="宋体"/>
          <w:color w:val="auto"/>
          <w:kern w:val="0"/>
          <w:highlight w:val="none"/>
        </w:rPr>
        <w:t>本联合体中</w:t>
      </w:r>
      <w:r>
        <w:rPr>
          <w:rFonts w:hint="eastAsia" w:hAnsi="宋体" w:cs="宋体"/>
          <w:color w:val="auto"/>
          <w:kern w:val="0"/>
          <w:highlight w:val="none"/>
          <w:u w:val="single"/>
        </w:rPr>
        <w:t>，</w:t>
      </w:r>
      <w:r>
        <w:rPr>
          <w:rFonts w:hint="eastAsia" w:ascii="宋体" w:hAnsi="宋体" w:cs="宋体"/>
          <w:color w:val="auto"/>
          <w:kern w:val="0"/>
          <w:szCs w:val="21"/>
          <w:highlight w:val="none"/>
          <w:u w:val="single"/>
        </w:rPr>
        <w:t xml:space="preserve">                          </w:t>
      </w:r>
      <w:r>
        <w:rPr>
          <w:rFonts w:hint="eastAsia" w:hAnsi="宋体" w:cs="宋体"/>
          <w:color w:val="auto"/>
          <w:kern w:val="0"/>
          <w:highlight w:val="none"/>
          <w:u w:val="single"/>
        </w:rPr>
        <w:t>（某成员单位名称）为</w:t>
      </w:r>
      <w:r>
        <w:rPr>
          <w:rFonts w:hint="eastAsia" w:ascii="宋体" w:hAnsi="宋体" w:cs="宋体"/>
          <w:color w:val="auto"/>
          <w:kern w:val="0"/>
          <w:szCs w:val="21"/>
          <w:highlight w:val="none"/>
          <w:u w:val="single"/>
        </w:rPr>
        <w:t xml:space="preserve">      </w:t>
      </w:r>
      <w:r>
        <w:rPr>
          <w:rFonts w:hint="eastAsia" w:hAnsi="宋体" w:cs="宋体"/>
          <w:color w:val="auto"/>
          <w:highlight w:val="none"/>
        </w:rPr>
        <w:t>（请填写：中型、小型、微型）企业，其协议合同金额占联合体协议合同总金额的</w:t>
      </w:r>
      <w:r>
        <w:rPr>
          <w:rFonts w:hint="eastAsia" w:ascii="宋体" w:hAnsi="宋体" w:cs="宋体"/>
          <w:color w:val="auto"/>
          <w:kern w:val="0"/>
          <w:szCs w:val="21"/>
          <w:highlight w:val="none"/>
          <w:u w:val="single"/>
        </w:rPr>
        <w:t xml:space="preserve">      </w:t>
      </w:r>
      <w:r>
        <w:rPr>
          <w:rFonts w:hint="eastAsia" w:hAnsi="宋体" w:cs="宋体"/>
          <w:color w:val="auto"/>
          <w:highlight w:val="none"/>
        </w:rPr>
        <w:t>%。【如联合体成员中有小型、微型企业的，请填写此条，否则无需填写；如联合体成员中有多个小型、微型企业的，请逐一列出】</w:t>
      </w:r>
    </w:p>
    <w:p w14:paraId="3F2798EB">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6.</w:t>
      </w:r>
      <w:r>
        <w:rPr>
          <w:rFonts w:hint="eastAsia" w:ascii="宋体" w:hAnsi="宋体" w:cs="宋体"/>
          <w:color w:val="auto"/>
          <w:kern w:val="0"/>
          <w:szCs w:val="21"/>
          <w:highlight w:val="none"/>
        </w:rPr>
        <w:t>本协议书自签署之日起生效，合同履行完毕后自动失效。</w:t>
      </w:r>
    </w:p>
    <w:p w14:paraId="66625CD6">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7.</w:t>
      </w:r>
      <w:r>
        <w:rPr>
          <w:rFonts w:hint="eastAsia" w:ascii="宋体" w:hAnsi="宋体" w:cs="宋体"/>
          <w:color w:val="auto"/>
          <w:kern w:val="0"/>
          <w:szCs w:val="21"/>
          <w:highlight w:val="none"/>
        </w:rPr>
        <w:t>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65CA3C01">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048D458D">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盖</w:t>
      </w:r>
      <w:r>
        <w:rPr>
          <w:rFonts w:hint="eastAsia" w:ascii="宋体" w:hAnsi="宋体" w:cs="宋体"/>
          <w:color w:val="auto"/>
          <w:kern w:val="0"/>
          <w:szCs w:val="21"/>
          <w:highlight w:val="none"/>
        </w:rPr>
        <w:t>公章）</w:t>
      </w:r>
    </w:p>
    <w:p w14:paraId="358ACF80">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w:t>
      </w:r>
      <w:r>
        <w:rPr>
          <w:rFonts w:hint="eastAsia" w:ascii="宋体" w:hAnsi="宋体" w:cs="宋体"/>
          <w:color w:val="auto"/>
          <w:kern w:val="0"/>
          <w:szCs w:val="21"/>
          <w:highlight w:val="none"/>
          <w:lang w:eastAsia="zh-CN"/>
        </w:rPr>
        <w:t>字</w:t>
      </w:r>
      <w:r>
        <w:rPr>
          <w:rFonts w:hint="eastAsia" w:ascii="宋体" w:hAnsi="宋体" w:cs="宋体"/>
          <w:color w:val="auto"/>
          <w:kern w:val="0"/>
          <w:szCs w:val="21"/>
          <w:highlight w:val="none"/>
        </w:rPr>
        <w:t>）</w:t>
      </w:r>
    </w:p>
    <w:p w14:paraId="4F11E931">
      <w:pPr>
        <w:autoSpaceDE w:val="0"/>
        <w:autoSpaceDN w:val="0"/>
        <w:adjustRightInd w:val="0"/>
        <w:spacing w:line="360" w:lineRule="auto"/>
        <w:jc w:val="left"/>
        <w:rPr>
          <w:rFonts w:hint="eastAsia" w:ascii="宋体" w:hAnsi="宋体" w:cs="宋体"/>
          <w:color w:val="auto"/>
          <w:kern w:val="0"/>
          <w:szCs w:val="21"/>
          <w:highlight w:val="none"/>
        </w:rPr>
      </w:pPr>
    </w:p>
    <w:p w14:paraId="0C171FAF">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盖</w:t>
      </w:r>
      <w:r>
        <w:rPr>
          <w:rFonts w:hint="eastAsia" w:ascii="宋体" w:hAnsi="宋体" w:cs="宋体"/>
          <w:color w:val="auto"/>
          <w:kern w:val="0"/>
          <w:szCs w:val="21"/>
          <w:highlight w:val="none"/>
        </w:rPr>
        <w:t>公章）</w:t>
      </w:r>
    </w:p>
    <w:p w14:paraId="3C702140">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w:t>
      </w:r>
      <w:r>
        <w:rPr>
          <w:rFonts w:hint="eastAsia" w:ascii="宋体" w:hAnsi="宋体" w:cs="宋体"/>
          <w:color w:val="auto"/>
          <w:kern w:val="0"/>
          <w:szCs w:val="21"/>
          <w:highlight w:val="none"/>
          <w:lang w:eastAsia="zh-CN"/>
        </w:rPr>
        <w:t>字</w:t>
      </w:r>
      <w:r>
        <w:rPr>
          <w:rFonts w:hint="eastAsia" w:ascii="宋体" w:hAnsi="宋体" w:cs="宋体"/>
          <w:color w:val="auto"/>
          <w:kern w:val="0"/>
          <w:szCs w:val="21"/>
          <w:highlight w:val="none"/>
        </w:rPr>
        <w:t>）</w:t>
      </w:r>
    </w:p>
    <w:p w14:paraId="509CB360">
      <w:pPr>
        <w:autoSpaceDE w:val="0"/>
        <w:autoSpaceDN w:val="0"/>
        <w:adjustRightInd w:val="0"/>
        <w:spacing w:line="360" w:lineRule="auto"/>
        <w:jc w:val="left"/>
        <w:rPr>
          <w:rFonts w:hint="eastAsia" w:ascii="宋体" w:hAnsi="宋体" w:cs="宋体"/>
          <w:color w:val="auto"/>
          <w:kern w:val="0"/>
          <w:szCs w:val="21"/>
          <w:highlight w:val="none"/>
        </w:rPr>
      </w:pPr>
    </w:p>
    <w:p w14:paraId="6B6E97BE">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盖</w:t>
      </w:r>
      <w:r>
        <w:rPr>
          <w:rFonts w:hint="eastAsia" w:ascii="宋体" w:hAnsi="宋体" w:cs="宋体"/>
          <w:color w:val="auto"/>
          <w:kern w:val="0"/>
          <w:szCs w:val="21"/>
          <w:highlight w:val="none"/>
        </w:rPr>
        <w:t>公章）</w:t>
      </w:r>
    </w:p>
    <w:p w14:paraId="7D60EB40">
      <w:pPr>
        <w:pStyle w:val="12"/>
        <w:spacing w:line="360" w:lineRule="auto"/>
        <w:jc w:val="both"/>
        <w:rPr>
          <w:rFonts w:hint="eastAsia" w:hAnsi="宋体" w:cs="宋体"/>
          <w:color w:val="auto"/>
          <w:kern w:val="0"/>
          <w:szCs w:val="21"/>
          <w:highlight w:val="none"/>
        </w:rPr>
      </w:pPr>
      <w:r>
        <w:rPr>
          <w:rFonts w:hint="eastAsia" w:hAnsi="宋体" w:cs="宋体"/>
          <w:color w:val="auto"/>
          <w:kern w:val="0"/>
          <w:szCs w:val="21"/>
          <w:highlight w:val="none"/>
        </w:rPr>
        <w:t>法定代表人或其委托代理人：</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w:t>
      </w:r>
      <w:r>
        <w:rPr>
          <w:rFonts w:hint="eastAsia" w:ascii="宋体" w:hAnsi="宋体" w:cs="宋体"/>
          <w:color w:val="auto"/>
          <w:kern w:val="0"/>
          <w:szCs w:val="21"/>
          <w:highlight w:val="none"/>
        </w:rPr>
        <w:t>签</w:t>
      </w:r>
      <w:r>
        <w:rPr>
          <w:rFonts w:hint="eastAsia" w:ascii="宋体" w:hAnsi="宋体" w:cs="宋体"/>
          <w:color w:val="auto"/>
          <w:kern w:val="0"/>
          <w:szCs w:val="21"/>
          <w:highlight w:val="none"/>
          <w:lang w:eastAsia="zh-CN"/>
        </w:rPr>
        <w:t>字</w:t>
      </w:r>
      <w:r>
        <w:rPr>
          <w:rFonts w:hint="eastAsia" w:hAnsi="宋体" w:cs="宋体"/>
          <w:color w:val="auto"/>
          <w:kern w:val="0"/>
          <w:szCs w:val="21"/>
          <w:highlight w:val="none"/>
        </w:rPr>
        <w:t>）</w:t>
      </w:r>
    </w:p>
    <w:p w14:paraId="45DFF4FB">
      <w:pPr>
        <w:pStyle w:val="6"/>
        <w:overflowPunct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454190B8">
      <w:pPr>
        <w:pStyle w:val="6"/>
        <w:overflowPunct w:val="0"/>
        <w:spacing w:line="360" w:lineRule="auto"/>
        <w:ind w:firstLineChars="175"/>
        <w:rPr>
          <w:rFonts w:hint="eastAsia" w:ascii="宋体" w:hAnsi="宋体" w:eastAsia="宋体" w:cs="宋体"/>
          <w:color w:val="auto"/>
          <w:sz w:val="24"/>
          <w:highlight w:val="none"/>
        </w:rPr>
      </w:pPr>
    </w:p>
    <w:p w14:paraId="3BD3B130">
      <w:pPr>
        <w:pStyle w:val="6"/>
        <w:overflowPunct w:val="0"/>
        <w:spacing w:line="360" w:lineRule="auto"/>
        <w:ind w:firstLine="7140" w:firstLineChars="29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年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月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41672640">
      <w:pPr>
        <w:pStyle w:val="12"/>
        <w:spacing w:line="600" w:lineRule="exact"/>
        <w:jc w:val="center"/>
        <w:rPr>
          <w:rFonts w:hint="eastAsia" w:hAnsi="宋体" w:cs="宋体"/>
          <w:color w:val="auto"/>
          <w:kern w:val="0"/>
          <w:szCs w:val="21"/>
          <w:highlight w:val="none"/>
        </w:rPr>
      </w:pPr>
    </w:p>
    <w:p w14:paraId="5BB825FF">
      <w:pPr>
        <w:pStyle w:val="12"/>
        <w:jc w:val="both"/>
        <w:outlineLvl w:val="9"/>
        <w:rPr>
          <w:rFonts w:hAnsi="宋体" w:eastAsia="宋体" w:cs="Times New Roman"/>
          <w:color w:val="auto"/>
          <w:szCs w:val="21"/>
          <w:highlight w:val="none"/>
        </w:rPr>
      </w:pPr>
    </w:p>
    <w:p w14:paraId="33873E09">
      <w:pPr>
        <w:pStyle w:val="12"/>
        <w:jc w:val="center"/>
        <w:outlineLvl w:val="1"/>
        <w:rPr>
          <w:rFonts w:hint="eastAsia" w:hAnsi="宋体" w:eastAsia="宋体" w:cs="Times New Roman"/>
          <w:b/>
          <w:bCs/>
          <w:color w:val="auto"/>
          <w:sz w:val="28"/>
          <w:szCs w:val="28"/>
          <w:highlight w:val="none"/>
        </w:rPr>
      </w:pPr>
      <w:bookmarkStart w:id="365" w:name="_Toc24133"/>
      <w:bookmarkStart w:id="366" w:name="_Toc2566"/>
      <w:bookmarkStart w:id="367" w:name="_Toc16062"/>
      <w:bookmarkStart w:id="368" w:name="_Toc20777"/>
      <w:bookmarkStart w:id="369" w:name="_Toc8189"/>
      <w:bookmarkStart w:id="370" w:name="_Toc31528"/>
      <w:bookmarkStart w:id="371" w:name="_Toc19686838"/>
      <w:bookmarkStart w:id="372" w:name="_Toc6839"/>
      <w:bookmarkStart w:id="373" w:name="_Toc12624"/>
      <w:bookmarkStart w:id="374" w:name="_Toc13159"/>
      <w:bookmarkStart w:id="375" w:name="_Toc3944"/>
    </w:p>
    <w:p w14:paraId="0957A842">
      <w:pPr>
        <w:pStyle w:val="12"/>
        <w:jc w:val="center"/>
        <w:outlineLvl w:val="1"/>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二</w:t>
      </w:r>
      <w:r>
        <w:rPr>
          <w:rFonts w:hint="eastAsia" w:hAnsi="宋体" w:eastAsia="宋体" w:cs="Times New Roman"/>
          <w:b/>
          <w:bCs/>
          <w:color w:val="auto"/>
          <w:sz w:val="28"/>
          <w:szCs w:val="28"/>
          <w:highlight w:val="none"/>
        </w:rPr>
        <w:t xml:space="preserve">节 </w:t>
      </w:r>
      <w:r>
        <w:rPr>
          <w:rFonts w:hint="eastAsia" w:hAnsi="宋体" w:cs="Times New Roman"/>
          <w:b/>
          <w:bCs/>
          <w:color w:val="auto"/>
          <w:sz w:val="28"/>
          <w:szCs w:val="28"/>
          <w:highlight w:val="none"/>
          <w:lang w:eastAsia="zh-CN"/>
        </w:rPr>
        <w:t>商务技术文件</w:t>
      </w:r>
      <w:r>
        <w:rPr>
          <w:rFonts w:hint="eastAsia" w:hAnsi="宋体" w:eastAsia="宋体" w:cs="Times New Roman"/>
          <w:b/>
          <w:bCs/>
          <w:color w:val="auto"/>
          <w:sz w:val="28"/>
          <w:szCs w:val="28"/>
          <w:highlight w:val="none"/>
        </w:rPr>
        <w:t>格式</w:t>
      </w:r>
      <w:bookmarkEnd w:id="365"/>
      <w:bookmarkEnd w:id="366"/>
      <w:bookmarkEnd w:id="367"/>
      <w:bookmarkEnd w:id="368"/>
      <w:bookmarkEnd w:id="369"/>
      <w:bookmarkEnd w:id="370"/>
      <w:bookmarkEnd w:id="371"/>
      <w:bookmarkEnd w:id="372"/>
      <w:bookmarkEnd w:id="373"/>
      <w:bookmarkEnd w:id="374"/>
      <w:bookmarkEnd w:id="375"/>
    </w:p>
    <w:p w14:paraId="781FD62C">
      <w:pPr>
        <w:snapToGrid w:val="0"/>
        <w:spacing w:before="165" w:beforeLines="50" w:after="50"/>
        <w:rPr>
          <w:rFonts w:hint="eastAsia" w:ascii="宋体" w:hAnsi="宋体" w:eastAsia="宋体" w:cs="Times New Roman"/>
          <w:color w:val="auto"/>
          <w:sz w:val="30"/>
          <w:szCs w:val="20"/>
          <w:highlight w:val="none"/>
        </w:rPr>
      </w:pPr>
    </w:p>
    <w:p w14:paraId="09DA05ED">
      <w:pPr>
        <w:pStyle w:val="13"/>
        <w:rPr>
          <w:rFonts w:hint="eastAsia"/>
          <w:color w:val="auto"/>
          <w:highlight w:val="none"/>
        </w:rPr>
      </w:pPr>
      <w:r>
        <w:rPr>
          <w:rFonts w:hint="eastAsia" w:ascii="宋体" w:hAnsi="宋体" w:cs="宋体"/>
          <w:b/>
          <w:color w:val="auto"/>
          <w:sz w:val="28"/>
          <w:szCs w:val="28"/>
          <w:highlight w:val="none"/>
          <w:lang w:val="en-US" w:eastAsia="zh-CN"/>
        </w:rPr>
        <w:t>1.</w:t>
      </w:r>
      <w:r>
        <w:rPr>
          <w:rFonts w:hint="eastAsia" w:ascii="宋体" w:hAnsi="宋体" w:cs="宋体"/>
          <w:b/>
          <w:color w:val="auto"/>
          <w:sz w:val="28"/>
          <w:szCs w:val="28"/>
          <w:highlight w:val="none"/>
          <w:lang w:eastAsia="zh-CN"/>
        </w:rPr>
        <w:t>商务技术文件</w:t>
      </w:r>
      <w:r>
        <w:rPr>
          <w:rFonts w:hint="eastAsia" w:ascii="宋体" w:hAnsi="宋体" w:eastAsia="宋体" w:cs="宋体"/>
          <w:b/>
          <w:color w:val="auto"/>
          <w:sz w:val="28"/>
          <w:szCs w:val="28"/>
          <w:highlight w:val="none"/>
        </w:rPr>
        <w:t>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bCs/>
          <w:color w:val="auto"/>
          <w:sz w:val="28"/>
          <w:szCs w:val="28"/>
          <w:highlight w:val="none"/>
          <w:lang w:val="en-US" w:eastAsia="zh-CN"/>
        </w:rPr>
        <w:t>（参照此格式自拟）</w:t>
      </w:r>
      <w:r>
        <w:rPr>
          <w:rFonts w:hint="eastAsia" w:ascii="宋体" w:hAnsi="宋体" w:eastAsia="宋体" w:cs="宋体"/>
          <w:b/>
          <w:color w:val="auto"/>
          <w:sz w:val="28"/>
          <w:szCs w:val="28"/>
          <w:highlight w:val="none"/>
        </w:rPr>
        <w:t>：</w:t>
      </w:r>
    </w:p>
    <w:p w14:paraId="35A16814">
      <w:pPr>
        <w:snapToGrid w:val="0"/>
        <w:spacing w:before="165" w:beforeLines="50" w:after="50"/>
        <w:rPr>
          <w:rFonts w:hint="eastAsia" w:ascii="宋体" w:hAnsi="宋体" w:eastAsia="宋体" w:cs="Times New Roman"/>
          <w:bCs/>
          <w:color w:val="auto"/>
          <w:sz w:val="32"/>
          <w:szCs w:val="20"/>
          <w:highlight w:val="none"/>
          <w:lang w:eastAsia="zh-CN"/>
        </w:rPr>
      </w:pP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 xml:space="preserve">             </w:t>
      </w:r>
      <w:r>
        <w:rPr>
          <w:rFonts w:hint="eastAsia" w:ascii="宋体" w:hAnsi="宋体" w:cs="Times New Roman"/>
          <w:bCs/>
          <w:color w:val="auto"/>
          <w:highlight w:val="none"/>
          <w:lang w:eastAsia="zh-CN"/>
        </w:rPr>
        <w:t>电子版投标文件</w:t>
      </w:r>
    </w:p>
    <w:p w14:paraId="7B64AECB">
      <w:pPr>
        <w:snapToGrid w:val="0"/>
        <w:spacing w:before="165" w:beforeLines="50" w:after="50"/>
        <w:rPr>
          <w:rFonts w:hint="eastAsia" w:ascii="宋体" w:hAnsi="宋体" w:eastAsia="宋体" w:cs="Times New Roman"/>
          <w:color w:val="auto"/>
          <w:sz w:val="24"/>
          <w:szCs w:val="20"/>
          <w:highlight w:val="none"/>
        </w:rPr>
      </w:pPr>
    </w:p>
    <w:p w14:paraId="4E588445">
      <w:pPr>
        <w:snapToGrid w:val="0"/>
        <w:spacing w:before="165" w:beforeLines="50" w:after="50"/>
        <w:jc w:val="center"/>
        <w:rPr>
          <w:rFonts w:hint="eastAsia" w:ascii="宋体" w:hAnsi="宋体" w:eastAsia="宋体" w:cs="Times New Roman"/>
          <w:b/>
          <w:color w:val="auto"/>
          <w:sz w:val="24"/>
          <w:szCs w:val="20"/>
          <w:highlight w:val="none"/>
          <w:lang w:eastAsia="zh-CN"/>
        </w:rPr>
      </w:pPr>
      <w:r>
        <w:rPr>
          <w:rFonts w:hint="eastAsia" w:ascii="宋体" w:hAnsi="宋体" w:cs="Times New Roman"/>
          <w:b/>
          <w:color w:val="auto"/>
          <w:sz w:val="32"/>
          <w:szCs w:val="32"/>
          <w:highlight w:val="none"/>
          <w:lang w:eastAsia="zh-CN"/>
        </w:rPr>
        <w:t>商务技术文件</w:t>
      </w:r>
    </w:p>
    <w:p w14:paraId="45F9B40C">
      <w:pPr>
        <w:snapToGrid w:val="0"/>
        <w:spacing w:before="165" w:beforeLines="50" w:after="50"/>
        <w:rPr>
          <w:rFonts w:hint="eastAsia" w:ascii="宋体" w:hAnsi="宋体" w:eastAsia="宋体" w:cs="Times New Roman"/>
          <w:bCs/>
          <w:color w:val="auto"/>
          <w:sz w:val="24"/>
          <w:szCs w:val="20"/>
          <w:highlight w:val="none"/>
        </w:rPr>
      </w:pPr>
    </w:p>
    <w:p w14:paraId="2256D4EC">
      <w:pPr>
        <w:snapToGrid w:val="0"/>
        <w:spacing w:before="165" w:beforeLines="50" w:after="50"/>
        <w:ind w:firstLine="540" w:firstLineChars="225"/>
        <w:rPr>
          <w:rFonts w:hint="eastAsia" w:ascii="宋体" w:hAnsi="宋体" w:eastAsia="宋体" w:cs="Times New Roman"/>
          <w:bCs/>
          <w:color w:val="auto"/>
          <w:sz w:val="24"/>
          <w:highlight w:val="none"/>
        </w:rPr>
      </w:pPr>
    </w:p>
    <w:p w14:paraId="5193E786">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14:paraId="7756EFC7">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项目编号： </w:t>
      </w:r>
    </w:p>
    <w:p w14:paraId="796F8B19">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5DAA3566">
      <w:pPr>
        <w:snapToGrid w:val="0"/>
        <w:spacing w:before="165" w:beforeLines="50" w:after="50"/>
        <w:ind w:firstLine="540" w:firstLineChars="225"/>
        <w:rPr>
          <w:rFonts w:hint="eastAsia" w:ascii="宋体" w:hAnsi="宋体" w:eastAsia="宋体" w:cs="Times New Roman"/>
          <w:bCs/>
          <w:color w:val="auto"/>
          <w:sz w:val="24"/>
          <w:szCs w:val="20"/>
          <w:highlight w:val="none"/>
        </w:rPr>
      </w:pPr>
    </w:p>
    <w:p w14:paraId="4A346DCE">
      <w:pPr>
        <w:pStyle w:val="6"/>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14:paraId="19BD1D18">
      <w:pPr>
        <w:pStyle w:val="6"/>
        <w:snapToGrid w:val="0"/>
        <w:spacing w:before="50" w:after="50"/>
        <w:ind w:firstLine="540" w:firstLineChars="225"/>
        <w:rPr>
          <w:rFonts w:hint="eastAsia" w:ascii="宋体" w:hAnsi="宋体" w:eastAsia="宋体" w:cs="Times New Roman"/>
          <w:bCs/>
          <w:color w:val="auto"/>
          <w:sz w:val="24"/>
          <w:szCs w:val="24"/>
          <w:highlight w:val="none"/>
        </w:rPr>
      </w:pPr>
    </w:p>
    <w:p w14:paraId="2D80D664">
      <w:pPr>
        <w:pStyle w:val="6"/>
        <w:snapToGrid w:val="0"/>
        <w:spacing w:before="50" w:after="50"/>
        <w:ind w:firstLine="960" w:firstLineChars="400"/>
        <w:rPr>
          <w:rFonts w:hint="eastAsia" w:ascii="宋体" w:hAnsi="宋体" w:eastAsia="宋体" w:cs="Times New Roman"/>
          <w:bCs/>
          <w:color w:val="auto"/>
          <w:sz w:val="24"/>
          <w:szCs w:val="24"/>
          <w:highlight w:val="none"/>
        </w:rPr>
      </w:pPr>
    </w:p>
    <w:p w14:paraId="46B03D76">
      <w:pPr>
        <w:snapToGrid w:val="0"/>
        <w:spacing w:before="165" w:beforeLines="50" w:after="50"/>
        <w:ind w:firstLine="645"/>
        <w:rPr>
          <w:rFonts w:hint="eastAsia" w:ascii="宋体" w:hAnsi="宋体" w:cs="Times New Roman"/>
          <w:color w:val="auto"/>
          <w:sz w:val="24"/>
          <w:highlight w:val="none"/>
          <w:lang w:val="en-US" w:eastAsia="zh-CN"/>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p>
    <w:p w14:paraId="3E959283">
      <w:pPr>
        <w:snapToGrid w:val="0"/>
        <w:spacing w:before="165" w:beforeLines="50" w:after="50"/>
        <w:ind w:firstLine="645"/>
        <w:rPr>
          <w:rFonts w:hint="eastAsia" w:ascii="宋体" w:hAnsi="宋体" w:cs="Times New Roman"/>
          <w:color w:val="auto"/>
          <w:sz w:val="24"/>
          <w:highlight w:val="none"/>
          <w:lang w:val="en-US" w:eastAsia="zh-CN"/>
        </w:rPr>
      </w:pPr>
    </w:p>
    <w:p w14:paraId="6D1B7D58">
      <w:pPr>
        <w:snapToGrid w:val="0"/>
        <w:spacing w:before="165" w:beforeLines="50" w:after="50"/>
        <w:ind w:firstLine="645"/>
        <w:rPr>
          <w:rFonts w:hint="eastAsia" w:ascii="宋体" w:hAnsi="宋体" w:cs="Times New Roman"/>
          <w:color w:val="auto"/>
          <w:sz w:val="24"/>
          <w:highlight w:val="none"/>
          <w:lang w:val="en-US" w:eastAsia="zh-CN"/>
        </w:rPr>
      </w:pPr>
    </w:p>
    <w:p w14:paraId="02EB22AA">
      <w:pPr>
        <w:snapToGrid w:val="0"/>
        <w:spacing w:before="165" w:beforeLines="50" w:after="50"/>
        <w:ind w:firstLine="645"/>
        <w:rPr>
          <w:rFonts w:hint="eastAsia" w:ascii="宋体" w:hAnsi="宋体" w:cs="Times New Roman"/>
          <w:color w:val="auto"/>
          <w:sz w:val="24"/>
          <w:highlight w:val="none"/>
          <w:lang w:val="en-US" w:eastAsia="zh-CN"/>
        </w:rPr>
      </w:pPr>
    </w:p>
    <w:p w14:paraId="5E7A3D7F">
      <w:pPr>
        <w:snapToGrid w:val="0"/>
        <w:spacing w:before="165" w:beforeLines="50" w:after="50"/>
        <w:ind w:firstLine="645"/>
        <w:rPr>
          <w:rFonts w:hint="eastAsia" w:ascii="宋体" w:hAnsi="宋体" w:cs="Times New Roman"/>
          <w:color w:val="auto"/>
          <w:sz w:val="24"/>
          <w:highlight w:val="none"/>
          <w:lang w:val="en-US" w:eastAsia="zh-CN"/>
        </w:rPr>
      </w:pPr>
    </w:p>
    <w:p w14:paraId="467DE5BD">
      <w:pPr>
        <w:snapToGrid w:val="0"/>
        <w:spacing w:before="165" w:beforeLines="50" w:after="50"/>
        <w:ind w:firstLine="4329" w:firstLineChars="1804"/>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7FB54A83">
      <w:pPr>
        <w:spacing w:line="360" w:lineRule="auto"/>
        <w:ind w:right="420"/>
        <w:rPr>
          <w:rFonts w:hint="eastAsia" w:ascii="仿宋_GB2312" w:hAnsi="仿宋" w:eastAsia="仿宋_GB2312" w:cs="仿宋_GB2312"/>
          <w:b/>
          <w:color w:val="auto"/>
          <w:kern w:val="0"/>
          <w:sz w:val="36"/>
          <w:szCs w:val="36"/>
          <w:highlight w:val="none"/>
        </w:rPr>
      </w:pPr>
      <w:r>
        <w:rPr>
          <w:rFonts w:hint="eastAsia" w:ascii="宋体" w:hAnsi="宋体" w:eastAsia="宋体" w:cs="Times New Roman"/>
          <w:color w:val="auto"/>
          <w:sz w:val="24"/>
          <w:szCs w:val="20"/>
          <w:highlight w:val="none"/>
        </w:rPr>
        <w:t xml:space="preserve"> </w:t>
      </w:r>
    </w:p>
    <w:p w14:paraId="1E21EB20">
      <w:pPr>
        <w:rPr>
          <w:rFonts w:hint="eastAsia" w:ascii="仿宋_GB2312" w:hAnsi="仿宋" w:eastAsia="仿宋_GB2312" w:cs="仿宋_GB2312"/>
          <w:b/>
          <w:color w:val="auto"/>
          <w:kern w:val="0"/>
          <w:sz w:val="24"/>
          <w:highlight w:val="none"/>
        </w:rPr>
      </w:pPr>
      <w:r>
        <w:rPr>
          <w:rFonts w:hint="eastAsia" w:ascii="仿宋_GB2312" w:hAnsi="仿宋" w:eastAsia="仿宋_GB2312" w:cs="仿宋_GB2312"/>
          <w:b/>
          <w:color w:val="auto"/>
          <w:kern w:val="0"/>
          <w:sz w:val="24"/>
          <w:highlight w:val="none"/>
        </w:rPr>
        <w:br w:type="page"/>
      </w:r>
    </w:p>
    <w:p w14:paraId="4A80145A">
      <w:pPr>
        <w:spacing w:line="360" w:lineRule="auto"/>
        <w:ind w:right="420"/>
        <w:rPr>
          <w:rFonts w:hint="eastAsia" w:ascii="宋体" w:hAnsi="宋体" w:cs="宋体"/>
          <w:color w:val="auto"/>
          <w:sz w:val="24"/>
          <w:szCs w:val="20"/>
          <w:highlight w:val="none"/>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eastAsia="zh-CN"/>
        </w:rPr>
        <w:t>商务技术文件</w:t>
      </w:r>
      <w:r>
        <w:rPr>
          <w:rFonts w:hint="eastAsia" w:ascii="宋体" w:hAnsi="宋体" w:eastAsia="宋体" w:cs="宋体"/>
          <w:b/>
          <w:bCs/>
          <w:color w:val="auto"/>
          <w:sz w:val="28"/>
          <w:szCs w:val="28"/>
          <w:highlight w:val="none"/>
        </w:rPr>
        <w:t>目录</w:t>
      </w:r>
    </w:p>
    <w:p w14:paraId="7EF3AC86">
      <w:pPr>
        <w:snapToGrid/>
        <w:spacing w:before="0" w:beforeLines="-2147483648" w:after="0"/>
        <w:ind w:left="0"/>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color w:val="auto"/>
          <w:kern w:val="0"/>
          <w:sz w:val="24"/>
          <w:highlight w:val="none"/>
        </w:rPr>
        <w:t>根据招标文件规定及投标人提供的材料自行编写目录（部分格式后附）。</w:t>
      </w:r>
      <w:r>
        <w:rPr>
          <w:rFonts w:hint="eastAsia" w:ascii="Times New Roman" w:hAnsi="Times New Roman" w:eastAsia="宋体" w:cs="Times New Roman"/>
          <w:b/>
          <w:bCs/>
          <w:color w:val="auto"/>
          <w:sz w:val="30"/>
          <w:szCs w:val="30"/>
          <w:highlight w:val="none"/>
        </w:rPr>
        <w:br w:type="page"/>
      </w:r>
    </w:p>
    <w:p w14:paraId="4D6F66CA">
      <w:pPr>
        <w:snapToGrid w:val="0"/>
        <w:spacing w:before="120" w:beforeLines="50" w:after="50"/>
        <w:ind w:left="0"/>
        <w:jc w:val="both"/>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lang w:eastAsia="zh-CN"/>
        </w:rPr>
        <w:t>无串通投标行为的承诺函的格式：</w:t>
      </w:r>
    </w:p>
    <w:p w14:paraId="0EBEDF1B">
      <w:pPr>
        <w:snapToGrid w:val="0"/>
        <w:spacing w:before="120" w:beforeLines="50" w:after="50"/>
        <w:ind w:left="420"/>
        <w:jc w:val="center"/>
        <w:rPr>
          <w:rFonts w:hint="eastAsia" w:ascii="宋体" w:hAnsi="宋体" w:eastAsia="宋体" w:cs="Times New Roman"/>
          <w:b/>
          <w:color w:val="auto"/>
          <w:sz w:val="32"/>
          <w:szCs w:val="32"/>
          <w:highlight w:val="none"/>
        </w:rPr>
      </w:pPr>
    </w:p>
    <w:p w14:paraId="7E4FF0AD">
      <w:pPr>
        <w:snapToGrid w:val="0"/>
        <w:spacing w:before="120" w:beforeLines="50" w:after="50"/>
        <w:ind w:left="420"/>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参加本项目无</w:t>
      </w:r>
      <w:r>
        <w:rPr>
          <w:rFonts w:hint="eastAsia" w:ascii="Times New Roman" w:hAnsi="Times New Roman" w:eastAsia="宋体" w:cs="Times New Roman"/>
          <w:b/>
          <w:bCs/>
          <w:color w:val="auto"/>
          <w:sz w:val="32"/>
          <w:szCs w:val="32"/>
          <w:highlight w:val="none"/>
          <w:lang w:eastAsia="zh-CN"/>
        </w:rPr>
        <w:t>串通投</w:t>
      </w:r>
      <w:r>
        <w:rPr>
          <w:rFonts w:hint="eastAsia" w:ascii="宋体" w:hAnsi="宋体" w:eastAsia="宋体" w:cs="Times New Roman"/>
          <w:b/>
          <w:color w:val="auto"/>
          <w:sz w:val="32"/>
          <w:szCs w:val="32"/>
          <w:highlight w:val="none"/>
        </w:rPr>
        <w:t>标行为的承诺函</w:t>
      </w:r>
    </w:p>
    <w:p w14:paraId="34E57F01">
      <w:pPr>
        <w:snapToGrid w:val="0"/>
        <w:spacing w:before="120" w:beforeLines="50" w:after="50"/>
        <w:rPr>
          <w:rFonts w:hint="eastAsia" w:ascii="宋体" w:hAnsi="宋体" w:eastAsia="宋体" w:cs="Times New Roman"/>
          <w:b/>
          <w:color w:val="auto"/>
          <w:szCs w:val="21"/>
          <w:highlight w:val="none"/>
        </w:rPr>
      </w:pPr>
    </w:p>
    <w:p w14:paraId="5FEFB0DE">
      <w:pPr>
        <w:snapToGrid w:val="0"/>
        <w:spacing w:before="120" w:beforeLines="50" w:after="50" w:line="360" w:lineRule="auto"/>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一、我方承诺无下列相互串通投标的情形：</w:t>
      </w:r>
    </w:p>
    <w:p w14:paraId="75CFC4E6">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1.不同投标人的投标文件由同一单位或者个人编制；</w:t>
      </w:r>
      <w:r>
        <w:rPr>
          <w:rFonts w:hint="eastAsia" w:ascii="宋体" w:hAnsi="宋体" w:cs="Times New Roman"/>
          <w:b w:val="0"/>
          <w:color w:val="auto"/>
          <w:szCs w:val="21"/>
          <w:highlight w:val="none"/>
        </w:rPr>
        <w:t>或者不同投标人报名的IP地址一致的；</w:t>
      </w:r>
    </w:p>
    <w:p w14:paraId="68FD2743">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2.不同投标人委托同一单位或者个人办理投标事宜；</w:t>
      </w:r>
    </w:p>
    <w:p w14:paraId="7134D33C">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3.不同的投标人的投标文件载明的项目管理员为同一个人；</w:t>
      </w:r>
    </w:p>
    <w:p w14:paraId="5C830F26">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4.不同投标人的投标文件异常一致或者投标报价呈规律性差异；</w:t>
      </w:r>
    </w:p>
    <w:p w14:paraId="38A53D41">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5.不同投标人的投标文件相互混装；</w:t>
      </w:r>
    </w:p>
    <w:p w14:paraId="565F6535">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default" w:ascii="宋体" w:hAnsi="宋体" w:eastAsia="宋体" w:cs="Times New Roman"/>
          <w:color w:val="auto"/>
          <w:szCs w:val="21"/>
          <w:highlight w:val="none"/>
          <w:lang w:val="en-US"/>
        </w:rPr>
        <w:t>6</w:t>
      </w:r>
      <w:r>
        <w:rPr>
          <w:rFonts w:hint="eastAsia" w:ascii="宋体" w:hAnsi="宋体" w:eastAsia="宋体" w:cs="Times New Roman"/>
          <w:color w:val="auto"/>
          <w:szCs w:val="21"/>
          <w:highlight w:val="none"/>
        </w:rPr>
        <w:t>.不同投标人的投标保证金从同一单位或者个人账户转出。</w:t>
      </w:r>
    </w:p>
    <w:p w14:paraId="13048362">
      <w:pPr>
        <w:snapToGrid w:val="0"/>
        <w:spacing w:before="120" w:beforeLines="50" w:after="50" w:line="360" w:lineRule="auto"/>
        <w:jc w:val="lef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二、我方承诺无下列恶意串通的情形：</w:t>
      </w:r>
    </w:p>
    <w:p w14:paraId="3291429A">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1.投标人直接或者间接从采购人或者采购代理机构处获得其他投标人的相关信息并修改其投标文件；</w:t>
      </w:r>
    </w:p>
    <w:p w14:paraId="1F75280D">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2.投标人按照采购人或者采购代理机构的授意撤换、修改投标文件；</w:t>
      </w:r>
    </w:p>
    <w:p w14:paraId="100955D2">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3.投标人之间协商报价、技术方案等投标文件的实质性内容；</w:t>
      </w:r>
    </w:p>
    <w:p w14:paraId="4ADC3838">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4.属于同一集团、协会、商会等组织成员的投标人按照该组织要求协同参加政府采购活动；</w:t>
      </w:r>
    </w:p>
    <w:p w14:paraId="47DC8280">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7EB7F503">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6.投标人之间商定部分投标人放弃参加政府采购活动或者放弃中标；</w:t>
      </w:r>
    </w:p>
    <w:p w14:paraId="0A986907">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7.投标人与采购人或者采购代理机构之间、投标人相互之间，为谋求特定投标人中标或者排斥其他投标人的其他串通行为。</w:t>
      </w:r>
    </w:p>
    <w:p w14:paraId="61786A47">
      <w:pPr>
        <w:snapToGrid w:val="0"/>
        <w:spacing w:before="120" w:beforeLines="50" w:after="50" w:line="360" w:lineRule="auto"/>
        <w:ind w:firstLine="413" w:firstLineChars="196"/>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以上情形一经核查属实，接受政府采购监管部门对我方认定存在围标串标行为，我方愿意承担一切后果，并不再寻求任何旨在减轻或者免除法律责任的辩解。</w:t>
      </w:r>
    </w:p>
    <w:p w14:paraId="78DFFC82">
      <w:pPr>
        <w:pStyle w:val="9"/>
        <w:rPr>
          <w:rFonts w:hint="eastAsia"/>
          <w:color w:val="auto"/>
          <w:highlight w:val="none"/>
          <w:lang w:eastAsia="zh-CN"/>
        </w:rPr>
      </w:pPr>
    </w:p>
    <w:p w14:paraId="2496703D">
      <w:pP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6A62960B">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1174199">
      <w:pPr>
        <w:pStyle w:val="12"/>
        <w:snapToGrid w:val="0"/>
        <w:spacing w:before="295" w:after="295" w:line="360" w:lineRule="auto"/>
        <w:jc w:val="both"/>
        <w:rPr>
          <w:rFonts w:hint="eastAsia" w:hAnsi="宋体" w:eastAsia="宋体" w:cs="Times New Roman"/>
          <w:b/>
          <w:color w:val="auto"/>
          <w:sz w:val="24"/>
          <w:highlight w:val="none"/>
        </w:rPr>
      </w:pPr>
      <w:r>
        <w:rPr>
          <w:rFonts w:hint="eastAsia" w:hAnsi="宋体" w:eastAsia="宋体" w:cs="Times New Roman"/>
          <w:b/>
          <w:color w:val="auto"/>
          <w:sz w:val="24"/>
          <w:highlight w:val="none"/>
        </w:rPr>
        <w:br w:type="page"/>
      </w:r>
      <w:r>
        <w:rPr>
          <w:rFonts w:hint="eastAsia" w:hAnsi="宋体" w:cs="宋体"/>
          <w:b/>
          <w:bCs/>
          <w:color w:val="auto"/>
          <w:sz w:val="28"/>
          <w:szCs w:val="28"/>
          <w:highlight w:val="none"/>
          <w:lang w:val="en-US" w:eastAsia="zh-CN"/>
        </w:rPr>
        <w:t>4.</w:t>
      </w:r>
      <w:r>
        <w:rPr>
          <w:rFonts w:hint="eastAsia" w:ascii="宋体" w:hAnsi="宋体" w:cs="宋体"/>
          <w:b/>
          <w:bCs/>
          <w:color w:val="auto"/>
          <w:sz w:val="28"/>
          <w:szCs w:val="28"/>
          <w:highlight w:val="none"/>
        </w:rPr>
        <w:t>法定代表人身份证明</w:t>
      </w:r>
      <w:r>
        <w:rPr>
          <w:rFonts w:hint="eastAsia" w:hAnsi="宋体" w:cs="宋体"/>
          <w:b/>
          <w:bCs/>
          <w:color w:val="auto"/>
          <w:sz w:val="28"/>
          <w:szCs w:val="28"/>
          <w:highlight w:val="none"/>
          <w:lang w:eastAsia="zh-CN"/>
        </w:rPr>
        <w:t>的格式：</w:t>
      </w:r>
    </w:p>
    <w:p w14:paraId="25F6C84B">
      <w:pPr>
        <w:spacing w:before="240" w:beforeLines="100" w:after="120" w:afterLines="50"/>
        <w:ind w:left="540"/>
        <w:jc w:val="center"/>
        <w:rPr>
          <w:rFonts w:hint="eastAsia" w:ascii="宋体" w:hAnsi="Courier New" w:eastAsia="宋体" w:cs="Times New Roman"/>
          <w:b/>
          <w:color w:val="auto"/>
          <w:sz w:val="32"/>
          <w:szCs w:val="32"/>
          <w:highlight w:val="none"/>
        </w:rPr>
      </w:pPr>
    </w:p>
    <w:p w14:paraId="03B6CDDB">
      <w:pPr>
        <w:spacing w:before="240" w:beforeLines="100" w:after="120" w:afterLines="50"/>
        <w:ind w:left="540"/>
        <w:jc w:val="center"/>
        <w:rPr>
          <w:rFonts w:hint="eastAsia" w:ascii="黑体" w:hAnsi="宋体" w:eastAsia="黑体" w:cs="Times New Roman"/>
          <w:color w:val="auto"/>
          <w:sz w:val="32"/>
          <w:szCs w:val="32"/>
          <w:highlight w:val="none"/>
        </w:rPr>
      </w:pPr>
      <w:r>
        <w:rPr>
          <w:rFonts w:hint="eastAsia" w:ascii="宋体" w:hAnsi="Courier New" w:eastAsia="宋体" w:cs="Times New Roman"/>
          <w:b/>
          <w:color w:val="auto"/>
          <w:sz w:val="32"/>
          <w:szCs w:val="32"/>
          <w:highlight w:val="none"/>
        </w:rPr>
        <w:t>法定代表人身份证明</w:t>
      </w:r>
    </w:p>
    <w:p w14:paraId="0B3E5E5D">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 标 人：</w:t>
      </w:r>
      <w:r>
        <w:rPr>
          <w:rFonts w:hint="eastAsia" w:ascii="宋体" w:hAnsi="宋体" w:eastAsia="宋体" w:cs="Times New Roman"/>
          <w:color w:val="auto"/>
          <w:sz w:val="24"/>
          <w:highlight w:val="none"/>
          <w:u w:val="single"/>
        </w:rPr>
        <w:t xml:space="preserve">                                                        </w:t>
      </w:r>
    </w:p>
    <w:p w14:paraId="06D591B6">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地    址：</w:t>
      </w:r>
      <w:r>
        <w:rPr>
          <w:rFonts w:hint="eastAsia" w:ascii="宋体" w:hAnsi="宋体" w:eastAsia="宋体" w:cs="Times New Roman"/>
          <w:color w:val="auto"/>
          <w:sz w:val="24"/>
          <w:highlight w:val="none"/>
          <w:u w:val="single"/>
        </w:rPr>
        <w:t xml:space="preserve">                                                        </w:t>
      </w:r>
    </w:p>
    <w:p w14:paraId="64A1FDBC">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姓    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性      别：</w:t>
      </w:r>
      <w:r>
        <w:rPr>
          <w:rFonts w:hint="eastAsia" w:ascii="宋体" w:hAnsi="宋体" w:eastAsia="宋体" w:cs="Times New Roman"/>
          <w:color w:val="auto"/>
          <w:sz w:val="24"/>
          <w:highlight w:val="none"/>
          <w:u w:val="single"/>
        </w:rPr>
        <w:t xml:space="preserve">                </w:t>
      </w:r>
    </w:p>
    <w:p w14:paraId="465150CD">
      <w:pPr>
        <w:spacing w:line="500" w:lineRule="exact"/>
        <w:ind w:left="54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年    龄：</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职      务：</w:t>
      </w:r>
      <w:r>
        <w:rPr>
          <w:rFonts w:hint="eastAsia" w:ascii="宋体" w:hAnsi="宋体" w:eastAsia="宋体" w:cs="Times New Roman"/>
          <w:color w:val="auto"/>
          <w:sz w:val="24"/>
          <w:highlight w:val="none"/>
          <w:u w:val="single"/>
        </w:rPr>
        <w:t xml:space="preserve">                </w:t>
      </w:r>
    </w:p>
    <w:p w14:paraId="096C2D75">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身份证</w:t>
      </w:r>
      <w:r>
        <w:rPr>
          <w:rFonts w:hint="eastAsia" w:ascii="Times New Roman" w:hAnsi="Times New Roman" w:eastAsia="宋体" w:cs="Times New Roman"/>
          <w:color w:val="auto"/>
          <w:sz w:val="24"/>
          <w:highlight w:val="none"/>
        </w:rPr>
        <w:t>号码：</w:t>
      </w:r>
      <w:r>
        <w:rPr>
          <w:rFonts w:ascii="Times New Roman" w:hAnsi="Times New Roman" w:eastAsia="宋体" w:cs="Times New Roman"/>
          <w:color w:val="auto"/>
          <w:sz w:val="24"/>
          <w:highlight w:val="none"/>
          <w:u w:val="single"/>
        </w:rPr>
        <w:t xml:space="preserve">                                 </w:t>
      </w:r>
    </w:p>
    <w:p w14:paraId="58C20BBE">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系</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i/>
          <w:iCs/>
          <w:color w:val="auto"/>
          <w:sz w:val="24"/>
          <w:highlight w:val="none"/>
          <w:u w:val="single"/>
        </w:rPr>
        <w:t>（投标人名称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的法定代表人。</w:t>
      </w:r>
    </w:p>
    <w:p w14:paraId="2CFA1076">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特此证明。</w:t>
      </w:r>
    </w:p>
    <w:p w14:paraId="6F5B0ABC">
      <w:pPr>
        <w:spacing w:line="500" w:lineRule="exact"/>
        <w:ind w:left="540"/>
        <w:rPr>
          <w:rFonts w:hint="eastAsia" w:ascii="宋体" w:hAnsi="宋体" w:eastAsia="宋体" w:cs="Times New Roman"/>
          <w:color w:val="auto"/>
          <w:sz w:val="24"/>
          <w:highlight w:val="none"/>
        </w:rPr>
      </w:pPr>
    </w:p>
    <w:p w14:paraId="67621088">
      <w:pPr>
        <w:spacing w:line="500" w:lineRule="exact"/>
        <w:ind w:left="540"/>
        <w:rPr>
          <w:rFonts w:hint="eastAsia" w:ascii="宋体" w:hAnsi="宋体" w:eastAsia="宋体" w:cs="Times New Roman"/>
          <w:color w:val="auto"/>
          <w:sz w:val="24"/>
          <w:highlight w:val="none"/>
        </w:rPr>
      </w:pPr>
    </w:p>
    <w:p w14:paraId="463A62B9">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附件：法定代表人有效身份证正反面复印件</w:t>
      </w:r>
    </w:p>
    <w:p w14:paraId="25609B59">
      <w:pPr>
        <w:spacing w:line="500" w:lineRule="exact"/>
        <w:ind w:left="540"/>
        <w:rPr>
          <w:rFonts w:hint="eastAsia" w:ascii="宋体" w:hAnsi="宋体" w:eastAsia="宋体" w:cs="Times New Roman"/>
          <w:color w:val="auto"/>
          <w:sz w:val="24"/>
          <w:highlight w:val="none"/>
        </w:rPr>
      </w:pPr>
    </w:p>
    <w:p w14:paraId="4CF0E45A">
      <w:pP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5B06E44D">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9BA6554">
      <w:pPr>
        <w:snapToGrid w:val="0"/>
        <w:spacing w:before="120" w:beforeLines="50" w:after="50"/>
        <w:jc w:val="center"/>
        <w:rPr>
          <w:rFonts w:hint="eastAsia" w:ascii="宋体" w:hAnsi="宋体" w:eastAsia="宋体" w:cs="Times New Roman"/>
          <w:b/>
          <w:color w:val="auto"/>
          <w:sz w:val="24"/>
          <w:highlight w:val="none"/>
        </w:rPr>
      </w:pPr>
    </w:p>
    <w:p w14:paraId="64CEC4B3">
      <w:pPr>
        <w:snapToGrid w:val="0"/>
        <w:spacing w:before="120" w:beforeLines="50" w:after="50"/>
        <w:ind w:firstLine="600" w:firstLineChars="25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注：自然人投标的无需提供</w:t>
      </w:r>
    </w:p>
    <w:p w14:paraId="14815A25">
      <w:pPr>
        <w:snapToGrid w:val="0"/>
        <w:spacing w:before="120" w:beforeLines="50" w:after="50"/>
        <w:ind w:firstLine="600" w:firstLineChars="250"/>
        <w:jc w:val="left"/>
        <w:rPr>
          <w:rFonts w:hint="eastAsia" w:ascii="宋体" w:hAnsi="宋体" w:eastAsia="宋体" w:cs="Times New Roman"/>
          <w:color w:val="auto"/>
          <w:sz w:val="24"/>
          <w:highlight w:val="none"/>
        </w:rPr>
      </w:pPr>
    </w:p>
    <w:p w14:paraId="569B4878">
      <w:pPr>
        <w:snapToGrid w:val="0"/>
        <w:spacing w:before="120" w:beforeLines="50" w:after="50"/>
        <w:ind w:firstLine="602" w:firstLineChars="250"/>
        <w:jc w:val="left"/>
        <w:rPr>
          <w:rFonts w:hint="eastAsia" w:ascii="宋体" w:hAnsi="宋体" w:eastAsia="宋体" w:cs="Times New Roman"/>
          <w:b/>
          <w:color w:val="auto"/>
          <w:sz w:val="24"/>
          <w:szCs w:val="20"/>
          <w:highlight w:val="none"/>
        </w:rPr>
      </w:pPr>
    </w:p>
    <w:tbl>
      <w:tblPr>
        <w:tblStyle w:val="20"/>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74DF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noWrap w:val="0"/>
            <w:vAlign w:val="top"/>
          </w:tcPr>
          <w:p w14:paraId="1B6F828F">
            <w:pPr>
              <w:spacing w:line="360" w:lineRule="auto"/>
              <w:rPr>
                <w:rFonts w:hint="eastAsia" w:ascii="宋体" w:hAnsi="Times New Roman" w:eastAsia="宋体" w:cs="Times New Roman"/>
                <w:b/>
                <w:color w:val="auto"/>
                <w:sz w:val="24"/>
                <w:highlight w:val="none"/>
              </w:rPr>
            </w:pPr>
          </w:p>
          <w:p w14:paraId="1FE2CD1B">
            <w:pPr>
              <w:spacing w:line="360" w:lineRule="auto"/>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t>法定代表人有效身份证复印件粘</w:t>
            </w:r>
            <w:r>
              <w:rPr>
                <w:rFonts w:hint="eastAsia" w:ascii="宋体" w:cs="Times New Roman"/>
                <w:b/>
                <w:color w:val="auto"/>
                <w:sz w:val="24"/>
                <w:highlight w:val="none"/>
                <w:lang w:val="en-US" w:eastAsia="zh-CN"/>
              </w:rPr>
              <w:t>贴</w:t>
            </w:r>
            <w:r>
              <w:rPr>
                <w:rFonts w:hint="eastAsia" w:ascii="宋体" w:hAnsi="Times New Roman" w:eastAsia="宋体" w:cs="Times New Roman"/>
                <w:b/>
                <w:color w:val="auto"/>
                <w:sz w:val="24"/>
                <w:highlight w:val="none"/>
              </w:rPr>
              <w:t>处（正、反面）</w:t>
            </w:r>
          </w:p>
        </w:tc>
      </w:tr>
    </w:tbl>
    <w:p w14:paraId="0550214F">
      <w:pPr>
        <w:pStyle w:val="12"/>
        <w:snapToGrid w:val="0"/>
        <w:spacing w:before="295" w:after="295" w:line="360" w:lineRule="auto"/>
        <w:jc w:val="left"/>
        <w:rPr>
          <w:rFonts w:hint="eastAsia" w:hAnsi="宋体" w:eastAsia="宋体" w:cs="Times New Roman"/>
          <w:b/>
          <w:color w:val="auto"/>
          <w:sz w:val="24"/>
          <w:highlight w:val="none"/>
        </w:rPr>
      </w:pPr>
      <w:r>
        <w:rPr>
          <w:rFonts w:hint="eastAsia" w:hAnsi="宋体" w:eastAsia="宋体" w:cs="Times New Roman"/>
          <w:b/>
          <w:color w:val="auto"/>
          <w:sz w:val="24"/>
          <w:highlight w:val="none"/>
        </w:rPr>
        <w:t>附件：</w:t>
      </w:r>
      <w:r>
        <w:rPr>
          <w:rFonts w:hint="eastAsia" w:hAnsi="宋体" w:eastAsia="宋体" w:cs="Times New Roman"/>
          <w:b/>
          <w:color w:val="auto"/>
          <w:sz w:val="24"/>
          <w:highlight w:val="none"/>
        </w:rPr>
        <w:br w:type="page"/>
      </w:r>
      <w:r>
        <w:rPr>
          <w:rFonts w:hint="eastAsia" w:hAnsi="宋体" w:cs="宋体"/>
          <w:b/>
          <w:bCs/>
          <w:color w:val="auto"/>
          <w:sz w:val="30"/>
          <w:szCs w:val="30"/>
          <w:highlight w:val="none"/>
          <w:lang w:val="en-US" w:eastAsia="zh-CN"/>
        </w:rPr>
        <w:t>5.</w:t>
      </w:r>
      <w:r>
        <w:rPr>
          <w:rFonts w:hint="eastAsia" w:ascii="宋体" w:hAnsi="宋体" w:cs="宋体"/>
          <w:b/>
          <w:bCs/>
          <w:color w:val="auto"/>
          <w:sz w:val="30"/>
          <w:szCs w:val="30"/>
          <w:highlight w:val="none"/>
        </w:rPr>
        <w:t>法定代表人授权委托书</w:t>
      </w:r>
      <w:r>
        <w:rPr>
          <w:rFonts w:hint="eastAsia" w:hAnsi="宋体" w:cs="宋体"/>
          <w:b/>
          <w:bCs/>
          <w:color w:val="auto"/>
          <w:sz w:val="30"/>
          <w:szCs w:val="30"/>
          <w:highlight w:val="none"/>
          <w:lang w:eastAsia="zh-CN"/>
        </w:rPr>
        <w:t>的格式：</w:t>
      </w:r>
    </w:p>
    <w:p w14:paraId="43BE9175">
      <w:pPr>
        <w:snapToGrid w:val="0"/>
        <w:spacing w:before="120" w:beforeLines="50" w:after="50"/>
        <w:jc w:val="center"/>
        <w:rPr>
          <w:rFonts w:hint="eastAsia" w:ascii="宋体" w:hAnsi="宋体" w:eastAsia="宋体" w:cs="Times New Roman"/>
          <w:b/>
          <w:color w:val="auto"/>
          <w:sz w:val="32"/>
          <w:szCs w:val="32"/>
          <w:highlight w:val="none"/>
        </w:rPr>
      </w:pPr>
    </w:p>
    <w:p w14:paraId="4EEFF166">
      <w:pPr>
        <w:snapToGrid w:val="0"/>
        <w:spacing w:before="120" w:beforeLines="50" w:after="5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法定代表人授权委托书（如有委托时）</w:t>
      </w:r>
    </w:p>
    <w:p w14:paraId="059AA746">
      <w:pPr>
        <w:snapToGrid w:val="0"/>
        <w:spacing w:before="120" w:beforeLines="50" w:after="50"/>
        <w:jc w:val="center"/>
        <w:rPr>
          <w:rFonts w:hint="eastAsia" w:ascii="宋体" w:hAnsi="宋体" w:eastAsia="宋体" w:cs="Times New Roman"/>
          <w:b/>
          <w:color w:val="auto"/>
          <w:sz w:val="24"/>
          <w:highlight w:val="none"/>
        </w:rPr>
      </w:pPr>
    </w:p>
    <w:p w14:paraId="48BD3BFF">
      <w:pPr>
        <w:pStyle w:val="12"/>
        <w:spacing w:line="36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致：</w:t>
      </w:r>
      <w:r>
        <w:rPr>
          <w:rFonts w:ascii="Times New Roman" w:hAnsi="Times New Roman" w:eastAsia="宋体" w:cs="Times New Roman"/>
          <w:color w:val="auto"/>
          <w:highlight w:val="none"/>
          <w:u w:val="single"/>
        </w:rPr>
        <w:t xml:space="preserve"> </w:t>
      </w:r>
      <w:bookmarkStart w:id="376" w:name="PO_3000001866_PM031_7"/>
      <w:r>
        <w:rPr>
          <w:rFonts w:hint="eastAsia" w:ascii="Times New Roman" w:hAnsi="Times New Roman" w:eastAsia="宋体" w:cs="Times New Roman"/>
          <w:color w:val="auto"/>
          <w:highlight w:val="none"/>
          <w:u w:val="single"/>
          <w:lang w:eastAsia="zh-CN"/>
        </w:rPr>
        <w:t>广西科联招标中心有限公司</w:t>
      </w:r>
      <w:bookmarkEnd w:id="376"/>
      <w:r>
        <w:rPr>
          <w:rFonts w:ascii="Times New Roman" w:hAnsi="Times New Roman" w:eastAsia="宋体" w:cs="Times New Roman"/>
          <w:color w:val="auto"/>
          <w:highlight w:val="none"/>
          <w:u w:val="single"/>
        </w:rPr>
        <w:t xml:space="preserve"> </w:t>
      </w:r>
    </w:p>
    <w:p w14:paraId="0CE15860">
      <w:pPr>
        <w:pStyle w:val="12"/>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本人</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（姓名）系</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（投标人名称）的法定代表人，现授权我单位在职正式员工</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（姓名和职务）为我方代理人。代理人根据授权，以我方名义签署、澄清、说明、补正、</w:t>
      </w:r>
      <w:r>
        <w:rPr>
          <w:rFonts w:hint="eastAsia" w:ascii="Times New Roman" w:hAnsi="Times New Roman" w:cs="Times New Roman"/>
          <w:color w:val="auto"/>
          <w:highlight w:val="none"/>
          <w:lang w:eastAsia="zh-CN"/>
        </w:rPr>
        <w:t>提交</w:t>
      </w:r>
      <w:r>
        <w:rPr>
          <w:rFonts w:hint="eastAsia" w:ascii="Times New Roman" w:hAnsi="Times New Roman" w:eastAsia="宋体" w:cs="Times New Roman"/>
          <w:color w:val="auto"/>
          <w:highlight w:val="none"/>
        </w:rPr>
        <w:t>、撤回、修改贵方组织的</w:t>
      </w:r>
      <w:r>
        <w:rPr>
          <w:rFonts w:hint="eastAsia" w:eastAsia="宋体" w:cs="Times New Roman"/>
          <w:color w:val="auto"/>
          <w:highlight w:val="none"/>
          <w:u w:val="single"/>
        </w:rPr>
        <w:t xml:space="preserve"> </w:t>
      </w:r>
      <w:r>
        <w:rPr>
          <w:rFonts w:hint="eastAsia" w:cs="Times New Roman"/>
          <w:i/>
          <w:iCs/>
          <w:color w:val="auto"/>
          <w:highlight w:val="none"/>
          <w:u w:val="single"/>
          <w:lang w:eastAsia="zh-CN"/>
        </w:rPr>
        <w:t>（项目名称）</w:t>
      </w:r>
      <w:r>
        <w:rPr>
          <w:rFonts w:hint="eastAsia" w:eastAsia="宋体" w:cs="Times New Roman"/>
          <w:color w:val="auto"/>
          <w:highlight w:val="none"/>
          <w:u w:val="single"/>
        </w:rPr>
        <w:t xml:space="preserve"> </w:t>
      </w:r>
      <w:r>
        <w:rPr>
          <w:rFonts w:hint="eastAsia" w:eastAsia="宋体" w:cs="Times New Roman"/>
          <w:color w:val="auto"/>
          <w:highlight w:val="none"/>
        </w:rPr>
        <w:t>项目（项目编号：</w:t>
      </w:r>
      <w:r>
        <w:rPr>
          <w:rFonts w:hint="eastAsia" w:hAnsi="宋体" w:cs="Times New Roman"/>
          <w:color w:val="auto"/>
          <w:highlight w:val="none"/>
          <w:u w:val="single"/>
          <w:lang w:val="en-US" w:eastAsia="zh-CN"/>
        </w:rPr>
        <w:t xml:space="preserve">            </w:t>
      </w:r>
      <w:r>
        <w:rPr>
          <w:rFonts w:hint="eastAsia" w:eastAsia="宋体" w:cs="Times New Roman"/>
          <w:color w:val="auto"/>
          <w:highlight w:val="none"/>
        </w:rPr>
        <w:t>）</w:t>
      </w:r>
      <w:r>
        <w:rPr>
          <w:rFonts w:hint="eastAsia" w:ascii="Times New Roman" w:hAnsi="Times New Roman" w:eastAsia="宋体" w:cs="Times New Roman"/>
          <w:color w:val="auto"/>
          <w:highlight w:val="none"/>
        </w:rPr>
        <w:t>的投标文件、签订合同和处理一切有关事宜，其法律后果由我方承担。</w:t>
      </w:r>
    </w:p>
    <w:p w14:paraId="2B80EE20">
      <w:pPr>
        <w:pStyle w:val="12"/>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本授权书于</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年</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月</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日签字生效，委托期限：</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w:t>
      </w:r>
    </w:p>
    <w:p w14:paraId="79473E2E">
      <w:pPr>
        <w:pStyle w:val="12"/>
        <w:spacing w:line="360" w:lineRule="exact"/>
        <w:ind w:firstLine="42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代理人无转委托权。</w:t>
      </w:r>
    </w:p>
    <w:p w14:paraId="00811BA0">
      <w:pPr>
        <w:pStyle w:val="12"/>
        <w:spacing w:line="360" w:lineRule="exact"/>
        <w:ind w:firstLine="420"/>
        <w:rPr>
          <w:rFonts w:ascii="Times New Roman" w:hAnsi="Times New Roman" w:eastAsia="宋体" w:cs="Times New Roman"/>
          <w:color w:val="auto"/>
          <w:highlight w:val="none"/>
        </w:rPr>
      </w:pPr>
    </w:p>
    <w:p w14:paraId="4E0C69D8">
      <w:pPr>
        <w:pStyle w:val="12"/>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投标人</w:t>
      </w:r>
      <w:r>
        <w:rPr>
          <w:rFonts w:hint="eastAsia" w:ascii="Times New Roman" w:hAnsi="Times New Roman" w:cs="Times New Roman"/>
          <w:color w:val="auto"/>
          <w:highlight w:val="none"/>
          <w:lang w:eastAsia="zh-CN"/>
        </w:rPr>
        <w:t>名称</w:t>
      </w:r>
      <w:r>
        <w:rPr>
          <w:rFonts w:hint="eastAsia" w:ascii="Times New Roman" w:hAnsi="Times New Roman" w:eastAsia="宋体" w:cs="Times New Roman"/>
          <w:color w:val="auto"/>
          <w:highlight w:val="none"/>
        </w:rPr>
        <w:t>（或联合体投标</w:t>
      </w:r>
      <w:r>
        <w:rPr>
          <w:rFonts w:hint="eastAsia" w:eastAsia="宋体" w:cs="宋体"/>
          <w:color w:val="auto"/>
          <w:kern w:val="0"/>
          <w:szCs w:val="21"/>
          <w:highlight w:val="none"/>
        </w:rPr>
        <w:t>牵头人名称</w:t>
      </w:r>
      <w:r>
        <w:rPr>
          <w:rFonts w:hint="eastAsia" w:ascii="Times New Roman" w:hAnsi="Times New Roman" w:eastAsia="宋体" w:cs="Times New Roman"/>
          <w:color w:val="auto"/>
          <w:highlight w:val="none"/>
        </w:rPr>
        <w:t>）（盖公章）：</w:t>
      </w:r>
      <w:r>
        <w:rPr>
          <w:rFonts w:ascii="Times New Roman" w:hAnsi="Times New Roman" w:eastAsia="宋体" w:cs="Times New Roman"/>
          <w:color w:val="auto"/>
          <w:highlight w:val="none"/>
          <w:u w:val="single"/>
        </w:rPr>
        <w:t xml:space="preserve">                                    </w:t>
      </w:r>
    </w:p>
    <w:p w14:paraId="6EE43066">
      <w:pPr>
        <w:pStyle w:val="12"/>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法定代表人（签字）：</w:t>
      </w:r>
      <w:r>
        <w:rPr>
          <w:rFonts w:ascii="Times New Roman" w:hAnsi="Times New Roman" w:eastAsia="宋体"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eastAsia="宋体" w:cs="Times New Roman"/>
          <w:color w:val="auto"/>
          <w:highlight w:val="none"/>
          <w:u w:val="single"/>
        </w:rPr>
        <w:t xml:space="preserve">    </w:t>
      </w:r>
    </w:p>
    <w:p w14:paraId="18254760">
      <w:pPr>
        <w:pStyle w:val="12"/>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法定代表人身份证号码：</w:t>
      </w:r>
      <w:r>
        <w:rPr>
          <w:rFonts w:ascii="Times New Roman" w:hAnsi="Times New Roman" w:eastAsia="宋体" w:cs="Times New Roman"/>
          <w:color w:val="auto"/>
          <w:highlight w:val="none"/>
          <w:u w:val="single"/>
        </w:rPr>
        <w:t xml:space="preserve">                                   </w:t>
      </w:r>
    </w:p>
    <w:p w14:paraId="4BFA272D">
      <w:pPr>
        <w:pStyle w:val="12"/>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委托代理人（签字）：</w:t>
      </w:r>
      <w:r>
        <w:rPr>
          <w:rFonts w:ascii="Times New Roman" w:hAnsi="Times New Roman" w:eastAsia="宋体"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eastAsia="宋体" w:cs="Times New Roman"/>
          <w:color w:val="auto"/>
          <w:highlight w:val="none"/>
          <w:u w:val="single"/>
        </w:rPr>
        <w:t xml:space="preserve">     </w:t>
      </w:r>
    </w:p>
    <w:p w14:paraId="1E35DFA1">
      <w:pPr>
        <w:pStyle w:val="12"/>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委托代理人身份证号码：</w:t>
      </w:r>
      <w:r>
        <w:rPr>
          <w:rFonts w:ascii="Times New Roman" w:hAnsi="Times New Roman" w:eastAsia="宋体" w:cs="Times New Roman"/>
          <w:color w:val="auto"/>
          <w:highlight w:val="none"/>
          <w:u w:val="single"/>
        </w:rPr>
        <w:t xml:space="preserve">                                   </w:t>
      </w:r>
    </w:p>
    <w:p w14:paraId="1AD7D27F">
      <w:pPr>
        <w:pStyle w:val="12"/>
        <w:spacing w:line="360" w:lineRule="exact"/>
        <w:ind w:firstLine="420"/>
        <w:rPr>
          <w:rFonts w:ascii="Times New Roman" w:hAnsi="Times New Roman" w:eastAsia="宋体" w:cs="Times New Roman"/>
          <w:color w:val="auto"/>
          <w:highlight w:val="none"/>
          <w:u w:val="single"/>
        </w:rPr>
      </w:pPr>
    </w:p>
    <w:p w14:paraId="753CF507">
      <w:pPr>
        <w:pStyle w:val="12"/>
        <w:spacing w:line="360" w:lineRule="exact"/>
        <w:ind w:firstLine="420"/>
        <w:rPr>
          <w:rFonts w:hint="eastAsia" w:ascii="宋体" w:hAnsi="宋体" w:cs="宋体"/>
          <w:color w:val="auto"/>
          <w:highlight w:val="none"/>
          <w:u w:val="single"/>
        </w:rPr>
      </w:pPr>
      <w:r>
        <w:rPr>
          <w:rFonts w:hint="eastAsia" w:hAnsi="宋体" w:cs="宋体"/>
          <w:color w:val="auto"/>
          <w:kern w:val="0"/>
          <w:szCs w:val="21"/>
          <w:highlight w:val="none"/>
        </w:rPr>
        <w:t>成员一名称</w:t>
      </w:r>
      <w:r>
        <w:rPr>
          <w:rFonts w:hint="eastAsia" w:ascii="宋体" w:hAnsi="宋体" w:cs="宋体"/>
          <w:color w:val="auto"/>
          <w:highlight w:val="none"/>
        </w:rPr>
        <w:t>（盖公章）：</w:t>
      </w:r>
      <w:r>
        <w:rPr>
          <w:rFonts w:hint="eastAsia" w:ascii="宋体" w:hAnsi="宋体" w:cs="宋体"/>
          <w:color w:val="auto"/>
          <w:highlight w:val="none"/>
          <w:u w:val="single"/>
        </w:rPr>
        <w:t xml:space="preserve">                                    </w:t>
      </w:r>
    </w:p>
    <w:p w14:paraId="13BD3F89">
      <w:pPr>
        <w:pStyle w:val="12"/>
        <w:spacing w:line="360" w:lineRule="exact"/>
        <w:ind w:firstLine="420"/>
        <w:rPr>
          <w:rFonts w:hint="eastAsia" w:ascii="宋体" w:hAnsi="宋体" w:cs="宋体"/>
          <w:color w:val="auto"/>
          <w:highlight w:val="none"/>
          <w:u w:val="single"/>
        </w:rPr>
      </w:pPr>
      <w:r>
        <w:rPr>
          <w:rFonts w:hint="eastAsia" w:ascii="宋体" w:hAnsi="宋体" w:cs="宋体"/>
          <w:color w:val="auto"/>
          <w:highlight w:val="none"/>
        </w:rPr>
        <w:t>法定代表人（签字）：</w:t>
      </w:r>
      <w:r>
        <w:rPr>
          <w:rFonts w:hint="eastAsia" w:ascii="宋体"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665DD9FF">
      <w:pPr>
        <w:pStyle w:val="7"/>
        <w:spacing w:line="360" w:lineRule="exact"/>
        <w:ind w:left="0" w:firstLine="420" w:firstLineChars="200"/>
        <w:rPr>
          <w:rFonts w:hint="eastAsia" w:ascii="宋体" w:hAnsi="宋体" w:cs="宋体"/>
          <w:color w:val="auto"/>
          <w:highlight w:val="none"/>
          <w:u w:val="singl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76621735">
      <w:pPr>
        <w:spacing w:line="360" w:lineRule="exact"/>
        <w:ind w:firstLine="420" w:firstLineChars="200"/>
        <w:rPr>
          <w:rFonts w:hint="eastAsia"/>
          <w:color w:val="auto"/>
          <w:highlight w:val="none"/>
        </w:rPr>
      </w:pPr>
      <w:r>
        <w:rPr>
          <w:rFonts w:hint="eastAsia" w:ascii="宋体" w:hAnsi="宋体" w:cs="宋体"/>
          <w:color w:val="auto"/>
          <w:highlight w:val="none"/>
        </w:rPr>
        <w:t>委托代理人身份证号码：</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6C015A81">
      <w:pPr>
        <w:pStyle w:val="12"/>
        <w:spacing w:line="360" w:lineRule="exact"/>
        <w:ind w:firstLine="420"/>
        <w:rPr>
          <w:rFonts w:hint="eastAsia" w:ascii="宋体" w:hAnsi="宋体" w:cs="宋体"/>
          <w:color w:val="auto"/>
          <w:highlight w:val="none"/>
          <w:u w:val="single"/>
        </w:rPr>
      </w:pPr>
    </w:p>
    <w:p w14:paraId="1B44935F">
      <w:pPr>
        <w:autoSpaceDE w:val="0"/>
        <w:autoSpaceDN w:val="0"/>
        <w:adjustRightIn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成员二名称（盖公章）：</w:t>
      </w:r>
      <w:r>
        <w:rPr>
          <w:rFonts w:hint="eastAsia" w:ascii="宋体" w:hAnsi="宋体" w:cs="宋体"/>
          <w:color w:val="auto"/>
          <w:kern w:val="0"/>
          <w:szCs w:val="21"/>
          <w:highlight w:val="none"/>
          <w:u w:val="single"/>
        </w:rPr>
        <w:t xml:space="preserve">                                    </w:t>
      </w:r>
    </w:p>
    <w:p w14:paraId="79FFE9CE">
      <w:pPr>
        <w:autoSpaceDE w:val="0"/>
        <w:autoSpaceDN w:val="0"/>
        <w:adjustRightIn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30FE7ACA">
      <w:pPr>
        <w:pStyle w:val="7"/>
        <w:spacing w:line="360" w:lineRule="exact"/>
        <w:ind w:left="0" w:firstLine="420" w:firstLineChars="200"/>
        <w:rPr>
          <w:rFonts w:hint="eastAsia" w:ascii="宋体" w:hAnsi="宋体" w:cs="宋体"/>
          <w:color w:val="auto"/>
          <w:highlight w:val="none"/>
          <w:u w:val="singl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4846A119">
      <w:pPr>
        <w:spacing w:line="360" w:lineRule="exact"/>
        <w:ind w:firstLine="420" w:firstLineChars="200"/>
        <w:rPr>
          <w:rFonts w:hint="eastAsia"/>
          <w:color w:val="auto"/>
          <w:highlight w:val="none"/>
        </w:rPr>
      </w:pPr>
      <w:r>
        <w:rPr>
          <w:rFonts w:hint="eastAsia" w:ascii="宋体" w:hAnsi="宋体" w:cs="宋体"/>
          <w:color w:val="auto"/>
          <w:highlight w:val="none"/>
        </w:rPr>
        <w:t>委托代理人身份证号码：</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6569AD24">
      <w:pPr>
        <w:pStyle w:val="12"/>
        <w:spacing w:line="360" w:lineRule="exact"/>
        <w:ind w:firstLine="420" w:firstLineChars="200"/>
        <w:rPr>
          <w:rFonts w:hint="eastAsia" w:eastAsia="宋体" w:cs="Times New Roman"/>
          <w:color w:val="auto"/>
          <w:highlight w:val="none"/>
        </w:rPr>
      </w:pPr>
      <w:r>
        <w:rPr>
          <w:rFonts w:hint="eastAsia" w:eastAsia="宋体" w:cs="Times New Roman"/>
          <w:color w:val="auto"/>
          <w:highlight w:val="none"/>
        </w:rPr>
        <w:t>......</w:t>
      </w:r>
    </w:p>
    <w:p w14:paraId="423D7F06">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77958A24">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1.法定代表人和委托代理人必须在授权委托书上</w:t>
      </w:r>
      <w:r>
        <w:rPr>
          <w:rFonts w:hint="eastAsia" w:ascii="宋体" w:hAnsi="宋体" w:eastAsia="宋体" w:cs="宋体"/>
          <w:color w:val="auto"/>
          <w:szCs w:val="21"/>
          <w:highlight w:val="none"/>
          <w:lang w:eastAsia="zh-CN"/>
        </w:rPr>
        <w:t>签字</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否则作无效投标处理</w:t>
      </w:r>
      <w:r>
        <w:rPr>
          <w:rFonts w:hint="eastAsia" w:ascii="宋体" w:hAnsi="宋体" w:cs="宋体"/>
          <w:b/>
          <w:bCs/>
          <w:color w:val="auto"/>
          <w:szCs w:val="21"/>
          <w:highlight w:val="none"/>
          <w:lang w:eastAsia="zh-CN"/>
        </w:rPr>
        <w:t>。</w:t>
      </w:r>
    </w:p>
    <w:p w14:paraId="77C246DF">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2.以联合体形式投标的，本授权委托书应由联合体牵头人的法定代表人按上述规定签署。</w:t>
      </w:r>
    </w:p>
    <w:p w14:paraId="1922BD89">
      <w:pPr>
        <w:snapToGrid w:val="0"/>
        <w:spacing w:before="50" w:after="120" w:afterLines="50"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为其他组织或者自然人时，本招标文件规定的法定代表人指负责人或者自然人。本招标文件所称负责人是指参加投标的其他组织营业执照上的负责人，本招标文件所称自然人指参与投标的自然人本人。</w:t>
      </w:r>
    </w:p>
    <w:p w14:paraId="4D782E64">
      <w:pPr>
        <w:snapToGrid w:val="0"/>
        <w:spacing w:before="50" w:after="120" w:afterLines="50"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若为联合体投标须各方签字或盖章。</w:t>
      </w:r>
    </w:p>
    <w:p w14:paraId="1A6A1039">
      <w:pPr>
        <w:spacing w:line="360" w:lineRule="auto"/>
        <w:rPr>
          <w:rFonts w:hint="eastAsia" w:ascii="宋体" w:hAnsi="Times New Roman" w:eastAsia="宋体" w:cs="Times New Roman"/>
          <w:b/>
          <w:color w:val="auto"/>
          <w:sz w:val="24"/>
          <w:highlight w:val="none"/>
        </w:rPr>
      </w:pPr>
    </w:p>
    <w:p w14:paraId="2138E56F">
      <w:pPr>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br w:type="page"/>
      </w:r>
    </w:p>
    <w:p w14:paraId="0F5A54AF">
      <w:pPr>
        <w:spacing w:line="360" w:lineRule="auto"/>
        <w:rPr>
          <w:rFonts w:hint="eastAsia" w:ascii="Times New Roman" w:hAnsi="Times New Roman" w:eastAsia="宋体" w:cs="Times New Roman"/>
          <w:b/>
          <w:color w:val="auto"/>
          <w:sz w:val="24"/>
          <w:highlight w:val="none"/>
        </w:rPr>
      </w:pPr>
      <w:r>
        <w:rPr>
          <w:rFonts w:hint="eastAsia" w:ascii="宋体" w:hAnsi="Times New Roman" w:eastAsia="宋体" w:cs="Times New Roman"/>
          <w:b/>
          <w:color w:val="auto"/>
          <w:sz w:val="24"/>
          <w:highlight w:val="none"/>
        </w:rPr>
        <w:t>附件：</w:t>
      </w:r>
    </w:p>
    <w:tbl>
      <w:tblPr>
        <w:tblStyle w:val="20"/>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4526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noWrap w:val="0"/>
            <w:vAlign w:val="top"/>
          </w:tcPr>
          <w:p w14:paraId="3AAFB8CA">
            <w:pPr>
              <w:spacing w:line="360" w:lineRule="auto"/>
              <w:rPr>
                <w:rFonts w:ascii="宋体" w:hAnsi="Times New Roman" w:eastAsia="宋体" w:cs="Times New Roman"/>
                <w:b/>
                <w:color w:val="auto"/>
                <w:sz w:val="24"/>
                <w:highlight w:val="none"/>
              </w:rPr>
            </w:pPr>
          </w:p>
          <w:p w14:paraId="6336A526">
            <w:pPr>
              <w:spacing w:line="360" w:lineRule="auto"/>
              <w:rPr>
                <w:rFonts w:hint="eastAsia" w:ascii="宋体" w:hAnsi="Times New Roman" w:eastAsia="宋体" w:cs="Times New Roman"/>
                <w:b/>
                <w:color w:val="auto"/>
                <w:sz w:val="24"/>
                <w:highlight w:val="none"/>
              </w:rPr>
            </w:pPr>
            <w:r>
              <w:rPr>
                <w:rFonts w:hint="eastAsia" w:ascii="Times New Roman" w:hAnsi="Times New Roman" w:eastAsia="宋体" w:cs="Times New Roman"/>
                <w:b/>
                <w:bCs/>
                <w:color w:val="auto"/>
                <w:sz w:val="24"/>
                <w:szCs w:val="24"/>
                <w:highlight w:val="none"/>
              </w:rPr>
              <w:t>委托代理人</w:t>
            </w:r>
            <w:r>
              <w:rPr>
                <w:rFonts w:hint="eastAsia" w:ascii="Times New Roman" w:hAnsi="Times New Roman" w:cs="Times New Roman"/>
                <w:b/>
                <w:bCs/>
                <w:color w:val="auto"/>
                <w:sz w:val="24"/>
                <w:szCs w:val="24"/>
                <w:highlight w:val="none"/>
                <w:lang w:eastAsia="zh-CN"/>
              </w:rPr>
              <w:t>有效</w:t>
            </w:r>
            <w:r>
              <w:rPr>
                <w:rFonts w:hint="eastAsia" w:ascii="宋体" w:hAnsi="Times New Roman" w:eastAsia="宋体" w:cs="Times New Roman"/>
                <w:b/>
                <w:color w:val="auto"/>
                <w:sz w:val="24"/>
                <w:highlight w:val="none"/>
              </w:rPr>
              <w:t>身份证复印件粘</w:t>
            </w:r>
            <w:r>
              <w:rPr>
                <w:rFonts w:hint="eastAsia" w:ascii="宋体" w:cs="Times New Roman"/>
                <w:b/>
                <w:color w:val="auto"/>
                <w:sz w:val="24"/>
                <w:highlight w:val="none"/>
                <w:lang w:val="en-US" w:eastAsia="zh-CN"/>
              </w:rPr>
              <w:t>贴</w:t>
            </w:r>
            <w:r>
              <w:rPr>
                <w:rFonts w:hint="eastAsia" w:ascii="宋体" w:hAnsi="Times New Roman" w:eastAsia="宋体" w:cs="Times New Roman"/>
                <w:b/>
                <w:color w:val="auto"/>
                <w:sz w:val="24"/>
                <w:highlight w:val="none"/>
              </w:rPr>
              <w:t>处（正、反面）</w:t>
            </w:r>
          </w:p>
        </w:tc>
      </w:tr>
    </w:tbl>
    <w:p w14:paraId="17B20730">
      <w:pPr>
        <w:snapToGrid w:val="0"/>
        <w:spacing w:before="50" w:after="120" w:afterLines="50" w:line="360" w:lineRule="auto"/>
        <w:jc w:val="left"/>
        <w:rPr>
          <w:rFonts w:hint="eastAsia" w:ascii="仿宋_GB2312" w:hAnsi="仿宋_GB2312" w:eastAsia="仿宋_GB2312" w:cs="仿宋_GB2312"/>
          <w:color w:val="auto"/>
          <w:szCs w:val="21"/>
          <w:highlight w:val="none"/>
        </w:rPr>
      </w:pPr>
    </w:p>
    <w:p w14:paraId="20D2DC9F">
      <w:pPr>
        <w:snapToGrid w:val="0"/>
        <w:spacing w:before="120" w:beforeLines="50" w:after="50"/>
        <w:ind w:firstLine="566" w:firstLineChars="236"/>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0B3C52C5">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55148F00">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2DE9EF14">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2A002FA2">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1FFFF4CC">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7B51E233">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3407FB3B">
      <w:pPr>
        <w:snapToGrid w:val="0"/>
        <w:spacing w:before="120" w:beforeLines="50" w:after="50"/>
        <w:ind w:firstLine="566" w:firstLineChars="236"/>
        <w:jc w:val="both"/>
        <w:rPr>
          <w:rFonts w:hint="eastAsia" w:ascii="宋体" w:hAnsi="宋体" w:eastAsia="宋体" w:cs="Times New Roman"/>
          <w:color w:val="auto"/>
          <w:highlight w:val="none"/>
        </w:rPr>
      </w:pPr>
      <w:r>
        <w:rPr>
          <w:rFonts w:hint="eastAsia" w:ascii="宋体" w:hAnsi="宋体" w:eastAsia="宋体" w:cs="Times New Roman"/>
          <w:color w:val="auto"/>
          <w:sz w:val="24"/>
          <w:highlight w:val="none"/>
        </w:rPr>
        <w:br w:type="page"/>
      </w:r>
    </w:p>
    <w:p w14:paraId="1EACEE4C">
      <w:pPr>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eastAsia="zh-CN"/>
        </w:rPr>
        <w:t>：</w:t>
      </w:r>
    </w:p>
    <w:p w14:paraId="33533F95">
      <w:pPr>
        <w:jc w:val="center"/>
        <w:rPr>
          <w:rFonts w:hint="eastAsia" w:ascii="Times New Roman" w:hAnsi="Times New Roman" w:eastAsia="宋体" w:cs="Times New Roman"/>
          <w:b/>
          <w:bCs/>
          <w:color w:val="auto"/>
          <w:sz w:val="30"/>
          <w:szCs w:val="30"/>
          <w:highlight w:val="none"/>
        </w:rPr>
      </w:pPr>
    </w:p>
    <w:p w14:paraId="453F0B03">
      <w:pPr>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商务条款偏离表</w:t>
      </w:r>
    </w:p>
    <w:p w14:paraId="15BF875D">
      <w:pPr>
        <w:spacing w:line="360" w:lineRule="auto"/>
        <w:ind w:firstLine="0" w:firstLineChars="0"/>
        <w:contextualSpacing/>
        <w:rPr>
          <w:rFonts w:hint="eastAsia" w:ascii="宋体" w:hAnsi="宋体" w:cs="宋体"/>
          <w:color w:val="auto"/>
          <w:sz w:val="24"/>
          <w:highlight w:val="none"/>
        </w:rPr>
      </w:pPr>
    </w:p>
    <w:p w14:paraId="2B3DD0A5">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4852DBCA">
      <w:pPr>
        <w:snapToGrid/>
        <w:spacing w:before="0" w:line="360" w:lineRule="auto"/>
        <w:contextualSpacing/>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14:paraId="0AD5A61E">
      <w:pPr>
        <w:pStyle w:val="12"/>
        <w:spacing w:line="480" w:lineRule="auto"/>
        <w:ind w:left="-422" w:leftChars="-201" w:firstLine="424"/>
        <w:rPr>
          <w:rFonts w:hint="eastAsia"/>
          <w:color w:val="auto"/>
          <w:highlight w:val="none"/>
        </w:rPr>
      </w:pPr>
      <w:r>
        <w:rPr>
          <w:rFonts w:hint="eastAsia" w:hAnsi="宋体" w:cs="宋体"/>
          <w:color w:val="auto"/>
          <w:sz w:val="24"/>
          <w:szCs w:val="24"/>
          <w:highlight w:val="none"/>
          <w:lang w:eastAsia="zh-CN"/>
        </w:rPr>
        <w:t>所投</w:t>
      </w:r>
      <w:r>
        <w:rPr>
          <w:rFonts w:hint="eastAsia" w:ascii="宋体" w:hAnsi="宋体" w:cs="宋体"/>
          <w:color w:val="auto"/>
          <w:sz w:val="24"/>
          <w:szCs w:val="24"/>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tbl>
      <w:tblPr>
        <w:tblStyle w:val="20"/>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79"/>
        <w:gridCol w:w="3229"/>
        <w:gridCol w:w="1917"/>
      </w:tblGrid>
      <w:tr w14:paraId="3F06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4" w:type="dxa"/>
            <w:tcBorders>
              <w:top w:val="single" w:color="auto" w:sz="4" w:space="0"/>
              <w:left w:val="single" w:color="auto" w:sz="4" w:space="0"/>
              <w:bottom w:val="single" w:color="auto" w:sz="4" w:space="0"/>
              <w:right w:val="single" w:color="auto" w:sz="4" w:space="0"/>
            </w:tcBorders>
            <w:noWrap w:val="0"/>
            <w:vAlign w:val="center"/>
          </w:tcPr>
          <w:p w14:paraId="5AF91BDD">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379" w:type="dxa"/>
            <w:tcBorders>
              <w:top w:val="single" w:color="auto" w:sz="4" w:space="0"/>
              <w:left w:val="single" w:color="auto" w:sz="4" w:space="0"/>
              <w:bottom w:val="single" w:color="auto" w:sz="4" w:space="0"/>
              <w:right w:val="single" w:color="auto" w:sz="4" w:space="0"/>
            </w:tcBorders>
            <w:noWrap w:val="0"/>
            <w:vAlign w:val="center"/>
          </w:tcPr>
          <w:p w14:paraId="19B678A1">
            <w:pPr>
              <w:spacing w:line="3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招标文件的商务</w:t>
            </w:r>
            <w:r>
              <w:rPr>
                <w:rFonts w:hint="eastAsia" w:ascii="宋体" w:hAnsi="宋体" w:cs="宋体"/>
                <w:color w:val="auto"/>
                <w:szCs w:val="21"/>
                <w:highlight w:val="none"/>
                <w:lang w:val="en-US" w:eastAsia="zh-CN"/>
              </w:rPr>
              <w:t>条款</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4D53C0F0">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的商务条款</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37D6C780">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37F5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7F303E34">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一</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569E6BBE">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1DC3F4C4">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1AD51B3E">
            <w:pPr>
              <w:spacing w:line="300" w:lineRule="exact"/>
              <w:rPr>
                <w:rFonts w:hint="eastAsia" w:ascii="宋体" w:hAnsi="宋体" w:cs="宋体"/>
                <w:color w:val="auto"/>
                <w:szCs w:val="21"/>
                <w:highlight w:val="none"/>
              </w:rPr>
            </w:pPr>
          </w:p>
        </w:tc>
      </w:tr>
      <w:tr w14:paraId="6F45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21D273EF">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二</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12C87F25">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4264A4D5">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47EDCD01">
            <w:pPr>
              <w:spacing w:line="300" w:lineRule="exact"/>
              <w:rPr>
                <w:rFonts w:hint="eastAsia" w:ascii="宋体" w:hAnsi="宋体" w:cs="宋体"/>
                <w:color w:val="auto"/>
                <w:szCs w:val="21"/>
                <w:highlight w:val="none"/>
              </w:rPr>
            </w:pPr>
          </w:p>
        </w:tc>
      </w:tr>
      <w:tr w14:paraId="5EC2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3D1EEB50">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08E4145D">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10873A10">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661BF9D1">
            <w:pPr>
              <w:spacing w:line="300" w:lineRule="exact"/>
              <w:rPr>
                <w:rFonts w:hint="eastAsia" w:ascii="宋体" w:hAnsi="宋体" w:cs="宋体"/>
                <w:color w:val="auto"/>
                <w:szCs w:val="21"/>
                <w:highlight w:val="none"/>
              </w:rPr>
            </w:pPr>
          </w:p>
        </w:tc>
      </w:tr>
    </w:tbl>
    <w:p w14:paraId="43611E26">
      <w:pPr>
        <w:pStyle w:val="12"/>
        <w:spacing w:line="360" w:lineRule="auto"/>
        <w:ind w:left="-708" w:leftChars="-337"/>
        <w:rPr>
          <w:rFonts w:hint="eastAsia" w:ascii="Times New Roman" w:hAnsi="Times New Roman" w:eastAsia="宋体" w:cs="Times New Roman"/>
          <w:color w:val="auto"/>
          <w:highlight w:val="none"/>
        </w:rPr>
      </w:pPr>
    </w:p>
    <w:p w14:paraId="40E59711">
      <w:pPr>
        <w:pStyle w:val="12"/>
        <w:spacing w:line="360" w:lineRule="auto"/>
        <w:ind w:left="0" w:leftChars="0"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w:t>
      </w:r>
    </w:p>
    <w:p w14:paraId="508EEAAB">
      <w:pPr>
        <w:pStyle w:val="12"/>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1.表格内容均需按要求填写并加盖投标人公章。</w:t>
      </w:r>
    </w:p>
    <w:p w14:paraId="0ABE5380">
      <w:pPr>
        <w:pStyle w:val="12"/>
        <w:spacing w:line="360" w:lineRule="auto"/>
        <w:ind w:left="-424" w:leftChars="-202" w:firstLine="846" w:firstLineChars="0"/>
        <w:rPr>
          <w:rFonts w:hint="eastAsia" w:ascii="宋体" w:hAnsi="宋体" w:eastAsia="宋体" w:cs="宋体"/>
          <w:color w:val="auto"/>
          <w:highlight w:val="none"/>
        </w:rPr>
      </w:pPr>
      <w:r>
        <w:rPr>
          <w:rFonts w:hint="eastAsia" w:hAnsi="宋体" w:cs="宋体"/>
          <w:bCs/>
          <w:color w:val="auto"/>
          <w:szCs w:val="21"/>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w:t>
      </w:r>
      <w:r>
        <w:rPr>
          <w:rFonts w:hint="eastAsia" w:hAnsi="宋体" w:cs="宋体"/>
          <w:color w:val="auto"/>
          <w:highlight w:val="none"/>
          <w:lang w:eastAsia="zh-CN"/>
        </w:rPr>
        <w:t>必须</w:t>
      </w:r>
      <w:r>
        <w:rPr>
          <w:rFonts w:hint="eastAsia" w:ascii="宋体" w:hAnsi="宋体" w:cs="宋体"/>
          <w:color w:val="auto"/>
          <w:highlight w:val="none"/>
        </w:rPr>
        <w:t>对本项目</w:t>
      </w:r>
      <w:r>
        <w:rPr>
          <w:rFonts w:hint="eastAsia" w:ascii="宋体" w:hAnsi="宋体" w:cs="宋体"/>
          <w:color w:val="auto"/>
          <w:highlight w:val="none"/>
          <w:lang w:val="en-US" w:eastAsia="zh-CN"/>
        </w:rPr>
        <w:t>招标</w:t>
      </w:r>
      <w:r>
        <w:rPr>
          <w:rFonts w:hint="eastAsia" w:ascii="宋体" w:hAnsi="宋体" w:cs="宋体"/>
          <w:color w:val="auto"/>
          <w:highlight w:val="none"/>
        </w:rPr>
        <w:t>文件“第二章</w:t>
      </w:r>
      <w:r>
        <w:rPr>
          <w:rFonts w:hint="eastAsia" w:ascii="宋体" w:hAnsi="宋体" w:cs="宋体"/>
          <w:color w:val="auto"/>
          <w:highlight w:val="none"/>
          <w:lang w:val="en-US" w:eastAsia="zh-CN"/>
        </w:rPr>
        <w:t xml:space="preserve">  </w:t>
      </w:r>
      <w:r>
        <w:rPr>
          <w:rFonts w:hint="eastAsia" w:ascii="宋体" w:hAnsi="宋体" w:cs="宋体"/>
          <w:b/>
          <w:color w:val="auto"/>
          <w:sz w:val="21"/>
          <w:szCs w:val="21"/>
          <w:highlight w:val="none"/>
        </w:rPr>
        <w:t>采购需求</w:t>
      </w:r>
      <w:r>
        <w:rPr>
          <w:rFonts w:hint="eastAsia" w:ascii="宋体" w:hAnsi="宋体" w:cs="宋体"/>
          <w:color w:val="auto"/>
          <w:highlight w:val="none"/>
        </w:rPr>
        <w:t>”中“商务条款”的</w:t>
      </w:r>
      <w:r>
        <w:rPr>
          <w:rFonts w:hint="eastAsia" w:ascii="宋体" w:hAnsi="宋体" w:cs="宋体"/>
          <w:color w:val="auto"/>
          <w:highlight w:val="none"/>
          <w:lang w:val="en-US" w:eastAsia="zh-CN"/>
        </w:rPr>
        <w:t>全部</w:t>
      </w:r>
      <w:r>
        <w:rPr>
          <w:rFonts w:hint="eastAsia" w:ascii="宋体" w:hAnsi="宋体" w:cs="宋体"/>
          <w:color w:val="auto"/>
          <w:highlight w:val="none"/>
        </w:rPr>
        <w:t>要求，详细填写</w:t>
      </w:r>
      <w:r>
        <w:rPr>
          <w:rFonts w:hint="eastAsia" w:hAnsi="宋体" w:cs="宋体"/>
          <w:color w:val="auto"/>
          <w:highlight w:val="none"/>
          <w:lang w:val="en-US" w:eastAsia="zh-CN"/>
        </w:rPr>
        <w:t>响应</w:t>
      </w:r>
      <w:r>
        <w:rPr>
          <w:rFonts w:hint="eastAsia" w:ascii="宋体" w:hAnsi="宋体" w:cs="宋体"/>
          <w:color w:val="auto"/>
          <w:highlight w:val="none"/>
        </w:rPr>
        <w:t>的具体内容</w:t>
      </w:r>
      <w:r>
        <w:rPr>
          <w:rFonts w:hint="eastAsia" w:hAnsi="宋体" w:cs="宋体"/>
          <w:color w:val="auto"/>
          <w:highlight w:val="none"/>
          <w:lang w:eastAsia="zh-CN"/>
        </w:rPr>
        <w:t>，</w:t>
      </w:r>
      <w:r>
        <w:rPr>
          <w:rFonts w:hint="eastAsia" w:ascii="宋体" w:hAnsi="宋体" w:cs="宋体"/>
          <w:b w:val="0"/>
          <w:bCs w:val="0"/>
          <w:color w:val="auto"/>
          <w:kern w:val="0"/>
          <w:szCs w:val="21"/>
          <w:highlight w:val="none"/>
          <w:lang w:val="zh-CN" w:eastAsia="zh-CN"/>
        </w:rPr>
        <w:t>并作出偏离说明</w:t>
      </w:r>
      <w:r>
        <w:rPr>
          <w:rFonts w:hint="eastAsia" w:ascii="宋体" w:hAnsi="宋体" w:eastAsia="宋体" w:cs="宋体"/>
          <w:color w:val="auto"/>
          <w:highlight w:val="none"/>
        </w:rPr>
        <w:t>。“偏离说明”一栏应当选择“正偏离”</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“负偏离”或“无偏离”进行填写。</w:t>
      </w:r>
    </w:p>
    <w:p w14:paraId="476BC57C">
      <w:pPr>
        <w:pStyle w:val="12"/>
        <w:spacing w:line="360" w:lineRule="auto"/>
        <w:ind w:left="-603" w:leftChars="-287"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3.当投标文件的商务内容低于招标文件要求时，投标人应当如实写明“负偏离”。</w:t>
      </w:r>
    </w:p>
    <w:p w14:paraId="122318D2">
      <w:pPr>
        <w:pStyle w:val="12"/>
        <w:spacing w:line="360" w:lineRule="auto"/>
        <w:ind w:left="-708" w:leftChars="-337" w:firstLine="1050" w:firstLineChars="500"/>
        <w:rPr>
          <w:rFonts w:hint="eastAsia" w:ascii="宋体" w:hAnsi="宋体" w:eastAsia="宋体" w:cs="宋体"/>
          <w:color w:val="auto"/>
          <w:szCs w:val="21"/>
          <w:highlight w:val="none"/>
        </w:rPr>
      </w:pPr>
    </w:p>
    <w:p w14:paraId="3E7E1D9D">
      <w:pPr>
        <w:snapToGrid w:val="0"/>
        <w:spacing w:before="50" w:after="50"/>
        <w:rPr>
          <w:rFonts w:ascii="宋体" w:hAnsi="宋体" w:eastAsia="宋体" w:cs="Times New Roman"/>
          <w:color w:val="auto"/>
          <w:sz w:val="24"/>
          <w:highlight w:val="none"/>
        </w:rPr>
      </w:pPr>
    </w:p>
    <w:p w14:paraId="01AF5622">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163D5391">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99824BA">
      <w:pPr>
        <w:rPr>
          <w:rFonts w:hint="eastAsia"/>
          <w:color w:val="auto"/>
          <w:highlight w:val="none"/>
        </w:rPr>
      </w:pPr>
    </w:p>
    <w:p w14:paraId="0E944610">
      <w:pPr>
        <w:widowControl/>
        <w:jc w:val="left"/>
        <w:rPr>
          <w:b/>
          <w:bCs/>
          <w:color w:val="auto"/>
          <w:sz w:val="30"/>
          <w:szCs w:val="30"/>
          <w:highlight w:val="none"/>
        </w:rPr>
        <w:sectPr>
          <w:pgSz w:w="11905" w:h="16838"/>
          <w:pgMar w:top="1134" w:right="1134" w:bottom="1134" w:left="1134" w:header="850" w:footer="850" w:gutter="0"/>
          <w:pgNumType w:fmt="decimal"/>
          <w:cols w:space="0" w:num="1"/>
          <w:titlePg/>
          <w:rtlGutter w:val="0"/>
          <w:docGrid w:linePitch="331" w:charSpace="0"/>
        </w:sectPr>
      </w:pPr>
    </w:p>
    <w:p w14:paraId="2E18D57A">
      <w:pPr>
        <w:snapToGrid w:val="0"/>
        <w:spacing w:before="165" w:beforeLines="50" w:after="50"/>
        <w:ind w:left="0" w:leftChars="0" w:firstLine="0" w:firstLineChars="0"/>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 xml:space="preserve"> </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服务要求偏离表</w:t>
      </w:r>
      <w:r>
        <w:rPr>
          <w:rFonts w:hint="eastAsia"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color w:val="auto"/>
          <w:sz w:val="28"/>
          <w:szCs w:val="28"/>
          <w:highlight w:val="none"/>
          <w:lang w:eastAsia="zh-CN"/>
        </w:rPr>
        <w:t>：</w:t>
      </w:r>
    </w:p>
    <w:p w14:paraId="73EAA909">
      <w:pPr>
        <w:pStyle w:val="12"/>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服务</w:t>
      </w:r>
      <w:r>
        <w:rPr>
          <w:rFonts w:hint="eastAsia" w:ascii="Times New Roman" w:hAnsi="Times New Roman" w:cs="Times New Roman"/>
          <w:b/>
          <w:bCs/>
          <w:color w:val="auto"/>
          <w:sz w:val="30"/>
          <w:szCs w:val="30"/>
          <w:highlight w:val="none"/>
          <w:lang w:eastAsia="zh-CN"/>
        </w:rPr>
        <w:t>要求</w:t>
      </w:r>
      <w:r>
        <w:rPr>
          <w:rFonts w:hint="eastAsia" w:ascii="Times New Roman" w:hAnsi="Times New Roman" w:eastAsia="宋体" w:cs="Times New Roman"/>
          <w:b/>
          <w:bCs/>
          <w:color w:val="auto"/>
          <w:sz w:val="30"/>
          <w:szCs w:val="30"/>
          <w:highlight w:val="none"/>
        </w:rPr>
        <w:t>偏离表</w:t>
      </w:r>
    </w:p>
    <w:p w14:paraId="2DFBF1A9">
      <w:pPr>
        <w:pStyle w:val="12"/>
        <w:spacing w:line="440" w:lineRule="exact"/>
        <w:ind w:firstLine="420" w:firstLineChars="200"/>
        <w:rPr>
          <w:rFonts w:eastAsia="宋体" w:cs="Times New Roman"/>
          <w:color w:val="auto"/>
          <w:highlight w:val="none"/>
        </w:rPr>
      </w:pPr>
    </w:p>
    <w:p w14:paraId="48F2B66B">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w:t>
      </w:r>
      <w:r>
        <w:rPr>
          <w:rFonts w:hint="eastAsia" w:hAnsi="宋体" w:cs="宋体"/>
          <w:color w:val="auto"/>
          <w:sz w:val="24"/>
          <w:highlight w:val="none"/>
        </w:rPr>
        <w:t>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70AFB8B6">
      <w:pPr>
        <w:pStyle w:val="12"/>
        <w:spacing w:line="600" w:lineRule="exact"/>
        <w:ind w:firstLine="0" w:firstLineChars="0"/>
        <w:rPr>
          <w:rFonts w:hint="eastAsia" w:hAnsi="宋体" w:cs="宋体"/>
          <w:color w:val="auto"/>
          <w:sz w:val="24"/>
          <w:highlight w:val="none"/>
          <w:u w:val="single"/>
        </w:rPr>
      </w:pPr>
      <w:r>
        <w:rPr>
          <w:rFonts w:hint="eastAsia" w:hAnsi="宋体" w:cs="宋体"/>
          <w:color w:val="auto"/>
          <w:sz w:val="24"/>
          <w:highlight w:val="none"/>
        </w:rPr>
        <w:t>项目</w:t>
      </w:r>
      <w:r>
        <w:rPr>
          <w:rFonts w:hint="eastAsia" w:ascii="宋体" w:hAnsi="宋体" w:cs="宋体"/>
          <w:color w:val="auto"/>
          <w:sz w:val="24"/>
          <w:highlight w:val="none"/>
        </w:rPr>
        <w:t>编号</w:t>
      </w:r>
      <w:r>
        <w:rPr>
          <w:rFonts w:hint="eastAsia" w:hAnsi="宋体" w:cs="宋体"/>
          <w:color w:val="auto"/>
          <w:sz w:val="24"/>
          <w:highlight w:val="none"/>
        </w:rPr>
        <w:t>：</w:t>
      </w:r>
      <w:r>
        <w:rPr>
          <w:rFonts w:hint="eastAsia" w:hAnsi="宋体" w:cs="宋体"/>
          <w:color w:val="auto"/>
          <w:sz w:val="24"/>
          <w:highlight w:val="none"/>
          <w:u w:val="single"/>
        </w:rPr>
        <w:t xml:space="preserve">                 </w:t>
      </w:r>
    </w:p>
    <w:p w14:paraId="3F41826C">
      <w:pPr>
        <w:pStyle w:val="7"/>
        <w:rPr>
          <w:rFonts w:hint="eastAsia"/>
          <w:color w:val="auto"/>
          <w:highlight w:val="none"/>
        </w:rPr>
      </w:pPr>
    </w:p>
    <w:p w14:paraId="0A29C35F">
      <w:pPr>
        <w:pStyle w:val="7"/>
        <w:ind w:left="0" w:firstLine="0" w:firstLineChars="0"/>
        <w:rPr>
          <w:rFonts w:hint="eastAsia" w:ascii="宋体" w:hAnsi="宋体" w:cs="宋体"/>
          <w:color w:val="auto"/>
          <w:sz w:val="24"/>
          <w:highlight w:val="none"/>
          <w:u w:val="single"/>
        </w:rPr>
      </w:pPr>
      <w:r>
        <w:rPr>
          <w:rFonts w:hint="eastAsia" w:hAnsi="宋体" w:cs="宋体"/>
          <w:color w:val="auto"/>
          <w:sz w:val="24"/>
          <w:szCs w:val="20"/>
          <w:highlight w:val="none"/>
          <w:lang w:eastAsia="zh-CN"/>
        </w:rPr>
        <w:t>所投</w:t>
      </w:r>
      <w:r>
        <w:rPr>
          <w:rFonts w:hint="eastAsia" w:ascii="宋体" w:hAnsi="宋体" w:cs="宋体"/>
          <w:color w:val="auto"/>
          <w:sz w:val="24"/>
          <w:szCs w:val="20"/>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p w14:paraId="572C4468">
      <w:pPr>
        <w:rPr>
          <w:rFonts w:hint="eastAsia"/>
          <w:color w:val="auto"/>
          <w:highlight w:val="none"/>
        </w:rPr>
      </w:pPr>
    </w:p>
    <w:tbl>
      <w:tblPr>
        <w:tblStyle w:val="20"/>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14:paraId="5BAC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1AD04C05">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项号</w:t>
            </w:r>
          </w:p>
        </w:tc>
        <w:tc>
          <w:tcPr>
            <w:tcW w:w="1262" w:type="dxa"/>
            <w:tcBorders>
              <w:top w:val="single" w:color="auto" w:sz="4" w:space="0"/>
              <w:left w:val="single" w:color="auto" w:sz="4" w:space="0"/>
              <w:right w:val="single" w:color="auto" w:sz="4" w:space="0"/>
            </w:tcBorders>
            <w:noWrap w:val="0"/>
            <w:vAlign w:val="center"/>
          </w:tcPr>
          <w:p w14:paraId="6DFB7ECC">
            <w:pPr>
              <w:jc w:val="center"/>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标的</w:t>
            </w:r>
            <w:r>
              <w:rPr>
                <w:rFonts w:hint="eastAsia" w:ascii="宋体" w:hAnsi="宋体" w:eastAsia="宋体" w:cs="Times New Roman"/>
                <w:color w:val="auto"/>
                <w:szCs w:val="21"/>
                <w:highlight w:val="none"/>
              </w:rPr>
              <w:t>名称</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50D95FA3">
            <w:pPr>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招标文件</w:t>
            </w:r>
            <w:r>
              <w:rPr>
                <w:rFonts w:hint="eastAsia" w:ascii="宋体" w:hAnsi="宋体" w:cs="Times New Roman"/>
                <w:color w:val="auto"/>
                <w:szCs w:val="21"/>
                <w:highlight w:val="none"/>
                <w:lang w:eastAsia="zh-CN"/>
              </w:rPr>
              <w:t>采购需求</w:t>
            </w:r>
            <w:r>
              <w:rPr>
                <w:rFonts w:hint="eastAsia" w:ascii="宋体" w:hAnsi="宋体" w:cs="Times New Roman"/>
                <w:color w:val="auto"/>
                <w:szCs w:val="21"/>
                <w:highlight w:val="none"/>
                <w:lang w:val="en-US" w:eastAsia="zh-CN"/>
              </w:rPr>
              <w:t>中的</w:t>
            </w:r>
            <w:r>
              <w:rPr>
                <w:rFonts w:hint="eastAsia" w:ascii="宋体" w:hAnsi="宋体" w:eastAsia="宋体" w:cs="Times New Roman"/>
                <w:color w:val="auto"/>
                <w:szCs w:val="21"/>
                <w:highlight w:val="none"/>
              </w:rPr>
              <w:t>服务</w:t>
            </w:r>
            <w:r>
              <w:rPr>
                <w:rFonts w:hint="eastAsia" w:ascii="宋体" w:hAnsi="宋体" w:cs="Times New Roman"/>
                <w:color w:val="auto"/>
                <w:szCs w:val="21"/>
                <w:highlight w:val="none"/>
                <w:lang w:val="en-US" w:eastAsia="zh-CN"/>
              </w:rPr>
              <w:t>要求</w:t>
            </w:r>
          </w:p>
        </w:tc>
        <w:tc>
          <w:tcPr>
            <w:tcW w:w="3477" w:type="dxa"/>
            <w:tcBorders>
              <w:top w:val="single" w:color="auto" w:sz="4" w:space="0"/>
              <w:left w:val="single" w:color="auto" w:sz="4" w:space="0"/>
              <w:right w:val="single" w:color="auto" w:sz="4" w:space="0"/>
            </w:tcBorders>
            <w:noWrap w:val="0"/>
            <w:vAlign w:val="center"/>
          </w:tcPr>
          <w:p w14:paraId="68ABCE58">
            <w:pPr>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eastAsia="zh-CN"/>
              </w:rPr>
              <w:t>投标</w:t>
            </w:r>
            <w:r>
              <w:rPr>
                <w:rFonts w:hint="eastAsia" w:ascii="宋体" w:hAnsi="宋体" w:eastAsia="宋体" w:cs="Times New Roman"/>
                <w:color w:val="auto"/>
                <w:szCs w:val="21"/>
                <w:highlight w:val="none"/>
              </w:rPr>
              <w:t>文件</w:t>
            </w:r>
            <w:r>
              <w:rPr>
                <w:rFonts w:hint="eastAsia" w:ascii="宋体" w:hAnsi="宋体" w:cs="Times New Roman"/>
                <w:color w:val="auto"/>
                <w:szCs w:val="21"/>
                <w:highlight w:val="none"/>
                <w:lang w:val="en-US" w:eastAsia="zh-CN"/>
              </w:rPr>
              <w:t>响应的</w:t>
            </w:r>
            <w:r>
              <w:rPr>
                <w:rFonts w:hint="eastAsia" w:ascii="宋体" w:hAnsi="宋体" w:cs="Times New Roman"/>
                <w:color w:val="auto"/>
                <w:szCs w:val="21"/>
                <w:highlight w:val="none"/>
                <w:lang w:eastAsia="zh-CN"/>
              </w:rPr>
              <w:t>服务内容</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635390B">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偏离说明</w:t>
            </w:r>
          </w:p>
        </w:tc>
      </w:tr>
      <w:tr w14:paraId="4B03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5BDC5CBD">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13533578">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1BF18640">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5100CCEB">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7EB26DF">
            <w:pPr>
              <w:rPr>
                <w:rFonts w:hint="eastAsia" w:ascii="宋体" w:hAnsi="宋体" w:eastAsia="宋体" w:cs="Times New Roman"/>
                <w:color w:val="auto"/>
                <w:szCs w:val="21"/>
                <w:highlight w:val="none"/>
              </w:rPr>
            </w:pPr>
          </w:p>
        </w:tc>
      </w:tr>
      <w:tr w14:paraId="3875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669B5564">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587A5A2B">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25466896">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50DC662D">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99233BA">
            <w:pPr>
              <w:rPr>
                <w:rFonts w:hint="eastAsia" w:ascii="宋体" w:hAnsi="宋体" w:eastAsia="宋体" w:cs="Times New Roman"/>
                <w:color w:val="auto"/>
                <w:szCs w:val="21"/>
                <w:highlight w:val="none"/>
              </w:rPr>
            </w:pPr>
          </w:p>
        </w:tc>
      </w:tr>
      <w:tr w14:paraId="638C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189D9B5A">
            <w:pPr>
              <w:rPr>
                <w:rFonts w:hint="eastAsia" w:ascii="宋体" w:hAnsi="宋体" w:eastAsia="宋体" w:cs="Times New Roman"/>
                <w:color w:val="auto"/>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33AEB853">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33C56630">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2EE17032">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CA0388B">
            <w:pPr>
              <w:rPr>
                <w:rFonts w:hint="eastAsia" w:ascii="宋体" w:hAnsi="宋体" w:eastAsia="宋体" w:cs="Times New Roman"/>
                <w:color w:val="auto"/>
                <w:szCs w:val="21"/>
                <w:highlight w:val="none"/>
              </w:rPr>
            </w:pPr>
          </w:p>
        </w:tc>
      </w:tr>
      <w:tr w14:paraId="2FF8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64D771F6">
            <w:pPr>
              <w:rPr>
                <w:rFonts w:hint="eastAsia" w:ascii="宋体" w:hAnsi="宋体" w:eastAsia="宋体" w:cs="Times New Roman"/>
                <w:color w:val="auto"/>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22E207E0">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45A51DB2">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7A4DE583">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3DC4682">
            <w:pPr>
              <w:rPr>
                <w:rFonts w:hint="eastAsia" w:ascii="宋体" w:hAnsi="宋体" w:eastAsia="宋体" w:cs="Times New Roman"/>
                <w:color w:val="auto"/>
                <w:szCs w:val="21"/>
                <w:highlight w:val="none"/>
              </w:rPr>
            </w:pPr>
          </w:p>
        </w:tc>
      </w:tr>
      <w:tr w14:paraId="59F9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429C150A">
            <w:pPr>
              <w:rPr>
                <w:rFonts w:hint="eastAsia" w:ascii="宋体" w:hAnsi="宋体" w:eastAsia="宋体" w:cs="Times New Roman"/>
                <w:color w:val="auto"/>
                <w:szCs w:val="21"/>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6CC34E2F">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4C1342E7">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57D7BB80">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335840A">
            <w:pPr>
              <w:rPr>
                <w:rFonts w:hint="eastAsia" w:ascii="宋体" w:hAnsi="宋体" w:eastAsia="宋体" w:cs="Times New Roman"/>
                <w:color w:val="auto"/>
                <w:szCs w:val="21"/>
                <w:highlight w:val="none"/>
              </w:rPr>
            </w:pPr>
          </w:p>
        </w:tc>
      </w:tr>
      <w:tr w14:paraId="0A0A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29261456">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719FB70D">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29A5F368">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7A2E1291">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9282D99">
            <w:pPr>
              <w:rPr>
                <w:rFonts w:hint="eastAsia" w:ascii="宋体" w:hAnsi="宋体" w:eastAsia="宋体" w:cs="Times New Roman"/>
                <w:color w:val="auto"/>
                <w:szCs w:val="21"/>
                <w:highlight w:val="none"/>
              </w:rPr>
            </w:pPr>
          </w:p>
        </w:tc>
      </w:tr>
    </w:tbl>
    <w:p w14:paraId="6451E5DC">
      <w:pPr>
        <w:pStyle w:val="12"/>
        <w:spacing w:line="360" w:lineRule="auto"/>
        <w:ind w:firstLine="0" w:firstLineChars="0"/>
        <w:rPr>
          <w:rFonts w:hint="eastAsia" w:hAnsi="宋体" w:cs="宋体"/>
          <w:color w:val="auto"/>
          <w:szCs w:val="21"/>
          <w:highlight w:val="none"/>
        </w:rPr>
      </w:pPr>
    </w:p>
    <w:p w14:paraId="73F00D17">
      <w:pPr>
        <w:pStyle w:val="12"/>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注：</w:t>
      </w:r>
    </w:p>
    <w:p w14:paraId="0BA518C6">
      <w:pPr>
        <w:pStyle w:val="12"/>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1.表格内容均需按要求填写并</w:t>
      </w:r>
      <w:r>
        <w:rPr>
          <w:rFonts w:hint="eastAsia" w:hAnsi="宋体" w:cs="宋体"/>
          <w:color w:val="auto"/>
          <w:szCs w:val="21"/>
          <w:highlight w:val="none"/>
          <w:lang w:eastAsia="zh-CN"/>
        </w:rPr>
        <w:t>加</w:t>
      </w:r>
      <w:r>
        <w:rPr>
          <w:rFonts w:hint="eastAsia" w:hAnsi="宋体" w:cs="宋体"/>
          <w:color w:val="auto"/>
          <w:szCs w:val="21"/>
          <w:highlight w:val="none"/>
        </w:rPr>
        <w:t>盖</w:t>
      </w:r>
      <w:r>
        <w:rPr>
          <w:rFonts w:hint="eastAsia" w:hAnsi="宋体" w:cs="宋体"/>
          <w:color w:val="auto"/>
          <w:szCs w:val="21"/>
          <w:highlight w:val="none"/>
          <w:lang w:eastAsia="zh-CN"/>
        </w:rPr>
        <w:t>投标人公</w:t>
      </w:r>
      <w:r>
        <w:rPr>
          <w:rFonts w:hint="eastAsia" w:hAnsi="宋体" w:cs="宋体"/>
          <w:color w:val="auto"/>
          <w:szCs w:val="21"/>
          <w:highlight w:val="none"/>
        </w:rPr>
        <w:t>章。</w:t>
      </w:r>
    </w:p>
    <w:p w14:paraId="7CCFB438">
      <w:pPr>
        <w:pStyle w:val="12"/>
        <w:spacing w:line="360" w:lineRule="auto"/>
        <w:ind w:firstLine="420" w:firstLineChars="200"/>
        <w:rPr>
          <w:rFonts w:hint="eastAsia" w:ascii="宋体" w:hAnsi="宋体" w:eastAsia="宋体" w:cs="宋体"/>
          <w:bCs w:val="0"/>
          <w:color w:val="auto"/>
          <w:szCs w:val="21"/>
          <w:highlight w:val="none"/>
        </w:rPr>
      </w:pPr>
      <w:r>
        <w:rPr>
          <w:rFonts w:hint="eastAsia" w:ascii="宋体" w:hAnsi="宋体" w:eastAsia="宋体" w:cs="宋体"/>
          <w:bCs w:val="0"/>
          <w:color w:val="auto"/>
          <w:kern w:val="0"/>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Cs w:val="21"/>
          <w:highlight w:val="none"/>
          <w:lang w:eastAsia="zh-CN"/>
        </w:rPr>
        <w:t>必须</w:t>
      </w:r>
      <w:r>
        <w:rPr>
          <w:rFonts w:hint="eastAsia" w:ascii="宋体" w:hAnsi="宋体" w:eastAsia="宋体" w:cs="宋体"/>
          <w:color w:val="auto"/>
          <w:kern w:val="0"/>
          <w:szCs w:val="21"/>
          <w:highlight w:val="none"/>
        </w:rPr>
        <w:t>对本项目</w:t>
      </w:r>
      <w:r>
        <w:rPr>
          <w:rFonts w:hint="eastAsia" w:ascii="宋体" w:hAnsi="宋体" w:eastAsia="宋体" w:cs="宋体"/>
          <w:color w:val="auto"/>
          <w:kern w:val="0"/>
          <w:szCs w:val="21"/>
          <w:highlight w:val="none"/>
          <w:lang w:val="en-US" w:eastAsia="zh-CN"/>
        </w:rPr>
        <w:t>招标</w:t>
      </w:r>
      <w:r>
        <w:rPr>
          <w:rFonts w:hint="eastAsia" w:ascii="宋体" w:hAnsi="宋体" w:eastAsia="宋体" w:cs="宋体"/>
          <w:color w:val="auto"/>
          <w:kern w:val="0"/>
          <w:szCs w:val="21"/>
          <w:highlight w:val="none"/>
        </w:rPr>
        <w:t>文件“第二章</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 w:val="0"/>
          <w:color w:val="auto"/>
          <w:kern w:val="0"/>
          <w:sz w:val="21"/>
          <w:szCs w:val="21"/>
          <w:highlight w:val="none"/>
        </w:rPr>
        <w:t>采购需求</w:t>
      </w:r>
      <w:r>
        <w:rPr>
          <w:rFonts w:hint="eastAsia" w:ascii="宋体" w:hAnsi="宋体" w:eastAsia="宋体" w:cs="宋体"/>
          <w:color w:val="auto"/>
          <w:kern w:val="0"/>
          <w:szCs w:val="21"/>
          <w:highlight w:val="none"/>
        </w:rPr>
        <w:t>”中</w:t>
      </w:r>
      <w:r>
        <w:rPr>
          <w:rFonts w:hint="eastAsia" w:hAnsi="宋体" w:cs="宋体"/>
          <w:color w:val="auto"/>
          <w:kern w:val="0"/>
          <w:szCs w:val="21"/>
          <w:highlight w:val="none"/>
          <w:lang w:eastAsia="zh-CN"/>
        </w:rPr>
        <w:t>“服务要求”的</w:t>
      </w:r>
      <w:r>
        <w:rPr>
          <w:rFonts w:hint="eastAsia"/>
          <w:color w:val="auto"/>
          <w:highlight w:val="none"/>
          <w:lang w:val="en-US" w:eastAsia="zh-CN"/>
        </w:rPr>
        <w:t>全部</w:t>
      </w:r>
      <w:r>
        <w:rPr>
          <w:rFonts w:hint="eastAsia" w:hAnsi="宋体" w:cs="宋体"/>
          <w:color w:val="auto"/>
          <w:kern w:val="0"/>
          <w:szCs w:val="21"/>
          <w:highlight w:val="none"/>
          <w:lang w:eastAsia="zh-CN"/>
        </w:rPr>
        <w:t>条款</w:t>
      </w:r>
      <w:r>
        <w:rPr>
          <w:rFonts w:hint="eastAsia" w:ascii="宋体" w:hAnsi="宋体" w:eastAsia="宋体" w:cs="宋体"/>
          <w:color w:val="auto"/>
          <w:kern w:val="0"/>
          <w:szCs w:val="21"/>
          <w:highlight w:val="none"/>
        </w:rPr>
        <w:t>，详细填写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的具体内容</w:t>
      </w:r>
      <w:r>
        <w:rPr>
          <w:rFonts w:hint="eastAsia" w:ascii="宋体" w:hAnsi="宋体" w:eastAsia="宋体" w:cs="宋体"/>
          <w:color w:val="auto"/>
          <w:kern w:val="0"/>
          <w:szCs w:val="21"/>
          <w:highlight w:val="none"/>
          <w:lang w:eastAsia="zh-CN"/>
        </w:rPr>
        <w:t>，</w:t>
      </w:r>
      <w:r>
        <w:rPr>
          <w:rFonts w:hint="eastAsia" w:ascii="宋体" w:hAnsi="宋体" w:eastAsia="宋体" w:cs="宋体"/>
          <w:b w:val="0"/>
          <w:bCs w:val="0"/>
          <w:color w:val="auto"/>
          <w:kern w:val="0"/>
          <w:szCs w:val="21"/>
          <w:highlight w:val="none"/>
          <w:lang w:val="zh-CN" w:eastAsia="zh-CN"/>
        </w:rPr>
        <w:t>并作出偏离说明</w:t>
      </w:r>
      <w:r>
        <w:rPr>
          <w:rFonts w:hint="eastAsia" w:ascii="宋体" w:hAnsi="宋体" w:eastAsia="宋体" w:cs="宋体"/>
          <w:color w:val="auto"/>
          <w:sz w:val="21"/>
          <w:szCs w:val="21"/>
          <w:highlight w:val="none"/>
        </w:rPr>
        <w:t>。“偏离说明”一栏应当选择“正偏离”</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“负偏离”或“无偏离”进行填写。</w:t>
      </w:r>
    </w:p>
    <w:p w14:paraId="6E54E46A">
      <w:pPr>
        <w:pStyle w:val="12"/>
        <w:spacing w:line="360" w:lineRule="auto"/>
        <w:ind w:firstLine="420" w:firstLineChars="200"/>
        <w:rPr>
          <w:rFonts w:hint="eastAsia" w:hAnsi="宋体" w:cs="宋体"/>
          <w:color w:val="auto"/>
          <w:szCs w:val="21"/>
          <w:highlight w:val="none"/>
        </w:rPr>
      </w:pPr>
      <w:r>
        <w:rPr>
          <w:rFonts w:hint="eastAsia" w:hAnsi="宋体" w:cs="宋体"/>
          <w:bCs/>
          <w:color w:val="auto"/>
          <w:szCs w:val="21"/>
          <w:highlight w:val="none"/>
          <w:lang w:val="en-US" w:eastAsia="zh-CN"/>
        </w:rPr>
        <w:t>3.</w:t>
      </w:r>
      <w:r>
        <w:rPr>
          <w:rFonts w:hint="eastAsia" w:hAnsi="宋体" w:cs="宋体"/>
          <w:bCs/>
          <w:color w:val="auto"/>
          <w:szCs w:val="21"/>
          <w:highlight w:val="none"/>
        </w:rPr>
        <w:t>当投标文件的</w:t>
      </w:r>
      <w:r>
        <w:rPr>
          <w:rFonts w:hint="eastAsia" w:hAnsi="宋体" w:cs="宋体"/>
          <w:bCs/>
          <w:color w:val="auto"/>
          <w:szCs w:val="21"/>
          <w:highlight w:val="none"/>
          <w:lang w:eastAsia="zh-CN"/>
        </w:rPr>
        <w:t>服务</w:t>
      </w:r>
      <w:r>
        <w:rPr>
          <w:rFonts w:hint="eastAsia" w:hAnsi="宋体" w:cs="宋体"/>
          <w:bCs/>
          <w:color w:val="auto"/>
          <w:szCs w:val="21"/>
          <w:highlight w:val="none"/>
        </w:rPr>
        <w:t>内容低于招标文件要求时，投标人应当如实写明“负偏离”。</w:t>
      </w:r>
    </w:p>
    <w:p w14:paraId="27FF0851">
      <w:pPr>
        <w:pStyle w:val="7"/>
        <w:rPr>
          <w:rFonts w:hint="eastAsia" w:hAnsi="宋体" w:eastAsia="宋体" w:cs="宋体"/>
          <w:color w:val="auto"/>
          <w:szCs w:val="21"/>
          <w:highlight w:val="none"/>
        </w:rPr>
      </w:pPr>
    </w:p>
    <w:p w14:paraId="2B307172">
      <w:pPr>
        <w:rPr>
          <w:rFonts w:hint="eastAsia" w:hAnsi="宋体" w:eastAsia="宋体" w:cs="宋体"/>
          <w:color w:val="auto"/>
          <w:szCs w:val="21"/>
          <w:highlight w:val="none"/>
        </w:rPr>
      </w:pPr>
    </w:p>
    <w:p w14:paraId="01496201">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19FC8872">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4A601333">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A8AA09B">
      <w:pPr>
        <w:widowControl/>
        <w:jc w:val="left"/>
        <w:rPr>
          <w:rFonts w:ascii="宋体" w:hAnsi="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2D090335">
      <w:pPr>
        <w:snapToGrid w:val="0"/>
        <w:spacing w:before="165" w:beforeLines="50" w:after="50"/>
        <w:ind w:left="142"/>
        <w:jc w:val="left"/>
        <w:rPr>
          <w:rFonts w:hint="eastAsia" w:ascii="宋体" w:hAnsi="宋体" w:eastAsia="宋体" w:cs="Times New Roman"/>
          <w:b/>
          <w:color w:val="auto"/>
          <w:sz w:val="32"/>
          <w:szCs w:val="32"/>
          <w:highlight w:val="none"/>
        </w:rPr>
      </w:pPr>
      <w:r>
        <w:rPr>
          <w:rFonts w:hint="eastAsia" w:ascii="宋体" w:hAnsi="宋体" w:cs="宋体"/>
          <w:b/>
          <w:color w:val="auto"/>
          <w:sz w:val="28"/>
          <w:szCs w:val="28"/>
          <w:highlight w:val="none"/>
          <w:lang w:val="en-US" w:eastAsia="zh-CN"/>
        </w:rPr>
        <w:t>8</w:t>
      </w:r>
      <w:r>
        <w:rPr>
          <w:rFonts w:hint="eastAsia" w:ascii="宋体" w:hAnsi="宋体" w:eastAsia="宋体" w:cs="宋体"/>
          <w:b/>
          <w:color w:val="auto"/>
          <w:sz w:val="28"/>
          <w:szCs w:val="28"/>
          <w:highlight w:val="none"/>
        </w:rPr>
        <w:t>. 服务机构情况表</w:t>
      </w:r>
      <w:r>
        <w:rPr>
          <w:rFonts w:hint="eastAsia" w:ascii="宋体" w:hAnsi="宋体" w:cs="宋体"/>
          <w:b/>
          <w:color w:val="auto"/>
          <w:sz w:val="28"/>
          <w:szCs w:val="28"/>
          <w:highlight w:val="none"/>
          <w:lang w:eastAsia="zh-CN"/>
        </w:rPr>
        <w:t>、服务人员情况表的</w:t>
      </w:r>
      <w:r>
        <w:rPr>
          <w:rFonts w:hint="eastAsia" w:ascii="宋体" w:hAnsi="宋体" w:eastAsia="宋体" w:cs="宋体"/>
          <w:b/>
          <w:color w:val="auto"/>
          <w:sz w:val="28"/>
          <w:szCs w:val="28"/>
          <w:highlight w:val="none"/>
        </w:rPr>
        <w:t>格式</w:t>
      </w:r>
      <w:r>
        <w:rPr>
          <w:rFonts w:hint="eastAsia" w:ascii="宋体" w:hAnsi="宋体" w:cs="宋体"/>
          <w:b/>
          <w:bCs/>
          <w:color w:val="auto"/>
          <w:sz w:val="30"/>
          <w:szCs w:val="30"/>
          <w:highlight w:val="none"/>
          <w:lang w:eastAsia="zh-CN"/>
        </w:rPr>
        <w:t>：</w:t>
      </w:r>
    </w:p>
    <w:p w14:paraId="4BF57237">
      <w:pPr>
        <w:snapToGrid w:val="0"/>
        <w:spacing w:before="165" w:beforeLines="50" w:after="50"/>
        <w:ind w:left="142"/>
        <w:jc w:val="center"/>
        <w:rPr>
          <w:rFonts w:hint="eastAsia" w:ascii="宋体" w:hAnsi="宋体" w:eastAsia="宋体" w:cs="Times New Roman"/>
          <w:b/>
          <w:color w:val="auto"/>
          <w:sz w:val="32"/>
          <w:szCs w:val="32"/>
          <w:highlight w:val="none"/>
        </w:rPr>
      </w:pPr>
    </w:p>
    <w:p w14:paraId="539FCEA3">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附表A:服务机构情况表</w:t>
      </w:r>
      <w:r>
        <w:rPr>
          <w:rFonts w:hint="eastAsia" w:ascii="仿宋_GB2312" w:hAnsi="仿宋" w:eastAsia="仿宋_GB2312" w:cs="仿宋_GB2312"/>
          <w:color w:val="auto"/>
          <w:sz w:val="24"/>
          <w:highlight w:val="none"/>
        </w:rPr>
        <w:t>（如有要求</w:t>
      </w:r>
      <w:r>
        <w:rPr>
          <w:rFonts w:hint="eastAsia" w:ascii="仿宋_GB2312" w:hAnsi="仿宋" w:eastAsia="仿宋_GB2312" w:cs="仿宋_GB2312"/>
          <w:color w:val="auto"/>
          <w:sz w:val="24"/>
          <w:highlight w:val="none"/>
          <w:lang w:eastAsia="zh-CN"/>
        </w:rPr>
        <w:t>，参照</w:t>
      </w:r>
      <w:r>
        <w:rPr>
          <w:rFonts w:hint="eastAsia" w:ascii="仿宋_GB2312" w:hAnsi="仿宋" w:eastAsia="仿宋_GB2312" w:cs="仿宋_GB2312"/>
          <w:color w:val="auto"/>
          <w:sz w:val="24"/>
          <w:highlight w:val="none"/>
        </w:rPr>
        <w:t>此格式自制）</w:t>
      </w:r>
    </w:p>
    <w:tbl>
      <w:tblPr>
        <w:tblStyle w:val="20"/>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96"/>
        <w:gridCol w:w="1339"/>
        <w:gridCol w:w="1261"/>
        <w:gridCol w:w="1462"/>
        <w:gridCol w:w="1762"/>
      </w:tblGrid>
      <w:tr w14:paraId="3E02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5FCBF338">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序号</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1A7D5428">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机构名称</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5300E912">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机构性质</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50F36810">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注册地址</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1CC6D88D">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服务技术人员数量</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2502529A">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联系电话</w:t>
            </w:r>
          </w:p>
        </w:tc>
      </w:tr>
      <w:tr w14:paraId="2146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6486983">
            <w:pPr>
              <w:autoSpaceDE w:val="0"/>
              <w:autoSpaceDN w:val="0"/>
              <w:spacing w:line="360" w:lineRule="auto"/>
              <w:jc w:val="center"/>
              <w:rPr>
                <w:rFonts w:hint="eastAsia" w:ascii="仿宋_GB2312" w:hAnsi="仿宋" w:eastAsia="仿宋_GB2312" w:cs="仿宋_GB2312"/>
                <w:color w:val="auto"/>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42078A23">
            <w:pPr>
              <w:autoSpaceDE w:val="0"/>
              <w:autoSpaceDN w:val="0"/>
              <w:spacing w:line="360" w:lineRule="auto"/>
              <w:jc w:val="center"/>
              <w:rPr>
                <w:rFonts w:hint="eastAsia" w:ascii="仿宋_GB2312" w:hAnsi="仿宋" w:eastAsia="仿宋_GB2312" w:cs="仿宋_GB2312"/>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44DEF5A4">
            <w:pPr>
              <w:autoSpaceDE w:val="0"/>
              <w:autoSpaceDN w:val="0"/>
              <w:spacing w:line="360" w:lineRule="auto"/>
              <w:jc w:val="center"/>
              <w:rPr>
                <w:rFonts w:hint="eastAsia" w:ascii="仿宋_GB2312" w:hAnsi="仿宋" w:eastAsia="仿宋_GB2312" w:cs="仿宋_GB2312"/>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012172E8">
            <w:pPr>
              <w:autoSpaceDE w:val="0"/>
              <w:autoSpaceDN w:val="0"/>
              <w:spacing w:line="360" w:lineRule="auto"/>
              <w:jc w:val="center"/>
              <w:rPr>
                <w:rFonts w:hint="eastAsia" w:ascii="仿宋_GB2312" w:hAnsi="仿宋" w:eastAsia="仿宋_GB2312" w:cs="仿宋_GB2312"/>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19B6FA8D">
            <w:pPr>
              <w:autoSpaceDE w:val="0"/>
              <w:autoSpaceDN w:val="0"/>
              <w:spacing w:line="360" w:lineRule="auto"/>
              <w:jc w:val="center"/>
              <w:rPr>
                <w:rFonts w:hint="eastAsia" w:ascii="仿宋_GB2312" w:hAnsi="仿宋" w:eastAsia="仿宋_GB2312" w:cs="仿宋_GB2312"/>
                <w:color w:val="auto"/>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70E4478E">
            <w:pPr>
              <w:autoSpaceDE w:val="0"/>
              <w:autoSpaceDN w:val="0"/>
              <w:spacing w:line="360" w:lineRule="auto"/>
              <w:jc w:val="center"/>
              <w:rPr>
                <w:rFonts w:hint="eastAsia" w:ascii="仿宋_GB2312" w:hAnsi="仿宋" w:eastAsia="仿宋_GB2312" w:cs="仿宋_GB2312"/>
                <w:color w:val="auto"/>
                <w:sz w:val="24"/>
                <w:highlight w:val="none"/>
              </w:rPr>
            </w:pPr>
          </w:p>
        </w:tc>
      </w:tr>
      <w:tr w14:paraId="5D65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2AB4359C">
            <w:pPr>
              <w:autoSpaceDE w:val="0"/>
              <w:autoSpaceDN w:val="0"/>
              <w:spacing w:line="360" w:lineRule="auto"/>
              <w:jc w:val="center"/>
              <w:rPr>
                <w:rFonts w:hint="eastAsia" w:ascii="仿宋_GB2312" w:hAnsi="仿宋" w:eastAsia="仿宋_GB2312" w:cs="仿宋_GB2312"/>
                <w:color w:val="auto"/>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796BAAC7">
            <w:pPr>
              <w:autoSpaceDE w:val="0"/>
              <w:autoSpaceDN w:val="0"/>
              <w:spacing w:line="360" w:lineRule="auto"/>
              <w:jc w:val="center"/>
              <w:rPr>
                <w:rFonts w:hint="eastAsia" w:ascii="仿宋_GB2312" w:hAnsi="仿宋" w:eastAsia="仿宋_GB2312" w:cs="仿宋_GB2312"/>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53F4C964">
            <w:pPr>
              <w:autoSpaceDE w:val="0"/>
              <w:autoSpaceDN w:val="0"/>
              <w:spacing w:line="360" w:lineRule="auto"/>
              <w:jc w:val="center"/>
              <w:rPr>
                <w:rFonts w:hint="eastAsia" w:ascii="仿宋_GB2312" w:hAnsi="仿宋" w:eastAsia="仿宋_GB2312" w:cs="仿宋_GB2312"/>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39C127F8">
            <w:pPr>
              <w:autoSpaceDE w:val="0"/>
              <w:autoSpaceDN w:val="0"/>
              <w:spacing w:line="360" w:lineRule="auto"/>
              <w:jc w:val="center"/>
              <w:rPr>
                <w:rFonts w:hint="eastAsia" w:ascii="仿宋_GB2312" w:hAnsi="仿宋" w:eastAsia="仿宋_GB2312" w:cs="仿宋_GB2312"/>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01544742">
            <w:pPr>
              <w:autoSpaceDE w:val="0"/>
              <w:autoSpaceDN w:val="0"/>
              <w:spacing w:line="360" w:lineRule="auto"/>
              <w:jc w:val="center"/>
              <w:rPr>
                <w:rFonts w:hint="eastAsia" w:ascii="仿宋_GB2312" w:hAnsi="仿宋" w:eastAsia="仿宋_GB2312" w:cs="仿宋_GB2312"/>
                <w:color w:val="auto"/>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0C73BC14">
            <w:pPr>
              <w:autoSpaceDE w:val="0"/>
              <w:autoSpaceDN w:val="0"/>
              <w:spacing w:line="360" w:lineRule="auto"/>
              <w:jc w:val="center"/>
              <w:rPr>
                <w:rFonts w:hint="eastAsia" w:ascii="仿宋_GB2312" w:hAnsi="仿宋" w:eastAsia="仿宋_GB2312" w:cs="仿宋_GB2312"/>
                <w:color w:val="auto"/>
                <w:sz w:val="24"/>
                <w:highlight w:val="none"/>
              </w:rPr>
            </w:pPr>
          </w:p>
        </w:tc>
      </w:tr>
      <w:tr w14:paraId="7086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CC4D6F9">
            <w:pPr>
              <w:autoSpaceDE w:val="0"/>
              <w:autoSpaceDN w:val="0"/>
              <w:spacing w:line="360" w:lineRule="auto"/>
              <w:jc w:val="center"/>
              <w:rPr>
                <w:rFonts w:hint="eastAsia" w:ascii="仿宋_GB2312" w:hAnsi="仿宋" w:eastAsia="仿宋_GB2312" w:cs="仿宋_GB2312"/>
                <w:color w:val="auto"/>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15E446D2">
            <w:pPr>
              <w:autoSpaceDE w:val="0"/>
              <w:autoSpaceDN w:val="0"/>
              <w:spacing w:line="360" w:lineRule="auto"/>
              <w:jc w:val="center"/>
              <w:rPr>
                <w:rFonts w:hint="eastAsia" w:ascii="仿宋_GB2312" w:hAnsi="仿宋" w:eastAsia="仿宋_GB2312" w:cs="仿宋_GB2312"/>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0568EF96">
            <w:pPr>
              <w:autoSpaceDE w:val="0"/>
              <w:autoSpaceDN w:val="0"/>
              <w:spacing w:line="360" w:lineRule="auto"/>
              <w:jc w:val="center"/>
              <w:rPr>
                <w:rFonts w:hint="eastAsia" w:ascii="仿宋_GB2312" w:hAnsi="仿宋" w:eastAsia="仿宋_GB2312" w:cs="仿宋_GB2312"/>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6F4F447D">
            <w:pPr>
              <w:autoSpaceDE w:val="0"/>
              <w:autoSpaceDN w:val="0"/>
              <w:spacing w:line="360" w:lineRule="auto"/>
              <w:jc w:val="center"/>
              <w:rPr>
                <w:rFonts w:hint="eastAsia" w:ascii="仿宋_GB2312" w:hAnsi="仿宋" w:eastAsia="仿宋_GB2312" w:cs="仿宋_GB2312"/>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600E377B">
            <w:pPr>
              <w:autoSpaceDE w:val="0"/>
              <w:autoSpaceDN w:val="0"/>
              <w:spacing w:line="360" w:lineRule="auto"/>
              <w:jc w:val="center"/>
              <w:rPr>
                <w:rFonts w:hint="eastAsia" w:ascii="仿宋_GB2312" w:hAnsi="仿宋" w:eastAsia="仿宋_GB2312" w:cs="仿宋_GB2312"/>
                <w:color w:val="auto"/>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538FCE0C">
            <w:pPr>
              <w:autoSpaceDE w:val="0"/>
              <w:autoSpaceDN w:val="0"/>
              <w:spacing w:line="360" w:lineRule="auto"/>
              <w:jc w:val="center"/>
              <w:rPr>
                <w:rFonts w:hint="eastAsia" w:ascii="仿宋_GB2312" w:hAnsi="仿宋" w:eastAsia="仿宋_GB2312" w:cs="仿宋_GB2312"/>
                <w:color w:val="auto"/>
                <w:sz w:val="24"/>
                <w:highlight w:val="none"/>
              </w:rPr>
            </w:pPr>
          </w:p>
        </w:tc>
      </w:tr>
      <w:tr w14:paraId="2B4C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2152DEF4">
            <w:pPr>
              <w:autoSpaceDE w:val="0"/>
              <w:autoSpaceDN w:val="0"/>
              <w:spacing w:line="360" w:lineRule="auto"/>
              <w:jc w:val="center"/>
              <w:rPr>
                <w:rFonts w:hint="eastAsia" w:ascii="仿宋_GB2312" w:hAnsi="仿宋" w:eastAsia="仿宋_GB2312" w:cs="仿宋_GB2312"/>
                <w:color w:val="auto"/>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6CD9AE2C">
            <w:pPr>
              <w:autoSpaceDE w:val="0"/>
              <w:autoSpaceDN w:val="0"/>
              <w:spacing w:line="360" w:lineRule="auto"/>
              <w:jc w:val="center"/>
              <w:rPr>
                <w:rFonts w:hint="eastAsia" w:ascii="仿宋_GB2312" w:hAnsi="仿宋" w:eastAsia="仿宋_GB2312" w:cs="仿宋_GB2312"/>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74C7F117">
            <w:pPr>
              <w:autoSpaceDE w:val="0"/>
              <w:autoSpaceDN w:val="0"/>
              <w:spacing w:line="360" w:lineRule="auto"/>
              <w:jc w:val="center"/>
              <w:rPr>
                <w:rFonts w:hint="eastAsia" w:ascii="仿宋_GB2312" w:hAnsi="仿宋" w:eastAsia="仿宋_GB2312" w:cs="仿宋_GB2312"/>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281F6C6D">
            <w:pPr>
              <w:autoSpaceDE w:val="0"/>
              <w:autoSpaceDN w:val="0"/>
              <w:spacing w:line="360" w:lineRule="auto"/>
              <w:jc w:val="center"/>
              <w:rPr>
                <w:rFonts w:hint="eastAsia" w:ascii="仿宋_GB2312" w:hAnsi="仿宋" w:eastAsia="仿宋_GB2312" w:cs="仿宋_GB2312"/>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719FDA7C">
            <w:pPr>
              <w:autoSpaceDE w:val="0"/>
              <w:autoSpaceDN w:val="0"/>
              <w:spacing w:line="360" w:lineRule="auto"/>
              <w:jc w:val="center"/>
              <w:rPr>
                <w:rFonts w:hint="eastAsia" w:ascii="仿宋_GB2312" w:hAnsi="仿宋" w:eastAsia="仿宋_GB2312" w:cs="仿宋_GB2312"/>
                <w:color w:val="auto"/>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233866A7">
            <w:pPr>
              <w:autoSpaceDE w:val="0"/>
              <w:autoSpaceDN w:val="0"/>
              <w:spacing w:line="360" w:lineRule="auto"/>
              <w:jc w:val="center"/>
              <w:rPr>
                <w:rFonts w:hint="eastAsia" w:ascii="仿宋_GB2312" w:hAnsi="仿宋" w:eastAsia="仿宋_GB2312" w:cs="仿宋_GB2312"/>
                <w:color w:val="auto"/>
                <w:sz w:val="24"/>
                <w:highlight w:val="none"/>
              </w:rPr>
            </w:pPr>
          </w:p>
        </w:tc>
      </w:tr>
    </w:tbl>
    <w:p w14:paraId="45652EAE">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注：关于项目涉及的所有服务机构均在本表注明，包括投标人本单位和符合条件的第三方服务机构；</w:t>
      </w:r>
    </w:p>
    <w:p w14:paraId="2097B6F3">
      <w:pPr>
        <w:autoSpaceDE w:val="0"/>
        <w:autoSpaceDN w:val="0"/>
        <w:spacing w:line="360" w:lineRule="auto"/>
        <w:rPr>
          <w:rFonts w:hint="eastAsia" w:ascii="仿宋_GB2312" w:hAnsi="仿宋" w:eastAsia="仿宋_GB2312" w:cs="仿宋_GB2312"/>
          <w:color w:val="auto"/>
          <w:kern w:val="0"/>
          <w:sz w:val="24"/>
          <w:highlight w:val="none"/>
        </w:rPr>
      </w:pPr>
    </w:p>
    <w:p w14:paraId="34140270">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kern w:val="0"/>
          <w:sz w:val="24"/>
          <w:highlight w:val="none"/>
        </w:rPr>
        <w:t>附表B：服务人员情况表</w:t>
      </w:r>
      <w:r>
        <w:rPr>
          <w:rFonts w:hint="eastAsia" w:ascii="仿宋_GB2312" w:hAnsi="仿宋" w:eastAsia="仿宋_GB2312" w:cs="仿宋_GB2312"/>
          <w:color w:val="auto"/>
          <w:sz w:val="24"/>
          <w:highlight w:val="none"/>
        </w:rPr>
        <w:t>（如有要求</w:t>
      </w:r>
      <w:r>
        <w:rPr>
          <w:rFonts w:hint="eastAsia" w:ascii="仿宋_GB2312" w:hAnsi="仿宋" w:eastAsia="仿宋_GB2312" w:cs="仿宋_GB2312"/>
          <w:color w:val="auto"/>
          <w:sz w:val="24"/>
          <w:highlight w:val="none"/>
          <w:lang w:eastAsia="zh-CN"/>
        </w:rPr>
        <w:t>，参照</w:t>
      </w:r>
      <w:r>
        <w:rPr>
          <w:rFonts w:hint="eastAsia" w:ascii="仿宋_GB2312" w:hAnsi="仿宋" w:eastAsia="仿宋_GB2312" w:cs="仿宋_GB2312"/>
          <w:color w:val="auto"/>
          <w:sz w:val="24"/>
          <w:highlight w:val="none"/>
        </w:rPr>
        <w:t>此格式自制）</w:t>
      </w:r>
    </w:p>
    <w:tbl>
      <w:tblPr>
        <w:tblStyle w:val="20"/>
        <w:tblW w:w="8922" w:type="dxa"/>
        <w:jc w:val="center"/>
        <w:tblLayout w:type="fixed"/>
        <w:tblCellMar>
          <w:top w:w="0" w:type="dxa"/>
          <w:left w:w="108" w:type="dxa"/>
          <w:bottom w:w="0" w:type="dxa"/>
          <w:right w:w="108" w:type="dxa"/>
        </w:tblCellMar>
      </w:tblPr>
      <w:tblGrid>
        <w:gridCol w:w="470"/>
        <w:gridCol w:w="767"/>
        <w:gridCol w:w="1212"/>
        <w:gridCol w:w="636"/>
        <w:gridCol w:w="804"/>
        <w:gridCol w:w="996"/>
        <w:gridCol w:w="1008"/>
        <w:gridCol w:w="1018"/>
        <w:gridCol w:w="900"/>
        <w:gridCol w:w="1111"/>
      </w:tblGrid>
      <w:tr w14:paraId="5DCDA5E3">
        <w:tblPrEx>
          <w:tblCellMar>
            <w:top w:w="0" w:type="dxa"/>
            <w:left w:w="108" w:type="dxa"/>
            <w:bottom w:w="0" w:type="dxa"/>
            <w:right w:w="108" w:type="dxa"/>
          </w:tblCellMar>
        </w:tblPrEx>
        <w:trPr>
          <w:jc w:val="center"/>
        </w:trPr>
        <w:tc>
          <w:tcPr>
            <w:tcW w:w="470" w:type="dxa"/>
            <w:tcBorders>
              <w:top w:val="single" w:color="auto" w:sz="6" w:space="0"/>
              <w:left w:val="single" w:color="auto" w:sz="6" w:space="0"/>
              <w:bottom w:val="single" w:color="auto" w:sz="6" w:space="0"/>
              <w:right w:val="single" w:color="auto" w:sz="4" w:space="0"/>
            </w:tcBorders>
            <w:noWrap w:val="0"/>
            <w:vAlign w:val="center"/>
          </w:tcPr>
          <w:p w14:paraId="076114BF">
            <w:pPr>
              <w:autoSpaceDE w:val="0"/>
              <w:autoSpaceDN w:val="0"/>
              <w:spacing w:line="24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67" w:type="dxa"/>
            <w:tcBorders>
              <w:top w:val="single" w:color="auto" w:sz="6" w:space="0"/>
              <w:left w:val="single" w:color="auto" w:sz="4" w:space="0"/>
              <w:bottom w:val="single" w:color="auto" w:sz="6" w:space="0"/>
              <w:right w:val="single" w:color="auto" w:sz="6" w:space="0"/>
            </w:tcBorders>
            <w:noWrap w:val="0"/>
            <w:vAlign w:val="center"/>
          </w:tcPr>
          <w:p w14:paraId="7A0034CC">
            <w:pPr>
              <w:autoSpaceDE w:val="0"/>
              <w:autoSpaceDN w:val="0"/>
              <w:spacing w:line="24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类别</w:t>
            </w:r>
          </w:p>
        </w:tc>
        <w:tc>
          <w:tcPr>
            <w:tcW w:w="1212" w:type="dxa"/>
            <w:tcBorders>
              <w:top w:val="single" w:color="auto" w:sz="6" w:space="0"/>
              <w:left w:val="single" w:color="auto" w:sz="6" w:space="0"/>
              <w:bottom w:val="single" w:color="auto" w:sz="6" w:space="0"/>
              <w:right w:val="single" w:color="auto" w:sz="6" w:space="0"/>
            </w:tcBorders>
            <w:noWrap w:val="0"/>
            <w:vAlign w:val="center"/>
          </w:tcPr>
          <w:p w14:paraId="195A7CB7">
            <w:pPr>
              <w:autoSpaceDE w:val="0"/>
              <w:autoSpaceDN w:val="0"/>
              <w:spacing w:line="24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636" w:type="dxa"/>
            <w:tcBorders>
              <w:top w:val="single" w:color="auto" w:sz="6" w:space="0"/>
              <w:left w:val="single" w:color="auto" w:sz="6" w:space="0"/>
              <w:bottom w:val="single" w:color="auto" w:sz="6" w:space="0"/>
              <w:right w:val="single" w:color="auto" w:sz="6" w:space="0"/>
            </w:tcBorders>
            <w:noWrap w:val="0"/>
            <w:vAlign w:val="center"/>
          </w:tcPr>
          <w:p w14:paraId="1C3E3151">
            <w:pPr>
              <w:autoSpaceDE w:val="0"/>
              <w:autoSpaceDN w:val="0"/>
              <w:spacing w:line="24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804" w:type="dxa"/>
            <w:tcBorders>
              <w:top w:val="single" w:color="auto" w:sz="6" w:space="0"/>
              <w:left w:val="single" w:color="auto" w:sz="6" w:space="0"/>
              <w:bottom w:val="single" w:color="auto" w:sz="6" w:space="0"/>
              <w:right w:val="single" w:color="auto" w:sz="6" w:space="0"/>
            </w:tcBorders>
            <w:noWrap w:val="0"/>
            <w:vAlign w:val="center"/>
          </w:tcPr>
          <w:p w14:paraId="7CD796FB">
            <w:pPr>
              <w:autoSpaceDE w:val="0"/>
              <w:autoSpaceDN w:val="0"/>
              <w:spacing w:line="24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996" w:type="dxa"/>
            <w:tcBorders>
              <w:top w:val="single" w:color="auto" w:sz="6" w:space="0"/>
              <w:left w:val="single" w:color="auto" w:sz="6" w:space="0"/>
              <w:bottom w:val="single" w:color="auto" w:sz="6" w:space="0"/>
              <w:right w:val="single" w:color="auto" w:sz="6" w:space="0"/>
            </w:tcBorders>
            <w:noWrap w:val="0"/>
            <w:vAlign w:val="center"/>
          </w:tcPr>
          <w:p w14:paraId="45010466">
            <w:pPr>
              <w:autoSpaceDE w:val="0"/>
              <w:autoSpaceDN w:val="0"/>
              <w:spacing w:line="24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p w14:paraId="684DEBCE">
            <w:pPr>
              <w:autoSpaceDE w:val="0"/>
              <w:autoSpaceDN w:val="0"/>
              <w:spacing w:line="240" w:lineRule="auto"/>
              <w:jc w:val="center"/>
              <w:rPr>
                <w:rFonts w:hint="eastAsia" w:ascii="仿宋_GB2312" w:hAnsi="仿宋" w:eastAsia="仿宋_GB2312" w:cs="仿宋_GB2312"/>
                <w:color w:val="auto"/>
                <w:sz w:val="24"/>
                <w:highlight w:val="none"/>
              </w:rPr>
            </w:pP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专业</w:t>
            </w:r>
          </w:p>
        </w:tc>
        <w:tc>
          <w:tcPr>
            <w:tcW w:w="1008" w:type="dxa"/>
            <w:tcBorders>
              <w:top w:val="single" w:color="auto" w:sz="6" w:space="0"/>
              <w:left w:val="single" w:color="auto" w:sz="6" w:space="0"/>
              <w:bottom w:val="single" w:color="auto" w:sz="6" w:space="0"/>
              <w:right w:val="single" w:color="auto" w:sz="6" w:space="0"/>
            </w:tcBorders>
            <w:noWrap w:val="0"/>
            <w:vAlign w:val="center"/>
          </w:tcPr>
          <w:p w14:paraId="091E08BA">
            <w:pPr>
              <w:autoSpaceDE w:val="0"/>
              <w:autoSpaceDN w:val="0"/>
              <w:spacing w:line="24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r>
              <w:rPr>
                <w:rFonts w:hint="eastAsia" w:ascii="宋体" w:hAnsi="宋体" w:eastAsia="宋体" w:cs="宋体"/>
                <w:color w:val="auto"/>
                <w:sz w:val="21"/>
                <w:szCs w:val="21"/>
                <w:highlight w:val="none"/>
                <w:lang w:val="en-US" w:eastAsia="zh-CN"/>
              </w:rPr>
              <w:t>/职业资格证书</w:t>
            </w:r>
          </w:p>
        </w:tc>
        <w:tc>
          <w:tcPr>
            <w:tcW w:w="1018" w:type="dxa"/>
            <w:tcBorders>
              <w:top w:val="single" w:color="auto" w:sz="6" w:space="0"/>
              <w:left w:val="single" w:color="auto" w:sz="6" w:space="0"/>
              <w:bottom w:val="single" w:color="auto" w:sz="6" w:space="0"/>
              <w:right w:val="single" w:color="auto" w:sz="6" w:space="0"/>
            </w:tcBorders>
            <w:noWrap w:val="0"/>
            <w:vAlign w:val="center"/>
          </w:tcPr>
          <w:p w14:paraId="28B86859">
            <w:pPr>
              <w:autoSpaceDE w:val="0"/>
              <w:autoSpaceDN w:val="0"/>
              <w:spacing w:line="24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A5D4FED">
            <w:pPr>
              <w:autoSpaceDE w:val="0"/>
              <w:autoSpaceDN w:val="0"/>
              <w:spacing w:line="24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77FA41CF">
            <w:pPr>
              <w:autoSpaceDE w:val="0"/>
              <w:autoSpaceDN w:val="0"/>
              <w:spacing w:line="24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en-US" w:eastAsia="zh-CN"/>
              </w:rPr>
              <w:t>承诺</w:t>
            </w:r>
            <w:r>
              <w:rPr>
                <w:rFonts w:hint="eastAsia" w:ascii="仿宋_GB2312" w:hAnsi="仿宋" w:eastAsia="仿宋_GB2312" w:cs="仿宋_GB2312"/>
                <w:color w:val="auto"/>
                <w:sz w:val="24"/>
                <w:highlight w:val="none"/>
              </w:rPr>
              <w:t>到达现场时间</w:t>
            </w:r>
          </w:p>
        </w:tc>
      </w:tr>
      <w:tr w14:paraId="0A1F43C7">
        <w:tblPrEx>
          <w:tblCellMar>
            <w:top w:w="0" w:type="dxa"/>
            <w:left w:w="108" w:type="dxa"/>
            <w:bottom w:w="0" w:type="dxa"/>
            <w:right w:w="108" w:type="dxa"/>
          </w:tblCellMar>
        </w:tblPrEx>
        <w:trPr>
          <w:trHeight w:val="607"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14:paraId="6C6F8066">
            <w:pPr>
              <w:autoSpaceDE w:val="0"/>
              <w:autoSpaceDN w:val="0"/>
              <w:spacing w:line="240" w:lineRule="auto"/>
              <w:jc w:val="center"/>
              <w:rPr>
                <w:rFonts w:hint="eastAsia" w:ascii="仿宋_GB2312" w:hAnsi="仿宋" w:eastAsia="仿宋_GB2312" w:cs="仿宋_GB2312"/>
                <w:color w:val="auto"/>
                <w:sz w:val="24"/>
                <w:highlight w:val="none"/>
              </w:rPr>
            </w:pPr>
          </w:p>
        </w:tc>
        <w:tc>
          <w:tcPr>
            <w:tcW w:w="767" w:type="dxa"/>
            <w:tcBorders>
              <w:top w:val="single" w:color="auto" w:sz="6" w:space="0"/>
              <w:left w:val="single" w:color="auto" w:sz="4" w:space="0"/>
              <w:bottom w:val="single" w:color="auto" w:sz="6" w:space="0"/>
              <w:right w:val="single" w:color="auto" w:sz="6" w:space="0"/>
            </w:tcBorders>
            <w:noWrap w:val="0"/>
            <w:vAlign w:val="center"/>
          </w:tcPr>
          <w:p w14:paraId="3F7B83C7">
            <w:pPr>
              <w:autoSpaceDE w:val="0"/>
              <w:autoSpaceDN w:val="0"/>
              <w:spacing w:line="240" w:lineRule="auto"/>
              <w:jc w:val="center"/>
              <w:rPr>
                <w:rFonts w:hint="eastAsia" w:ascii="仿宋_GB2312" w:hAnsi="仿宋" w:eastAsia="仿宋_GB2312" w:cs="仿宋_GB2312"/>
                <w:color w:val="auto"/>
                <w:sz w:val="24"/>
                <w:highlight w:val="none"/>
                <w:lang w:val="en-US" w:eastAsia="zh-CN"/>
              </w:rPr>
            </w:pPr>
            <w:r>
              <w:rPr>
                <w:rFonts w:hint="eastAsia" w:ascii="仿宋_GB2312" w:hAnsi="仿宋" w:eastAsia="仿宋_GB2312" w:cs="仿宋_GB2312"/>
                <w:color w:val="auto"/>
                <w:sz w:val="24"/>
                <w:highlight w:val="none"/>
                <w:lang w:eastAsia="zh-CN"/>
              </w:rPr>
              <w:t>负责</w:t>
            </w:r>
            <w:r>
              <w:rPr>
                <w:rFonts w:hint="eastAsia" w:ascii="仿宋_GB2312" w:hAnsi="仿宋" w:eastAsia="仿宋_GB2312" w:cs="仿宋_GB2312"/>
                <w:color w:val="auto"/>
                <w:sz w:val="24"/>
                <w:highlight w:val="none"/>
              </w:rPr>
              <w:t>人</w:t>
            </w:r>
          </w:p>
        </w:tc>
        <w:tc>
          <w:tcPr>
            <w:tcW w:w="1212" w:type="dxa"/>
            <w:tcBorders>
              <w:top w:val="single" w:color="auto" w:sz="6" w:space="0"/>
              <w:left w:val="single" w:color="auto" w:sz="6" w:space="0"/>
              <w:bottom w:val="single" w:color="auto" w:sz="6" w:space="0"/>
              <w:right w:val="single" w:color="auto" w:sz="6" w:space="0"/>
            </w:tcBorders>
            <w:noWrap w:val="0"/>
            <w:vAlign w:val="top"/>
          </w:tcPr>
          <w:p w14:paraId="26659569">
            <w:pPr>
              <w:autoSpaceDE w:val="0"/>
              <w:autoSpaceDN w:val="0"/>
              <w:spacing w:line="240" w:lineRule="auto"/>
              <w:rPr>
                <w:rFonts w:hint="eastAsia" w:ascii="仿宋_GB2312" w:hAnsi="仿宋" w:eastAsia="仿宋_GB2312" w:cs="仿宋_GB2312"/>
                <w:color w:val="auto"/>
                <w:sz w:val="24"/>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15E06076">
            <w:pPr>
              <w:autoSpaceDE w:val="0"/>
              <w:autoSpaceDN w:val="0"/>
              <w:spacing w:line="240" w:lineRule="auto"/>
              <w:rPr>
                <w:rFonts w:hint="eastAsia" w:ascii="仿宋_GB2312" w:hAnsi="仿宋" w:eastAsia="仿宋_GB2312" w:cs="仿宋_GB2312"/>
                <w:color w:val="auto"/>
                <w:sz w:val="24"/>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43124EC9">
            <w:pPr>
              <w:autoSpaceDE w:val="0"/>
              <w:autoSpaceDN w:val="0"/>
              <w:spacing w:line="240" w:lineRule="auto"/>
              <w:rPr>
                <w:rFonts w:hint="eastAsia" w:ascii="仿宋_GB2312" w:hAnsi="仿宋" w:eastAsia="仿宋_GB2312" w:cs="仿宋_GB2312"/>
                <w:color w:val="auto"/>
                <w:sz w:val="24"/>
                <w:highlight w:val="none"/>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69ABC8E5">
            <w:pPr>
              <w:autoSpaceDE w:val="0"/>
              <w:autoSpaceDN w:val="0"/>
              <w:spacing w:line="240" w:lineRule="auto"/>
              <w:rPr>
                <w:rFonts w:hint="eastAsia" w:ascii="仿宋_GB2312" w:hAnsi="仿宋" w:eastAsia="仿宋_GB2312" w:cs="仿宋_GB2312"/>
                <w:color w:val="auto"/>
                <w:sz w:val="24"/>
                <w:highlight w:val="none"/>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679418F8">
            <w:pPr>
              <w:autoSpaceDE w:val="0"/>
              <w:autoSpaceDN w:val="0"/>
              <w:spacing w:line="240" w:lineRule="auto"/>
              <w:rPr>
                <w:rFonts w:hint="eastAsia" w:ascii="仿宋_GB2312" w:hAnsi="仿宋" w:eastAsia="仿宋_GB2312" w:cs="仿宋_GB2312"/>
                <w:color w:val="auto"/>
                <w:sz w:val="24"/>
                <w:highlight w:val="none"/>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229D506E">
            <w:pPr>
              <w:autoSpaceDE w:val="0"/>
              <w:autoSpaceDN w:val="0"/>
              <w:spacing w:line="24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A380B63">
            <w:pPr>
              <w:autoSpaceDE w:val="0"/>
              <w:autoSpaceDN w:val="0"/>
              <w:spacing w:line="24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634DE4CE">
            <w:pPr>
              <w:autoSpaceDE w:val="0"/>
              <w:autoSpaceDN w:val="0"/>
              <w:spacing w:line="240" w:lineRule="auto"/>
              <w:rPr>
                <w:rFonts w:hint="eastAsia" w:ascii="仿宋_GB2312" w:hAnsi="仿宋" w:eastAsia="仿宋_GB2312" w:cs="仿宋_GB2312"/>
                <w:color w:val="auto"/>
                <w:sz w:val="24"/>
                <w:highlight w:val="none"/>
              </w:rPr>
            </w:pPr>
          </w:p>
        </w:tc>
      </w:tr>
      <w:tr w14:paraId="6E597EF7">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14:paraId="1D00D825">
            <w:pPr>
              <w:autoSpaceDE w:val="0"/>
              <w:autoSpaceDN w:val="0"/>
              <w:spacing w:line="240" w:lineRule="auto"/>
              <w:jc w:val="center"/>
              <w:rPr>
                <w:rFonts w:hint="eastAsia" w:ascii="仿宋_GB2312" w:hAnsi="仿宋" w:eastAsia="仿宋_GB2312" w:cs="仿宋_GB2312"/>
                <w:color w:val="auto"/>
                <w:sz w:val="24"/>
                <w:highlight w:val="none"/>
              </w:rPr>
            </w:pPr>
          </w:p>
        </w:tc>
        <w:tc>
          <w:tcPr>
            <w:tcW w:w="767" w:type="dxa"/>
            <w:tcBorders>
              <w:top w:val="single" w:color="auto" w:sz="6" w:space="0"/>
              <w:left w:val="single" w:color="auto" w:sz="4" w:space="0"/>
              <w:bottom w:val="single" w:color="auto" w:sz="6" w:space="0"/>
              <w:right w:val="single" w:color="auto" w:sz="6" w:space="0"/>
            </w:tcBorders>
            <w:noWrap w:val="0"/>
            <w:vAlign w:val="center"/>
          </w:tcPr>
          <w:p w14:paraId="204DFB58">
            <w:pPr>
              <w:autoSpaceDE w:val="0"/>
              <w:autoSpaceDN w:val="0"/>
              <w:spacing w:line="24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en-US" w:eastAsia="zh-CN"/>
              </w:rPr>
              <w:t>服务</w:t>
            </w:r>
            <w:r>
              <w:rPr>
                <w:rFonts w:hint="eastAsia" w:ascii="仿宋_GB2312" w:hAnsi="仿宋" w:eastAsia="仿宋_GB2312" w:cs="仿宋_GB2312"/>
                <w:color w:val="auto"/>
                <w:sz w:val="24"/>
                <w:highlight w:val="none"/>
              </w:rPr>
              <w:t>人员</w:t>
            </w:r>
          </w:p>
        </w:tc>
        <w:tc>
          <w:tcPr>
            <w:tcW w:w="1212" w:type="dxa"/>
            <w:tcBorders>
              <w:top w:val="single" w:color="auto" w:sz="6" w:space="0"/>
              <w:left w:val="single" w:color="auto" w:sz="6" w:space="0"/>
              <w:bottom w:val="single" w:color="auto" w:sz="6" w:space="0"/>
              <w:right w:val="single" w:color="auto" w:sz="6" w:space="0"/>
            </w:tcBorders>
            <w:noWrap w:val="0"/>
            <w:vAlign w:val="top"/>
          </w:tcPr>
          <w:p w14:paraId="485D4E11">
            <w:pPr>
              <w:autoSpaceDE w:val="0"/>
              <w:autoSpaceDN w:val="0"/>
              <w:spacing w:line="240" w:lineRule="auto"/>
              <w:rPr>
                <w:rFonts w:hint="eastAsia" w:ascii="仿宋_GB2312" w:hAnsi="仿宋" w:eastAsia="仿宋_GB2312" w:cs="仿宋_GB2312"/>
                <w:color w:val="auto"/>
                <w:sz w:val="24"/>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24A1EB33">
            <w:pPr>
              <w:autoSpaceDE w:val="0"/>
              <w:autoSpaceDN w:val="0"/>
              <w:spacing w:line="240" w:lineRule="auto"/>
              <w:rPr>
                <w:rFonts w:hint="eastAsia" w:ascii="仿宋_GB2312" w:hAnsi="仿宋" w:eastAsia="仿宋_GB2312" w:cs="仿宋_GB2312"/>
                <w:color w:val="auto"/>
                <w:sz w:val="24"/>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3E99DFE7">
            <w:pPr>
              <w:autoSpaceDE w:val="0"/>
              <w:autoSpaceDN w:val="0"/>
              <w:spacing w:line="240" w:lineRule="auto"/>
              <w:rPr>
                <w:rFonts w:hint="eastAsia" w:ascii="仿宋_GB2312" w:hAnsi="仿宋" w:eastAsia="仿宋_GB2312" w:cs="仿宋_GB2312"/>
                <w:color w:val="auto"/>
                <w:sz w:val="24"/>
                <w:highlight w:val="none"/>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295E3213">
            <w:pPr>
              <w:autoSpaceDE w:val="0"/>
              <w:autoSpaceDN w:val="0"/>
              <w:spacing w:line="240" w:lineRule="auto"/>
              <w:rPr>
                <w:rFonts w:hint="eastAsia" w:ascii="仿宋_GB2312" w:hAnsi="仿宋" w:eastAsia="仿宋_GB2312" w:cs="仿宋_GB2312"/>
                <w:color w:val="auto"/>
                <w:sz w:val="24"/>
                <w:highlight w:val="none"/>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5B69A6A7">
            <w:pPr>
              <w:autoSpaceDE w:val="0"/>
              <w:autoSpaceDN w:val="0"/>
              <w:spacing w:line="240" w:lineRule="auto"/>
              <w:rPr>
                <w:rFonts w:hint="eastAsia" w:ascii="仿宋_GB2312" w:hAnsi="仿宋" w:eastAsia="仿宋_GB2312" w:cs="仿宋_GB2312"/>
                <w:color w:val="auto"/>
                <w:sz w:val="24"/>
                <w:highlight w:val="none"/>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7946FC84">
            <w:pPr>
              <w:autoSpaceDE w:val="0"/>
              <w:autoSpaceDN w:val="0"/>
              <w:spacing w:line="24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A12BE5E">
            <w:pPr>
              <w:autoSpaceDE w:val="0"/>
              <w:autoSpaceDN w:val="0"/>
              <w:spacing w:line="24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92AF692">
            <w:pPr>
              <w:autoSpaceDE w:val="0"/>
              <w:autoSpaceDN w:val="0"/>
              <w:spacing w:line="240" w:lineRule="auto"/>
              <w:rPr>
                <w:rFonts w:hint="eastAsia" w:ascii="仿宋_GB2312" w:hAnsi="仿宋" w:eastAsia="仿宋_GB2312" w:cs="仿宋_GB2312"/>
                <w:color w:val="auto"/>
                <w:sz w:val="24"/>
                <w:highlight w:val="none"/>
              </w:rPr>
            </w:pPr>
          </w:p>
        </w:tc>
      </w:tr>
      <w:tr w14:paraId="2009180F">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14:paraId="46F23D13">
            <w:pPr>
              <w:autoSpaceDE w:val="0"/>
              <w:autoSpaceDN w:val="0"/>
              <w:spacing w:line="240" w:lineRule="auto"/>
              <w:jc w:val="center"/>
              <w:rPr>
                <w:rFonts w:hint="eastAsia" w:ascii="仿宋_GB2312" w:hAnsi="仿宋" w:eastAsia="仿宋_GB2312" w:cs="仿宋_GB2312"/>
                <w:color w:val="auto"/>
                <w:sz w:val="24"/>
                <w:highlight w:val="none"/>
              </w:rPr>
            </w:pPr>
          </w:p>
        </w:tc>
        <w:tc>
          <w:tcPr>
            <w:tcW w:w="767" w:type="dxa"/>
            <w:tcBorders>
              <w:top w:val="single" w:color="auto" w:sz="6" w:space="0"/>
              <w:left w:val="single" w:color="auto" w:sz="4" w:space="0"/>
              <w:bottom w:val="single" w:color="auto" w:sz="6" w:space="0"/>
              <w:right w:val="single" w:color="auto" w:sz="6" w:space="0"/>
            </w:tcBorders>
            <w:noWrap w:val="0"/>
            <w:vAlign w:val="top"/>
          </w:tcPr>
          <w:p w14:paraId="53D14EEA">
            <w:pPr>
              <w:autoSpaceDE w:val="0"/>
              <w:autoSpaceDN w:val="0"/>
              <w:spacing w:line="240" w:lineRule="auto"/>
              <w:jc w:val="center"/>
              <w:rPr>
                <w:rFonts w:hint="eastAsia" w:ascii="仿宋_GB2312" w:hAnsi="仿宋" w:eastAsia="仿宋_GB2312" w:cs="仿宋_GB2312"/>
                <w:color w:val="auto"/>
                <w:sz w:val="24"/>
                <w:highlight w:val="none"/>
              </w:rPr>
            </w:pPr>
          </w:p>
        </w:tc>
        <w:tc>
          <w:tcPr>
            <w:tcW w:w="1212" w:type="dxa"/>
            <w:tcBorders>
              <w:top w:val="single" w:color="auto" w:sz="6" w:space="0"/>
              <w:left w:val="single" w:color="auto" w:sz="6" w:space="0"/>
              <w:bottom w:val="single" w:color="auto" w:sz="6" w:space="0"/>
              <w:right w:val="single" w:color="auto" w:sz="6" w:space="0"/>
            </w:tcBorders>
            <w:noWrap w:val="0"/>
            <w:vAlign w:val="top"/>
          </w:tcPr>
          <w:p w14:paraId="2CBDE349">
            <w:pPr>
              <w:autoSpaceDE w:val="0"/>
              <w:autoSpaceDN w:val="0"/>
              <w:spacing w:line="240" w:lineRule="auto"/>
              <w:rPr>
                <w:rFonts w:hint="eastAsia" w:ascii="仿宋_GB2312" w:hAnsi="仿宋" w:eastAsia="仿宋_GB2312" w:cs="仿宋_GB2312"/>
                <w:color w:val="auto"/>
                <w:sz w:val="24"/>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57C40A4D">
            <w:pPr>
              <w:autoSpaceDE w:val="0"/>
              <w:autoSpaceDN w:val="0"/>
              <w:spacing w:line="240" w:lineRule="auto"/>
              <w:rPr>
                <w:rFonts w:hint="eastAsia" w:ascii="仿宋_GB2312" w:hAnsi="仿宋" w:eastAsia="仿宋_GB2312" w:cs="仿宋_GB2312"/>
                <w:color w:val="auto"/>
                <w:sz w:val="24"/>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4B26C8ED">
            <w:pPr>
              <w:autoSpaceDE w:val="0"/>
              <w:autoSpaceDN w:val="0"/>
              <w:spacing w:line="240" w:lineRule="auto"/>
              <w:rPr>
                <w:rFonts w:hint="eastAsia" w:ascii="仿宋_GB2312" w:hAnsi="仿宋" w:eastAsia="仿宋_GB2312" w:cs="仿宋_GB2312"/>
                <w:color w:val="auto"/>
                <w:sz w:val="24"/>
                <w:highlight w:val="none"/>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5F58EA47">
            <w:pPr>
              <w:autoSpaceDE w:val="0"/>
              <w:autoSpaceDN w:val="0"/>
              <w:spacing w:line="240" w:lineRule="auto"/>
              <w:rPr>
                <w:rFonts w:hint="eastAsia" w:ascii="仿宋_GB2312" w:hAnsi="仿宋" w:eastAsia="仿宋_GB2312" w:cs="仿宋_GB2312"/>
                <w:color w:val="auto"/>
                <w:sz w:val="24"/>
                <w:highlight w:val="none"/>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1427FFB3">
            <w:pPr>
              <w:autoSpaceDE w:val="0"/>
              <w:autoSpaceDN w:val="0"/>
              <w:spacing w:line="240" w:lineRule="auto"/>
              <w:rPr>
                <w:rFonts w:hint="eastAsia" w:ascii="仿宋_GB2312" w:hAnsi="仿宋" w:eastAsia="仿宋_GB2312" w:cs="仿宋_GB2312"/>
                <w:color w:val="auto"/>
                <w:sz w:val="24"/>
                <w:highlight w:val="none"/>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08FEC5FD">
            <w:pPr>
              <w:autoSpaceDE w:val="0"/>
              <w:autoSpaceDN w:val="0"/>
              <w:spacing w:line="24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09095CC">
            <w:pPr>
              <w:autoSpaceDE w:val="0"/>
              <w:autoSpaceDN w:val="0"/>
              <w:spacing w:line="24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370486C">
            <w:pPr>
              <w:autoSpaceDE w:val="0"/>
              <w:autoSpaceDN w:val="0"/>
              <w:spacing w:line="240" w:lineRule="auto"/>
              <w:rPr>
                <w:rFonts w:hint="eastAsia" w:ascii="仿宋_GB2312" w:hAnsi="仿宋" w:eastAsia="仿宋_GB2312" w:cs="仿宋_GB2312"/>
                <w:color w:val="auto"/>
                <w:sz w:val="24"/>
                <w:highlight w:val="none"/>
              </w:rPr>
            </w:pPr>
          </w:p>
        </w:tc>
      </w:tr>
      <w:tr w14:paraId="68CBE6E9">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14:paraId="57A4978A">
            <w:pPr>
              <w:autoSpaceDE w:val="0"/>
              <w:autoSpaceDN w:val="0"/>
              <w:spacing w:line="240" w:lineRule="auto"/>
              <w:jc w:val="center"/>
              <w:rPr>
                <w:rFonts w:hint="eastAsia" w:ascii="仿宋_GB2312" w:hAnsi="仿宋" w:eastAsia="仿宋_GB2312" w:cs="仿宋_GB2312"/>
                <w:color w:val="auto"/>
                <w:sz w:val="24"/>
                <w:highlight w:val="none"/>
              </w:rPr>
            </w:pPr>
          </w:p>
        </w:tc>
        <w:tc>
          <w:tcPr>
            <w:tcW w:w="767" w:type="dxa"/>
            <w:tcBorders>
              <w:top w:val="single" w:color="auto" w:sz="6" w:space="0"/>
              <w:left w:val="single" w:color="auto" w:sz="4" w:space="0"/>
              <w:bottom w:val="single" w:color="auto" w:sz="6" w:space="0"/>
              <w:right w:val="single" w:color="auto" w:sz="6" w:space="0"/>
            </w:tcBorders>
            <w:noWrap w:val="0"/>
            <w:vAlign w:val="top"/>
          </w:tcPr>
          <w:p w14:paraId="2B7F26EE">
            <w:pPr>
              <w:autoSpaceDE w:val="0"/>
              <w:autoSpaceDN w:val="0"/>
              <w:spacing w:line="240" w:lineRule="auto"/>
              <w:jc w:val="center"/>
              <w:rPr>
                <w:rFonts w:hint="eastAsia" w:ascii="宋体" w:hAnsi="宋体" w:cs="宋体"/>
                <w:color w:val="auto"/>
                <w:sz w:val="21"/>
                <w:szCs w:val="21"/>
                <w:highlight w:val="none"/>
                <w:lang w:val="en-US" w:eastAsia="zh-CN"/>
              </w:rPr>
            </w:pPr>
          </w:p>
        </w:tc>
        <w:tc>
          <w:tcPr>
            <w:tcW w:w="1212" w:type="dxa"/>
            <w:tcBorders>
              <w:top w:val="single" w:color="auto" w:sz="6" w:space="0"/>
              <w:left w:val="single" w:color="auto" w:sz="6" w:space="0"/>
              <w:bottom w:val="single" w:color="auto" w:sz="6" w:space="0"/>
              <w:right w:val="single" w:color="auto" w:sz="6" w:space="0"/>
            </w:tcBorders>
            <w:noWrap w:val="0"/>
            <w:vAlign w:val="top"/>
          </w:tcPr>
          <w:p w14:paraId="06CF38DF">
            <w:pPr>
              <w:autoSpaceDE w:val="0"/>
              <w:autoSpaceDN w:val="0"/>
              <w:spacing w:line="240" w:lineRule="auto"/>
              <w:rPr>
                <w:rFonts w:hint="eastAsia" w:ascii="仿宋_GB2312" w:hAnsi="仿宋" w:eastAsia="仿宋_GB2312" w:cs="仿宋_GB2312"/>
                <w:color w:val="auto"/>
                <w:sz w:val="24"/>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41DEA81E">
            <w:pPr>
              <w:autoSpaceDE w:val="0"/>
              <w:autoSpaceDN w:val="0"/>
              <w:spacing w:line="240" w:lineRule="auto"/>
              <w:rPr>
                <w:rFonts w:hint="eastAsia" w:ascii="仿宋_GB2312" w:hAnsi="仿宋" w:eastAsia="仿宋_GB2312" w:cs="仿宋_GB2312"/>
                <w:color w:val="auto"/>
                <w:sz w:val="24"/>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27FB7CA2">
            <w:pPr>
              <w:autoSpaceDE w:val="0"/>
              <w:autoSpaceDN w:val="0"/>
              <w:spacing w:line="240" w:lineRule="auto"/>
              <w:rPr>
                <w:rFonts w:hint="eastAsia" w:ascii="仿宋_GB2312" w:hAnsi="仿宋" w:eastAsia="仿宋_GB2312" w:cs="仿宋_GB2312"/>
                <w:color w:val="auto"/>
                <w:sz w:val="24"/>
                <w:highlight w:val="none"/>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7FE0702E">
            <w:pPr>
              <w:autoSpaceDE w:val="0"/>
              <w:autoSpaceDN w:val="0"/>
              <w:spacing w:line="240" w:lineRule="auto"/>
              <w:rPr>
                <w:rFonts w:hint="eastAsia" w:ascii="仿宋_GB2312" w:hAnsi="仿宋" w:eastAsia="仿宋_GB2312" w:cs="仿宋_GB2312"/>
                <w:color w:val="auto"/>
                <w:sz w:val="24"/>
                <w:highlight w:val="none"/>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618D0471">
            <w:pPr>
              <w:autoSpaceDE w:val="0"/>
              <w:autoSpaceDN w:val="0"/>
              <w:spacing w:line="240" w:lineRule="auto"/>
              <w:rPr>
                <w:rFonts w:hint="eastAsia" w:ascii="仿宋_GB2312" w:hAnsi="仿宋" w:eastAsia="仿宋_GB2312" w:cs="仿宋_GB2312"/>
                <w:color w:val="auto"/>
                <w:sz w:val="24"/>
                <w:highlight w:val="none"/>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227EEA53">
            <w:pPr>
              <w:autoSpaceDE w:val="0"/>
              <w:autoSpaceDN w:val="0"/>
              <w:spacing w:line="24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977A474">
            <w:pPr>
              <w:autoSpaceDE w:val="0"/>
              <w:autoSpaceDN w:val="0"/>
              <w:spacing w:line="24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1E65765">
            <w:pPr>
              <w:autoSpaceDE w:val="0"/>
              <w:autoSpaceDN w:val="0"/>
              <w:spacing w:line="240" w:lineRule="auto"/>
              <w:rPr>
                <w:rFonts w:hint="eastAsia" w:ascii="仿宋_GB2312" w:hAnsi="仿宋" w:eastAsia="仿宋_GB2312" w:cs="仿宋_GB2312"/>
                <w:color w:val="auto"/>
                <w:sz w:val="24"/>
                <w:highlight w:val="none"/>
              </w:rPr>
            </w:pPr>
          </w:p>
        </w:tc>
      </w:tr>
      <w:tr w14:paraId="55D8A9F3">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14:paraId="5F0A93AC">
            <w:pPr>
              <w:autoSpaceDE w:val="0"/>
              <w:autoSpaceDN w:val="0"/>
              <w:spacing w:line="240" w:lineRule="auto"/>
              <w:jc w:val="center"/>
              <w:rPr>
                <w:rFonts w:hint="eastAsia" w:ascii="仿宋_GB2312" w:hAnsi="仿宋" w:eastAsia="仿宋_GB2312" w:cs="仿宋_GB2312"/>
                <w:color w:val="auto"/>
                <w:sz w:val="24"/>
                <w:highlight w:val="none"/>
              </w:rPr>
            </w:pPr>
          </w:p>
        </w:tc>
        <w:tc>
          <w:tcPr>
            <w:tcW w:w="767" w:type="dxa"/>
            <w:tcBorders>
              <w:top w:val="single" w:color="auto" w:sz="6" w:space="0"/>
              <w:left w:val="single" w:color="auto" w:sz="4" w:space="0"/>
              <w:bottom w:val="single" w:color="auto" w:sz="6" w:space="0"/>
              <w:right w:val="single" w:color="auto" w:sz="6" w:space="0"/>
            </w:tcBorders>
            <w:noWrap w:val="0"/>
            <w:vAlign w:val="top"/>
          </w:tcPr>
          <w:p w14:paraId="2A10C8EA">
            <w:pPr>
              <w:autoSpaceDE w:val="0"/>
              <w:autoSpaceDN w:val="0"/>
              <w:spacing w:line="240" w:lineRule="auto"/>
              <w:jc w:val="center"/>
              <w:rPr>
                <w:rFonts w:hint="eastAsia" w:ascii="宋体" w:hAnsi="宋体" w:cs="宋体"/>
                <w:color w:val="auto"/>
                <w:sz w:val="21"/>
                <w:szCs w:val="21"/>
                <w:highlight w:val="none"/>
                <w:lang w:val="en-US" w:eastAsia="zh-CN"/>
              </w:rPr>
            </w:pPr>
          </w:p>
        </w:tc>
        <w:tc>
          <w:tcPr>
            <w:tcW w:w="1212" w:type="dxa"/>
            <w:tcBorders>
              <w:top w:val="single" w:color="auto" w:sz="6" w:space="0"/>
              <w:left w:val="single" w:color="auto" w:sz="6" w:space="0"/>
              <w:bottom w:val="single" w:color="auto" w:sz="6" w:space="0"/>
              <w:right w:val="single" w:color="auto" w:sz="6" w:space="0"/>
            </w:tcBorders>
            <w:noWrap w:val="0"/>
            <w:vAlign w:val="top"/>
          </w:tcPr>
          <w:p w14:paraId="12475A14">
            <w:pPr>
              <w:autoSpaceDE w:val="0"/>
              <w:autoSpaceDN w:val="0"/>
              <w:spacing w:line="240" w:lineRule="auto"/>
              <w:rPr>
                <w:rFonts w:hint="eastAsia" w:ascii="仿宋_GB2312" w:hAnsi="仿宋" w:eastAsia="仿宋_GB2312" w:cs="仿宋_GB2312"/>
                <w:color w:val="auto"/>
                <w:sz w:val="24"/>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116643A5">
            <w:pPr>
              <w:autoSpaceDE w:val="0"/>
              <w:autoSpaceDN w:val="0"/>
              <w:spacing w:line="240" w:lineRule="auto"/>
              <w:rPr>
                <w:rFonts w:hint="eastAsia" w:ascii="仿宋_GB2312" w:hAnsi="仿宋" w:eastAsia="仿宋_GB2312" w:cs="仿宋_GB2312"/>
                <w:color w:val="auto"/>
                <w:sz w:val="24"/>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1E64ADE5">
            <w:pPr>
              <w:autoSpaceDE w:val="0"/>
              <w:autoSpaceDN w:val="0"/>
              <w:spacing w:line="240" w:lineRule="auto"/>
              <w:rPr>
                <w:rFonts w:hint="eastAsia" w:ascii="仿宋_GB2312" w:hAnsi="仿宋" w:eastAsia="仿宋_GB2312" w:cs="仿宋_GB2312"/>
                <w:color w:val="auto"/>
                <w:sz w:val="24"/>
                <w:highlight w:val="none"/>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3BC2FAD2">
            <w:pPr>
              <w:autoSpaceDE w:val="0"/>
              <w:autoSpaceDN w:val="0"/>
              <w:spacing w:line="240" w:lineRule="auto"/>
              <w:rPr>
                <w:rFonts w:hint="eastAsia" w:ascii="仿宋_GB2312" w:hAnsi="仿宋" w:eastAsia="仿宋_GB2312" w:cs="仿宋_GB2312"/>
                <w:color w:val="auto"/>
                <w:sz w:val="24"/>
                <w:highlight w:val="none"/>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1D4A5D90">
            <w:pPr>
              <w:autoSpaceDE w:val="0"/>
              <w:autoSpaceDN w:val="0"/>
              <w:spacing w:line="240" w:lineRule="auto"/>
              <w:rPr>
                <w:rFonts w:hint="eastAsia" w:ascii="仿宋_GB2312" w:hAnsi="仿宋" w:eastAsia="仿宋_GB2312" w:cs="仿宋_GB2312"/>
                <w:color w:val="auto"/>
                <w:sz w:val="24"/>
                <w:highlight w:val="none"/>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306DC0BC">
            <w:pPr>
              <w:autoSpaceDE w:val="0"/>
              <w:autoSpaceDN w:val="0"/>
              <w:spacing w:line="24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581C97F">
            <w:pPr>
              <w:autoSpaceDE w:val="0"/>
              <w:autoSpaceDN w:val="0"/>
              <w:spacing w:line="24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8784E78">
            <w:pPr>
              <w:autoSpaceDE w:val="0"/>
              <w:autoSpaceDN w:val="0"/>
              <w:spacing w:line="240" w:lineRule="auto"/>
              <w:rPr>
                <w:rFonts w:hint="eastAsia" w:ascii="仿宋_GB2312" w:hAnsi="仿宋" w:eastAsia="仿宋_GB2312" w:cs="仿宋_GB2312"/>
                <w:color w:val="auto"/>
                <w:sz w:val="24"/>
                <w:highlight w:val="none"/>
              </w:rPr>
            </w:pPr>
          </w:p>
        </w:tc>
      </w:tr>
      <w:tr w14:paraId="4D912C94">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14:paraId="7E20A3ED">
            <w:pPr>
              <w:autoSpaceDE w:val="0"/>
              <w:autoSpaceDN w:val="0"/>
              <w:spacing w:line="240" w:lineRule="auto"/>
              <w:jc w:val="center"/>
              <w:rPr>
                <w:rFonts w:hint="eastAsia" w:ascii="仿宋_GB2312" w:hAnsi="仿宋" w:eastAsia="仿宋_GB2312" w:cs="仿宋_GB2312"/>
                <w:color w:val="auto"/>
                <w:sz w:val="24"/>
                <w:highlight w:val="none"/>
              </w:rPr>
            </w:pPr>
          </w:p>
        </w:tc>
        <w:tc>
          <w:tcPr>
            <w:tcW w:w="767" w:type="dxa"/>
            <w:tcBorders>
              <w:top w:val="single" w:color="auto" w:sz="6" w:space="0"/>
              <w:left w:val="single" w:color="auto" w:sz="4" w:space="0"/>
              <w:bottom w:val="single" w:color="auto" w:sz="6" w:space="0"/>
              <w:right w:val="single" w:color="auto" w:sz="6" w:space="0"/>
            </w:tcBorders>
            <w:noWrap w:val="0"/>
            <w:vAlign w:val="top"/>
          </w:tcPr>
          <w:p w14:paraId="34EC6B31">
            <w:pPr>
              <w:autoSpaceDE w:val="0"/>
              <w:autoSpaceDN w:val="0"/>
              <w:spacing w:line="240" w:lineRule="auto"/>
              <w:jc w:val="center"/>
              <w:rPr>
                <w:rFonts w:hint="eastAsia" w:ascii="宋体" w:hAnsi="宋体" w:cs="宋体"/>
                <w:color w:val="auto"/>
                <w:sz w:val="21"/>
                <w:szCs w:val="21"/>
                <w:highlight w:val="none"/>
                <w:lang w:val="en-US" w:eastAsia="zh-CN"/>
              </w:rPr>
            </w:pPr>
          </w:p>
        </w:tc>
        <w:tc>
          <w:tcPr>
            <w:tcW w:w="1212" w:type="dxa"/>
            <w:tcBorders>
              <w:top w:val="single" w:color="auto" w:sz="6" w:space="0"/>
              <w:left w:val="single" w:color="auto" w:sz="6" w:space="0"/>
              <w:bottom w:val="single" w:color="auto" w:sz="6" w:space="0"/>
              <w:right w:val="single" w:color="auto" w:sz="6" w:space="0"/>
            </w:tcBorders>
            <w:noWrap w:val="0"/>
            <w:vAlign w:val="top"/>
          </w:tcPr>
          <w:p w14:paraId="4CAAC431">
            <w:pPr>
              <w:autoSpaceDE w:val="0"/>
              <w:autoSpaceDN w:val="0"/>
              <w:spacing w:line="240" w:lineRule="auto"/>
              <w:rPr>
                <w:rFonts w:hint="eastAsia" w:ascii="仿宋_GB2312" w:hAnsi="仿宋" w:eastAsia="仿宋_GB2312" w:cs="仿宋_GB2312"/>
                <w:color w:val="auto"/>
                <w:sz w:val="24"/>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2313F19F">
            <w:pPr>
              <w:autoSpaceDE w:val="0"/>
              <w:autoSpaceDN w:val="0"/>
              <w:spacing w:line="240" w:lineRule="auto"/>
              <w:rPr>
                <w:rFonts w:hint="eastAsia" w:ascii="仿宋_GB2312" w:hAnsi="仿宋" w:eastAsia="仿宋_GB2312" w:cs="仿宋_GB2312"/>
                <w:color w:val="auto"/>
                <w:sz w:val="24"/>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5F3696A9">
            <w:pPr>
              <w:autoSpaceDE w:val="0"/>
              <w:autoSpaceDN w:val="0"/>
              <w:spacing w:line="240" w:lineRule="auto"/>
              <w:rPr>
                <w:rFonts w:hint="eastAsia" w:ascii="仿宋_GB2312" w:hAnsi="仿宋" w:eastAsia="仿宋_GB2312" w:cs="仿宋_GB2312"/>
                <w:color w:val="auto"/>
                <w:sz w:val="24"/>
                <w:highlight w:val="none"/>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37CC32A5">
            <w:pPr>
              <w:autoSpaceDE w:val="0"/>
              <w:autoSpaceDN w:val="0"/>
              <w:spacing w:line="240" w:lineRule="auto"/>
              <w:rPr>
                <w:rFonts w:hint="eastAsia" w:ascii="仿宋_GB2312" w:hAnsi="仿宋" w:eastAsia="仿宋_GB2312" w:cs="仿宋_GB2312"/>
                <w:color w:val="auto"/>
                <w:sz w:val="24"/>
                <w:highlight w:val="none"/>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39198307">
            <w:pPr>
              <w:autoSpaceDE w:val="0"/>
              <w:autoSpaceDN w:val="0"/>
              <w:spacing w:line="240" w:lineRule="auto"/>
              <w:rPr>
                <w:rFonts w:hint="eastAsia" w:ascii="仿宋_GB2312" w:hAnsi="仿宋" w:eastAsia="仿宋_GB2312" w:cs="仿宋_GB2312"/>
                <w:color w:val="auto"/>
                <w:sz w:val="24"/>
                <w:highlight w:val="none"/>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7393035B">
            <w:pPr>
              <w:autoSpaceDE w:val="0"/>
              <w:autoSpaceDN w:val="0"/>
              <w:spacing w:line="24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1C8886F">
            <w:pPr>
              <w:autoSpaceDE w:val="0"/>
              <w:autoSpaceDN w:val="0"/>
              <w:spacing w:line="24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530B6821">
            <w:pPr>
              <w:autoSpaceDE w:val="0"/>
              <w:autoSpaceDN w:val="0"/>
              <w:spacing w:line="240" w:lineRule="auto"/>
              <w:rPr>
                <w:rFonts w:hint="eastAsia" w:ascii="仿宋_GB2312" w:hAnsi="仿宋" w:eastAsia="仿宋_GB2312" w:cs="仿宋_GB2312"/>
                <w:color w:val="auto"/>
                <w:sz w:val="24"/>
                <w:highlight w:val="none"/>
              </w:rPr>
            </w:pPr>
          </w:p>
        </w:tc>
      </w:tr>
      <w:tr w14:paraId="57F27247">
        <w:tblPrEx>
          <w:tblCellMar>
            <w:top w:w="0" w:type="dxa"/>
            <w:left w:w="108" w:type="dxa"/>
            <w:bottom w:w="0" w:type="dxa"/>
            <w:right w:w="108" w:type="dxa"/>
          </w:tblCellMar>
        </w:tblPrEx>
        <w:trPr>
          <w:trHeight w:val="595" w:hRule="atLeast"/>
          <w:jc w:val="center"/>
        </w:trPr>
        <w:tc>
          <w:tcPr>
            <w:tcW w:w="470" w:type="dxa"/>
            <w:tcBorders>
              <w:top w:val="single" w:color="auto" w:sz="6" w:space="0"/>
              <w:left w:val="single" w:color="auto" w:sz="6" w:space="0"/>
              <w:bottom w:val="single" w:color="auto" w:sz="6" w:space="0"/>
              <w:right w:val="single" w:color="auto" w:sz="4" w:space="0"/>
            </w:tcBorders>
            <w:noWrap w:val="0"/>
            <w:vAlign w:val="top"/>
          </w:tcPr>
          <w:p w14:paraId="411A7595">
            <w:pPr>
              <w:autoSpaceDE w:val="0"/>
              <w:autoSpaceDN w:val="0"/>
              <w:spacing w:line="240" w:lineRule="auto"/>
              <w:jc w:val="center"/>
              <w:rPr>
                <w:rFonts w:hint="eastAsia" w:ascii="仿宋_GB2312" w:hAnsi="仿宋" w:eastAsia="仿宋_GB2312" w:cs="仿宋_GB2312"/>
                <w:color w:val="auto"/>
                <w:sz w:val="24"/>
                <w:highlight w:val="none"/>
              </w:rPr>
            </w:pPr>
          </w:p>
        </w:tc>
        <w:tc>
          <w:tcPr>
            <w:tcW w:w="767" w:type="dxa"/>
            <w:tcBorders>
              <w:top w:val="single" w:color="auto" w:sz="6" w:space="0"/>
              <w:left w:val="single" w:color="auto" w:sz="4" w:space="0"/>
              <w:bottom w:val="single" w:color="auto" w:sz="6" w:space="0"/>
              <w:right w:val="single" w:color="auto" w:sz="6" w:space="0"/>
            </w:tcBorders>
            <w:noWrap w:val="0"/>
            <w:vAlign w:val="top"/>
          </w:tcPr>
          <w:p w14:paraId="15843B9F">
            <w:pPr>
              <w:autoSpaceDE w:val="0"/>
              <w:autoSpaceDN w:val="0"/>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1212" w:type="dxa"/>
            <w:tcBorders>
              <w:top w:val="single" w:color="auto" w:sz="6" w:space="0"/>
              <w:left w:val="single" w:color="auto" w:sz="6" w:space="0"/>
              <w:bottom w:val="single" w:color="auto" w:sz="6" w:space="0"/>
              <w:right w:val="single" w:color="auto" w:sz="6" w:space="0"/>
            </w:tcBorders>
            <w:noWrap w:val="0"/>
            <w:vAlign w:val="top"/>
          </w:tcPr>
          <w:p w14:paraId="6A4CE265">
            <w:pPr>
              <w:autoSpaceDE w:val="0"/>
              <w:autoSpaceDN w:val="0"/>
              <w:spacing w:line="240" w:lineRule="auto"/>
              <w:rPr>
                <w:rFonts w:hint="eastAsia" w:ascii="仿宋_GB2312" w:hAnsi="仿宋" w:eastAsia="仿宋_GB2312" w:cs="仿宋_GB2312"/>
                <w:color w:val="auto"/>
                <w:sz w:val="24"/>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493A39BC">
            <w:pPr>
              <w:autoSpaceDE w:val="0"/>
              <w:autoSpaceDN w:val="0"/>
              <w:spacing w:line="240" w:lineRule="auto"/>
              <w:rPr>
                <w:rFonts w:hint="eastAsia" w:ascii="仿宋_GB2312" w:hAnsi="仿宋" w:eastAsia="仿宋_GB2312" w:cs="仿宋_GB2312"/>
                <w:color w:val="auto"/>
                <w:sz w:val="24"/>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6E149185">
            <w:pPr>
              <w:autoSpaceDE w:val="0"/>
              <w:autoSpaceDN w:val="0"/>
              <w:spacing w:line="240" w:lineRule="auto"/>
              <w:rPr>
                <w:rFonts w:hint="eastAsia" w:ascii="仿宋_GB2312" w:hAnsi="仿宋" w:eastAsia="仿宋_GB2312" w:cs="仿宋_GB2312"/>
                <w:color w:val="auto"/>
                <w:sz w:val="24"/>
                <w:highlight w:val="none"/>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249EE556">
            <w:pPr>
              <w:autoSpaceDE w:val="0"/>
              <w:autoSpaceDN w:val="0"/>
              <w:spacing w:line="240" w:lineRule="auto"/>
              <w:rPr>
                <w:rFonts w:hint="eastAsia" w:ascii="仿宋_GB2312" w:hAnsi="仿宋" w:eastAsia="仿宋_GB2312" w:cs="仿宋_GB2312"/>
                <w:color w:val="auto"/>
                <w:sz w:val="24"/>
                <w:highlight w:val="none"/>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4321B1D7">
            <w:pPr>
              <w:autoSpaceDE w:val="0"/>
              <w:autoSpaceDN w:val="0"/>
              <w:spacing w:line="240" w:lineRule="auto"/>
              <w:rPr>
                <w:rFonts w:hint="eastAsia" w:ascii="仿宋_GB2312" w:hAnsi="仿宋" w:eastAsia="仿宋_GB2312" w:cs="仿宋_GB2312"/>
                <w:color w:val="auto"/>
                <w:sz w:val="24"/>
                <w:highlight w:val="none"/>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379FB904">
            <w:pPr>
              <w:autoSpaceDE w:val="0"/>
              <w:autoSpaceDN w:val="0"/>
              <w:spacing w:line="24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98D4409">
            <w:pPr>
              <w:autoSpaceDE w:val="0"/>
              <w:autoSpaceDN w:val="0"/>
              <w:spacing w:line="24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6A83F313">
            <w:pPr>
              <w:autoSpaceDE w:val="0"/>
              <w:autoSpaceDN w:val="0"/>
              <w:spacing w:line="240" w:lineRule="auto"/>
              <w:rPr>
                <w:rFonts w:hint="eastAsia" w:ascii="仿宋_GB2312" w:hAnsi="仿宋" w:eastAsia="仿宋_GB2312" w:cs="仿宋_GB2312"/>
                <w:color w:val="auto"/>
                <w:sz w:val="24"/>
                <w:highlight w:val="none"/>
              </w:rPr>
            </w:pPr>
          </w:p>
        </w:tc>
      </w:tr>
    </w:tbl>
    <w:p w14:paraId="4227BCEA">
      <w:pPr>
        <w:snapToGrid w:val="0"/>
        <w:spacing w:before="165" w:beforeLines="50" w:after="50"/>
        <w:ind w:left="142"/>
        <w:jc w:val="center"/>
        <w:rPr>
          <w:rFonts w:hint="eastAsia" w:ascii="宋体" w:hAnsi="宋体" w:eastAsia="宋体" w:cs="Times New Roman"/>
          <w:b/>
          <w:color w:val="auto"/>
          <w:sz w:val="32"/>
          <w:szCs w:val="32"/>
          <w:highlight w:val="none"/>
        </w:rPr>
      </w:pPr>
    </w:p>
    <w:p w14:paraId="4C36EC9F">
      <w:pPr>
        <w:snapToGrid w:val="0"/>
        <w:spacing w:before="165" w:beforeLines="50" w:line="360" w:lineRule="auto"/>
        <w:ind w:right="480" w:firstLine="3967" w:firstLineChars="1653"/>
        <w:rPr>
          <w:rFonts w:hint="eastAsia" w:ascii="宋体" w:hAnsi="宋体" w:eastAsia="宋体" w:cs="Times New Roman"/>
          <w:color w:val="auto"/>
          <w:sz w:val="24"/>
          <w:highlight w:val="none"/>
        </w:rPr>
      </w:pPr>
    </w:p>
    <w:p w14:paraId="46089CDD">
      <w:pPr>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4BE00E82">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7C43C46">
      <w:pPr>
        <w:widowControl/>
        <w:spacing w:line="360" w:lineRule="auto"/>
        <w:jc w:val="left"/>
        <w:rPr>
          <w:rFonts w:ascii="宋体" w:hAnsi="宋体"/>
          <w:color w:val="auto"/>
          <w:sz w:val="24"/>
          <w:highlight w:val="none"/>
        </w:rPr>
        <w:sectPr>
          <w:pgSz w:w="11905" w:h="16838"/>
          <w:pgMar w:top="1134" w:right="1134" w:bottom="1134" w:left="1134" w:header="850" w:footer="850" w:gutter="0"/>
          <w:pgNumType w:fmt="decimal"/>
          <w:cols w:space="0" w:num="1"/>
          <w:titlePg/>
          <w:rtlGutter w:val="0"/>
          <w:docGrid w:linePitch="331" w:charSpace="0"/>
        </w:sectPr>
      </w:pPr>
    </w:p>
    <w:p w14:paraId="1DFF562D">
      <w:pPr>
        <w:pStyle w:val="16"/>
        <w:snapToGrid w:val="0"/>
        <w:ind w:left="480" w:hanging="480"/>
        <w:rPr>
          <w:rFonts w:hint="eastAsia" w:ascii="宋体" w:hAnsi="宋体" w:eastAsia="宋体" w:cs="宋体"/>
          <w:i/>
          <w:iCs/>
          <w:color w:val="auto"/>
          <w:sz w:val="24"/>
          <w:highlight w:val="none"/>
        </w:rPr>
      </w:pPr>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rPr>
        <w:t>. 项目实施人员一览表</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cs="宋体"/>
          <w:b/>
          <w:bCs/>
          <w:color w:val="auto"/>
          <w:sz w:val="30"/>
          <w:szCs w:val="30"/>
          <w:highlight w:val="none"/>
          <w:lang w:eastAsia="zh-CN"/>
        </w:rPr>
        <w:t>：</w:t>
      </w:r>
    </w:p>
    <w:p w14:paraId="0210E822">
      <w:pPr>
        <w:snapToGrid w:val="0"/>
        <w:spacing w:before="165" w:beforeLines="50" w:after="50"/>
        <w:ind w:left="142"/>
        <w:jc w:val="left"/>
        <w:rPr>
          <w:rFonts w:hint="eastAsia" w:ascii="宋体" w:hAnsi="宋体" w:eastAsia="宋体" w:cs="Times New Roman"/>
          <w:b/>
          <w:color w:val="auto"/>
          <w:sz w:val="32"/>
          <w:szCs w:val="32"/>
          <w:highlight w:val="none"/>
        </w:rPr>
      </w:pPr>
    </w:p>
    <w:p w14:paraId="3E551636">
      <w:pPr>
        <w:snapToGrid w:val="0"/>
        <w:spacing w:before="165" w:beforeLines="50" w:after="50"/>
        <w:ind w:left="142"/>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项目实施人员一览表</w:t>
      </w:r>
    </w:p>
    <w:p w14:paraId="6652E629">
      <w:pPr>
        <w:spacing w:line="360" w:lineRule="auto"/>
        <w:jc w:val="center"/>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2BB3EF17">
      <w:pPr>
        <w:pStyle w:val="12"/>
        <w:rPr>
          <w:rFonts w:hint="eastAsia" w:eastAsia="宋体" w:cs="Times New Roman"/>
          <w:color w:val="auto"/>
          <w:sz w:val="24"/>
          <w:szCs w:val="24"/>
          <w:highlight w:val="none"/>
        </w:rPr>
      </w:pPr>
    </w:p>
    <w:p w14:paraId="4EFCD05F">
      <w:pPr>
        <w:pStyle w:val="12"/>
        <w:spacing w:line="360" w:lineRule="auto"/>
        <w:rPr>
          <w:rFonts w:hint="eastAsia" w:eastAsia="宋体" w:cs="Times New Roman"/>
          <w:color w:val="auto"/>
          <w:sz w:val="24"/>
          <w:szCs w:val="24"/>
          <w:highlight w:val="none"/>
        </w:rPr>
      </w:pPr>
      <w:r>
        <w:rPr>
          <w:rFonts w:hint="eastAsia" w:eastAsia="宋体" w:cs="Times New Roman"/>
          <w:color w:val="auto"/>
          <w:sz w:val="24"/>
          <w:szCs w:val="24"/>
          <w:highlight w:val="none"/>
        </w:rPr>
        <w:t>所投分标（此处有分标时填写具体分标号，无分标时填写“无”）：</w:t>
      </w:r>
      <w:r>
        <w:rPr>
          <w:rFonts w:hint="eastAsia" w:eastAsia="宋体"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eastAsia" w:eastAsia="宋体" w:cs="Times New Roman"/>
          <w:color w:val="auto"/>
          <w:sz w:val="24"/>
          <w:szCs w:val="24"/>
          <w:highlight w:val="none"/>
          <w:u w:val="single"/>
        </w:rPr>
        <w:t xml:space="preserve">  </w:t>
      </w:r>
    </w:p>
    <w:p w14:paraId="6DE856DA">
      <w:pPr>
        <w:keepNext/>
        <w:autoSpaceDE w:val="0"/>
        <w:autoSpaceDN w:val="0"/>
        <w:spacing w:line="360" w:lineRule="auto"/>
        <w:ind w:firstLine="0"/>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附表A:本项目的项目经理情况表</w:t>
      </w:r>
    </w:p>
    <w:tbl>
      <w:tblPr>
        <w:tblStyle w:val="20"/>
        <w:tblW w:w="8755" w:type="dxa"/>
        <w:tblInd w:w="116" w:type="dxa"/>
        <w:tblLayout w:type="fixed"/>
        <w:tblCellMar>
          <w:top w:w="0" w:type="dxa"/>
          <w:left w:w="108" w:type="dxa"/>
          <w:bottom w:w="0" w:type="dxa"/>
          <w:right w:w="108" w:type="dxa"/>
        </w:tblCellMar>
      </w:tblPr>
      <w:tblGrid>
        <w:gridCol w:w="2061"/>
        <w:gridCol w:w="1287"/>
        <w:gridCol w:w="1260"/>
        <w:gridCol w:w="4147"/>
      </w:tblGrid>
      <w:tr w14:paraId="2E978B6B">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0B2195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C67ECAA">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4ADA434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054603BA">
            <w:pPr>
              <w:autoSpaceDE w:val="0"/>
              <w:autoSpaceDN w:val="0"/>
              <w:spacing w:line="360" w:lineRule="auto"/>
              <w:rPr>
                <w:rFonts w:hint="eastAsia" w:ascii="仿宋_GB2312" w:hAnsi="仿宋" w:eastAsia="仿宋_GB2312" w:cs="仿宋_GB2312"/>
                <w:color w:val="auto"/>
                <w:sz w:val="24"/>
                <w:highlight w:val="none"/>
                <w:lang w:eastAsia="zh-CN"/>
              </w:rPr>
            </w:pPr>
            <w:r>
              <w:rPr>
                <w:rFonts w:hint="eastAsia" w:ascii="仿宋_GB2312" w:hAnsi="仿宋" w:eastAsia="仿宋_GB2312" w:cs="仿宋_GB2312"/>
                <w:color w:val="auto"/>
                <w:sz w:val="24"/>
                <w:highlight w:val="none"/>
              </w:rPr>
              <w:t>投标截止时间前三年业绩及承担的主要工作情况，曾担任项目经理的项目应列明细</w:t>
            </w:r>
            <w:r>
              <w:rPr>
                <w:rFonts w:hint="eastAsia" w:ascii="仿宋_GB2312" w:hAnsi="仿宋" w:eastAsia="仿宋_GB2312" w:cs="仿宋_GB2312"/>
                <w:color w:val="auto"/>
                <w:sz w:val="24"/>
                <w:highlight w:val="none"/>
                <w:lang w:eastAsia="zh-CN"/>
              </w:rPr>
              <w:t>。</w:t>
            </w:r>
          </w:p>
        </w:tc>
      </w:tr>
      <w:tr w14:paraId="54BA140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D368F0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0DF126">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1C1F69B1">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5215D6B9">
            <w:pPr>
              <w:autoSpaceDE w:val="0"/>
              <w:autoSpaceDN w:val="0"/>
              <w:spacing w:line="360" w:lineRule="auto"/>
              <w:jc w:val="center"/>
              <w:rPr>
                <w:rFonts w:hint="eastAsia" w:ascii="仿宋_GB2312" w:hAnsi="仿宋" w:eastAsia="仿宋_GB2312" w:cs="仿宋_GB2312"/>
                <w:color w:val="auto"/>
                <w:sz w:val="24"/>
                <w:highlight w:val="none"/>
              </w:rPr>
            </w:pPr>
          </w:p>
        </w:tc>
      </w:tr>
      <w:tr w14:paraId="03F90785">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9FA059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F313FEA">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1AED12A5">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2567D2F">
            <w:pPr>
              <w:widowControl/>
              <w:jc w:val="left"/>
              <w:rPr>
                <w:rFonts w:ascii="仿宋_GB2312" w:hAnsi="仿宋" w:eastAsia="仿宋_GB2312" w:cs="仿宋_GB2312"/>
                <w:color w:val="auto"/>
                <w:sz w:val="24"/>
                <w:highlight w:val="none"/>
              </w:rPr>
            </w:pPr>
          </w:p>
        </w:tc>
      </w:tr>
      <w:tr w14:paraId="313335F9">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5F5079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专业</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CC0EDD4">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2E7E5234">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4346F9C">
            <w:pPr>
              <w:widowControl/>
              <w:jc w:val="left"/>
              <w:rPr>
                <w:rFonts w:ascii="仿宋_GB2312" w:hAnsi="仿宋" w:eastAsia="仿宋_GB2312" w:cs="仿宋_GB2312"/>
                <w:color w:val="auto"/>
                <w:sz w:val="24"/>
                <w:highlight w:val="none"/>
              </w:rPr>
            </w:pPr>
          </w:p>
        </w:tc>
      </w:tr>
      <w:tr w14:paraId="43836DD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7132BC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8512078">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6B52BE8A">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855C5B9">
            <w:pPr>
              <w:widowControl/>
              <w:jc w:val="left"/>
              <w:rPr>
                <w:rFonts w:ascii="仿宋_GB2312" w:hAnsi="仿宋" w:eastAsia="仿宋_GB2312" w:cs="仿宋_GB2312"/>
                <w:color w:val="auto"/>
                <w:sz w:val="24"/>
                <w:highlight w:val="none"/>
              </w:rPr>
            </w:pPr>
          </w:p>
        </w:tc>
      </w:tr>
      <w:tr w14:paraId="39E5805B">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AA83CC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r>
              <w:rPr>
                <w:rFonts w:hint="eastAsia" w:ascii="宋体" w:hAnsi="宋体" w:eastAsia="宋体" w:cs="宋体"/>
                <w:color w:val="auto"/>
                <w:sz w:val="21"/>
                <w:szCs w:val="21"/>
                <w:highlight w:val="none"/>
                <w:lang w:val="en-US" w:eastAsia="zh-CN"/>
              </w:rPr>
              <w:t>/职业资格证书</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DB2E91B">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2E7BD8F4">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9B579B2">
            <w:pPr>
              <w:widowControl/>
              <w:jc w:val="left"/>
              <w:rPr>
                <w:rFonts w:ascii="仿宋_GB2312" w:hAnsi="仿宋" w:eastAsia="仿宋_GB2312" w:cs="仿宋_GB2312"/>
                <w:color w:val="auto"/>
                <w:sz w:val="24"/>
                <w:highlight w:val="none"/>
              </w:rPr>
            </w:pPr>
          </w:p>
        </w:tc>
      </w:tr>
      <w:tr w14:paraId="29895C7B">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C5DA42C">
            <w:pPr>
              <w:autoSpaceDE w:val="0"/>
              <w:autoSpaceDN w:val="0"/>
              <w:spacing w:line="240" w:lineRule="auto"/>
              <w:jc w:val="center"/>
              <w:rPr>
                <w:rFonts w:hint="eastAsia" w:ascii="仿宋_GB2312" w:hAnsi="仿宋" w:eastAsia="仿宋_GB2312" w:cs="仿宋_GB2312"/>
                <w:color w:val="auto"/>
                <w:sz w:val="24"/>
                <w:szCs w:val="24"/>
                <w:highlight w:val="none"/>
                <w:lang w:val="en-US" w:eastAsia="zh-CN"/>
              </w:rPr>
            </w:pPr>
            <w:r>
              <w:rPr>
                <w:rFonts w:hint="eastAsia" w:ascii="仿宋_GB2312" w:hAnsi="仿宋" w:eastAsia="仿宋_GB2312" w:cs="仿宋_GB2312"/>
                <w:color w:val="auto"/>
                <w:sz w:val="24"/>
                <w:highlight w:val="none"/>
              </w:rPr>
              <w:t>职称</w:t>
            </w:r>
            <w:r>
              <w:rPr>
                <w:rFonts w:hint="eastAsia" w:ascii="仿宋_GB2312" w:hAnsi="仿宋" w:eastAsia="仿宋_GB2312" w:cs="仿宋_GB2312"/>
                <w:color w:val="auto"/>
                <w:sz w:val="24"/>
                <w:szCs w:val="24"/>
                <w:highlight w:val="none"/>
                <w:lang w:val="en-US" w:eastAsia="zh-CN"/>
              </w:rPr>
              <w:t>/职业资格</w:t>
            </w:r>
          </w:p>
          <w:p w14:paraId="0A1D26E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szCs w:val="24"/>
                <w:highlight w:val="none"/>
                <w:lang w:val="en-US" w:eastAsia="zh-CN"/>
              </w:rPr>
              <w:t>证书</w:t>
            </w:r>
            <w:r>
              <w:rPr>
                <w:rFonts w:hint="eastAsia" w:ascii="仿宋_GB2312" w:hAnsi="仿宋" w:eastAsia="仿宋_GB2312" w:cs="仿宋_GB2312"/>
                <w:color w:val="auto"/>
                <w:sz w:val="24"/>
                <w:highlight w:val="none"/>
              </w:rPr>
              <w:t>编号</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28AA468">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099DDC3B">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C1A909E">
            <w:pPr>
              <w:widowControl/>
              <w:jc w:val="left"/>
              <w:rPr>
                <w:rFonts w:ascii="仿宋_GB2312" w:hAnsi="仿宋" w:eastAsia="仿宋_GB2312" w:cs="仿宋_GB2312"/>
                <w:color w:val="auto"/>
                <w:sz w:val="24"/>
                <w:highlight w:val="none"/>
              </w:rPr>
            </w:pPr>
          </w:p>
        </w:tc>
      </w:tr>
      <w:tr w14:paraId="7D4275FC">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722D73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w:t>
            </w:r>
            <w:r>
              <w:rPr>
                <w:rFonts w:hint="eastAsia" w:ascii="仿宋_GB2312" w:hAnsi="仿宋" w:eastAsia="仿宋_GB2312" w:cs="仿宋_GB2312"/>
                <w:color w:val="auto"/>
                <w:sz w:val="24"/>
                <w:highlight w:val="none"/>
                <w:lang w:val="en-US" w:eastAsia="zh-CN"/>
              </w:rPr>
              <w:t>证书</w:t>
            </w:r>
            <w:r>
              <w:rPr>
                <w:rFonts w:hint="eastAsia" w:ascii="仿宋_GB2312" w:hAnsi="仿宋" w:eastAsia="仿宋_GB2312" w:cs="仿宋_GB2312"/>
                <w:color w:val="auto"/>
                <w:sz w:val="24"/>
                <w:highlight w:val="none"/>
              </w:rPr>
              <w:t>情况</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E05B212">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181B01EE">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9D8E89C">
            <w:pPr>
              <w:widowControl/>
              <w:jc w:val="left"/>
              <w:rPr>
                <w:rFonts w:ascii="仿宋_GB2312" w:hAnsi="仿宋" w:eastAsia="仿宋_GB2312" w:cs="仿宋_GB2312"/>
                <w:color w:val="auto"/>
                <w:sz w:val="24"/>
                <w:highlight w:val="none"/>
              </w:rPr>
            </w:pPr>
          </w:p>
        </w:tc>
      </w:tr>
      <w:tr w14:paraId="2722D44E">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EE700B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3CBF81F">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7DF2384B">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5FEE74B">
            <w:pPr>
              <w:widowControl/>
              <w:jc w:val="left"/>
              <w:rPr>
                <w:rFonts w:ascii="仿宋_GB2312" w:hAnsi="仿宋" w:eastAsia="仿宋_GB2312" w:cs="仿宋_GB2312"/>
                <w:color w:val="auto"/>
                <w:sz w:val="24"/>
                <w:highlight w:val="none"/>
              </w:rPr>
            </w:pPr>
          </w:p>
        </w:tc>
      </w:tr>
    </w:tbl>
    <w:p w14:paraId="61B94D21">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注：投标人可</w:t>
      </w:r>
      <w:r>
        <w:rPr>
          <w:rFonts w:hint="eastAsia" w:ascii="仿宋_GB2312" w:hAnsi="仿宋" w:eastAsia="仿宋_GB2312" w:cs="仿宋_GB2312"/>
          <w:b/>
          <w:color w:val="auto"/>
          <w:sz w:val="24"/>
          <w:highlight w:val="none"/>
          <w:lang w:eastAsia="zh-CN"/>
        </w:rPr>
        <w:t>参照</w:t>
      </w:r>
      <w:r>
        <w:rPr>
          <w:rFonts w:hint="eastAsia" w:ascii="仿宋_GB2312" w:hAnsi="仿宋" w:eastAsia="仿宋_GB2312" w:cs="仿宋_GB2312"/>
          <w:b/>
          <w:color w:val="auto"/>
          <w:sz w:val="24"/>
          <w:highlight w:val="none"/>
        </w:rPr>
        <w:t>上述的格式自行编制，并注明所在投标</w:t>
      </w:r>
      <w:r>
        <w:rPr>
          <w:rFonts w:hint="eastAsia" w:ascii="宋体" w:hAnsi="宋体" w:cs="宋体"/>
          <w:b/>
          <w:color w:val="auto"/>
          <w:sz w:val="21"/>
          <w:szCs w:val="21"/>
          <w:highlight w:val="none"/>
          <w:lang w:eastAsia="zh-CN"/>
        </w:rPr>
        <w:t>商务技术文件</w:t>
      </w:r>
      <w:r>
        <w:rPr>
          <w:rFonts w:hint="eastAsia" w:ascii="仿宋_GB2312" w:hAnsi="仿宋" w:eastAsia="仿宋_GB2312" w:cs="仿宋_GB2312"/>
          <w:b/>
          <w:color w:val="auto"/>
          <w:sz w:val="24"/>
          <w:highlight w:val="none"/>
        </w:rPr>
        <w:t>页码。</w:t>
      </w:r>
    </w:p>
    <w:p w14:paraId="7C533B49">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附表B:本项目的项目小组人员情况表</w:t>
      </w:r>
      <w:r>
        <w:rPr>
          <w:rFonts w:hint="eastAsia" w:ascii="仿宋_GB2312" w:hAnsi="仿宋" w:eastAsia="仿宋_GB2312" w:cs="仿宋_GB2312"/>
          <w:color w:val="auto"/>
          <w:sz w:val="24"/>
          <w:highlight w:val="none"/>
        </w:rPr>
        <w:t>（</w:t>
      </w:r>
      <w:r>
        <w:rPr>
          <w:rFonts w:hint="eastAsia" w:ascii="仿宋_GB2312" w:hAnsi="仿宋" w:eastAsia="仿宋_GB2312" w:cs="仿宋_GB2312"/>
          <w:color w:val="auto"/>
          <w:sz w:val="24"/>
          <w:highlight w:val="none"/>
          <w:lang w:eastAsia="zh-CN"/>
        </w:rPr>
        <w:t>参照</w:t>
      </w:r>
      <w:r>
        <w:rPr>
          <w:rFonts w:hint="eastAsia" w:ascii="仿宋_GB2312" w:hAnsi="仿宋" w:eastAsia="仿宋_GB2312" w:cs="仿宋_GB2312"/>
          <w:color w:val="auto"/>
          <w:sz w:val="24"/>
          <w:highlight w:val="none"/>
        </w:rPr>
        <w:t>此格式自制）</w:t>
      </w:r>
    </w:p>
    <w:tbl>
      <w:tblPr>
        <w:tblStyle w:val="20"/>
        <w:tblW w:w="7950" w:type="dxa"/>
        <w:tblInd w:w="108" w:type="dxa"/>
        <w:tblLayout w:type="fixed"/>
        <w:tblCellMar>
          <w:top w:w="0" w:type="dxa"/>
          <w:left w:w="108" w:type="dxa"/>
          <w:bottom w:w="0" w:type="dxa"/>
          <w:right w:w="108" w:type="dxa"/>
        </w:tblCellMar>
      </w:tblPr>
      <w:tblGrid>
        <w:gridCol w:w="420"/>
        <w:gridCol w:w="959"/>
        <w:gridCol w:w="477"/>
        <w:gridCol w:w="623"/>
        <w:gridCol w:w="1096"/>
        <w:gridCol w:w="1189"/>
        <w:gridCol w:w="946"/>
        <w:gridCol w:w="770"/>
        <w:gridCol w:w="1470"/>
      </w:tblGrid>
      <w:tr w14:paraId="245B63A5">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6E929BC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959" w:type="dxa"/>
            <w:tcBorders>
              <w:top w:val="single" w:color="auto" w:sz="6" w:space="0"/>
              <w:left w:val="single" w:color="auto" w:sz="6" w:space="0"/>
              <w:bottom w:val="single" w:color="auto" w:sz="6" w:space="0"/>
              <w:right w:val="single" w:color="auto" w:sz="6" w:space="0"/>
            </w:tcBorders>
            <w:noWrap w:val="0"/>
            <w:vAlign w:val="center"/>
          </w:tcPr>
          <w:p w14:paraId="0CC0F51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77" w:type="dxa"/>
            <w:tcBorders>
              <w:top w:val="single" w:color="auto" w:sz="6" w:space="0"/>
              <w:left w:val="single" w:color="auto" w:sz="6" w:space="0"/>
              <w:bottom w:val="single" w:color="auto" w:sz="6" w:space="0"/>
              <w:right w:val="single" w:color="auto" w:sz="6" w:space="0"/>
            </w:tcBorders>
            <w:noWrap w:val="0"/>
            <w:vAlign w:val="center"/>
          </w:tcPr>
          <w:p w14:paraId="249E74F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623" w:type="dxa"/>
            <w:tcBorders>
              <w:top w:val="single" w:color="auto" w:sz="6" w:space="0"/>
              <w:left w:val="single" w:color="auto" w:sz="6" w:space="0"/>
              <w:bottom w:val="single" w:color="auto" w:sz="6" w:space="0"/>
              <w:right w:val="single" w:color="auto" w:sz="6" w:space="0"/>
            </w:tcBorders>
            <w:noWrap w:val="0"/>
            <w:vAlign w:val="center"/>
          </w:tcPr>
          <w:p w14:paraId="5296D78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96" w:type="dxa"/>
            <w:tcBorders>
              <w:top w:val="single" w:color="auto" w:sz="6" w:space="0"/>
              <w:left w:val="single" w:color="auto" w:sz="6" w:space="0"/>
              <w:bottom w:val="single" w:color="auto" w:sz="6" w:space="0"/>
              <w:right w:val="single" w:color="auto" w:sz="6" w:space="0"/>
            </w:tcBorders>
            <w:noWrap w:val="0"/>
            <w:vAlign w:val="center"/>
          </w:tcPr>
          <w:p w14:paraId="4C2E37DC">
            <w:pPr>
              <w:autoSpaceDE w:val="0"/>
              <w:autoSpaceDN w:val="0"/>
              <w:spacing w:line="360" w:lineRule="auto"/>
              <w:jc w:val="center"/>
              <w:rPr>
                <w:rFonts w:hint="default" w:ascii="仿宋_GB2312" w:hAnsi="仿宋" w:eastAsia="仿宋_GB2312" w:cs="仿宋_GB2312"/>
                <w:color w:val="auto"/>
                <w:sz w:val="24"/>
                <w:highlight w:val="none"/>
                <w:lang w:val="en-US" w:eastAsia="zh-CN"/>
              </w:rPr>
            </w:pPr>
            <w:r>
              <w:rPr>
                <w:rFonts w:hint="eastAsia" w:ascii="仿宋_GB2312" w:hAnsi="仿宋" w:eastAsia="仿宋_GB2312" w:cs="仿宋_GB2312"/>
                <w:color w:val="auto"/>
                <w:sz w:val="24"/>
                <w:highlight w:val="none"/>
              </w:rPr>
              <w:t>学历</w:t>
            </w:r>
            <w:r>
              <w:rPr>
                <w:rFonts w:hint="eastAsia" w:ascii="仿宋_GB2312" w:hAnsi="仿宋" w:eastAsia="仿宋_GB2312" w:cs="仿宋_GB2312"/>
                <w:color w:val="auto"/>
                <w:sz w:val="24"/>
                <w:highlight w:val="none"/>
                <w:lang w:val="en-US" w:eastAsia="zh-CN"/>
              </w:rPr>
              <w:t>及专业</w:t>
            </w:r>
          </w:p>
          <w:p w14:paraId="22C1FD9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189" w:type="dxa"/>
            <w:tcBorders>
              <w:top w:val="single" w:color="auto" w:sz="6" w:space="0"/>
              <w:left w:val="single" w:color="auto" w:sz="6" w:space="0"/>
              <w:bottom w:val="single" w:color="auto" w:sz="6" w:space="0"/>
              <w:right w:val="single" w:color="auto" w:sz="6" w:space="0"/>
            </w:tcBorders>
            <w:noWrap w:val="0"/>
            <w:vAlign w:val="center"/>
          </w:tcPr>
          <w:p w14:paraId="487F90F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r>
              <w:rPr>
                <w:rFonts w:hint="eastAsia" w:ascii="宋体" w:hAnsi="宋体" w:eastAsia="宋体" w:cs="宋体"/>
                <w:color w:val="auto"/>
                <w:sz w:val="21"/>
                <w:szCs w:val="21"/>
                <w:highlight w:val="none"/>
                <w:lang w:val="en-US" w:eastAsia="zh-CN"/>
              </w:rPr>
              <w:t>/职业资格证书</w:t>
            </w:r>
          </w:p>
          <w:p w14:paraId="60AC25F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946" w:type="dxa"/>
            <w:tcBorders>
              <w:top w:val="single" w:color="auto" w:sz="6" w:space="0"/>
              <w:left w:val="single" w:color="auto" w:sz="6" w:space="0"/>
              <w:bottom w:val="single" w:color="auto" w:sz="6" w:space="0"/>
              <w:right w:val="single" w:color="auto" w:sz="6" w:space="0"/>
            </w:tcBorders>
            <w:noWrap w:val="0"/>
            <w:vAlign w:val="center"/>
          </w:tcPr>
          <w:p w14:paraId="3902095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770" w:type="dxa"/>
            <w:tcBorders>
              <w:top w:val="single" w:color="auto" w:sz="6" w:space="0"/>
              <w:left w:val="single" w:color="auto" w:sz="6" w:space="0"/>
              <w:bottom w:val="single" w:color="auto" w:sz="6" w:space="0"/>
              <w:right w:val="single" w:color="auto" w:sz="6" w:space="0"/>
            </w:tcBorders>
            <w:noWrap w:val="0"/>
            <w:vAlign w:val="center"/>
          </w:tcPr>
          <w:p w14:paraId="76CF601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57CD9B9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14:paraId="28EB59D5">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2F201FF2">
            <w:pPr>
              <w:autoSpaceDE w:val="0"/>
              <w:autoSpaceDN w:val="0"/>
              <w:spacing w:line="360" w:lineRule="auto"/>
              <w:jc w:val="center"/>
              <w:rPr>
                <w:rFonts w:hint="eastAsia" w:ascii="仿宋_GB2312" w:hAnsi="仿宋" w:eastAsia="仿宋_GB2312" w:cs="仿宋_GB2312"/>
                <w:color w:val="auto"/>
                <w:sz w:val="24"/>
                <w:highlight w:val="none"/>
              </w:rPr>
            </w:pPr>
          </w:p>
        </w:tc>
        <w:tc>
          <w:tcPr>
            <w:tcW w:w="959" w:type="dxa"/>
            <w:tcBorders>
              <w:top w:val="single" w:color="auto" w:sz="6" w:space="0"/>
              <w:left w:val="single" w:color="auto" w:sz="6" w:space="0"/>
              <w:bottom w:val="single" w:color="auto" w:sz="6" w:space="0"/>
              <w:right w:val="single" w:color="auto" w:sz="6" w:space="0"/>
            </w:tcBorders>
            <w:noWrap w:val="0"/>
            <w:vAlign w:val="top"/>
          </w:tcPr>
          <w:p w14:paraId="476213B4">
            <w:pPr>
              <w:autoSpaceDE w:val="0"/>
              <w:autoSpaceDN w:val="0"/>
              <w:spacing w:line="360" w:lineRule="auto"/>
              <w:rPr>
                <w:rFonts w:hint="eastAsia" w:ascii="仿宋_GB2312" w:hAnsi="仿宋" w:eastAsia="仿宋_GB2312" w:cs="仿宋_GB2312"/>
                <w:color w:val="auto"/>
                <w:sz w:val="24"/>
                <w:highlight w:val="none"/>
              </w:rPr>
            </w:pPr>
          </w:p>
        </w:tc>
        <w:tc>
          <w:tcPr>
            <w:tcW w:w="477" w:type="dxa"/>
            <w:tcBorders>
              <w:top w:val="single" w:color="auto" w:sz="6" w:space="0"/>
              <w:left w:val="single" w:color="auto" w:sz="6" w:space="0"/>
              <w:bottom w:val="single" w:color="auto" w:sz="6" w:space="0"/>
              <w:right w:val="single" w:color="auto" w:sz="6" w:space="0"/>
            </w:tcBorders>
            <w:noWrap w:val="0"/>
            <w:vAlign w:val="top"/>
          </w:tcPr>
          <w:p w14:paraId="5DAE7645">
            <w:pPr>
              <w:autoSpaceDE w:val="0"/>
              <w:autoSpaceDN w:val="0"/>
              <w:spacing w:line="360" w:lineRule="auto"/>
              <w:rPr>
                <w:rFonts w:hint="eastAsia" w:ascii="仿宋_GB2312" w:hAnsi="仿宋" w:eastAsia="仿宋_GB2312" w:cs="仿宋_GB2312"/>
                <w:color w:val="auto"/>
                <w:sz w:val="24"/>
                <w:highlight w:val="none"/>
              </w:rPr>
            </w:pPr>
          </w:p>
        </w:tc>
        <w:tc>
          <w:tcPr>
            <w:tcW w:w="623" w:type="dxa"/>
            <w:tcBorders>
              <w:top w:val="single" w:color="auto" w:sz="6" w:space="0"/>
              <w:left w:val="single" w:color="auto" w:sz="6" w:space="0"/>
              <w:bottom w:val="single" w:color="auto" w:sz="6" w:space="0"/>
              <w:right w:val="single" w:color="auto" w:sz="6" w:space="0"/>
            </w:tcBorders>
            <w:noWrap w:val="0"/>
            <w:vAlign w:val="top"/>
          </w:tcPr>
          <w:p w14:paraId="075E2F84">
            <w:pPr>
              <w:autoSpaceDE w:val="0"/>
              <w:autoSpaceDN w:val="0"/>
              <w:spacing w:line="360" w:lineRule="auto"/>
              <w:rPr>
                <w:rFonts w:hint="eastAsia" w:ascii="仿宋_GB2312" w:hAnsi="仿宋" w:eastAsia="仿宋_GB2312" w:cs="仿宋_GB2312"/>
                <w:color w:val="auto"/>
                <w:sz w:val="24"/>
                <w:highlight w:val="none"/>
              </w:rPr>
            </w:pPr>
          </w:p>
        </w:tc>
        <w:tc>
          <w:tcPr>
            <w:tcW w:w="1096" w:type="dxa"/>
            <w:tcBorders>
              <w:top w:val="single" w:color="auto" w:sz="6" w:space="0"/>
              <w:left w:val="single" w:color="auto" w:sz="6" w:space="0"/>
              <w:bottom w:val="single" w:color="auto" w:sz="6" w:space="0"/>
              <w:right w:val="single" w:color="auto" w:sz="6" w:space="0"/>
            </w:tcBorders>
            <w:noWrap w:val="0"/>
            <w:vAlign w:val="top"/>
          </w:tcPr>
          <w:p w14:paraId="660260D1">
            <w:pPr>
              <w:autoSpaceDE w:val="0"/>
              <w:autoSpaceDN w:val="0"/>
              <w:spacing w:line="360" w:lineRule="auto"/>
              <w:rPr>
                <w:rFonts w:hint="eastAsia" w:ascii="仿宋_GB2312" w:hAnsi="仿宋" w:eastAsia="仿宋_GB2312" w:cs="仿宋_GB2312"/>
                <w:color w:val="auto"/>
                <w:sz w:val="24"/>
                <w:highlight w:val="none"/>
              </w:rPr>
            </w:pPr>
          </w:p>
        </w:tc>
        <w:tc>
          <w:tcPr>
            <w:tcW w:w="1189" w:type="dxa"/>
            <w:tcBorders>
              <w:top w:val="single" w:color="auto" w:sz="6" w:space="0"/>
              <w:left w:val="single" w:color="auto" w:sz="6" w:space="0"/>
              <w:bottom w:val="single" w:color="auto" w:sz="6" w:space="0"/>
              <w:right w:val="single" w:color="auto" w:sz="6" w:space="0"/>
            </w:tcBorders>
            <w:noWrap w:val="0"/>
            <w:vAlign w:val="top"/>
          </w:tcPr>
          <w:p w14:paraId="7C6A6B99">
            <w:pPr>
              <w:autoSpaceDE w:val="0"/>
              <w:autoSpaceDN w:val="0"/>
              <w:spacing w:line="360" w:lineRule="auto"/>
              <w:rPr>
                <w:rFonts w:hint="eastAsia" w:ascii="仿宋_GB2312" w:hAnsi="仿宋" w:eastAsia="仿宋_GB2312" w:cs="仿宋_GB2312"/>
                <w:color w:val="auto"/>
                <w:sz w:val="24"/>
                <w:highlight w:val="none"/>
              </w:rPr>
            </w:pPr>
          </w:p>
        </w:tc>
        <w:tc>
          <w:tcPr>
            <w:tcW w:w="946" w:type="dxa"/>
            <w:tcBorders>
              <w:top w:val="single" w:color="auto" w:sz="6" w:space="0"/>
              <w:left w:val="single" w:color="auto" w:sz="6" w:space="0"/>
              <w:bottom w:val="single" w:color="auto" w:sz="6" w:space="0"/>
              <w:right w:val="single" w:color="auto" w:sz="6" w:space="0"/>
            </w:tcBorders>
            <w:noWrap w:val="0"/>
            <w:vAlign w:val="top"/>
          </w:tcPr>
          <w:p w14:paraId="04AAD529">
            <w:pPr>
              <w:autoSpaceDE w:val="0"/>
              <w:autoSpaceDN w:val="0"/>
              <w:spacing w:line="360" w:lineRule="auto"/>
              <w:rPr>
                <w:rFonts w:hint="eastAsia" w:ascii="仿宋_GB2312" w:hAnsi="仿宋" w:eastAsia="仿宋_GB2312" w:cs="仿宋_GB2312"/>
                <w:color w:val="auto"/>
                <w:sz w:val="24"/>
                <w:highlight w:val="none"/>
              </w:rPr>
            </w:pPr>
          </w:p>
        </w:tc>
        <w:tc>
          <w:tcPr>
            <w:tcW w:w="770" w:type="dxa"/>
            <w:tcBorders>
              <w:top w:val="single" w:color="auto" w:sz="6" w:space="0"/>
              <w:left w:val="single" w:color="auto" w:sz="6" w:space="0"/>
              <w:bottom w:val="single" w:color="auto" w:sz="6" w:space="0"/>
              <w:right w:val="single" w:color="auto" w:sz="6" w:space="0"/>
            </w:tcBorders>
            <w:noWrap w:val="0"/>
            <w:vAlign w:val="top"/>
          </w:tcPr>
          <w:p w14:paraId="1B4E6E7C">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677EF479">
            <w:pPr>
              <w:autoSpaceDE w:val="0"/>
              <w:autoSpaceDN w:val="0"/>
              <w:spacing w:line="360" w:lineRule="auto"/>
              <w:rPr>
                <w:rFonts w:hint="eastAsia" w:ascii="仿宋_GB2312" w:hAnsi="仿宋" w:eastAsia="仿宋_GB2312" w:cs="仿宋_GB2312"/>
                <w:color w:val="auto"/>
                <w:sz w:val="24"/>
                <w:highlight w:val="none"/>
              </w:rPr>
            </w:pPr>
          </w:p>
        </w:tc>
      </w:tr>
      <w:tr w14:paraId="5A8B2752">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7880BBD3">
            <w:pPr>
              <w:autoSpaceDE w:val="0"/>
              <w:autoSpaceDN w:val="0"/>
              <w:spacing w:line="360" w:lineRule="auto"/>
              <w:jc w:val="center"/>
              <w:rPr>
                <w:rFonts w:hint="eastAsia" w:ascii="仿宋_GB2312" w:hAnsi="仿宋" w:eastAsia="仿宋_GB2312" w:cs="仿宋_GB2312"/>
                <w:color w:val="auto"/>
                <w:sz w:val="24"/>
                <w:highlight w:val="none"/>
              </w:rPr>
            </w:pPr>
          </w:p>
        </w:tc>
        <w:tc>
          <w:tcPr>
            <w:tcW w:w="959" w:type="dxa"/>
            <w:tcBorders>
              <w:top w:val="single" w:color="auto" w:sz="6" w:space="0"/>
              <w:left w:val="single" w:color="auto" w:sz="6" w:space="0"/>
              <w:bottom w:val="single" w:color="auto" w:sz="6" w:space="0"/>
              <w:right w:val="single" w:color="auto" w:sz="6" w:space="0"/>
            </w:tcBorders>
            <w:noWrap w:val="0"/>
            <w:vAlign w:val="top"/>
          </w:tcPr>
          <w:p w14:paraId="02957255">
            <w:pPr>
              <w:autoSpaceDE w:val="0"/>
              <w:autoSpaceDN w:val="0"/>
              <w:spacing w:line="360" w:lineRule="auto"/>
              <w:rPr>
                <w:rFonts w:hint="eastAsia" w:ascii="仿宋_GB2312" w:hAnsi="仿宋" w:eastAsia="仿宋_GB2312" w:cs="仿宋_GB2312"/>
                <w:color w:val="auto"/>
                <w:sz w:val="24"/>
                <w:highlight w:val="none"/>
              </w:rPr>
            </w:pPr>
          </w:p>
        </w:tc>
        <w:tc>
          <w:tcPr>
            <w:tcW w:w="477" w:type="dxa"/>
            <w:tcBorders>
              <w:top w:val="single" w:color="auto" w:sz="6" w:space="0"/>
              <w:left w:val="single" w:color="auto" w:sz="6" w:space="0"/>
              <w:bottom w:val="single" w:color="auto" w:sz="6" w:space="0"/>
              <w:right w:val="single" w:color="auto" w:sz="6" w:space="0"/>
            </w:tcBorders>
            <w:noWrap w:val="0"/>
            <w:vAlign w:val="top"/>
          </w:tcPr>
          <w:p w14:paraId="4B3EC218">
            <w:pPr>
              <w:autoSpaceDE w:val="0"/>
              <w:autoSpaceDN w:val="0"/>
              <w:spacing w:line="360" w:lineRule="auto"/>
              <w:rPr>
                <w:rFonts w:hint="eastAsia" w:ascii="仿宋_GB2312" w:hAnsi="仿宋" w:eastAsia="仿宋_GB2312" w:cs="仿宋_GB2312"/>
                <w:color w:val="auto"/>
                <w:sz w:val="24"/>
                <w:highlight w:val="none"/>
              </w:rPr>
            </w:pPr>
          </w:p>
        </w:tc>
        <w:tc>
          <w:tcPr>
            <w:tcW w:w="623" w:type="dxa"/>
            <w:tcBorders>
              <w:top w:val="single" w:color="auto" w:sz="6" w:space="0"/>
              <w:left w:val="single" w:color="auto" w:sz="6" w:space="0"/>
              <w:bottom w:val="single" w:color="auto" w:sz="6" w:space="0"/>
              <w:right w:val="single" w:color="auto" w:sz="6" w:space="0"/>
            </w:tcBorders>
            <w:noWrap w:val="0"/>
            <w:vAlign w:val="top"/>
          </w:tcPr>
          <w:p w14:paraId="2F9B5741">
            <w:pPr>
              <w:autoSpaceDE w:val="0"/>
              <w:autoSpaceDN w:val="0"/>
              <w:spacing w:line="360" w:lineRule="auto"/>
              <w:rPr>
                <w:rFonts w:hint="eastAsia" w:ascii="仿宋_GB2312" w:hAnsi="仿宋" w:eastAsia="仿宋_GB2312" w:cs="仿宋_GB2312"/>
                <w:color w:val="auto"/>
                <w:sz w:val="24"/>
                <w:highlight w:val="none"/>
              </w:rPr>
            </w:pPr>
          </w:p>
        </w:tc>
        <w:tc>
          <w:tcPr>
            <w:tcW w:w="1096" w:type="dxa"/>
            <w:tcBorders>
              <w:top w:val="single" w:color="auto" w:sz="6" w:space="0"/>
              <w:left w:val="single" w:color="auto" w:sz="6" w:space="0"/>
              <w:bottom w:val="single" w:color="auto" w:sz="6" w:space="0"/>
              <w:right w:val="single" w:color="auto" w:sz="6" w:space="0"/>
            </w:tcBorders>
            <w:noWrap w:val="0"/>
            <w:vAlign w:val="top"/>
          </w:tcPr>
          <w:p w14:paraId="0C107F09">
            <w:pPr>
              <w:autoSpaceDE w:val="0"/>
              <w:autoSpaceDN w:val="0"/>
              <w:spacing w:line="360" w:lineRule="auto"/>
              <w:rPr>
                <w:rFonts w:hint="eastAsia" w:ascii="仿宋_GB2312" w:hAnsi="仿宋" w:eastAsia="仿宋_GB2312" w:cs="仿宋_GB2312"/>
                <w:color w:val="auto"/>
                <w:sz w:val="24"/>
                <w:highlight w:val="none"/>
              </w:rPr>
            </w:pPr>
          </w:p>
        </w:tc>
        <w:tc>
          <w:tcPr>
            <w:tcW w:w="1189" w:type="dxa"/>
            <w:tcBorders>
              <w:top w:val="single" w:color="auto" w:sz="6" w:space="0"/>
              <w:left w:val="single" w:color="auto" w:sz="6" w:space="0"/>
              <w:bottom w:val="single" w:color="auto" w:sz="6" w:space="0"/>
              <w:right w:val="single" w:color="auto" w:sz="6" w:space="0"/>
            </w:tcBorders>
            <w:noWrap w:val="0"/>
            <w:vAlign w:val="top"/>
          </w:tcPr>
          <w:p w14:paraId="3AF53C14">
            <w:pPr>
              <w:autoSpaceDE w:val="0"/>
              <w:autoSpaceDN w:val="0"/>
              <w:spacing w:line="360" w:lineRule="auto"/>
              <w:rPr>
                <w:rFonts w:hint="eastAsia" w:ascii="仿宋_GB2312" w:hAnsi="仿宋" w:eastAsia="仿宋_GB2312" w:cs="仿宋_GB2312"/>
                <w:color w:val="auto"/>
                <w:sz w:val="24"/>
                <w:highlight w:val="none"/>
              </w:rPr>
            </w:pPr>
          </w:p>
        </w:tc>
        <w:tc>
          <w:tcPr>
            <w:tcW w:w="946" w:type="dxa"/>
            <w:tcBorders>
              <w:top w:val="single" w:color="auto" w:sz="6" w:space="0"/>
              <w:left w:val="single" w:color="auto" w:sz="6" w:space="0"/>
              <w:bottom w:val="single" w:color="auto" w:sz="6" w:space="0"/>
              <w:right w:val="single" w:color="auto" w:sz="6" w:space="0"/>
            </w:tcBorders>
            <w:noWrap w:val="0"/>
            <w:vAlign w:val="top"/>
          </w:tcPr>
          <w:p w14:paraId="4EB1A4A1">
            <w:pPr>
              <w:autoSpaceDE w:val="0"/>
              <w:autoSpaceDN w:val="0"/>
              <w:spacing w:line="360" w:lineRule="auto"/>
              <w:rPr>
                <w:rFonts w:hint="eastAsia" w:ascii="仿宋_GB2312" w:hAnsi="仿宋" w:eastAsia="仿宋_GB2312" w:cs="仿宋_GB2312"/>
                <w:color w:val="auto"/>
                <w:sz w:val="24"/>
                <w:highlight w:val="none"/>
              </w:rPr>
            </w:pPr>
          </w:p>
        </w:tc>
        <w:tc>
          <w:tcPr>
            <w:tcW w:w="770" w:type="dxa"/>
            <w:tcBorders>
              <w:top w:val="single" w:color="auto" w:sz="6" w:space="0"/>
              <w:left w:val="single" w:color="auto" w:sz="6" w:space="0"/>
              <w:bottom w:val="single" w:color="auto" w:sz="6" w:space="0"/>
              <w:right w:val="single" w:color="auto" w:sz="6" w:space="0"/>
            </w:tcBorders>
            <w:noWrap w:val="0"/>
            <w:vAlign w:val="top"/>
          </w:tcPr>
          <w:p w14:paraId="5A8FAD73">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78647120">
            <w:pPr>
              <w:autoSpaceDE w:val="0"/>
              <w:autoSpaceDN w:val="0"/>
              <w:spacing w:line="360" w:lineRule="auto"/>
              <w:rPr>
                <w:rFonts w:hint="eastAsia" w:ascii="仿宋_GB2312" w:hAnsi="仿宋" w:eastAsia="仿宋_GB2312" w:cs="仿宋_GB2312"/>
                <w:color w:val="auto"/>
                <w:sz w:val="24"/>
                <w:highlight w:val="none"/>
              </w:rPr>
            </w:pPr>
          </w:p>
        </w:tc>
      </w:tr>
    </w:tbl>
    <w:p w14:paraId="0E2A69AF">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注：投标人可</w:t>
      </w:r>
      <w:r>
        <w:rPr>
          <w:rFonts w:hint="eastAsia" w:ascii="仿宋_GB2312" w:hAnsi="仿宋" w:eastAsia="仿宋_GB2312" w:cs="仿宋_GB2312"/>
          <w:b/>
          <w:color w:val="auto"/>
          <w:sz w:val="24"/>
          <w:highlight w:val="none"/>
          <w:lang w:eastAsia="zh-CN"/>
        </w:rPr>
        <w:t>参照</w:t>
      </w:r>
      <w:r>
        <w:rPr>
          <w:rFonts w:hint="eastAsia" w:ascii="仿宋_GB2312" w:hAnsi="仿宋" w:eastAsia="仿宋_GB2312" w:cs="仿宋_GB2312"/>
          <w:b/>
          <w:color w:val="auto"/>
          <w:sz w:val="24"/>
          <w:highlight w:val="none"/>
        </w:rPr>
        <w:t>上述的格式自行编制，并注明所在投标</w:t>
      </w:r>
      <w:r>
        <w:rPr>
          <w:rFonts w:hint="eastAsia" w:ascii="宋体" w:hAnsi="宋体" w:cs="宋体"/>
          <w:b/>
          <w:color w:val="auto"/>
          <w:sz w:val="21"/>
          <w:szCs w:val="21"/>
          <w:highlight w:val="none"/>
          <w:lang w:eastAsia="zh-CN"/>
        </w:rPr>
        <w:t>商务技术文件</w:t>
      </w:r>
      <w:r>
        <w:rPr>
          <w:rFonts w:hint="eastAsia" w:ascii="仿宋_GB2312" w:hAnsi="仿宋" w:eastAsia="仿宋_GB2312" w:cs="仿宋_GB2312"/>
          <w:b/>
          <w:color w:val="auto"/>
          <w:sz w:val="24"/>
          <w:highlight w:val="none"/>
        </w:rPr>
        <w:t>页码。</w:t>
      </w:r>
    </w:p>
    <w:p w14:paraId="58903ABB">
      <w:pPr>
        <w:snapToGrid w:val="0"/>
        <w:spacing w:line="360" w:lineRule="auto"/>
        <w:ind w:firstLine="0" w:firstLineChars="0"/>
        <w:rPr>
          <w:rFonts w:hint="eastAsia" w:ascii="仿宋_GB2312" w:hAnsi="仿宋" w:eastAsia="仿宋_GB2312" w:cs="仿宋_GB2312"/>
          <w:color w:val="auto"/>
          <w:kern w:val="0"/>
          <w:sz w:val="24"/>
          <w:highlight w:val="none"/>
          <w:lang w:val="zh-CN"/>
        </w:rPr>
      </w:pPr>
    </w:p>
    <w:p w14:paraId="7C8AF140">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646A6C5B">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3A1B0899">
      <w:pPr>
        <w:snapToGrid w:val="0"/>
        <w:spacing w:before="50" w:after="50"/>
        <w:rPr>
          <w:rFonts w:hint="eastAsia" w:ascii="宋体" w:hAnsi="宋体" w:eastAsia="宋体" w:cs="Times New Roman"/>
          <w:color w:val="auto"/>
          <w:sz w:val="24"/>
          <w:highlight w:val="none"/>
        </w:rPr>
      </w:pPr>
    </w:p>
    <w:p w14:paraId="1C9ED08F">
      <w:pPr>
        <w:numPr>
          <w:ilvl w:val="0"/>
          <w:numId w:val="0"/>
        </w:numPr>
        <w:snapToGrid w:val="0"/>
        <w:spacing w:line="360" w:lineRule="auto"/>
        <w:rPr>
          <w:rFonts w:hint="eastAsia" w:ascii="宋体" w:hAnsi="宋体" w:cs="宋体"/>
          <w:b/>
          <w:color w:val="auto"/>
          <w:sz w:val="28"/>
          <w:szCs w:val="28"/>
          <w:highlight w:val="none"/>
          <w:lang w:val="en-US" w:eastAsia="zh-CN"/>
        </w:rPr>
      </w:pPr>
      <w:bookmarkStart w:id="377" w:name="_Toc12675"/>
      <w:bookmarkStart w:id="378" w:name="_Toc12868"/>
      <w:bookmarkStart w:id="379" w:name="_Toc31920"/>
      <w:bookmarkStart w:id="380" w:name="_Toc1343"/>
      <w:bookmarkStart w:id="381" w:name="_Toc22926"/>
      <w:bookmarkStart w:id="382" w:name="_Toc3481"/>
      <w:bookmarkStart w:id="383" w:name="_Toc30951"/>
      <w:bookmarkStart w:id="384" w:name="_Toc9015"/>
      <w:bookmarkStart w:id="385" w:name="_Toc17719"/>
      <w:bookmarkStart w:id="386" w:name="_Toc28617"/>
      <w:r>
        <w:rPr>
          <w:rFonts w:hint="eastAsia" w:ascii="宋体" w:hAnsi="宋体" w:cs="宋体"/>
          <w:b/>
          <w:color w:val="auto"/>
          <w:sz w:val="28"/>
          <w:szCs w:val="28"/>
          <w:highlight w:val="none"/>
          <w:lang w:val="en-US" w:eastAsia="zh-CN"/>
        </w:rPr>
        <w:t>10.投标供应商非公益一类事业单位、使用事业编制且由财政拨款保障的群团组织的承诺函（格式）（必须提供）</w:t>
      </w:r>
    </w:p>
    <w:p w14:paraId="3045EDE1">
      <w:pPr>
        <w:numPr>
          <w:ilvl w:val="0"/>
          <w:numId w:val="0"/>
        </w:numPr>
        <w:snapToGrid w:val="0"/>
        <w:spacing w:line="360" w:lineRule="auto"/>
        <w:rPr>
          <w:rFonts w:hint="default" w:ascii="宋体" w:hAnsi="宋体" w:cs="宋体"/>
          <w:b/>
          <w:color w:val="auto"/>
          <w:sz w:val="28"/>
          <w:szCs w:val="28"/>
          <w:highlight w:val="none"/>
          <w:lang w:val="en-US" w:eastAsia="zh-CN"/>
        </w:rPr>
      </w:pPr>
    </w:p>
    <w:p w14:paraId="06B3CAC2">
      <w:pPr>
        <w:keepNext/>
        <w:keepLines/>
        <w:widowControl w:val="0"/>
        <w:spacing w:before="260" w:after="260" w:line="416" w:lineRule="auto"/>
        <w:jc w:val="center"/>
        <w:outlineLvl w:val="1"/>
        <w:rPr>
          <w:rFonts w:hint="eastAsia" w:ascii="宋体" w:hAnsi="宋体" w:eastAsia="宋体" w:cs="Times New Roman"/>
          <w:b/>
          <w:bCs/>
          <w:color w:val="auto"/>
          <w:kern w:val="2"/>
          <w:sz w:val="28"/>
          <w:szCs w:val="28"/>
          <w:highlight w:val="none"/>
          <w:lang w:val="en-US" w:eastAsia="zh-CN" w:bidi="ar-SA"/>
        </w:rPr>
      </w:pPr>
      <w:r>
        <w:rPr>
          <w:rFonts w:hint="eastAsia" w:ascii="宋体" w:hAnsi="宋体" w:cs="Times New Roman"/>
          <w:b/>
          <w:bCs/>
          <w:color w:val="auto"/>
          <w:kern w:val="2"/>
          <w:sz w:val="28"/>
          <w:szCs w:val="28"/>
          <w:highlight w:val="none"/>
          <w:lang w:val="en-US" w:eastAsia="zh-CN" w:bidi="ar-SA"/>
        </w:rPr>
        <w:t>投标</w:t>
      </w:r>
      <w:r>
        <w:rPr>
          <w:rFonts w:hint="eastAsia" w:ascii="宋体" w:hAnsi="宋体" w:eastAsia="宋体" w:cs="Times New Roman"/>
          <w:b/>
          <w:bCs/>
          <w:color w:val="auto"/>
          <w:kern w:val="2"/>
          <w:sz w:val="28"/>
          <w:szCs w:val="28"/>
          <w:highlight w:val="none"/>
          <w:lang w:val="en-US" w:eastAsia="zh-CN" w:bidi="ar-SA"/>
        </w:rPr>
        <w:t>供应商非公益一类事业单位、使用事业编制且由财政拨款保障的群团组织的承诺函</w:t>
      </w:r>
    </w:p>
    <w:p w14:paraId="08425968">
      <w:pPr>
        <w:spacing w:line="588" w:lineRule="exact"/>
        <w:ind w:firstLine="444" w:firstLineChars="200"/>
        <w:rPr>
          <w:rFonts w:hint="default"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我方已知晓本项目为政府采购服务类项目，根据《政府购买服务管理办法》【财政部令第102号】相关规定，公益一类事业单位、使用事业编制且由财政拨款保障的群团组织，不作为政府购买服务的承接主体。我方清楚理解上述法规规定并且无异议。</w:t>
      </w:r>
    </w:p>
    <w:p w14:paraId="7559F64F">
      <w:pPr>
        <w:spacing w:line="588" w:lineRule="exact"/>
        <w:ind w:firstLine="444" w:firstLineChars="200"/>
        <w:rPr>
          <w:rFonts w:hint="default" w:ascii="宋体" w:hAnsi="宋体" w:eastAsia="宋体" w:cs="宋体"/>
          <w:color w:val="auto"/>
          <w:spacing w:val="6"/>
          <w:szCs w:val="21"/>
          <w:highlight w:val="none"/>
          <w:lang w:val="en-US" w:eastAsia="zh-CN"/>
        </w:rPr>
      </w:pPr>
      <w:r>
        <w:rPr>
          <w:rFonts w:hint="eastAsia" w:ascii="宋体" w:hAnsi="宋体" w:eastAsia="宋体" w:cs="宋体"/>
          <w:color w:val="auto"/>
          <w:spacing w:val="6"/>
          <w:szCs w:val="21"/>
          <w:highlight w:val="none"/>
          <w:lang w:val="en-US" w:eastAsia="zh-CN"/>
        </w:rPr>
        <w:t>现承诺我方</w:t>
      </w:r>
      <w:r>
        <w:rPr>
          <w:rFonts w:hint="eastAsia" w:ascii="宋体" w:hAnsi="宋体" w:eastAsia="宋体" w:cs="宋体"/>
          <w:color w:val="auto"/>
          <w:spacing w:val="6"/>
          <w:szCs w:val="21"/>
          <w:highlight w:val="none"/>
        </w:rPr>
        <w:t>非公益一类事业单位、使用事业编制且由财政拨款保障的群团组织</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lang w:val="en-US" w:eastAsia="zh-CN"/>
        </w:rPr>
        <w:t>符合《政府购买服务管理办法》相关规定。</w:t>
      </w:r>
    </w:p>
    <w:p w14:paraId="70625A1D">
      <w:pPr>
        <w:spacing w:line="588" w:lineRule="exact"/>
        <w:ind w:firstLine="444" w:firstLineChars="200"/>
        <w:rPr>
          <w:rFonts w:hint="eastAsia" w:ascii="宋体" w:hAnsi="宋体" w:eastAsia="宋体" w:cs="宋体"/>
          <w:color w:val="auto"/>
          <w:spacing w:val="6"/>
          <w:szCs w:val="21"/>
          <w:highlight w:val="none"/>
        </w:rPr>
      </w:pPr>
    </w:p>
    <w:p w14:paraId="53747618">
      <w:pPr>
        <w:snapToGrid w:val="0"/>
        <w:spacing w:line="420" w:lineRule="exact"/>
        <w:ind w:firstLine="420" w:firstLineChars="200"/>
        <w:jc w:val="right"/>
        <w:rPr>
          <w:rFonts w:hint="eastAsia" w:asciiTheme="minorEastAsia" w:hAnsiTheme="minorEastAsia" w:eastAsiaTheme="minorEastAsia" w:cstheme="minorEastAsia"/>
          <w:color w:val="auto"/>
          <w:spacing w:val="2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投标人</w:t>
      </w:r>
      <w:r>
        <w:rPr>
          <w:rFonts w:hint="eastAsia" w:asciiTheme="minorEastAsia" w:hAnsiTheme="minorEastAsia" w:eastAsiaTheme="minorEastAsia" w:cstheme="minorEastAsia"/>
          <w:color w:val="auto"/>
          <w:kern w:val="0"/>
          <w:sz w:val="21"/>
          <w:szCs w:val="21"/>
          <w:highlight w:val="none"/>
          <w:lang w:val="zh-CN"/>
        </w:rPr>
        <w:t>名称(盖公章)：</w:t>
      </w:r>
      <w:r>
        <w:rPr>
          <w:rFonts w:hint="eastAsia" w:asciiTheme="minorEastAsia" w:hAnsiTheme="minorEastAsia" w:eastAsiaTheme="minorEastAsia" w:cstheme="minorEastAsia"/>
          <w:color w:val="auto"/>
          <w:spacing w:val="20"/>
          <w:sz w:val="21"/>
          <w:szCs w:val="21"/>
          <w:highlight w:val="none"/>
        </w:rPr>
        <w:t xml:space="preserve">             </w:t>
      </w:r>
    </w:p>
    <w:p w14:paraId="50DCBC80">
      <w:pPr>
        <w:snapToGrid w:val="0"/>
        <w:spacing w:line="420" w:lineRule="exact"/>
        <w:ind w:firstLine="500" w:firstLineChars="200"/>
        <w:jc w:val="right"/>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color w:val="auto"/>
          <w:spacing w:val="20"/>
          <w:sz w:val="21"/>
          <w:szCs w:val="21"/>
          <w:highlight w:val="none"/>
        </w:rPr>
        <w:t>日 期：</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rPr>
        <w:t xml:space="preserve"> 年  </w:t>
      </w:r>
      <w:r>
        <w:rPr>
          <w:rFonts w:hint="eastAsia" w:asciiTheme="minorEastAsia" w:hAnsiTheme="minorEastAsia" w:eastAsiaTheme="minorEastAsia" w:cstheme="minorEastAsia"/>
          <w:color w:val="auto"/>
          <w:kern w:val="0"/>
          <w:sz w:val="21"/>
          <w:szCs w:val="21"/>
          <w:highlight w:val="none"/>
          <w:lang w:val="zh-CN"/>
        </w:rPr>
        <w:t>月</w:t>
      </w:r>
      <w:r>
        <w:rPr>
          <w:rFonts w:hint="eastAsia" w:asciiTheme="minorEastAsia" w:hAnsiTheme="minorEastAsia" w:eastAsiaTheme="minorEastAsia" w:cstheme="minorEastAsia"/>
          <w:color w:val="auto"/>
          <w:kern w:val="0"/>
          <w:sz w:val="21"/>
          <w:szCs w:val="21"/>
          <w:highlight w:val="none"/>
        </w:rPr>
        <w:t xml:space="preserve">   </w:t>
      </w:r>
      <w:r>
        <w:rPr>
          <w:rFonts w:hint="eastAsia" w:asciiTheme="minorEastAsia" w:hAnsiTheme="minorEastAsia" w:eastAsiaTheme="minorEastAsia" w:cstheme="minorEastAsia"/>
          <w:color w:val="auto"/>
          <w:kern w:val="0"/>
          <w:sz w:val="21"/>
          <w:szCs w:val="21"/>
          <w:highlight w:val="none"/>
          <w:lang w:val="zh-CN"/>
        </w:rPr>
        <w:t>日</w:t>
      </w:r>
    </w:p>
    <w:p w14:paraId="5A6CA517">
      <w:pPr>
        <w:numPr>
          <w:ilvl w:val="0"/>
          <w:numId w:val="0"/>
        </w:numPr>
        <w:snapToGrid w:val="0"/>
        <w:spacing w:before="120" w:beforeLines="50"/>
        <w:rPr>
          <w:rFonts w:hint="eastAsia" w:ascii="宋体" w:hAnsi="宋体" w:eastAsia="宋体" w:cs="宋体"/>
          <w:b/>
          <w:color w:val="auto"/>
          <w:sz w:val="24"/>
          <w:highlight w:val="none"/>
        </w:rPr>
      </w:pPr>
      <w:r>
        <w:rPr>
          <w:rFonts w:hint="eastAsia" w:hAnsi="宋体" w:eastAsia="宋体" w:cs="Times New Roman"/>
          <w:b/>
          <w:bCs/>
          <w:color w:val="auto"/>
          <w:sz w:val="28"/>
          <w:szCs w:val="28"/>
          <w:highlight w:val="none"/>
        </w:rPr>
        <w:br w:type="page"/>
      </w:r>
      <w:r>
        <w:rPr>
          <w:rFonts w:hint="eastAsia" w:hAnsi="宋体" w:cs="Times New Roman"/>
          <w:b/>
          <w:bCs/>
          <w:color w:val="auto"/>
          <w:sz w:val="28"/>
          <w:szCs w:val="28"/>
          <w:highlight w:val="none"/>
          <w:lang w:val="en-US" w:eastAsia="zh-CN"/>
        </w:rPr>
        <w:t>11.</w:t>
      </w:r>
      <w:r>
        <w:rPr>
          <w:rFonts w:hint="eastAsia" w:ascii="宋体" w:hAnsi="宋体" w:eastAsia="宋体" w:cs="宋体"/>
          <w:b/>
          <w:color w:val="auto"/>
          <w:sz w:val="24"/>
          <w:highlight w:val="none"/>
          <w:lang w:val="en-US" w:eastAsia="zh-CN"/>
        </w:rPr>
        <w:t>投标</w:t>
      </w:r>
      <w:r>
        <w:rPr>
          <w:rFonts w:hint="eastAsia" w:ascii="宋体" w:hAnsi="宋体" w:eastAsia="宋体" w:cs="宋体"/>
          <w:b/>
          <w:color w:val="auto"/>
          <w:sz w:val="24"/>
          <w:highlight w:val="none"/>
        </w:rPr>
        <w:t>供应商关于本项目</w:t>
      </w:r>
      <w:r>
        <w:rPr>
          <w:rFonts w:hint="eastAsia" w:ascii="宋体" w:hAnsi="宋体" w:eastAsia="宋体" w:cs="宋体"/>
          <w:b/>
          <w:color w:val="auto"/>
          <w:sz w:val="24"/>
          <w:highlight w:val="none"/>
          <w:lang w:val="en-US" w:eastAsia="zh-CN"/>
        </w:rPr>
        <w:t>中标</w:t>
      </w:r>
      <w:r>
        <w:rPr>
          <w:rFonts w:hint="eastAsia" w:ascii="宋体" w:hAnsi="宋体" w:eastAsia="宋体" w:cs="宋体"/>
          <w:b/>
          <w:color w:val="auto"/>
          <w:sz w:val="24"/>
          <w:highlight w:val="none"/>
        </w:rPr>
        <w:t>规则的承诺函(格式)</w:t>
      </w:r>
    </w:p>
    <w:p w14:paraId="41203D4A">
      <w:pPr>
        <w:snapToGrid w:val="0"/>
        <w:spacing w:before="120" w:beforeLines="50"/>
        <w:rPr>
          <w:rFonts w:ascii="宋体" w:hAnsi="宋体" w:eastAsia="宋体" w:cs="宋体"/>
          <w:b/>
          <w:color w:val="auto"/>
          <w:sz w:val="24"/>
          <w:highlight w:val="none"/>
        </w:rPr>
      </w:pPr>
    </w:p>
    <w:p w14:paraId="3C9725A6">
      <w:pPr>
        <w:snapToGrid w:val="0"/>
        <w:spacing w:before="120" w:beforeLines="50"/>
        <w:rPr>
          <w:rFonts w:ascii="宋体" w:hAnsi="宋体" w:eastAsia="宋体" w:cs="宋体"/>
          <w:b/>
          <w:color w:val="auto"/>
          <w:sz w:val="24"/>
          <w:highlight w:val="none"/>
        </w:rPr>
      </w:pPr>
    </w:p>
    <w:p w14:paraId="704CD8E1">
      <w:pPr>
        <w:keepNext/>
        <w:keepLines/>
        <w:widowControl w:val="0"/>
        <w:spacing w:before="260" w:after="260" w:line="416" w:lineRule="auto"/>
        <w:jc w:val="center"/>
        <w:outlineLvl w:val="1"/>
        <w:rPr>
          <w:rFonts w:hint="eastAsia" w:ascii="宋体" w:hAnsi="宋体" w:eastAsia="宋体" w:cs="Times New Roman"/>
          <w:b/>
          <w:bCs/>
          <w:color w:val="auto"/>
          <w:kern w:val="2"/>
          <w:sz w:val="28"/>
          <w:szCs w:val="28"/>
          <w:highlight w:val="none"/>
          <w:lang w:val="en-US" w:eastAsia="zh-CN" w:bidi="ar-SA"/>
        </w:rPr>
      </w:pPr>
      <w:bookmarkStart w:id="387" w:name="_Toc6339"/>
      <w:r>
        <w:rPr>
          <w:rFonts w:hint="eastAsia" w:ascii="宋体" w:hAnsi="宋体" w:eastAsia="宋体" w:cs="Times New Roman"/>
          <w:b/>
          <w:bCs/>
          <w:color w:val="auto"/>
          <w:kern w:val="2"/>
          <w:sz w:val="28"/>
          <w:szCs w:val="28"/>
          <w:highlight w:val="none"/>
          <w:lang w:val="en-US" w:eastAsia="zh-CN" w:bidi="ar-SA"/>
        </w:rPr>
        <w:t>关于本项目中标规则的承诺函</w:t>
      </w:r>
      <w:bookmarkEnd w:id="387"/>
    </w:p>
    <w:p w14:paraId="4714A653">
      <w:pPr>
        <w:spacing w:line="588" w:lineRule="exact"/>
        <w:ind w:firstLine="444"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我方</w:t>
      </w:r>
      <w:r>
        <w:rPr>
          <w:rFonts w:hint="eastAsia" w:ascii="宋体" w:hAnsi="宋体" w:eastAsia="宋体" w:cs="宋体"/>
          <w:color w:val="auto"/>
          <w:spacing w:val="6"/>
          <w:szCs w:val="21"/>
          <w:highlight w:val="none"/>
        </w:rPr>
        <w:t>认真研读本项目商务条款的中标规则，</w:t>
      </w:r>
      <w:r>
        <w:rPr>
          <w:rFonts w:hint="eastAsia" w:ascii="宋体" w:hAnsi="宋体" w:eastAsia="宋体" w:cs="宋体"/>
          <w:color w:val="auto"/>
          <w:spacing w:val="6"/>
          <w:szCs w:val="21"/>
          <w:highlight w:val="none"/>
          <w:lang w:val="en-US" w:eastAsia="zh-CN"/>
        </w:rPr>
        <w:t>我方</w:t>
      </w:r>
      <w:r>
        <w:rPr>
          <w:rFonts w:hint="eastAsia" w:ascii="宋体" w:hAnsi="宋体" w:eastAsia="宋体" w:cs="宋体"/>
          <w:color w:val="auto"/>
          <w:spacing w:val="6"/>
          <w:szCs w:val="21"/>
          <w:highlight w:val="none"/>
        </w:rPr>
        <w:t>清楚理解上述</w:t>
      </w:r>
      <w:r>
        <w:rPr>
          <w:rFonts w:hint="eastAsia" w:ascii="宋体" w:hAnsi="宋体" w:eastAsia="宋体" w:cs="宋体"/>
          <w:color w:val="auto"/>
          <w:spacing w:val="6"/>
          <w:szCs w:val="21"/>
          <w:highlight w:val="none"/>
          <w:lang w:val="en-US" w:eastAsia="zh-CN"/>
        </w:rPr>
        <w:t>中标</w:t>
      </w:r>
      <w:r>
        <w:rPr>
          <w:rFonts w:hint="eastAsia" w:ascii="宋体" w:hAnsi="宋体" w:eastAsia="宋体" w:cs="宋体"/>
          <w:color w:val="auto"/>
          <w:spacing w:val="6"/>
          <w:szCs w:val="21"/>
          <w:highlight w:val="none"/>
        </w:rPr>
        <w:t>规则并且无异议，如我</w:t>
      </w:r>
      <w:r>
        <w:rPr>
          <w:rFonts w:hint="eastAsia" w:ascii="宋体" w:hAnsi="宋体" w:eastAsia="宋体" w:cs="宋体"/>
          <w:color w:val="auto"/>
          <w:spacing w:val="6"/>
          <w:szCs w:val="21"/>
          <w:highlight w:val="none"/>
          <w:lang w:val="en-US" w:eastAsia="zh-CN"/>
        </w:rPr>
        <w:t>方</w:t>
      </w:r>
      <w:r>
        <w:rPr>
          <w:rFonts w:hint="eastAsia" w:ascii="宋体" w:hAnsi="宋体" w:eastAsia="宋体" w:cs="宋体"/>
          <w:color w:val="auto"/>
          <w:spacing w:val="6"/>
          <w:szCs w:val="21"/>
          <w:highlight w:val="none"/>
        </w:rPr>
        <w:t>综合评分比</w:t>
      </w:r>
      <w:r>
        <w:rPr>
          <w:rFonts w:hint="eastAsia" w:ascii="宋体" w:hAnsi="宋体" w:cs="宋体"/>
          <w:color w:val="auto"/>
          <w:spacing w:val="6"/>
          <w:szCs w:val="21"/>
          <w:highlight w:val="none"/>
          <w:lang w:val="en-US" w:eastAsia="zh-CN"/>
        </w:rPr>
        <w:t>其他</w:t>
      </w:r>
      <w:r>
        <w:rPr>
          <w:rFonts w:hint="eastAsia" w:ascii="宋体" w:hAnsi="宋体" w:eastAsia="宋体" w:cs="宋体"/>
          <w:color w:val="auto"/>
          <w:spacing w:val="6"/>
          <w:szCs w:val="21"/>
          <w:highlight w:val="none"/>
          <w:lang w:val="en-US" w:eastAsia="zh-CN"/>
        </w:rPr>
        <w:t>中标</w:t>
      </w:r>
      <w:r>
        <w:rPr>
          <w:rFonts w:hint="eastAsia" w:ascii="宋体" w:hAnsi="宋体" w:eastAsia="宋体" w:cs="宋体"/>
          <w:color w:val="auto"/>
          <w:spacing w:val="6"/>
          <w:szCs w:val="21"/>
          <w:highlight w:val="none"/>
        </w:rPr>
        <w:t>候选</w:t>
      </w:r>
      <w:r>
        <w:rPr>
          <w:rFonts w:hint="eastAsia" w:ascii="宋体" w:hAnsi="宋体" w:eastAsia="宋体" w:cs="宋体"/>
          <w:color w:val="auto"/>
          <w:spacing w:val="6"/>
          <w:szCs w:val="21"/>
          <w:highlight w:val="none"/>
          <w:lang w:val="en-US" w:eastAsia="zh-CN"/>
        </w:rPr>
        <w:t>供应商</w:t>
      </w:r>
      <w:r>
        <w:rPr>
          <w:rFonts w:hint="eastAsia" w:ascii="宋体" w:hAnsi="宋体" w:eastAsia="宋体" w:cs="宋体"/>
          <w:color w:val="auto"/>
          <w:spacing w:val="6"/>
          <w:szCs w:val="21"/>
          <w:highlight w:val="none"/>
        </w:rPr>
        <w:t>的综合评分高，按上述规则我</w:t>
      </w:r>
      <w:r>
        <w:rPr>
          <w:rFonts w:hint="eastAsia" w:ascii="宋体" w:hAnsi="宋体" w:eastAsia="宋体" w:cs="宋体"/>
          <w:color w:val="auto"/>
          <w:spacing w:val="6"/>
          <w:szCs w:val="21"/>
          <w:highlight w:val="none"/>
          <w:lang w:val="en-US" w:eastAsia="zh-CN"/>
        </w:rPr>
        <w:t>方</w:t>
      </w:r>
      <w:r>
        <w:rPr>
          <w:rFonts w:hint="eastAsia" w:ascii="宋体" w:hAnsi="宋体" w:eastAsia="宋体" w:cs="宋体"/>
          <w:color w:val="auto"/>
          <w:spacing w:val="6"/>
          <w:szCs w:val="21"/>
          <w:highlight w:val="none"/>
        </w:rPr>
        <w:t>未能被推荐为</w:t>
      </w:r>
      <w:r>
        <w:rPr>
          <w:rFonts w:hint="eastAsia" w:ascii="宋体" w:hAnsi="宋体" w:eastAsia="宋体" w:cs="宋体"/>
          <w:color w:val="auto"/>
          <w:spacing w:val="6"/>
          <w:szCs w:val="21"/>
          <w:highlight w:val="none"/>
          <w:lang w:val="en-US" w:eastAsia="zh-CN"/>
        </w:rPr>
        <w:t>中标</w:t>
      </w:r>
      <w:r>
        <w:rPr>
          <w:rFonts w:hint="eastAsia" w:ascii="宋体" w:hAnsi="宋体" w:eastAsia="宋体" w:cs="宋体"/>
          <w:color w:val="auto"/>
          <w:spacing w:val="6"/>
          <w:szCs w:val="21"/>
          <w:highlight w:val="none"/>
        </w:rPr>
        <w:t>候选</w:t>
      </w:r>
      <w:r>
        <w:rPr>
          <w:rFonts w:hint="eastAsia" w:ascii="宋体" w:hAnsi="宋体" w:eastAsia="宋体" w:cs="宋体"/>
          <w:color w:val="auto"/>
          <w:spacing w:val="6"/>
          <w:szCs w:val="21"/>
          <w:highlight w:val="none"/>
          <w:lang w:val="en-US" w:eastAsia="zh-CN"/>
        </w:rPr>
        <w:t>供应商</w:t>
      </w:r>
      <w:r>
        <w:rPr>
          <w:rFonts w:hint="eastAsia" w:ascii="宋体" w:hAnsi="宋体" w:eastAsia="宋体" w:cs="宋体"/>
          <w:color w:val="auto"/>
          <w:spacing w:val="6"/>
          <w:szCs w:val="21"/>
          <w:highlight w:val="none"/>
        </w:rPr>
        <w:t>，我</w:t>
      </w:r>
      <w:r>
        <w:rPr>
          <w:rFonts w:hint="eastAsia" w:ascii="宋体" w:hAnsi="宋体" w:eastAsia="宋体" w:cs="宋体"/>
          <w:color w:val="auto"/>
          <w:spacing w:val="6"/>
          <w:szCs w:val="21"/>
          <w:highlight w:val="none"/>
          <w:lang w:val="en-US" w:eastAsia="zh-CN"/>
        </w:rPr>
        <w:t>方</w:t>
      </w:r>
      <w:r>
        <w:rPr>
          <w:rFonts w:hint="eastAsia" w:ascii="宋体" w:hAnsi="宋体" w:eastAsia="宋体" w:cs="宋体"/>
          <w:color w:val="auto"/>
          <w:spacing w:val="6"/>
          <w:szCs w:val="21"/>
          <w:highlight w:val="none"/>
        </w:rPr>
        <w:t>承诺自愿放弃</w:t>
      </w:r>
      <w:r>
        <w:rPr>
          <w:rFonts w:hint="eastAsia" w:ascii="宋体" w:hAnsi="宋体" w:eastAsia="宋体" w:cs="宋体"/>
          <w:color w:val="auto"/>
          <w:spacing w:val="6"/>
          <w:szCs w:val="21"/>
          <w:highlight w:val="none"/>
          <w:lang w:val="en-US" w:eastAsia="zh-CN"/>
        </w:rPr>
        <w:t>该分标</w:t>
      </w:r>
      <w:r>
        <w:rPr>
          <w:rFonts w:hint="eastAsia" w:ascii="宋体" w:hAnsi="宋体" w:eastAsia="宋体" w:cs="宋体"/>
          <w:color w:val="auto"/>
          <w:spacing w:val="6"/>
          <w:szCs w:val="21"/>
          <w:highlight w:val="none"/>
        </w:rPr>
        <w:t>的</w:t>
      </w:r>
      <w:r>
        <w:rPr>
          <w:rFonts w:hint="eastAsia" w:ascii="宋体" w:hAnsi="宋体" w:eastAsia="宋体" w:cs="宋体"/>
          <w:color w:val="auto"/>
          <w:spacing w:val="6"/>
          <w:szCs w:val="21"/>
          <w:highlight w:val="none"/>
          <w:lang w:val="en-US" w:eastAsia="zh-CN"/>
        </w:rPr>
        <w:t>中标</w:t>
      </w:r>
      <w:r>
        <w:rPr>
          <w:rFonts w:hint="eastAsia" w:ascii="宋体" w:hAnsi="宋体" w:eastAsia="宋体" w:cs="宋体"/>
          <w:color w:val="auto"/>
          <w:spacing w:val="6"/>
          <w:szCs w:val="21"/>
          <w:highlight w:val="none"/>
        </w:rPr>
        <w:t>候选</w:t>
      </w:r>
      <w:r>
        <w:rPr>
          <w:rFonts w:hint="eastAsia" w:ascii="宋体" w:hAnsi="宋体" w:eastAsia="宋体" w:cs="宋体"/>
          <w:color w:val="auto"/>
          <w:spacing w:val="6"/>
          <w:szCs w:val="21"/>
          <w:highlight w:val="none"/>
          <w:lang w:val="en-US" w:eastAsia="zh-CN"/>
        </w:rPr>
        <w:t>供应商</w:t>
      </w:r>
      <w:r>
        <w:rPr>
          <w:rFonts w:hint="eastAsia" w:ascii="宋体" w:hAnsi="宋体" w:eastAsia="宋体" w:cs="宋体"/>
          <w:color w:val="auto"/>
          <w:spacing w:val="6"/>
          <w:szCs w:val="21"/>
          <w:highlight w:val="none"/>
        </w:rPr>
        <w:t>资格，同时认可</w:t>
      </w:r>
      <w:r>
        <w:rPr>
          <w:rFonts w:hint="eastAsia" w:ascii="宋体" w:hAnsi="宋体" w:eastAsia="宋体" w:cs="宋体"/>
          <w:color w:val="auto"/>
          <w:spacing w:val="6"/>
          <w:szCs w:val="21"/>
          <w:highlight w:val="none"/>
          <w:lang w:val="en-US" w:eastAsia="zh-CN"/>
        </w:rPr>
        <w:t>评标委员会</w:t>
      </w:r>
      <w:r>
        <w:rPr>
          <w:rFonts w:hint="eastAsia" w:ascii="宋体" w:hAnsi="宋体" w:eastAsia="宋体" w:cs="宋体"/>
          <w:color w:val="auto"/>
          <w:spacing w:val="6"/>
          <w:szCs w:val="21"/>
          <w:highlight w:val="none"/>
        </w:rPr>
        <w:t>按上述规则推荐</w:t>
      </w:r>
      <w:r>
        <w:rPr>
          <w:rFonts w:hint="eastAsia" w:ascii="宋体" w:hAnsi="宋体" w:eastAsia="宋体" w:cs="宋体"/>
          <w:color w:val="auto"/>
          <w:spacing w:val="6"/>
          <w:szCs w:val="21"/>
          <w:highlight w:val="none"/>
          <w:lang w:val="en-US" w:eastAsia="zh-CN"/>
        </w:rPr>
        <w:t>中标</w:t>
      </w:r>
      <w:r>
        <w:rPr>
          <w:rFonts w:hint="eastAsia" w:ascii="宋体" w:hAnsi="宋体" w:eastAsia="宋体" w:cs="宋体"/>
          <w:color w:val="auto"/>
          <w:spacing w:val="6"/>
          <w:szCs w:val="21"/>
          <w:highlight w:val="none"/>
        </w:rPr>
        <w:t>候选</w:t>
      </w:r>
      <w:r>
        <w:rPr>
          <w:rFonts w:hint="eastAsia" w:ascii="宋体" w:hAnsi="宋体" w:eastAsia="宋体" w:cs="宋体"/>
          <w:color w:val="auto"/>
          <w:spacing w:val="6"/>
          <w:szCs w:val="21"/>
          <w:highlight w:val="none"/>
          <w:lang w:val="en-US" w:eastAsia="zh-CN"/>
        </w:rPr>
        <w:t>供应商</w:t>
      </w:r>
      <w:r>
        <w:rPr>
          <w:rFonts w:hint="eastAsia" w:ascii="宋体" w:hAnsi="宋体" w:eastAsia="宋体" w:cs="宋体"/>
          <w:color w:val="auto"/>
          <w:spacing w:val="6"/>
          <w:szCs w:val="21"/>
          <w:highlight w:val="none"/>
        </w:rPr>
        <w:t>的程序和</w:t>
      </w:r>
      <w:r>
        <w:rPr>
          <w:rFonts w:hint="eastAsia" w:ascii="宋体" w:hAnsi="宋体" w:eastAsia="宋体" w:cs="宋体"/>
          <w:color w:val="auto"/>
          <w:spacing w:val="6"/>
          <w:szCs w:val="21"/>
          <w:highlight w:val="none"/>
          <w:lang w:val="en-US" w:eastAsia="zh-CN"/>
        </w:rPr>
        <w:t>评标</w:t>
      </w:r>
      <w:r>
        <w:rPr>
          <w:rFonts w:hint="eastAsia" w:ascii="宋体" w:hAnsi="宋体" w:eastAsia="宋体" w:cs="宋体"/>
          <w:color w:val="auto"/>
          <w:spacing w:val="6"/>
          <w:szCs w:val="21"/>
          <w:highlight w:val="none"/>
        </w:rPr>
        <w:t>结果。</w:t>
      </w:r>
    </w:p>
    <w:p w14:paraId="5D82E964">
      <w:pPr>
        <w:spacing w:line="588" w:lineRule="exact"/>
        <w:ind w:firstLine="444" w:firstLineChars="200"/>
        <w:rPr>
          <w:rFonts w:hint="eastAsia" w:ascii="宋体" w:hAnsi="宋体" w:eastAsia="宋体" w:cs="宋体"/>
          <w:color w:val="auto"/>
          <w:spacing w:val="6"/>
          <w:szCs w:val="21"/>
          <w:highlight w:val="none"/>
        </w:rPr>
      </w:pPr>
    </w:p>
    <w:p w14:paraId="095B6905">
      <w:pPr>
        <w:snapToGrid w:val="0"/>
        <w:spacing w:line="420" w:lineRule="exact"/>
        <w:ind w:firstLine="420" w:firstLineChars="200"/>
        <w:jc w:val="right"/>
        <w:rPr>
          <w:rFonts w:hint="eastAsia" w:ascii="宋体" w:hAnsi="宋体" w:eastAsia="宋体" w:cs="宋体"/>
          <w:color w:val="auto"/>
          <w:spacing w:val="20"/>
          <w:sz w:val="21"/>
          <w:szCs w:val="21"/>
          <w:highlight w:val="none"/>
        </w:rPr>
      </w:pPr>
      <w:r>
        <w:rPr>
          <w:rFonts w:hint="eastAsia" w:ascii="宋体" w:hAnsi="宋体" w:eastAsia="宋体" w:cs="宋体"/>
          <w:color w:val="auto"/>
          <w:kern w:val="0"/>
          <w:sz w:val="21"/>
          <w:szCs w:val="21"/>
          <w:highlight w:val="none"/>
          <w:lang w:val="zh-CN"/>
        </w:rPr>
        <w:t>供应商名称(盖公章)：</w:t>
      </w:r>
      <w:r>
        <w:rPr>
          <w:rFonts w:hint="eastAsia" w:ascii="宋体" w:hAnsi="宋体" w:eastAsia="宋体" w:cs="宋体"/>
          <w:color w:val="auto"/>
          <w:spacing w:val="20"/>
          <w:sz w:val="21"/>
          <w:szCs w:val="21"/>
          <w:highlight w:val="none"/>
        </w:rPr>
        <w:t xml:space="preserve">             </w:t>
      </w:r>
    </w:p>
    <w:p w14:paraId="78814B73">
      <w:pPr>
        <w:snapToGrid w:val="0"/>
        <w:spacing w:line="420" w:lineRule="exact"/>
        <w:ind w:firstLine="500" w:firstLineChars="200"/>
        <w:jc w:val="right"/>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pacing w:val="20"/>
          <w:sz w:val="21"/>
          <w:szCs w:val="21"/>
          <w:highlight w:val="none"/>
        </w:rPr>
        <w:t>日 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2A187108">
      <w:pPr>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br w:type="page"/>
      </w:r>
    </w:p>
    <w:p w14:paraId="777AE939">
      <w:pPr>
        <w:rPr>
          <w:rFonts w:hint="eastAsia" w:hAnsi="宋体" w:eastAsia="宋体" w:cs="Times New Roman"/>
          <w:b/>
          <w:bCs/>
          <w:color w:val="auto"/>
          <w:sz w:val="28"/>
          <w:szCs w:val="28"/>
          <w:highlight w:val="none"/>
        </w:rPr>
      </w:pPr>
    </w:p>
    <w:p w14:paraId="4631DE95">
      <w:pPr>
        <w:pStyle w:val="12"/>
        <w:jc w:val="center"/>
        <w:outlineLvl w:val="1"/>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val="en-US" w:eastAsia="zh-CN"/>
        </w:rPr>
        <w:t>三</w:t>
      </w:r>
      <w:r>
        <w:rPr>
          <w:rFonts w:hint="eastAsia" w:hAnsi="宋体" w:eastAsia="宋体" w:cs="Times New Roman"/>
          <w:b/>
          <w:bCs/>
          <w:color w:val="auto"/>
          <w:sz w:val="28"/>
          <w:szCs w:val="28"/>
          <w:highlight w:val="none"/>
        </w:rPr>
        <w:t>节 报价文件格式</w:t>
      </w:r>
      <w:bookmarkEnd w:id="377"/>
      <w:bookmarkEnd w:id="378"/>
      <w:bookmarkEnd w:id="379"/>
      <w:bookmarkEnd w:id="380"/>
      <w:bookmarkEnd w:id="381"/>
      <w:bookmarkEnd w:id="382"/>
      <w:bookmarkEnd w:id="383"/>
      <w:bookmarkEnd w:id="384"/>
      <w:bookmarkEnd w:id="385"/>
      <w:bookmarkEnd w:id="386"/>
    </w:p>
    <w:p w14:paraId="4DCC7CE9">
      <w:pPr>
        <w:snapToGrid w:val="0"/>
        <w:spacing w:before="165" w:beforeLines="50" w:after="50" w:line="400" w:lineRule="exact"/>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报价文件</w:t>
      </w:r>
      <w:r>
        <w:rPr>
          <w:rFonts w:hint="eastAsia" w:ascii="宋体" w:hAnsi="宋体" w:cs="宋体"/>
          <w:b/>
          <w:bCs/>
          <w:color w:val="auto"/>
          <w:sz w:val="28"/>
          <w:szCs w:val="28"/>
          <w:highlight w:val="none"/>
          <w:lang w:eastAsia="zh-CN"/>
        </w:rPr>
        <w:t>封面的格式（参照此格式自拟）：</w:t>
      </w:r>
      <w:r>
        <w:rPr>
          <w:rFonts w:hint="eastAsia" w:ascii="宋体" w:hAnsi="宋体" w:eastAsia="宋体" w:cs="Times New Roman"/>
          <w:color w:val="auto"/>
          <w:sz w:val="24"/>
          <w:highlight w:val="none"/>
        </w:rPr>
        <w:t xml:space="preserve">                                </w:t>
      </w:r>
    </w:p>
    <w:p w14:paraId="6008D2B8">
      <w:pPr>
        <w:snapToGrid w:val="0"/>
        <w:spacing w:before="165" w:beforeLines="50" w:after="50" w:line="400" w:lineRule="exact"/>
        <w:rPr>
          <w:rFonts w:hint="eastAsia" w:ascii="宋体" w:hAnsi="宋体" w:eastAsia="宋体" w:cs="Times New Roman"/>
          <w:color w:val="auto"/>
          <w:sz w:val="24"/>
          <w:highlight w:val="none"/>
        </w:rPr>
      </w:pPr>
    </w:p>
    <w:p w14:paraId="144484B4">
      <w:pPr>
        <w:snapToGrid w:val="0"/>
        <w:spacing w:before="165" w:beforeLines="50" w:after="50" w:line="400" w:lineRule="exact"/>
        <w:rPr>
          <w:rFonts w:hint="eastAsia" w:ascii="宋体" w:hAnsi="宋体" w:eastAsia="宋体" w:cs="Times New Roman"/>
          <w:bCs/>
          <w:color w:val="auto"/>
          <w:sz w:val="32"/>
          <w:szCs w:val="20"/>
          <w:highlight w:val="none"/>
          <w:lang w:eastAsia="zh-CN"/>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cs="Times New Roman"/>
          <w:bCs/>
          <w:color w:val="auto"/>
          <w:highlight w:val="none"/>
          <w:lang w:eastAsia="zh-CN"/>
        </w:rPr>
        <w:t>电子版投标文件</w:t>
      </w:r>
    </w:p>
    <w:p w14:paraId="7D10BB1B">
      <w:pPr>
        <w:snapToGrid w:val="0"/>
        <w:spacing w:before="165" w:beforeLines="50" w:after="50" w:line="400" w:lineRule="exact"/>
        <w:jc w:val="center"/>
        <w:rPr>
          <w:rFonts w:hint="eastAsia" w:ascii="宋体" w:hAnsi="宋体" w:eastAsia="宋体" w:cs="Times New Roman"/>
          <w:bCs/>
          <w:color w:val="auto"/>
          <w:sz w:val="24"/>
          <w:szCs w:val="20"/>
          <w:highlight w:val="none"/>
        </w:rPr>
      </w:pPr>
    </w:p>
    <w:p w14:paraId="536CCB0E">
      <w:pPr>
        <w:snapToGrid w:val="0"/>
        <w:spacing w:before="165" w:beforeLines="50" w:after="50" w:line="400" w:lineRule="exact"/>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报价文件</w:t>
      </w:r>
    </w:p>
    <w:p w14:paraId="1E7429B9">
      <w:pPr>
        <w:snapToGrid w:val="0"/>
        <w:spacing w:before="165" w:beforeLines="50" w:after="50" w:line="400" w:lineRule="exact"/>
        <w:rPr>
          <w:rFonts w:hint="eastAsia" w:ascii="宋体" w:hAnsi="宋体" w:eastAsia="宋体" w:cs="Times New Roman"/>
          <w:bCs/>
          <w:color w:val="auto"/>
          <w:sz w:val="24"/>
          <w:szCs w:val="20"/>
          <w:highlight w:val="none"/>
        </w:rPr>
      </w:pPr>
    </w:p>
    <w:p w14:paraId="3FD5F129">
      <w:pPr>
        <w:snapToGrid w:val="0"/>
        <w:spacing w:before="165" w:beforeLines="50" w:after="50" w:line="400" w:lineRule="exact"/>
        <w:rPr>
          <w:rFonts w:hint="eastAsia" w:ascii="宋体" w:hAnsi="宋体" w:eastAsia="宋体" w:cs="Times New Roman"/>
          <w:bCs/>
          <w:color w:val="auto"/>
          <w:sz w:val="24"/>
          <w:szCs w:val="20"/>
          <w:highlight w:val="none"/>
        </w:rPr>
      </w:pPr>
    </w:p>
    <w:p w14:paraId="1D42CC79">
      <w:pPr>
        <w:snapToGrid w:val="0"/>
        <w:spacing w:before="165" w:beforeLines="50" w:after="50" w:line="400" w:lineRule="exact"/>
        <w:rPr>
          <w:rFonts w:hint="eastAsia" w:ascii="宋体" w:hAnsi="宋体" w:eastAsia="宋体" w:cs="Times New Roman"/>
          <w:bCs/>
          <w:color w:val="auto"/>
          <w:sz w:val="24"/>
          <w:szCs w:val="20"/>
          <w:highlight w:val="none"/>
        </w:rPr>
      </w:pPr>
    </w:p>
    <w:p w14:paraId="37737683">
      <w:pPr>
        <w:snapToGrid w:val="0"/>
        <w:spacing w:before="165" w:beforeLines="50" w:after="50" w:line="400" w:lineRule="exact"/>
        <w:rPr>
          <w:rFonts w:hint="eastAsia" w:ascii="宋体" w:hAnsi="宋体" w:eastAsia="宋体" w:cs="Times New Roman"/>
          <w:bCs/>
          <w:color w:val="auto"/>
          <w:sz w:val="24"/>
          <w:szCs w:val="20"/>
          <w:highlight w:val="none"/>
        </w:rPr>
      </w:pPr>
    </w:p>
    <w:p w14:paraId="39B3F1B5">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项目名称： </w:t>
      </w:r>
    </w:p>
    <w:p w14:paraId="0A5179D2">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66A6C77B">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项目编号： </w:t>
      </w:r>
    </w:p>
    <w:p w14:paraId="4D0A0E60">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772C96B9">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52FC1D21">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00CAAB7B">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7C5497D3">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376DF319">
      <w:pPr>
        <w:pStyle w:val="6"/>
        <w:snapToGrid w:val="0"/>
        <w:spacing w:before="50" w:after="50" w:line="400" w:lineRule="exact"/>
        <w:ind w:firstLine="960" w:firstLineChars="400"/>
        <w:rPr>
          <w:rFonts w:hint="eastAsia" w:ascii="宋体" w:hAnsi="宋体" w:eastAsia="宋体" w:cs="Times New Roman"/>
          <w:bCs/>
          <w:color w:val="auto"/>
          <w:sz w:val="24"/>
          <w:szCs w:val="24"/>
          <w:highlight w:val="none"/>
        </w:rPr>
      </w:pPr>
    </w:p>
    <w:p w14:paraId="2BB9ABC0">
      <w:pPr>
        <w:snapToGrid w:val="0"/>
        <w:spacing w:before="165" w:beforeLines="50" w:after="50" w:line="40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75FF4C63">
      <w:pPr>
        <w:snapToGrid w:val="0"/>
        <w:spacing w:before="165" w:beforeLines="50" w:after="50" w:line="400" w:lineRule="exact"/>
        <w:ind w:firstLine="3120" w:firstLineChars="1300"/>
        <w:rPr>
          <w:rFonts w:hint="eastAsia" w:ascii="宋体" w:hAnsi="宋体" w:eastAsia="宋体" w:cs="Times New Roman"/>
          <w:color w:val="auto"/>
          <w:sz w:val="24"/>
          <w:highlight w:val="none"/>
        </w:rPr>
      </w:pPr>
    </w:p>
    <w:p w14:paraId="275910FF">
      <w:pPr>
        <w:snapToGrid w:val="0"/>
        <w:spacing w:before="165" w:beforeLines="50" w:after="50" w:line="400" w:lineRule="exact"/>
        <w:ind w:firstLine="4320" w:firstLineChars="18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60240D48">
      <w:pPr>
        <w:widowControl/>
        <w:jc w:val="left"/>
        <w:rPr>
          <w:rFonts w:ascii="宋体" w:hAnsi="宋体"/>
          <w:color w:val="auto"/>
          <w:sz w:val="24"/>
          <w:highlight w:val="none"/>
        </w:rPr>
        <w:sectPr>
          <w:pgSz w:w="11905" w:h="16838"/>
          <w:pgMar w:top="1134" w:right="1134" w:bottom="1134" w:left="1134" w:header="850" w:footer="850" w:gutter="0"/>
          <w:pgNumType w:fmt="decimal"/>
          <w:cols w:space="0" w:num="1"/>
          <w:titlePg/>
          <w:rtlGutter w:val="0"/>
          <w:docGrid w:linePitch="331" w:charSpace="0"/>
        </w:sectPr>
      </w:pPr>
    </w:p>
    <w:p w14:paraId="4B34A4EE">
      <w:pPr>
        <w:snapToGrid w:val="0"/>
        <w:spacing w:before="120" w:beforeLines="50" w:after="50" w:line="360" w:lineRule="auto"/>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44703555">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根据招标文件规定及投标人提供的材料自行编写目录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14:paraId="0099177A">
      <w:pPr>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14:paraId="19672DF2">
      <w:pPr>
        <w:pStyle w:val="12"/>
        <w:spacing w:line="500" w:lineRule="exact"/>
        <w:jc w:val="left"/>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3.投标函的格式：</w:t>
      </w:r>
    </w:p>
    <w:p w14:paraId="35AE5043">
      <w:pPr>
        <w:pStyle w:val="12"/>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投标函</w:t>
      </w:r>
    </w:p>
    <w:p w14:paraId="1912CB69">
      <w:pPr>
        <w:pStyle w:val="12"/>
        <w:spacing w:line="440" w:lineRule="exact"/>
        <w:ind w:firstLine="420" w:firstLineChars="200"/>
        <w:rPr>
          <w:rFonts w:hint="eastAsia" w:ascii="Times New Roman" w:hAnsi="Times New Roman" w:eastAsia="宋体" w:cs="Times New Roman"/>
          <w:color w:val="auto"/>
          <w:highlight w:val="none"/>
        </w:rPr>
      </w:pPr>
    </w:p>
    <w:p w14:paraId="4DA86CBD">
      <w:pPr>
        <w:pStyle w:val="12"/>
        <w:spacing w:line="440" w:lineRule="exact"/>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致：</w:t>
      </w:r>
      <w:bookmarkStart w:id="388" w:name="PO_3000001866_PM031_4"/>
      <w:r>
        <w:rPr>
          <w:rFonts w:hint="eastAsia" w:ascii="Times New Roman" w:hAnsi="Times New Roman" w:eastAsia="宋体" w:cs="Times New Roman"/>
          <w:color w:val="auto"/>
          <w:highlight w:val="none"/>
          <w:u w:val="single"/>
          <w:lang w:eastAsia="zh-CN"/>
        </w:rPr>
        <w:t>广西科联招标中心有限公司</w:t>
      </w:r>
      <w:bookmarkEnd w:id="388"/>
    </w:p>
    <w:p w14:paraId="22BBD620">
      <w:pPr>
        <w:pStyle w:val="12"/>
        <w:spacing w:line="440" w:lineRule="exact"/>
        <w:ind w:firstLine="420" w:firstLineChars="200"/>
        <w:rPr>
          <w:rFonts w:eastAsia="宋体" w:cs="Times New Roman"/>
          <w:color w:val="auto"/>
          <w:highlight w:val="none"/>
        </w:rPr>
      </w:pPr>
      <w:r>
        <w:rPr>
          <w:rFonts w:hint="eastAsia" w:eastAsia="宋体" w:cs="Times New Roman"/>
          <w:color w:val="auto"/>
          <w:highlight w:val="none"/>
        </w:rPr>
        <w:t>我方已仔细阅读了贵方组织的</w:t>
      </w:r>
      <w:r>
        <w:rPr>
          <w:rFonts w:hint="eastAsia" w:ascii="宋体" w:hAnsi="宋体" w:cs="宋体"/>
          <w:i/>
          <w:iCs/>
          <w:color w:val="auto"/>
          <w:highlight w:val="none"/>
          <w:u w:val="single"/>
          <w:lang w:eastAsia="zh-CN"/>
        </w:rPr>
        <w:t>（项目名称）</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项目（项目编号：</w:t>
      </w:r>
      <w:r>
        <w:rPr>
          <w:rFonts w:hint="eastAsia" w:cs="Times New Roman"/>
          <w:color w:val="auto"/>
          <w:highlight w:val="none"/>
          <w:u w:val="single"/>
          <w:lang w:val="en-US" w:eastAsia="zh-CN"/>
        </w:rPr>
        <w:t xml:space="preserve">        </w:t>
      </w:r>
      <w:r>
        <w:rPr>
          <w:rFonts w:hint="eastAsia" w:eastAsia="宋体" w:cs="Times New Roman"/>
          <w:color w:val="auto"/>
          <w:highlight w:val="none"/>
        </w:rPr>
        <w:t>）的招标文件的全部内容，授权</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(全权代表姓名)</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 xml:space="preserve"> (职务、职称)为全权代表，现正式</w:t>
      </w:r>
      <w:r>
        <w:rPr>
          <w:rFonts w:hint="eastAsia" w:cs="Times New Roman"/>
          <w:color w:val="auto"/>
          <w:highlight w:val="none"/>
          <w:lang w:eastAsia="zh-CN"/>
        </w:rPr>
        <w:t>提交</w:t>
      </w:r>
      <w:r>
        <w:rPr>
          <w:rFonts w:hint="eastAsia" w:eastAsia="宋体" w:cs="Times New Roman"/>
          <w:color w:val="auto"/>
          <w:highlight w:val="none"/>
        </w:rPr>
        <w:t xml:space="preserve">下述文件参加贵方组织的本次政府采购活动： </w:t>
      </w:r>
    </w:p>
    <w:p w14:paraId="2D4B55FD">
      <w:pPr>
        <w:pStyle w:val="12"/>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一、报价文件电子版（包含按投标人须知前附表要求提交的全部文件）；</w:t>
      </w:r>
    </w:p>
    <w:p w14:paraId="7CFA9E0E">
      <w:pPr>
        <w:pStyle w:val="12"/>
        <w:spacing w:line="440" w:lineRule="exact"/>
        <w:ind w:firstLine="482"/>
        <w:rPr>
          <w:rFonts w:hint="eastAsia" w:eastAsia="宋体" w:cs="Times New Roman"/>
          <w:color w:val="auto"/>
          <w:highlight w:val="none"/>
        </w:rPr>
      </w:pPr>
      <w:r>
        <w:rPr>
          <w:rFonts w:hint="eastAsia" w:eastAsia="宋体" w:cs="Times New Roman"/>
          <w:color w:val="auto"/>
          <w:highlight w:val="none"/>
        </w:rPr>
        <w:t>二、资格文件电子版（包含按投标人须知前附表要求提交的全部文件）；</w:t>
      </w:r>
    </w:p>
    <w:p w14:paraId="13CF4AA0">
      <w:pPr>
        <w:pStyle w:val="12"/>
        <w:spacing w:line="440" w:lineRule="exact"/>
        <w:ind w:firstLine="482"/>
        <w:rPr>
          <w:rFonts w:hint="eastAsia" w:eastAsia="宋体" w:cs="Times New Roman"/>
          <w:color w:val="auto"/>
          <w:highlight w:val="none"/>
          <w:lang w:eastAsia="zh-CN"/>
        </w:rPr>
      </w:pPr>
      <w:r>
        <w:rPr>
          <w:rFonts w:hint="eastAsia" w:eastAsia="宋体" w:cs="Times New Roman"/>
          <w:color w:val="auto"/>
          <w:highlight w:val="none"/>
        </w:rPr>
        <w:t>三、</w:t>
      </w:r>
      <w:r>
        <w:rPr>
          <w:rFonts w:hint="eastAsia" w:hAnsi="宋体" w:cs="Times New Roman"/>
          <w:color w:val="auto"/>
          <w:highlight w:val="none"/>
          <w:lang w:val="en-US" w:eastAsia="zh-CN"/>
        </w:rPr>
        <w:t>商务技术文件</w:t>
      </w:r>
      <w:r>
        <w:rPr>
          <w:rFonts w:hint="eastAsia" w:eastAsia="宋体" w:cs="Times New Roman"/>
          <w:color w:val="auto"/>
          <w:highlight w:val="none"/>
        </w:rPr>
        <w:t>电子版（包含按投标人须知前附表要求提交的全部文件）；</w:t>
      </w:r>
    </w:p>
    <w:p w14:paraId="72BBCCBE">
      <w:pPr>
        <w:pStyle w:val="12"/>
        <w:spacing w:line="440" w:lineRule="exact"/>
        <w:ind w:firstLine="482"/>
        <w:rPr>
          <w:rFonts w:hint="eastAsia" w:ascii="Times New Roman" w:hAnsi="Times New Roman" w:eastAsia="宋体" w:cs="Times New Roman"/>
          <w:color w:val="auto"/>
          <w:highlight w:val="none"/>
        </w:rPr>
      </w:pPr>
      <w:r>
        <w:rPr>
          <w:rFonts w:hint="eastAsia" w:eastAsia="宋体" w:cs="Times New Roman"/>
          <w:color w:val="auto"/>
          <w:highlight w:val="none"/>
        </w:rPr>
        <w:t>据此函，</w:t>
      </w:r>
      <w:r>
        <w:rPr>
          <w:rFonts w:hint="eastAsia" w:cs="Times New Roman"/>
          <w:color w:val="auto"/>
          <w:highlight w:val="none"/>
          <w:lang w:val="en-US" w:eastAsia="zh-CN"/>
        </w:rPr>
        <w:t>我方</w:t>
      </w:r>
      <w:r>
        <w:rPr>
          <w:rFonts w:hint="default" w:eastAsia="宋体" w:cs="Times New Roman"/>
          <w:color w:val="auto"/>
          <w:highlight w:val="none"/>
          <w:lang w:val="en-US"/>
        </w:rPr>
        <w:t>兹</w:t>
      </w:r>
      <w:r>
        <w:rPr>
          <w:rFonts w:hint="eastAsia" w:eastAsia="宋体" w:cs="Times New Roman"/>
          <w:color w:val="auto"/>
          <w:highlight w:val="none"/>
        </w:rPr>
        <w:t>宣布：</w:t>
      </w:r>
    </w:p>
    <w:p w14:paraId="437CCE90">
      <w:pPr>
        <w:pStyle w:val="12"/>
        <w:spacing w:line="440" w:lineRule="exact"/>
        <w:ind w:firstLine="420" w:firstLineChars="200"/>
        <w:rPr>
          <w:rFonts w:ascii="Times New Roman" w:hAnsi="Times New Roman" w:eastAsia="宋体" w:cs="Times New Roman"/>
          <w:color w:val="auto"/>
          <w:highlight w:val="none"/>
        </w:rPr>
      </w:pPr>
      <w:r>
        <w:rPr>
          <w:rFonts w:hint="eastAsia" w:cs="Times New Roman"/>
          <w:color w:val="auto"/>
          <w:highlight w:val="none"/>
          <w:lang w:eastAsia="zh-CN"/>
        </w:rPr>
        <w:t>1.</w:t>
      </w:r>
      <w:r>
        <w:rPr>
          <w:rFonts w:hint="eastAsia" w:eastAsia="宋体" w:cs="Times New Roman"/>
          <w:color w:val="auto"/>
          <w:highlight w:val="none"/>
        </w:rPr>
        <w:t>我方愿意以</w:t>
      </w:r>
      <w:r>
        <w:rPr>
          <w:rFonts w:hint="eastAsia" w:hAnsi="宋体" w:cs="宋体"/>
          <w:color w:val="auto"/>
          <w:highlight w:val="none"/>
          <w:lang w:eastAsia="zh-CN"/>
        </w:rPr>
        <w:t>开标一览表中的产品抽检单价合计</w:t>
      </w:r>
      <w:r>
        <w:rPr>
          <w:rFonts w:hint="eastAsia" w:hAnsi="宋体" w:cs="宋体"/>
          <w:color w:val="auto"/>
          <w:szCs w:val="22"/>
          <w:highlight w:val="none"/>
          <w:lang w:eastAsia="zh-CN"/>
        </w:rPr>
        <w:t>，</w:t>
      </w:r>
      <w:r>
        <w:rPr>
          <w:rFonts w:hint="eastAsia" w:eastAsia="宋体" w:cs="Times New Roman"/>
          <w:color w:val="auto"/>
          <w:highlight w:val="none"/>
        </w:rPr>
        <w:t>提供本项目</w:t>
      </w:r>
      <w:r>
        <w:rPr>
          <w:rFonts w:hint="eastAsia" w:hAnsi="Times New Roman" w:eastAsia="宋体" w:cs="Times New Roman"/>
          <w:color w:val="auto"/>
          <w:highlight w:val="none"/>
        </w:rPr>
        <w:t>招标文件“第二章  采购需求”</w:t>
      </w:r>
      <w:r>
        <w:rPr>
          <w:rFonts w:hint="eastAsia" w:eastAsia="宋体" w:cs="Times New Roman"/>
          <w:color w:val="auto"/>
          <w:highlight w:val="none"/>
        </w:rPr>
        <w:t>相应的采购内容</w:t>
      </w:r>
      <w:r>
        <w:rPr>
          <w:rFonts w:hint="eastAsia" w:hAnsi="宋体" w:cs="宋体"/>
          <w:color w:val="auto"/>
          <w:highlight w:val="none"/>
          <w:lang w:eastAsia="zh-CN"/>
        </w:rPr>
        <w:t>，具体详见开标一览表</w:t>
      </w:r>
      <w:r>
        <w:rPr>
          <w:rFonts w:hint="eastAsia" w:eastAsia="宋体" w:cs="Times New Roman"/>
          <w:color w:val="auto"/>
          <w:highlight w:val="none"/>
        </w:rPr>
        <w:t>。</w:t>
      </w:r>
    </w:p>
    <w:p w14:paraId="5C0C37F0">
      <w:pPr>
        <w:pStyle w:val="12"/>
        <w:spacing w:line="360" w:lineRule="exact"/>
        <w:ind w:firstLine="420" w:firstLineChars="200"/>
        <w:rPr>
          <w:rFonts w:hint="eastAsia" w:eastAsia="宋体" w:cs="Times New Roman"/>
          <w:color w:val="auto"/>
          <w:highlight w:val="none"/>
          <w:u w:val="single"/>
        </w:rPr>
      </w:pPr>
      <w:r>
        <w:rPr>
          <w:rFonts w:hint="eastAsia" w:cs="Times New Roman"/>
          <w:color w:val="auto"/>
          <w:highlight w:val="none"/>
          <w:lang w:eastAsia="zh-CN"/>
        </w:rPr>
        <w:t>2.</w:t>
      </w:r>
      <w:r>
        <w:rPr>
          <w:rFonts w:hint="eastAsia" w:eastAsia="宋体" w:cs="Times New Roman"/>
          <w:color w:val="auto"/>
          <w:highlight w:val="none"/>
        </w:rPr>
        <w:t>我方同意自本项目招标文件“第三章 投标人须知”第一节 投标人须知前附表 第21.</w:t>
      </w:r>
      <w:r>
        <w:rPr>
          <w:rFonts w:hint="eastAsia" w:cs="Times New Roman"/>
          <w:color w:val="auto"/>
          <w:highlight w:val="none"/>
          <w:lang w:val="en-US" w:eastAsia="zh-CN"/>
        </w:rPr>
        <w:t>1</w:t>
      </w:r>
      <w:r>
        <w:rPr>
          <w:rFonts w:hint="eastAsia" w:eastAsia="宋体" w:cs="Times New Roman"/>
          <w:color w:val="auto"/>
          <w:highlight w:val="none"/>
        </w:rPr>
        <w:t>项规定的投标截止时间（开标时间）起遵循</w:t>
      </w:r>
      <w:r>
        <w:rPr>
          <w:rFonts w:hint="eastAsia" w:hAnsi="宋体" w:eastAsia="宋体" w:cs="Times New Roman"/>
          <w:color w:val="auto"/>
          <w:highlight w:val="none"/>
        </w:rPr>
        <w:t>本投标函</w:t>
      </w:r>
      <w:r>
        <w:rPr>
          <w:rFonts w:hint="eastAsia" w:eastAsia="宋体" w:cs="Times New Roman"/>
          <w:color w:val="auto"/>
          <w:highlight w:val="none"/>
        </w:rPr>
        <w:t>，并承诺在“投标人须知前附表”第17.2项规定的投标有效期内不修改、撤销投标文件。</w:t>
      </w:r>
    </w:p>
    <w:p w14:paraId="32874B1A">
      <w:pPr>
        <w:pStyle w:val="12"/>
        <w:spacing w:line="360" w:lineRule="exact"/>
        <w:ind w:firstLine="420" w:firstLineChars="200"/>
        <w:rPr>
          <w:rFonts w:hint="eastAsia" w:eastAsia="宋体" w:cs="Times New Roman"/>
          <w:color w:val="auto"/>
          <w:highlight w:val="none"/>
          <w:u w:val="single"/>
        </w:rPr>
      </w:pPr>
      <w:r>
        <w:rPr>
          <w:rFonts w:hint="eastAsia" w:cs="Times New Roman"/>
          <w:color w:val="auto"/>
          <w:highlight w:val="none"/>
          <w:lang w:eastAsia="zh-CN"/>
        </w:rPr>
        <w:t>3.</w:t>
      </w:r>
      <w:r>
        <w:rPr>
          <w:rFonts w:hint="eastAsia" w:eastAsia="宋体" w:cs="Times New Roman"/>
          <w:color w:val="auto"/>
          <w:highlight w:val="none"/>
        </w:rPr>
        <w:t>我方所</w:t>
      </w:r>
      <w:r>
        <w:rPr>
          <w:rFonts w:hint="eastAsia" w:cs="Times New Roman"/>
          <w:color w:val="auto"/>
          <w:highlight w:val="none"/>
          <w:lang w:eastAsia="zh-CN"/>
        </w:rPr>
        <w:t>提交</w:t>
      </w:r>
      <w:r>
        <w:rPr>
          <w:rFonts w:hint="eastAsia" w:eastAsia="宋体" w:cs="Times New Roman"/>
          <w:color w:val="auto"/>
          <w:highlight w:val="none"/>
        </w:rPr>
        <w:t>的投标文件及有关资料都是内容完整、真实和准确的。</w:t>
      </w:r>
    </w:p>
    <w:p w14:paraId="1DA1CEC9">
      <w:pPr>
        <w:pStyle w:val="12"/>
        <w:spacing w:line="440" w:lineRule="exact"/>
        <w:ind w:firstLine="420" w:firstLineChars="200"/>
        <w:rPr>
          <w:rFonts w:hint="eastAsia" w:eastAsia="宋体" w:cs="Times New Roman"/>
          <w:color w:val="auto"/>
          <w:highlight w:val="none"/>
        </w:rPr>
      </w:pPr>
      <w:r>
        <w:rPr>
          <w:rFonts w:hint="eastAsia" w:cs="Times New Roman"/>
          <w:color w:val="auto"/>
          <w:highlight w:val="none"/>
          <w:lang w:eastAsia="zh-CN"/>
        </w:rPr>
        <w:t>4.</w:t>
      </w:r>
      <w:r>
        <w:rPr>
          <w:rFonts w:hint="eastAsia" w:eastAsia="宋体" w:cs="Times New Roman"/>
          <w:color w:val="auto"/>
          <w:szCs w:val="21"/>
          <w:highlight w:val="none"/>
        </w:rPr>
        <w:t>如本项目采购内容涉及须符合国家强制规定的，我方承诺我方本次投标（包括资格条件和所投产品）均符合国家有关强制规定。</w:t>
      </w:r>
    </w:p>
    <w:p w14:paraId="0C6CF98B">
      <w:pPr>
        <w:pStyle w:val="12"/>
        <w:spacing w:line="440" w:lineRule="exact"/>
        <w:ind w:firstLine="420" w:firstLineChars="200"/>
        <w:rPr>
          <w:rFonts w:hint="eastAsia" w:eastAsia="宋体" w:cs="Times New Roman"/>
          <w:color w:val="auto"/>
          <w:highlight w:val="none"/>
        </w:rPr>
      </w:pPr>
      <w:r>
        <w:rPr>
          <w:rFonts w:hint="eastAsia" w:cs="Times New Roman"/>
          <w:color w:val="auto"/>
          <w:highlight w:val="none"/>
          <w:lang w:eastAsia="zh-CN"/>
        </w:rPr>
        <w:t>5.</w:t>
      </w:r>
      <w:r>
        <w:rPr>
          <w:rFonts w:hint="eastAsia" w:eastAsia="宋体" w:cs="Times New Roman"/>
          <w:color w:val="auto"/>
          <w:highlight w:val="none"/>
        </w:rPr>
        <w:t>如我方中标，我方承诺在收到中标通知书后，在中标通知书规定的期限内，</w:t>
      </w:r>
      <w:r>
        <w:rPr>
          <w:rFonts w:hint="eastAsia" w:hAnsi="宋体" w:eastAsia="宋体" w:cs="Times New Roman"/>
          <w:color w:val="auto"/>
          <w:highlight w:val="none"/>
        </w:rPr>
        <w:t>根据招标文件、我方的投标文件及有关澄清承诺书的要求按第五章“拟签订的合同文本”与采购人订立书面合同，并按照合同约定</w:t>
      </w:r>
      <w:r>
        <w:rPr>
          <w:rFonts w:hint="eastAsia" w:eastAsia="宋体" w:cs="Times New Roman"/>
          <w:color w:val="auto"/>
          <w:highlight w:val="none"/>
        </w:rPr>
        <w:t>承担完成合同的责任和义务。</w:t>
      </w:r>
    </w:p>
    <w:p w14:paraId="5AF04EFD">
      <w:pPr>
        <w:pStyle w:val="12"/>
        <w:spacing w:line="440" w:lineRule="exact"/>
        <w:ind w:firstLine="420" w:firstLineChars="200"/>
        <w:rPr>
          <w:rFonts w:hint="eastAsia" w:eastAsia="宋体" w:cs="Times New Roman"/>
          <w:color w:val="auto"/>
          <w:highlight w:val="none"/>
        </w:rPr>
      </w:pPr>
      <w:r>
        <w:rPr>
          <w:rFonts w:hint="eastAsia" w:cs="Times New Roman"/>
          <w:color w:val="auto"/>
          <w:highlight w:val="none"/>
          <w:lang w:eastAsia="zh-CN"/>
        </w:rPr>
        <w:t>6.</w:t>
      </w:r>
      <w:r>
        <w:rPr>
          <w:rFonts w:hint="eastAsia" w:eastAsia="宋体" w:cs="Times New Roman"/>
          <w:color w:val="auto"/>
          <w:highlight w:val="none"/>
        </w:rPr>
        <w:t>我方已详细审核招标文件，我方知道必须放弃提出含糊不清或误解问题的权利。</w:t>
      </w:r>
    </w:p>
    <w:p w14:paraId="68C487B8">
      <w:pPr>
        <w:pStyle w:val="12"/>
        <w:spacing w:line="440" w:lineRule="exact"/>
        <w:ind w:firstLine="420" w:firstLineChars="200"/>
        <w:rPr>
          <w:rFonts w:hint="eastAsia" w:eastAsia="宋体" w:cs="Times New Roman"/>
          <w:color w:val="auto"/>
          <w:highlight w:val="none"/>
        </w:rPr>
      </w:pPr>
      <w:r>
        <w:rPr>
          <w:rFonts w:hint="eastAsia" w:cs="Times New Roman"/>
          <w:color w:val="auto"/>
          <w:highlight w:val="none"/>
          <w:lang w:eastAsia="zh-CN"/>
        </w:rPr>
        <w:t>7.</w:t>
      </w:r>
      <w:r>
        <w:rPr>
          <w:rFonts w:hint="eastAsia" w:eastAsia="宋体" w:cs="Times New Roman"/>
          <w:color w:val="auto"/>
          <w:highlight w:val="none"/>
        </w:rPr>
        <w:t>我方同意应贵方要求提供与本投标有关的任何数据或资料。若贵方需要，我方愿意提供我方作出的一切承诺的证明材料。</w:t>
      </w:r>
    </w:p>
    <w:p w14:paraId="10AC38FE">
      <w:pPr>
        <w:pStyle w:val="12"/>
        <w:spacing w:line="440" w:lineRule="exact"/>
        <w:ind w:firstLine="420" w:firstLineChars="200"/>
        <w:rPr>
          <w:rFonts w:hint="eastAsia" w:eastAsia="宋体" w:cs="Times New Roman"/>
          <w:color w:val="auto"/>
          <w:highlight w:val="none"/>
        </w:rPr>
      </w:pPr>
      <w:r>
        <w:rPr>
          <w:rFonts w:hint="eastAsia" w:cs="Times New Roman"/>
          <w:color w:val="auto"/>
          <w:highlight w:val="none"/>
          <w:lang w:eastAsia="zh-CN"/>
        </w:rPr>
        <w:t>8.</w:t>
      </w:r>
      <w:r>
        <w:rPr>
          <w:rFonts w:hint="eastAsia" w:eastAsia="宋体" w:cs="Times New Roman"/>
          <w:color w:val="auto"/>
          <w:highlight w:val="none"/>
        </w:rPr>
        <w:t>我方完全理解贵方不一定接受投标报价最低的投标人为中标</w:t>
      </w:r>
      <w:r>
        <w:rPr>
          <w:rFonts w:hint="eastAsia" w:cs="Times New Roman"/>
          <w:color w:val="auto"/>
          <w:highlight w:val="none"/>
          <w:lang w:val="en-US" w:eastAsia="zh-CN"/>
        </w:rPr>
        <w:t>人</w:t>
      </w:r>
      <w:r>
        <w:rPr>
          <w:rFonts w:hint="eastAsia" w:eastAsia="宋体" w:cs="Times New Roman"/>
          <w:color w:val="auto"/>
          <w:highlight w:val="none"/>
        </w:rPr>
        <w:t>的行为。</w:t>
      </w:r>
    </w:p>
    <w:p w14:paraId="0A3227AC">
      <w:pPr>
        <w:pStyle w:val="12"/>
        <w:spacing w:line="440" w:lineRule="exact"/>
        <w:ind w:firstLine="420" w:firstLineChars="200"/>
        <w:rPr>
          <w:rFonts w:hint="eastAsia" w:eastAsia="宋体" w:cs="Times New Roman"/>
          <w:color w:val="auto"/>
          <w:highlight w:val="none"/>
        </w:rPr>
      </w:pPr>
      <w:r>
        <w:rPr>
          <w:rFonts w:hint="eastAsia" w:cs="Times New Roman"/>
          <w:color w:val="auto"/>
          <w:highlight w:val="none"/>
          <w:lang w:eastAsia="zh-CN"/>
        </w:rPr>
        <w:t>9.</w:t>
      </w:r>
      <w:r>
        <w:rPr>
          <w:rFonts w:hint="eastAsia" w:eastAsia="宋体" w:cs="Times New Roman"/>
          <w:color w:val="auto"/>
          <w:highlight w:val="none"/>
        </w:rPr>
        <w:t>我方将严格遵守《中华人民共和国政府采购法》第七十七条的规定，即供应商有下列情形之一的，处以采购金额千分之五以上千分之十</w:t>
      </w:r>
      <w:r>
        <w:rPr>
          <w:rFonts w:hint="eastAsia" w:hAnsi="宋体" w:eastAsia="宋体" w:cs="Times New Roman"/>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7F1F7605">
      <w:pPr>
        <w:pStyle w:val="12"/>
        <w:numPr>
          <w:ilvl w:val="0"/>
          <w:numId w:val="3"/>
        </w:numP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提供虚假材料谋取中标、成交的；</w:t>
      </w:r>
    </w:p>
    <w:p w14:paraId="1E69519A">
      <w:pPr>
        <w:pStyle w:val="12"/>
        <w:numPr>
          <w:ilvl w:val="0"/>
          <w:numId w:val="3"/>
        </w:numP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采取不正当手段诋毁、排挤其他供应商的；</w:t>
      </w:r>
    </w:p>
    <w:p w14:paraId="66660DAA">
      <w:pPr>
        <w:pStyle w:val="12"/>
        <w:numPr>
          <w:ilvl w:val="0"/>
          <w:numId w:val="3"/>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与采购人、其他供应商或者采购代理机构恶意串通的；</w:t>
      </w:r>
    </w:p>
    <w:p w14:paraId="5C624A71">
      <w:pPr>
        <w:pStyle w:val="12"/>
        <w:numPr>
          <w:ilvl w:val="0"/>
          <w:numId w:val="3"/>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向采购人、采购代理机构行贿或者提供其他不正当利益的；</w:t>
      </w:r>
    </w:p>
    <w:p w14:paraId="6600F49F">
      <w:pPr>
        <w:pStyle w:val="12"/>
        <w:numPr>
          <w:ilvl w:val="0"/>
          <w:numId w:val="3"/>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在招标采购过程中与采购人进行协商谈判的；</w:t>
      </w:r>
    </w:p>
    <w:p w14:paraId="02065F48">
      <w:pPr>
        <w:pStyle w:val="12"/>
        <w:numPr>
          <w:ilvl w:val="0"/>
          <w:numId w:val="3"/>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拒绝有关部门监督检查或提供虚假情况的。</w:t>
      </w:r>
    </w:p>
    <w:p w14:paraId="3E2F00B3">
      <w:pPr>
        <w:pStyle w:val="12"/>
        <w:spacing w:line="360" w:lineRule="auto"/>
        <w:ind w:firstLine="420"/>
        <w:rPr>
          <w:rFonts w:hint="eastAsia" w:eastAsia="宋体" w:cs="Times New Roman"/>
          <w:color w:val="auto"/>
          <w:highlight w:val="none"/>
        </w:rPr>
      </w:pPr>
      <w:r>
        <w:rPr>
          <w:rFonts w:hint="eastAsia" w:cs="Times New Roman"/>
          <w:color w:val="auto"/>
          <w:highlight w:val="none"/>
          <w:lang w:eastAsia="zh-CN"/>
        </w:rPr>
        <w:t>10.</w:t>
      </w:r>
      <w:r>
        <w:rPr>
          <w:rFonts w:hint="eastAsia" w:eastAsia="宋体" w:cs="Times New Roman"/>
          <w:color w:val="auto"/>
          <w:highlight w:val="none"/>
        </w:rPr>
        <w:t>以上事项如有虚假或</w:t>
      </w:r>
      <w:r>
        <w:rPr>
          <w:rFonts w:hint="eastAsia" w:cs="Times New Roman"/>
          <w:color w:val="auto"/>
          <w:highlight w:val="none"/>
          <w:lang w:val="en-US" w:eastAsia="zh-CN"/>
        </w:rPr>
        <w:t>者</w:t>
      </w:r>
      <w:r>
        <w:rPr>
          <w:rFonts w:hint="eastAsia" w:eastAsia="宋体" w:cs="Times New Roman"/>
          <w:color w:val="auto"/>
          <w:highlight w:val="none"/>
        </w:rPr>
        <w:t>隐瞒，我方愿意承担一切后果，并不再寻求任何旨在减轻或</w:t>
      </w:r>
      <w:r>
        <w:rPr>
          <w:rFonts w:hint="eastAsia" w:cs="Times New Roman"/>
          <w:color w:val="auto"/>
          <w:highlight w:val="none"/>
          <w:lang w:val="en-US" w:eastAsia="zh-CN"/>
        </w:rPr>
        <w:t>者</w:t>
      </w:r>
      <w:r>
        <w:rPr>
          <w:rFonts w:hint="eastAsia" w:eastAsia="宋体" w:cs="Times New Roman"/>
          <w:color w:val="auto"/>
          <w:highlight w:val="none"/>
        </w:rPr>
        <w:t>免除法律责任的辩解。</w:t>
      </w:r>
    </w:p>
    <w:p w14:paraId="0A052D6F">
      <w:pPr>
        <w:pStyle w:val="12"/>
        <w:spacing w:line="360" w:lineRule="auto"/>
        <w:ind w:firstLine="420"/>
        <w:rPr>
          <w:rFonts w:hint="eastAsia" w:eastAsia="宋体" w:cs="Times New Roman"/>
          <w:color w:val="auto"/>
          <w:highlight w:val="none"/>
        </w:rPr>
      </w:pPr>
      <w:r>
        <w:rPr>
          <w:rFonts w:hint="eastAsia" w:cs="Times New Roman"/>
          <w:color w:val="auto"/>
          <w:highlight w:val="none"/>
          <w:lang w:eastAsia="zh-CN"/>
        </w:rPr>
        <w:t>11.</w:t>
      </w:r>
      <w:r>
        <w:rPr>
          <w:rFonts w:hint="eastAsia" w:eastAsia="宋体" w:cs="Times New Roman"/>
          <w:color w:val="auto"/>
          <w:highlight w:val="none"/>
        </w:rPr>
        <w:t>与本投标有关的一切正式往来信函请寄：</w:t>
      </w:r>
    </w:p>
    <w:p w14:paraId="6A45073E">
      <w:pPr>
        <w:pStyle w:val="12"/>
        <w:spacing w:line="360" w:lineRule="auto"/>
        <w:ind w:firstLine="420"/>
        <w:rPr>
          <w:rFonts w:hint="eastAsia" w:eastAsia="宋体" w:cs="Times New Roman"/>
          <w:color w:val="auto"/>
          <w:highlight w:val="none"/>
        </w:rPr>
      </w:pPr>
      <w:r>
        <w:rPr>
          <w:rFonts w:hint="eastAsia" w:eastAsia="宋体" w:cs="Times New Roman"/>
          <w:color w:val="auto"/>
          <w:highlight w:val="none"/>
        </w:rPr>
        <w:t>地址：</w:t>
      </w:r>
      <w:r>
        <w:rPr>
          <w:rFonts w:hint="eastAsia" w:eastAsia="宋体" w:cs="Times New Roman"/>
          <w:color w:val="auto"/>
          <w:highlight w:val="none"/>
          <w:u w:val="single"/>
        </w:rPr>
        <w:t xml:space="preserve">                                                        </w:t>
      </w:r>
      <w:r>
        <w:rPr>
          <w:rFonts w:hint="eastAsia" w:eastAsia="宋体" w:cs="Times New Roman"/>
          <w:color w:val="auto"/>
          <w:highlight w:val="none"/>
        </w:rPr>
        <w:t xml:space="preserve"> </w:t>
      </w:r>
    </w:p>
    <w:p w14:paraId="6C1C5EE8">
      <w:pPr>
        <w:pStyle w:val="12"/>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电话：</w:t>
      </w:r>
      <w:r>
        <w:rPr>
          <w:rFonts w:hint="eastAsia" w:eastAsia="宋体" w:cs="Times New Roman"/>
          <w:color w:val="auto"/>
          <w:highlight w:val="none"/>
          <w:u w:val="single"/>
        </w:rPr>
        <w:t xml:space="preserve">                                      　　　　　　　　　</w:t>
      </w:r>
    </w:p>
    <w:p w14:paraId="7FD9A979">
      <w:pPr>
        <w:pStyle w:val="12"/>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传真：</w:t>
      </w:r>
      <w:r>
        <w:rPr>
          <w:rFonts w:hint="eastAsia" w:eastAsia="宋体" w:cs="Times New Roman"/>
          <w:color w:val="auto"/>
          <w:highlight w:val="none"/>
          <w:u w:val="single"/>
        </w:rPr>
        <w:t>　　　　　　　　　　　　　　　　　　　　　　　　　　　　</w:t>
      </w:r>
    </w:p>
    <w:p w14:paraId="3831FF66">
      <w:pPr>
        <w:pStyle w:val="7"/>
        <w:spacing w:line="360" w:lineRule="auto"/>
        <w:ind w:left="0" w:firstLine="420" w:firstLineChars="200"/>
        <w:rPr>
          <w:rFonts w:hint="eastAsia"/>
          <w:color w:val="auto"/>
          <w:highlight w:val="none"/>
        </w:rPr>
      </w:pPr>
      <w:r>
        <w:rPr>
          <w:rFonts w:hint="eastAsia"/>
          <w:color w:val="auto"/>
          <w:highlight w:val="none"/>
          <w:u w:val="none"/>
        </w:rPr>
        <w:t>电子邮箱：</w:t>
      </w:r>
      <w:r>
        <w:rPr>
          <w:rFonts w:hint="eastAsia" w:eastAsia="宋体" w:cs="Times New Roman"/>
          <w:color w:val="auto"/>
          <w:highlight w:val="none"/>
          <w:u w:val="single"/>
        </w:rPr>
        <w:t>　　　　　　　　　　　　　　　　　　　　　　　　　　</w:t>
      </w:r>
    </w:p>
    <w:p w14:paraId="780CF038">
      <w:pPr>
        <w:pStyle w:val="12"/>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邮政编码：</w:t>
      </w:r>
      <w:r>
        <w:rPr>
          <w:rFonts w:hint="eastAsia" w:eastAsia="宋体" w:cs="Times New Roman"/>
          <w:color w:val="auto"/>
          <w:highlight w:val="none"/>
          <w:u w:val="single"/>
        </w:rPr>
        <w:t xml:space="preserve">                                                    </w:t>
      </w:r>
    </w:p>
    <w:p w14:paraId="74DA9A01">
      <w:pPr>
        <w:pStyle w:val="12"/>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开户名称：</w:t>
      </w:r>
      <w:r>
        <w:rPr>
          <w:rFonts w:hint="eastAsia" w:eastAsia="宋体" w:cs="Times New Roman"/>
          <w:color w:val="auto"/>
          <w:highlight w:val="none"/>
          <w:u w:val="single"/>
        </w:rPr>
        <w:t xml:space="preserve">                                                    </w:t>
      </w:r>
    </w:p>
    <w:p w14:paraId="525AC556">
      <w:pPr>
        <w:pStyle w:val="12"/>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开户银行：</w:t>
      </w:r>
      <w:r>
        <w:rPr>
          <w:rFonts w:hint="eastAsia" w:eastAsia="宋体" w:cs="Times New Roman"/>
          <w:color w:val="auto"/>
          <w:highlight w:val="none"/>
          <w:u w:val="single"/>
        </w:rPr>
        <w:t xml:space="preserve">                                                    </w:t>
      </w:r>
    </w:p>
    <w:p w14:paraId="205149AF">
      <w:pPr>
        <w:pStyle w:val="12"/>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银行账号：</w:t>
      </w:r>
      <w:r>
        <w:rPr>
          <w:rFonts w:hint="eastAsia" w:eastAsia="宋体" w:cs="Times New Roman"/>
          <w:color w:val="auto"/>
          <w:highlight w:val="none"/>
          <w:u w:val="single"/>
        </w:rPr>
        <w:t xml:space="preserve">                                                    </w:t>
      </w:r>
    </w:p>
    <w:p w14:paraId="4603E8B9">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696F652D">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75A6EF60">
      <w:pPr>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72F52F76">
      <w:pPr>
        <w:snapToGrid w:val="0"/>
        <w:spacing w:line="360" w:lineRule="auto"/>
        <w:ind w:firstLine="5280" w:firstLineChars="2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F284789">
      <w:pPr>
        <w:widowControl/>
        <w:spacing w:line="360" w:lineRule="auto"/>
        <w:jc w:val="left"/>
        <w:rPr>
          <w:rFonts w:ascii="仿宋_GB2312" w:hAnsi="仿宋" w:eastAsia="仿宋_GB2312" w:cs="仿宋_GB2312"/>
          <w:color w:val="auto"/>
          <w:kern w:val="0"/>
          <w:sz w:val="24"/>
          <w:highlight w:val="none"/>
          <w:lang w:val="zh-CN"/>
        </w:rPr>
        <w:sectPr>
          <w:pgSz w:w="11905" w:h="16838"/>
          <w:pgMar w:top="1134" w:right="1134" w:bottom="1134" w:left="1134" w:header="850" w:footer="850" w:gutter="0"/>
          <w:pgNumType w:fmt="decimal"/>
          <w:cols w:space="0" w:num="1"/>
          <w:titlePg/>
          <w:rtlGutter w:val="0"/>
          <w:docGrid w:linePitch="331" w:charSpace="0"/>
        </w:sectPr>
      </w:pPr>
    </w:p>
    <w:p w14:paraId="50AD1AD3">
      <w:pPr>
        <w:pStyle w:val="12"/>
        <w:spacing w:line="360" w:lineRule="auto"/>
        <w:jc w:val="left"/>
        <w:rPr>
          <w:rFonts w:hint="eastAsia" w:hAnsi="宋体" w:cs="宋体"/>
          <w:b/>
          <w:bCs w:val="0"/>
          <w:color w:val="auto"/>
          <w:sz w:val="28"/>
          <w:szCs w:val="28"/>
          <w:highlight w:val="none"/>
        </w:rPr>
      </w:pPr>
      <w:r>
        <w:rPr>
          <w:rFonts w:hint="eastAsia" w:ascii="宋体" w:hAnsi="宋体" w:eastAsia="宋体" w:cs="宋体"/>
          <w:b/>
          <w:bCs w:val="0"/>
          <w:color w:val="auto"/>
          <w:sz w:val="28"/>
          <w:szCs w:val="28"/>
          <w:highlight w:val="none"/>
          <w:lang w:val="en-US"/>
        </w:rPr>
        <w:t>4</w:t>
      </w:r>
      <w:r>
        <w:rPr>
          <w:rFonts w:hint="eastAsia" w:ascii="宋体" w:hAnsi="宋体" w:eastAsia="宋体" w:cs="宋体"/>
          <w:b/>
          <w:bCs w:val="0"/>
          <w:color w:val="auto"/>
          <w:sz w:val="28"/>
          <w:szCs w:val="28"/>
          <w:highlight w:val="none"/>
        </w:rPr>
        <w:t>. 开标一览表</w:t>
      </w:r>
      <w:r>
        <w:rPr>
          <w:rFonts w:hint="eastAsia" w:hAnsi="宋体" w:cs="宋体"/>
          <w:b/>
          <w:bCs w:val="0"/>
          <w:color w:val="auto"/>
          <w:sz w:val="28"/>
          <w:szCs w:val="28"/>
          <w:highlight w:val="none"/>
          <w:lang w:eastAsia="zh-CN"/>
        </w:rPr>
        <w:t>的</w:t>
      </w:r>
      <w:r>
        <w:rPr>
          <w:rFonts w:hint="eastAsia" w:ascii="宋体" w:hAnsi="宋体" w:eastAsia="宋体" w:cs="宋体"/>
          <w:b/>
          <w:bCs w:val="0"/>
          <w:color w:val="auto"/>
          <w:sz w:val="28"/>
          <w:szCs w:val="28"/>
          <w:highlight w:val="none"/>
        </w:rPr>
        <w:t>格式</w:t>
      </w:r>
      <w:r>
        <w:rPr>
          <w:rFonts w:hint="eastAsia" w:hAnsi="宋体" w:cs="宋体"/>
          <w:b/>
          <w:bCs w:val="0"/>
          <w:color w:val="auto"/>
          <w:sz w:val="28"/>
          <w:szCs w:val="28"/>
          <w:highlight w:val="none"/>
          <w:lang w:eastAsia="zh-CN"/>
        </w:rPr>
        <w:t>：</w:t>
      </w:r>
    </w:p>
    <w:p w14:paraId="705F0675">
      <w:pPr>
        <w:pStyle w:val="12"/>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开标一览表</w:t>
      </w:r>
      <w:r>
        <w:rPr>
          <w:rFonts w:hint="eastAsia" w:ascii="仿宋_GB2312" w:hAnsi="仿宋" w:eastAsia="仿宋_GB2312" w:cs="仿宋_GB2312"/>
          <w:b/>
          <w:color w:val="auto"/>
          <w:kern w:val="0"/>
          <w:sz w:val="24"/>
          <w:highlight w:val="none"/>
          <w:lang w:val="zh-CN"/>
        </w:rPr>
        <w:t>(单位均为人民币元)</w:t>
      </w:r>
    </w:p>
    <w:p w14:paraId="02D73652">
      <w:pPr>
        <w:snapToGrid w:val="0"/>
        <w:spacing w:before="50" w:after="50" w:line="360" w:lineRule="auto"/>
        <w:rPr>
          <w:rFonts w:hint="eastAsia" w:ascii="宋体" w:hAnsi="宋体" w:eastAsia="宋体" w:cs="Times New Roman"/>
          <w:color w:val="auto"/>
          <w:sz w:val="21"/>
          <w:szCs w:val="21"/>
          <w:highlight w:val="none"/>
        </w:rPr>
      </w:pPr>
    </w:p>
    <w:p w14:paraId="7DFA4319">
      <w:pPr>
        <w:snapToGrid w:val="0"/>
        <w:spacing w:before="50" w:after="50" w:line="360" w:lineRule="auto"/>
        <w:rPr>
          <w:rFonts w:hint="eastAsia" w:ascii="宋体" w:hAnsi="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rPr>
        <w:t>项目名称：</w:t>
      </w:r>
      <w:r>
        <w:rPr>
          <w:rFonts w:hint="eastAsia" w:ascii="宋体" w:hAnsi="宋体" w:cs="Times New Roman"/>
          <w:color w:val="auto"/>
          <w:sz w:val="21"/>
          <w:szCs w:val="21"/>
          <w:highlight w:val="none"/>
          <w:u w:val="single"/>
          <w:lang w:val="en-US" w:eastAsia="zh-CN"/>
        </w:rPr>
        <w:t xml:space="preserve">          </w:t>
      </w:r>
      <w:r>
        <w:rPr>
          <w:rFonts w:hint="eastAsia" w:ascii="宋体" w:hAnsi="宋体" w:cs="Times New Roman"/>
          <w:color w:val="auto"/>
          <w:sz w:val="21"/>
          <w:szCs w:val="21"/>
          <w:highlight w:val="none"/>
          <w:u w:val="none"/>
          <w:lang w:eastAsia="zh-CN"/>
        </w:rPr>
        <w:t xml:space="preserve"> </w:t>
      </w:r>
      <w:r>
        <w:rPr>
          <w:rFonts w:hint="eastAsia" w:ascii="宋体" w:hAnsi="宋体" w:cs="Times New Roman"/>
          <w:color w:val="auto"/>
          <w:sz w:val="21"/>
          <w:szCs w:val="21"/>
          <w:highlight w:val="none"/>
          <w:u w:val="none"/>
          <w:lang w:val="en-US" w:eastAsia="zh-CN"/>
        </w:rPr>
        <w:t xml:space="preserve">                      </w:t>
      </w:r>
    </w:p>
    <w:p w14:paraId="257DB055">
      <w:pPr>
        <w:snapToGrid w:val="0"/>
        <w:spacing w:before="50" w:after="50" w:line="360" w:lineRule="auto"/>
        <w:rPr>
          <w:rFonts w:hint="eastAsia" w:ascii="宋体" w:hAnsi="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rPr>
        <w:t>项目编号：</w:t>
      </w:r>
      <w:r>
        <w:rPr>
          <w:rFonts w:hint="eastAsia" w:ascii="宋体" w:hAnsi="宋体" w:cs="Times New Roman"/>
          <w:color w:val="auto"/>
          <w:sz w:val="21"/>
          <w:szCs w:val="21"/>
          <w:highlight w:val="none"/>
          <w:u w:val="single"/>
          <w:lang w:val="en-US" w:eastAsia="zh-CN"/>
        </w:rPr>
        <w:t xml:space="preserve">          </w:t>
      </w:r>
      <w:r>
        <w:rPr>
          <w:rFonts w:hint="eastAsia" w:ascii="宋体" w:hAnsi="宋体" w:cs="Times New Roman"/>
          <w:color w:val="auto"/>
          <w:sz w:val="21"/>
          <w:szCs w:val="21"/>
          <w:highlight w:val="none"/>
          <w:u w:val="none"/>
          <w:lang w:eastAsia="zh-CN"/>
        </w:rPr>
        <w:t xml:space="preserve"> </w:t>
      </w:r>
      <w:r>
        <w:rPr>
          <w:rFonts w:hint="eastAsia" w:ascii="宋体" w:hAnsi="宋体" w:cs="Times New Roman"/>
          <w:color w:val="auto"/>
          <w:sz w:val="21"/>
          <w:szCs w:val="21"/>
          <w:highlight w:val="none"/>
          <w:u w:val="none"/>
          <w:lang w:val="en-US" w:eastAsia="zh-CN"/>
        </w:rPr>
        <w:t xml:space="preserve">  </w:t>
      </w:r>
    </w:p>
    <w:p w14:paraId="06F2F37A">
      <w:pPr>
        <w:snapToGrid w:val="0"/>
        <w:spacing w:before="50" w:after="50" w:line="360" w:lineRule="auto"/>
        <w:rPr>
          <w:rFonts w:hint="eastAsia" w:ascii="宋体" w:hAnsi="宋体" w:eastAsia="宋体" w:cs="Times New Roman"/>
          <w:color w:val="auto"/>
          <w:sz w:val="21"/>
          <w:szCs w:val="21"/>
          <w:highlight w:val="none"/>
          <w:u w:val="single"/>
        </w:rPr>
      </w:pPr>
      <w:r>
        <w:rPr>
          <w:rFonts w:hint="eastAsia" w:ascii="宋体" w:hAnsi="宋体" w:cs="宋体"/>
          <w:bCs/>
          <w:color w:val="auto"/>
          <w:sz w:val="21"/>
          <w:szCs w:val="21"/>
          <w:highlight w:val="none"/>
        </w:rPr>
        <w:t>所投分标（如有则填写，无分标时填写“无”或者留空）：</w:t>
      </w:r>
      <w:r>
        <w:rPr>
          <w:rFonts w:hint="eastAsia" w:ascii="宋体" w:hAnsi="宋体" w:cs="宋体"/>
          <w:color w:val="auto"/>
          <w:sz w:val="21"/>
          <w:szCs w:val="21"/>
          <w:highlight w:val="none"/>
          <w:u w:val="single"/>
        </w:rPr>
        <w:t xml:space="preserve">           </w:t>
      </w:r>
      <w:r>
        <w:rPr>
          <w:rFonts w:hint="eastAsia" w:ascii="宋体" w:hAnsi="宋体" w:cs="Times New Roman"/>
          <w:color w:val="auto"/>
          <w:sz w:val="21"/>
          <w:szCs w:val="21"/>
          <w:highlight w:val="none"/>
          <w:u w:val="none"/>
          <w:lang w:val="en-US" w:eastAsia="zh-CN"/>
        </w:rPr>
        <w:t xml:space="preserve">                    </w:t>
      </w:r>
    </w:p>
    <w:tbl>
      <w:tblPr>
        <w:tblStyle w:val="20"/>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92"/>
        <w:gridCol w:w="2574"/>
        <w:gridCol w:w="5428"/>
      </w:tblGrid>
      <w:tr w14:paraId="6E35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4A5B86B">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BA604F">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szCs w:val="21"/>
                <w:highlight w:val="none"/>
                <w:lang w:val="en-US" w:eastAsia="zh-CN"/>
              </w:rPr>
              <w:t>产品名称</w:t>
            </w:r>
          </w:p>
        </w:tc>
        <w:tc>
          <w:tcPr>
            <w:tcW w:w="2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56A193">
            <w:pPr>
              <w:jc w:val="center"/>
              <w:rPr>
                <w:rFonts w:hint="default" w:ascii="宋体" w:hAnsi="宋体" w:eastAsia="宋体" w:cs="Times New Roman"/>
                <w:color w:val="auto"/>
                <w:kern w:val="2"/>
                <w:sz w:val="21"/>
                <w:szCs w:val="21"/>
                <w:highlight w:val="none"/>
                <w:lang w:val="en-US" w:eastAsia="zh-CN" w:bidi="ar-SA"/>
              </w:rPr>
            </w:pPr>
            <w:r>
              <w:rPr>
                <w:rFonts w:hint="eastAsia" w:asciiTheme="minorEastAsia" w:hAnsiTheme="minorEastAsia" w:eastAsiaTheme="minorEastAsia" w:cstheme="minorEastAsia"/>
                <w:i w:val="0"/>
                <w:color w:val="auto"/>
                <w:kern w:val="0"/>
                <w:sz w:val="21"/>
                <w:szCs w:val="21"/>
                <w:highlight w:val="none"/>
                <w:u w:val="none"/>
                <w:lang w:val="en-US" w:eastAsia="zh-CN" w:bidi="ar"/>
              </w:rPr>
              <w:t>具体产品名称</w:t>
            </w:r>
          </w:p>
        </w:tc>
        <w:tc>
          <w:tcPr>
            <w:tcW w:w="5428" w:type="dxa"/>
            <w:tcBorders>
              <w:top w:val="single" w:color="auto" w:sz="4" w:space="0"/>
              <w:left w:val="single" w:color="auto" w:sz="4" w:space="0"/>
              <w:bottom w:val="single" w:color="auto" w:sz="4" w:space="0"/>
              <w:right w:val="single" w:color="auto" w:sz="4" w:space="0"/>
            </w:tcBorders>
            <w:noWrap w:val="0"/>
            <w:vAlign w:val="center"/>
          </w:tcPr>
          <w:p w14:paraId="6D3FD6EE">
            <w:pPr>
              <w:jc w:val="center"/>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产品抽检</w:t>
            </w:r>
            <w:r>
              <w:rPr>
                <w:rFonts w:hint="eastAsia" w:ascii="宋体" w:hAnsi="宋体" w:eastAsia="宋体" w:cs="Times New Roman"/>
                <w:color w:val="auto"/>
                <w:szCs w:val="21"/>
                <w:highlight w:val="none"/>
              </w:rPr>
              <w:t>单价（元）</w:t>
            </w:r>
          </w:p>
        </w:tc>
      </w:tr>
      <w:tr w14:paraId="488C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C3EC566">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DD5FA66">
            <w:pPr>
              <w:rPr>
                <w:rFonts w:hint="eastAsia" w:ascii="宋体" w:hAnsi="宋体" w:eastAsia="宋体" w:cs="Times New Roman"/>
                <w:color w:val="auto"/>
                <w:szCs w:val="21"/>
                <w:highlight w:val="none"/>
              </w:rPr>
            </w:pPr>
          </w:p>
        </w:tc>
        <w:tc>
          <w:tcPr>
            <w:tcW w:w="2574" w:type="dxa"/>
            <w:tcBorders>
              <w:top w:val="single" w:color="auto" w:sz="4" w:space="0"/>
              <w:left w:val="single" w:color="auto" w:sz="4" w:space="0"/>
              <w:bottom w:val="single" w:color="auto" w:sz="4" w:space="0"/>
              <w:right w:val="single" w:color="auto" w:sz="4" w:space="0"/>
            </w:tcBorders>
            <w:noWrap w:val="0"/>
            <w:vAlign w:val="center"/>
          </w:tcPr>
          <w:p w14:paraId="2103F2C0">
            <w:pPr>
              <w:rPr>
                <w:rFonts w:hint="eastAsia" w:ascii="宋体" w:hAnsi="宋体" w:eastAsia="宋体" w:cs="Times New Roman"/>
                <w:color w:val="auto"/>
                <w:szCs w:val="21"/>
                <w:highlight w:val="none"/>
              </w:rPr>
            </w:pPr>
          </w:p>
        </w:tc>
        <w:tc>
          <w:tcPr>
            <w:tcW w:w="5428" w:type="dxa"/>
            <w:tcBorders>
              <w:top w:val="single" w:color="auto" w:sz="4" w:space="0"/>
              <w:left w:val="single" w:color="auto" w:sz="4" w:space="0"/>
              <w:bottom w:val="single" w:color="auto" w:sz="4" w:space="0"/>
              <w:right w:val="single" w:color="auto" w:sz="4" w:space="0"/>
            </w:tcBorders>
            <w:noWrap w:val="0"/>
            <w:vAlign w:val="center"/>
          </w:tcPr>
          <w:p w14:paraId="1EE54CCD">
            <w:pPr>
              <w:rPr>
                <w:rFonts w:hint="eastAsia" w:ascii="宋体" w:hAnsi="宋体" w:eastAsia="宋体" w:cs="Times New Roman"/>
                <w:color w:val="auto"/>
                <w:szCs w:val="21"/>
                <w:highlight w:val="none"/>
              </w:rPr>
            </w:pPr>
          </w:p>
        </w:tc>
      </w:tr>
      <w:tr w14:paraId="2EB2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850AF83">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B340221">
            <w:pPr>
              <w:rPr>
                <w:rFonts w:hint="eastAsia" w:ascii="宋体" w:hAnsi="宋体" w:eastAsia="宋体" w:cs="Times New Roman"/>
                <w:color w:val="auto"/>
                <w:szCs w:val="21"/>
                <w:highlight w:val="none"/>
              </w:rPr>
            </w:pPr>
          </w:p>
        </w:tc>
        <w:tc>
          <w:tcPr>
            <w:tcW w:w="2574" w:type="dxa"/>
            <w:tcBorders>
              <w:top w:val="single" w:color="auto" w:sz="4" w:space="0"/>
              <w:left w:val="single" w:color="auto" w:sz="4" w:space="0"/>
              <w:bottom w:val="single" w:color="auto" w:sz="4" w:space="0"/>
              <w:right w:val="single" w:color="auto" w:sz="4" w:space="0"/>
            </w:tcBorders>
            <w:noWrap w:val="0"/>
            <w:vAlign w:val="center"/>
          </w:tcPr>
          <w:p w14:paraId="5DF3585B">
            <w:pPr>
              <w:rPr>
                <w:rFonts w:hint="eastAsia" w:ascii="宋体" w:hAnsi="宋体" w:eastAsia="宋体" w:cs="Times New Roman"/>
                <w:color w:val="auto"/>
                <w:szCs w:val="21"/>
                <w:highlight w:val="none"/>
              </w:rPr>
            </w:pPr>
          </w:p>
        </w:tc>
        <w:tc>
          <w:tcPr>
            <w:tcW w:w="5428" w:type="dxa"/>
            <w:tcBorders>
              <w:top w:val="single" w:color="auto" w:sz="4" w:space="0"/>
              <w:left w:val="single" w:color="auto" w:sz="4" w:space="0"/>
              <w:bottom w:val="single" w:color="auto" w:sz="4" w:space="0"/>
              <w:right w:val="single" w:color="auto" w:sz="4" w:space="0"/>
            </w:tcBorders>
            <w:noWrap w:val="0"/>
            <w:vAlign w:val="center"/>
          </w:tcPr>
          <w:p w14:paraId="75CB921F">
            <w:pPr>
              <w:rPr>
                <w:rFonts w:hint="eastAsia" w:ascii="宋体" w:hAnsi="宋体" w:eastAsia="宋体" w:cs="Times New Roman"/>
                <w:color w:val="auto"/>
                <w:szCs w:val="21"/>
                <w:highlight w:val="none"/>
              </w:rPr>
            </w:pPr>
          </w:p>
        </w:tc>
      </w:tr>
      <w:tr w14:paraId="0EF4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0245DCF">
            <w:pP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F2AC06B">
            <w:pPr>
              <w:rPr>
                <w:rFonts w:hint="eastAsia" w:ascii="宋体" w:hAnsi="宋体" w:eastAsia="宋体" w:cs="Times New Roman"/>
                <w:color w:val="auto"/>
                <w:szCs w:val="21"/>
                <w:highlight w:val="none"/>
              </w:rPr>
            </w:pPr>
          </w:p>
        </w:tc>
        <w:tc>
          <w:tcPr>
            <w:tcW w:w="2574" w:type="dxa"/>
            <w:tcBorders>
              <w:top w:val="single" w:color="auto" w:sz="4" w:space="0"/>
              <w:left w:val="single" w:color="auto" w:sz="4" w:space="0"/>
              <w:bottom w:val="single" w:color="auto" w:sz="4" w:space="0"/>
              <w:right w:val="single" w:color="auto" w:sz="4" w:space="0"/>
            </w:tcBorders>
            <w:noWrap w:val="0"/>
            <w:vAlign w:val="center"/>
          </w:tcPr>
          <w:p w14:paraId="2962D241">
            <w:pPr>
              <w:rPr>
                <w:rFonts w:hint="eastAsia" w:ascii="宋体" w:hAnsi="宋体" w:eastAsia="宋体" w:cs="Times New Roman"/>
                <w:color w:val="auto"/>
                <w:szCs w:val="21"/>
                <w:highlight w:val="none"/>
              </w:rPr>
            </w:pPr>
          </w:p>
        </w:tc>
        <w:tc>
          <w:tcPr>
            <w:tcW w:w="5428" w:type="dxa"/>
            <w:tcBorders>
              <w:top w:val="single" w:color="auto" w:sz="4" w:space="0"/>
              <w:left w:val="single" w:color="auto" w:sz="4" w:space="0"/>
              <w:bottom w:val="single" w:color="auto" w:sz="4" w:space="0"/>
              <w:right w:val="single" w:color="auto" w:sz="4" w:space="0"/>
            </w:tcBorders>
            <w:noWrap w:val="0"/>
            <w:vAlign w:val="center"/>
          </w:tcPr>
          <w:p w14:paraId="009EB970">
            <w:pPr>
              <w:rPr>
                <w:rFonts w:hint="eastAsia" w:ascii="宋体" w:hAnsi="宋体" w:eastAsia="宋体" w:cs="Times New Roman"/>
                <w:color w:val="auto"/>
                <w:szCs w:val="21"/>
                <w:highlight w:val="none"/>
              </w:rPr>
            </w:pPr>
          </w:p>
        </w:tc>
      </w:tr>
      <w:tr w14:paraId="5DE7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4"/>
            <w:tcBorders>
              <w:top w:val="single" w:color="auto" w:sz="4" w:space="0"/>
              <w:left w:val="single" w:color="auto" w:sz="4" w:space="0"/>
              <w:bottom w:val="single" w:color="auto" w:sz="4" w:space="0"/>
              <w:right w:val="single" w:color="auto" w:sz="4" w:space="0"/>
            </w:tcBorders>
            <w:noWrap w:val="0"/>
            <w:vAlign w:val="center"/>
          </w:tcPr>
          <w:p w14:paraId="11734EB3">
            <w:pPr>
              <w:jc w:val="left"/>
              <w:rPr>
                <w:rFonts w:hint="eastAsia" w:ascii="宋体" w:hAnsi="宋体" w:eastAsia="宋体" w:cs="Times New Roman"/>
                <w:color w:val="auto"/>
                <w:szCs w:val="21"/>
                <w:highlight w:val="none"/>
              </w:rPr>
            </w:pPr>
            <w:r>
              <w:rPr>
                <w:rFonts w:hint="eastAsia" w:hAnsi="宋体" w:cs="宋体"/>
                <w:color w:val="auto"/>
                <w:szCs w:val="21"/>
                <w:highlight w:val="none"/>
                <w:lang w:val="en-US" w:eastAsia="zh-CN"/>
              </w:rPr>
              <w:t>产品</w:t>
            </w:r>
            <w:r>
              <w:rPr>
                <w:rFonts w:hint="eastAsia" w:hAnsi="宋体" w:cs="宋体"/>
                <w:color w:val="auto"/>
                <w:szCs w:val="21"/>
                <w:highlight w:val="none"/>
                <w:lang w:eastAsia="zh-CN"/>
              </w:rPr>
              <w:t>抽检单价合计</w:t>
            </w:r>
            <w:r>
              <w:rPr>
                <w:rFonts w:hint="eastAsia" w:ascii="宋体" w:hAnsi="宋体" w:eastAsia="宋体" w:cs="Times New Roman"/>
                <w:color w:val="auto"/>
                <w:szCs w:val="21"/>
                <w:highlight w:val="none"/>
              </w:rPr>
              <w:t>（包含税费等所有费用）：</w:t>
            </w:r>
            <w:r>
              <w:rPr>
                <w:rFonts w:hint="eastAsia" w:ascii="宋体" w:hAnsi="宋体" w:cs="宋体"/>
                <w:color w:val="auto"/>
                <w:szCs w:val="21"/>
                <w:highlight w:val="none"/>
              </w:rPr>
              <w:t xml:space="preserve">（大写）人民币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小写</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tc>
      </w:tr>
      <w:tr w14:paraId="2E7B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4"/>
            <w:tcBorders>
              <w:top w:val="single" w:color="auto" w:sz="4" w:space="0"/>
              <w:left w:val="single" w:color="auto" w:sz="4" w:space="0"/>
              <w:bottom w:val="single" w:color="auto" w:sz="4" w:space="0"/>
              <w:right w:val="single" w:color="auto" w:sz="4" w:space="0"/>
            </w:tcBorders>
            <w:noWrap w:val="0"/>
            <w:vAlign w:val="center"/>
          </w:tcPr>
          <w:p w14:paraId="4F1DD801">
            <w:pPr>
              <w:jc w:val="both"/>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eastAsia="zh-CN"/>
              </w:rPr>
              <w:t>服务期：</w:t>
            </w:r>
          </w:p>
        </w:tc>
      </w:tr>
    </w:tbl>
    <w:p w14:paraId="67F63A1B">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注： </w:t>
      </w:r>
    </w:p>
    <w:p w14:paraId="11744A60">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zh-CN"/>
        </w:rPr>
        <w:t>1.</w:t>
      </w:r>
      <w:r>
        <w:rPr>
          <w:rFonts w:hint="eastAsia" w:ascii="宋体" w:hAnsi="宋体" w:eastAsia="宋体" w:cs="宋体"/>
          <w:color w:val="auto"/>
          <w:kern w:val="0"/>
          <w:sz w:val="21"/>
          <w:szCs w:val="21"/>
          <w:highlight w:val="none"/>
          <w:lang w:val="zh-CN"/>
        </w:rPr>
        <w:t xml:space="preserve"> 投标人需按本表格式填写，不得自行更改，也不得留空（</w:t>
      </w:r>
      <w:r>
        <w:rPr>
          <w:rFonts w:hint="eastAsia" w:ascii="宋体" w:hAnsi="宋体" w:eastAsia="宋体" w:cs="宋体"/>
          <w:color w:val="auto"/>
          <w:sz w:val="21"/>
          <w:szCs w:val="21"/>
          <w:highlight w:val="none"/>
        </w:rPr>
        <w:t>备注</w:t>
      </w:r>
      <w:r>
        <w:rPr>
          <w:rFonts w:hint="eastAsia" w:ascii="宋体" w:hAnsi="宋体" w:cs="宋体"/>
          <w:color w:val="auto"/>
          <w:sz w:val="21"/>
          <w:szCs w:val="21"/>
          <w:highlight w:val="none"/>
          <w:lang w:eastAsia="zh-CN"/>
        </w:rPr>
        <w:t>栏</w:t>
      </w:r>
      <w:r>
        <w:rPr>
          <w:rFonts w:hint="eastAsia" w:ascii="宋体" w:hAnsi="宋体" w:eastAsia="宋体" w:cs="宋体"/>
          <w:color w:val="auto"/>
          <w:sz w:val="21"/>
          <w:szCs w:val="21"/>
          <w:highlight w:val="none"/>
          <w:lang w:eastAsia="zh-CN"/>
        </w:rPr>
        <w:t>除外</w:t>
      </w:r>
      <w:r>
        <w:rPr>
          <w:rFonts w:hint="eastAsia" w:ascii="宋体" w:hAnsi="宋体" w:eastAsia="宋体" w:cs="宋体"/>
          <w:color w:val="auto"/>
          <w:kern w:val="0"/>
          <w:sz w:val="21"/>
          <w:szCs w:val="21"/>
          <w:highlight w:val="none"/>
          <w:lang w:val="zh-CN"/>
        </w:rPr>
        <w:t>）</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 xml:space="preserve"> 如有多分标，按分标分别提供开标一览表，必须加盖投标人有效公章，</w:t>
      </w:r>
      <w:r>
        <w:rPr>
          <w:rFonts w:hint="eastAsia" w:ascii="宋体" w:hAnsi="宋体" w:eastAsia="宋体" w:cs="宋体"/>
          <w:b/>
          <w:color w:val="auto"/>
          <w:kern w:val="0"/>
          <w:sz w:val="21"/>
          <w:szCs w:val="21"/>
          <w:highlight w:val="none"/>
          <w:lang w:val="zh-CN"/>
        </w:rPr>
        <w:t>否则其投标作无效标处理。</w:t>
      </w:r>
    </w:p>
    <w:p w14:paraId="2F8855CF">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zh-CN"/>
        </w:rPr>
        <w:t>2.</w:t>
      </w:r>
      <w:r>
        <w:rPr>
          <w:rFonts w:hint="eastAsia" w:ascii="宋体" w:hAnsi="宋体" w:eastAsia="宋体" w:cs="宋体"/>
          <w:color w:val="auto"/>
          <w:kern w:val="0"/>
          <w:sz w:val="21"/>
          <w:szCs w:val="21"/>
          <w:highlight w:val="none"/>
          <w:lang w:val="zh-CN"/>
        </w:rPr>
        <w:t>本表内容均不能涂改，</w:t>
      </w:r>
      <w:r>
        <w:rPr>
          <w:rFonts w:hint="eastAsia" w:ascii="宋体" w:hAnsi="宋体" w:eastAsia="宋体" w:cs="宋体"/>
          <w:b/>
          <w:color w:val="auto"/>
          <w:kern w:val="0"/>
          <w:sz w:val="21"/>
          <w:szCs w:val="21"/>
          <w:highlight w:val="none"/>
          <w:lang w:val="zh-CN"/>
        </w:rPr>
        <w:t>否则其投标作无效标处理。</w:t>
      </w:r>
    </w:p>
    <w:p w14:paraId="7BC0BFBD">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cs="宋体"/>
          <w:color w:val="auto"/>
          <w:kern w:val="0"/>
          <w:sz w:val="21"/>
          <w:szCs w:val="21"/>
          <w:highlight w:val="none"/>
          <w:lang w:val="zh-CN"/>
        </w:rPr>
        <w:t>3.</w:t>
      </w:r>
      <w:r>
        <w:rPr>
          <w:rFonts w:hint="eastAsia" w:ascii="宋体" w:hAnsi="宋体" w:eastAsia="宋体" w:cs="宋体"/>
          <w:color w:val="auto"/>
          <w:kern w:val="0"/>
          <w:sz w:val="21"/>
          <w:szCs w:val="21"/>
          <w:highlight w:val="none"/>
          <w:lang w:val="zh-CN"/>
        </w:rPr>
        <w:t>如为联合体投标，“投标人名称”处必须列明联合体各方名称，并标注联合体牵头人名称，且盖章处须加盖联合体各方公章，</w:t>
      </w:r>
      <w:r>
        <w:rPr>
          <w:rFonts w:hint="eastAsia" w:ascii="宋体" w:hAnsi="宋体" w:eastAsia="宋体" w:cs="宋体"/>
          <w:b/>
          <w:color w:val="auto"/>
          <w:kern w:val="0"/>
          <w:sz w:val="21"/>
          <w:szCs w:val="21"/>
          <w:highlight w:val="none"/>
          <w:lang w:val="zh-CN"/>
        </w:rPr>
        <w:t>否则其投标作无效标处理。</w:t>
      </w:r>
    </w:p>
    <w:p w14:paraId="6867F6D5">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CN"/>
        </w:rPr>
        <w:t>特别提示：采购代理机构将对项目名称和项目编号，中标</w:t>
      </w:r>
      <w:r>
        <w:rPr>
          <w:rFonts w:hint="eastAsia" w:ascii="宋体" w:hAnsi="宋体" w:eastAsia="宋体" w:cs="宋体"/>
          <w:color w:val="auto"/>
          <w:kern w:val="0"/>
          <w:sz w:val="21"/>
          <w:szCs w:val="21"/>
          <w:highlight w:val="none"/>
          <w:lang w:val="en-US" w:eastAsia="zh-CN"/>
        </w:rPr>
        <w:t>人</w:t>
      </w:r>
      <w:r>
        <w:rPr>
          <w:rFonts w:hint="eastAsia" w:ascii="宋体" w:hAnsi="宋体" w:eastAsia="宋体" w:cs="宋体"/>
          <w:color w:val="auto"/>
          <w:kern w:val="0"/>
          <w:sz w:val="21"/>
          <w:szCs w:val="21"/>
          <w:highlight w:val="none"/>
          <w:lang w:val="zh-CN"/>
        </w:rPr>
        <w:t>名称、地址和中标金额，主要中标标的名称、服务范围、服务要求、服务时间、服务标准等予以公示。</w:t>
      </w:r>
    </w:p>
    <w:p w14:paraId="4FBD3D5A">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AEF135B">
      <w:pPr>
        <w:pStyle w:val="9"/>
        <w:spacing w:line="360" w:lineRule="auto"/>
        <w:rPr>
          <w:rFonts w:hint="eastAsia" w:ascii="宋体" w:hAnsi="宋体" w:eastAsia="宋体" w:cs="宋体"/>
          <w:color w:val="auto"/>
          <w:szCs w:val="21"/>
          <w:highlight w:val="none"/>
          <w:lang w:val="zh-CN"/>
        </w:rPr>
      </w:pPr>
    </w:p>
    <w:p w14:paraId="04DB9CE9">
      <w:pPr>
        <w:snapToGrid w:val="0"/>
        <w:spacing w:line="360" w:lineRule="auto"/>
        <w:ind w:firstLine="5670" w:firstLineChars="27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投标人名称(盖公章)：</w:t>
      </w:r>
    </w:p>
    <w:p w14:paraId="26E1327B">
      <w:pPr>
        <w:snapToGrid w:val="0"/>
        <w:spacing w:line="360" w:lineRule="auto"/>
        <w:ind w:firstLine="5670" w:firstLineChars="27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6DAAF5DE">
      <w:pPr>
        <w:widowControl/>
        <w:jc w:val="left"/>
        <w:rPr>
          <w:rFonts w:hint="eastAsia" w:ascii="宋体" w:hAnsi="宋体" w:eastAsia="宋体" w:cs="宋体"/>
          <w:color w:val="auto"/>
          <w:sz w:val="21"/>
          <w:szCs w:val="21"/>
          <w:highlight w:val="none"/>
        </w:rPr>
        <w:sectPr>
          <w:pgSz w:w="11905" w:h="16838"/>
          <w:pgMar w:top="1134" w:right="1134" w:bottom="1134" w:left="1134" w:header="850" w:footer="850" w:gutter="0"/>
          <w:pgNumType w:fmt="decimal"/>
          <w:cols w:space="0" w:num="1"/>
          <w:titlePg/>
          <w:rtlGutter w:val="0"/>
          <w:docGrid w:linePitch="331" w:charSpace="0"/>
        </w:sectPr>
      </w:pPr>
    </w:p>
    <w:p w14:paraId="729CC4B3">
      <w:pPr>
        <w:snapToGrid w:val="0"/>
        <w:spacing w:before="165" w:beforeLines="50" w:after="50"/>
        <w:jc w:val="center"/>
        <w:outlineLvl w:val="1"/>
        <w:rPr>
          <w:rFonts w:ascii="宋体" w:hAnsi="宋体" w:eastAsia="宋体" w:cs="Times New Roman"/>
          <w:b/>
          <w:bCs/>
          <w:color w:val="auto"/>
          <w:sz w:val="28"/>
          <w:szCs w:val="28"/>
          <w:highlight w:val="none"/>
        </w:rPr>
      </w:pPr>
      <w:bookmarkStart w:id="389" w:name="_Toc2783"/>
      <w:r>
        <w:rPr>
          <w:rFonts w:hint="eastAsia" w:ascii="宋体" w:hAnsi="宋体" w:eastAsia="宋体" w:cs="Times New Roman"/>
          <w:b/>
          <w:bCs/>
          <w:color w:val="auto"/>
          <w:sz w:val="28"/>
          <w:szCs w:val="28"/>
          <w:highlight w:val="none"/>
        </w:rPr>
        <w:t>第</w:t>
      </w:r>
      <w:r>
        <w:rPr>
          <w:rFonts w:hint="eastAsia" w:ascii="宋体" w:hAnsi="宋体" w:cs="Times New Roman"/>
          <w:b/>
          <w:bCs/>
          <w:color w:val="auto"/>
          <w:sz w:val="28"/>
          <w:szCs w:val="28"/>
          <w:highlight w:val="none"/>
          <w:lang w:val="en-US" w:eastAsia="zh-CN"/>
        </w:rPr>
        <w:t>四</w:t>
      </w:r>
      <w:r>
        <w:rPr>
          <w:rFonts w:hint="eastAsia" w:ascii="宋体" w:hAnsi="宋体" w:eastAsia="宋体" w:cs="Times New Roman"/>
          <w:b/>
          <w:bCs/>
          <w:color w:val="auto"/>
          <w:sz w:val="28"/>
          <w:szCs w:val="28"/>
          <w:highlight w:val="none"/>
        </w:rPr>
        <w:t>节 其他文书、文件格式</w:t>
      </w:r>
      <w:bookmarkEnd w:id="389"/>
    </w:p>
    <w:p w14:paraId="4147FC79">
      <w:pPr>
        <w:pStyle w:val="12"/>
        <w:jc w:val="center"/>
        <w:rPr>
          <w:rFonts w:hint="eastAsia" w:ascii="Times New Roman" w:hAnsi="Times New Roman" w:eastAsia="宋体" w:cs="Times New Roman"/>
          <w:b/>
          <w:color w:val="auto"/>
          <w:sz w:val="30"/>
          <w:szCs w:val="30"/>
          <w:highlight w:val="none"/>
        </w:rPr>
      </w:pPr>
    </w:p>
    <w:p w14:paraId="0C31D049">
      <w:pPr>
        <w:pStyle w:val="12"/>
        <w:jc w:val="left"/>
        <w:rPr>
          <w:rFonts w:hint="eastAsia" w:ascii="Times New Roman" w:hAnsi="Times New Roman" w:eastAsia="宋体" w:cs="Times New Roman"/>
          <w:b/>
          <w:color w:val="auto"/>
          <w:sz w:val="30"/>
          <w:szCs w:val="30"/>
          <w:highlight w:val="none"/>
        </w:rPr>
      </w:pPr>
      <w:r>
        <w:rPr>
          <w:rFonts w:hint="eastAsia" w:ascii="宋体" w:hAnsi="宋体" w:cs="宋体"/>
          <w:b/>
          <w:color w:val="auto"/>
          <w:sz w:val="28"/>
          <w:szCs w:val="28"/>
          <w:highlight w:val="none"/>
          <w:lang w:val="en-US" w:eastAsia="zh-CN"/>
        </w:rPr>
        <w:t>1.</w:t>
      </w:r>
      <w:r>
        <w:rPr>
          <w:rFonts w:hint="eastAsia" w:ascii="宋体" w:hAnsi="宋体" w:cs="宋体"/>
          <w:b/>
          <w:color w:val="auto"/>
          <w:sz w:val="28"/>
          <w:szCs w:val="28"/>
          <w:highlight w:val="none"/>
        </w:rPr>
        <w:t>中小企业声明函</w:t>
      </w:r>
      <w:r>
        <w:rPr>
          <w:rFonts w:hint="eastAsia" w:ascii="宋体" w:hAnsi="宋体" w:cs="宋体"/>
          <w:b/>
          <w:color w:val="auto"/>
          <w:sz w:val="28"/>
          <w:szCs w:val="28"/>
          <w:highlight w:val="none"/>
          <w:lang w:eastAsia="zh-CN"/>
        </w:rPr>
        <w:t>的格式：</w:t>
      </w:r>
    </w:p>
    <w:p w14:paraId="19376B14">
      <w:pPr>
        <w:pStyle w:val="12"/>
        <w:jc w:val="center"/>
        <w:rPr>
          <w:rFonts w:hint="eastAsia" w:ascii="Times New Roman" w:hAnsi="Times New Roman" w:eastAsia="宋体" w:cs="Times New Roman"/>
          <w:b/>
          <w:color w:val="auto"/>
          <w:sz w:val="30"/>
          <w:szCs w:val="30"/>
          <w:highlight w:val="none"/>
        </w:rPr>
      </w:pPr>
    </w:p>
    <w:p w14:paraId="1CFC9D8B">
      <w:pPr>
        <w:pStyle w:val="12"/>
        <w:jc w:val="center"/>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中小企业声明函</w:t>
      </w:r>
    </w:p>
    <w:p w14:paraId="7C489D5D">
      <w:pPr>
        <w:pStyle w:val="10"/>
        <w:spacing w:line="240" w:lineRule="auto"/>
        <w:ind w:firstLine="404" w:firstLineChars="200"/>
        <w:rPr>
          <w:rFonts w:ascii="Times New Roman" w:hAnsi="宋体" w:eastAsia="宋体" w:cs="Times New Roman"/>
          <w:color w:val="auto"/>
          <w:sz w:val="21"/>
          <w:szCs w:val="21"/>
          <w:highlight w:val="none"/>
        </w:rPr>
      </w:pPr>
    </w:p>
    <w:p w14:paraId="579FEA7C">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本公司（联合体）郑重声明，根据《政府采购促进中小企业发展管理办法》（财库﹝2020﹞46 号）的规定，本公司（联合体）参加</w:t>
      </w:r>
      <w:r>
        <w:rPr>
          <w:rFonts w:hint="eastAsia" w:ascii="宋体" w:hAnsi="宋体" w:eastAsia="宋体" w:cs="宋体"/>
          <w:i/>
          <w:color w:val="auto"/>
          <w:kern w:val="0"/>
          <w:sz w:val="21"/>
          <w:szCs w:val="21"/>
          <w:highlight w:val="none"/>
          <w:u w:val="single"/>
        </w:rPr>
        <w:t>（单位名称）</w:t>
      </w:r>
      <w:r>
        <w:rPr>
          <w:rFonts w:hint="eastAsia" w:ascii="宋体" w:hAnsi="宋体" w:eastAsia="宋体" w:cs="宋体"/>
          <w:color w:val="auto"/>
          <w:kern w:val="0"/>
          <w:sz w:val="21"/>
          <w:szCs w:val="21"/>
          <w:highlight w:val="none"/>
        </w:rPr>
        <w:t>的</w:t>
      </w:r>
      <w:r>
        <w:rPr>
          <w:rFonts w:hint="eastAsia" w:ascii="宋体" w:hAnsi="宋体" w:eastAsia="宋体" w:cs="宋体"/>
          <w:i/>
          <w:color w:val="auto"/>
          <w:kern w:val="0"/>
          <w:sz w:val="21"/>
          <w:szCs w:val="21"/>
          <w:highlight w:val="none"/>
          <w:u w:val="single"/>
        </w:rPr>
        <w:t>（项目名称）</w:t>
      </w:r>
      <w:r>
        <w:rPr>
          <w:rFonts w:hint="eastAsia" w:ascii="宋体" w:hAnsi="宋体" w:eastAsia="宋体" w:cs="宋体"/>
          <w:color w:val="auto"/>
          <w:kern w:val="0"/>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8A5F46D">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 </w:t>
      </w:r>
      <w:r>
        <w:rPr>
          <w:rFonts w:hint="eastAsia" w:ascii="宋体" w:hAnsi="宋体" w:eastAsia="宋体" w:cs="宋体"/>
          <w:i/>
          <w:color w:val="auto"/>
          <w:kern w:val="0"/>
          <w:sz w:val="21"/>
          <w:szCs w:val="21"/>
          <w:highlight w:val="none"/>
          <w:u w:val="single"/>
        </w:rPr>
        <w:t>（标的名称）</w:t>
      </w:r>
      <w:r>
        <w:rPr>
          <w:rFonts w:hint="eastAsia" w:ascii="宋体" w:hAnsi="宋体" w:eastAsia="宋体" w:cs="宋体"/>
          <w:color w:val="auto"/>
          <w:kern w:val="0"/>
          <w:sz w:val="21"/>
          <w:szCs w:val="21"/>
          <w:highlight w:val="none"/>
        </w:rPr>
        <w:t xml:space="preserve"> ，属于</w:t>
      </w:r>
      <w:r>
        <w:rPr>
          <w:rFonts w:hint="eastAsia" w:ascii="宋体" w:hAnsi="宋体" w:eastAsia="宋体" w:cs="宋体"/>
          <w:i/>
          <w:color w:val="auto"/>
          <w:kern w:val="0"/>
          <w:sz w:val="21"/>
          <w:szCs w:val="21"/>
          <w:highlight w:val="none"/>
          <w:u w:val="single"/>
        </w:rPr>
        <w:t>（</w:t>
      </w:r>
      <w:r>
        <w:rPr>
          <w:rFonts w:hint="eastAsia" w:ascii="宋体" w:hAnsi="宋体" w:eastAsia="宋体" w:cs="宋体"/>
          <w:i/>
          <w:color w:val="auto"/>
          <w:kern w:val="0"/>
          <w:sz w:val="21"/>
          <w:szCs w:val="21"/>
          <w:highlight w:val="none"/>
          <w:u w:val="single"/>
          <w:lang w:eastAsia="zh-CN"/>
        </w:rPr>
        <w:t>采购</w:t>
      </w:r>
      <w:r>
        <w:rPr>
          <w:rFonts w:hint="eastAsia" w:ascii="宋体" w:hAnsi="宋体" w:eastAsia="宋体" w:cs="宋体"/>
          <w:i/>
          <w:color w:val="auto"/>
          <w:kern w:val="0"/>
          <w:sz w:val="21"/>
          <w:szCs w:val="21"/>
          <w:highlight w:val="none"/>
          <w:u w:val="single"/>
        </w:rPr>
        <w:t>文件中明确的所属行业）</w:t>
      </w:r>
      <w:r>
        <w:rPr>
          <w:rFonts w:hint="eastAsia" w:ascii="宋体" w:hAnsi="宋体" w:eastAsia="宋体" w:cs="宋体"/>
          <w:color w:val="auto"/>
          <w:kern w:val="0"/>
          <w:sz w:val="21"/>
          <w:szCs w:val="21"/>
          <w:highlight w:val="none"/>
        </w:rPr>
        <w:t>；承建（承接）企业为</w:t>
      </w:r>
      <w:r>
        <w:rPr>
          <w:rFonts w:hint="eastAsia" w:ascii="宋体" w:hAnsi="宋体" w:eastAsia="宋体" w:cs="宋体"/>
          <w:i/>
          <w:color w:val="auto"/>
          <w:kern w:val="0"/>
          <w:sz w:val="21"/>
          <w:szCs w:val="21"/>
          <w:highlight w:val="none"/>
          <w:u w:val="single"/>
        </w:rPr>
        <w:t>（企业名称）</w:t>
      </w:r>
      <w:r>
        <w:rPr>
          <w:rFonts w:hint="eastAsia" w:ascii="宋体" w:hAnsi="宋体" w:eastAsia="宋体" w:cs="宋体"/>
          <w:color w:val="auto"/>
          <w:kern w:val="0"/>
          <w:sz w:val="21"/>
          <w:szCs w:val="21"/>
          <w:highlight w:val="none"/>
        </w:rPr>
        <w:t>，从业人员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人，营业收入为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万元，资产总额为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万元，属于</w:t>
      </w:r>
      <w:r>
        <w:rPr>
          <w:rFonts w:hint="eastAsia" w:ascii="宋体" w:hAnsi="宋体" w:eastAsia="宋体" w:cs="宋体"/>
          <w:i/>
          <w:color w:val="auto"/>
          <w:kern w:val="0"/>
          <w:sz w:val="21"/>
          <w:szCs w:val="21"/>
          <w:highlight w:val="none"/>
          <w:u w:val="single"/>
        </w:rPr>
        <w:t>（中型企业、小型企业、微型企业）</w:t>
      </w:r>
      <w:r>
        <w:rPr>
          <w:rFonts w:hint="eastAsia" w:ascii="宋体" w:hAnsi="宋体" w:eastAsia="宋体" w:cs="宋体"/>
          <w:color w:val="auto"/>
          <w:kern w:val="0"/>
          <w:sz w:val="21"/>
          <w:szCs w:val="21"/>
          <w:highlight w:val="none"/>
        </w:rPr>
        <w:t>；</w:t>
      </w:r>
    </w:p>
    <w:p w14:paraId="09E006FE">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 </w:t>
      </w:r>
      <w:r>
        <w:rPr>
          <w:rFonts w:hint="eastAsia" w:ascii="宋体" w:hAnsi="宋体" w:eastAsia="宋体" w:cs="宋体"/>
          <w:i/>
          <w:color w:val="auto"/>
          <w:kern w:val="0"/>
          <w:sz w:val="21"/>
          <w:szCs w:val="21"/>
          <w:highlight w:val="none"/>
          <w:u w:val="single"/>
        </w:rPr>
        <w:t>（标的名称）</w:t>
      </w:r>
      <w:r>
        <w:rPr>
          <w:rFonts w:hint="eastAsia" w:ascii="宋体" w:hAnsi="宋体" w:eastAsia="宋体" w:cs="宋体"/>
          <w:color w:val="auto"/>
          <w:kern w:val="0"/>
          <w:sz w:val="21"/>
          <w:szCs w:val="21"/>
          <w:highlight w:val="none"/>
        </w:rPr>
        <w:t xml:space="preserve"> ，属于</w:t>
      </w:r>
      <w:r>
        <w:rPr>
          <w:rFonts w:hint="eastAsia" w:ascii="宋体" w:hAnsi="宋体" w:eastAsia="宋体" w:cs="宋体"/>
          <w:i/>
          <w:color w:val="auto"/>
          <w:kern w:val="0"/>
          <w:sz w:val="21"/>
          <w:szCs w:val="21"/>
          <w:highlight w:val="none"/>
          <w:u w:val="single"/>
        </w:rPr>
        <w:t>（</w:t>
      </w:r>
      <w:r>
        <w:rPr>
          <w:rFonts w:hint="eastAsia" w:ascii="宋体" w:hAnsi="宋体" w:eastAsia="宋体" w:cs="宋体"/>
          <w:i/>
          <w:color w:val="auto"/>
          <w:kern w:val="0"/>
          <w:sz w:val="21"/>
          <w:szCs w:val="21"/>
          <w:highlight w:val="none"/>
          <w:u w:val="single"/>
          <w:lang w:eastAsia="zh-CN"/>
        </w:rPr>
        <w:t>采购</w:t>
      </w:r>
      <w:r>
        <w:rPr>
          <w:rFonts w:hint="eastAsia" w:ascii="宋体" w:hAnsi="宋体" w:eastAsia="宋体" w:cs="宋体"/>
          <w:i/>
          <w:color w:val="auto"/>
          <w:kern w:val="0"/>
          <w:sz w:val="21"/>
          <w:szCs w:val="21"/>
          <w:highlight w:val="none"/>
          <w:u w:val="single"/>
        </w:rPr>
        <w:t>文件中明确的所属行业）</w:t>
      </w:r>
      <w:r>
        <w:rPr>
          <w:rFonts w:hint="eastAsia" w:ascii="宋体" w:hAnsi="宋体" w:eastAsia="宋体" w:cs="宋体"/>
          <w:color w:val="auto"/>
          <w:kern w:val="0"/>
          <w:sz w:val="21"/>
          <w:szCs w:val="21"/>
          <w:highlight w:val="none"/>
        </w:rPr>
        <w:t>；承建（承接）企业为</w:t>
      </w:r>
      <w:r>
        <w:rPr>
          <w:rFonts w:hint="eastAsia" w:ascii="宋体" w:hAnsi="宋体" w:eastAsia="宋体" w:cs="宋体"/>
          <w:i/>
          <w:color w:val="auto"/>
          <w:kern w:val="0"/>
          <w:sz w:val="21"/>
          <w:szCs w:val="21"/>
          <w:highlight w:val="none"/>
          <w:u w:val="single"/>
        </w:rPr>
        <w:t>（企业名称）</w:t>
      </w:r>
      <w:r>
        <w:rPr>
          <w:rFonts w:hint="eastAsia" w:ascii="宋体" w:hAnsi="宋体" w:eastAsia="宋体" w:cs="宋体"/>
          <w:color w:val="auto"/>
          <w:kern w:val="0"/>
          <w:sz w:val="21"/>
          <w:szCs w:val="21"/>
          <w:highlight w:val="none"/>
        </w:rPr>
        <w:t>，从业人员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人，营业收入为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万元，资产总额为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万元，属于</w:t>
      </w:r>
      <w:r>
        <w:rPr>
          <w:rFonts w:hint="eastAsia" w:ascii="宋体" w:hAnsi="宋体" w:eastAsia="宋体" w:cs="宋体"/>
          <w:i/>
          <w:color w:val="auto"/>
          <w:kern w:val="0"/>
          <w:sz w:val="21"/>
          <w:szCs w:val="21"/>
          <w:highlight w:val="none"/>
          <w:u w:val="single"/>
        </w:rPr>
        <w:t>（中型企业、小型企业、微型企业）</w:t>
      </w:r>
      <w:r>
        <w:rPr>
          <w:rFonts w:hint="eastAsia" w:ascii="宋体" w:hAnsi="宋体" w:eastAsia="宋体" w:cs="宋体"/>
          <w:color w:val="auto"/>
          <w:kern w:val="0"/>
          <w:sz w:val="21"/>
          <w:szCs w:val="21"/>
          <w:highlight w:val="none"/>
        </w:rPr>
        <w:t>；</w:t>
      </w:r>
    </w:p>
    <w:p w14:paraId="2771A9D8">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p w14:paraId="76D7902A">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以上企业，不属于大企业的分支机构，不存在控股股东为大企业的情形，也不存在与大企业的负责人为同一人的情形。</w:t>
      </w:r>
    </w:p>
    <w:p w14:paraId="10A440C4">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本企业对上述声明内容的真实性负责。如有虚假，将依法承担相应责任。</w:t>
      </w:r>
    </w:p>
    <w:p w14:paraId="0CF5E1F3">
      <w:pPr>
        <w:pStyle w:val="12"/>
        <w:spacing w:line="360" w:lineRule="auto"/>
        <w:ind w:firstLine="420" w:firstLineChars="200"/>
        <w:rPr>
          <w:rFonts w:hint="eastAsia" w:hAnsi="宋体" w:eastAsia="宋体" w:cs="Times New Roman"/>
          <w:color w:val="auto"/>
          <w:szCs w:val="21"/>
          <w:highlight w:val="none"/>
        </w:rPr>
      </w:pPr>
    </w:p>
    <w:p w14:paraId="0348F8AE">
      <w:pPr>
        <w:pStyle w:val="12"/>
        <w:spacing w:line="360" w:lineRule="auto"/>
        <w:ind w:firstLine="420" w:firstLineChars="200"/>
        <w:rPr>
          <w:rFonts w:hint="eastAsia" w:ascii="宋体" w:hAnsi="宋体" w:eastAsia="宋体" w:cs="宋体"/>
          <w:color w:val="auto"/>
          <w:szCs w:val="21"/>
          <w:highlight w:val="none"/>
        </w:rPr>
      </w:pPr>
    </w:p>
    <w:p w14:paraId="269E4B31">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583E8CE0">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D76D1BD">
      <w:pPr>
        <w:pStyle w:val="12"/>
        <w:spacing w:line="360" w:lineRule="auto"/>
        <w:ind w:firstLine="420" w:firstLineChars="200"/>
        <w:rPr>
          <w:rFonts w:hint="eastAsia" w:hAnsi="宋体" w:eastAsia="宋体" w:cs="Times New Roman"/>
          <w:color w:val="auto"/>
          <w:szCs w:val="21"/>
          <w:highlight w:val="none"/>
        </w:rPr>
      </w:pPr>
    </w:p>
    <w:p w14:paraId="6F0652DA">
      <w:pPr>
        <w:snapToGrid w:val="0"/>
        <w:spacing w:before="50" w:after="165" w:afterLines="50"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6AE0D0F">
      <w:pPr>
        <w:numPr>
          <w:ilvl w:val="0"/>
          <w:numId w:val="0"/>
        </w:numPr>
        <w:snapToGrid w:val="0"/>
        <w:spacing w:before="50" w:after="165" w:afterLines="50" w:line="360" w:lineRule="auto"/>
        <w:ind w:left="300" w:leftChars="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634ED9DA">
      <w:pPr>
        <w:snapToGrid w:val="0"/>
        <w:spacing w:before="50" w:after="165" w:afterLines="50" w:line="360" w:lineRule="auto"/>
        <w:ind w:firstLine="315" w:firstLineChars="15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请根据自己的真实情况出具《中小企业声明函》。依法享受中小企业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政策的，采购人或者采购代理机构在公告中标结果时，同时公告其《中小企业声明函》，接受社会监督。</w:t>
      </w:r>
    </w:p>
    <w:p w14:paraId="43AE1C26">
      <w:pPr>
        <w:pStyle w:val="10"/>
        <w:spacing w:line="360" w:lineRule="auto"/>
        <w:ind w:firstLine="406" w:firstLineChars="200"/>
        <w:rPr>
          <w:rFonts w:hint="eastAsia" w:ascii="宋体" w:hAnsi="宋体" w:eastAsia="宋体" w:cs="宋体"/>
          <w:b/>
          <w:bCs/>
          <w:color w:val="auto"/>
          <w:sz w:val="21"/>
          <w:szCs w:val="21"/>
          <w:highlight w:val="none"/>
        </w:rPr>
      </w:pPr>
      <w:r>
        <w:rPr>
          <w:rFonts w:hint="eastAsia"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本声明函主要供参加政府采购活动的中小企业填写，非中小企业无需填写。</w:t>
      </w:r>
    </w:p>
    <w:p w14:paraId="7EBD90B2">
      <w:pPr>
        <w:pStyle w:val="10"/>
        <w:spacing w:line="360" w:lineRule="auto"/>
        <w:ind w:firstLine="406" w:firstLineChars="200"/>
        <w:rPr>
          <w:rFonts w:hint="eastAsia" w:ascii="宋体" w:hAnsi="宋体" w:eastAsia="宋体" w:cs="宋体"/>
          <w:b/>
          <w:bCs/>
          <w:color w:val="auto"/>
          <w:sz w:val="21"/>
          <w:szCs w:val="21"/>
          <w:highlight w:val="none"/>
        </w:rPr>
      </w:pPr>
      <w:r>
        <w:rPr>
          <w:rFonts w:hint="eastAsia"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小型、微型企业提供中型企业提供的服务的，视同为中型企业。</w:t>
      </w:r>
    </w:p>
    <w:p w14:paraId="7C25AB66">
      <w:pPr>
        <w:pStyle w:val="13"/>
        <w:rPr>
          <w:rFonts w:hint="eastAsia" w:ascii="宋体" w:hAnsi="宋体" w:eastAsia="宋体" w:cs="宋体"/>
          <w:b/>
          <w:bCs/>
          <w:color w:val="auto"/>
          <w:highlight w:val="none"/>
        </w:rPr>
        <w:sectPr>
          <w:pgSz w:w="11905" w:h="16838"/>
          <w:pgMar w:top="1134" w:right="1134" w:bottom="1134" w:left="1134" w:header="850" w:footer="850" w:gutter="0"/>
          <w:pgNumType w:fmt="decimal"/>
          <w:cols w:space="0" w:num="1"/>
          <w:titlePg/>
          <w:rtlGutter w:val="0"/>
          <w:docGrid w:linePitch="331" w:charSpace="0"/>
        </w:sectPr>
      </w:pPr>
    </w:p>
    <w:p w14:paraId="16A8C4BA">
      <w:pPr>
        <w:jc w:val="left"/>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2.残疾人福利性单位声明函的格式：</w:t>
      </w:r>
    </w:p>
    <w:p w14:paraId="3D88C1C7">
      <w:pPr>
        <w:jc w:val="left"/>
        <w:rPr>
          <w:rFonts w:hint="eastAsia" w:hAnsi="宋体" w:cs="宋体"/>
          <w:b/>
          <w:color w:val="auto"/>
          <w:sz w:val="28"/>
          <w:szCs w:val="28"/>
          <w:highlight w:val="none"/>
          <w:lang w:val="en-US" w:eastAsia="zh-CN"/>
        </w:rPr>
      </w:pPr>
    </w:p>
    <w:p w14:paraId="4268168E">
      <w:pPr>
        <w:jc w:val="left"/>
        <w:rPr>
          <w:rFonts w:hint="eastAsia" w:hAnsi="宋体" w:cs="宋体"/>
          <w:b/>
          <w:color w:val="auto"/>
          <w:sz w:val="28"/>
          <w:szCs w:val="28"/>
          <w:highlight w:val="none"/>
          <w:lang w:val="en" w:eastAsia="zh-CN"/>
        </w:rPr>
      </w:pPr>
    </w:p>
    <w:p w14:paraId="31063C54">
      <w:pPr>
        <w:pStyle w:val="12"/>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残疾人福利性单位声明函</w:t>
      </w:r>
    </w:p>
    <w:p w14:paraId="0C162F8F">
      <w:pPr>
        <w:pStyle w:val="12"/>
        <w:spacing w:line="360" w:lineRule="auto"/>
        <w:jc w:val="center"/>
        <w:rPr>
          <w:rFonts w:hint="eastAsia" w:eastAsia="宋体" w:cs="Times New Roman"/>
          <w:b/>
          <w:color w:val="auto"/>
          <w:sz w:val="30"/>
          <w:szCs w:val="30"/>
          <w:highlight w:val="none"/>
        </w:rPr>
      </w:pPr>
    </w:p>
    <w:p w14:paraId="6EAD5D93">
      <w:pPr>
        <w:pStyle w:val="12"/>
        <w:spacing w:line="360" w:lineRule="auto"/>
        <w:jc w:val="left"/>
        <w:rPr>
          <w:rFonts w:hint="eastAsia" w:ascii="宋体" w:hAnsi="宋体" w:eastAsia="宋体" w:cs="宋体"/>
          <w:color w:val="auto"/>
          <w:sz w:val="24"/>
          <w:szCs w:val="24"/>
          <w:highlight w:val="none"/>
        </w:rPr>
      </w:pPr>
      <w:r>
        <w:rPr>
          <w:rFonts w:hint="eastAsia" w:eastAsia="宋体" w:cs="Times New Roman"/>
          <w:color w:val="auto"/>
          <w:sz w:val="30"/>
          <w:szCs w:val="30"/>
          <w:highlight w:val="none"/>
        </w:rPr>
        <w:t xml:space="preserve"> </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4968E0A7">
      <w:pPr>
        <w:pStyle w:val="1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对上述声明的真实性负责。如有虚假，将依法承担相应责任。</w:t>
      </w:r>
    </w:p>
    <w:p w14:paraId="6FFC3408">
      <w:pPr>
        <w:pStyle w:val="12"/>
        <w:spacing w:line="360" w:lineRule="auto"/>
        <w:jc w:val="left"/>
        <w:rPr>
          <w:rFonts w:hint="eastAsia" w:ascii="宋体" w:hAnsi="宋体" w:eastAsia="宋体" w:cs="宋体"/>
          <w:b/>
          <w:color w:val="auto"/>
          <w:szCs w:val="21"/>
          <w:highlight w:val="none"/>
        </w:rPr>
      </w:pPr>
    </w:p>
    <w:p w14:paraId="4B24DDB6">
      <w:pPr>
        <w:pStyle w:val="12"/>
        <w:spacing w:line="360" w:lineRule="auto"/>
        <w:jc w:val="left"/>
        <w:rPr>
          <w:rFonts w:hint="eastAsia" w:ascii="宋体" w:hAnsi="宋体" w:eastAsia="宋体" w:cs="宋体"/>
          <w:b/>
          <w:color w:val="auto"/>
          <w:szCs w:val="21"/>
          <w:highlight w:val="none"/>
        </w:rPr>
      </w:pPr>
    </w:p>
    <w:p w14:paraId="73D98ACB">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投标人名称(盖公章)：</w:t>
      </w:r>
    </w:p>
    <w:p w14:paraId="219D85A4">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B197A10">
      <w:pPr>
        <w:pStyle w:val="12"/>
        <w:spacing w:line="360" w:lineRule="auto"/>
        <w:ind w:left="5132" w:leftChars="1979" w:hanging="976" w:hangingChars="488"/>
        <w:rPr>
          <w:rFonts w:hint="eastAsia" w:ascii="宋体" w:hAnsi="宋体" w:eastAsia="宋体" w:cs="宋体"/>
          <w:color w:val="auto"/>
          <w:sz w:val="20"/>
          <w:highlight w:val="none"/>
        </w:rPr>
      </w:pPr>
    </w:p>
    <w:p w14:paraId="0FA0F508">
      <w:pPr>
        <w:spacing w:line="360" w:lineRule="auto"/>
        <w:ind w:right="420" w:firstLine="480" w:firstLineChars="200"/>
        <w:rPr>
          <w:rFonts w:hint="eastAsia" w:ascii="宋体" w:hAnsi="宋体" w:eastAsia="宋体" w:cs="宋体"/>
          <w:color w:val="auto"/>
          <w:sz w:val="24"/>
          <w:highlight w:val="none"/>
        </w:rPr>
      </w:pPr>
    </w:p>
    <w:p w14:paraId="1BA3B7C4">
      <w:pPr>
        <w:spacing w:line="360" w:lineRule="auto"/>
        <w:ind w:right="420" w:firstLine="480" w:firstLineChars="200"/>
        <w:rPr>
          <w:rFonts w:hint="eastAsia" w:ascii="宋体" w:hAnsi="宋体" w:eastAsia="宋体" w:cs="宋体"/>
          <w:color w:val="auto"/>
          <w:sz w:val="24"/>
          <w:highlight w:val="none"/>
        </w:rPr>
      </w:pPr>
    </w:p>
    <w:p w14:paraId="3BCAA58C">
      <w:pP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1"/>
          <w:szCs w:val="21"/>
          <w:highlight w:val="none"/>
          <w:lang w:eastAsia="zh-CN"/>
        </w:rPr>
        <w:t>〔2014〕68号</w:t>
      </w:r>
      <w:r>
        <w:rPr>
          <w:rFonts w:hint="eastAsia" w:ascii="宋体" w:hAnsi="宋体" w:eastAsia="宋体" w:cs="宋体"/>
          <w:color w:val="auto"/>
          <w:sz w:val="21"/>
          <w:szCs w:val="21"/>
          <w:highlight w:val="none"/>
        </w:rPr>
        <w:t>）的规定，投标人提供由省级以上监狱管理局、戒毒管理局（含新疆生产建设兵团）出具的属于监狱企业证明文件的，视同为小型和微型企业。</w:t>
      </w:r>
    </w:p>
    <w:p w14:paraId="325BA7C4">
      <w:pPr>
        <w:spacing w:line="240" w:lineRule="auto"/>
        <w:ind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AB40FCD">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auto"/>
          <w:spacing w:val="0"/>
          <w:kern w:val="2"/>
          <w:sz w:val="30"/>
          <w:szCs w:val="30"/>
          <w:highlight w:val="none"/>
          <w:shd w:val="clear" w:color="auto" w:fill="auto"/>
        </w:rPr>
      </w:pPr>
      <w:r>
        <w:rPr>
          <w:rFonts w:hint="eastAsia" w:hAnsi="宋体" w:cs="宋体"/>
          <w:b/>
          <w:color w:val="auto"/>
          <w:sz w:val="28"/>
          <w:szCs w:val="28"/>
          <w:highlight w:val="none"/>
          <w:lang w:val="en-US" w:eastAsia="zh-CN"/>
        </w:rPr>
        <w:t>3.</w:t>
      </w:r>
      <w:r>
        <w:rPr>
          <w:rFonts w:hint="eastAsia" w:ascii="宋体" w:hAnsi="宋体" w:eastAsia="宋体" w:cs="宋体"/>
          <w:b/>
          <w:i w:val="0"/>
          <w:iCs w:val="0"/>
          <w:caps w:val="0"/>
          <w:color w:val="auto"/>
          <w:spacing w:val="0"/>
          <w:kern w:val="0"/>
          <w:sz w:val="28"/>
          <w:szCs w:val="28"/>
          <w:highlight w:val="none"/>
          <w:shd w:val="clear" w:color="auto" w:fill="auto"/>
        </w:rPr>
        <w:t>关于符合本国产品标准的声明函</w:t>
      </w:r>
      <w:r>
        <w:rPr>
          <w:rFonts w:hint="eastAsia" w:ascii="宋体" w:hAnsi="宋体" w:eastAsia="宋体" w:cs="宋体"/>
          <w:b/>
          <w:color w:val="auto"/>
          <w:sz w:val="28"/>
          <w:szCs w:val="28"/>
          <w:highlight w:val="none"/>
          <w:lang w:val="en-US" w:eastAsia="zh-CN"/>
        </w:rPr>
        <w:t>的格式</w:t>
      </w:r>
      <w:r>
        <w:rPr>
          <w:rFonts w:hint="eastAsia" w:hAnsi="宋体" w:cs="宋体"/>
          <w:b/>
          <w:color w:val="auto"/>
          <w:sz w:val="28"/>
          <w:szCs w:val="28"/>
          <w:highlight w:val="none"/>
          <w:lang w:val="en-US" w:eastAsia="zh-CN"/>
        </w:rPr>
        <w:t>：</w:t>
      </w:r>
    </w:p>
    <w:p w14:paraId="0D04F77D">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b/>
          <w:i w:val="0"/>
          <w:iCs w:val="0"/>
          <w:caps w:val="0"/>
          <w:color w:val="auto"/>
          <w:spacing w:val="0"/>
          <w:kern w:val="2"/>
          <w:sz w:val="30"/>
          <w:szCs w:val="30"/>
          <w:highlight w:val="none"/>
          <w:shd w:val="clear" w:color="auto" w:fill="auto"/>
        </w:rPr>
      </w:pPr>
    </w:p>
    <w:p w14:paraId="53F345C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b/>
          <w:i w:val="0"/>
          <w:iCs w:val="0"/>
          <w:caps w:val="0"/>
          <w:color w:val="auto"/>
          <w:spacing w:val="0"/>
          <w:kern w:val="2"/>
          <w:sz w:val="30"/>
          <w:szCs w:val="30"/>
          <w:highlight w:val="none"/>
          <w:shd w:val="clear" w:color="auto" w:fill="auto"/>
        </w:rPr>
        <w:t>关于符合本国产品标准的声明函</w:t>
      </w:r>
    </w:p>
    <w:p w14:paraId="588BDD3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kern w:val="2"/>
          <w:sz w:val="24"/>
          <w:szCs w:val="24"/>
          <w:highlight w:val="none"/>
        </w:rPr>
      </w:pPr>
    </w:p>
    <w:p w14:paraId="25393D43">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本公司（单位）郑重声明，根据《国务院办公厅关于在政府采购中实施本国产品标准及相关政策的通知》（国办发〔2025〕34号）的规定，本公司（单位）提供的以下产品属于本国产品。具体情况如下：</w:t>
      </w:r>
    </w:p>
    <w:p w14:paraId="4E85D36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1.</w:t>
      </w:r>
      <w:r>
        <w:rPr>
          <w:rStyle w:val="26"/>
          <w:rFonts w:hint="eastAsia" w:ascii="宋体" w:hAnsi="宋体" w:eastAsia="宋体" w:cs="宋体"/>
          <w:i w:val="0"/>
          <w:iCs w:val="0"/>
          <w:caps w:val="0"/>
          <w:color w:val="auto"/>
          <w:spacing w:val="0"/>
          <w:sz w:val="24"/>
          <w:szCs w:val="24"/>
          <w:highlight w:val="none"/>
          <w:u w:val="single"/>
          <w:shd w:val="clear" w:color="auto" w:fill="FFFFFF"/>
        </w:rPr>
        <w:t>（产品名称1）</w:t>
      </w:r>
      <w:r>
        <w:rPr>
          <w:rStyle w:val="26"/>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shd w:val="clear" w:color="auto" w:fill="FFFFFF"/>
        </w:rPr>
        <w:t>，生产厂为</w:t>
      </w:r>
      <w:r>
        <w:rPr>
          <w:rStyle w:val="26"/>
          <w:rFonts w:hint="eastAsia" w:ascii="宋体" w:hAnsi="宋体" w:eastAsia="宋体" w:cs="宋体"/>
          <w:i w:val="0"/>
          <w:iCs w:val="0"/>
          <w:caps w:val="0"/>
          <w:color w:val="auto"/>
          <w:spacing w:val="0"/>
          <w:sz w:val="24"/>
          <w:szCs w:val="24"/>
          <w:highlight w:val="none"/>
          <w:u w:val="single"/>
          <w:shd w:val="clear" w:color="auto" w:fill="FFFFFF"/>
        </w:rPr>
        <w:t>（厂名）</w:t>
      </w:r>
      <w:r>
        <w:rPr>
          <w:rStyle w:val="26"/>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shd w:val="clear" w:color="auto" w:fill="FFFFFF"/>
        </w:rPr>
        <w:t>，厂址为</w:t>
      </w:r>
      <w:r>
        <w:rPr>
          <w:rStyle w:val="26"/>
          <w:rFonts w:hint="eastAsia" w:ascii="宋体" w:hAnsi="宋体" w:eastAsia="宋体" w:cs="宋体"/>
          <w:i w:val="0"/>
          <w:iCs w:val="0"/>
          <w:caps w:val="0"/>
          <w:color w:val="auto"/>
          <w:spacing w:val="0"/>
          <w:sz w:val="24"/>
          <w:szCs w:val="24"/>
          <w:highlight w:val="none"/>
          <w:u w:val="single"/>
          <w:shd w:val="clear" w:color="auto" w:fill="FFFFFF"/>
        </w:rPr>
        <w:t>（生产厂址）</w:t>
      </w:r>
      <w:r>
        <w:rPr>
          <w:rFonts w:hint="eastAsia" w:ascii="宋体" w:hAnsi="宋体" w:eastAsia="宋体" w:cs="宋体"/>
          <w:i w:val="0"/>
          <w:iCs w:val="0"/>
          <w:caps w:val="0"/>
          <w:color w:val="auto"/>
          <w:spacing w:val="0"/>
          <w:sz w:val="24"/>
          <w:szCs w:val="24"/>
          <w:highlight w:val="none"/>
          <w:shd w:val="clear" w:color="auto" w:fill="FFFFFF"/>
        </w:rPr>
        <w:t>。</w:t>
      </w:r>
      <w:r>
        <w:rPr>
          <w:rStyle w:val="26"/>
          <w:rFonts w:hint="eastAsia" w:ascii="宋体" w:hAnsi="宋体" w:eastAsia="宋体" w:cs="宋体"/>
          <w:i w:val="0"/>
          <w:iCs w:val="0"/>
          <w:caps w:val="0"/>
          <w:color w:val="auto"/>
          <w:spacing w:val="0"/>
          <w:sz w:val="24"/>
          <w:szCs w:val="24"/>
          <w:highlight w:val="none"/>
          <w:u w:val="single"/>
          <w:shd w:val="clear" w:color="auto" w:fill="FFFFFF"/>
        </w:rPr>
        <w:t>（产品名称1）</w:t>
      </w:r>
      <w:r>
        <w:rPr>
          <w:rFonts w:hint="eastAsia" w:ascii="宋体" w:hAnsi="宋体" w:eastAsia="宋体" w:cs="宋体"/>
          <w:i w:val="0"/>
          <w:iCs w:val="0"/>
          <w:caps w:val="0"/>
          <w:color w:val="auto"/>
          <w:spacing w:val="0"/>
          <w:sz w:val="24"/>
          <w:szCs w:val="24"/>
          <w:highlight w:val="none"/>
          <w:shd w:val="clear" w:color="auto" w:fill="FFFFFF"/>
        </w:rPr>
        <w:t>的中国境内生产的组件成本占比≥</w:t>
      </w:r>
      <w:r>
        <w:rPr>
          <w:rStyle w:val="26"/>
          <w:rFonts w:hint="eastAsia" w:ascii="宋体" w:hAnsi="宋体" w:eastAsia="宋体" w:cs="宋体"/>
          <w:i w:val="0"/>
          <w:iCs w:val="0"/>
          <w:caps w:val="0"/>
          <w:color w:val="auto"/>
          <w:spacing w:val="0"/>
          <w:sz w:val="24"/>
          <w:szCs w:val="24"/>
          <w:highlight w:val="none"/>
          <w:u w:val="single"/>
          <w:shd w:val="clear" w:color="auto" w:fill="FFFFFF"/>
        </w:rPr>
        <w:t>（规定比例）</w:t>
      </w:r>
      <w:r>
        <w:rPr>
          <w:rStyle w:val="26"/>
          <w:rFonts w:hint="eastAsia" w:ascii="宋体" w:hAnsi="宋体" w:eastAsia="宋体" w:cs="宋体"/>
          <w:i w:val="0"/>
          <w:iCs w:val="0"/>
          <w:caps w:val="0"/>
          <w:color w:val="auto"/>
          <w:spacing w:val="0"/>
          <w:sz w:val="24"/>
          <w:szCs w:val="24"/>
          <w:highlight w:val="none"/>
          <w:u w:val="none"/>
          <w:shd w:val="clear" w:color="auto" w:fill="FFFFFF"/>
          <w:vertAlign w:val="superscript"/>
        </w:rPr>
        <w:t>3</w:t>
      </w:r>
      <w:r>
        <w:rPr>
          <w:rFonts w:hint="eastAsia" w:ascii="宋体" w:hAnsi="宋体" w:eastAsia="宋体" w:cs="宋体"/>
          <w:i w:val="0"/>
          <w:iCs w:val="0"/>
          <w:caps w:val="0"/>
          <w:color w:val="auto"/>
          <w:spacing w:val="0"/>
          <w:sz w:val="24"/>
          <w:szCs w:val="24"/>
          <w:highlight w:val="none"/>
          <w:shd w:val="clear" w:color="auto" w:fill="FFFFFF"/>
        </w:rPr>
        <w:t>。</w:t>
      </w:r>
      <w:r>
        <w:rPr>
          <w:rStyle w:val="26"/>
          <w:rFonts w:hint="eastAsia" w:ascii="宋体" w:hAnsi="宋体" w:eastAsia="宋体" w:cs="宋体"/>
          <w:i w:val="0"/>
          <w:iCs w:val="0"/>
          <w:caps w:val="0"/>
          <w:color w:val="auto"/>
          <w:spacing w:val="0"/>
          <w:sz w:val="24"/>
          <w:szCs w:val="24"/>
          <w:highlight w:val="none"/>
          <w:u w:val="single"/>
          <w:shd w:val="clear" w:color="auto" w:fill="FFFFFF"/>
        </w:rPr>
        <w:t>（产品名称1）</w:t>
      </w:r>
      <w:r>
        <w:rPr>
          <w:rFonts w:hint="eastAsia" w:ascii="宋体" w:hAnsi="宋体" w:eastAsia="宋体" w:cs="宋体"/>
          <w:i w:val="0"/>
          <w:iCs w:val="0"/>
          <w:caps w:val="0"/>
          <w:color w:val="auto"/>
          <w:spacing w:val="0"/>
          <w:sz w:val="24"/>
          <w:szCs w:val="24"/>
          <w:highlight w:val="none"/>
          <w:shd w:val="clear" w:color="auto" w:fill="FFFFFF"/>
        </w:rPr>
        <w:t>的</w:t>
      </w:r>
      <w:r>
        <w:rPr>
          <w:rStyle w:val="26"/>
          <w:rFonts w:hint="eastAsia" w:ascii="宋体" w:hAnsi="宋体" w:eastAsia="宋体" w:cs="宋体"/>
          <w:i w:val="0"/>
          <w:iCs w:val="0"/>
          <w:caps w:val="0"/>
          <w:color w:val="auto"/>
          <w:spacing w:val="0"/>
          <w:sz w:val="24"/>
          <w:szCs w:val="24"/>
          <w:highlight w:val="none"/>
          <w:u w:val="single"/>
          <w:shd w:val="clear" w:color="auto" w:fill="FFFFFF"/>
        </w:rPr>
        <w:t>（关键组件）</w:t>
      </w:r>
      <w:r>
        <w:rPr>
          <w:rStyle w:val="26"/>
          <w:rFonts w:hint="eastAsia" w:ascii="宋体" w:hAnsi="宋体" w:eastAsia="宋体" w:cs="宋体"/>
          <w:i w:val="0"/>
          <w:iCs w:val="0"/>
          <w:caps w:val="0"/>
          <w:color w:val="auto"/>
          <w:spacing w:val="0"/>
          <w:sz w:val="24"/>
          <w:szCs w:val="24"/>
          <w:highlight w:val="none"/>
          <w:u w:val="none"/>
          <w:shd w:val="clear" w:color="auto" w:fill="FFFFFF"/>
          <w:vertAlign w:val="superscript"/>
        </w:rPr>
        <w:t>4</w:t>
      </w:r>
      <w:r>
        <w:rPr>
          <w:rFonts w:hint="eastAsia" w:ascii="宋体" w:hAnsi="宋体" w:eastAsia="宋体" w:cs="宋体"/>
          <w:i w:val="0"/>
          <w:iCs w:val="0"/>
          <w:caps w:val="0"/>
          <w:color w:val="auto"/>
          <w:spacing w:val="0"/>
          <w:sz w:val="24"/>
          <w:szCs w:val="24"/>
          <w:highlight w:val="none"/>
          <w:shd w:val="clear" w:color="auto" w:fill="FFFFFF"/>
        </w:rPr>
        <w:t>在中国境内生产。</w:t>
      </w:r>
      <w:r>
        <w:rPr>
          <w:rStyle w:val="26"/>
          <w:rFonts w:hint="eastAsia" w:ascii="宋体" w:hAnsi="宋体" w:eastAsia="宋体" w:cs="宋体"/>
          <w:i w:val="0"/>
          <w:iCs w:val="0"/>
          <w:caps w:val="0"/>
          <w:color w:val="auto"/>
          <w:spacing w:val="0"/>
          <w:sz w:val="24"/>
          <w:szCs w:val="24"/>
          <w:highlight w:val="none"/>
          <w:u w:val="single"/>
          <w:shd w:val="clear" w:color="auto" w:fill="FFFFFF"/>
        </w:rPr>
        <w:t>（产品名称1）</w:t>
      </w:r>
      <w:r>
        <w:rPr>
          <w:rFonts w:hint="eastAsia" w:ascii="宋体" w:hAnsi="宋体" w:eastAsia="宋体" w:cs="宋体"/>
          <w:i w:val="0"/>
          <w:iCs w:val="0"/>
          <w:caps w:val="0"/>
          <w:color w:val="auto"/>
          <w:spacing w:val="0"/>
          <w:sz w:val="24"/>
          <w:szCs w:val="24"/>
          <w:highlight w:val="none"/>
          <w:shd w:val="clear" w:color="auto" w:fill="FFFFFF"/>
        </w:rPr>
        <w:t>的</w:t>
      </w:r>
      <w:r>
        <w:rPr>
          <w:rStyle w:val="26"/>
          <w:rFonts w:hint="eastAsia" w:ascii="宋体" w:hAnsi="宋体" w:eastAsia="宋体" w:cs="宋体"/>
          <w:i w:val="0"/>
          <w:iCs w:val="0"/>
          <w:caps w:val="0"/>
          <w:color w:val="auto"/>
          <w:spacing w:val="0"/>
          <w:sz w:val="24"/>
          <w:szCs w:val="24"/>
          <w:highlight w:val="none"/>
          <w:u w:val="single"/>
          <w:shd w:val="clear" w:color="auto" w:fill="FFFFFF"/>
        </w:rPr>
        <w:t>（关键工序）</w:t>
      </w:r>
      <w:r>
        <w:rPr>
          <w:rStyle w:val="26"/>
          <w:rFonts w:hint="eastAsia" w:ascii="宋体" w:hAnsi="宋体" w:eastAsia="宋体" w:cs="宋体"/>
          <w:i w:val="0"/>
          <w:iCs w:val="0"/>
          <w:caps w:val="0"/>
          <w:color w:val="auto"/>
          <w:spacing w:val="0"/>
          <w:sz w:val="24"/>
          <w:szCs w:val="24"/>
          <w:highlight w:val="none"/>
          <w:u w:val="none"/>
          <w:shd w:val="clear" w:color="auto" w:fill="FFFFFF"/>
          <w:vertAlign w:val="superscript"/>
        </w:rPr>
        <w:t>5</w:t>
      </w:r>
      <w:r>
        <w:rPr>
          <w:rFonts w:hint="eastAsia" w:ascii="宋体" w:hAnsi="宋体" w:eastAsia="宋体" w:cs="宋体"/>
          <w:i w:val="0"/>
          <w:iCs w:val="0"/>
          <w:caps w:val="0"/>
          <w:color w:val="auto"/>
          <w:spacing w:val="0"/>
          <w:sz w:val="24"/>
          <w:szCs w:val="24"/>
          <w:highlight w:val="none"/>
          <w:shd w:val="clear" w:color="auto" w:fill="FFFFFF"/>
        </w:rPr>
        <w:t>在中国境内完成。</w:t>
      </w:r>
    </w:p>
    <w:p w14:paraId="407C0B0E">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2.</w:t>
      </w:r>
      <w:r>
        <w:rPr>
          <w:rStyle w:val="26"/>
          <w:rFonts w:hint="eastAsia" w:ascii="宋体" w:hAnsi="宋体" w:eastAsia="宋体" w:cs="宋体"/>
          <w:i w:val="0"/>
          <w:iCs w:val="0"/>
          <w:caps w:val="0"/>
          <w:color w:val="auto"/>
          <w:spacing w:val="0"/>
          <w:sz w:val="24"/>
          <w:szCs w:val="24"/>
          <w:highlight w:val="none"/>
          <w:u w:val="singl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，生产厂为</w:t>
      </w:r>
      <w:r>
        <w:rPr>
          <w:rStyle w:val="26"/>
          <w:rFonts w:hint="eastAsia" w:ascii="宋体" w:hAnsi="宋体" w:eastAsia="宋体" w:cs="宋体"/>
          <w:i w:val="0"/>
          <w:iCs w:val="0"/>
          <w:caps w:val="0"/>
          <w:color w:val="auto"/>
          <w:spacing w:val="0"/>
          <w:sz w:val="24"/>
          <w:szCs w:val="24"/>
          <w:highlight w:val="none"/>
          <w:u w:val="single"/>
          <w:shd w:val="clear" w:color="auto" w:fill="FFFFFF"/>
        </w:rPr>
        <w:t>（厂名）</w:t>
      </w:r>
      <w:r>
        <w:rPr>
          <w:rFonts w:hint="eastAsia" w:ascii="宋体" w:hAnsi="宋体" w:eastAsia="宋体" w:cs="宋体"/>
          <w:i w:val="0"/>
          <w:iCs w:val="0"/>
          <w:caps w:val="0"/>
          <w:color w:val="auto"/>
          <w:spacing w:val="0"/>
          <w:sz w:val="24"/>
          <w:szCs w:val="24"/>
          <w:highlight w:val="none"/>
          <w:shd w:val="clear" w:color="auto" w:fill="FFFFFF"/>
        </w:rPr>
        <w:t>，厂址为</w:t>
      </w:r>
      <w:r>
        <w:rPr>
          <w:rStyle w:val="26"/>
          <w:rFonts w:hint="eastAsia" w:ascii="宋体" w:hAnsi="宋体" w:eastAsia="宋体" w:cs="宋体"/>
          <w:i w:val="0"/>
          <w:iCs w:val="0"/>
          <w:caps w:val="0"/>
          <w:color w:val="auto"/>
          <w:spacing w:val="0"/>
          <w:sz w:val="24"/>
          <w:szCs w:val="24"/>
          <w:highlight w:val="none"/>
          <w:u w:val="single"/>
          <w:shd w:val="clear" w:color="auto" w:fill="FFFFFF"/>
        </w:rPr>
        <w:t>（生产厂址）</w:t>
      </w:r>
      <w:r>
        <w:rPr>
          <w:rFonts w:hint="eastAsia" w:ascii="宋体" w:hAnsi="宋体" w:eastAsia="宋体" w:cs="宋体"/>
          <w:i w:val="0"/>
          <w:iCs w:val="0"/>
          <w:caps w:val="0"/>
          <w:color w:val="auto"/>
          <w:spacing w:val="0"/>
          <w:sz w:val="24"/>
          <w:szCs w:val="24"/>
          <w:highlight w:val="none"/>
          <w:shd w:val="clear" w:color="auto" w:fill="FFFFFF"/>
        </w:rPr>
        <w:t>。</w:t>
      </w:r>
      <w:r>
        <w:rPr>
          <w:rStyle w:val="26"/>
          <w:rFonts w:hint="eastAsia" w:ascii="宋体" w:hAnsi="宋体" w:eastAsia="宋体" w:cs="宋体"/>
          <w:i w:val="0"/>
          <w:iCs w:val="0"/>
          <w:caps w:val="0"/>
          <w:color w:val="auto"/>
          <w:spacing w:val="0"/>
          <w:sz w:val="24"/>
          <w:szCs w:val="24"/>
          <w:highlight w:val="none"/>
          <w:u w:val="singl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的中国境内生产的组件成本占比≥</w:t>
      </w:r>
      <w:r>
        <w:rPr>
          <w:rStyle w:val="26"/>
          <w:rFonts w:hint="eastAsia" w:ascii="宋体" w:hAnsi="宋体" w:eastAsia="宋体" w:cs="宋体"/>
          <w:i w:val="0"/>
          <w:iCs w:val="0"/>
          <w:caps w:val="0"/>
          <w:color w:val="auto"/>
          <w:spacing w:val="0"/>
          <w:sz w:val="24"/>
          <w:szCs w:val="24"/>
          <w:highlight w:val="none"/>
          <w:u w:val="single"/>
          <w:shd w:val="clear" w:color="auto" w:fill="FFFFFF"/>
        </w:rPr>
        <w:t>（规定比例）</w:t>
      </w:r>
      <w:r>
        <w:rPr>
          <w:rFonts w:hint="eastAsia" w:ascii="宋体" w:hAnsi="宋体" w:eastAsia="宋体" w:cs="宋体"/>
          <w:i w:val="0"/>
          <w:iCs w:val="0"/>
          <w:caps w:val="0"/>
          <w:color w:val="auto"/>
          <w:spacing w:val="0"/>
          <w:sz w:val="24"/>
          <w:szCs w:val="24"/>
          <w:highlight w:val="none"/>
          <w:shd w:val="clear" w:color="auto" w:fill="FFFFFF"/>
        </w:rPr>
        <w:t>。</w:t>
      </w:r>
      <w:r>
        <w:rPr>
          <w:rStyle w:val="26"/>
          <w:rFonts w:hint="eastAsia" w:ascii="宋体" w:hAnsi="宋体" w:eastAsia="宋体" w:cs="宋体"/>
          <w:i w:val="0"/>
          <w:iCs w:val="0"/>
          <w:caps w:val="0"/>
          <w:color w:val="auto"/>
          <w:spacing w:val="0"/>
          <w:sz w:val="24"/>
          <w:szCs w:val="24"/>
          <w:highlight w:val="none"/>
          <w:u w:val="singl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的</w:t>
      </w:r>
      <w:r>
        <w:rPr>
          <w:rStyle w:val="26"/>
          <w:rFonts w:hint="eastAsia" w:ascii="宋体" w:hAnsi="宋体" w:eastAsia="宋体" w:cs="宋体"/>
          <w:i w:val="0"/>
          <w:iCs w:val="0"/>
          <w:caps w:val="0"/>
          <w:color w:val="auto"/>
          <w:spacing w:val="0"/>
          <w:sz w:val="24"/>
          <w:szCs w:val="24"/>
          <w:highlight w:val="none"/>
          <w:u w:val="single"/>
          <w:shd w:val="clear" w:color="auto" w:fill="FFFFFF"/>
        </w:rPr>
        <w:t>（关键组件）</w:t>
      </w:r>
      <w:r>
        <w:rPr>
          <w:rFonts w:hint="eastAsia" w:ascii="宋体" w:hAnsi="宋体" w:eastAsia="宋体" w:cs="宋体"/>
          <w:i w:val="0"/>
          <w:iCs w:val="0"/>
          <w:caps w:val="0"/>
          <w:color w:val="auto"/>
          <w:spacing w:val="0"/>
          <w:sz w:val="24"/>
          <w:szCs w:val="24"/>
          <w:highlight w:val="none"/>
          <w:shd w:val="clear" w:color="auto" w:fill="FFFFFF"/>
        </w:rPr>
        <w:t>在中国境内生产。</w:t>
      </w:r>
      <w:r>
        <w:rPr>
          <w:rStyle w:val="26"/>
          <w:rFonts w:hint="eastAsia" w:ascii="宋体" w:hAnsi="宋体" w:eastAsia="宋体" w:cs="宋体"/>
          <w:i w:val="0"/>
          <w:iCs w:val="0"/>
          <w:caps w:val="0"/>
          <w:color w:val="auto"/>
          <w:spacing w:val="0"/>
          <w:sz w:val="24"/>
          <w:szCs w:val="24"/>
          <w:highlight w:val="none"/>
          <w:u w:val="singl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的</w:t>
      </w:r>
      <w:r>
        <w:rPr>
          <w:rStyle w:val="26"/>
          <w:rFonts w:hint="eastAsia" w:ascii="宋体" w:hAnsi="宋体" w:eastAsia="宋体" w:cs="宋体"/>
          <w:i w:val="0"/>
          <w:iCs w:val="0"/>
          <w:caps w:val="0"/>
          <w:color w:val="auto"/>
          <w:spacing w:val="0"/>
          <w:sz w:val="24"/>
          <w:szCs w:val="24"/>
          <w:highlight w:val="none"/>
          <w:u w:val="single"/>
          <w:shd w:val="clear" w:color="auto" w:fill="FFFFFF"/>
        </w:rPr>
        <w:t>（关键工序）</w:t>
      </w:r>
      <w:r>
        <w:rPr>
          <w:rFonts w:hint="eastAsia" w:ascii="宋体" w:hAnsi="宋体" w:eastAsia="宋体" w:cs="宋体"/>
          <w:i w:val="0"/>
          <w:iCs w:val="0"/>
          <w:caps w:val="0"/>
          <w:color w:val="auto"/>
          <w:spacing w:val="0"/>
          <w:sz w:val="24"/>
          <w:szCs w:val="24"/>
          <w:highlight w:val="none"/>
          <w:shd w:val="clear" w:color="auto" w:fill="FFFFFF"/>
        </w:rPr>
        <w:t>在中国境内完成。</w:t>
      </w:r>
    </w:p>
    <w:p w14:paraId="47518760">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w:t>
      </w:r>
    </w:p>
    <w:p w14:paraId="2347DF4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本公司（单位）对上述声明内容的真实性负责。如有虚假，愿承担相应法律责任。</w:t>
      </w:r>
    </w:p>
    <w:p w14:paraId="56F1145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rPr>
          <w:rFonts w:hint="eastAsia" w:ascii="宋体" w:hAnsi="宋体" w:eastAsia="宋体" w:cs="宋体"/>
          <w:i w:val="0"/>
          <w:iCs w:val="0"/>
          <w:caps w:val="0"/>
          <w:color w:val="auto"/>
          <w:spacing w:val="0"/>
          <w:kern w:val="2"/>
          <w:sz w:val="24"/>
          <w:szCs w:val="24"/>
          <w:highlight w:val="none"/>
        </w:rPr>
      </w:pPr>
    </w:p>
    <w:p w14:paraId="2D2D34B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公司（单位）名称（盖章）：　        </w:t>
      </w:r>
    </w:p>
    <w:p w14:paraId="2ABA14A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日期：　     年　  月　  日         </w:t>
      </w:r>
    </w:p>
    <w:p w14:paraId="49EF7DD7">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left"/>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__________________</w:t>
      </w:r>
    </w:p>
    <w:p w14:paraId="2395A2FB">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1.产品如有型号，请在“产品名称”栏一并填写。</w:t>
      </w:r>
    </w:p>
    <w:p w14:paraId="3FE6399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2.生产厂名与厂址应与生产厂营业执照载明的相关信息保持一致。</w:t>
      </w:r>
    </w:p>
    <w:p w14:paraId="59C5AF0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3.该产品的中国境内生产的组件成本占比相关要求实施前，“规定比例”栏可不填，下同。</w:t>
      </w:r>
    </w:p>
    <w:p w14:paraId="51B833B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4.该产品的关键组件要求实施前，“关键组件”栏可不填，下同。</w:t>
      </w:r>
    </w:p>
    <w:p w14:paraId="1720C50B">
      <w:pP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rPr>
        <w:t>5.该产品的关键工序要求实施前，“关键工序”栏可不填，下同。</w:t>
      </w:r>
    </w:p>
    <w:p w14:paraId="7BF84FF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sz w:val="24"/>
          <w:szCs w:val="24"/>
          <w:highlight w:val="none"/>
          <w:shd w:val="clear" w:color="auto" w:fill="FFFFFF"/>
          <w:lang w:val="en-US" w:eastAsia="zh-CN"/>
        </w:rPr>
      </w:pPr>
    </w:p>
    <w:p w14:paraId="571303F4">
      <w:pPr>
        <w:spacing w:line="360" w:lineRule="auto"/>
        <w:ind w:right="420" w:firstLine="480" w:firstLineChars="20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注：</w:t>
      </w:r>
      <w:r>
        <w:rPr>
          <w:rFonts w:hint="eastAsia" w:ascii="宋体" w:hAnsi="宋体" w:eastAsia="宋体" w:cs="宋体"/>
          <w:i w:val="0"/>
          <w:iCs w:val="0"/>
          <w:caps w:val="0"/>
          <w:color w:val="auto"/>
          <w:spacing w:val="0"/>
          <w:sz w:val="24"/>
          <w:szCs w:val="24"/>
          <w:highlight w:val="none"/>
          <w:shd w:val="clear" w:color="auto" w:fill="FFFFFF"/>
        </w:rPr>
        <w:t>中标供应商提供的《声明函》或有关证明文件随中标结果同时公告。</w:t>
      </w:r>
    </w:p>
    <w:p w14:paraId="1935EE92">
      <w:pPr>
        <w:widowControl/>
        <w:spacing w:line="240" w:lineRule="auto"/>
        <w:jc w:val="left"/>
        <w:rPr>
          <w:color w:val="auto"/>
          <w:sz w:val="20"/>
          <w:highlight w:val="none"/>
        </w:rPr>
      </w:pPr>
      <w:r>
        <w:rPr>
          <w:color w:val="auto"/>
          <w:sz w:val="20"/>
          <w:highlight w:val="none"/>
        </w:rPr>
        <w:br w:type="page"/>
      </w:r>
    </w:p>
    <w:p w14:paraId="17EB7451">
      <w:pPr>
        <w:pStyle w:val="13"/>
        <w:numPr>
          <w:ilvl w:val="-1"/>
          <w:numId w:val="0"/>
        </w:numPr>
        <w:ind w:left="0"/>
        <w:rPr>
          <w:rFonts w:hint="eastAsia" w:ascii="宋体" w:hAnsi="宋体" w:eastAsia="宋体" w:cs="宋体"/>
          <w:color w:val="auto"/>
          <w:kern w:val="0"/>
          <w:sz w:val="28"/>
          <w:szCs w:val="28"/>
          <w:highlight w:val="none"/>
          <w:lang w:eastAsia="zh-CN"/>
        </w:rPr>
      </w:pPr>
      <w:r>
        <w:rPr>
          <w:rFonts w:hint="eastAsia" w:ascii="宋体" w:hAnsi="宋体" w:cs="宋体"/>
          <w:b w:val="0"/>
          <w:bCs w:val="0"/>
          <w:color w:val="auto"/>
          <w:kern w:val="0"/>
          <w:sz w:val="28"/>
          <w:szCs w:val="28"/>
          <w:highlight w:val="none"/>
          <w:lang w:val="en-US" w:eastAsia="zh-CN"/>
        </w:rPr>
        <w:t>4.</w:t>
      </w: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14:paraId="465C1B84">
      <w:pPr>
        <w:pStyle w:val="13"/>
        <w:numPr>
          <w:ilvl w:val="0"/>
          <w:numId w:val="0"/>
        </w:numPr>
        <w:rPr>
          <w:rFonts w:hint="eastAsia" w:ascii="宋体" w:hAnsi="宋体" w:eastAsia="宋体" w:cs="宋体"/>
          <w:color w:val="auto"/>
          <w:kern w:val="0"/>
          <w:sz w:val="28"/>
          <w:szCs w:val="28"/>
          <w:highlight w:val="none"/>
          <w:lang w:eastAsia="zh-CN"/>
        </w:rPr>
      </w:pPr>
    </w:p>
    <w:p w14:paraId="39DF5BC2">
      <w:pPr>
        <w:shd w:val="clear" w:color="auto" w:fill="FFFFFF"/>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广西壮族自治区政府采购项目合同验收书</w:t>
      </w:r>
    </w:p>
    <w:p w14:paraId="558DCF3B">
      <w:pPr>
        <w:shd w:val="clear" w:color="auto" w:fill="FFFFFF"/>
        <w:spacing w:line="480" w:lineRule="atLeast"/>
        <w:jc w:val="center"/>
        <w:rPr>
          <w:rFonts w:hint="eastAsia" w:ascii="宋体" w:hAnsi="宋体" w:eastAsia="宋体" w:cs="宋体"/>
          <w:color w:val="auto"/>
          <w:kern w:val="0"/>
          <w:sz w:val="32"/>
          <w:szCs w:val="32"/>
          <w:highlight w:val="none"/>
        </w:rPr>
      </w:pPr>
    </w:p>
    <w:p w14:paraId="5E61E276">
      <w:pPr>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政府采购项目中标（或者成交）投标人（</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20"/>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13C853F2">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6591BE48">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3FD8A7F7">
            <w:pPr>
              <w:snapToGrid w:val="0"/>
              <w:spacing w:before="100" w:beforeAutospacing="1" w:after="100" w:afterAutospacing="1" w:line="320" w:lineRule="atLeast"/>
              <w:ind w:firstLine="48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3A4E3854">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5F43D1A8">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921" w:type="dxa"/>
            <w:tcBorders>
              <w:top w:val="nil"/>
              <w:left w:val="nil"/>
              <w:bottom w:val="single" w:color="auto" w:sz="8" w:space="0"/>
              <w:right w:val="single" w:color="auto" w:sz="8" w:space="0"/>
            </w:tcBorders>
            <w:noWrap w:val="0"/>
            <w:vAlign w:val="center"/>
          </w:tcPr>
          <w:p w14:paraId="2EBAF9B3">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2B451ADA">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24B54148">
            <w:pPr>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2354" w:type="dxa"/>
            <w:tcBorders>
              <w:top w:val="nil"/>
              <w:left w:val="nil"/>
              <w:bottom w:val="single" w:color="auto" w:sz="8" w:space="0"/>
              <w:right w:val="single" w:color="auto" w:sz="8" w:space="0"/>
            </w:tcBorders>
            <w:noWrap w:val="0"/>
            <w:vAlign w:val="center"/>
          </w:tcPr>
          <w:p w14:paraId="0D562C9B">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56E0269D">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4C65136">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65CFBC1E">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7056BD42">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1EBC3D6D">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5EBBDB3A">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67E1DF47">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A65DE62">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34C3AAB1">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7F6FB55">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33B51620">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60CB0061">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1ADEB06">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E8FCD10">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12325A51">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4119992">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748D8E16">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2C797A3F">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0C0815DE">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7F231EA3">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21626F5D">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2E7F52EF">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27A046CD">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4829DCF5">
            <w:pPr>
              <w:snapToGrid w:val="0"/>
              <w:spacing w:before="100" w:beforeAutospacing="1" w:after="100" w:afterAutospacing="1" w:line="320" w:lineRule="atLeast"/>
              <w:ind w:firstLine="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亿 仟 佰 拾 万 仟 佰 拾 元</w:t>
            </w:r>
          </w:p>
        </w:tc>
      </w:tr>
      <w:tr w14:paraId="3D16E1EB">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6E95EC2">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0"/>
            <w:vAlign w:val="center"/>
          </w:tcPr>
          <w:p w14:paraId="794F96D2">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5A7EFF2F">
            <w:pPr>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181FF359">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5D64D52">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E9C9D03">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0"/>
            <w:vAlign w:val="center"/>
          </w:tcPr>
          <w:p w14:paraId="4BDB366E">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2DC01FAD">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0"/>
            <w:vAlign w:val="center"/>
          </w:tcPr>
          <w:p w14:paraId="379B308A">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B95E59B">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F1927B">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7CAE729">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4F50C9CD">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6C7CC41">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0"/>
            <w:vAlign w:val="center"/>
          </w:tcPr>
          <w:p w14:paraId="153AA36D">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599530BE">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4BB9630A">
            <w:pPr>
              <w:jc w:val="left"/>
              <w:rPr>
                <w:rFonts w:hint="eastAsia" w:ascii="宋体" w:hAnsi="宋体" w:eastAsia="宋体"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0"/>
            <w:vAlign w:val="center"/>
          </w:tcPr>
          <w:p w14:paraId="5561623A">
            <w:pPr>
              <w:spacing w:before="100" w:beforeAutospacing="1" w:after="100" w:afterAutospacing="1" w:line="320" w:lineRule="atLeast"/>
              <w:ind w:firstLine="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3B6D5EAD">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6F173A88">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D7E4D6E">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74F8AB3D">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630257">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相关人员签字：</w:t>
            </w:r>
          </w:p>
          <w:p w14:paraId="6076540A">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1DB91C75">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076DFDAB">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w:t>
            </w:r>
            <w:r>
              <w:rPr>
                <w:rFonts w:hint="default" w:ascii="宋体" w:hAnsi="宋体" w:eastAsia="宋体" w:cs="宋体"/>
                <w:color w:val="auto"/>
                <w:kern w:val="0"/>
                <w:szCs w:val="21"/>
                <w:highlight w:val="none"/>
                <w:lang w:val="en-US"/>
              </w:rPr>
              <w:t>人</w:t>
            </w:r>
            <w:r>
              <w:rPr>
                <w:rFonts w:hint="eastAsia" w:ascii="宋体" w:hAnsi="宋体" w:eastAsia="宋体" w:cs="宋体"/>
                <w:color w:val="auto"/>
                <w:kern w:val="0"/>
                <w:szCs w:val="21"/>
                <w:highlight w:val="none"/>
              </w:rPr>
              <w:t>负责人签字或者盖章：</w:t>
            </w:r>
          </w:p>
          <w:p w14:paraId="501A216C">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2CBEBD10">
            <w:pPr>
              <w:spacing w:before="100" w:beforeAutospacing="1" w:after="100" w:afterAutospacing="1" w:line="320" w:lineRule="atLeast"/>
              <w:ind w:firstLine="2730" w:firstLineChars="1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c>
          <w:tcPr>
            <w:tcW w:w="5219" w:type="dxa"/>
            <w:gridSpan w:val="4"/>
            <w:tcBorders>
              <w:top w:val="nil"/>
              <w:left w:val="single" w:color="auto" w:sz="4" w:space="0"/>
              <w:bottom w:val="single" w:color="auto" w:sz="8" w:space="0"/>
              <w:right w:val="single" w:color="auto" w:sz="8" w:space="0"/>
            </w:tcBorders>
            <w:noWrap w:val="0"/>
            <w:vAlign w:val="center"/>
          </w:tcPr>
          <w:p w14:paraId="60B1BE10">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753AB3BF">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02E543C2">
            <w:pPr>
              <w:spacing w:before="100" w:beforeAutospacing="1" w:after="100" w:afterAutospacing="1" w:line="320" w:lineRule="atLeast"/>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r>
    </w:tbl>
    <w:p w14:paraId="00D977DC">
      <w:pPr>
        <w:pStyle w:val="13"/>
        <w:numPr>
          <w:ilvl w:val="0"/>
          <w:numId w:val="0"/>
        </w:numPr>
        <w:rPr>
          <w:rFonts w:hint="eastAsia" w:ascii="宋体" w:hAnsi="宋体" w:eastAsia="宋体" w:cs="宋体"/>
          <w:color w:val="auto"/>
          <w:kern w:val="0"/>
          <w:sz w:val="28"/>
          <w:szCs w:val="28"/>
          <w:highlight w:val="none"/>
          <w:lang w:eastAsia="zh-CN"/>
        </w:rPr>
        <w:sectPr>
          <w:pgSz w:w="11905" w:h="16838"/>
          <w:pgMar w:top="1134" w:right="1134" w:bottom="1134" w:left="1134" w:header="850" w:footer="850" w:gutter="0"/>
          <w:pgNumType w:fmt="decimal"/>
          <w:cols w:space="0" w:num="1"/>
          <w:titlePg/>
          <w:rtlGutter w:val="0"/>
          <w:docGrid w:linePitch="331" w:charSpace="0"/>
        </w:sectPr>
      </w:pPr>
      <w:r>
        <w:rPr>
          <w:rFonts w:hint="eastAsia" w:ascii="宋体" w:hAnsi="宋体" w:eastAsia="宋体" w:cs="宋体"/>
          <w:color w:val="auto"/>
          <w:highlight w:val="none"/>
        </w:rPr>
        <w:br w:type="page"/>
      </w:r>
    </w:p>
    <w:p w14:paraId="716CC246">
      <w:pPr>
        <w:jc w:val="left"/>
        <w:rPr>
          <w:rFonts w:hint="eastAsia" w:ascii="宋体" w:hAnsi="宋体" w:eastAsia="宋体" w:cs="宋体"/>
          <w:color w:val="auto"/>
          <w:highlight w:val="none"/>
        </w:rPr>
      </w:pPr>
      <w:r>
        <w:rPr>
          <w:rFonts w:hint="eastAsia" w:ascii="宋体" w:hAnsi="宋体" w:cs="宋体"/>
          <w:color w:val="auto"/>
          <w:sz w:val="28"/>
          <w:szCs w:val="28"/>
          <w:highlight w:val="none"/>
          <w:lang w:val="en-US" w:eastAsia="zh-CN"/>
        </w:rPr>
        <w:t>5.政府采购项目履约保证金退付意见书的格式：</w:t>
      </w:r>
    </w:p>
    <w:p w14:paraId="22D7ADC4">
      <w:pPr>
        <w:jc w:val="center"/>
        <w:rPr>
          <w:rFonts w:hint="eastAsia" w:ascii="宋体" w:hAnsi="宋体" w:eastAsia="宋体" w:cs="宋体"/>
          <w:color w:val="auto"/>
          <w:sz w:val="32"/>
          <w:szCs w:val="32"/>
          <w:highlight w:val="none"/>
        </w:rPr>
      </w:pPr>
    </w:p>
    <w:p w14:paraId="0853542D">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政府采购项目履约保证金退付意见书（参考）</w:t>
      </w:r>
    </w:p>
    <w:p w14:paraId="034DDE87">
      <w:pPr>
        <w:jc w:val="center"/>
        <w:rPr>
          <w:rFonts w:hint="eastAsia" w:ascii="宋体" w:hAnsi="宋体" w:eastAsia="宋体" w:cs="宋体"/>
          <w:color w:val="auto"/>
          <w:sz w:val="36"/>
          <w:szCs w:val="36"/>
          <w:highlight w:val="none"/>
        </w:rPr>
      </w:pPr>
    </w:p>
    <w:tbl>
      <w:tblPr>
        <w:tblStyle w:val="20"/>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56C8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0D805E9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w:t>
            </w:r>
          </w:p>
          <w:p w14:paraId="35378A0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应</w:t>
            </w:r>
          </w:p>
          <w:p w14:paraId="59172AA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w:t>
            </w:r>
          </w:p>
          <w:p w14:paraId="6A633D7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申</w:t>
            </w:r>
          </w:p>
          <w:p w14:paraId="3DBE4EA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请</w:t>
            </w:r>
          </w:p>
        </w:tc>
        <w:tc>
          <w:tcPr>
            <w:tcW w:w="8456" w:type="dxa"/>
            <w:noWrap w:val="0"/>
            <w:vAlign w:val="center"/>
          </w:tcPr>
          <w:p w14:paraId="64E8F2FF">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r>
      <w:tr w14:paraId="237A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259E471E">
            <w:pPr>
              <w:rPr>
                <w:rFonts w:hint="eastAsia" w:ascii="宋体" w:hAnsi="宋体" w:eastAsia="宋体" w:cs="宋体"/>
                <w:color w:val="auto"/>
                <w:sz w:val="24"/>
                <w:highlight w:val="none"/>
              </w:rPr>
            </w:pPr>
          </w:p>
        </w:tc>
        <w:tc>
          <w:tcPr>
            <w:tcW w:w="8456" w:type="dxa"/>
            <w:noWrap w:val="0"/>
            <w:vAlign w:val="center"/>
          </w:tcPr>
          <w:p w14:paraId="598BA8B7">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r>
      <w:tr w14:paraId="4E13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27656A7D">
            <w:pPr>
              <w:rPr>
                <w:rFonts w:hint="eastAsia" w:ascii="宋体" w:hAnsi="宋体" w:eastAsia="宋体" w:cs="宋体"/>
                <w:color w:val="auto"/>
                <w:sz w:val="24"/>
                <w:highlight w:val="none"/>
              </w:rPr>
            </w:pPr>
          </w:p>
        </w:tc>
        <w:tc>
          <w:tcPr>
            <w:tcW w:w="8456" w:type="dxa"/>
            <w:noWrap w:val="0"/>
            <w:vAlign w:val="top"/>
          </w:tcPr>
          <w:p w14:paraId="0AA0B59C">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EF30066">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该项目已于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日验收并交付使用。根据合同规定，该项目的履约保证金期限于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日已满，请将履约保证金（大写）</w:t>
            </w:r>
            <w:r>
              <w:rPr>
                <w:rFonts w:hint="eastAsia" w:ascii="宋体" w:hAnsi="宋体" w:eastAsia="宋体" w:cs="宋体"/>
                <w:color w:val="auto"/>
                <w:sz w:val="24"/>
                <w:highlight w:val="none"/>
                <w:u w:val="single"/>
                <w:lang w:eastAsia="zh-CN"/>
              </w:rPr>
              <w:t>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退付到达以下</w:t>
            </w: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户。</w:t>
            </w:r>
          </w:p>
          <w:p w14:paraId="0A735467">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p w14:paraId="1BB0DDC8">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14:paraId="14C26611">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 xml:space="preserve">   号：</w:t>
            </w:r>
          </w:p>
          <w:p w14:paraId="74FAB47E">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w:t>
            </w:r>
          </w:p>
          <w:p w14:paraId="5012F1D2">
            <w:pPr>
              <w:spacing w:line="400" w:lineRule="exact"/>
              <w:rPr>
                <w:rFonts w:hint="eastAsia" w:ascii="宋体" w:hAnsi="宋体" w:eastAsia="宋体" w:cs="宋体"/>
                <w:color w:val="auto"/>
                <w:sz w:val="24"/>
                <w:highlight w:val="none"/>
              </w:rPr>
            </w:pPr>
          </w:p>
          <w:p w14:paraId="4A62BA52">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投标人签章：</w:t>
            </w:r>
          </w:p>
          <w:p w14:paraId="6AE9B62B">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76F4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1C29E32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w:t>
            </w:r>
          </w:p>
          <w:p w14:paraId="3907C3D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购</w:t>
            </w:r>
          </w:p>
          <w:p w14:paraId="663C4B0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p w14:paraId="094276F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意</w:t>
            </w:r>
          </w:p>
          <w:p w14:paraId="7201D58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w:t>
            </w:r>
          </w:p>
        </w:tc>
        <w:tc>
          <w:tcPr>
            <w:tcW w:w="8456" w:type="dxa"/>
            <w:noWrap w:val="0"/>
            <w:vAlign w:val="top"/>
          </w:tcPr>
          <w:p w14:paraId="09073B2B">
            <w:pPr>
              <w:rPr>
                <w:rFonts w:hint="eastAsia" w:ascii="宋体" w:hAnsi="宋体" w:eastAsia="宋体" w:cs="宋体"/>
                <w:color w:val="auto"/>
                <w:sz w:val="24"/>
                <w:highlight w:val="none"/>
              </w:rPr>
            </w:pPr>
          </w:p>
          <w:p w14:paraId="213B3104">
            <w:pPr>
              <w:rPr>
                <w:rFonts w:hint="eastAsia" w:ascii="宋体" w:hAnsi="宋体" w:eastAsia="宋体" w:cs="宋体"/>
                <w:color w:val="auto"/>
                <w:sz w:val="24"/>
                <w:highlight w:val="none"/>
              </w:rPr>
            </w:pPr>
            <w:r>
              <w:rPr>
                <w:rFonts w:hint="eastAsia" w:ascii="宋体" w:hAnsi="宋体" w:eastAsia="宋体" w:cs="宋体"/>
                <w:color w:val="auto"/>
                <w:sz w:val="24"/>
                <w:highlight w:val="none"/>
              </w:rPr>
              <w:t>退付意见：（是否同意退付履约保证金及退付金额）</w:t>
            </w:r>
          </w:p>
          <w:p w14:paraId="112DB094">
            <w:pPr>
              <w:rPr>
                <w:rFonts w:hint="eastAsia" w:ascii="宋体" w:hAnsi="宋体" w:eastAsia="宋体" w:cs="宋体"/>
                <w:color w:val="auto"/>
                <w:sz w:val="24"/>
                <w:highlight w:val="none"/>
              </w:rPr>
            </w:pPr>
          </w:p>
          <w:p w14:paraId="0F652979">
            <w:pPr>
              <w:rPr>
                <w:rFonts w:hint="eastAsia" w:ascii="宋体" w:hAnsi="宋体" w:eastAsia="宋体" w:cs="宋体"/>
                <w:color w:val="auto"/>
                <w:sz w:val="24"/>
                <w:highlight w:val="none"/>
              </w:rPr>
            </w:pPr>
          </w:p>
          <w:p w14:paraId="10F5901B">
            <w:pPr>
              <w:rPr>
                <w:rFonts w:hint="eastAsia" w:ascii="宋体" w:hAnsi="宋体" w:eastAsia="宋体" w:cs="宋体"/>
                <w:color w:val="auto"/>
                <w:sz w:val="24"/>
                <w:highlight w:val="none"/>
              </w:rPr>
            </w:pPr>
          </w:p>
          <w:p w14:paraId="796B4C89">
            <w:pPr>
              <w:rPr>
                <w:rFonts w:hint="eastAsia" w:ascii="宋体" w:hAnsi="宋体" w:eastAsia="宋体" w:cs="宋体"/>
                <w:color w:val="auto"/>
                <w:sz w:val="24"/>
                <w:highlight w:val="none"/>
              </w:rPr>
            </w:pPr>
          </w:p>
          <w:p w14:paraId="04240352">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                         采购人签章</w:t>
            </w:r>
          </w:p>
          <w:p w14:paraId="2687FC09">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7BAF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507FFD7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8456" w:type="dxa"/>
            <w:noWrap w:val="0"/>
            <w:vAlign w:val="top"/>
          </w:tcPr>
          <w:p w14:paraId="5C85A967">
            <w:pPr>
              <w:rPr>
                <w:rFonts w:hint="eastAsia" w:ascii="宋体" w:hAnsi="宋体" w:eastAsia="宋体" w:cs="宋体"/>
                <w:color w:val="auto"/>
                <w:sz w:val="24"/>
                <w:highlight w:val="none"/>
              </w:rPr>
            </w:pPr>
          </w:p>
        </w:tc>
      </w:tr>
    </w:tbl>
    <w:p w14:paraId="59FA65AB">
      <w:pPr>
        <w:pStyle w:val="9"/>
        <w:ind w:left="420" w:leftChars="114" w:hanging="181" w:hangingChars="100"/>
        <w:rPr>
          <w:rFonts w:hint="eastAsia" w:ascii="宋体" w:hAnsi="宋体" w:eastAsia="宋体" w:cs="宋体"/>
          <w:b/>
          <w:bCs/>
          <w:color w:val="auto"/>
          <w:sz w:val="18"/>
          <w:highlight w:val="none"/>
        </w:rPr>
      </w:pPr>
      <w:r>
        <w:rPr>
          <w:rFonts w:hint="eastAsia" w:ascii="宋体" w:hAnsi="宋体" w:eastAsia="宋体" w:cs="宋体"/>
          <w:b/>
          <w:bCs/>
          <w:color w:val="auto"/>
          <w:sz w:val="18"/>
          <w:highlight w:val="none"/>
        </w:rPr>
        <w:t>注：投标人凭经采购人审批的退付意见书到</w:t>
      </w:r>
      <w:r>
        <w:rPr>
          <w:rFonts w:hint="eastAsia"/>
          <w:b/>
          <w:bCs/>
          <w:color w:val="auto"/>
          <w:sz w:val="18"/>
          <w:szCs w:val="18"/>
          <w:highlight w:val="none"/>
          <w:lang w:eastAsia="zh-CN"/>
        </w:rPr>
        <w:t>履约</w:t>
      </w:r>
      <w:r>
        <w:rPr>
          <w:rFonts w:hint="eastAsia" w:ascii="宋体" w:hAnsi="宋体" w:eastAsia="宋体" w:cs="宋体"/>
          <w:b/>
          <w:bCs/>
          <w:color w:val="auto"/>
          <w:sz w:val="18"/>
          <w:highlight w:val="none"/>
        </w:rPr>
        <w:t>保证金收取单位办理履约保证金退付事宜。</w:t>
      </w:r>
    </w:p>
    <w:p w14:paraId="0A7F8F78">
      <w:pPr>
        <w:pStyle w:val="12"/>
        <w:snapToGrid w:val="0"/>
        <w:spacing w:before="120" w:after="120"/>
        <w:rPr>
          <w:rFonts w:hint="eastAsia" w:hAnsi="宋体" w:eastAsia="宋体" w:cs="宋体"/>
          <w:color w:val="auto"/>
          <w:highlight w:val="none"/>
        </w:rPr>
      </w:pPr>
    </w:p>
    <w:p w14:paraId="21B19C4E">
      <w:pPr>
        <w:snapToGrid w:val="0"/>
        <w:spacing w:before="50" w:after="165" w:afterLines="50" w:line="360" w:lineRule="auto"/>
        <w:jc w:val="left"/>
        <w:rPr>
          <w:rFonts w:hint="eastAsia" w:ascii="Times New Roman" w:hAnsi="Times New Roman" w:eastAsia="宋体" w:cs="Times New Roman"/>
          <w:color w:val="auto"/>
          <w:sz w:val="20"/>
          <w:highlight w:val="none"/>
        </w:rPr>
      </w:pPr>
    </w:p>
    <w:p w14:paraId="781CF1F9">
      <w:pPr>
        <w:rPr>
          <w:rFonts w:ascii="Times New Roman" w:hAnsi="Times New Roman" w:eastAsia="宋体" w:cs="Times New Roman"/>
          <w:b/>
          <w:color w:val="auto"/>
          <w:sz w:val="36"/>
          <w:highlight w:val="none"/>
        </w:rPr>
      </w:pPr>
      <w:r>
        <w:rPr>
          <w:rFonts w:ascii="Times New Roman" w:hAnsi="Times New Roman" w:eastAsia="宋体" w:cs="Times New Roman"/>
          <w:b/>
          <w:color w:val="auto"/>
          <w:sz w:val="36"/>
          <w:highlight w:val="none"/>
        </w:rPr>
        <w:br w:type="page"/>
      </w:r>
    </w:p>
    <w:p w14:paraId="0A8C58F1">
      <w:pPr>
        <w:numPr>
          <w:ilvl w:val="0"/>
          <w:numId w:val="0"/>
        </w:numPr>
        <w:spacing w:line="520" w:lineRule="exact"/>
        <w:jc w:val="both"/>
        <w:rPr>
          <w:rFonts w:hint="eastAsia"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6.检验项目资质覆盖情况自查表</w:t>
      </w:r>
    </w:p>
    <w:p w14:paraId="2BFBA143">
      <w:pPr>
        <w:numPr>
          <w:ilvl w:val="0"/>
          <w:numId w:val="0"/>
        </w:numPr>
        <w:spacing w:line="520" w:lineRule="exact"/>
        <w:jc w:val="center"/>
        <w:rPr>
          <w:rFonts w:hint="eastAsia" w:ascii="Times New Roman" w:hAnsi="Times New Roman" w:eastAsia="宋体" w:cs="Times New Roman"/>
          <w:b/>
          <w:bCs/>
          <w:color w:val="auto"/>
          <w:sz w:val="24"/>
          <w:highlight w:val="none"/>
          <w:lang w:val="en-US" w:eastAsia="zh-CN"/>
        </w:rPr>
      </w:pPr>
      <w:r>
        <w:rPr>
          <w:rFonts w:hint="eastAsia" w:cs="Times New Roman"/>
          <w:b/>
          <w:bCs/>
          <w:color w:val="auto"/>
          <w:sz w:val="24"/>
          <w:highlight w:val="none"/>
          <w:lang w:val="en-US" w:eastAsia="zh-CN"/>
        </w:rPr>
        <w:t>2026年广西工业产品质量监督抽查和风险监测技术服务项目</w:t>
      </w:r>
      <w:r>
        <w:rPr>
          <w:rFonts w:hint="eastAsia" w:ascii="Times New Roman" w:hAnsi="Times New Roman" w:eastAsia="宋体" w:cs="Times New Roman"/>
          <w:b/>
          <w:bCs/>
          <w:color w:val="auto"/>
          <w:sz w:val="24"/>
          <w:highlight w:val="none"/>
          <w:lang w:val="en-US" w:eastAsia="zh-CN"/>
        </w:rPr>
        <w:t>资质覆盖情况自查表</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1095"/>
        <w:gridCol w:w="1569"/>
        <w:gridCol w:w="3010"/>
        <w:gridCol w:w="1154"/>
        <w:gridCol w:w="2287"/>
      </w:tblGrid>
      <w:tr w14:paraId="229B5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4008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130B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产品名称</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F7E9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具体产品名称</w:t>
            </w:r>
          </w:p>
        </w:tc>
        <w:tc>
          <w:tcPr>
            <w:tcW w:w="1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26CE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检验项目</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8DB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分标</w:t>
            </w: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FBE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有效期内的检验检测机构</w:t>
            </w:r>
            <w:r>
              <w:rPr>
                <w:rFonts w:hint="eastAsia" w:ascii="宋体" w:hAnsi="宋体" w:cs="宋体"/>
                <w:b/>
                <w:bCs/>
                <w:i w:val="0"/>
                <w:iCs w:val="0"/>
                <w:color w:val="auto"/>
                <w:kern w:val="0"/>
                <w:sz w:val="21"/>
                <w:szCs w:val="21"/>
                <w:highlight w:val="none"/>
                <w:u w:val="none"/>
                <w:lang w:val="en-US" w:eastAsia="zh-CN" w:bidi="ar"/>
              </w:rPr>
              <w:t>资质认定</w:t>
            </w:r>
            <w:r>
              <w:rPr>
                <w:rFonts w:hint="eastAsia" w:ascii="宋体" w:hAnsi="宋体" w:eastAsia="宋体" w:cs="宋体"/>
                <w:b/>
                <w:bCs/>
                <w:i w:val="0"/>
                <w:iCs w:val="0"/>
                <w:color w:val="auto"/>
                <w:kern w:val="0"/>
                <w:sz w:val="21"/>
                <w:szCs w:val="21"/>
                <w:highlight w:val="none"/>
                <w:u w:val="none"/>
                <w:lang w:val="en-US" w:eastAsia="zh-CN" w:bidi="ar"/>
              </w:rPr>
              <w:t>证书（CMA）附表对应响应文件页码</w:t>
            </w:r>
          </w:p>
        </w:tc>
      </w:tr>
      <w:tr w14:paraId="0F6BE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BEB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6E1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AFCC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5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85E2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0FE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C6C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r>
      <w:tr w14:paraId="7AD89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570A3">
            <w:pPr>
              <w:jc w:val="center"/>
              <w:rPr>
                <w:rFonts w:hint="eastAsia" w:ascii="宋体" w:hAnsi="宋体" w:eastAsia="宋体" w:cs="宋体"/>
                <w:i w:val="0"/>
                <w:iCs w:val="0"/>
                <w:color w:val="auto"/>
                <w:sz w:val="21"/>
                <w:szCs w:val="21"/>
                <w:highlight w:val="none"/>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FA1E9">
            <w:pPr>
              <w:jc w:val="left"/>
              <w:rPr>
                <w:rFonts w:hint="eastAsia" w:ascii="宋体" w:hAnsi="宋体" w:eastAsia="宋体" w:cs="宋体"/>
                <w:i w:val="0"/>
                <w:iCs w:val="0"/>
                <w:color w:val="auto"/>
                <w:sz w:val="21"/>
                <w:szCs w:val="21"/>
                <w:highlight w:val="none"/>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6684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15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9442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ACF2">
            <w:pPr>
              <w:jc w:val="center"/>
              <w:rPr>
                <w:rFonts w:hint="eastAsia" w:ascii="宋体" w:hAnsi="宋体" w:eastAsia="宋体" w:cs="宋体"/>
                <w:b/>
                <w:bCs/>
                <w:i w:val="0"/>
                <w:iCs w:val="0"/>
                <w:color w:val="auto"/>
                <w:sz w:val="21"/>
                <w:szCs w:val="21"/>
                <w:highlight w:val="none"/>
                <w:u w:val="none"/>
              </w:rPr>
            </w:pPr>
          </w:p>
        </w:tc>
        <w:tc>
          <w:tcPr>
            <w:tcW w:w="1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7E4E">
            <w:pPr>
              <w:jc w:val="center"/>
              <w:rPr>
                <w:rFonts w:hint="eastAsia" w:ascii="宋体" w:hAnsi="宋体" w:eastAsia="宋体" w:cs="宋体"/>
                <w:b/>
                <w:bCs/>
                <w:i w:val="0"/>
                <w:iCs w:val="0"/>
                <w:color w:val="auto"/>
                <w:sz w:val="21"/>
                <w:szCs w:val="21"/>
                <w:highlight w:val="none"/>
                <w:u w:val="none"/>
              </w:rPr>
            </w:pPr>
          </w:p>
        </w:tc>
      </w:tr>
    </w:tbl>
    <w:p w14:paraId="66C0D853">
      <w:pPr>
        <w:spacing w:line="520" w:lineRule="exact"/>
        <w:jc w:val="both"/>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（参照采购需求表格格式填写）</w:t>
      </w:r>
    </w:p>
    <w:p w14:paraId="1828EE13">
      <w:pPr>
        <w:pStyle w:val="7"/>
        <w:ind w:left="0" w:leftChars="0" w:firstLine="0" w:firstLineChars="0"/>
        <w:rPr>
          <w:color w:val="auto"/>
          <w:highlight w:val="none"/>
        </w:rPr>
      </w:pPr>
    </w:p>
    <w:p w14:paraId="1B1A7E6F">
      <w:pPr>
        <w:pStyle w:val="12"/>
        <w:tabs>
          <w:tab w:val="left" w:pos="2472"/>
        </w:tabs>
        <w:spacing w:line="460" w:lineRule="exact"/>
        <w:jc w:val="center"/>
        <w:rPr>
          <w:rFonts w:ascii="Times New Roman" w:hAnsi="Times New Roman" w:eastAsia="宋体" w:cs="Times New Roman"/>
          <w:b/>
          <w:color w:val="auto"/>
          <w:sz w:val="36"/>
          <w:highlight w:val="none"/>
        </w:rPr>
      </w:pPr>
    </w:p>
    <w:p w14:paraId="6BDE2179">
      <w:pPr>
        <w:pStyle w:val="12"/>
        <w:tabs>
          <w:tab w:val="left" w:pos="2472"/>
        </w:tabs>
        <w:spacing w:line="460" w:lineRule="exact"/>
        <w:jc w:val="center"/>
        <w:rPr>
          <w:rFonts w:ascii="Times New Roman" w:hAnsi="Times New Roman" w:eastAsia="宋体" w:cs="Times New Roman"/>
          <w:b/>
          <w:color w:val="auto"/>
          <w:sz w:val="36"/>
          <w:highlight w:val="none"/>
        </w:rPr>
      </w:pPr>
    </w:p>
    <w:p w14:paraId="5F7C0A3A">
      <w:pPr>
        <w:rPr>
          <w:rFonts w:ascii="Times New Roman" w:hAnsi="Times New Roman" w:eastAsia="宋体" w:cs="Times New Roman"/>
          <w:b/>
          <w:color w:val="auto"/>
          <w:sz w:val="36"/>
          <w:highlight w:val="none"/>
        </w:rPr>
      </w:pPr>
      <w:r>
        <w:rPr>
          <w:rFonts w:ascii="Times New Roman" w:hAnsi="Times New Roman" w:eastAsia="宋体" w:cs="Times New Roman"/>
          <w:b/>
          <w:color w:val="auto"/>
          <w:sz w:val="36"/>
          <w:highlight w:val="none"/>
        </w:rPr>
        <w:br w:type="page"/>
      </w:r>
    </w:p>
    <w:p w14:paraId="05724705">
      <w:pPr>
        <w:pStyle w:val="7"/>
        <w:rPr>
          <w:color w:val="auto"/>
          <w:highlight w:val="none"/>
        </w:rPr>
      </w:pPr>
    </w:p>
    <w:p w14:paraId="1EFD68F6">
      <w:pPr>
        <w:pStyle w:val="12"/>
        <w:tabs>
          <w:tab w:val="left" w:pos="2472"/>
        </w:tabs>
        <w:spacing w:line="460" w:lineRule="exact"/>
        <w:jc w:val="center"/>
        <w:rPr>
          <w:rFonts w:ascii="Times New Roman" w:hAnsi="Times New Roman" w:eastAsia="宋体" w:cs="Times New Roman"/>
          <w:b/>
          <w:color w:val="auto"/>
          <w:sz w:val="36"/>
          <w:highlight w:val="none"/>
        </w:rPr>
      </w:pPr>
    </w:p>
    <w:p w14:paraId="6157BB32">
      <w:pPr>
        <w:pStyle w:val="12"/>
        <w:tabs>
          <w:tab w:val="left" w:pos="2472"/>
        </w:tabs>
        <w:spacing w:line="460" w:lineRule="exact"/>
        <w:jc w:val="center"/>
        <w:rPr>
          <w:rFonts w:ascii="Times New Roman" w:hAnsi="Times New Roman" w:eastAsia="宋体" w:cs="Times New Roman"/>
          <w:b/>
          <w:color w:val="auto"/>
          <w:sz w:val="36"/>
          <w:highlight w:val="none"/>
        </w:rPr>
      </w:pPr>
    </w:p>
    <w:p w14:paraId="630216FE">
      <w:pPr>
        <w:pStyle w:val="12"/>
        <w:tabs>
          <w:tab w:val="left" w:pos="2472"/>
        </w:tabs>
        <w:spacing w:line="460" w:lineRule="exact"/>
        <w:jc w:val="center"/>
        <w:rPr>
          <w:rFonts w:ascii="Times New Roman" w:hAnsi="Times New Roman" w:eastAsia="宋体" w:cs="Times New Roman"/>
          <w:b/>
          <w:color w:val="auto"/>
          <w:sz w:val="36"/>
          <w:highlight w:val="none"/>
        </w:rPr>
      </w:pPr>
    </w:p>
    <w:p w14:paraId="13B4A705">
      <w:pPr>
        <w:pStyle w:val="12"/>
        <w:tabs>
          <w:tab w:val="left" w:pos="2472"/>
        </w:tabs>
        <w:spacing w:line="460" w:lineRule="exact"/>
        <w:jc w:val="center"/>
        <w:rPr>
          <w:rFonts w:ascii="Times New Roman" w:hAnsi="Times New Roman" w:eastAsia="宋体" w:cs="Times New Roman"/>
          <w:b/>
          <w:color w:val="auto"/>
          <w:sz w:val="36"/>
          <w:highlight w:val="none"/>
        </w:rPr>
      </w:pPr>
    </w:p>
    <w:p w14:paraId="716405FD">
      <w:pPr>
        <w:pStyle w:val="12"/>
        <w:tabs>
          <w:tab w:val="left" w:pos="2472"/>
        </w:tabs>
        <w:spacing w:line="460" w:lineRule="exact"/>
        <w:jc w:val="center"/>
        <w:rPr>
          <w:rFonts w:ascii="Times New Roman" w:hAnsi="Times New Roman" w:eastAsia="宋体" w:cs="Times New Roman"/>
          <w:b/>
          <w:color w:val="auto"/>
          <w:sz w:val="36"/>
          <w:highlight w:val="none"/>
        </w:rPr>
      </w:pPr>
    </w:p>
    <w:p w14:paraId="6F012007">
      <w:pPr>
        <w:pStyle w:val="12"/>
        <w:tabs>
          <w:tab w:val="left" w:pos="2472"/>
        </w:tabs>
        <w:spacing w:line="460" w:lineRule="exact"/>
        <w:jc w:val="center"/>
        <w:rPr>
          <w:rFonts w:ascii="Times New Roman" w:hAnsi="Times New Roman" w:eastAsia="宋体" w:cs="Times New Roman"/>
          <w:b/>
          <w:color w:val="auto"/>
          <w:sz w:val="36"/>
          <w:highlight w:val="none"/>
        </w:rPr>
      </w:pPr>
    </w:p>
    <w:p w14:paraId="4AC75287">
      <w:pPr>
        <w:pStyle w:val="12"/>
        <w:tabs>
          <w:tab w:val="left" w:pos="2472"/>
        </w:tabs>
        <w:spacing w:line="460" w:lineRule="exact"/>
        <w:jc w:val="center"/>
        <w:rPr>
          <w:rFonts w:ascii="Times New Roman" w:hAnsi="Times New Roman" w:eastAsia="宋体" w:cs="Times New Roman"/>
          <w:b/>
          <w:color w:val="auto"/>
          <w:sz w:val="36"/>
          <w:highlight w:val="none"/>
        </w:rPr>
      </w:pPr>
    </w:p>
    <w:p w14:paraId="2456BD71">
      <w:pPr>
        <w:pStyle w:val="12"/>
        <w:tabs>
          <w:tab w:val="left" w:pos="2472"/>
        </w:tabs>
        <w:spacing w:line="460" w:lineRule="exact"/>
        <w:jc w:val="center"/>
        <w:outlineLvl w:val="0"/>
        <w:rPr>
          <w:rFonts w:ascii="Times New Roman" w:hAnsi="Times New Roman" w:eastAsia="宋体" w:cs="Times New Roman"/>
          <w:b/>
          <w:color w:val="auto"/>
          <w:sz w:val="36"/>
          <w:highlight w:val="none"/>
        </w:rPr>
      </w:pPr>
      <w:bookmarkStart w:id="390" w:name="_Toc31310"/>
      <w:bookmarkStart w:id="391" w:name="_Toc11260"/>
      <w:bookmarkStart w:id="392" w:name="_Toc7244"/>
      <w:bookmarkStart w:id="393" w:name="_Toc21753"/>
      <w:bookmarkStart w:id="394" w:name="_Toc17736"/>
      <w:bookmarkStart w:id="395" w:name="_Toc25113"/>
      <w:bookmarkStart w:id="396" w:name="_Toc7254"/>
      <w:bookmarkStart w:id="397" w:name="_Toc31429"/>
      <w:bookmarkStart w:id="398" w:name="_Toc18173"/>
      <w:bookmarkStart w:id="399" w:name="_Toc32028"/>
      <w:bookmarkStart w:id="400" w:name="_Toc491"/>
      <w:bookmarkStart w:id="401" w:name="_Toc2211"/>
      <w:bookmarkStart w:id="402" w:name="_Toc6635"/>
      <w:r>
        <w:rPr>
          <w:rFonts w:hint="eastAsia" w:ascii="Times New Roman" w:hAnsi="Times New Roman" w:eastAsia="宋体" w:cs="Times New Roman"/>
          <w:b/>
          <w:color w:val="auto"/>
          <w:sz w:val="36"/>
          <w:highlight w:val="none"/>
        </w:rPr>
        <w:t>第七章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质疑、投诉材料格式</w:t>
      </w:r>
      <w:bookmarkEnd w:id="390"/>
      <w:bookmarkEnd w:id="391"/>
      <w:bookmarkEnd w:id="392"/>
      <w:bookmarkEnd w:id="393"/>
      <w:bookmarkEnd w:id="394"/>
      <w:bookmarkEnd w:id="395"/>
      <w:bookmarkEnd w:id="396"/>
      <w:bookmarkEnd w:id="397"/>
      <w:bookmarkEnd w:id="398"/>
      <w:bookmarkEnd w:id="399"/>
      <w:bookmarkEnd w:id="400"/>
      <w:bookmarkEnd w:id="401"/>
      <w:bookmarkEnd w:id="402"/>
    </w:p>
    <w:p w14:paraId="7B94747C">
      <w:pPr>
        <w:widowControl/>
        <w:spacing w:line="360" w:lineRule="auto"/>
        <w:jc w:val="left"/>
        <w:rPr>
          <w:color w:val="auto"/>
          <w:sz w:val="20"/>
          <w:highlight w:val="none"/>
        </w:rPr>
        <w:sectPr>
          <w:pgSz w:w="11905" w:h="16838"/>
          <w:pgMar w:top="1134" w:right="1134" w:bottom="1134" w:left="1134" w:header="850" w:footer="850" w:gutter="0"/>
          <w:pgNumType w:fmt="decimal"/>
          <w:cols w:space="0" w:num="1"/>
          <w:titlePg/>
          <w:rtlGutter w:val="0"/>
          <w:docGrid w:linePitch="331" w:charSpace="0"/>
        </w:sectPr>
      </w:pPr>
    </w:p>
    <w:p w14:paraId="4ACEA50A">
      <w:pPr>
        <w:pStyle w:val="3"/>
        <w:jc w:val="center"/>
        <w:rPr>
          <w:rFonts w:hint="eastAsia" w:ascii="宋体" w:hAnsi="宋体" w:cs="Times New Roman"/>
          <w:b w:val="0"/>
          <w:bCs w:val="0"/>
          <w:color w:val="auto"/>
          <w:highlight w:val="none"/>
        </w:rPr>
      </w:pPr>
      <w:bookmarkStart w:id="403" w:name="_Toc31800"/>
      <w:bookmarkStart w:id="404" w:name="_Toc22540"/>
      <w:bookmarkStart w:id="405" w:name="_Toc12016"/>
      <w:bookmarkStart w:id="406" w:name="_Toc990"/>
      <w:bookmarkStart w:id="407" w:name="_Toc22595"/>
      <w:bookmarkStart w:id="408" w:name="_Toc25538"/>
      <w:bookmarkStart w:id="409" w:name="_Toc15096"/>
      <w:bookmarkStart w:id="410" w:name="_Toc17610"/>
      <w:bookmarkStart w:id="411" w:name="_Toc10944"/>
      <w:bookmarkStart w:id="412" w:name="_Toc3458"/>
      <w:r>
        <w:rPr>
          <w:rFonts w:hint="eastAsia" w:ascii="宋体" w:hAnsi="宋体" w:cs="Times New Roman"/>
          <w:b w:val="0"/>
          <w:bCs w:val="0"/>
          <w:color w:val="auto"/>
          <w:highlight w:val="none"/>
        </w:rPr>
        <w:t>第一节 质疑函（格式）</w:t>
      </w:r>
      <w:bookmarkEnd w:id="403"/>
      <w:bookmarkEnd w:id="404"/>
      <w:bookmarkEnd w:id="405"/>
      <w:bookmarkEnd w:id="406"/>
      <w:bookmarkEnd w:id="407"/>
      <w:bookmarkEnd w:id="408"/>
      <w:bookmarkEnd w:id="409"/>
      <w:bookmarkEnd w:id="410"/>
      <w:bookmarkEnd w:id="411"/>
      <w:bookmarkEnd w:id="412"/>
    </w:p>
    <w:p w14:paraId="749B283D">
      <w:pPr>
        <w:adjustRightInd/>
        <w:snapToGrid/>
        <w:spacing w:before="0" w:beforeLines="-2147483648" w:line="240" w:lineRule="auto"/>
        <w:jc w:val="center"/>
        <w:rPr>
          <w:rFonts w:hint="eastAsia" w:ascii="黑体" w:hAnsi="黑体" w:eastAsia="黑体" w:cs="仿宋"/>
          <w:bCs/>
          <w:color w:val="auto"/>
          <w:sz w:val="32"/>
          <w:szCs w:val="32"/>
          <w:highlight w:val="none"/>
        </w:rPr>
      </w:pPr>
      <w:r>
        <w:rPr>
          <w:rFonts w:hint="eastAsia" w:ascii="仿宋" w:hAnsi="仿宋" w:eastAsia="仿宋" w:cs="仿宋"/>
          <w:b/>
          <w:bCs/>
          <w:color w:val="auto"/>
          <w:sz w:val="32"/>
          <w:szCs w:val="32"/>
          <w:highlight w:val="none"/>
        </w:rPr>
        <w:t>质疑函</w:t>
      </w:r>
    </w:p>
    <w:p w14:paraId="15721254">
      <w:pPr>
        <w:adjustRightInd w:val="0"/>
        <w:snapToGrid w:val="0"/>
        <w:spacing w:before="331"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08515B52">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3A21D41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CA8B1F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066C953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66FCE6D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545D8E4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39B0E1B3">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359D7A6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5B161A3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0AAEA61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13" w:name="PO_3000001867_PM026_5"/>
      <w:r>
        <w:rPr>
          <w:rFonts w:hint="eastAsia" w:ascii="宋体" w:hAnsi="宋体" w:eastAsia="宋体" w:cs="宋体"/>
          <w:color w:val="auto"/>
          <w:sz w:val="24"/>
          <w:szCs w:val="24"/>
          <w:highlight w:val="none"/>
          <w:u w:val="dotted"/>
        </w:rPr>
        <w:t xml:space="preserve">                        </w:t>
      </w:r>
      <w:bookmarkEnd w:id="413"/>
      <w:r>
        <w:rPr>
          <w:rFonts w:hint="eastAsia" w:ascii="宋体" w:hAnsi="宋体" w:eastAsia="宋体" w:cs="宋体"/>
          <w:color w:val="auto"/>
          <w:sz w:val="24"/>
          <w:szCs w:val="24"/>
          <w:highlight w:val="none"/>
          <w:u w:val="dotted"/>
        </w:rPr>
        <w:t xml:space="preserve">  </w:t>
      </w:r>
    </w:p>
    <w:p w14:paraId="76389876">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质疑事项：</w:t>
      </w:r>
    </w:p>
    <w:p w14:paraId="74762526">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□采购文件   采购文件获取日期：</w:t>
      </w:r>
      <w:r>
        <w:rPr>
          <w:rFonts w:hint="eastAsia" w:ascii="宋体" w:hAnsi="宋体" w:eastAsia="宋体" w:cs="宋体"/>
          <w:color w:val="auto"/>
          <w:sz w:val="24"/>
          <w:szCs w:val="24"/>
          <w:highlight w:val="none"/>
          <w:u w:val="dotted"/>
        </w:rPr>
        <w:t xml:space="preserve">                         </w:t>
      </w:r>
      <w:r>
        <w:rPr>
          <w:rFonts w:hint="eastAsia" w:ascii="宋体" w:hAnsi="宋体" w:eastAsia="宋体" w:cs="宋体"/>
          <w:bCs w:val="0"/>
          <w:color w:val="auto"/>
          <w:kern w:val="2"/>
          <w:sz w:val="24"/>
          <w:szCs w:val="24"/>
          <w:highlight w:val="none"/>
          <w:u w:val="none"/>
          <w:lang w:val="zh-CN" w:eastAsia="zh-CN"/>
        </w:rPr>
        <w:t xml:space="preserve">  </w:t>
      </w:r>
    </w:p>
    <w:p w14:paraId="0D5E88B7">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 xml:space="preserve">□采购过程   </w:t>
      </w:r>
    </w:p>
    <w:p w14:paraId="5C15C98D">
      <w:pPr>
        <w:adjustRightInd w:val="0"/>
        <w:snapToGrid w:val="0"/>
        <w:spacing w:line="360" w:lineRule="auto"/>
        <w:ind w:left="0" w:leftChars="0" w:firstLine="0" w:firstLineChars="0"/>
        <w:rPr>
          <w:rFonts w:hint="eastAsia" w:ascii="宋体" w:hAnsi="宋体" w:eastAsia="宋体" w:cs="宋体"/>
          <w:bCs w:val="0"/>
          <w:color w:val="auto"/>
          <w:kern w:val="2"/>
          <w:sz w:val="24"/>
          <w:szCs w:val="24"/>
          <w:highlight w:val="none"/>
          <w:u w:val="none"/>
          <w:lang w:val="zh-CN" w:eastAsia="zh-CN"/>
        </w:rPr>
      </w:pPr>
      <w:r>
        <w:rPr>
          <w:rFonts w:hint="eastAsia" w:ascii="宋体" w:hAnsi="宋体" w:eastAsia="宋体" w:cs="宋体"/>
          <w:color w:val="auto"/>
          <w:kern w:val="2"/>
          <w:sz w:val="24"/>
          <w:szCs w:val="24"/>
          <w:highlight w:val="none"/>
          <w:lang w:val="zh-CN" w:eastAsia="zh-CN"/>
        </w:rPr>
        <w:t xml:space="preserve">□中标结果   </w:t>
      </w:r>
    </w:p>
    <w:p w14:paraId="7113BB04">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19022918">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76AD22EB">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4CF522E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06FCA918">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0A6A4C9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4F9E442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5AA46A1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AA7C86D">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0326F77B">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0046831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7F9EC1D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62614936">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质疑函制作说明：</w:t>
      </w:r>
    </w:p>
    <w:p w14:paraId="71318429">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3F5AD436">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5993A1A5">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1DA9835A">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65827794">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3EFC2835">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528896AD">
      <w:pPr>
        <w:widowControl/>
        <w:spacing w:line="360" w:lineRule="auto"/>
        <w:ind w:firstLine="480" w:firstLineChars="200"/>
        <w:jc w:val="left"/>
        <w:rPr>
          <w:rFonts w:hint="eastAsia" w:ascii="宋体" w:hAnsi="宋体" w:eastAsia="宋体" w:cs="宋体"/>
          <w:color w:val="auto"/>
          <w:sz w:val="24"/>
          <w:szCs w:val="24"/>
          <w:highlight w:val="none"/>
        </w:rPr>
      </w:pPr>
    </w:p>
    <w:p w14:paraId="3484A39D">
      <w:pPr>
        <w:widowControl/>
        <w:spacing w:line="360" w:lineRule="auto"/>
        <w:jc w:val="left"/>
        <w:rPr>
          <w:rFonts w:hint="eastAsia" w:ascii="宋体" w:hAnsi="宋体" w:eastAsia="宋体" w:cs="宋体"/>
          <w:color w:val="auto"/>
          <w:kern w:val="0"/>
          <w:sz w:val="24"/>
          <w:highlight w:val="none"/>
        </w:rPr>
        <w:sectPr>
          <w:pgSz w:w="11905" w:h="16838"/>
          <w:pgMar w:top="1134" w:right="1134" w:bottom="1134" w:left="1134" w:header="850" w:footer="850" w:gutter="0"/>
          <w:pgNumType w:fmt="decimal"/>
          <w:cols w:space="0" w:num="1"/>
          <w:titlePg/>
          <w:rtlGutter w:val="0"/>
          <w:docGrid w:linePitch="331" w:charSpace="0"/>
        </w:sectPr>
      </w:pPr>
    </w:p>
    <w:p w14:paraId="026580B0">
      <w:pPr>
        <w:pStyle w:val="3"/>
        <w:jc w:val="center"/>
        <w:rPr>
          <w:rFonts w:hint="eastAsia" w:ascii="宋体" w:hAnsi="宋体" w:cs="Times New Roman"/>
          <w:b w:val="0"/>
          <w:bCs w:val="0"/>
          <w:color w:val="auto"/>
          <w:highlight w:val="none"/>
        </w:rPr>
      </w:pPr>
      <w:bookmarkStart w:id="414" w:name="_Toc7549"/>
      <w:bookmarkStart w:id="415" w:name="_Toc31203"/>
      <w:bookmarkStart w:id="416" w:name="_Toc8862"/>
      <w:bookmarkStart w:id="417" w:name="_Toc11984"/>
      <w:bookmarkStart w:id="418" w:name="_Toc24568"/>
      <w:bookmarkStart w:id="419" w:name="_Toc11428"/>
      <w:bookmarkStart w:id="420" w:name="_Toc32540"/>
      <w:bookmarkStart w:id="421" w:name="_Toc24894"/>
      <w:bookmarkStart w:id="422" w:name="_Toc1896"/>
      <w:bookmarkStart w:id="423" w:name="_Toc6551"/>
      <w:r>
        <w:rPr>
          <w:rFonts w:hint="eastAsia" w:ascii="宋体" w:hAnsi="宋体" w:cs="Times New Roman"/>
          <w:b w:val="0"/>
          <w:bCs w:val="0"/>
          <w:color w:val="auto"/>
          <w:highlight w:val="none"/>
        </w:rPr>
        <w:t>第二节 投诉书（格式）</w:t>
      </w:r>
      <w:bookmarkEnd w:id="414"/>
      <w:bookmarkEnd w:id="415"/>
      <w:bookmarkEnd w:id="416"/>
      <w:bookmarkEnd w:id="417"/>
      <w:bookmarkEnd w:id="418"/>
      <w:bookmarkEnd w:id="419"/>
      <w:bookmarkEnd w:id="420"/>
      <w:bookmarkEnd w:id="421"/>
      <w:bookmarkEnd w:id="422"/>
      <w:bookmarkEnd w:id="423"/>
    </w:p>
    <w:p w14:paraId="26FBDCEA">
      <w:pPr>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32"/>
          <w:szCs w:val="32"/>
          <w:highlight w:val="none"/>
        </w:rPr>
        <w:t>投诉书</w:t>
      </w:r>
    </w:p>
    <w:p w14:paraId="2DE310CB">
      <w:pPr>
        <w:rPr>
          <w:rFonts w:hint="eastAsia" w:ascii="黑体" w:hAnsi="黑体" w:eastAsia="黑体" w:cs="Times New Roman"/>
          <w:color w:val="auto"/>
          <w:sz w:val="32"/>
          <w:szCs w:val="32"/>
          <w:highlight w:val="none"/>
        </w:rPr>
      </w:pPr>
    </w:p>
    <w:p w14:paraId="3F06E0F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641B87C2">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58CA5932">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95D1F70">
      <w:pPr>
        <w:tabs>
          <w:tab w:val="left" w:pos="651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p>
    <w:p w14:paraId="5DFDB0DB">
      <w:pPr>
        <w:tabs>
          <w:tab w:val="left" w:pos="6510"/>
        </w:tabs>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D30575F">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8744F97">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6635D14">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p>
    <w:p w14:paraId="5F34741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3C8A080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6B24A37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1BA6C758">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1ECC9C94">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p>
    <w:p w14:paraId="32A0DC6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509B3C83">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6609C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49B84809">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bookmarkStart w:id="424" w:name="PO_3000001867_PM002_12"/>
      <w:r>
        <w:rPr>
          <w:rFonts w:hint="eastAsia" w:ascii="宋体" w:hAnsi="宋体" w:eastAsia="宋体" w:cs="宋体"/>
          <w:color w:val="auto"/>
          <w:sz w:val="24"/>
          <w:szCs w:val="24"/>
          <w:highlight w:val="none"/>
          <w:u w:val="dotted"/>
        </w:rPr>
        <w:t xml:space="preserve">                    </w:t>
      </w:r>
      <w:bookmarkEnd w:id="424"/>
      <w:r>
        <w:rPr>
          <w:rFonts w:hint="eastAsia" w:ascii="宋体" w:hAnsi="宋体" w:eastAsia="宋体" w:cs="宋体"/>
          <w:color w:val="auto"/>
          <w:sz w:val="24"/>
          <w:szCs w:val="24"/>
          <w:highlight w:val="none"/>
          <w:u w:val="dotted"/>
        </w:rPr>
        <w:t xml:space="preserve">  </w:t>
      </w:r>
    </w:p>
    <w:p w14:paraId="28644D5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bookmarkStart w:id="425" w:name="PO_3000001867_PM001_9"/>
      <w:r>
        <w:rPr>
          <w:rFonts w:hint="eastAsia" w:ascii="宋体" w:hAnsi="宋体" w:eastAsia="宋体" w:cs="宋体"/>
          <w:color w:val="auto"/>
          <w:sz w:val="24"/>
          <w:szCs w:val="24"/>
          <w:highlight w:val="none"/>
          <w:u w:val="dotted"/>
        </w:rPr>
        <w:t xml:space="preserve">                    </w:t>
      </w:r>
      <w:bookmarkEnd w:id="425"/>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2D918E7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26" w:name="PO_3000001867_PM026_6"/>
      <w:r>
        <w:rPr>
          <w:rFonts w:hint="eastAsia" w:ascii="宋体" w:hAnsi="宋体" w:eastAsia="宋体" w:cs="宋体"/>
          <w:color w:val="auto"/>
          <w:sz w:val="24"/>
          <w:szCs w:val="24"/>
          <w:highlight w:val="none"/>
          <w:u w:val="dotted"/>
        </w:rPr>
        <w:t xml:space="preserve">                    </w:t>
      </w:r>
      <w:bookmarkEnd w:id="426"/>
      <w:r>
        <w:rPr>
          <w:rFonts w:hint="eastAsia" w:ascii="宋体" w:hAnsi="宋体" w:eastAsia="宋体" w:cs="宋体"/>
          <w:color w:val="auto"/>
          <w:sz w:val="24"/>
          <w:szCs w:val="24"/>
          <w:highlight w:val="none"/>
          <w:u w:val="dotted"/>
          <w:lang w:val="en-US" w:eastAsia="zh-CN"/>
        </w:rPr>
        <w:t xml:space="preserve">  </w:t>
      </w:r>
    </w:p>
    <w:p w14:paraId="602DAF5C">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327B7E6A">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05C6F76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45CF49F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0B691E6F">
      <w:pPr>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30E1B90E">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3ED42E3">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w:t>
      </w:r>
      <w:r>
        <w:rPr>
          <w:rFonts w:hint="eastAsia" w:ascii="宋体" w:hAnsi="宋体" w:cs="宋体"/>
          <w:color w:val="auto"/>
          <w:sz w:val="24"/>
          <w:szCs w:val="24"/>
          <w:highlight w:val="none"/>
          <w:u w:val="dotted"/>
          <w:lang w:eastAsia="zh-CN"/>
        </w:rPr>
        <w:t>采购</w:t>
      </w:r>
      <w:r>
        <w:rPr>
          <w:rFonts w:hint="eastAsia" w:ascii="宋体" w:hAnsi="宋体" w:eastAsia="宋体" w:cs="宋体"/>
          <w:color w:val="auto"/>
          <w:sz w:val="24"/>
          <w:szCs w:val="24"/>
          <w:highlight w:val="none"/>
          <w:u w:val="dotted"/>
        </w:rPr>
        <w:t>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就质疑事项作出了答复/没有在法定期限内作出答复。</w:t>
      </w:r>
    </w:p>
    <w:p w14:paraId="2591F4F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737E535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0F664EF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56C916F9">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7CED0AF1">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0FB2EF86">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7236872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11D06970">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272E82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3BB73A7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5C4045A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650E5A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0D4422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25B4C979">
      <w:pPr>
        <w:spacing w:line="360" w:lineRule="auto"/>
        <w:rPr>
          <w:rFonts w:hint="eastAsia" w:ascii="宋体" w:hAnsi="宋体" w:eastAsia="宋体" w:cs="宋体"/>
          <w:b/>
          <w:color w:val="auto"/>
          <w:sz w:val="24"/>
          <w:szCs w:val="24"/>
          <w:highlight w:val="none"/>
        </w:rPr>
      </w:pPr>
    </w:p>
    <w:p w14:paraId="7D9A9CFB">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投诉书制作说明：</w:t>
      </w:r>
    </w:p>
    <w:p w14:paraId="2C218576">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14:paraId="7C5A8013">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szCs w:val="24"/>
          <w:highlight w:val="none"/>
        </w:rPr>
        <w:t>投诉人签署的授权委托书。授权委托书应当载明代理人的姓名或者名称、代理事项、具体权限、期限和相关事项。</w:t>
      </w:r>
    </w:p>
    <w:p w14:paraId="1B383C07">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14:paraId="0CEE0F3D">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14:paraId="5A20339E">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14:paraId="6C4FCA3F">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14:paraId="4EC1C1CF">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45D61A08">
      <w:pPr>
        <w:rPr>
          <w:color w:val="auto"/>
          <w:highlight w:val="none"/>
        </w:rPr>
      </w:pPr>
    </w:p>
    <w:sectPr>
      <w:footerReference r:id="rId10" w:type="first"/>
      <w:headerReference r:id="rId7" w:type="default"/>
      <w:footerReference r:id="rId8" w:type="default"/>
      <w:footerReference r:id="rId9" w:type="even"/>
      <w:pgSz w:w="11905" w:h="16838"/>
      <w:pgMar w:top="1134" w:right="1134" w:bottom="1134" w:left="1134" w:header="850" w:footer="850" w:gutter="0"/>
      <w:pgNumType w:fmt="decimal"/>
      <w:cols w:space="0" w:num="1"/>
      <w:titlePg/>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4AF43">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89098">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9089098">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04D56">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F9F67">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4EF9F67">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982CB">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1407484A">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4962T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KLZE/nocKqW491sf/oelyaKQ+YTKp7GUx6ox6C92ju4WSu6CPh6aNycXmOTTheleflYpHRi4eP&#10;fYD4SThDUlDTgLPLlrL9F4hIBEunktTLuhuldZ6fto8SWJgyRWI+MExR7Df9KGfjmgOq6XDsNbW4&#10;5ZTozxZdTRsyBWEKNlOw80Ft27xCqR/4611EEplb6jDAjo1xXpnyuFtpIf4/56qH/2l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OPetkzgEAAJcDAAAOAAAAAAAAAAEAIAAAAB8BAABkcnMv&#10;ZTJvRG9jLnhtbFBLBQYAAAAABgAGAFkBAABfBQAAAAA=&#10;">
              <v:fill on="f" focussize="0,0"/>
              <v:stroke on="f"/>
              <v:imagedata o:title=""/>
              <o:lock v:ext="edit" aspectratio="f"/>
              <v:textbox inset="0mm,0mm,0mm,0mm" style="mso-fit-shape-to-text:t;">
                <w:txbxContent>
                  <w:p w14:paraId="1407484A">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394211AA">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DB286">
    <w:pPr>
      <w:pStyle w:val="13"/>
      <w:jc w:val="center"/>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048F0">
                          <w:pPr>
                            <w:pStyle w:val="13"/>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4048F0">
                    <w:pPr>
                      <w:pStyle w:val="13"/>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v:textbox>
            </v:shape>
          </w:pict>
        </mc:Fallback>
      </mc:AlternateContent>
    </w:r>
  </w:p>
  <w:p w14:paraId="07D2C2EF">
    <w:pPr>
      <w:pStyle w:val="13"/>
      <w:rPr>
        <w:rFonts w:ascii="Times New Roman" w:hAnsi="Times New Roman" w:eastAsia="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0540E">
    <w:pPr>
      <w:pStyle w:val="13"/>
      <w:framePr w:wrap="around" w:vAnchor="text" w:hAnchor="margin" w:xAlign="center" w:y="1"/>
      <w:rPr>
        <w:rStyle w:val="24"/>
        <w:rFonts w:ascii="Times New Roman" w:hAnsi="Times New Roman" w:eastAsia="宋体" w:cs="Times New Roman"/>
      </w:rPr>
    </w:pPr>
    <w:r>
      <w:rPr>
        <w:rFonts w:ascii="Times New Roman" w:hAnsi="Times New Roman" w:eastAsia="宋体" w:cs="Times New Roman"/>
      </w:rPr>
      <w:fldChar w:fldCharType="begin"/>
    </w:r>
    <w:r>
      <w:rPr>
        <w:rStyle w:val="24"/>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6590413B">
    <w:pPr>
      <w:pStyle w:val="13"/>
      <w:rPr>
        <w:rFonts w:ascii="Times New Roman" w:hAnsi="Times New Roman"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4B7E1">
    <w:pPr>
      <w:pStyle w:val="13"/>
      <w:ind w:right="360"/>
      <w:jc w:val="both"/>
      <w:rPr>
        <w:rFonts w:hint="eastAsia"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F46AD">
                          <w:pPr>
                            <w:pStyle w:val="13"/>
                            <w:rPr>
                              <w:rStyle w:val="24"/>
                              <w:rFonts w:ascii="Times New Roman" w:hAnsi="Times New Roman" w:eastAsia="宋体" w:cs="Times New Roman"/>
                            </w:rPr>
                          </w:pPr>
                          <w:r>
                            <w:rPr>
                              <w:rFonts w:ascii="Times New Roman" w:hAnsi="Times New Roman" w:eastAsia="宋体" w:cs="Times New Roman"/>
                            </w:rPr>
                            <w:fldChar w:fldCharType="begin"/>
                          </w:r>
                          <w:r>
                            <w:rPr>
                              <w:rStyle w:val="24"/>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4"/>
                              <w:rFonts w:ascii="Times New Roman" w:hAnsi="Times New Roman" w:eastAsia="宋体" w:cs="Times New Roman"/>
                            </w:rPr>
                            <w:t>122</w:t>
                          </w:r>
                          <w:r>
                            <w:rPr>
                              <w:rFonts w:ascii="Times New Roman" w:hAnsi="Times New Roman" w:eastAsia="宋体" w:cs="Times New Roman"/>
                            </w:rPr>
                            <w:fldChar w:fldCharType="end"/>
                          </w:r>
                        </w:p>
                        <w:p w14:paraId="6BF383A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F46AD">
                    <w:pPr>
                      <w:pStyle w:val="13"/>
                      <w:rPr>
                        <w:rStyle w:val="24"/>
                        <w:rFonts w:ascii="Times New Roman" w:hAnsi="Times New Roman" w:eastAsia="宋体" w:cs="Times New Roman"/>
                      </w:rPr>
                    </w:pPr>
                    <w:r>
                      <w:rPr>
                        <w:rFonts w:ascii="Times New Roman" w:hAnsi="Times New Roman" w:eastAsia="宋体" w:cs="Times New Roman"/>
                      </w:rPr>
                      <w:fldChar w:fldCharType="begin"/>
                    </w:r>
                    <w:r>
                      <w:rPr>
                        <w:rStyle w:val="24"/>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4"/>
                        <w:rFonts w:ascii="Times New Roman" w:hAnsi="Times New Roman" w:eastAsia="宋体" w:cs="Times New Roman"/>
                      </w:rPr>
                      <w:t>122</w:t>
                    </w:r>
                    <w:r>
                      <w:rPr>
                        <w:rFonts w:ascii="Times New Roman" w:hAnsi="Times New Roman" w:eastAsia="宋体" w:cs="Times New Roman"/>
                      </w:rPr>
                      <w:fldChar w:fldCharType="end"/>
                    </w:r>
                  </w:p>
                  <w:p w14:paraId="6BF383A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95594">
    <w:pPr>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08CD2">
    <w:pPr>
      <w:pStyle w:val="14"/>
      <w:tabs>
        <w:tab w:val="center" w:pos="0"/>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51536378"/>
    <w:multiLevelType w:val="singleLevel"/>
    <w:tmpl w:val="51536378"/>
    <w:lvl w:ilvl="0" w:tentative="0">
      <w:start w:val="1"/>
      <w:numFmt w:val="decimal"/>
      <w:suff w:val="nothing"/>
      <w:lvlText w:val="（%1）"/>
      <w:lvlJc w:val="left"/>
      <w:pPr>
        <w:ind w:left="0" w:firstLine="0"/>
      </w:pPr>
    </w:lvl>
  </w:abstractNum>
  <w:num w:numId="1">
    <w:abstractNumId w:val="0"/>
  </w:num>
  <w:num w:numId="2">
    <w:abstractNumId w:val="2"/>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ZGY0NGQ5OGEyODUzY2E3MWM2YjNkMTgwZWQ4MjkifQ=="/>
  </w:docVars>
  <w:rsids>
    <w:rsidRoot w:val="00172A27"/>
    <w:rsid w:val="00C621D0"/>
    <w:rsid w:val="00D26508"/>
    <w:rsid w:val="00D47C35"/>
    <w:rsid w:val="00D95B39"/>
    <w:rsid w:val="00DB6B5A"/>
    <w:rsid w:val="01095920"/>
    <w:rsid w:val="011B02F9"/>
    <w:rsid w:val="012A54D2"/>
    <w:rsid w:val="014275A5"/>
    <w:rsid w:val="014E69AF"/>
    <w:rsid w:val="015938D3"/>
    <w:rsid w:val="01A72EEF"/>
    <w:rsid w:val="01BE6222"/>
    <w:rsid w:val="01C73E98"/>
    <w:rsid w:val="01C92250"/>
    <w:rsid w:val="02055082"/>
    <w:rsid w:val="023758F4"/>
    <w:rsid w:val="025949D7"/>
    <w:rsid w:val="02974B2C"/>
    <w:rsid w:val="02CC6E30"/>
    <w:rsid w:val="02D92142"/>
    <w:rsid w:val="03323B4D"/>
    <w:rsid w:val="035C3D6F"/>
    <w:rsid w:val="036A4118"/>
    <w:rsid w:val="037B5A38"/>
    <w:rsid w:val="038207AB"/>
    <w:rsid w:val="038F07B3"/>
    <w:rsid w:val="04054EA8"/>
    <w:rsid w:val="041C7FB9"/>
    <w:rsid w:val="041E0EAD"/>
    <w:rsid w:val="047475DC"/>
    <w:rsid w:val="04811BB2"/>
    <w:rsid w:val="04975296"/>
    <w:rsid w:val="049A7C20"/>
    <w:rsid w:val="04A309D6"/>
    <w:rsid w:val="04A57753"/>
    <w:rsid w:val="04C31FAE"/>
    <w:rsid w:val="04E34912"/>
    <w:rsid w:val="054579FD"/>
    <w:rsid w:val="054D6CFB"/>
    <w:rsid w:val="054F5D32"/>
    <w:rsid w:val="056D44BF"/>
    <w:rsid w:val="05A71B3F"/>
    <w:rsid w:val="05BE24D8"/>
    <w:rsid w:val="05EC04F9"/>
    <w:rsid w:val="05F34893"/>
    <w:rsid w:val="060A5367"/>
    <w:rsid w:val="061760BE"/>
    <w:rsid w:val="061C28DB"/>
    <w:rsid w:val="063B339F"/>
    <w:rsid w:val="066F5DC3"/>
    <w:rsid w:val="0676474C"/>
    <w:rsid w:val="068C4871"/>
    <w:rsid w:val="069602FF"/>
    <w:rsid w:val="06F62551"/>
    <w:rsid w:val="06F84D7D"/>
    <w:rsid w:val="072D0157"/>
    <w:rsid w:val="075D020D"/>
    <w:rsid w:val="07621280"/>
    <w:rsid w:val="0790327A"/>
    <w:rsid w:val="07A428E3"/>
    <w:rsid w:val="07CB185D"/>
    <w:rsid w:val="07DA4E9C"/>
    <w:rsid w:val="08093A71"/>
    <w:rsid w:val="08A76D34"/>
    <w:rsid w:val="08CA60DE"/>
    <w:rsid w:val="08F00221"/>
    <w:rsid w:val="08FB6F31"/>
    <w:rsid w:val="09145975"/>
    <w:rsid w:val="09572877"/>
    <w:rsid w:val="097C1490"/>
    <w:rsid w:val="099E24B2"/>
    <w:rsid w:val="09AB0983"/>
    <w:rsid w:val="09CE1116"/>
    <w:rsid w:val="09E076C7"/>
    <w:rsid w:val="0A1E7575"/>
    <w:rsid w:val="0A2013A9"/>
    <w:rsid w:val="0A340DC6"/>
    <w:rsid w:val="0A435CEB"/>
    <w:rsid w:val="0A564057"/>
    <w:rsid w:val="0A765A8A"/>
    <w:rsid w:val="0A813285"/>
    <w:rsid w:val="0AA809C6"/>
    <w:rsid w:val="0ACE705D"/>
    <w:rsid w:val="0AD3705F"/>
    <w:rsid w:val="0AF837E4"/>
    <w:rsid w:val="0B05035F"/>
    <w:rsid w:val="0B28151A"/>
    <w:rsid w:val="0B2B22F5"/>
    <w:rsid w:val="0B5140BC"/>
    <w:rsid w:val="0B615CFF"/>
    <w:rsid w:val="0B6D3325"/>
    <w:rsid w:val="0B831A63"/>
    <w:rsid w:val="0B8C6DD9"/>
    <w:rsid w:val="0B8F7AB0"/>
    <w:rsid w:val="0BA95626"/>
    <w:rsid w:val="0BC23C9A"/>
    <w:rsid w:val="0C01007F"/>
    <w:rsid w:val="0C463AE2"/>
    <w:rsid w:val="0C585D0D"/>
    <w:rsid w:val="0CDC043F"/>
    <w:rsid w:val="0D004C93"/>
    <w:rsid w:val="0D3B1F2E"/>
    <w:rsid w:val="0D3B4AA2"/>
    <w:rsid w:val="0D543F47"/>
    <w:rsid w:val="0D9269B0"/>
    <w:rsid w:val="0D992AED"/>
    <w:rsid w:val="0DC21BA3"/>
    <w:rsid w:val="0E0040B4"/>
    <w:rsid w:val="0E0F21BC"/>
    <w:rsid w:val="0E1770D6"/>
    <w:rsid w:val="0E1B77DE"/>
    <w:rsid w:val="0E2B18D5"/>
    <w:rsid w:val="0E3218E4"/>
    <w:rsid w:val="0E73260E"/>
    <w:rsid w:val="0E9B2EC6"/>
    <w:rsid w:val="0EA91BC1"/>
    <w:rsid w:val="0EEF6AAD"/>
    <w:rsid w:val="0EFB7D6B"/>
    <w:rsid w:val="0F012419"/>
    <w:rsid w:val="0F035F56"/>
    <w:rsid w:val="0F17197D"/>
    <w:rsid w:val="0F3410B2"/>
    <w:rsid w:val="0F524821"/>
    <w:rsid w:val="0F6B1F01"/>
    <w:rsid w:val="0F9B3228"/>
    <w:rsid w:val="0FB74DC9"/>
    <w:rsid w:val="0FDB2F20"/>
    <w:rsid w:val="0FDF309C"/>
    <w:rsid w:val="101A621B"/>
    <w:rsid w:val="10252529"/>
    <w:rsid w:val="102F0E28"/>
    <w:rsid w:val="10390118"/>
    <w:rsid w:val="10501A8E"/>
    <w:rsid w:val="10A25EDA"/>
    <w:rsid w:val="10D4339F"/>
    <w:rsid w:val="10FA4268"/>
    <w:rsid w:val="1102547E"/>
    <w:rsid w:val="1113124C"/>
    <w:rsid w:val="113C7A86"/>
    <w:rsid w:val="114E32ED"/>
    <w:rsid w:val="11652FD6"/>
    <w:rsid w:val="11D843F8"/>
    <w:rsid w:val="11F56084"/>
    <w:rsid w:val="120D6C92"/>
    <w:rsid w:val="124B49D0"/>
    <w:rsid w:val="12DE2AB6"/>
    <w:rsid w:val="12E271C4"/>
    <w:rsid w:val="12E63C04"/>
    <w:rsid w:val="13004370"/>
    <w:rsid w:val="13430886"/>
    <w:rsid w:val="13D12F37"/>
    <w:rsid w:val="13D773DA"/>
    <w:rsid w:val="13E62B4A"/>
    <w:rsid w:val="144E3925"/>
    <w:rsid w:val="14523C8E"/>
    <w:rsid w:val="14814229"/>
    <w:rsid w:val="1485642A"/>
    <w:rsid w:val="148C55F5"/>
    <w:rsid w:val="1493579A"/>
    <w:rsid w:val="14A02656"/>
    <w:rsid w:val="14E13062"/>
    <w:rsid w:val="14EF2214"/>
    <w:rsid w:val="15112FB3"/>
    <w:rsid w:val="1517629B"/>
    <w:rsid w:val="15A71FCF"/>
    <w:rsid w:val="15CE73E7"/>
    <w:rsid w:val="15D714A3"/>
    <w:rsid w:val="15DA6861"/>
    <w:rsid w:val="15F7039E"/>
    <w:rsid w:val="16243806"/>
    <w:rsid w:val="16521360"/>
    <w:rsid w:val="169012D2"/>
    <w:rsid w:val="169B63CD"/>
    <w:rsid w:val="169D6CED"/>
    <w:rsid w:val="16CC463A"/>
    <w:rsid w:val="16FC2A4B"/>
    <w:rsid w:val="172A6452"/>
    <w:rsid w:val="17526FA4"/>
    <w:rsid w:val="178A5D34"/>
    <w:rsid w:val="1795379C"/>
    <w:rsid w:val="18063809"/>
    <w:rsid w:val="181A1B33"/>
    <w:rsid w:val="183813D4"/>
    <w:rsid w:val="18471274"/>
    <w:rsid w:val="18817186"/>
    <w:rsid w:val="18A53C2D"/>
    <w:rsid w:val="18E66AB2"/>
    <w:rsid w:val="19097C61"/>
    <w:rsid w:val="19155678"/>
    <w:rsid w:val="194F7902"/>
    <w:rsid w:val="19B81747"/>
    <w:rsid w:val="19DC1C4E"/>
    <w:rsid w:val="19FF33EE"/>
    <w:rsid w:val="1A224809"/>
    <w:rsid w:val="1A2F60BE"/>
    <w:rsid w:val="1A70567B"/>
    <w:rsid w:val="1A774458"/>
    <w:rsid w:val="1A846A93"/>
    <w:rsid w:val="1AA22304"/>
    <w:rsid w:val="1ABD34B5"/>
    <w:rsid w:val="1B1A3D35"/>
    <w:rsid w:val="1B8B4540"/>
    <w:rsid w:val="1B91390D"/>
    <w:rsid w:val="1B980981"/>
    <w:rsid w:val="1BC83144"/>
    <w:rsid w:val="1BEA4C7C"/>
    <w:rsid w:val="1C6C7C4F"/>
    <w:rsid w:val="1C885DAD"/>
    <w:rsid w:val="1C9E7D2D"/>
    <w:rsid w:val="1CA43733"/>
    <w:rsid w:val="1CAB0B30"/>
    <w:rsid w:val="1CCA5C25"/>
    <w:rsid w:val="1CE82961"/>
    <w:rsid w:val="1D3F5364"/>
    <w:rsid w:val="1D556DBC"/>
    <w:rsid w:val="1D7132EA"/>
    <w:rsid w:val="1DF1639C"/>
    <w:rsid w:val="1E037DAC"/>
    <w:rsid w:val="1E175EC1"/>
    <w:rsid w:val="1E55723C"/>
    <w:rsid w:val="1EA4279A"/>
    <w:rsid w:val="1EA700B7"/>
    <w:rsid w:val="1F152A17"/>
    <w:rsid w:val="1F1970AB"/>
    <w:rsid w:val="1F1A09E0"/>
    <w:rsid w:val="1F4E3E9E"/>
    <w:rsid w:val="1F6210D9"/>
    <w:rsid w:val="1F640C4B"/>
    <w:rsid w:val="1F7C3BBA"/>
    <w:rsid w:val="1FC2394D"/>
    <w:rsid w:val="1FCF2A25"/>
    <w:rsid w:val="1FF56CD3"/>
    <w:rsid w:val="202A5D19"/>
    <w:rsid w:val="208D2FA3"/>
    <w:rsid w:val="20910DC7"/>
    <w:rsid w:val="209640CD"/>
    <w:rsid w:val="20967EE2"/>
    <w:rsid w:val="20B83463"/>
    <w:rsid w:val="20BC724C"/>
    <w:rsid w:val="20D3473E"/>
    <w:rsid w:val="20DD79A8"/>
    <w:rsid w:val="20DE2C0B"/>
    <w:rsid w:val="20E233A0"/>
    <w:rsid w:val="20E3050A"/>
    <w:rsid w:val="21170006"/>
    <w:rsid w:val="212623F1"/>
    <w:rsid w:val="213D7796"/>
    <w:rsid w:val="215E6B36"/>
    <w:rsid w:val="21660D84"/>
    <w:rsid w:val="217942F8"/>
    <w:rsid w:val="217D1569"/>
    <w:rsid w:val="21AB6CB3"/>
    <w:rsid w:val="21B4139D"/>
    <w:rsid w:val="21DA28C2"/>
    <w:rsid w:val="21E92535"/>
    <w:rsid w:val="21EA67DF"/>
    <w:rsid w:val="220241DF"/>
    <w:rsid w:val="22494C50"/>
    <w:rsid w:val="22497BC5"/>
    <w:rsid w:val="22551944"/>
    <w:rsid w:val="225718E5"/>
    <w:rsid w:val="2279283A"/>
    <w:rsid w:val="227A5108"/>
    <w:rsid w:val="22AB5DF9"/>
    <w:rsid w:val="22BC625F"/>
    <w:rsid w:val="22C87A6E"/>
    <w:rsid w:val="22CE4F93"/>
    <w:rsid w:val="22DA3051"/>
    <w:rsid w:val="22DC4C58"/>
    <w:rsid w:val="2310565C"/>
    <w:rsid w:val="23236BC0"/>
    <w:rsid w:val="234B2556"/>
    <w:rsid w:val="236D655A"/>
    <w:rsid w:val="237F36A3"/>
    <w:rsid w:val="23AD68F9"/>
    <w:rsid w:val="23C31EAF"/>
    <w:rsid w:val="23C46C9C"/>
    <w:rsid w:val="23CD5BEA"/>
    <w:rsid w:val="23D46646"/>
    <w:rsid w:val="23E16DB3"/>
    <w:rsid w:val="23EF07BD"/>
    <w:rsid w:val="240B21ED"/>
    <w:rsid w:val="240F2BD4"/>
    <w:rsid w:val="242D3833"/>
    <w:rsid w:val="24816B05"/>
    <w:rsid w:val="24941690"/>
    <w:rsid w:val="24C20D54"/>
    <w:rsid w:val="24CC0ED1"/>
    <w:rsid w:val="24CF590E"/>
    <w:rsid w:val="24FD473D"/>
    <w:rsid w:val="25581FF1"/>
    <w:rsid w:val="25665875"/>
    <w:rsid w:val="256C491B"/>
    <w:rsid w:val="257C078C"/>
    <w:rsid w:val="258F5A73"/>
    <w:rsid w:val="25CF57C2"/>
    <w:rsid w:val="25E2566C"/>
    <w:rsid w:val="26024071"/>
    <w:rsid w:val="262A4707"/>
    <w:rsid w:val="266F771C"/>
    <w:rsid w:val="26815F37"/>
    <w:rsid w:val="26A742E8"/>
    <w:rsid w:val="26CF1553"/>
    <w:rsid w:val="26D83255"/>
    <w:rsid w:val="26DA0542"/>
    <w:rsid w:val="26DD06A7"/>
    <w:rsid w:val="273259A9"/>
    <w:rsid w:val="27380A7A"/>
    <w:rsid w:val="27503865"/>
    <w:rsid w:val="275A5F00"/>
    <w:rsid w:val="276258F6"/>
    <w:rsid w:val="279A2560"/>
    <w:rsid w:val="27DA7DAA"/>
    <w:rsid w:val="27F23143"/>
    <w:rsid w:val="28063E8E"/>
    <w:rsid w:val="28427CEE"/>
    <w:rsid w:val="28486D86"/>
    <w:rsid w:val="28790670"/>
    <w:rsid w:val="28D252DE"/>
    <w:rsid w:val="29095C9F"/>
    <w:rsid w:val="291B1976"/>
    <w:rsid w:val="291D4F17"/>
    <w:rsid w:val="292145DB"/>
    <w:rsid w:val="292D12B6"/>
    <w:rsid w:val="29AB0C3B"/>
    <w:rsid w:val="29BB4910"/>
    <w:rsid w:val="29DB234D"/>
    <w:rsid w:val="29DD3939"/>
    <w:rsid w:val="2A1F36F3"/>
    <w:rsid w:val="2A636FF6"/>
    <w:rsid w:val="2A694B22"/>
    <w:rsid w:val="2A80573B"/>
    <w:rsid w:val="2AAF1678"/>
    <w:rsid w:val="2B3B1E66"/>
    <w:rsid w:val="2B770163"/>
    <w:rsid w:val="2B8434F0"/>
    <w:rsid w:val="2B8F5708"/>
    <w:rsid w:val="2B960D99"/>
    <w:rsid w:val="2B9E3F4D"/>
    <w:rsid w:val="2B9E7E17"/>
    <w:rsid w:val="2BCB247B"/>
    <w:rsid w:val="2BF58F10"/>
    <w:rsid w:val="2C320B95"/>
    <w:rsid w:val="2C6C4F69"/>
    <w:rsid w:val="2C7D12B4"/>
    <w:rsid w:val="2CCA7EB6"/>
    <w:rsid w:val="2CED73A5"/>
    <w:rsid w:val="2CF72413"/>
    <w:rsid w:val="2D3347E7"/>
    <w:rsid w:val="2D4F38E3"/>
    <w:rsid w:val="2D6045A9"/>
    <w:rsid w:val="2D9617F6"/>
    <w:rsid w:val="2DBE7E6A"/>
    <w:rsid w:val="2DCB0FE4"/>
    <w:rsid w:val="2DEC5B1F"/>
    <w:rsid w:val="2E21726B"/>
    <w:rsid w:val="2E7532C5"/>
    <w:rsid w:val="2E9501B1"/>
    <w:rsid w:val="2F3A5A0E"/>
    <w:rsid w:val="2F423753"/>
    <w:rsid w:val="2F575FD4"/>
    <w:rsid w:val="2FB87BD1"/>
    <w:rsid w:val="2FF80F0E"/>
    <w:rsid w:val="304108B1"/>
    <w:rsid w:val="305807BF"/>
    <w:rsid w:val="306B5FE8"/>
    <w:rsid w:val="307E46AF"/>
    <w:rsid w:val="30D81EF7"/>
    <w:rsid w:val="30D93356"/>
    <w:rsid w:val="30DA1DD9"/>
    <w:rsid w:val="30E76B67"/>
    <w:rsid w:val="31000A61"/>
    <w:rsid w:val="318D2CFD"/>
    <w:rsid w:val="31EF7B28"/>
    <w:rsid w:val="32015993"/>
    <w:rsid w:val="321744D9"/>
    <w:rsid w:val="322118FB"/>
    <w:rsid w:val="322476CF"/>
    <w:rsid w:val="322B55AE"/>
    <w:rsid w:val="32390A38"/>
    <w:rsid w:val="32521B1D"/>
    <w:rsid w:val="326C65A7"/>
    <w:rsid w:val="326D5167"/>
    <w:rsid w:val="326E6C1E"/>
    <w:rsid w:val="329F5F4A"/>
    <w:rsid w:val="32A221C5"/>
    <w:rsid w:val="32AD00E0"/>
    <w:rsid w:val="32BB403E"/>
    <w:rsid w:val="32DD681E"/>
    <w:rsid w:val="32E30700"/>
    <w:rsid w:val="32E3590E"/>
    <w:rsid w:val="32FC3D25"/>
    <w:rsid w:val="33136037"/>
    <w:rsid w:val="3316675F"/>
    <w:rsid w:val="33646F82"/>
    <w:rsid w:val="33800A0F"/>
    <w:rsid w:val="338E424C"/>
    <w:rsid w:val="339B377C"/>
    <w:rsid w:val="33D1368F"/>
    <w:rsid w:val="33E56114"/>
    <w:rsid w:val="345631E3"/>
    <w:rsid w:val="34572A71"/>
    <w:rsid w:val="349026A2"/>
    <w:rsid w:val="3492138F"/>
    <w:rsid w:val="349D7A9E"/>
    <w:rsid w:val="34A00DB1"/>
    <w:rsid w:val="34A40005"/>
    <w:rsid w:val="34B410D3"/>
    <w:rsid w:val="34BB41E0"/>
    <w:rsid w:val="34BC4B4B"/>
    <w:rsid w:val="3507717E"/>
    <w:rsid w:val="350C2D09"/>
    <w:rsid w:val="357D7B25"/>
    <w:rsid w:val="3592350F"/>
    <w:rsid w:val="35A67A5F"/>
    <w:rsid w:val="35A77929"/>
    <w:rsid w:val="35C11552"/>
    <w:rsid w:val="35E1132F"/>
    <w:rsid w:val="3615435C"/>
    <w:rsid w:val="361C37F0"/>
    <w:rsid w:val="361E362C"/>
    <w:rsid w:val="363313F5"/>
    <w:rsid w:val="3635774B"/>
    <w:rsid w:val="3642105E"/>
    <w:rsid w:val="366E1C81"/>
    <w:rsid w:val="366E4460"/>
    <w:rsid w:val="36773E5D"/>
    <w:rsid w:val="36801F8F"/>
    <w:rsid w:val="36A04C6E"/>
    <w:rsid w:val="36AF573D"/>
    <w:rsid w:val="36BB169B"/>
    <w:rsid w:val="36CF23CE"/>
    <w:rsid w:val="36D3565B"/>
    <w:rsid w:val="36E0622F"/>
    <w:rsid w:val="36ED3DEE"/>
    <w:rsid w:val="36FF7BE6"/>
    <w:rsid w:val="3720584E"/>
    <w:rsid w:val="375D21A8"/>
    <w:rsid w:val="3779039B"/>
    <w:rsid w:val="377FA34A"/>
    <w:rsid w:val="37E40B8A"/>
    <w:rsid w:val="37FB3273"/>
    <w:rsid w:val="383967AA"/>
    <w:rsid w:val="387F5AF8"/>
    <w:rsid w:val="38E50D89"/>
    <w:rsid w:val="391F7A71"/>
    <w:rsid w:val="39455184"/>
    <w:rsid w:val="39726B7C"/>
    <w:rsid w:val="398C1743"/>
    <w:rsid w:val="399B6E57"/>
    <w:rsid w:val="39EA3076"/>
    <w:rsid w:val="3A2C1123"/>
    <w:rsid w:val="3A395E36"/>
    <w:rsid w:val="3A443C96"/>
    <w:rsid w:val="3A461688"/>
    <w:rsid w:val="3A5E70A9"/>
    <w:rsid w:val="3A605AF2"/>
    <w:rsid w:val="3A9A7630"/>
    <w:rsid w:val="3ADE1AAE"/>
    <w:rsid w:val="3B27770B"/>
    <w:rsid w:val="3B457F98"/>
    <w:rsid w:val="3B6C49BC"/>
    <w:rsid w:val="3B776CDF"/>
    <w:rsid w:val="3BA30382"/>
    <w:rsid w:val="3BAA39EE"/>
    <w:rsid w:val="3BDF3482"/>
    <w:rsid w:val="3C0359A7"/>
    <w:rsid w:val="3C1430A0"/>
    <w:rsid w:val="3C457F4A"/>
    <w:rsid w:val="3C9C292F"/>
    <w:rsid w:val="3CCC47C8"/>
    <w:rsid w:val="3CD279F8"/>
    <w:rsid w:val="3CD504B4"/>
    <w:rsid w:val="3D5A6499"/>
    <w:rsid w:val="3D8D4673"/>
    <w:rsid w:val="3DBD339D"/>
    <w:rsid w:val="3DBE69D1"/>
    <w:rsid w:val="3DF71617"/>
    <w:rsid w:val="3DF78031"/>
    <w:rsid w:val="3DFB6F3B"/>
    <w:rsid w:val="3E4F3CEB"/>
    <w:rsid w:val="3E6F3308"/>
    <w:rsid w:val="3E8B7A4C"/>
    <w:rsid w:val="3EBD4B9C"/>
    <w:rsid w:val="3EDC6BE4"/>
    <w:rsid w:val="3EF54968"/>
    <w:rsid w:val="3F1A06F7"/>
    <w:rsid w:val="3F1B0FC1"/>
    <w:rsid w:val="3F246DEE"/>
    <w:rsid w:val="3F2BC3A1"/>
    <w:rsid w:val="3F320B28"/>
    <w:rsid w:val="3F4A0470"/>
    <w:rsid w:val="3F5512BA"/>
    <w:rsid w:val="3F7F83AD"/>
    <w:rsid w:val="3FD602BE"/>
    <w:rsid w:val="400468BA"/>
    <w:rsid w:val="40455FBC"/>
    <w:rsid w:val="40D60483"/>
    <w:rsid w:val="40EF446D"/>
    <w:rsid w:val="40FD0A5D"/>
    <w:rsid w:val="411A3B8A"/>
    <w:rsid w:val="41366D43"/>
    <w:rsid w:val="4152018A"/>
    <w:rsid w:val="416C7DBD"/>
    <w:rsid w:val="41F122DB"/>
    <w:rsid w:val="4234381E"/>
    <w:rsid w:val="42954201"/>
    <w:rsid w:val="429823CB"/>
    <w:rsid w:val="429D5C8C"/>
    <w:rsid w:val="42A178EE"/>
    <w:rsid w:val="42EA61D2"/>
    <w:rsid w:val="43050FCE"/>
    <w:rsid w:val="43087E22"/>
    <w:rsid w:val="43095949"/>
    <w:rsid w:val="433831AE"/>
    <w:rsid w:val="433B256A"/>
    <w:rsid w:val="43460D6B"/>
    <w:rsid w:val="43491AA2"/>
    <w:rsid w:val="43F31EC1"/>
    <w:rsid w:val="43FA4C4D"/>
    <w:rsid w:val="43FB1131"/>
    <w:rsid w:val="441A2345"/>
    <w:rsid w:val="44385910"/>
    <w:rsid w:val="443F0DB6"/>
    <w:rsid w:val="44537DFF"/>
    <w:rsid w:val="445E4478"/>
    <w:rsid w:val="446A7E1D"/>
    <w:rsid w:val="447E4A26"/>
    <w:rsid w:val="448D327D"/>
    <w:rsid w:val="449F1233"/>
    <w:rsid w:val="44E471D7"/>
    <w:rsid w:val="45500698"/>
    <w:rsid w:val="458F40E0"/>
    <w:rsid w:val="458F795A"/>
    <w:rsid w:val="45D4622A"/>
    <w:rsid w:val="462E0726"/>
    <w:rsid w:val="4683709C"/>
    <w:rsid w:val="46AF2877"/>
    <w:rsid w:val="46EA50D3"/>
    <w:rsid w:val="47037DE7"/>
    <w:rsid w:val="471760F8"/>
    <w:rsid w:val="472812B5"/>
    <w:rsid w:val="47435B56"/>
    <w:rsid w:val="476123B9"/>
    <w:rsid w:val="47720309"/>
    <w:rsid w:val="477B3301"/>
    <w:rsid w:val="478009AC"/>
    <w:rsid w:val="47A42B87"/>
    <w:rsid w:val="47B03B4D"/>
    <w:rsid w:val="47FC2563"/>
    <w:rsid w:val="484A0F00"/>
    <w:rsid w:val="484E4048"/>
    <w:rsid w:val="48787FAC"/>
    <w:rsid w:val="489B2F4B"/>
    <w:rsid w:val="48B60321"/>
    <w:rsid w:val="48C0305C"/>
    <w:rsid w:val="48CF07C1"/>
    <w:rsid w:val="48D1046F"/>
    <w:rsid w:val="48D67E6E"/>
    <w:rsid w:val="49360D0C"/>
    <w:rsid w:val="493865B5"/>
    <w:rsid w:val="4962010A"/>
    <w:rsid w:val="496C7C8D"/>
    <w:rsid w:val="4977185E"/>
    <w:rsid w:val="498469FF"/>
    <w:rsid w:val="49DF5A21"/>
    <w:rsid w:val="49F829E7"/>
    <w:rsid w:val="4A187D2D"/>
    <w:rsid w:val="4A5B5235"/>
    <w:rsid w:val="4AC863B5"/>
    <w:rsid w:val="4ADD6C7C"/>
    <w:rsid w:val="4B0F337A"/>
    <w:rsid w:val="4B410C16"/>
    <w:rsid w:val="4B44380D"/>
    <w:rsid w:val="4B7F5BCC"/>
    <w:rsid w:val="4BA94BA1"/>
    <w:rsid w:val="4BB01A5F"/>
    <w:rsid w:val="4BB30F42"/>
    <w:rsid w:val="4BC17ABD"/>
    <w:rsid w:val="4BD72A88"/>
    <w:rsid w:val="4BE5658F"/>
    <w:rsid w:val="4BEE18C0"/>
    <w:rsid w:val="4BF33563"/>
    <w:rsid w:val="4BF50CB2"/>
    <w:rsid w:val="4C6A1274"/>
    <w:rsid w:val="4C6E15BF"/>
    <w:rsid w:val="4C6F32AD"/>
    <w:rsid w:val="4C737E6D"/>
    <w:rsid w:val="4C9108BC"/>
    <w:rsid w:val="4CAF6EB5"/>
    <w:rsid w:val="4CB2054A"/>
    <w:rsid w:val="4CC65386"/>
    <w:rsid w:val="4CDF679D"/>
    <w:rsid w:val="4CFE0910"/>
    <w:rsid w:val="4D165162"/>
    <w:rsid w:val="4D170BB5"/>
    <w:rsid w:val="4D574D34"/>
    <w:rsid w:val="4D640565"/>
    <w:rsid w:val="4D7213D6"/>
    <w:rsid w:val="4DB67C3F"/>
    <w:rsid w:val="4DB93C1C"/>
    <w:rsid w:val="4DDB3C99"/>
    <w:rsid w:val="4DDC3463"/>
    <w:rsid w:val="4DF11245"/>
    <w:rsid w:val="4E050942"/>
    <w:rsid w:val="4E247E95"/>
    <w:rsid w:val="4E274294"/>
    <w:rsid w:val="4E4207B2"/>
    <w:rsid w:val="4E5649B8"/>
    <w:rsid w:val="4E8731E5"/>
    <w:rsid w:val="4EC84766"/>
    <w:rsid w:val="4ED133E0"/>
    <w:rsid w:val="4EE1639C"/>
    <w:rsid w:val="4EF94B51"/>
    <w:rsid w:val="4F4F2ACB"/>
    <w:rsid w:val="4F7A5C1F"/>
    <w:rsid w:val="4F8F33DB"/>
    <w:rsid w:val="4F940DFD"/>
    <w:rsid w:val="4F9D2D1D"/>
    <w:rsid w:val="4FBE720C"/>
    <w:rsid w:val="4FF8744B"/>
    <w:rsid w:val="4FFB507E"/>
    <w:rsid w:val="501C5568"/>
    <w:rsid w:val="503F1F7D"/>
    <w:rsid w:val="50815D87"/>
    <w:rsid w:val="50875DDA"/>
    <w:rsid w:val="50A67405"/>
    <w:rsid w:val="50A75917"/>
    <w:rsid w:val="50BF7A86"/>
    <w:rsid w:val="50F7462E"/>
    <w:rsid w:val="50FC2C3C"/>
    <w:rsid w:val="51332C77"/>
    <w:rsid w:val="5165451C"/>
    <w:rsid w:val="518F7337"/>
    <w:rsid w:val="51CA2B07"/>
    <w:rsid w:val="51D574B6"/>
    <w:rsid w:val="51D97625"/>
    <w:rsid w:val="520D40AC"/>
    <w:rsid w:val="52237D21"/>
    <w:rsid w:val="524B5983"/>
    <w:rsid w:val="525C1145"/>
    <w:rsid w:val="527777E7"/>
    <w:rsid w:val="528E2E9A"/>
    <w:rsid w:val="52A248C9"/>
    <w:rsid w:val="533E54DE"/>
    <w:rsid w:val="53532AF5"/>
    <w:rsid w:val="5363174A"/>
    <w:rsid w:val="53781CD0"/>
    <w:rsid w:val="53BE66B0"/>
    <w:rsid w:val="53D272B4"/>
    <w:rsid w:val="53E429F3"/>
    <w:rsid w:val="53FC7D3D"/>
    <w:rsid w:val="544F4B17"/>
    <w:rsid w:val="54690E06"/>
    <w:rsid w:val="546B719F"/>
    <w:rsid w:val="547D1B69"/>
    <w:rsid w:val="547D3CA1"/>
    <w:rsid w:val="548D462B"/>
    <w:rsid w:val="548E2449"/>
    <w:rsid w:val="549A78FD"/>
    <w:rsid w:val="54A71544"/>
    <w:rsid w:val="54E03240"/>
    <w:rsid w:val="54E161E6"/>
    <w:rsid w:val="555E7D76"/>
    <w:rsid w:val="556F7681"/>
    <w:rsid w:val="55717EF0"/>
    <w:rsid w:val="55B83796"/>
    <w:rsid w:val="55BD56C8"/>
    <w:rsid w:val="55BD62FC"/>
    <w:rsid w:val="55BF546A"/>
    <w:rsid w:val="55CF4789"/>
    <w:rsid w:val="55E24205"/>
    <w:rsid w:val="55FF3119"/>
    <w:rsid w:val="56290606"/>
    <w:rsid w:val="562958F0"/>
    <w:rsid w:val="56960007"/>
    <w:rsid w:val="569C33FD"/>
    <w:rsid w:val="56A67268"/>
    <w:rsid w:val="56AD53E1"/>
    <w:rsid w:val="56D976B4"/>
    <w:rsid w:val="56E17E4B"/>
    <w:rsid w:val="56FF1284"/>
    <w:rsid w:val="571177FA"/>
    <w:rsid w:val="571A4D54"/>
    <w:rsid w:val="57285324"/>
    <w:rsid w:val="572C50A1"/>
    <w:rsid w:val="574A79DE"/>
    <w:rsid w:val="574E744D"/>
    <w:rsid w:val="576858F9"/>
    <w:rsid w:val="5773059A"/>
    <w:rsid w:val="57862A77"/>
    <w:rsid w:val="57CD61A9"/>
    <w:rsid w:val="57D26EB7"/>
    <w:rsid w:val="580653FD"/>
    <w:rsid w:val="580F63AE"/>
    <w:rsid w:val="586B7753"/>
    <w:rsid w:val="58AA581E"/>
    <w:rsid w:val="58D5070A"/>
    <w:rsid w:val="58FB1BA3"/>
    <w:rsid w:val="59043E01"/>
    <w:rsid w:val="590B354E"/>
    <w:rsid w:val="59BB60CF"/>
    <w:rsid w:val="59D34D02"/>
    <w:rsid w:val="5A4E4EC1"/>
    <w:rsid w:val="5A4E7262"/>
    <w:rsid w:val="5A791DEA"/>
    <w:rsid w:val="5A7C75A7"/>
    <w:rsid w:val="5A831B3A"/>
    <w:rsid w:val="5ABC76D3"/>
    <w:rsid w:val="5AEE72F1"/>
    <w:rsid w:val="5BC24B08"/>
    <w:rsid w:val="5BE34185"/>
    <w:rsid w:val="5BF6728A"/>
    <w:rsid w:val="5C083ADA"/>
    <w:rsid w:val="5C766F57"/>
    <w:rsid w:val="5C7865A7"/>
    <w:rsid w:val="5C9F3A65"/>
    <w:rsid w:val="5CB11B30"/>
    <w:rsid w:val="5CC02802"/>
    <w:rsid w:val="5D082219"/>
    <w:rsid w:val="5D0C1B5E"/>
    <w:rsid w:val="5D0F7FFE"/>
    <w:rsid w:val="5D10309F"/>
    <w:rsid w:val="5D2B4B79"/>
    <w:rsid w:val="5D3D543E"/>
    <w:rsid w:val="5D425978"/>
    <w:rsid w:val="5D6F03B3"/>
    <w:rsid w:val="5D8F57D0"/>
    <w:rsid w:val="5D9769EF"/>
    <w:rsid w:val="5DB43D5B"/>
    <w:rsid w:val="5DC90AF1"/>
    <w:rsid w:val="5E1F3CF6"/>
    <w:rsid w:val="5E345B18"/>
    <w:rsid w:val="5E3F5C63"/>
    <w:rsid w:val="5E565CA2"/>
    <w:rsid w:val="5E580D87"/>
    <w:rsid w:val="5E7B08D1"/>
    <w:rsid w:val="5E826CA8"/>
    <w:rsid w:val="5E847D30"/>
    <w:rsid w:val="5E864613"/>
    <w:rsid w:val="5E9A24A8"/>
    <w:rsid w:val="5EAB0D2C"/>
    <w:rsid w:val="5EF6ABF5"/>
    <w:rsid w:val="5F2B1805"/>
    <w:rsid w:val="5F476193"/>
    <w:rsid w:val="5F4D6DA2"/>
    <w:rsid w:val="5FA17662"/>
    <w:rsid w:val="5FAE1170"/>
    <w:rsid w:val="5FB76261"/>
    <w:rsid w:val="5FDF280A"/>
    <w:rsid w:val="5FFE0300"/>
    <w:rsid w:val="600462B9"/>
    <w:rsid w:val="60120D35"/>
    <w:rsid w:val="604231D2"/>
    <w:rsid w:val="60573113"/>
    <w:rsid w:val="608A289D"/>
    <w:rsid w:val="60991863"/>
    <w:rsid w:val="60A9595B"/>
    <w:rsid w:val="60D56C76"/>
    <w:rsid w:val="60E342E4"/>
    <w:rsid w:val="61151723"/>
    <w:rsid w:val="611759A9"/>
    <w:rsid w:val="613432FE"/>
    <w:rsid w:val="614528AC"/>
    <w:rsid w:val="6161067B"/>
    <w:rsid w:val="617B03CB"/>
    <w:rsid w:val="617B565A"/>
    <w:rsid w:val="619D6B85"/>
    <w:rsid w:val="61B363CD"/>
    <w:rsid w:val="61BB6C36"/>
    <w:rsid w:val="61FB170E"/>
    <w:rsid w:val="6239236D"/>
    <w:rsid w:val="62A00E16"/>
    <w:rsid w:val="62A6254F"/>
    <w:rsid w:val="62D14C9E"/>
    <w:rsid w:val="633F463B"/>
    <w:rsid w:val="639F7DC1"/>
    <w:rsid w:val="63E911CE"/>
    <w:rsid w:val="63EE313D"/>
    <w:rsid w:val="63F30435"/>
    <w:rsid w:val="63F69D7E"/>
    <w:rsid w:val="63F743E1"/>
    <w:rsid w:val="64050ABF"/>
    <w:rsid w:val="642D1CFD"/>
    <w:rsid w:val="64363468"/>
    <w:rsid w:val="645239A3"/>
    <w:rsid w:val="64622E0B"/>
    <w:rsid w:val="64935E36"/>
    <w:rsid w:val="64B32E2F"/>
    <w:rsid w:val="64C157D9"/>
    <w:rsid w:val="64CA7FBA"/>
    <w:rsid w:val="64D8451F"/>
    <w:rsid w:val="64E250F2"/>
    <w:rsid w:val="6500469F"/>
    <w:rsid w:val="653D75CE"/>
    <w:rsid w:val="65655E31"/>
    <w:rsid w:val="658968F3"/>
    <w:rsid w:val="659F6081"/>
    <w:rsid w:val="65A70C8A"/>
    <w:rsid w:val="65A72374"/>
    <w:rsid w:val="65A76324"/>
    <w:rsid w:val="65A823F2"/>
    <w:rsid w:val="65B460C5"/>
    <w:rsid w:val="65ED414E"/>
    <w:rsid w:val="65EF4D81"/>
    <w:rsid w:val="65FD598B"/>
    <w:rsid w:val="66534994"/>
    <w:rsid w:val="66620E80"/>
    <w:rsid w:val="66A71360"/>
    <w:rsid w:val="66B5420B"/>
    <w:rsid w:val="670F7889"/>
    <w:rsid w:val="67126567"/>
    <w:rsid w:val="67211260"/>
    <w:rsid w:val="67377C7E"/>
    <w:rsid w:val="67460997"/>
    <w:rsid w:val="674A54CB"/>
    <w:rsid w:val="676557D9"/>
    <w:rsid w:val="676D705E"/>
    <w:rsid w:val="677C59EE"/>
    <w:rsid w:val="67946156"/>
    <w:rsid w:val="67A05B2A"/>
    <w:rsid w:val="67D0240D"/>
    <w:rsid w:val="67DE2C50"/>
    <w:rsid w:val="67DE7084"/>
    <w:rsid w:val="67E833FD"/>
    <w:rsid w:val="67F7300E"/>
    <w:rsid w:val="68342E8F"/>
    <w:rsid w:val="68483D18"/>
    <w:rsid w:val="687D4BDD"/>
    <w:rsid w:val="688B4D25"/>
    <w:rsid w:val="68952F54"/>
    <w:rsid w:val="68DC3EFE"/>
    <w:rsid w:val="68F8398F"/>
    <w:rsid w:val="69125ADB"/>
    <w:rsid w:val="69507B39"/>
    <w:rsid w:val="698E0FEB"/>
    <w:rsid w:val="6998799E"/>
    <w:rsid w:val="699A5808"/>
    <w:rsid w:val="6A3E6267"/>
    <w:rsid w:val="6A5001F7"/>
    <w:rsid w:val="6A5979DE"/>
    <w:rsid w:val="6A6F3423"/>
    <w:rsid w:val="6A8923D3"/>
    <w:rsid w:val="6A896D5A"/>
    <w:rsid w:val="6AA13425"/>
    <w:rsid w:val="6AD84EFA"/>
    <w:rsid w:val="6ADB3525"/>
    <w:rsid w:val="6ADB6367"/>
    <w:rsid w:val="6B6849D9"/>
    <w:rsid w:val="6B8723B0"/>
    <w:rsid w:val="6B8B2B72"/>
    <w:rsid w:val="6C2A7700"/>
    <w:rsid w:val="6C3170F0"/>
    <w:rsid w:val="6C8E6327"/>
    <w:rsid w:val="6C8F643C"/>
    <w:rsid w:val="6CA8352E"/>
    <w:rsid w:val="6CB97733"/>
    <w:rsid w:val="6CD725ED"/>
    <w:rsid w:val="6CEA4165"/>
    <w:rsid w:val="6D376AFE"/>
    <w:rsid w:val="6D3B35C4"/>
    <w:rsid w:val="6D546223"/>
    <w:rsid w:val="6D6D1E4F"/>
    <w:rsid w:val="6D9557A8"/>
    <w:rsid w:val="6DC146F3"/>
    <w:rsid w:val="6DDD7591"/>
    <w:rsid w:val="6DF53E3B"/>
    <w:rsid w:val="6E0359BE"/>
    <w:rsid w:val="6E0B4668"/>
    <w:rsid w:val="6E141A2A"/>
    <w:rsid w:val="6E2122B7"/>
    <w:rsid w:val="6E4962DA"/>
    <w:rsid w:val="6E5509CC"/>
    <w:rsid w:val="6EA05AE1"/>
    <w:rsid w:val="6EAB20CD"/>
    <w:rsid w:val="6EE06FEB"/>
    <w:rsid w:val="6EED307F"/>
    <w:rsid w:val="6EF74287"/>
    <w:rsid w:val="6F153218"/>
    <w:rsid w:val="6F1F0ECB"/>
    <w:rsid w:val="6F6C6F01"/>
    <w:rsid w:val="6F76486B"/>
    <w:rsid w:val="6F924A6F"/>
    <w:rsid w:val="6FCD2EB5"/>
    <w:rsid w:val="6FE55BBD"/>
    <w:rsid w:val="707B47C4"/>
    <w:rsid w:val="709B4B83"/>
    <w:rsid w:val="70B64C12"/>
    <w:rsid w:val="70C11755"/>
    <w:rsid w:val="70DD2618"/>
    <w:rsid w:val="70E6544B"/>
    <w:rsid w:val="70ED0986"/>
    <w:rsid w:val="70EE1BE6"/>
    <w:rsid w:val="712A0992"/>
    <w:rsid w:val="71881060"/>
    <w:rsid w:val="71CF0D35"/>
    <w:rsid w:val="71D728C9"/>
    <w:rsid w:val="71E003DD"/>
    <w:rsid w:val="71F41383"/>
    <w:rsid w:val="72021250"/>
    <w:rsid w:val="720F6D7D"/>
    <w:rsid w:val="72472963"/>
    <w:rsid w:val="726532FB"/>
    <w:rsid w:val="72670F93"/>
    <w:rsid w:val="72950198"/>
    <w:rsid w:val="729BE13D"/>
    <w:rsid w:val="72EA4658"/>
    <w:rsid w:val="7320375D"/>
    <w:rsid w:val="734075B0"/>
    <w:rsid w:val="735B55FE"/>
    <w:rsid w:val="736C23ED"/>
    <w:rsid w:val="73CA3D94"/>
    <w:rsid w:val="73F53DA6"/>
    <w:rsid w:val="73F7771D"/>
    <w:rsid w:val="742B4973"/>
    <w:rsid w:val="74444F9D"/>
    <w:rsid w:val="748725BD"/>
    <w:rsid w:val="74895DC2"/>
    <w:rsid w:val="74A01DFE"/>
    <w:rsid w:val="74B00652"/>
    <w:rsid w:val="74C6075E"/>
    <w:rsid w:val="74D86BD2"/>
    <w:rsid w:val="74F109DD"/>
    <w:rsid w:val="74FB2A94"/>
    <w:rsid w:val="74FE7100"/>
    <w:rsid w:val="7509716F"/>
    <w:rsid w:val="753442AC"/>
    <w:rsid w:val="755A26D4"/>
    <w:rsid w:val="75667239"/>
    <w:rsid w:val="756D0B1E"/>
    <w:rsid w:val="757E1548"/>
    <w:rsid w:val="75E57090"/>
    <w:rsid w:val="761B4B26"/>
    <w:rsid w:val="762F10DD"/>
    <w:rsid w:val="76945580"/>
    <w:rsid w:val="769B575F"/>
    <w:rsid w:val="76BE180F"/>
    <w:rsid w:val="76E17EFC"/>
    <w:rsid w:val="7718557A"/>
    <w:rsid w:val="771C6DDB"/>
    <w:rsid w:val="774C11E5"/>
    <w:rsid w:val="77563BDF"/>
    <w:rsid w:val="7777ABF9"/>
    <w:rsid w:val="777C4360"/>
    <w:rsid w:val="77852F1D"/>
    <w:rsid w:val="77970501"/>
    <w:rsid w:val="77CE4E49"/>
    <w:rsid w:val="77DD1955"/>
    <w:rsid w:val="77F9150C"/>
    <w:rsid w:val="78492BFF"/>
    <w:rsid w:val="784A2834"/>
    <w:rsid w:val="78986C8F"/>
    <w:rsid w:val="78F316BE"/>
    <w:rsid w:val="78F53EF1"/>
    <w:rsid w:val="79064ACA"/>
    <w:rsid w:val="79200D68"/>
    <w:rsid w:val="79404045"/>
    <w:rsid w:val="79486855"/>
    <w:rsid w:val="794B1CCF"/>
    <w:rsid w:val="794E1F75"/>
    <w:rsid w:val="799737F5"/>
    <w:rsid w:val="799E4EDF"/>
    <w:rsid w:val="79AB42FC"/>
    <w:rsid w:val="79C40791"/>
    <w:rsid w:val="7A4D6843"/>
    <w:rsid w:val="7A721263"/>
    <w:rsid w:val="7A98300E"/>
    <w:rsid w:val="7AA812CD"/>
    <w:rsid w:val="7AE5221C"/>
    <w:rsid w:val="7B2241A0"/>
    <w:rsid w:val="7B4E5F74"/>
    <w:rsid w:val="7B5B590C"/>
    <w:rsid w:val="7B7BFB59"/>
    <w:rsid w:val="7B7CCF65"/>
    <w:rsid w:val="7BC21276"/>
    <w:rsid w:val="7BF232D8"/>
    <w:rsid w:val="7BFF0EC6"/>
    <w:rsid w:val="7C0A10B0"/>
    <w:rsid w:val="7C21154A"/>
    <w:rsid w:val="7C2521C4"/>
    <w:rsid w:val="7C266A5E"/>
    <w:rsid w:val="7C4D471D"/>
    <w:rsid w:val="7C620CEE"/>
    <w:rsid w:val="7CC43F8D"/>
    <w:rsid w:val="7CC81220"/>
    <w:rsid w:val="7CD3033B"/>
    <w:rsid w:val="7CD4773D"/>
    <w:rsid w:val="7CDD2498"/>
    <w:rsid w:val="7CF56C61"/>
    <w:rsid w:val="7CFF7499"/>
    <w:rsid w:val="7D1428F3"/>
    <w:rsid w:val="7D1C52E3"/>
    <w:rsid w:val="7D252D0D"/>
    <w:rsid w:val="7D2E060E"/>
    <w:rsid w:val="7D3714E0"/>
    <w:rsid w:val="7D3A2618"/>
    <w:rsid w:val="7D405FDE"/>
    <w:rsid w:val="7D53229B"/>
    <w:rsid w:val="7D9F232A"/>
    <w:rsid w:val="7DB84B7D"/>
    <w:rsid w:val="7DC018EE"/>
    <w:rsid w:val="7DC03F63"/>
    <w:rsid w:val="7DF60719"/>
    <w:rsid w:val="7E2719D2"/>
    <w:rsid w:val="7E301C88"/>
    <w:rsid w:val="7E5706C0"/>
    <w:rsid w:val="7E6F2DB2"/>
    <w:rsid w:val="7E730C2B"/>
    <w:rsid w:val="7E781DF1"/>
    <w:rsid w:val="7E797FB0"/>
    <w:rsid w:val="7EA1239A"/>
    <w:rsid w:val="7EC81A6C"/>
    <w:rsid w:val="7ED20DB6"/>
    <w:rsid w:val="7ED9582D"/>
    <w:rsid w:val="7EF36E77"/>
    <w:rsid w:val="7F21731A"/>
    <w:rsid w:val="7F66149A"/>
    <w:rsid w:val="7F6714F4"/>
    <w:rsid w:val="7F7F7810"/>
    <w:rsid w:val="7F7F83A7"/>
    <w:rsid w:val="7FCC3B30"/>
    <w:rsid w:val="7FD4593B"/>
    <w:rsid w:val="7FE07536"/>
    <w:rsid w:val="7FF155E8"/>
    <w:rsid w:val="7FF6DD38"/>
    <w:rsid w:val="9EDF912F"/>
    <w:rsid w:val="A3FF2B5A"/>
    <w:rsid w:val="ADD5582F"/>
    <w:rsid w:val="AFC94F78"/>
    <w:rsid w:val="BBF7E7E6"/>
    <w:rsid w:val="BEEF8D72"/>
    <w:rsid w:val="CAFA540F"/>
    <w:rsid w:val="CFC55BED"/>
    <w:rsid w:val="DEFFFE86"/>
    <w:rsid w:val="DF7FB6CD"/>
    <w:rsid w:val="DFD2589F"/>
    <w:rsid w:val="DFDA016F"/>
    <w:rsid w:val="DFFD30DF"/>
    <w:rsid w:val="EB3BE360"/>
    <w:rsid w:val="EF3D548B"/>
    <w:rsid w:val="EFFFA083"/>
    <w:rsid w:val="F3BAB0B1"/>
    <w:rsid w:val="F7A604E6"/>
    <w:rsid w:val="F97BBB39"/>
    <w:rsid w:val="F99F2AF0"/>
    <w:rsid w:val="FBFF5A67"/>
    <w:rsid w:val="FBFFDB71"/>
    <w:rsid w:val="FCBA3012"/>
    <w:rsid w:val="FD528641"/>
    <w:rsid w:val="FD567DE7"/>
    <w:rsid w:val="FF7DF08F"/>
    <w:rsid w:val="FFB8E2C6"/>
    <w:rsid w:val="FFDF94CC"/>
    <w:rsid w:val="FFEF0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4">
    <w:name w:val="heading 3"/>
    <w:next w:val="1"/>
    <w:semiHidden/>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5">
    <w:name w:val="heading 5"/>
    <w:basedOn w:val="1"/>
    <w:next w:val="6"/>
    <w:semiHidden/>
    <w:unhideWhenUsed/>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index 8"/>
    <w:basedOn w:val="1"/>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8">
    <w:name w:val="annotation text"/>
    <w:basedOn w:val="1"/>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9">
    <w:name w:val="Body Text"/>
    <w:basedOn w:val="1"/>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0">
    <w:name w:val="Body Text Indent"/>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1">
    <w:name w:val="toc 3"/>
    <w:next w:val="1"/>
    <w:qFormat/>
    <w:uiPriority w:val="0"/>
    <w:pPr>
      <w:widowControl w:val="0"/>
      <w:jc w:val="left"/>
    </w:pPr>
    <w:rPr>
      <w:rFonts w:ascii="Calibri" w:hAnsi="Calibri" w:eastAsia="宋体" w:cs="Times New Roman"/>
      <w:smallCaps/>
      <w:kern w:val="2"/>
      <w:sz w:val="22"/>
      <w:szCs w:val="22"/>
      <w:lang w:val="en-US" w:eastAsia="zh-CN" w:bidi="ar-SA"/>
    </w:rPr>
  </w:style>
  <w:style w:type="paragraph" w:styleId="12">
    <w:name w:val="Plain Text"/>
    <w:basedOn w:val="1"/>
    <w:next w:val="7"/>
    <w:qFormat/>
    <w:uiPriority w:val="0"/>
    <w:pPr>
      <w:widowControl w:val="0"/>
      <w:jc w:val="both"/>
    </w:pPr>
    <w:rPr>
      <w:rFonts w:ascii="宋体" w:hAnsi="Courier New" w:eastAsia="宋体" w:cs="Times New Roman"/>
      <w:kern w:val="2"/>
      <w:sz w:val="21"/>
      <w:szCs w:val="20"/>
      <w:lang w:val="en-US" w:eastAsia="zh-CN" w:bidi="ar-SA"/>
    </w:rPr>
  </w:style>
  <w:style w:type="paragraph" w:styleId="13">
    <w:name w:val="footer"/>
    <w:basedOn w:val="1"/>
    <w:next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4">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5">
    <w:name w:val="toc 1"/>
    <w:next w:val="1"/>
    <w:qFormat/>
    <w:uiPriority w:val="0"/>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16">
    <w:name w:val="List"/>
    <w:basedOn w:val="1"/>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paragraph" w:styleId="17">
    <w:name w:val="toc 2"/>
    <w:next w:val="1"/>
    <w:qFormat/>
    <w:uiPriority w:val="0"/>
    <w:pPr>
      <w:widowControl w:val="0"/>
      <w:jc w:val="left"/>
    </w:pPr>
    <w:rPr>
      <w:rFonts w:ascii="Calibri" w:hAnsi="Calibri" w:eastAsia="宋体" w:cs="Times New Roman"/>
      <w:b/>
      <w:bCs/>
      <w:smallCaps/>
      <w:kern w:val="2"/>
      <w:sz w:val="22"/>
      <w:szCs w:val="22"/>
      <w:lang w:val="en-US" w:eastAsia="zh-CN" w:bidi="ar-SA"/>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index 1"/>
    <w:next w:val="1"/>
    <w:qFormat/>
    <w:uiPriority w:val="0"/>
    <w:pPr>
      <w:widowControl w:val="0"/>
      <w:spacing w:line="400" w:lineRule="exact"/>
      <w:ind w:firstLine="420" w:firstLineChars="200"/>
      <w:jc w:val="both"/>
    </w:pPr>
    <w:rPr>
      <w:rFonts w:ascii="宋体" w:hAnsi="Courier New" w:eastAsia="宋体" w:cs="Times New Roman"/>
      <w:b/>
      <w:kern w:val="2"/>
      <w:sz w:val="21"/>
      <w:szCs w:val="20"/>
      <w:lang w:val="en-US" w:eastAsia="zh-CN" w:bidi="ar-SA"/>
    </w:rPr>
  </w:style>
  <w:style w:type="table" w:styleId="2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qFormat/>
    <w:uiPriority w:val="0"/>
  </w:style>
  <w:style w:type="character" w:styleId="25">
    <w:name w:val="FollowedHyperlink"/>
    <w:basedOn w:val="22"/>
    <w:qFormat/>
    <w:uiPriority w:val="0"/>
    <w:rPr>
      <w:rFonts w:hint="eastAsia" w:ascii="微软雅黑" w:hAnsi="微软雅黑" w:eastAsia="微软雅黑" w:cs="微软雅黑"/>
      <w:color w:val="02396F"/>
      <w:u w:val="single"/>
    </w:rPr>
  </w:style>
  <w:style w:type="character" w:styleId="26">
    <w:name w:val="Emphasis"/>
    <w:basedOn w:val="22"/>
    <w:qFormat/>
    <w:uiPriority w:val="0"/>
    <w:rPr>
      <w:i/>
    </w:rPr>
  </w:style>
  <w:style w:type="character" w:styleId="27">
    <w:name w:val="Hyperlink"/>
    <w:qFormat/>
    <w:uiPriority w:val="0"/>
    <w:rPr>
      <w:color w:val="0000FF"/>
      <w:u w:val="single"/>
    </w:rPr>
  </w:style>
  <w:style w:type="character" w:styleId="28">
    <w:name w:val="annotation reference"/>
    <w:qFormat/>
    <w:uiPriority w:val="0"/>
    <w:rPr>
      <w:sz w:val="21"/>
      <w:szCs w:val="21"/>
    </w:rPr>
  </w:style>
  <w:style w:type="character" w:customStyle="1" w:styleId="2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0">
    <w:name w:val="正文2"/>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paragraph" w:customStyle="1" w:styleId="31">
    <w:name w:val="正文缩进1"/>
    <w:next w:val="10"/>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32">
    <w:name w:val="样式5"/>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33">
    <w:name w:val="List Paragraph"/>
    <w:basedOn w:val="1"/>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34">
    <w:name w:val="表格文字"/>
    <w:next w:val="9"/>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4"/>
      <w:lang w:val="en-US" w:eastAsia="zh-CN" w:bidi="ar-SA"/>
    </w:rPr>
  </w:style>
  <w:style w:type="table" w:customStyle="1" w:styleId="3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5866</Words>
  <Characters>7350</Characters>
  <Lines>0</Lines>
  <Paragraphs>0</Paragraphs>
  <TotalTime>248</TotalTime>
  <ScaleCrop>false</ScaleCrop>
  <LinksUpToDate>false</LinksUpToDate>
  <CharactersWithSpaces>7624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2022-09-17T17:14:00Z</dcterms:created>
  <dc:creator>Administrator</dc:creator>
  <cp:lastModifiedBy>欧明聪</cp:lastModifiedBy>
  <dcterms:modified xsi:type="dcterms:W3CDTF">2026-05-19T09:34:45Z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A11345C22977484B811AF172725384EC_13</vt:lpwstr>
  </property>
  <property fmtid="{D5CDD505-2E9C-101B-9397-08002B2CF9AE}" pid="4" name="KSOTemplateDocerSaveRecord">
    <vt:lpwstr>eyJoZGlkIjoiZjU5NTE4Y2EwNGUwNTA5ZTk0ODVmYmYwNWU3YjQyYWUiLCJ1c2VySWQiOiIxNTkyNDk1NTU5In0=</vt:lpwstr>
  </property>
</Properties>
</file>