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B6B70">
      <w:pPr>
        <w:pStyle w:val="2"/>
        <w:jc w:val="center"/>
        <w:rPr>
          <w:rFonts w:hint="eastAsia" w:ascii="Cambria" w:hAnsi="Cambria" w:eastAsia="宋体" w:cs="Times New Roman"/>
          <w:bCs w:val="0"/>
          <w:color w:val="auto"/>
          <w:sz w:val="32"/>
          <w:szCs w:val="32"/>
          <w:highlight w:val="none"/>
        </w:rPr>
      </w:pPr>
      <w:r>
        <w:rPr>
          <w:rFonts w:hint="eastAsia" w:ascii="Cambria" w:hAnsi="Cambria" w:eastAsia="宋体" w:cs="Times New Roman"/>
          <w:bCs w:val="0"/>
          <w:color w:val="auto"/>
          <w:sz w:val="32"/>
          <w:szCs w:val="32"/>
          <w:highlight w:val="none"/>
        </w:rPr>
        <w:t>采购需求</w:t>
      </w:r>
    </w:p>
    <w:p w14:paraId="37258B08">
      <w:pPr>
        <w:spacing w:line="420" w:lineRule="exact"/>
        <w:jc w:val="left"/>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说明：</w:t>
      </w:r>
    </w:p>
    <w:p w14:paraId="31B044B9">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 为落实政府采购政策需满足的要求：</w:t>
      </w:r>
    </w:p>
    <w:p w14:paraId="3C1D4EC0">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本竞争性磋商文件所称中小企业必须符合《政府采购促进中小企业发展管理办法》（财库〔2020〕46号）的规定。</w:t>
      </w:r>
    </w:p>
    <w:p w14:paraId="5ABFF4D7">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 采购需求中带“▲”的条款为实质性条款，不满足作无效响应处理。</w:t>
      </w:r>
    </w:p>
    <w:p w14:paraId="7D9C071F">
      <w:pPr>
        <w:spacing w:line="42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3.供应商必须对响应文件中提供的证明材料和资质文件真实性负责，如出现虚假应标情况，供应商除了应接受有关部门的处罚外，还应依据《中华人民共和国民法典》的相关条款来进行赔偿。</w:t>
      </w:r>
    </w:p>
    <w:p w14:paraId="6D32A6D7">
      <w:pPr>
        <w:pStyle w:val="3"/>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4.供应商应对竞标内容所涉及的专利承担法律责任，并负责保护采购人的利益不受任何损害。一切由于文字、商标、技术和软件专利授权引起的法律裁决、诉讼和赔偿费用均由成交供应商负责。</w:t>
      </w:r>
    </w:p>
    <w:p w14:paraId="03EC3ED7">
      <w:pPr>
        <w:tabs>
          <w:tab w:val="left" w:pos="180"/>
          <w:tab w:val="left" w:pos="1620"/>
        </w:tabs>
        <w:spacing w:line="420" w:lineRule="exact"/>
        <w:ind w:firstLine="420" w:firstLineChars="200"/>
        <w:rPr>
          <w:rFonts w:hint="eastAsia" w:ascii="Times New Roman" w:hAnsi="Times New Roman" w:eastAsia="宋体" w:cs="宋体"/>
          <w:b/>
          <w:bCs/>
          <w:color w:val="auto"/>
          <w:sz w:val="24"/>
          <w:highlight w:val="none"/>
        </w:rPr>
      </w:pPr>
      <w:r>
        <w:rPr>
          <w:rFonts w:hint="eastAsia" w:ascii="宋体" w:hAnsi="宋体" w:eastAsia="宋体" w:cs="宋体"/>
          <w:color w:val="auto"/>
          <w:highlight w:val="none"/>
        </w:rPr>
        <w:t>5.采购标的对应的中小企业划分标准所属行业名称：</w:t>
      </w:r>
      <w:r>
        <w:rPr>
          <w:rFonts w:hint="eastAsia" w:ascii="宋体" w:hAnsi="宋体" w:eastAsia="宋体" w:cs="宋体"/>
          <w:color w:val="auto"/>
          <w:highlight w:val="none"/>
          <w:u w:val="single"/>
        </w:rPr>
        <w:t>其他未列明行业</w:t>
      </w:r>
    </w:p>
    <w:tbl>
      <w:tblPr>
        <w:tblStyle w:val="4"/>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596"/>
        <w:gridCol w:w="675"/>
        <w:gridCol w:w="22"/>
        <w:gridCol w:w="731"/>
        <w:gridCol w:w="6382"/>
        <w:gridCol w:w="1276"/>
      </w:tblGrid>
      <w:tr w14:paraId="17EF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dxa"/>
            <w:vMerge w:val="restart"/>
            <w:tcBorders>
              <w:top w:val="single" w:color="auto" w:sz="4" w:space="0"/>
            </w:tcBorders>
            <w:noWrap w:val="0"/>
            <w:vAlign w:val="center"/>
          </w:tcPr>
          <w:p w14:paraId="22C46C00">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需求一览表</w:t>
            </w:r>
          </w:p>
        </w:tc>
        <w:tc>
          <w:tcPr>
            <w:tcW w:w="596" w:type="dxa"/>
            <w:tcBorders>
              <w:top w:val="single" w:color="auto" w:sz="4" w:space="0"/>
            </w:tcBorders>
            <w:noWrap w:val="0"/>
            <w:vAlign w:val="center"/>
          </w:tcPr>
          <w:p w14:paraId="0EA23DCD">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675" w:type="dxa"/>
            <w:tcBorders>
              <w:top w:val="single" w:color="auto" w:sz="4" w:space="0"/>
            </w:tcBorders>
            <w:noWrap w:val="0"/>
            <w:vAlign w:val="center"/>
          </w:tcPr>
          <w:p w14:paraId="6F679FB1">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753" w:type="dxa"/>
            <w:gridSpan w:val="2"/>
            <w:tcBorders>
              <w:top w:val="single" w:color="auto" w:sz="4" w:space="0"/>
            </w:tcBorders>
            <w:noWrap w:val="0"/>
            <w:vAlign w:val="center"/>
          </w:tcPr>
          <w:p w14:paraId="0918F438">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p w14:paraId="62091287">
            <w:pPr>
              <w:spacing w:line="320" w:lineRule="exact"/>
              <w:jc w:val="center"/>
              <w:rPr>
                <w:rFonts w:hint="eastAsia" w:ascii="宋体" w:hAnsi="宋体" w:eastAsia="宋体" w:cs="宋体"/>
                <w:color w:val="auto"/>
                <w:szCs w:val="21"/>
                <w:highlight w:val="none"/>
              </w:rPr>
            </w:pPr>
          </w:p>
        </w:tc>
        <w:tc>
          <w:tcPr>
            <w:tcW w:w="6382" w:type="dxa"/>
            <w:tcBorders>
              <w:top w:val="single" w:color="auto" w:sz="4" w:space="0"/>
            </w:tcBorders>
            <w:noWrap w:val="0"/>
            <w:vAlign w:val="center"/>
          </w:tcPr>
          <w:p w14:paraId="37D3562E">
            <w:pPr>
              <w:spacing w:line="320" w:lineRule="exact"/>
              <w:jc w:val="center"/>
              <w:rPr>
                <w:rFonts w:hint="eastAsia" w:ascii="宋体" w:hAnsi="宋体" w:eastAsia="宋体" w:cs="宋体"/>
                <w:color w:val="auto"/>
                <w:szCs w:val="21"/>
                <w:highlight w:val="none"/>
              </w:rPr>
            </w:pPr>
            <w:r>
              <w:rPr>
                <w:rFonts w:hint="eastAsia" w:ascii="Times New Roman" w:hAnsi="Times New Roman" w:eastAsia="宋体" w:cs="Times New Roman"/>
                <w:color w:val="auto"/>
                <w:highlight w:val="none"/>
              </w:rPr>
              <w:t>▲</w:t>
            </w:r>
            <w:r>
              <w:rPr>
                <w:rFonts w:hint="eastAsia" w:ascii="宋体" w:hAnsi="宋体" w:eastAsia="宋体" w:cs="宋体"/>
                <w:color w:val="auto"/>
                <w:szCs w:val="21"/>
                <w:highlight w:val="none"/>
              </w:rPr>
              <w:t>服务要求</w:t>
            </w:r>
          </w:p>
          <w:p w14:paraId="373661E8">
            <w:pPr>
              <w:spacing w:line="320" w:lineRule="exact"/>
              <w:jc w:val="center"/>
              <w:rPr>
                <w:rFonts w:hint="eastAsia" w:ascii="宋体" w:hAnsi="宋体" w:eastAsia="宋体" w:cs="宋体"/>
                <w:color w:val="auto"/>
                <w:szCs w:val="21"/>
                <w:highlight w:val="none"/>
              </w:rPr>
            </w:pPr>
          </w:p>
          <w:p w14:paraId="05C3DE8B">
            <w:pPr>
              <w:spacing w:line="320" w:lineRule="exact"/>
              <w:jc w:val="center"/>
              <w:rPr>
                <w:rFonts w:hint="eastAsia" w:ascii="宋体" w:hAnsi="宋体" w:eastAsia="宋体" w:cs="宋体"/>
                <w:color w:val="auto"/>
                <w:szCs w:val="21"/>
                <w:highlight w:val="none"/>
              </w:rPr>
            </w:pPr>
          </w:p>
        </w:tc>
        <w:tc>
          <w:tcPr>
            <w:tcW w:w="1276" w:type="dxa"/>
            <w:tcBorders>
              <w:top w:val="single" w:color="auto" w:sz="4" w:space="0"/>
            </w:tcBorders>
            <w:noWrap w:val="0"/>
            <w:vAlign w:val="center"/>
          </w:tcPr>
          <w:p w14:paraId="14713A38">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中小企业划分标准所属行业名称（行业名称及划分见本章附件3）</w:t>
            </w:r>
          </w:p>
        </w:tc>
      </w:tr>
      <w:tr w14:paraId="09EC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23" w:type="dxa"/>
            <w:vMerge w:val="continue"/>
            <w:noWrap w:val="0"/>
            <w:vAlign w:val="center"/>
          </w:tcPr>
          <w:p w14:paraId="6CB1F1AF">
            <w:pPr>
              <w:spacing w:line="320" w:lineRule="exact"/>
              <w:jc w:val="center"/>
              <w:rPr>
                <w:rFonts w:hint="eastAsia" w:ascii="宋体" w:hAnsi="宋体" w:eastAsia="宋体" w:cs="宋体"/>
                <w:color w:val="auto"/>
                <w:szCs w:val="21"/>
                <w:highlight w:val="none"/>
              </w:rPr>
            </w:pPr>
          </w:p>
        </w:tc>
        <w:tc>
          <w:tcPr>
            <w:tcW w:w="596" w:type="dxa"/>
            <w:noWrap w:val="0"/>
            <w:vAlign w:val="center"/>
          </w:tcPr>
          <w:p w14:paraId="2344A440">
            <w:pPr>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5" w:type="dxa"/>
            <w:noWrap w:val="0"/>
            <w:vAlign w:val="center"/>
          </w:tcPr>
          <w:p w14:paraId="0E5F97B3">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广西机电工业学校2026—2027年度校园学生管理服务项目</w:t>
            </w:r>
          </w:p>
        </w:tc>
        <w:tc>
          <w:tcPr>
            <w:tcW w:w="753" w:type="dxa"/>
            <w:gridSpan w:val="2"/>
            <w:noWrap w:val="0"/>
            <w:vAlign w:val="center"/>
          </w:tcPr>
          <w:p w14:paraId="647BF45A">
            <w:pPr>
              <w:spacing w:line="3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382" w:type="dxa"/>
            <w:noWrap w:val="0"/>
            <w:vAlign w:val="center"/>
          </w:tcPr>
          <w:p w14:paraId="5FE4D3F4">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一、项目情况</w:t>
            </w:r>
          </w:p>
          <w:p w14:paraId="67E319CC">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广西机电工业学校位于广西壮族自治区南宁市，东葛校区（东葛路109号）54.1亩；友爱校区（友爱北路东二巷2号）20.9亩；东葛西区（建政路 5号 ）14 亩。东葛</w:t>
            </w:r>
            <w:bookmarkStart w:id="0" w:name="OLE_LINK47"/>
            <w:r>
              <w:rPr>
                <w:rFonts w:hint="eastAsia" w:ascii="宋体" w:hAnsi="宋体" w:eastAsia="宋体" w:cs="宋体"/>
                <w:color w:val="auto"/>
                <w:szCs w:val="21"/>
                <w:highlight w:val="none"/>
              </w:rPr>
              <w:t>校区校内学生</w:t>
            </w:r>
            <w:bookmarkStart w:id="1" w:name="OLE_LINK48"/>
            <w:r>
              <w:rPr>
                <w:rFonts w:hint="eastAsia" w:ascii="宋体" w:hAnsi="宋体" w:eastAsia="宋体" w:cs="宋体"/>
                <w:color w:val="auto"/>
                <w:szCs w:val="21"/>
                <w:highlight w:val="none"/>
              </w:rPr>
              <w:t>数量约</w:t>
            </w:r>
            <w:bookmarkEnd w:id="1"/>
            <w:r>
              <w:rPr>
                <w:rFonts w:hint="eastAsia" w:ascii="宋体" w:hAnsi="宋体" w:eastAsia="宋体" w:cs="宋体"/>
                <w:color w:val="auto"/>
                <w:szCs w:val="21"/>
                <w:highlight w:val="none"/>
              </w:rPr>
              <w:t>为</w:t>
            </w:r>
            <w:bookmarkEnd w:id="0"/>
            <w:r>
              <w:rPr>
                <w:rFonts w:hint="eastAsia" w:ascii="宋体" w:hAnsi="宋体" w:eastAsia="宋体" w:cs="宋体"/>
                <w:color w:val="auto"/>
                <w:szCs w:val="21"/>
                <w:highlight w:val="none"/>
              </w:rPr>
              <w:t>3000人，友爱校区学生数量约为1100人，东葛西区学生数量约为900人。</w:t>
            </w:r>
          </w:p>
          <w:p w14:paraId="207B2D5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供应商拟投入本项目的教官队在学校学生科和各系指导下开展管理工作。投入本项目的人员数量不得低于35人，其中东葛校区20人，友爱校区8人，东葛西区7人。</w:t>
            </w:r>
          </w:p>
          <w:p w14:paraId="0C905EA6">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工作内容</w:t>
            </w:r>
          </w:p>
          <w:p w14:paraId="2C5B3F01">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b/>
                <w:color w:val="auto"/>
                <w:szCs w:val="21"/>
                <w:highlight w:val="none"/>
                <w:lang w:val="en-US" w:eastAsia="zh-CN"/>
              </w:rPr>
              <w:t xml:space="preserve">   </w:t>
            </w:r>
            <w:r>
              <w:rPr>
                <w:rFonts w:hint="eastAsia" w:ascii="宋体" w:hAnsi="宋体" w:eastAsia="宋体" w:cs="宋体"/>
                <w:b/>
                <w:color w:val="auto"/>
                <w:szCs w:val="21"/>
                <w:highlight w:val="none"/>
              </w:rPr>
              <w:t>宿舍管理</w:t>
            </w:r>
          </w:p>
          <w:p w14:paraId="017C9C5E">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男生宿舍集中区和女生宿舍安排1—2个岗位（岗亭），落实24小时值班制度，对宿舍区实施实时监管，其余宿舍在工作时间段进行检查监控。教官分散住在学生宿舍楼，有效应对宿舍区突发事件。教官队负责管理好学生的午休和晚休的工作，与学生科协商，并建立宿舍内务和卫生质量标准，教官队对内务和卫生质量达不到标准的学生进行积极帮助和教育整改，经教育后，将整改效果仍然不达标的学生编入宿舍内务提高班学习，学习内容、时间和方式由教官队根据教育需要进行编制学习方案，并将新的学习方案内容向学生科报批后实施。教官队每天及时将检查及整改情况及时向学生科报备。做好宿舍区域的安全保卫工作，让学生养成一个讲卫生守纪律的好习惯。督促学生在早上、下午及晚自习按时离开宿舍去教室上课，对不按时离开宿舍的学生和无故滞留宿舍不去上课的学生集中进行教育，并将教育情况向学生科报备。</w:t>
            </w:r>
          </w:p>
          <w:p w14:paraId="31B4ABC8">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具体时间表（各工作内容和时间可按学校实际作息制度进行调整）：</w:t>
            </w:r>
          </w:p>
          <w:p w14:paraId="2F4EFBC4">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07:10起床、开门。</w:t>
            </w:r>
          </w:p>
          <w:p w14:paraId="168433CE">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07:30吹哨学生起床。督促学生整理内务，打扫环境卫生。</w:t>
            </w:r>
          </w:p>
          <w:p w14:paraId="6FCFDA13">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07:30吹哨督促学生离开宿舍到饭堂早餐，周一08:00督促学生到操场参加升旗集会，并派5名以上教官组织学生集合并维护集会秩序，教官队负责人每周利用国旗下讲话，将宿舍管理、校内安保、车辆乱停乱放、校门口管理、上课时间在饭堂吃饭的学生，等存在问题和注意事项，配合学生科对同学们进行思想政治教育。</w:t>
            </w:r>
          </w:p>
          <w:p w14:paraId="509F30EB">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07:40清理宿舍滞留学生，锁好宿舍大门。</w:t>
            </w:r>
          </w:p>
          <w:p w14:paraId="545BD019">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08:10 对不按时离开宿舍或应该去上课却滞留在饭堂的学生进行教育管理后督促其去教室上课。并将学生违纪情况报告学生科。</w:t>
            </w:r>
          </w:p>
          <w:p w14:paraId="28CE369A">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08:10-11:10检查内务卫生、违禁物品、大功率电器、宿舍区域消防器材，并对滞留宿舍学生进行教育；报修宿舍公物，张榜公布成绩，上传班主任群。</w:t>
            </w:r>
          </w:p>
          <w:p w14:paraId="52C7FC85">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11:30开宿舍门。巡逻检查，抓抽烟、赌博和酗酒等违纪行为。</w:t>
            </w:r>
          </w:p>
          <w:p w14:paraId="0C002856">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11:50-12:50对宿舍卫生较差的宿舍实施整改，巡逻检查，抓抽烟等违纪行为，对违纪学生进行教育管理。</w:t>
            </w:r>
          </w:p>
          <w:p w14:paraId="3AF86DDD">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12:50吹哨让学生午休。</w:t>
            </w:r>
          </w:p>
          <w:p w14:paraId="36F40051">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12:50-14:15检查学生午休情况，督促学生按时休息，对教学楼进行巡查，对滞留在教室的学生进行教育，并要求学生按时回宿舍休息。</w:t>
            </w:r>
          </w:p>
          <w:p w14:paraId="22C5A1D8">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14:15-14:30吹哨起床、督促学生整理内务打扫环境卫生。</w:t>
            </w:r>
          </w:p>
          <w:p w14:paraId="4CB62A29">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14:35 学生上午读，锁宿舍大门；对不按时离开宿舍或应该去上课却滞留在宿舍的学生进行教育管理后督促其去教室上课，并将学生违纪情况报告学生科。</w:t>
            </w:r>
          </w:p>
          <w:p w14:paraId="31FEFCE7">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14:40-16:30检查内务卫生、违禁物品、大功率电器、宿舍区域消防器材；并对滞留宿舍学生进行教育；报修宿舍公物，张榜公布成绩，上传班主任群。</w:t>
            </w:r>
          </w:p>
          <w:p w14:paraId="7EFA4C9C">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16:30开宿舍门。</w:t>
            </w:r>
          </w:p>
          <w:p w14:paraId="4BE22D83">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16:30-19:00对宿舍卫生较差的宿舍实施整改，巡逻检查，抓抽烟等违纪行为，对违纪学生进行教育管理。</w:t>
            </w:r>
          </w:p>
          <w:p w14:paraId="1F5A727C">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19:40吹哨，让学生离开宿舍。</w:t>
            </w:r>
          </w:p>
          <w:p w14:paraId="1A4BC849">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19:50-20:30锁宿舍大门；对应去上晚自习却滞留在宿舍的学生进行教育管理后督促其去教室上晚自习。并将学生违纪情况报告学生科。</w:t>
            </w:r>
          </w:p>
          <w:p w14:paraId="45395CF7">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20:30开宿舍门，督促学生迅速洗漱就寝。</w:t>
            </w:r>
          </w:p>
          <w:p w14:paraId="77F9DB3F">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22:30-23:00清点学生人数并检查学生晚休情况。</w:t>
            </w:r>
          </w:p>
          <w:p w14:paraId="57282187">
            <w:pPr>
              <w:spacing w:line="360" w:lineRule="auto"/>
              <w:ind w:firstLine="422"/>
              <w:jc w:val="left"/>
              <w:rPr>
                <w:rFonts w:ascii="Times New Roman" w:hAnsi="Times New Roman" w:eastAsia="宋体" w:cs="Times New Roman"/>
                <w:color w:val="auto"/>
                <w:highlight w:val="none"/>
              </w:rPr>
            </w:pPr>
            <w:r>
              <w:rPr>
                <w:rFonts w:hint="eastAsia" w:ascii="宋体" w:hAnsi="宋体" w:eastAsia="宋体" w:cs="宋体"/>
                <w:color w:val="auto"/>
                <w:szCs w:val="21"/>
                <w:highlight w:val="none"/>
              </w:rPr>
              <w:t>23:00吹哨熄灯。督促学生按时休息，对违纪学生（吵闹、玩手机、抽烟等）进行教育管理。及时将晚归不归的名单发到相关班主任QQ群。</w:t>
            </w:r>
          </w:p>
          <w:p w14:paraId="4AED83DE">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23:30-07:10教官休息，在此时间内宿舍有突发事件，需及时处理，比如送生病学生前往医院，及时联系班主任和学生科。</w:t>
            </w:r>
          </w:p>
          <w:p w14:paraId="3496F9A5">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教官队全天24小时发现问题及时向队长报告，重大问题及时报告学生科负责人。</w:t>
            </w:r>
          </w:p>
          <w:p w14:paraId="694E8F53">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升旗集会、晨练、各种集会、学生大型活动的管理</w:t>
            </w:r>
          </w:p>
          <w:p w14:paraId="03F8C94F">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每周一早上08:00，由教官队派遣5-6名教官组织学生进行升旗活动，规范学生行为规范。</w:t>
            </w:r>
          </w:p>
          <w:p w14:paraId="763640F1">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每周二至周五早上7:15-8:10，由教官队根据班级数量派遣若干名教官组织迟到学生进行教育，规范学生行为。</w:t>
            </w:r>
          </w:p>
          <w:p w14:paraId="6F0B23C8">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与学校学生教育活动，如学生集会、应急疏散演练、消防演练、违禁物品清查等活动；配合学校对学生进行感恩、国防、军事、纪律、法治、安全、反恐、爱国、卫生、礼仪等教育活动。负责学校大型活动会场纪律、指挥校内车辆停放的监管和学生安全的管理。</w:t>
            </w:r>
          </w:p>
          <w:p w14:paraId="49E42237">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指导劳动周班级进行校园卫生清洁</w:t>
            </w:r>
          </w:p>
          <w:p w14:paraId="110B9E91">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由教官队派遣3名教官作为违纪学生劳动指导老师，组织违纪学生完成劳动任务，以校园卫生整治为主，具体工作开展方式结合学校实际情况执行。</w:t>
            </w:r>
          </w:p>
          <w:p w14:paraId="410AA34A">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学生护校队的管理</w:t>
            </w:r>
          </w:p>
          <w:p w14:paraId="42DC4480">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学生护校队在教官队的指导下，每月开展1-2次相关技能训练，以及指导护校队进行各种违纪检查工作，每学期开展优秀护校队员评比，将名单报学生科。</w:t>
            </w:r>
          </w:p>
          <w:p w14:paraId="6AFAB30B">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教室检查</w:t>
            </w:r>
          </w:p>
          <w:p w14:paraId="06AE09F4">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值日教官负责对教学楼各教室进行检查，并对未按要求关教室灯、风扇、门的班级进行登记，并反馈到教务科。</w:t>
            </w:r>
          </w:p>
          <w:p w14:paraId="60C50F26">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学校综合工作</w:t>
            </w:r>
          </w:p>
          <w:p w14:paraId="330056AB">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月不定期的宿舍管制品检查，要求每次检查不少于15个学生宿舍，每次检查要求有记录、台账及拍照，对发现的违禁品统计上交，对违规学生进行教育，事后将违纪处理情况上交学生科综治安全管理干事，配合主管部门进行全校性管制品收缴工作。</w:t>
            </w:r>
          </w:p>
          <w:p w14:paraId="389C340F">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严格管理学生在宿舍违规私拉电现象，每日要进行巡查，对违纪学生进行教育，要有记录并上报学生科。</w:t>
            </w:r>
          </w:p>
          <w:p w14:paraId="65C32DF4">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学生在校期间，在学生宿舍区及校园安排相关人员轮值巡查。</w:t>
            </w:r>
          </w:p>
          <w:p w14:paraId="4DBF14A5">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止学生在校园内打牌、赌博、酗酒、抽烟、恋爱等行为，并将情况及时报学生科。加强学生翻爬围墙的监控，严禁学生从围墙外购买食品、烟酒。严禁学生买外卖食品进校园。严禁共享单车进校园，校园内发现共享单车，教官队负责移出校园。</w:t>
            </w:r>
          </w:p>
          <w:p w14:paraId="0BC6FF07">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中午午休时间和夜间宿舍熄灯后，进行校园静校管控，对仍然在学校闲逛或打球等的学生进行劝离。</w:t>
            </w:r>
          </w:p>
          <w:p w14:paraId="1EE92038">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配备值班对讲机，对任何时间段发生的突发事件、群体性事件或违法事件，教官队第一时间进行处理，及时汇报学生科负责人，并根据需要及时报警。配合学生科进一步处理相关工作。</w:t>
            </w:r>
          </w:p>
          <w:p w14:paraId="51AE8CD5">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配合学生科进行消防、应急疏散、防恐防暴等相关教育和演练工作，协助学校组建义务消防队，开展技能训练工作。</w:t>
            </w:r>
          </w:p>
          <w:p w14:paraId="016FA76F">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做好节假日留校学生的管理工作，防止和制止学生在宿舍或者校园内宿舍之外的地方进行违反校纪校规的行为，并对违纪学生进行教育和记录、拍照关键证据。</w:t>
            </w:r>
          </w:p>
          <w:p w14:paraId="077CE15E">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其他工作</w:t>
            </w:r>
          </w:p>
          <w:p w14:paraId="6348D046">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春季学期期末，根据学校招生计划，提前做好新生宿舍安排工作，配合后勤服务科做好新生宿舍清洁工作。做好学生宿舍日常调整工作。</w:t>
            </w:r>
          </w:p>
          <w:p w14:paraId="1214AE41">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教官队每周至少进行一次集中业务训练，召开一次内部会议，学习相关制度和要求。</w:t>
            </w:r>
          </w:p>
          <w:p w14:paraId="5A9A6D12">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做好节假日教官值班安排、校园环境卫生、学生劳动的安排、节假日学生宿舍查房工作。在采购人放假期间，根据学校假期工作需要，无条件完成好学校安排的工作任务。</w:t>
            </w:r>
          </w:p>
          <w:p w14:paraId="4F87763A">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月召开1次以上舍长（安全员）会议，针对内务等问题进行通报和要求各个宿舍改进措施，每周组织各种违纪学生集中参加内务提高班、纪律提高培训班、综治安全提高班的学习，学习课程和内容根据学生管理需要设置更新。</w:t>
            </w:r>
          </w:p>
          <w:p w14:paraId="4C1295D2">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每学期协助学生科开展“行为规范教育”活动。</w:t>
            </w:r>
          </w:p>
          <w:p w14:paraId="24D8C9C2">
            <w:pPr>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配合学校做好学生晚休手机管理。</w:t>
            </w:r>
          </w:p>
          <w:p w14:paraId="7BDE6845">
            <w:pPr>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协助做好学生跨校区上课的通勤保障。</w:t>
            </w:r>
          </w:p>
          <w:p w14:paraId="723AC88D">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协助学生科完成各项卫生评比工作，主要工作内容是宿舍卫生、教室卫生、校园环境卫生的整治。</w:t>
            </w:r>
          </w:p>
          <w:p w14:paraId="1579275E">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配合学校后勤服务科，做好学生宿舍各项维修的报修工作。配合后勤服务科对损坏公物事件进行调查和处理工作。配合后勤服务科做好宿舍卫生间疏通验收工作。</w:t>
            </w:r>
          </w:p>
          <w:p w14:paraId="456300D6">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教官负责学生宿舍楼、校园安全管理，确保校园无打架斗殴和失窃现象。如发生安全隐患和突发事件，及时解决，并及时向学生科报告。</w:t>
            </w:r>
          </w:p>
          <w:p w14:paraId="2C8A0875">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检查、维护好学生午晚睡纪律，检查学生就寝在位人数，午晚睡时间对玩手机、听歌等学生要认真做好记录、收缴并教育后，将处理情况报送学生科，以便学生科进一步处理；对在宿舍中违规使用电器的一律收缴并认真做好记录，进行教育后报送学生科处理。</w:t>
            </w:r>
          </w:p>
          <w:p w14:paraId="4025365B">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检查宿舍过程中如发现公共财物损毁或学生正在故意破坏的要及时制止、教育做好记录并上报学生科。</w:t>
            </w:r>
          </w:p>
          <w:p w14:paraId="560D575C">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负责在校学生仪容仪表检查，检查学生佩戴校牌情况，并把检查情况上报学生科。</w:t>
            </w:r>
          </w:p>
          <w:p w14:paraId="0230E59D">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队长或值日教官在工作过程中要及时与班主任进行沟通，做好相关解释、协调和核实工作，需要学生科协调处理的问题，及时反馈给学生科。</w:t>
            </w:r>
          </w:p>
          <w:p w14:paraId="3604D789">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教官实行队长负责制，组长有责任对全体生活教官进行培训、管理、考核及提出教官人员变动的权利。</w:t>
            </w:r>
          </w:p>
          <w:p w14:paraId="442D4148">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教官队负责人要参加班主任各种会议。</w:t>
            </w:r>
          </w:p>
          <w:p w14:paraId="187A0445">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完成学校安排的其他学生管理工作任务。</w:t>
            </w:r>
          </w:p>
          <w:p w14:paraId="0F168CC1">
            <w:pPr>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三、工作要求</w:t>
            </w:r>
          </w:p>
          <w:p w14:paraId="74966F0D">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教官要耐心细致教育违纪学生，保留相关证据，并以正面引导为主，不得讽刺挖苦学生，不得体罚或变相体罚学生，如有因体罚造成伤害事故的，过错人要负全面责任。</w:t>
            </w:r>
          </w:p>
          <w:p w14:paraId="05BB2D5E">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除学校组织必要的检查外，禁止男教官进入女生宿舍，过错人员责任全面责任。</w:t>
            </w:r>
          </w:p>
          <w:p w14:paraId="33AB9FB1">
            <w:pPr>
              <w:spacing w:line="360" w:lineRule="auto"/>
              <w:ind w:firstLine="422"/>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上班时间着装整齐、标志完整、佩戴对讲机和警棍；不得在校内吸烟；不得酒后上班；不得在校园内养狗养猫，发现校园内有猫和狗要提醒住户拴好，关好。</w:t>
            </w:r>
          </w:p>
          <w:p w14:paraId="2283A8CE">
            <w:pPr>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四、教官队考核内容</w:t>
            </w:r>
          </w:p>
          <w:p w14:paraId="27EB37F1">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（一）考核办法</w:t>
            </w:r>
          </w:p>
          <w:p w14:paraId="1A512BC4">
            <w:pPr>
              <w:spacing w:line="360" w:lineRule="auto"/>
              <w:ind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教官队每月必须向学校主管部门提供排班表</w:t>
            </w:r>
            <w:r>
              <w:rPr>
                <w:rFonts w:hint="eastAsia" w:ascii="宋体" w:hAnsi="宋体" w:eastAsia="宋体" w:cs="宋体"/>
                <w:color w:val="auto"/>
                <w:szCs w:val="21"/>
                <w:highlight w:val="none"/>
              </w:rPr>
              <w:t>，学校主管部门对教官队的服务工作进行监督管理及评价考核，学校安排专人每日负责对教官队的教官到岗情况和服务质量进行检查，发现教官队伍在工作中存在以下违规违纪行为者，学校对教官队进行扣罚或终止合同处理，扣罚金额从学校每月支付给教官队的安保服务费中扣除：</w:t>
            </w:r>
          </w:p>
          <w:p w14:paraId="124B7A22">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值班期间有脱岗、离岗、睡岗，校内公共场所抽烟、酗酒上岗、玩手机游戏、看视频、未按规定着装、值班点物品凌乱、卫生状况恶劣等违反值班规定的，每发现一次扣罚200元，凡造成经济损失的由直接责任人负全责。</w:t>
            </w:r>
          </w:p>
          <w:p w14:paraId="35299D88">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2.发现存在违规收费行为的，或者利用职权便利弄虚作假、玩弄主管部门的，每发现一次扣罚200元，凡造成经济损失的由直接责任人负全责。</w:t>
            </w:r>
          </w:p>
          <w:p w14:paraId="370EDA65">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3.学生宿舍门岗不按要求管理，学生自由进出，造成不良后果的，每发现一次扣罚200元，凡造成经济损失的由直接责任人负全责。</w:t>
            </w:r>
          </w:p>
          <w:p w14:paraId="573382A0">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4.教官队在服务过程中，存在工作漏洞或者问题，主管部门指出后不及时按要求整改的，每次扣罚200元，凡造成经济损失的由直接责任人负全责。</w:t>
            </w:r>
          </w:p>
          <w:p w14:paraId="147C8E95">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5.未经学校主管部门批准，未按合同要求配置岗位人数，检查发现每少一人，每人每日扣罚200元，凡造成经济损失的由直接责任人负全责。</w:t>
            </w:r>
          </w:p>
          <w:p w14:paraId="2373E8F8">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教官违规粗暴值勤，殴打、辱骂学校职工、学生或来访人员造成不良后果的，教官队除了赔偿受害者的经济损失外，情节严重的，教官队必须解聘该教官，并将该教官移交公安部门处理，发生类似事情，学校扣罚成交供应商1000元/次，凡造成经济损失的由直接责任人负全责。 </w:t>
            </w:r>
          </w:p>
          <w:p w14:paraId="1EFD6D60">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教官队必须严格执行治安综合管理有关规定，按学校的标准要求做好各种综合治理检查评比工作，如因教官队的原因影响了校方的检查评比成绩，校方对教官队扣罚1000元/次，凡造成经济损失的由直接责任人负全责。</w:t>
            </w:r>
          </w:p>
          <w:p w14:paraId="5A8F0F57">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学校要求教官队两个月考核不合格或无法履行岗位职责的教官进行更换，教官队应在收到学校提出更换该教官的当天算起，七天内完成人员更换。如果教官队未能在规定时间内完成人员更换的，每超过一天，学校将从教官队当月物业管理服务费总额中扣罚500元/天，凡造成经济损失的由直接责任人负全责，以此累计，直到更换人员到岗为止。</w:t>
            </w:r>
          </w:p>
          <w:p w14:paraId="51450B0D">
            <w:pPr>
              <w:spacing w:line="360" w:lineRule="auto"/>
              <w:ind w:firstLine="422"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9.教官队伍必须建立健全的值班制度，并将值班安排表交主管部门一份。如发生意外事件或重大事件，调查清楚做好记录，以书面形式上报学校主管部门负责人和主管校领导。</w:t>
            </w:r>
          </w:p>
          <w:p w14:paraId="50A6AC16">
            <w:pPr>
              <w:spacing w:line="360" w:lineRule="auto"/>
              <w:ind w:firstLine="422"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10.涉及教官人员变动，需向各校区、各系、学生科提前报备，并说明变动原因。</w:t>
            </w:r>
          </w:p>
          <w:p w14:paraId="2380F1B7">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11.各校区管理教官离岗外出，需向各校区、各系、学生科提前报备。</w:t>
            </w:r>
          </w:p>
          <w:p w14:paraId="04D869FC">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学生突发疾病或者意外伤害，教官队迅速介入妥善处理，如需送医院抢救或者治疗的要及时送达医院，并协助办理相关手续。要及时通知班主任到场继续跟进处理。如果情况严重第一时间向主管部门负责人和主管校领导汇报。如发生此类突发情况，因教官队没有及时介入妥善处理，包括不及时通知主管部门负责人和主管校领导的，造成严重后果。学校扣罚教官队1000元/次。</w:t>
            </w:r>
          </w:p>
          <w:p w14:paraId="619E97BD">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教官队伍每月组织一次业务培训交流会，邀请主管部门人员列席，学习有关时事政治、政策、学校制度，检查当月工作，总结经验，提出合理建议和意见，并做好会议记录；每月还要进行校内军事训练至少1次，每次时间不得少于1小时。没有执行到位的，学校扣罚教官队200元/次。</w:t>
            </w:r>
          </w:p>
          <w:p w14:paraId="18C85E1F">
            <w:pPr>
              <w:spacing w:line="360" w:lineRule="auto"/>
              <w:ind w:firstLine="422"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14.教官利用职务之便向学生兜售商品或提供有偿服务的每人每次扣除200元。</w:t>
            </w:r>
          </w:p>
          <w:p w14:paraId="0389C2CC">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15.教官没收学生物品占为己有的，每人每次扣除500元。</w:t>
            </w:r>
          </w:p>
          <w:p w14:paraId="114EBE95">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16.考核内容相关</w:t>
            </w:r>
            <w:r>
              <w:rPr>
                <w:rFonts w:hint="eastAsia" w:ascii="宋体" w:hAnsi="宋体" w:eastAsia="宋体" w:cs="宋体"/>
                <w:b/>
                <w:bCs/>
                <w:color w:val="auto"/>
                <w:szCs w:val="21"/>
                <w:highlight w:val="none"/>
              </w:rPr>
              <w:t>附件2：《教官个人（月）考核表》《教官队（月）考核表》</w:t>
            </w:r>
            <w:r>
              <w:rPr>
                <w:rFonts w:hint="eastAsia" w:ascii="宋体" w:hAnsi="宋体" w:eastAsia="宋体" w:cs="宋体"/>
                <w:color w:val="auto"/>
                <w:szCs w:val="21"/>
                <w:highlight w:val="none"/>
              </w:rPr>
              <w:t>。</w:t>
            </w:r>
          </w:p>
          <w:p w14:paraId="7AE58D01">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（二）退出机制</w:t>
            </w:r>
          </w:p>
          <w:p w14:paraId="6CB423B8">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1.教官一个月超过2次违反考核办法内容的，该教官当月考核不合格，连续两个月不合格者，教官队必须解聘该教官。</w:t>
            </w:r>
          </w:p>
          <w:p w14:paraId="4E1FC808">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2.每月考核按100分计算，90分（含）以上为优秀，89分～75分（含）为良好，74分～60分（含）为合格，60分（不含）以下为不合格。</w:t>
            </w:r>
          </w:p>
          <w:p w14:paraId="11671300">
            <w:pPr>
              <w:spacing w:line="360" w:lineRule="auto"/>
              <w:ind w:firstLine="422"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3.每个月考核一次，三次考核不合格的，学校终止与教官队的合同，教官队承担相应的法律责任。</w:t>
            </w:r>
          </w:p>
          <w:p w14:paraId="6EC569B6">
            <w:pPr>
              <w:kinsoku/>
              <w:autoSpaceDE/>
              <w:autoSpaceDN/>
              <w:adjustRightInd/>
              <w:snapToGrid/>
              <w:spacing w:before="0" w:line="360" w:lineRule="auto"/>
              <w:ind w:right="0" w:rightChars="0"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五、投入人员配置及岗位要求</w:t>
            </w:r>
          </w:p>
          <w:p w14:paraId="34B162B3">
            <w:pPr>
              <w:kinsoku/>
              <w:autoSpaceDE/>
              <w:autoSpaceDN/>
              <w:adjustRightInd/>
              <w:snapToGrid/>
              <w:spacing w:before="0" w:line="360" w:lineRule="auto"/>
              <w:ind w:right="0" w:rightChars="0" w:firstLine="420" w:firstLineChars="200"/>
              <w:jc w:val="left"/>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（一）具体详见附件1：《教官队人员配置及岗位要求》《生活教官一日工作常规》。</w:t>
            </w:r>
          </w:p>
          <w:p w14:paraId="51AC436C">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lang w:val="en-US" w:eastAsia="zh-CN"/>
              </w:rPr>
              <w:t>二</w:t>
            </w:r>
            <w:r>
              <w:rPr>
                <w:rFonts w:hint="eastAsia" w:ascii="宋体" w:hAnsi="宋体" w:eastAsia="宋体" w:cs="宋体"/>
                <w:b w:val="0"/>
                <w:bCs/>
                <w:color w:val="auto"/>
                <w:szCs w:val="21"/>
                <w:highlight w:val="none"/>
              </w:rPr>
              <w:t>）本项目严格执行一人一岗、专职专责制度，所有岗位人员均须专职担任本项目对应岗位工作：</w:t>
            </w:r>
          </w:p>
          <w:p w14:paraId="7BFEB031">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1.严禁任何人员同时兼任本项目内两个及以上岗位，不得跨岗位顶岗、替岗；严禁安排生活教官或其他非对应岗位人员顶替管理教官的行政班坐班职责；</w:t>
            </w:r>
          </w:p>
          <w:p w14:paraId="5F57A966">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2.所有在岗人员不得在本项目以外的其他单位或项目中担任全职职务或从事影响本项目工作的兼职活动，确保全身心投入学生管理工作；</w:t>
            </w:r>
          </w:p>
          <w:p w14:paraId="3605084A">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3.正、副队长及系部学生管理教官须长期驻校（正、副队长周末、节假日须值班），</w:t>
            </w:r>
            <w:r>
              <w:rPr>
                <w:rFonts w:hint="eastAsia" w:ascii="宋体" w:hAnsi="宋体" w:eastAsia="宋体" w:cs="宋体"/>
                <w:b w:val="0"/>
                <w:bCs/>
                <w:color w:val="auto"/>
                <w:szCs w:val="21"/>
                <w:highlight w:val="none"/>
                <w:lang w:val="en-US" w:eastAsia="zh-CN"/>
              </w:rPr>
              <w:t>负责对学生事务进行全时段管理。</w:t>
            </w:r>
            <w:r>
              <w:rPr>
                <w:rFonts w:hint="eastAsia" w:ascii="宋体" w:hAnsi="宋体" w:eastAsia="宋体" w:cs="宋体"/>
                <w:b w:val="0"/>
                <w:bCs/>
                <w:color w:val="auto"/>
                <w:szCs w:val="21"/>
                <w:highlight w:val="none"/>
              </w:rPr>
              <w:t>不得安排非本项目在册人员代行其岗位职责；严格按照学校要求在指定位置坐班，全程在岗履职，不得安排非本项目在册人员代行其岗位职责。</w:t>
            </w:r>
          </w:p>
          <w:p w14:paraId="63BD6387">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4.临时倒休、调休及顶岗统一审批机制：</w:t>
            </w:r>
          </w:p>
          <w:p w14:paraId="292AB520">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所有人员倒休、调休须提前 3 个工作日向采购人提交书面申请，明确调休时间、顶岗人员及资质证明，经采购人书面同意后方可执行；</w:t>
            </w:r>
          </w:p>
          <w:p w14:paraId="4B98BF8F">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确因人员离职、病假、突发紧急情况等不可抗力需临时顶岗的，须提前向采购人提交书面申请及顶岗人员资质证明，顶岗人员须具备与原岗位同等及以上资质条件；单次顶岗期限不得超过 7 个工作日，同一岗位年度内累计顶岗不得超过 15 个工作日；未经采购人书面同意擅自顶岗、调休、倒休的，按脱岗处理，并追究成交供应商管理责任。</w:t>
            </w:r>
          </w:p>
          <w:p w14:paraId="439D8295">
            <w:pPr>
              <w:spacing w:line="360" w:lineRule="auto"/>
              <w:ind w:firstLine="420" w:firstLineChars="200"/>
              <w:jc w:val="left"/>
              <w:rPr>
                <w:rFonts w:ascii="Times New Roman" w:hAnsi="Times New Roman" w:eastAsia="宋体" w:cs="Times New Roman"/>
                <w:color w:val="auto"/>
                <w:highlight w:val="none"/>
              </w:rPr>
            </w:pPr>
            <w:r>
              <w:rPr>
                <w:rFonts w:hint="eastAsia" w:ascii="宋体" w:hAnsi="宋体" w:eastAsia="宋体" w:cs="宋体"/>
                <w:b w:val="0"/>
                <w:bCs/>
                <w:color w:val="auto"/>
                <w:szCs w:val="21"/>
                <w:highlight w:val="none"/>
              </w:rPr>
              <w:t>5.如因人员离职、病假等不可抗力需临时顶岗，须提前 3 个工作日向采购人提交书面申请及顶岗人员资质证明，经采购人书面同意后方可安排具备同等及以上资质条件的人员顶岗，单次顶岗期限不得超过 7 个工作日，同一岗位年度内累计顶岗不得超过 15 个工作日。</w:t>
            </w:r>
          </w:p>
          <w:p w14:paraId="5999958C">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）师德师风、廉洁纪律要求</w:t>
            </w:r>
          </w:p>
          <w:p w14:paraId="4578FD10">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1.严禁教官收受学生及家长的香烟、食品、礼品、礼金等任何财物；</w:t>
            </w:r>
          </w:p>
          <w:p w14:paraId="06972BB8">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2.严禁教官向学生索要香烟、财物或要求学生提供任何私人便利；</w:t>
            </w:r>
          </w:p>
          <w:p w14:paraId="5D2D5F5F">
            <w:pPr>
              <w:spacing w:line="360" w:lineRule="auto"/>
              <w:ind w:firstLine="420" w:firstLineChars="20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3.严禁教官私吞、挪用、私自使用没收学生的违禁物品（含香烟、大功率电器等），没收物品须统一登记上交采购人处理。</w:t>
            </w:r>
          </w:p>
          <w:p w14:paraId="12FC8611">
            <w:pPr>
              <w:spacing w:line="360" w:lineRule="auto"/>
              <w:ind w:firstLine="420" w:firstLineChars="200"/>
              <w:jc w:val="left"/>
              <w:rPr>
                <w:rFonts w:ascii="宋体" w:hAnsi="宋体" w:eastAsia="宋体" w:cs="宋体"/>
                <w:b/>
                <w:color w:val="auto"/>
                <w:szCs w:val="21"/>
                <w:highlight w:val="none"/>
              </w:rPr>
            </w:pPr>
            <w:r>
              <w:rPr>
                <w:rFonts w:hint="eastAsia" w:ascii="宋体" w:hAnsi="宋体" w:eastAsia="宋体" w:cs="宋体"/>
                <w:b w:val="0"/>
                <w:bCs/>
                <w:color w:val="auto"/>
                <w:szCs w:val="21"/>
                <w:highlight w:val="none"/>
              </w:rPr>
              <w:t>4.教官向学生索要香烟、财物或要求学生提供其他便利的，每发现一次扣罚 1000 元，立即解聘涉事教官。</w:t>
            </w:r>
          </w:p>
        </w:tc>
        <w:tc>
          <w:tcPr>
            <w:tcW w:w="1276" w:type="dxa"/>
            <w:noWrap w:val="0"/>
            <w:vAlign w:val="center"/>
          </w:tcPr>
          <w:p w14:paraId="704A7A98">
            <w:pPr>
              <w:spacing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其他未列明行业</w:t>
            </w:r>
          </w:p>
        </w:tc>
      </w:tr>
      <w:tr w14:paraId="1E89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05" w:type="dxa"/>
            <w:gridSpan w:val="7"/>
            <w:noWrap w:val="0"/>
            <w:vAlign w:val="center"/>
          </w:tcPr>
          <w:p w14:paraId="1D52D9E1">
            <w:pPr>
              <w:spacing w:line="320" w:lineRule="exact"/>
              <w:jc w:val="left"/>
              <w:rPr>
                <w:rFonts w:ascii="宋体" w:hAnsi="宋体" w:eastAsia="宋体" w:cs="宋体"/>
                <w:color w:val="auto"/>
                <w:szCs w:val="21"/>
                <w:highlight w:val="none"/>
              </w:rPr>
            </w:pPr>
            <w:r>
              <w:rPr>
                <w:rFonts w:hint="eastAsia" w:ascii="宋体" w:hAnsi="宋体" w:eastAsia="宋体" w:cs="宋体"/>
                <w:b/>
                <w:bCs/>
                <w:color w:val="auto"/>
                <w:szCs w:val="21"/>
                <w:highlight w:val="none"/>
              </w:rPr>
              <w:t>▲商务条款</w:t>
            </w:r>
          </w:p>
        </w:tc>
      </w:tr>
      <w:tr w14:paraId="6D58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6" w:type="dxa"/>
            <w:gridSpan w:val="4"/>
            <w:noWrap w:val="0"/>
            <w:vAlign w:val="center"/>
          </w:tcPr>
          <w:p w14:paraId="147DDBA5">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bidi="ar"/>
              </w:rPr>
              <w:t>合同签订时间</w:t>
            </w:r>
          </w:p>
        </w:tc>
        <w:tc>
          <w:tcPr>
            <w:tcW w:w="8389" w:type="dxa"/>
            <w:gridSpan w:val="3"/>
            <w:noWrap w:val="0"/>
            <w:vAlign w:val="center"/>
          </w:tcPr>
          <w:p w14:paraId="172A3AB4">
            <w:pPr>
              <w:spacing w:line="360" w:lineRule="auto"/>
              <w:ind w:left="105" w:leftChars="50" w:right="105" w:rightChars="5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自成交通知书发出之日起25日内。</w:t>
            </w:r>
          </w:p>
        </w:tc>
      </w:tr>
      <w:tr w14:paraId="0BF3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6" w:type="dxa"/>
            <w:gridSpan w:val="4"/>
            <w:noWrap w:val="0"/>
            <w:vAlign w:val="center"/>
          </w:tcPr>
          <w:p w14:paraId="2B79348C">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服务期限、服务地点</w:t>
            </w:r>
          </w:p>
        </w:tc>
        <w:tc>
          <w:tcPr>
            <w:tcW w:w="8389" w:type="dxa"/>
            <w:gridSpan w:val="3"/>
            <w:noWrap w:val="0"/>
            <w:vAlign w:val="top"/>
          </w:tcPr>
          <w:p w14:paraId="1B569674">
            <w:pPr>
              <w:pStyle w:val="3"/>
              <w:widowControl/>
              <w:spacing w:line="360" w:lineRule="auto"/>
              <w:ind w:right="105" w:rightChars="50"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1.服务期限：</w:t>
            </w:r>
            <w:r>
              <w:rPr>
                <w:rFonts w:hint="eastAsia" w:ascii="宋体" w:hAnsi="宋体" w:eastAsia="宋体" w:cs="宋体"/>
                <w:color w:val="auto"/>
                <w:highlight w:val="none"/>
              </w:rPr>
              <w:t>2</w:t>
            </w:r>
            <w:r>
              <w:rPr>
                <w:rFonts w:ascii="宋体" w:hAnsi="宋体" w:eastAsia="宋体" w:cs="宋体"/>
                <w:color w:val="auto"/>
                <w:highlight w:val="none"/>
              </w:rPr>
              <w:t>026</w:t>
            </w:r>
            <w:r>
              <w:rPr>
                <w:rFonts w:hint="eastAsia" w:ascii="宋体" w:hAnsi="宋体" w:eastAsia="宋体" w:cs="宋体"/>
                <w:color w:val="auto"/>
                <w:highlight w:val="none"/>
              </w:rPr>
              <w:t>年8月1</w:t>
            </w:r>
            <w:r>
              <w:rPr>
                <w:rFonts w:ascii="宋体" w:hAnsi="宋体" w:eastAsia="宋体" w:cs="宋体"/>
                <w:color w:val="auto"/>
                <w:highlight w:val="none"/>
              </w:rPr>
              <w:t>2</w:t>
            </w:r>
            <w:r>
              <w:rPr>
                <w:rFonts w:hint="eastAsia" w:ascii="宋体" w:hAnsi="宋体" w:eastAsia="宋体" w:cs="宋体"/>
                <w:color w:val="auto"/>
                <w:highlight w:val="none"/>
              </w:rPr>
              <w:t>日至2</w:t>
            </w:r>
            <w:r>
              <w:rPr>
                <w:rFonts w:ascii="宋体" w:hAnsi="宋体" w:eastAsia="宋体" w:cs="宋体"/>
                <w:color w:val="auto"/>
                <w:highlight w:val="none"/>
              </w:rPr>
              <w:t>027</w:t>
            </w:r>
            <w:r>
              <w:rPr>
                <w:rFonts w:hint="eastAsia" w:ascii="宋体" w:hAnsi="宋体" w:eastAsia="宋体" w:cs="宋体"/>
                <w:color w:val="auto"/>
                <w:highlight w:val="none"/>
              </w:rPr>
              <w:t>年8月1</w:t>
            </w:r>
            <w:r>
              <w:rPr>
                <w:rFonts w:ascii="宋体" w:hAnsi="宋体" w:eastAsia="宋体" w:cs="宋体"/>
                <w:color w:val="auto"/>
                <w:highlight w:val="none"/>
              </w:rPr>
              <w:t>1</w:t>
            </w:r>
            <w:r>
              <w:rPr>
                <w:rFonts w:hint="eastAsia" w:ascii="宋体" w:hAnsi="宋体" w:eastAsia="宋体" w:cs="宋体"/>
                <w:color w:val="auto"/>
                <w:highlight w:val="none"/>
              </w:rPr>
              <w:t>日。</w:t>
            </w:r>
            <w:r>
              <w:rPr>
                <w:rFonts w:hint="eastAsia" w:ascii="宋体" w:hAnsi="宋体" w:eastAsia="宋体" w:cs="宋体"/>
                <w:color w:val="auto"/>
                <w:szCs w:val="21"/>
                <w:highlight w:val="none"/>
              </w:rPr>
              <w:t>服务期满后，如供应商月度考核平均分≥85分，并经采购人领导班子集体研究同意后，可以按本项目合同续签一年服务（最多可续签两年服务），总服务年限不超过三年。若次年预算未获批或批复预算不足，采购人可终止续约且不承担违约责任。</w:t>
            </w:r>
          </w:p>
          <w:p w14:paraId="043C8D76">
            <w:pPr>
              <w:spacing w:line="360" w:lineRule="auto"/>
              <w:ind w:right="105" w:rightChars="5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2.服务地点：广西区内采购人指定的地点。</w:t>
            </w:r>
          </w:p>
        </w:tc>
      </w:tr>
      <w:tr w14:paraId="073A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6" w:type="dxa"/>
            <w:gridSpan w:val="4"/>
            <w:noWrap w:val="0"/>
            <w:vAlign w:val="center"/>
          </w:tcPr>
          <w:p w14:paraId="75B86E76">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bidi="ar"/>
              </w:rPr>
              <w:t>付款方式</w:t>
            </w:r>
          </w:p>
        </w:tc>
        <w:tc>
          <w:tcPr>
            <w:tcW w:w="8389" w:type="dxa"/>
            <w:gridSpan w:val="3"/>
            <w:noWrap w:val="0"/>
            <w:vAlign w:val="top"/>
          </w:tcPr>
          <w:p w14:paraId="6068C234">
            <w:pPr>
              <w:widowControl/>
              <w:spacing w:line="360" w:lineRule="auto"/>
              <w:ind w:left="105" w:leftChars="50" w:right="105" w:rightChars="5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bidi="ar"/>
              </w:rPr>
              <w:t>1.服务费用按月支付。</w:t>
            </w:r>
          </w:p>
          <w:p w14:paraId="2B4D9088">
            <w:pPr>
              <w:widowControl/>
              <w:spacing w:line="360" w:lineRule="auto"/>
              <w:ind w:left="105" w:leftChars="50" w:right="105" w:rightChars="5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bidi="ar"/>
              </w:rPr>
              <w:t>2.每次付款前，根据考核结果，成交供应商提供发票、请款函进行结算（成交金额/12个月－考核扣罚金额）。</w:t>
            </w:r>
          </w:p>
          <w:p w14:paraId="12A2CE32">
            <w:pPr>
              <w:spacing w:line="360" w:lineRule="auto"/>
              <w:ind w:left="105" w:leftChars="50" w:right="105" w:rightChars="50"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bidi="ar"/>
              </w:rPr>
              <w:t>3.次月15日前结算前次服务费用，遇寒、暑假延至开学后结算。</w:t>
            </w:r>
          </w:p>
        </w:tc>
      </w:tr>
      <w:tr w14:paraId="736C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6" w:type="dxa"/>
            <w:gridSpan w:val="4"/>
            <w:noWrap w:val="0"/>
            <w:vAlign w:val="center"/>
          </w:tcPr>
          <w:p w14:paraId="57072E65">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bidi="ar"/>
              </w:rPr>
              <w:t>报价要求</w:t>
            </w:r>
          </w:p>
        </w:tc>
        <w:tc>
          <w:tcPr>
            <w:tcW w:w="8389" w:type="dxa"/>
            <w:gridSpan w:val="3"/>
            <w:noWrap w:val="0"/>
            <w:vAlign w:val="center"/>
          </w:tcPr>
          <w:p w14:paraId="4B68D753">
            <w:pPr>
              <w:spacing w:line="360" w:lineRule="auto"/>
              <w:ind w:left="105" w:leftChars="50" w:right="105" w:rightChars="50" w:firstLine="420" w:firstLineChars="200"/>
              <w:rPr>
                <w:rFonts w:hint="eastAsia" w:ascii="Times New Roman" w:hAnsi="Times New Roman" w:eastAsia="宋体" w:cs="Times New Roman"/>
                <w:color w:val="auto"/>
                <w:highlight w:val="none"/>
              </w:rPr>
            </w:pPr>
            <w:r>
              <w:rPr>
                <w:rFonts w:hint="eastAsia" w:ascii="宋体" w:hAnsi="宋体" w:eastAsia="宋体" w:cs="宋体"/>
                <w:color w:val="auto"/>
                <w:szCs w:val="21"/>
                <w:highlight w:val="none"/>
                <w:lang w:bidi="ar"/>
              </w:rPr>
              <w:t>磋商报价应当包含满足本次竞标全部采购需求所应提供的服务，以及伴随的货物和工程（如有）的价格；包括但不限于人员工资及失业、医疗养老、人员意外伤害等劳动保险费用、税费、交通费、通讯费、加班费、服装、办公用品及日常易耗品等其他一切相关费用。利润及风险由供应商自行考虑，采购人对此不再追补任何费用。</w:t>
            </w:r>
          </w:p>
        </w:tc>
      </w:tr>
      <w:tr w14:paraId="2DD4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6" w:type="dxa"/>
            <w:gridSpan w:val="4"/>
            <w:noWrap w:val="0"/>
            <w:vAlign w:val="center"/>
          </w:tcPr>
          <w:p w14:paraId="602C994A">
            <w:pPr>
              <w:spacing w:line="360" w:lineRule="auto"/>
              <w:jc w:val="center"/>
              <w:rPr>
                <w:rFonts w:hint="eastAsia" w:ascii="宋体" w:hAnsi="宋体" w:eastAsia="宋体" w:cs="宋体"/>
                <w:b/>
                <w:bCs/>
                <w:color w:val="auto"/>
                <w:szCs w:val="21"/>
                <w:highlight w:val="none"/>
                <w:lang w:bidi="ar"/>
              </w:rPr>
            </w:pPr>
            <w:r>
              <w:rPr>
                <w:rFonts w:hint="eastAsia" w:ascii="宋体" w:hAnsi="宋体" w:eastAsia="宋体" w:cs="宋体"/>
                <w:b/>
                <w:bCs/>
                <w:color w:val="auto"/>
                <w:kern w:val="0"/>
                <w:szCs w:val="21"/>
                <w:highlight w:val="none"/>
                <w:lang w:bidi="ar"/>
              </w:rPr>
              <w:t>服务要求</w:t>
            </w:r>
          </w:p>
        </w:tc>
        <w:tc>
          <w:tcPr>
            <w:tcW w:w="8389" w:type="dxa"/>
            <w:gridSpan w:val="3"/>
            <w:noWrap w:val="0"/>
            <w:vAlign w:val="top"/>
          </w:tcPr>
          <w:p w14:paraId="5A16C9CD">
            <w:pPr>
              <w:widowControl/>
              <w:spacing w:line="360" w:lineRule="auto"/>
              <w:ind w:left="105" w:leftChars="50" w:right="105" w:rightChars="5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bidi="ar"/>
              </w:rPr>
              <w:t>1.本项目不得转包或分包，如发现在合同履行期间，成交供应商将项目转包给第三方，采购人有权终止合同。</w:t>
            </w:r>
          </w:p>
          <w:p w14:paraId="0D865756">
            <w:pPr>
              <w:widowControl/>
              <w:spacing w:line="360" w:lineRule="auto"/>
              <w:ind w:left="105" w:leftChars="50" w:right="105" w:rightChars="5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bidi="ar"/>
              </w:rPr>
              <w:t>2.成交供应商必须满足国家和南宁市有关劳动工资的有关规定，依法用工，落实职工合法待遇，保证职工的合法权益。正确处理好与员工之间的劳资关系，杜绝劳动和劳资纠纷现象的发生，对发生的一切劳动和劳资纠纷均由成交供应商负全部责任。</w:t>
            </w:r>
          </w:p>
          <w:p w14:paraId="2EED075A">
            <w:pPr>
              <w:widowControl/>
              <w:spacing w:line="360" w:lineRule="auto"/>
              <w:ind w:left="105" w:leftChars="50" w:right="105" w:rightChars="5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bidi="ar"/>
              </w:rPr>
              <w:t>3.采购人与成交供应商的人员不发生任何劳动和雇佣关系，成交供应商的人员由成交供应商自行管理，并遵守国家相关劳动法律法规，涉及劳务纠纷和劳动事故全部由成交供应商承担责任。成交供应商和其委派的保安从业人员应遵守安全操作规章制度，若发生人身伤害伤亡等事故，由成交供应商自负，与采购人无关。</w:t>
            </w:r>
          </w:p>
          <w:p w14:paraId="7E054D8C">
            <w:pPr>
              <w:widowControl/>
              <w:spacing w:line="360" w:lineRule="auto"/>
              <w:ind w:left="105" w:leftChars="50" w:right="105" w:rightChars="5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bidi="ar"/>
              </w:rPr>
              <w:t>4.服务期间，成交供应商办公所需设备设施、用品、人员餐饮等自行解决。办公室、值班室由采购人提供。采购人提供员工宿舍</w:t>
            </w:r>
            <w:r>
              <w:rPr>
                <w:rFonts w:hint="eastAsia" w:ascii="宋体" w:hAnsi="宋体" w:eastAsia="宋体" w:cs="宋体"/>
                <w:b/>
                <w:bCs/>
                <w:color w:val="auto"/>
                <w:szCs w:val="21"/>
                <w:highlight w:val="none"/>
                <w:lang w:bidi="ar"/>
              </w:rPr>
              <w:t>（热水费、电费由成交供应商自行承担）</w:t>
            </w:r>
            <w:r>
              <w:rPr>
                <w:rFonts w:hint="eastAsia" w:ascii="宋体" w:hAnsi="宋体" w:eastAsia="宋体" w:cs="宋体"/>
                <w:bCs/>
                <w:color w:val="auto"/>
                <w:szCs w:val="21"/>
                <w:highlight w:val="none"/>
                <w:lang w:bidi="ar"/>
              </w:rPr>
              <w:t>，若有需求，可向采购人申请，采购人根据实际情况配备宿舍。成交供应商须配合采购人的节能减排的管理。</w:t>
            </w:r>
          </w:p>
          <w:p w14:paraId="63072DAB">
            <w:pPr>
              <w:widowControl/>
              <w:spacing w:line="360" w:lineRule="auto"/>
              <w:ind w:left="105" w:leftChars="50" w:right="105" w:rightChars="5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bidi="ar"/>
              </w:rPr>
              <w:t>5.成交供应商对所配备员工负有教育、培训和管理的责任，队伍须纪律严明、作风优良、技能过硬、执勤文明、统一着装，坚守岗位，认真履行职责。</w:t>
            </w:r>
          </w:p>
          <w:p w14:paraId="543CAB49">
            <w:pPr>
              <w:widowControl/>
              <w:spacing w:line="360" w:lineRule="auto"/>
              <w:ind w:left="105" w:leftChars="50" w:right="105" w:rightChars="50" w:firstLine="460" w:firstLineChars="200"/>
              <w:jc w:val="left"/>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lang w:bidi="ar"/>
              </w:rPr>
              <w:t>6.成交供应商派驻前，采购人根据磋商文件、响应文件及合同要求对拟投入的教官队人员进行面试核实。对不符合要求的人员，采购人提出更换的，应于15天内给予更换，所更换人员必须满足项目要求，因成交供应商原因而未及时整改的，采购人可单方面解除合同。</w:t>
            </w:r>
          </w:p>
          <w:p w14:paraId="3528AD0F">
            <w:pPr>
              <w:widowControl/>
              <w:spacing w:line="360" w:lineRule="auto"/>
              <w:ind w:left="105" w:leftChars="50" w:right="105" w:rightChars="50" w:firstLine="460" w:firstLineChars="200"/>
              <w:jc w:val="left"/>
              <w:rPr>
                <w:rFonts w:hint="eastAsia" w:ascii="宋体" w:hAnsi="宋体" w:eastAsia="宋体" w:cs="宋体"/>
                <w:bCs/>
                <w:color w:val="auto"/>
                <w:szCs w:val="21"/>
                <w:highlight w:val="none"/>
              </w:rPr>
            </w:pPr>
            <w:r>
              <w:rPr>
                <w:rFonts w:hint="eastAsia" w:ascii="宋体" w:hAnsi="宋体" w:eastAsia="宋体" w:cs="宋体"/>
                <w:color w:val="auto"/>
                <w:spacing w:val="10"/>
                <w:szCs w:val="21"/>
                <w:highlight w:val="none"/>
                <w:lang w:bidi="ar"/>
              </w:rPr>
              <w:t>7.成交供应</w:t>
            </w:r>
            <w:r>
              <w:rPr>
                <w:rFonts w:hint="eastAsia" w:ascii="宋体" w:hAnsi="宋体" w:eastAsia="宋体" w:cs="宋体"/>
                <w:color w:val="auto"/>
                <w:szCs w:val="21"/>
                <w:highlight w:val="none"/>
                <w:lang w:bidi="ar"/>
              </w:rPr>
              <w:t>商</w:t>
            </w:r>
            <w:r>
              <w:rPr>
                <w:rFonts w:hint="eastAsia" w:ascii="宋体" w:hAnsi="宋体" w:eastAsia="宋体" w:cs="宋体"/>
                <w:color w:val="auto"/>
                <w:spacing w:val="10"/>
                <w:szCs w:val="21"/>
                <w:highlight w:val="none"/>
                <w:lang w:bidi="ar"/>
              </w:rPr>
              <w:t>拟投入本项目的人员在合同期限内不得变动，如有变动须向采购人申请，经采购人审核同意后方可变动。未经采购人书面同意，擅自更换人员的，采购人可以立即单方面终止合同，同时造成的损失全部由成交供应商承担。</w:t>
            </w:r>
          </w:p>
          <w:p w14:paraId="4BA99839">
            <w:pPr>
              <w:pStyle w:val="6"/>
              <w:widowControl/>
              <w:spacing w:line="360" w:lineRule="auto"/>
              <w:ind w:left="105" w:leftChars="50" w:right="105" w:rightChars="50" w:firstLine="460" w:firstLineChars="20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8.</w:t>
            </w:r>
            <w:r>
              <w:rPr>
                <w:rFonts w:hint="eastAsia" w:ascii="宋体" w:hAnsi="宋体" w:eastAsia="宋体" w:cs="宋体"/>
                <w:color w:val="auto"/>
                <w:sz w:val="21"/>
                <w:szCs w:val="21"/>
                <w:highlight w:val="none"/>
              </w:rPr>
              <w:t>在合同执行期间，如因采购人需要，有增加人员或减少人员事宜，由采购人与成交供应商双方签订书面补充或者变更协议确定。</w:t>
            </w:r>
          </w:p>
        </w:tc>
      </w:tr>
      <w:tr w14:paraId="7DEB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6" w:type="dxa"/>
            <w:gridSpan w:val="4"/>
            <w:noWrap w:val="0"/>
            <w:vAlign w:val="center"/>
          </w:tcPr>
          <w:p w14:paraId="37486BC9">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验收标准</w:t>
            </w:r>
          </w:p>
        </w:tc>
        <w:tc>
          <w:tcPr>
            <w:tcW w:w="8389" w:type="dxa"/>
            <w:gridSpan w:val="3"/>
            <w:noWrap w:val="0"/>
            <w:vAlign w:val="top"/>
          </w:tcPr>
          <w:p w14:paraId="058191E2">
            <w:pPr>
              <w:pStyle w:val="6"/>
              <w:widowControl/>
              <w:spacing w:line="360" w:lineRule="auto"/>
              <w:ind w:left="105" w:leftChars="50" w:right="105" w:rightChars="50" w:firstLine="460" w:firstLineChars="20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1.以《磋商文件》及《采购合同书》为准进行最终验收。验收过程中所产生的一切费用均由成交供应商承担。报价时应考虑相关费用。</w:t>
            </w:r>
          </w:p>
          <w:p w14:paraId="783E9C0C">
            <w:pPr>
              <w:pStyle w:val="6"/>
              <w:widowControl/>
              <w:spacing w:line="360" w:lineRule="auto"/>
              <w:ind w:left="105" w:leftChars="50" w:right="105" w:rightChars="50" w:firstLine="460" w:firstLineChars="200"/>
              <w:rPr>
                <w:rFonts w:hint="eastAsia" w:ascii="宋体" w:hAnsi="宋体" w:eastAsia="宋体" w:cs="宋体"/>
                <w:color w:val="auto"/>
                <w:szCs w:val="21"/>
                <w:highlight w:val="none"/>
              </w:rPr>
            </w:pPr>
            <w:r>
              <w:rPr>
                <w:rFonts w:hint="eastAsia" w:ascii="宋体" w:hAnsi="宋体" w:eastAsia="宋体" w:cs="宋体"/>
                <w:bCs w:val="0"/>
                <w:color w:val="auto"/>
                <w:sz w:val="21"/>
                <w:szCs w:val="21"/>
                <w:highlight w:val="none"/>
              </w:rPr>
              <w:t>2.在项目验收过程中，采购人将同时按照采购文件及供应商响应文件承诺的条款进行逐项验收，如项目验收不合格，由成交供应商按要求整改后再行验收，以及给采购人造成的损失等费用由成交供</w:t>
            </w:r>
            <w:bookmarkStart w:id="2" w:name="_GoBack"/>
            <w:bookmarkEnd w:id="2"/>
            <w:r>
              <w:rPr>
                <w:rFonts w:hint="eastAsia" w:ascii="宋体" w:hAnsi="宋体" w:eastAsia="宋体" w:cs="宋体"/>
                <w:bCs w:val="0"/>
                <w:color w:val="auto"/>
                <w:sz w:val="21"/>
                <w:szCs w:val="21"/>
                <w:highlight w:val="none"/>
              </w:rPr>
              <w:t>应商承担。连续两次项目验收不合格的，或发现成交供应商在响应文件中有弄虚作假的行为，或在响应文件中有针对技术商务条款有虚假响应情况的，采购人将不予验收，并追究成交供应商的责任，由此带来的一切损失由成交供应商自行承担。</w:t>
            </w:r>
          </w:p>
        </w:tc>
      </w:tr>
    </w:tbl>
    <w:p w14:paraId="5862688F"/>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6D5310"/>
    <w:rsid w:val="046D5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1"/>
      <w:lang w:val="en-US" w:eastAsia="zh-CN" w:bidi="ar"/>
    </w:rPr>
  </w:style>
  <w:style w:type="paragraph" w:customStyle="1" w:styleId="6">
    <w:name w:val="表格文字"/>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bCs/>
      <w:spacing w:val="10"/>
      <w:kern w:val="2"/>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2026-06-24T07:25:00Z</dcterms:created>
  <dc:creator>欧明聪</dc:creator>
  <cp:lastModifiedBy>欧明聪</cp:lastModifiedBy>
  <dcterms:modified xsi:type="dcterms:W3CDTF">2026-06-24T07:25:47Z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B3A7D3E46E81430EB39A2ECA769AFE9B_11</vt:lpwstr>
  </property>
  <property fmtid="{D5CDD505-2E9C-101B-9397-08002B2CF9AE}" pid="4" name="KSOTemplateDocerSaveRecord">
    <vt:lpwstr>eyJoZGlkIjoiZjU5NTE4Y2EwNGUwNTA5ZTk0ODVmYmYwNWU3YjQyYWUiLCJ1c2VySWQiOiIxNTkyNDk1NTU5In0=</vt:lpwstr>
  </property>
</Properties>
</file>