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5BB88">
      <w:pPr>
        <w:keepNext/>
        <w:keepLines/>
        <w:widowControl w:val="0"/>
        <w:spacing w:before="100" w:after="90" w:line="240" w:lineRule="auto"/>
        <w:jc w:val="center"/>
        <w:outlineLvl w:val="0"/>
        <w:rPr>
          <w:rFonts w:ascii="Cambria" w:hAnsi="Cambria" w:eastAsia="宋体" w:cs="Times New Roman"/>
          <w:b/>
          <w:bCs w:val="0"/>
          <w:color w:val="auto"/>
          <w:kern w:val="44"/>
          <w:sz w:val="32"/>
          <w:szCs w:val="32"/>
          <w:highlight w:val="none"/>
          <w:lang w:val="en-US" w:eastAsia="zh-CN" w:bidi="ar-SA"/>
        </w:rPr>
      </w:pPr>
      <w:r>
        <w:rPr>
          <w:rFonts w:hint="eastAsia" w:ascii="Cambria" w:hAnsi="Cambria" w:eastAsia="宋体" w:cs="Times New Roman"/>
          <w:b/>
          <w:bCs w:val="0"/>
          <w:color w:val="auto"/>
          <w:kern w:val="44"/>
          <w:sz w:val="32"/>
          <w:szCs w:val="32"/>
          <w:highlight w:val="none"/>
          <w:lang w:val="en-US" w:eastAsia="zh-CN" w:bidi="ar-SA"/>
        </w:rPr>
        <w:t xml:space="preserve"> 采购需</w:t>
      </w:r>
      <w:bookmarkStart w:id="0" w:name="_GoBack"/>
      <w:bookmarkEnd w:id="0"/>
      <w:r>
        <w:rPr>
          <w:rFonts w:hint="eastAsia" w:ascii="Cambria" w:hAnsi="Cambria" w:eastAsia="宋体" w:cs="Times New Roman"/>
          <w:b/>
          <w:bCs w:val="0"/>
          <w:color w:val="auto"/>
          <w:kern w:val="44"/>
          <w:sz w:val="32"/>
          <w:szCs w:val="32"/>
          <w:highlight w:val="none"/>
          <w:lang w:val="en-US" w:eastAsia="zh-CN" w:bidi="ar-SA"/>
        </w:rPr>
        <w:t>求</w:t>
      </w:r>
    </w:p>
    <w:p w14:paraId="61CE1154">
      <w:pPr>
        <w:spacing w:line="450" w:lineRule="exact"/>
        <w:jc w:val="left"/>
        <w:rPr>
          <w:rFonts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说明：</w:t>
      </w:r>
    </w:p>
    <w:p w14:paraId="6AAB492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87F2FD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0D663D9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w:t>
      </w:r>
      <w:r>
        <w:rPr>
          <w:rFonts w:hint="eastAsia" w:ascii="宋体" w:hAnsi="宋体" w:eastAsia="宋体" w:cs="宋体"/>
          <w:b/>
          <w:bCs/>
          <w:color w:val="auto"/>
          <w:szCs w:val="21"/>
          <w:highlight w:val="none"/>
          <w:lang w:eastAsia="zh-CN"/>
        </w:rPr>
        <w:t>按无效</w:t>
      </w:r>
      <w:r>
        <w:rPr>
          <w:rFonts w:hint="eastAsia" w:ascii="宋体" w:hAnsi="宋体" w:eastAsia="宋体" w:cs="宋体"/>
          <w:b/>
          <w:bCs/>
          <w:color w:val="auto"/>
          <w:szCs w:val="21"/>
          <w:highlight w:val="none"/>
        </w:rPr>
        <w:t>处理</w:t>
      </w:r>
      <w:r>
        <w:rPr>
          <w:rFonts w:hint="eastAsia" w:ascii="宋体" w:hAnsi="宋体" w:eastAsia="宋体" w:cs="宋体"/>
          <w:color w:val="auto"/>
          <w:szCs w:val="21"/>
          <w:highlight w:val="none"/>
        </w:rPr>
        <w:t xml:space="preserve">。如本项目包含的配套货物属于品目清单内非标注“★”的产品时，应优先采购，具体详见“第四章 </w:t>
      </w:r>
      <w:r>
        <w:rPr>
          <w:rFonts w:hint="eastAsia" w:ascii="宋体" w:hAnsi="宋体" w:eastAsia="宋体" w:cs="宋体"/>
          <w:color w:val="auto"/>
          <w:highlight w:val="none"/>
          <w:u w:val="single"/>
        </w:rPr>
        <w:t>评审程序、评审方法和评审标准</w:t>
      </w:r>
      <w:r>
        <w:rPr>
          <w:rFonts w:hint="eastAsia" w:ascii="宋体" w:hAnsi="宋体" w:eastAsia="宋体" w:cs="宋体"/>
          <w:color w:val="auto"/>
          <w:szCs w:val="21"/>
          <w:highlight w:val="none"/>
        </w:rPr>
        <w:t>”。</w:t>
      </w:r>
    </w:p>
    <w:p w14:paraId="2F6E2B70">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3DFE8095">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服务项目中伴随货物的，采购需求中出现的品牌、型号或者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仅起参考作用，不属于指定品牌、型号或者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的情形。</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可参照或者选用其他相当的品牌、型号或者</w:t>
      </w:r>
      <w:r>
        <w:rPr>
          <w:rFonts w:hint="eastAsia" w:ascii="宋体" w:hAnsi="宋体" w:eastAsia="宋体" w:cs="宋体"/>
          <w:color w:val="auto"/>
          <w:szCs w:val="21"/>
          <w:highlight w:val="none"/>
          <w:lang w:eastAsia="zh-CN"/>
        </w:rPr>
        <w:t>制造商</w:t>
      </w:r>
      <w:r>
        <w:rPr>
          <w:rFonts w:hint="eastAsia" w:ascii="宋体" w:hAnsi="宋体" w:eastAsia="宋体" w:cs="宋体"/>
          <w:color w:val="auto"/>
          <w:szCs w:val="21"/>
          <w:highlight w:val="none"/>
        </w:rPr>
        <w:t>替代，但选用的</w:t>
      </w:r>
      <w:r>
        <w:rPr>
          <w:rFonts w:hint="eastAsia" w:ascii="宋体" w:hAnsi="宋体" w:eastAsia="宋体" w:cs="宋体"/>
          <w:color w:val="auto"/>
          <w:szCs w:val="21"/>
          <w:highlight w:val="none"/>
          <w:lang w:eastAsia="zh-CN"/>
        </w:rPr>
        <w:t>竞标</w:t>
      </w:r>
      <w:r>
        <w:rPr>
          <w:rFonts w:hint="eastAsia" w:ascii="宋体" w:hAnsi="宋体" w:eastAsia="宋体" w:cs="宋体"/>
          <w:color w:val="auto"/>
          <w:szCs w:val="21"/>
          <w:highlight w:val="none"/>
        </w:rPr>
        <w:t>产品</w:t>
      </w:r>
      <w:r>
        <w:rPr>
          <w:rFonts w:hint="eastAsia" w:ascii="宋体" w:hAnsi="宋体" w:eastAsia="宋体" w:cs="宋体"/>
          <w:color w:val="auto"/>
          <w:szCs w:val="21"/>
          <w:highlight w:val="none"/>
          <w:lang w:eastAsia="zh-CN"/>
        </w:rPr>
        <w:t>技术</w:t>
      </w:r>
      <w:r>
        <w:rPr>
          <w:rFonts w:hint="eastAsia" w:ascii="宋体" w:hAnsi="宋体" w:eastAsia="宋体" w:cs="宋体"/>
          <w:color w:val="auto"/>
          <w:szCs w:val="21"/>
          <w:highlight w:val="none"/>
        </w:rPr>
        <w:t>参数</w:t>
      </w:r>
      <w:r>
        <w:rPr>
          <w:rFonts w:hint="eastAsia" w:ascii="宋体" w:hAnsi="宋体" w:eastAsia="宋体" w:cs="宋体"/>
          <w:color w:val="auto"/>
          <w:szCs w:val="21"/>
          <w:highlight w:val="none"/>
          <w:lang w:eastAsia="zh-CN"/>
        </w:rPr>
        <w:t>及配置</w:t>
      </w:r>
      <w:r>
        <w:rPr>
          <w:rFonts w:hint="eastAsia" w:ascii="宋体" w:hAnsi="宋体" w:eastAsia="宋体" w:cs="宋体"/>
          <w:color w:val="auto"/>
          <w:szCs w:val="21"/>
          <w:highlight w:val="none"/>
        </w:rPr>
        <w:t>必须满足</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要求。</w:t>
      </w:r>
    </w:p>
    <w:p w14:paraId="6C3D4344">
      <w:pPr>
        <w:spacing w:line="42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highlight w:val="none"/>
        </w:rPr>
        <w:t>和国民法典》的相关条款来</w:t>
      </w:r>
      <w:r>
        <w:rPr>
          <w:rFonts w:hint="eastAsia" w:ascii="宋体" w:hAnsi="宋体" w:eastAsia="宋体" w:cs="宋体"/>
          <w:color w:val="auto"/>
          <w:szCs w:val="21"/>
          <w:highlight w:val="none"/>
          <w:lang w:eastAsia="zh-CN"/>
        </w:rPr>
        <w:t>进行</w:t>
      </w:r>
      <w:r>
        <w:rPr>
          <w:rFonts w:hint="eastAsia" w:ascii="宋体" w:hAnsi="宋体" w:eastAsia="宋体" w:cs="宋体"/>
          <w:color w:val="auto"/>
          <w:szCs w:val="21"/>
          <w:highlight w:val="none"/>
        </w:rPr>
        <w:t>赔偿。</w:t>
      </w:r>
    </w:p>
    <w:p w14:paraId="174732BF">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highlight w:val="none"/>
          <w:lang w:val="en-US" w:eastAsia="zh-CN" w:bidi="ar-SA"/>
        </w:rPr>
        <w:t>负责。</w:t>
      </w:r>
    </w:p>
    <w:p w14:paraId="05F8AC3F">
      <w:pPr>
        <w:widowControl w:val="0"/>
        <w:spacing w:line="450" w:lineRule="exact"/>
        <w:ind w:firstLine="420" w:firstLineChars="200"/>
        <w:jc w:val="left"/>
        <w:rPr>
          <w:rFonts w:ascii="宋体" w:hAnsi="宋体" w:eastAsia="宋体" w:cs="宋体"/>
          <w:i/>
          <w:iCs/>
          <w:color w:val="auto"/>
          <w:kern w:val="2"/>
          <w:sz w:val="21"/>
          <w:szCs w:val="24"/>
          <w:highlight w:val="none"/>
          <w:u w:val="single"/>
          <w:lang w:val="en-US" w:eastAsia="zh-CN" w:bidi="ar-SA"/>
        </w:rPr>
      </w:pPr>
      <w:r>
        <w:rPr>
          <w:rFonts w:hint="eastAsia" w:ascii="宋体" w:hAnsi="宋体" w:eastAsia="宋体" w:cs="宋体"/>
          <w:color w:val="auto"/>
          <w:kern w:val="2"/>
          <w:sz w:val="21"/>
          <w:szCs w:val="24"/>
          <w:highlight w:val="none"/>
          <w:lang w:val="en-US" w:eastAsia="zh-CN" w:bidi="ar-SA"/>
        </w:rPr>
        <w:t>6.采购标的对应的中小企业划分标准所属行业名称：</w:t>
      </w:r>
      <w:r>
        <w:rPr>
          <w:rFonts w:hint="eastAsia" w:ascii="宋体" w:hAnsi="宋体" w:eastAsia="宋体" w:cs="宋体"/>
          <w:b/>
          <w:bCs/>
          <w:color w:val="auto"/>
          <w:kern w:val="2"/>
          <w:sz w:val="21"/>
          <w:szCs w:val="21"/>
          <w:highlight w:val="none"/>
          <w:u w:val="single"/>
          <w:lang w:val="en-US" w:eastAsia="zh-CN" w:bidi="ar-SA"/>
        </w:rPr>
        <w:t>租赁和商务服务业。</w:t>
      </w:r>
    </w:p>
    <w:tbl>
      <w:tblPr>
        <w:tblStyle w:val="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34"/>
        <w:gridCol w:w="924"/>
        <w:gridCol w:w="317"/>
        <w:gridCol w:w="259"/>
        <w:gridCol w:w="7293"/>
      </w:tblGrid>
      <w:tr w14:paraId="707B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6"/>
            <w:tcBorders>
              <w:top w:val="single" w:color="auto" w:sz="4" w:space="0"/>
              <w:left w:val="single" w:color="auto" w:sz="4" w:space="0"/>
              <w:bottom w:val="single" w:color="auto" w:sz="4" w:space="0"/>
              <w:right w:val="single" w:color="auto" w:sz="4" w:space="0"/>
            </w:tcBorders>
            <w:vAlign w:val="center"/>
          </w:tcPr>
          <w:p w14:paraId="79F031C0">
            <w:pPr>
              <w:spacing w:line="380" w:lineRule="exact"/>
              <w:jc w:val="left"/>
              <w:rPr>
                <w:rFonts w:ascii="宋体" w:hAnsi="宋体" w:eastAsia="宋体" w:cs="宋体"/>
                <w:color w:val="auto"/>
                <w:szCs w:val="21"/>
                <w:highlight w:val="none"/>
              </w:rPr>
            </w:pPr>
            <w:r>
              <w:rPr>
                <w:rFonts w:hint="eastAsia" w:ascii="宋体" w:hAnsi="宋体" w:eastAsia="宋体" w:cs="宋体"/>
                <w:b/>
                <w:bCs/>
                <w:color w:val="auto"/>
                <w:szCs w:val="21"/>
                <w:highlight w:val="none"/>
              </w:rPr>
              <w:t>分标：/</w:t>
            </w:r>
          </w:p>
        </w:tc>
      </w:tr>
      <w:tr w14:paraId="1408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056CF85C">
            <w:pPr>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需求一览表</w:t>
            </w:r>
          </w:p>
        </w:tc>
        <w:tc>
          <w:tcPr>
            <w:tcW w:w="434" w:type="dxa"/>
            <w:tcBorders>
              <w:top w:val="single" w:color="auto" w:sz="4" w:space="0"/>
            </w:tcBorders>
            <w:vAlign w:val="center"/>
          </w:tcPr>
          <w:p w14:paraId="2920CCD0">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24" w:type="dxa"/>
            <w:tcBorders>
              <w:top w:val="single" w:color="auto" w:sz="4" w:space="0"/>
            </w:tcBorders>
            <w:vAlign w:val="center"/>
          </w:tcPr>
          <w:p w14:paraId="37489891">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576" w:type="dxa"/>
            <w:gridSpan w:val="2"/>
            <w:tcBorders>
              <w:top w:val="single" w:color="auto" w:sz="4" w:space="0"/>
            </w:tcBorders>
            <w:vAlign w:val="center"/>
          </w:tcPr>
          <w:p w14:paraId="1ED3DE8A">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7293" w:type="dxa"/>
            <w:tcBorders>
              <w:top w:val="single" w:color="auto" w:sz="4" w:space="0"/>
            </w:tcBorders>
            <w:vAlign w:val="center"/>
          </w:tcPr>
          <w:p w14:paraId="34BDCCDE">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服务要求</w:t>
            </w:r>
          </w:p>
        </w:tc>
      </w:tr>
      <w:tr w14:paraId="5F5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C02BC42">
            <w:pPr>
              <w:spacing w:line="380" w:lineRule="exact"/>
              <w:jc w:val="center"/>
              <w:rPr>
                <w:rFonts w:ascii="宋体" w:hAnsi="宋体" w:eastAsia="宋体" w:cs="宋体"/>
                <w:color w:val="auto"/>
                <w:szCs w:val="21"/>
                <w:highlight w:val="none"/>
              </w:rPr>
            </w:pPr>
          </w:p>
        </w:tc>
        <w:tc>
          <w:tcPr>
            <w:tcW w:w="434" w:type="dxa"/>
            <w:vAlign w:val="center"/>
          </w:tcPr>
          <w:p w14:paraId="7E664642">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24" w:type="dxa"/>
            <w:vAlign w:val="center"/>
          </w:tcPr>
          <w:p w14:paraId="772027BB">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广西网上信访信息系统维护</w:t>
            </w:r>
          </w:p>
        </w:tc>
        <w:tc>
          <w:tcPr>
            <w:tcW w:w="576" w:type="dxa"/>
            <w:gridSpan w:val="2"/>
            <w:vAlign w:val="center"/>
          </w:tcPr>
          <w:p w14:paraId="4E3FE7A1">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793FD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总体服务要求：</w:t>
            </w:r>
          </w:p>
          <w:p w14:paraId="5B89EA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1.运维范围</w:t>
            </w:r>
          </w:p>
          <w:p w14:paraId="3C03F3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运维对象为广西网上信访信息管理系统，其中内容包括代码升级、系统培训、标准适配、数据交互、业务接口、数据统计、日常运维等各种内容。</w:t>
            </w:r>
          </w:p>
          <w:p w14:paraId="4E5ED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▲1）代码升级：根据国家信访局及我区各级信访部门、责任部门的业务要求调整和变更要求，在现有系统基础上，进行代码的开发、编写、测试、重构和升级到系统，使得系统适应业务的要求迭代更新。</w:t>
            </w:r>
          </w:p>
          <w:p w14:paraId="4BF6C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2）系统培训：根据自治区、各地市、各厅级单位的要求提供现场或远程的系统使用培训，包括讲解年度的各种考核要点、考核规则以及使用流程等。</w:t>
            </w:r>
          </w:p>
          <w:p w14:paraId="50E6C3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▲3）标准适配：根据国家信访局、广西绩效考核部门的要求，完成系统的代码改造适配，使得系统满足各方的考核要求，并每天根据考核规则统计出对应的考核数据。</w:t>
            </w:r>
          </w:p>
          <w:p w14:paraId="7076A6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数据交互系统维护：保障信访局信息系统的数据与国家信访局、公安厅、自治区人大、住建厅等各单位系统的数据交互稳定的进行，并根据国家信访局的交换标准进行交换系统的代码升级，保证系统正常无误的进行交换。</w:t>
            </w:r>
          </w:p>
          <w:p w14:paraId="65383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业务接口：网上信访信息管理系统对外提供的接口，包括门户网站数据接口、微信公众号、APP及大数据平台、智能化系统等提供了业务接口，需要在原有现有业务接口基础上进行深入代码级维护，保证各系统之间接口的变更后能正常实现数据的互通。</w:t>
            </w:r>
          </w:p>
          <w:p w14:paraId="539A70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▲6）数据统计：根据自治区信访局各部门的统计要求及时的通过系统、后台数据库表格等方式和渠道，根据业务要求进行数据库表结构业务逻辑关系联合查询，导出满足各处室要求的数据。</w:t>
            </w:r>
          </w:p>
          <w:p w14:paraId="0FAA67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7）日常运维：包括日常系统保障维护、巡检、用户使用问题处理、问题收集等方面内容。</w:t>
            </w:r>
          </w:p>
          <w:p w14:paraId="443F25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2.运维方式、周期及要求</w:t>
            </w:r>
          </w:p>
          <w:p w14:paraId="21E19A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1）运维方式：自治区信访局驻点运维，对全区提供电话、微信、QQ等方式提供运维，对自治区信访局用户提供面对面的方式服务。</w:t>
            </w:r>
          </w:p>
          <w:p w14:paraId="5EEC80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2）运维周期：系统运维时间为该系统上一年运维期结束之日起1年。</w:t>
            </w:r>
          </w:p>
          <w:p w14:paraId="4A0E5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3）运维要求</w:t>
            </w:r>
          </w:p>
          <w:p w14:paraId="09C017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（1）现场驻点运维时间：工作日提供5*8小时（8:00-12:00、14:30-18:30）的现场运维；工作日18:30-次日8:30及节假日24小时提供电话或远程技术支持服务。</w:t>
            </w:r>
          </w:p>
          <w:p w14:paraId="7324A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（2）远程运维时间：7*24小时电话或远程技术支持服务。</w:t>
            </w:r>
          </w:p>
          <w:p w14:paraId="0771DE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3.运维服务团队要求</w:t>
            </w:r>
          </w:p>
          <w:p w14:paraId="7353D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为确保运维服务的及时性，成立专门的运维服务团队，应包含管理人员、高级开发工程师、驻场运维等，并建立运维汇报机制。服务商驻场团队必须制定内部的管理制度，明确工作职责，建立良好的沟通机制。</w:t>
            </w:r>
          </w:p>
          <w:p w14:paraId="12417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（1）人员配备</w:t>
            </w:r>
          </w:p>
          <w:p w14:paraId="6B4B1A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▲驻点人员数量不少于5人，包括具备同类型系统开发年限在5年以上的系统开发工程师3名，运维工程师2名；</w:t>
            </w:r>
          </w:p>
          <w:p w14:paraId="584AA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远程服务人员为项目实施人员，非运维开发人员及驻场技术人员；驻点及远程运维人员合同期内原则上不允许更换，如有变动，须提前一周与所服务单位负责人进行书面沟通并达成一致。</w:t>
            </w:r>
          </w:p>
          <w:p w14:paraId="7572D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（2）运维问题定期汇报机制</w:t>
            </w:r>
          </w:p>
          <w:p w14:paraId="075B8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每天下班前技术人员将当天已解决的问题，及时反馈汇报给管理人员；对超时未完成问题，管理人员定期将问题处理完成进度汇报给信息中心。</w:t>
            </w:r>
          </w:p>
          <w:p w14:paraId="36CA3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（3）驻场服务人员管理</w:t>
            </w:r>
          </w:p>
          <w:p w14:paraId="586BC7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驻场服务人员应服从服务单位的礼仪规范与人员管理制度，按时上下班。针对全区服务建立单独的QQ运维群、微信和专属电话。</w:t>
            </w:r>
          </w:p>
          <w:p w14:paraId="62778F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4.重要活动及节假日保障服务</w:t>
            </w:r>
          </w:p>
          <w:p w14:paraId="15449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1）法定节假日值班保障服务</w:t>
            </w:r>
          </w:p>
          <w:p w14:paraId="653638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要求服务不少于36天法定节假日进行保障，保障重要活动节假日期间平台安全可靠运行，全面提高应对突发情况的综合管理水平和应急处置能力，最大限度地保证重大节假日期间平台稳定安全运行和可靠畅通。</w:t>
            </w:r>
          </w:p>
          <w:p w14:paraId="49D86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2）两会驻场值班保障服务 </w:t>
            </w:r>
          </w:p>
          <w:p w14:paraId="5218A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两会（人民代表大会、政协会议）约5天：保障重要活动节假日期间平台安全可靠运行，全面提高应对突发情况的综合管理水平和应急处置能力，最大限度地保证重大节假日期间平台稳定安全运行和可靠畅通。</w:t>
            </w:r>
          </w:p>
          <w:p w14:paraId="55CED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3）东盟博览会值班保障服务 </w:t>
            </w:r>
          </w:p>
          <w:p w14:paraId="5D40F8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东盟博览会约5天：保障重要活动节假日期间平台安全可靠运行，全面提高应对突发情况的综合管理水平和应急处置能力，最大限度地保证重大节假日期间平台稳定安全运行和可靠畅通。</w:t>
            </w:r>
          </w:p>
          <w:p w14:paraId="2B183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4）周末值班保障服务</w:t>
            </w:r>
          </w:p>
          <w:p w14:paraId="634E29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扣除节假日重叠的周末后，常规周末保障约98天：保障重要活动节假日期间平台安全可靠运行，全面提高应对突发情况的综合管理水平和应急处置能力，最大限度地保证重大节假日期间平台稳定安全运行和可靠畅通。</w:t>
            </w:r>
          </w:p>
          <w:p w14:paraId="4D82B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5.附属支撑系统维护</w:t>
            </w:r>
          </w:p>
          <w:p w14:paraId="29F5A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(1)多功能查询一体机系统运维支撑，保障系统的稳定运行，发生BUG时，在现有系统的源代码基础上进行代码修改和升级。</w:t>
            </w:r>
          </w:p>
          <w:p w14:paraId="76FFE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(2)基于信创环境的高拍仪支撑系统运维，保障系统的稳定运行，发生BUG时，在现有系统的源代码基础上进行代码修改和升级。</w:t>
            </w:r>
          </w:p>
          <w:p w14:paraId="1B5954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(3)基于信创环境的扫描仪支撑系统运维，保障系统的稳定运行，发生BUG时，在现有系统的源代码基础上进行代码修改和升级。</w:t>
            </w:r>
          </w:p>
          <w:p w14:paraId="11345C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在线预定用餐系统维护，保障系统的稳定运行，发生BUG时，在现有系统的源代码基础上进行代码修改和升级。</w:t>
            </w:r>
          </w:p>
          <w:p w14:paraId="495DC45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p>
        </w:tc>
      </w:tr>
      <w:tr w14:paraId="5464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263BC987">
            <w:pPr>
              <w:spacing w:line="380" w:lineRule="exact"/>
              <w:jc w:val="center"/>
              <w:rPr>
                <w:rFonts w:ascii="宋体" w:hAnsi="宋体" w:eastAsia="宋体" w:cs="宋体"/>
                <w:color w:val="auto"/>
                <w:szCs w:val="21"/>
                <w:highlight w:val="none"/>
              </w:rPr>
            </w:pPr>
          </w:p>
        </w:tc>
        <w:tc>
          <w:tcPr>
            <w:tcW w:w="434" w:type="dxa"/>
            <w:vAlign w:val="center"/>
          </w:tcPr>
          <w:p w14:paraId="3562AC20">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924" w:type="dxa"/>
            <w:vAlign w:val="center"/>
          </w:tcPr>
          <w:p w14:paraId="6C479D2D">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信访管理系统运维</w:t>
            </w:r>
          </w:p>
        </w:tc>
        <w:tc>
          <w:tcPr>
            <w:tcW w:w="576" w:type="dxa"/>
            <w:gridSpan w:val="2"/>
            <w:vAlign w:val="center"/>
          </w:tcPr>
          <w:p w14:paraId="3D0502AB">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3DE44C8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1.运维服务内容</w:t>
            </w:r>
          </w:p>
          <w:p w14:paraId="4C2283A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1.1.常规运维</w:t>
            </w:r>
          </w:p>
          <w:p w14:paraId="324E3A1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1.1.1 账号运维及咨询服务</w:t>
            </w:r>
          </w:p>
          <w:p w14:paraId="2869265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账号维护：7×24 小时服务，驻场 + 应急现场支持，运维自治区及 14 地市等信访局账号，负责权限划分与用户管理，年服务 8000 + 单位不少于 365 次。</w:t>
            </w:r>
          </w:p>
          <w:p w14:paraId="74D3532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机构维护：5×8 小时驻场 + 7×24 小时在线，运维自治区、区直、地市、县区信访局机构信息，年服务不少于 500 次。</w:t>
            </w:r>
          </w:p>
          <w:p w14:paraId="291BCE7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业务咨询：5×8 小时驻场 + 7×24 小时在线，解答系统操作、流程、数据处理等问题，为全广西信访系统用户提供支撑。</w:t>
            </w:r>
          </w:p>
          <w:p w14:paraId="3AC04B2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1.1.2 运维培训服务</w:t>
            </w:r>
          </w:p>
          <w:p w14:paraId="056CBD9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提供系统使用、考核规范等培训，由专业驻场人员实施。</w:t>
            </w:r>
          </w:p>
          <w:p w14:paraId="24B90CB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现场培训：按需不定期开展；网络培训：制作操作视频，远程指导。</w:t>
            </w:r>
          </w:p>
          <w:p w14:paraId="71741E2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1.1.3 系统阈值监控服务</w:t>
            </w:r>
          </w:p>
          <w:p w14:paraId="51C95E0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全年 248 个工作日专人监控：</w:t>
            </w:r>
          </w:p>
          <w:p w14:paraId="1CFDFD9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基础设施：CPU≤80%、内存≤85%、磁盘≤90%。</w:t>
            </w:r>
          </w:p>
          <w:p w14:paraId="6E51470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应用层：接口响应≤3s、成功率≥99.9%，监控应用进程状态。</w:t>
            </w:r>
          </w:p>
          <w:p w14:paraId="046839E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数据层：数据库连接≤最大连接数 80%、SQL 响应≤1s、同步延迟≤5min，每日核查备份。</w:t>
            </w:r>
          </w:p>
          <w:p w14:paraId="12685E8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业务层：核心业务提交≥99.95%、登录≥99.9%。</w:t>
            </w:r>
          </w:p>
          <w:p w14:paraId="5E9E548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1.1.4 系统更新回退</w:t>
            </w:r>
          </w:p>
          <w:p w14:paraId="355CA78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版本更新：提供编译、部署服务，年大版本≥12 次、常规≥24 次、紧急≥36 次。</w:t>
            </w:r>
          </w:p>
          <w:p w14:paraId="0D213C2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版本回滚：更新异常可不限次数回滚，记录原因，保障业务不中断。</w:t>
            </w:r>
          </w:p>
          <w:p w14:paraId="2727EF8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1.1.5 数据运维服务</w:t>
            </w:r>
          </w:p>
          <w:p w14:paraId="32C9F20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数据统计：按业务需求 SQL 查询、分析、整理数据，日均处理 1-3 份，应急时夜间 / 周末支撑。</w:t>
            </w:r>
          </w:p>
          <w:p w14:paraId="7270C91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SQL 优化：每日监控日志，每周分析低效 SQL 并优化，年分析≥48 次。</w:t>
            </w:r>
          </w:p>
          <w:p w14:paraId="6F75054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1.1.6 使用故障处理服务</w:t>
            </w:r>
          </w:p>
          <w:p w14:paraId="51D37DA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提供问题登记、审核、跟踪、验证、反馈、复盘全流程服务，年均各项服务约 83 项。</w:t>
            </w:r>
          </w:p>
          <w:p w14:paraId="48B45BA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1.1.7 服务器应急服务</w:t>
            </w:r>
          </w:p>
          <w:p w14:paraId="2D376A2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宕机应急：单机故障切备用服务器，集群故障排查修复或启用灾备。</w:t>
            </w:r>
          </w:p>
          <w:p w14:paraId="2F1C26B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数据丢失：逻辑错误时点恢复，物理损坏用备份恢复并验证。</w:t>
            </w:r>
          </w:p>
          <w:p w14:paraId="7B54221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攻击应急：清理非法内容，联动安全防护，优先保障核心业务。</w:t>
            </w:r>
          </w:p>
          <w:p w14:paraId="0FD2B41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1.1.8 系统应急运维服务</w:t>
            </w:r>
          </w:p>
          <w:p w14:paraId="3081AA5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每日排查系统故障，出现问题驻场团队立即处置，无法解决则升级技术力量，确保系统正常运行。</w:t>
            </w:r>
          </w:p>
          <w:p w14:paraId="61EADFA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1.1.9 数据库运维服务</w:t>
            </w:r>
          </w:p>
          <w:p w14:paraId="533E017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监控：每日监控性能、连接、空间，工作日现场、非工作日远程值守。</w:t>
            </w:r>
          </w:p>
          <w:p w14:paraId="5AC6F34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备份恢复：</w:t>
            </w:r>
            <w:r>
              <w:rPr>
                <w:rFonts w:hint="eastAsia" w:ascii="宋体" w:hAnsi="宋体" w:eastAsia="宋体" w:cs="宋体"/>
                <w:color w:val="auto"/>
                <w:kern w:val="0"/>
                <w:sz w:val="21"/>
                <w:szCs w:val="21"/>
                <w:highlight w:val="none"/>
                <w:lang w:val="en-US" w:eastAsia="zh-CN" w:bidi="ar-SA"/>
              </w:rPr>
              <w:t>每周备份≥7次，</w:t>
            </w:r>
            <w:r>
              <w:rPr>
                <w:rFonts w:hint="eastAsia" w:ascii="宋体" w:hAnsi="宋体" w:eastAsia="宋体" w:cs="宋体"/>
                <w:color w:val="auto"/>
                <w:kern w:val="0"/>
                <w:sz w:val="21"/>
                <w:szCs w:val="21"/>
                <w:highlight w:val="none"/>
                <w:lang w:val="en-US" w:eastAsia="zh-CN" w:bidi="ar-SA"/>
              </w:rPr>
              <w:t>每月验证，年恢复演练≥12 次，异常可不限次数恢复。</w:t>
            </w:r>
          </w:p>
          <w:p w14:paraId="44E50F9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安全管理：权限管控、数据加密、安全审计。</w:t>
            </w:r>
          </w:p>
          <w:p w14:paraId="053D96C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容量规划：每季度评估资源，提出扩容方案，年评估≥4 次。</w:t>
            </w:r>
          </w:p>
          <w:p w14:paraId="0E9899B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故障处理：快速诊断、修复、总结预防，保障数据安全稳定。</w:t>
            </w:r>
          </w:p>
          <w:p w14:paraId="0631CC4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1.1.10 应用中间件维护</w:t>
            </w:r>
          </w:p>
          <w:p w14:paraId="34AE43F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维护≥8 套金蝶、东方通中间件，及时更新补丁，异常时联动厂家解决。</w:t>
            </w:r>
          </w:p>
          <w:p w14:paraId="57A1A77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1.1.11 短信接口运维服务</w:t>
            </w:r>
          </w:p>
          <w:p w14:paraId="4622D50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7×24 小时运维短信接口，保障 6 个业务系统调用，故障 4 小时内解决；监控 3 个服务商接口，异常 1 小时内恢复。</w:t>
            </w:r>
          </w:p>
          <w:p w14:paraId="0070B3B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1.1.12 实名认证接口运维服务</w:t>
            </w:r>
          </w:p>
          <w:p w14:paraId="658E630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7×24 小时运维实名认证接口，保障 3 个业务系统调用，故障 4 小时内解决；监控服务商接口，异常 1 小时内恢复。</w:t>
            </w:r>
          </w:p>
          <w:p w14:paraId="72DF17F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1.1.13 其他系统维护</w:t>
            </w:r>
          </w:p>
          <w:p w14:paraId="3EF6DFD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运维查询机、高拍仪、扫描仪、订餐等小型系统，保障稳定运行。</w:t>
            </w:r>
          </w:p>
          <w:p w14:paraId="096F767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1.2.非常规维护</w:t>
            </w:r>
          </w:p>
          <w:p w14:paraId="44A3C29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系统异常修复和快速全量多系统重部署、数据库高层次优化等保障服务。因为信访系统使用范围极广，包括全区各厅级单位、14各地市、111+县区以及各乡镇，一旦有异常将会影响极大，要求一位中级工程师驻场提供代码级调试和修复等维护服务：</w:t>
            </w:r>
          </w:p>
          <w:p w14:paraId="606A033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1.2.1.▲代码级漏洞管理</w:t>
            </w:r>
          </w:p>
          <w:p w14:paraId="4C32EF4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深入源码级别的漏洞修复：应对每年的安全演练，等保测评的情况，当上级单位或被服务单位发现漏洞后，驻场开发人员接收到漏洞反馈后，在现有系统的源代码基础上及时进行排查重现、评估修复难度、进行修复系统与应用漏洞，修复代码后需要进行测试验证后升级到系统中，确保漏洞已消除且不影响系统功能。此服务在服务周期内不限次数，根据需要进行漏洞修复。</w:t>
            </w:r>
          </w:p>
          <w:p w14:paraId="65FAFC7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1.2.2.安全事件处理</w:t>
            </w:r>
          </w:p>
          <w:p w14:paraId="4A5EEF1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发现安全事件后，驻场开发人员立即隔离受影响系统，防止事件扩大；收集日志，定位攻击源与影响范围；修复漏洞，恢复系统与数据；分析原因并制定预防措施。</w:t>
            </w:r>
          </w:p>
          <w:p w14:paraId="253DF61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1.2.3.多系统快速重新部署服务</w:t>
            </w:r>
          </w:p>
          <w:p w14:paraId="4200505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由于常规运维人员无法做到对组成子系统完全了解，需要驻场人员进行运维服务，所以针对以下情况，需要专门驻场高级开发人员提供服务：</w:t>
            </w:r>
          </w:p>
          <w:p w14:paraId="371BA98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针对中病毒或遭受远程攻击导致数据丢失、服务器崩溃、应用崩溃、数据库崩溃等严重问题或业主的需要进行系统迁移的情况，驻场服务团队要立刻组织本地驻场团队实现系统环境、中间件、数据库及应用系统的重新部署，并实现从原备份数据库文件中恢复数据。</w:t>
            </w:r>
          </w:p>
          <w:p w14:paraId="15B4E69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2）每月进行服务最新版本重新部署演练服务部署到本地备用服务器，确保出现重大异常时可以快速的相应重部署恢复服务，周期内不少于1次/月，共计不少于12次/年。包括环境准备、重部署服务。</w:t>
            </w:r>
          </w:p>
          <w:p w14:paraId="674CE92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1.2.4.数据库性能优化</w:t>
            </w:r>
          </w:p>
          <w:p w14:paraId="1AC98FE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查询优化：分析数据库的查询语句，找出执行效率低下的查询，并进行优化。可以通过调整查询逻辑、添加合适的索引、优化数据库结构等方式提高查询性能。避免使用复杂的嵌套查询和全表扫描，尽量减少查询的数据量和执行时间。</w:t>
            </w:r>
          </w:p>
          <w:p w14:paraId="6F74EAD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索引优化：定期检查数据库索引的使用情况，确保索引的有效性和合理性。删除不必要的索引，避免索引过多导致维护成本增加和性能下降。根据数据的查询模式和更新频率，合理创建新的索引，提高查询速度。</w:t>
            </w:r>
          </w:p>
          <w:p w14:paraId="50FA3A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数据库参数调整：根据数据库的负载和硬件资源情况，调整数据库的参数设置，如缓存大小、连接池参数、事务隔离级别等。以优化数据库的性能和资源利用率。</w:t>
            </w:r>
          </w:p>
          <w:p w14:paraId="44BE43F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每月协调数据库服务商进行性能分析和提出优化建议，并执行数据库优化以及优化后监控跟踪，服务期内不少于12次服务。</w:t>
            </w:r>
          </w:p>
          <w:p w14:paraId="0EF2CD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1.2.5.▲国家规范调整前提下的系统功能使用运维</w:t>
            </w:r>
            <w:r>
              <w:rPr>
                <w:rFonts w:hint="eastAsia" w:ascii="宋体" w:hAnsi="宋体" w:eastAsia="宋体" w:cs="宋体"/>
                <w:color w:val="auto"/>
                <w:kern w:val="0"/>
                <w:sz w:val="21"/>
                <w:szCs w:val="21"/>
                <w:highlight w:val="none"/>
                <w:lang w:val="en-US" w:eastAsia="zh-CN" w:bidi="ar-SA"/>
              </w:rPr>
              <w:tab/>
            </w:r>
          </w:p>
          <w:p w14:paraId="3535765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1、基础业务优化维护</w:t>
            </w:r>
          </w:p>
          <w:p w14:paraId="7E4CA8C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1）书记主席信箱纯案数统计优化统计表格界面，新增 “纯案数” 统计字段并按地市划分；修改统计算法，实现纯案数统计与保存。</w:t>
            </w:r>
          </w:p>
          <w:p w14:paraId="28C51E6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2）扬言分类属性维护将 “扬言分类” 由标签改为细化下拉选项，提升风险识别精度；优化页面展示方式；改造数据库表结构，由单字段改为关联分类字段管理。</w:t>
            </w:r>
          </w:p>
          <w:p w14:paraId="1602E30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3）监督追责模块维护在监督追责模块新增 “应追责而不追责” 线索 / 件，维护秩序模块新增 “应查处而不查处” 件。</w:t>
            </w:r>
          </w:p>
          <w:p w14:paraId="19A68B3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4）部门管理页面布局优化部门管理页面，统一字号，固定表头与前两列，其余内容支持滚动，设置分页样式。</w:t>
            </w:r>
          </w:p>
          <w:p w14:paraId="4D9324E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5）办理方式维护国家件上一办理方式为 030000 督办时，允许当前流程选择该办理方式。</w:t>
            </w:r>
          </w:p>
          <w:p w14:paraId="184CA47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6）办理方式查询维护修改数据类型，兼容国家新增办理方式至原有查询功能。</w:t>
            </w:r>
          </w:p>
          <w:p w14:paraId="57DD333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7）调解和解信息统计优化在已办事项添加调解和解入口；优化填写框，支持补充调解流程与信息；调整数据库表字段及存储。</w:t>
            </w:r>
          </w:p>
          <w:p w14:paraId="36FA385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8）高级查询统计维护将统计末尾字段改为 “xx 件批次 /xx 件人次 /xx 纯案”，纯案按同一信访事项统计；结果列表按最后信访日期排序。</w:t>
            </w:r>
          </w:p>
          <w:p w14:paraId="412E2F8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9）重点事项排查记录按信访日期、重点标志、属地等条件排查统计；展示并统计人员信息、风险类型、涉法涉诉、缠访闹访等内容。</w:t>
            </w:r>
          </w:p>
          <w:p w14:paraId="56E54F0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10）督办件经办人代码中固定添加黄勇刚为督办人，快速更新至正式环境，指导用户清理缓存。</w:t>
            </w:r>
          </w:p>
          <w:p w14:paraId="00573A3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11）督查督办模块优化 3 个表格样式，固定表头及前三列，其余内容可上下滚动。</w:t>
            </w:r>
          </w:p>
          <w:p w14:paraId="7DDE946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12）导航栏名称显示用户名最多显示 6 个字符，超出部分用省略号展示。</w:t>
            </w:r>
          </w:p>
          <w:p w14:paraId="6636960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13）导航监测预警样式重新设计入口图标，确认后替换上线。</w:t>
            </w:r>
          </w:p>
          <w:p w14:paraId="506E57D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14）不再受理告知特殊支持自治区级选择对应办理方式时，无需上传复查复核意见书；数据库对应字段由必填改为非必填。</w:t>
            </w:r>
          </w:p>
          <w:p w14:paraId="3D37CD5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15）调解协议监控未达成调解和解时，若上传附件含 “调解协议 / 和解协议” 关键字则校验，无则提示上传人员。</w:t>
            </w:r>
          </w:p>
          <w:p w14:paraId="5B7B6B8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16）三项建议功能新增信访部门为被建议机构，增加 “不得录入工作秘密” 提示。</w:t>
            </w:r>
          </w:p>
          <w:p w14:paraId="4B442D4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17）信件超期短信通知对即将超期未办信件，向上级部门经办人发送预警短信。</w:t>
            </w:r>
          </w:p>
          <w:p w14:paraId="3AF757D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18）公告维护发布公告，控制每个账号仅弹窗一次，标记已读并调用后端接口更新。</w:t>
            </w:r>
          </w:p>
          <w:p w14:paraId="48E3C71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▲2、督办及业务办理维护</w:t>
            </w:r>
          </w:p>
          <w:p w14:paraId="6C4680A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1）中央督办维护：将第四批督办件纳入评查范围，办结需提交评查；支持中央督办事项核减、数量统计与核验，异常则提示。</w:t>
            </w:r>
          </w:p>
          <w:p w14:paraId="535887D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2）国家督办业务维护：按文件批量核减约 500 件国家抄送件，经两轮人工审核后办理；后台打标实现核减与特殊报送；修改办理标题；规范转送、交办、督办单必传并提供审核。</w:t>
            </w:r>
          </w:p>
          <w:p w14:paraId="749ABB2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3）国家来访抄送件待办：可按需求手动为单位添加待办信息，方便办理信访件。</w:t>
            </w:r>
          </w:p>
          <w:p w14:paraId="5556C54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4）评查后补材料：评查通过后，责任单位可补全送达信息、回执等并重新提交。</w:t>
            </w:r>
          </w:p>
          <w:p w14:paraId="6CD7BEB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5）拟办审核服务：转送 / 交办 / 督办拟办文书标题必须含对应关键字，附件名必须为对应单据，否则禁止提交。</w:t>
            </w:r>
          </w:p>
          <w:p w14:paraId="55EA98A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6）复查复核办理：可设置复查答复信息不上报国家；优化详情页编辑权限；限制申请书字数并调整数据库长度；清洗历史数据，优化流程标志。</w:t>
            </w:r>
          </w:p>
          <w:p w14:paraId="5DD3F12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3、重复信访、涉法涉诉维护</w:t>
            </w:r>
          </w:p>
          <w:p w14:paraId="143BE12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1）重复信访服务：优化统计公式与明细表格，排除信访形式 601；限定办理方式可选范围，完善对应提示信息。</w:t>
            </w:r>
          </w:p>
          <w:p w14:paraId="2ED4A83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2）涉法涉诉模块：维护展示样式与内容；优化法院数据交互；按政法委要求扩展查询返回字段，生成对应文件。</w:t>
            </w:r>
          </w:p>
          <w:p w14:paraId="18A0D0F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4、申诉求决统计维护</w:t>
            </w:r>
          </w:p>
          <w:p w14:paraId="78C226F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1）数据与过程维护：校验填报数据不小于系统登记量；支持资金填写小数点，优化表格隔行底色、加粗小计；新增应办未办、领导接访等项并明确统计口径。</w:t>
            </w:r>
          </w:p>
          <w:p w14:paraId="29091BE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2）办理要素控制：仅限信访联席办填写监督追责、超期未申请复查 / 复核等项，同步修改填报、汇总、导出。</w:t>
            </w:r>
          </w:p>
          <w:p w14:paraId="0CE723D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统计与治理优化：统计领导接访，区分行政三级与调解数据；按关键词自动生成职能部门填报记录；新增调解量、协议量统计；优化依法分类展示与流程；源头治理件打标、不上报、不纳入考核，支持增删改。</w:t>
            </w:r>
          </w:p>
          <w:p w14:paraId="7722492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5、综合统计表格服务</w:t>
            </w:r>
          </w:p>
          <w:p w14:paraId="6F7CF71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支持按区域、时间、机构、级别、初重件等多条件查询源数据并生成表格，包括：数据来源分布、信访形式、信访目的、涉案情况、全区法院纯案数、纯人数、涉诉事项清单、协同统计、调解复查考核、受理办理情况等统计服务。</w:t>
            </w:r>
          </w:p>
          <w:p w14:paraId="7C429C6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6、其他接口维护</w:t>
            </w:r>
          </w:p>
          <w:p w14:paraId="6821148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短信及三要素接口维护服务</w:t>
            </w:r>
          </w:p>
          <w:p w14:paraId="104B514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1）在现有运行接口的源代码基础上对网站端写信验证接口进行监控和维护，保证短信服务正常。</w:t>
            </w:r>
          </w:p>
          <w:p w14:paraId="53529C4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2）在现有运行接口的源代码基础上对手机三要素验证接口进行监控和维护，保障验证服务正常。</w:t>
            </w:r>
          </w:p>
          <w:p w14:paraId="07BFF82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移动端服务维护</w:t>
            </w:r>
          </w:p>
          <w:p w14:paraId="0390E60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在现有运行接口的源代码基础上移动端维护服务包括广西信访公众号、广西信访APP和广西信访办公APP，需要保障移动端的功能正常稳定运行意外，还需要根据门户网站的设计服务进行同步更新到移动端中。</w:t>
            </w:r>
          </w:p>
        </w:tc>
      </w:tr>
      <w:tr w14:paraId="3BA9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619E0CE6">
            <w:pPr>
              <w:spacing w:line="380" w:lineRule="exact"/>
              <w:jc w:val="center"/>
              <w:rPr>
                <w:rFonts w:ascii="宋体" w:hAnsi="宋体" w:eastAsia="宋体" w:cs="宋体"/>
                <w:color w:val="auto"/>
                <w:szCs w:val="21"/>
                <w:highlight w:val="none"/>
              </w:rPr>
            </w:pPr>
          </w:p>
        </w:tc>
        <w:tc>
          <w:tcPr>
            <w:tcW w:w="434" w:type="dxa"/>
            <w:vAlign w:val="center"/>
          </w:tcPr>
          <w:p w14:paraId="4075CFAC">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w:t>
            </w:r>
          </w:p>
        </w:tc>
        <w:tc>
          <w:tcPr>
            <w:tcW w:w="924" w:type="dxa"/>
            <w:vAlign w:val="center"/>
          </w:tcPr>
          <w:p w14:paraId="74C1569A">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地理空间、人像管理、智能语音系统维护</w:t>
            </w:r>
          </w:p>
        </w:tc>
        <w:tc>
          <w:tcPr>
            <w:tcW w:w="576" w:type="dxa"/>
            <w:gridSpan w:val="2"/>
            <w:vAlign w:val="center"/>
          </w:tcPr>
          <w:p w14:paraId="22D44FBF">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553E8DB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此项服务内容</w:t>
            </w:r>
            <w:r>
              <w:rPr>
                <w:rFonts w:hint="eastAsia" w:ascii="宋体" w:hAnsi="宋体" w:eastAsia="宋体" w:cs="宋体"/>
                <w:color w:val="auto"/>
                <w:kern w:val="0"/>
                <w:sz w:val="21"/>
                <w:szCs w:val="21"/>
                <w:highlight w:val="none"/>
                <w:lang w:val="en-US" w:eastAsia="zh-CN" w:bidi="ar-SA"/>
              </w:rPr>
              <w:tab/>
            </w:r>
            <w:r>
              <w:rPr>
                <w:rFonts w:hint="eastAsia" w:ascii="宋体" w:hAnsi="宋体" w:eastAsia="宋体" w:cs="宋体"/>
                <w:color w:val="auto"/>
                <w:kern w:val="0"/>
                <w:sz w:val="21"/>
                <w:szCs w:val="21"/>
                <w:highlight w:val="none"/>
                <w:lang w:val="en-US" w:eastAsia="zh-CN" w:bidi="ar-SA"/>
              </w:rPr>
              <w:t>包含地理空间信息系统、人像信息化管理系统、智能语音系统三大系统运维服务</w:t>
            </w:r>
          </w:p>
          <w:p w14:paraId="50C634A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1.地理空间信息系统维护</w:t>
            </w:r>
          </w:p>
          <w:p w14:paraId="16926C1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1.1.地理空间集成插件调用维护</w:t>
            </w:r>
          </w:p>
          <w:p w14:paraId="60D27AF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定期监控地理空间集成插件的调用情况，</w:t>
            </w:r>
            <w:r>
              <w:rPr>
                <w:rFonts w:hint="eastAsia" w:ascii="宋体" w:hAnsi="宋体" w:eastAsia="宋体" w:cs="宋体"/>
                <w:color w:val="auto"/>
                <w:kern w:val="0"/>
                <w:sz w:val="21"/>
                <w:szCs w:val="21"/>
                <w:highlight w:val="none"/>
                <w:lang w:val="en-US" w:eastAsia="zh-CN" w:bidi="ar-SA"/>
              </w:rPr>
              <w:t>定期排查紧系统运行日志</w:t>
            </w:r>
            <w:r>
              <w:rPr>
                <w:rFonts w:hint="eastAsia" w:ascii="宋体" w:hAnsi="宋体" w:eastAsia="宋体" w:cs="宋体"/>
                <w:color w:val="auto"/>
                <w:kern w:val="0"/>
                <w:sz w:val="21"/>
                <w:szCs w:val="21"/>
                <w:highlight w:val="none"/>
                <w:lang w:val="en-US" w:eastAsia="zh-CN" w:bidi="ar-SA"/>
              </w:rPr>
              <w:t>，发现报错日志并及时反馈给原厂家进行排查解决。快速排查卡顿、闪退、提交失败等故障，重点保障业务高峰期运行稳定，做好监控台账记录，确保系统持续可用。</w:t>
            </w:r>
          </w:p>
          <w:p w14:paraId="598D872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1.2.版本与补丁更新维护</w:t>
            </w:r>
          </w:p>
          <w:p w14:paraId="5B86D51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跟进厂商补丁与版本升级包，先在测试环境完成兼容性验证，再于业务低峰期部署。高危安全补丁限时更新，记录更新全流程，建立版本与补丁管理台账，消除已知安全漏洞，适配业务需求。</w:t>
            </w:r>
          </w:p>
          <w:p w14:paraId="395BF86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1.3.接口对接监测</w:t>
            </w:r>
          </w:p>
          <w:p w14:paraId="1563330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维护与信访系统的对接接口，监控接口调用频次、传输状态及数据同步情况，及时排查接口超时、调用失败等问题，保障跨系统数据流转顺畅。</w:t>
            </w:r>
          </w:p>
          <w:p w14:paraId="68C1EC7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1.4.异常日志溯源</w:t>
            </w:r>
          </w:p>
          <w:p w14:paraId="1AA37E8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对调用地理空间插件发生报错的日志，及时溯源排查问题，无法解决时需要向原厂家反馈，并跟进解决进度，形成审计报告，确保系统持续可用。</w:t>
            </w:r>
          </w:p>
          <w:p w14:paraId="6942E38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2.人像信息化管理系统</w:t>
            </w:r>
          </w:p>
          <w:p w14:paraId="2F59167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2.1.人像系统运行维护</w:t>
            </w:r>
          </w:p>
          <w:p w14:paraId="15558C1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常规性的维护人像信息化管理系统，包括信息系统运行状况，</w:t>
            </w:r>
            <w:r>
              <w:rPr>
                <w:rFonts w:hint="eastAsia" w:ascii="宋体" w:hAnsi="宋体" w:eastAsia="宋体" w:cs="宋体"/>
                <w:color w:val="auto"/>
                <w:kern w:val="0"/>
                <w:sz w:val="21"/>
                <w:szCs w:val="21"/>
                <w:highlight w:val="none"/>
                <w:lang w:val="en-US" w:eastAsia="zh-CN" w:bidi="ar-SA"/>
              </w:rPr>
              <w:t>定期排查系统运行日志</w:t>
            </w:r>
            <w:r>
              <w:rPr>
                <w:rFonts w:hint="eastAsia" w:ascii="宋体" w:hAnsi="宋体" w:eastAsia="宋体" w:cs="宋体"/>
                <w:color w:val="auto"/>
                <w:kern w:val="0"/>
                <w:sz w:val="21"/>
                <w:szCs w:val="21"/>
                <w:highlight w:val="none"/>
                <w:lang w:val="en-US" w:eastAsia="zh-CN" w:bidi="ar-SA"/>
              </w:rPr>
              <w:t>，发现报错日志并及时反馈给原厂家进行排查解决。快速排查卡顿、闪退、提交失败等故障，重点保障业务高峰期运行稳定，做好监控台账记录，确保系统持续可用。</w:t>
            </w:r>
          </w:p>
          <w:p w14:paraId="0634CA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2.2.定期维护人脸数据库</w:t>
            </w:r>
          </w:p>
          <w:p w14:paraId="1653780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定期对人脸库、身份证信息库进行数据维护，对于抓取异常不清洗的空图片、异常图片进行清理删除，避免影响系统的稳定运行和查询效率。</w:t>
            </w:r>
          </w:p>
          <w:p w14:paraId="1D37F56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2.3.黑名单维护</w:t>
            </w:r>
          </w:p>
          <w:p w14:paraId="6F1E355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对于系统的黑名单库进行维护，定期按要求的进行维护黑名单库内容，包括移除和增加黑名单人员图片。</w:t>
            </w:r>
          </w:p>
          <w:p w14:paraId="1487FA4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2.4.数据备份与恢复校验</w:t>
            </w:r>
          </w:p>
          <w:p w14:paraId="74CDF09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执行定时备份策略，核心数据采用本地存储，每月全量备份，定期开展恢复测试，验证备份完整性与可用性，记录备份及测试信息，防范数据丢失、损坏风险。</w:t>
            </w:r>
          </w:p>
          <w:p w14:paraId="1D97AF4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2.5.与信访系统对接维护</w:t>
            </w:r>
          </w:p>
          <w:p w14:paraId="7599987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维护与信访系统的对接接口，监控接口调用频次、传输状态及数据同步情况，及时排查接口超时、调用失败等问题，保障跨系统数据流转顺畅。</w:t>
            </w:r>
          </w:p>
          <w:p w14:paraId="6D6132E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2.6.系统运行异常重启</w:t>
            </w:r>
          </w:p>
          <w:p w14:paraId="420A006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针对系统运行较长时间发生异常系统崩溃等问题时，需要进行紧急系统的重启服务，并提取异常日志向厂家反馈问题，跟踪督促厂家解决问题。</w:t>
            </w:r>
          </w:p>
          <w:p w14:paraId="55504A8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3.智能语音系统</w:t>
            </w:r>
          </w:p>
          <w:p w14:paraId="7C57E2C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3.1.智能语音服务端软件定期监测</w:t>
            </w:r>
          </w:p>
          <w:p w14:paraId="0037E30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常规性的维护智能语音服务端系统，包括信息系统运行状况，</w:t>
            </w:r>
            <w:r>
              <w:rPr>
                <w:rFonts w:hint="eastAsia" w:ascii="宋体" w:hAnsi="宋体" w:eastAsia="宋体" w:cs="宋体"/>
                <w:color w:val="auto"/>
                <w:kern w:val="0"/>
                <w:sz w:val="21"/>
                <w:szCs w:val="21"/>
                <w:highlight w:val="none"/>
                <w:lang w:val="en-US" w:eastAsia="zh-CN" w:bidi="ar-SA"/>
              </w:rPr>
              <w:t>定期排查系统运行日志</w:t>
            </w:r>
            <w:r>
              <w:rPr>
                <w:rFonts w:hint="eastAsia" w:ascii="宋体" w:hAnsi="宋体" w:eastAsia="宋体" w:cs="宋体"/>
                <w:color w:val="auto"/>
                <w:kern w:val="0"/>
                <w:sz w:val="21"/>
                <w:szCs w:val="21"/>
                <w:highlight w:val="none"/>
                <w:lang w:val="en-US" w:eastAsia="zh-CN" w:bidi="ar-SA"/>
              </w:rPr>
              <w:t>，发现报错日志并及时反馈给原厂家进行排查解决。快速排查卡顿、闪退、提交失败等故障，重点保障业务高峰期运行稳定，做好监控台账记录，确保系统持续可用。</w:t>
            </w:r>
          </w:p>
          <w:p w14:paraId="1F91DA3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3.2.语音客户端检测维护</w:t>
            </w:r>
          </w:p>
          <w:p w14:paraId="28C78CC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定期对语音客户端的运行情况进行查看维护，包括用户登录成功率、链接成功率、呼叫成功率、呼叫时常、录音情况等进行定期查看和维护，保证呼叫服务的正常，避免影响系统的稳定运行和呼叫效率。</w:t>
            </w:r>
          </w:p>
          <w:p w14:paraId="75A63A3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3.3.数据备份与恢复校验</w:t>
            </w:r>
          </w:p>
          <w:p w14:paraId="63D72E8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执行定时备份策略，核心数据采用本地存储，每月全量备份，定期开展恢复测试，验证备份完整性与可用性，记录备份及测试信息，防范数据丢失、损坏风险。</w:t>
            </w:r>
          </w:p>
          <w:p w14:paraId="5F00C82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3.4.系统运行异常重启</w:t>
            </w:r>
          </w:p>
          <w:p w14:paraId="3300B2A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针对系统运行较长时间发生异常系统崩溃等问题时，需要进行紧急系统的重启服务，并提取异常日志向厂家反馈问题，跟踪督促厂家解决问题。</w:t>
            </w:r>
          </w:p>
          <w:p w14:paraId="3DC60CA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3.5.与智能语音系统对接维护</w:t>
            </w:r>
          </w:p>
          <w:p w14:paraId="3D4FE15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维护与智能语音的对接接口，监控接口调用频次、传输状态及数据同步情况，及时排查接口超时、调用失败等问题，保障跨系统数据流转顺畅。</w:t>
            </w:r>
          </w:p>
        </w:tc>
      </w:tr>
      <w:tr w14:paraId="7469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3B47CC2B">
            <w:pPr>
              <w:spacing w:line="380" w:lineRule="exact"/>
              <w:jc w:val="center"/>
              <w:rPr>
                <w:rFonts w:ascii="宋体" w:hAnsi="宋体" w:eastAsia="宋体" w:cs="宋体"/>
                <w:color w:val="auto"/>
                <w:szCs w:val="21"/>
                <w:highlight w:val="none"/>
              </w:rPr>
            </w:pPr>
          </w:p>
        </w:tc>
        <w:tc>
          <w:tcPr>
            <w:tcW w:w="434" w:type="dxa"/>
            <w:vAlign w:val="center"/>
          </w:tcPr>
          <w:p w14:paraId="5D716333">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1.3</w:t>
            </w:r>
          </w:p>
        </w:tc>
        <w:tc>
          <w:tcPr>
            <w:tcW w:w="924" w:type="dxa"/>
            <w:vAlign w:val="center"/>
          </w:tcPr>
          <w:p w14:paraId="4540ACDA">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动态考核监控平台</w:t>
            </w:r>
          </w:p>
        </w:tc>
        <w:tc>
          <w:tcPr>
            <w:tcW w:w="576" w:type="dxa"/>
            <w:gridSpan w:val="2"/>
            <w:vAlign w:val="center"/>
          </w:tcPr>
          <w:p w14:paraId="03058EA3">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2E5C582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动态监控平台是网上信访管理系统子系统，供自治区及各地市信访局领导查看考核数据，每年按国家及平安广西考核规则制定各级单位考核指标。</w:t>
            </w:r>
          </w:p>
          <w:p w14:paraId="1F5FC6F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 账号运维及咨询服务</w:t>
            </w:r>
          </w:p>
          <w:p w14:paraId="7821688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账号维护：工作日驻场、非工作时间按需现场服务，7×24 小时电话支持；维护自治区及 14 地市信访局领导账号，提供权限划分与用户增删改启管理，周期内服务不少于 50 次。</w:t>
            </w:r>
          </w:p>
          <w:p w14:paraId="05E8427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 运维培训服务</w:t>
            </w:r>
          </w:p>
          <w:p w14:paraId="1D29417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为用户提供系统使用培训，内容含日常监控、数据查询、导出等，每年至少开展 1 次领导专项培训。</w:t>
            </w:r>
          </w:p>
          <w:p w14:paraId="1D1741B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现场培训：按需不定期开展；</w:t>
            </w:r>
          </w:p>
          <w:p w14:paraId="61275AB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网络培训：制作常见问题及操作视频，远程指导。</w:t>
            </w:r>
          </w:p>
          <w:p w14:paraId="4C8AE6D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系统监控与告警服务</w:t>
            </w:r>
          </w:p>
          <w:p w14:paraId="65E9125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每年248个工作日专人监控，每日巡检 1 小时：</w:t>
            </w:r>
          </w:p>
          <w:p w14:paraId="5332A4C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基础设施：CPU≤80%、内存≤85%、磁盘≤90%；</w:t>
            </w:r>
          </w:p>
          <w:p w14:paraId="2BA4DB6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应用层：接口响应≤3s、成功率≥99.9%，监控应用进程状态；</w:t>
            </w:r>
          </w:p>
          <w:p w14:paraId="4E2C8BE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数据层：数据库连接≤最大连接数 80%、SQL 响应≤1s、同步延迟≤5min，每日核查备份；</w:t>
            </w:r>
          </w:p>
          <w:p w14:paraId="5599550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业务层：业务提交≥99.95%、登录≥99.9%。</w:t>
            </w:r>
          </w:p>
          <w:p w14:paraId="516619B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 系统更新回退</w:t>
            </w:r>
          </w:p>
          <w:p w14:paraId="740FB93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版本更新：提供编译、部署服务，年更新不少于 12 次，适配最新考核规则；</w:t>
            </w:r>
          </w:p>
          <w:p w14:paraId="0BD24A2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版本回滚：更新异常可不限次数回滚，记录原因，保障系统可用；</w:t>
            </w:r>
          </w:p>
          <w:p w14:paraId="026FFC5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重部署与演练：服务器异常时提供系统重部署与数据恢复，每年备用服务器演练不少于 4 次。</w:t>
            </w:r>
          </w:p>
          <w:p w14:paraId="2874259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 安全运维服务</w:t>
            </w:r>
          </w:p>
          <w:p w14:paraId="2744C47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漏洞管理：提供源码级漏洞修复，不限次数，修复后验证；</w:t>
            </w:r>
          </w:p>
          <w:p w14:paraId="4CEEC37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权限管理：遵循最小权限原则，每月排查账号，清理冗余账号，全年不少于 12 次；</w:t>
            </w:r>
          </w:p>
          <w:p w14:paraId="1C6E3A8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安全事件处理：快速隔离、溯源、修复、恢复并制定预防措施。</w:t>
            </w:r>
          </w:p>
          <w:p w14:paraId="64AE773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 报障处理服务</w:t>
            </w:r>
          </w:p>
          <w:p w14:paraId="5E93C36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 7×24 小时专属热线，采用双人主备值班模式，接到报障立即处置，保障系统稳定。</w:t>
            </w:r>
          </w:p>
          <w:p w14:paraId="22FD013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 红黄灯预警调整服务</w:t>
            </w:r>
          </w:p>
          <w:p w14:paraId="5D1435B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警示范围：更新数据标签，排除中央集中督办件，将初件、重复件纳入监控；</w:t>
            </w:r>
          </w:p>
          <w:p w14:paraId="163698C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受理预警：优化时间逻辑，收到信访件 11 日未处置亮黄灯，13 日未处置亮红灯；</w:t>
            </w:r>
          </w:p>
          <w:p w14:paraId="321E092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办理预警：调整核心算法，信访途径受理后 40 日未办结亮黄灯、60 日未办结亮红灯；其他途径按限办时间预警。</w:t>
            </w:r>
          </w:p>
          <w:p w14:paraId="18E7736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 考核规则实时更新</w:t>
            </w:r>
          </w:p>
          <w:p w14:paraId="0AA449B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每年按国家及平安广西考核要求，更新统计逻辑、展示样式与数据库字段，全年完成不少于 15 种考核规则的研读、设计与上线。</w:t>
            </w:r>
          </w:p>
        </w:tc>
      </w:tr>
      <w:tr w14:paraId="3AB6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5D5A8C89">
            <w:pPr>
              <w:spacing w:line="380" w:lineRule="exact"/>
              <w:jc w:val="center"/>
              <w:rPr>
                <w:rFonts w:ascii="宋体" w:hAnsi="宋体" w:eastAsia="宋体" w:cs="宋体"/>
                <w:color w:val="auto"/>
                <w:szCs w:val="21"/>
                <w:highlight w:val="none"/>
              </w:rPr>
            </w:pPr>
          </w:p>
        </w:tc>
        <w:tc>
          <w:tcPr>
            <w:tcW w:w="434" w:type="dxa"/>
            <w:vAlign w:val="center"/>
          </w:tcPr>
          <w:p w14:paraId="1EE4EE9A">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1.4</w:t>
            </w:r>
          </w:p>
        </w:tc>
        <w:tc>
          <w:tcPr>
            <w:tcW w:w="924" w:type="dxa"/>
            <w:vAlign w:val="center"/>
          </w:tcPr>
          <w:p w14:paraId="5C8D9110">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驻京访管理系统</w:t>
            </w:r>
          </w:p>
        </w:tc>
        <w:tc>
          <w:tcPr>
            <w:tcW w:w="576" w:type="dxa"/>
            <w:gridSpan w:val="2"/>
            <w:vAlign w:val="center"/>
          </w:tcPr>
          <w:p w14:paraId="2DB1C309">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2F913DC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驻京访管理系统属于网上信访管理系统的子系统，主要为广西各级信访局人员驻京时使用的平台系统。</w:t>
            </w:r>
          </w:p>
          <w:p w14:paraId="1F7F6C0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1.基础数据管理服务 </w:t>
            </w:r>
          </w:p>
          <w:p w14:paraId="0FED66D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①驻京系统初始化支持服务</w:t>
            </w:r>
          </w:p>
          <w:p w14:paraId="2B06841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信访系统上支持驻京系统，根据原有驻京系统首页进行提供重新设计服务，配置首页布局设计展示，包括logo栏、标题栏、菜单栏、图标栏、主要显示区域、版权底框等内容。布局以目前系统架构流行的方式进行</w:t>
            </w:r>
          </w:p>
          <w:p w14:paraId="2E18994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部门数据清洗导入服务：从现有驻京访系统整理部门数据备份数据取回来后，根据格式进行清洗导入到信访系统中。</w:t>
            </w:r>
          </w:p>
          <w:p w14:paraId="6348BD7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用户管理服务：从现有驻京访系统整理用户数据备份数据取回来后，根据格式进行清洗导入到信访系统中。</w:t>
            </w:r>
          </w:p>
          <w:p w14:paraId="268C388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角色管理服务：从现有驻京访系统整理角色数据备份数据取回来后，根据格式进行清洗导入到信访系统中。</w:t>
            </w:r>
          </w:p>
          <w:p w14:paraId="5204F49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权限管理重建服务：从现有驻京访系统整理各角色对应的权限数据备份数据取回来后，根据格式进行清洗导入到信访系统中。</w:t>
            </w:r>
          </w:p>
          <w:p w14:paraId="24EC9EF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菜单管理服务：对应驻京访系统菜单在信访系统中进行实施配置。</w:t>
            </w:r>
          </w:p>
          <w:p w14:paraId="321E860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2.来京登记数据迁移服务</w:t>
            </w:r>
          </w:p>
          <w:p w14:paraId="3AAA6BA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来京登记数据录入包括26张表格不同类型数据，根据各业务人员的需求，对26张业务表格分别进行收集、整理、清洗、汇总，在本地系统中重新导入数据，并进行数据校验，核对等服务，保证数据正确无误。</w:t>
            </w:r>
          </w:p>
          <w:p w14:paraId="083F567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非常规人员列表数据维护，对广西壮族自治区当日在京滞留、反复登记及有扬言、滋事倾向人员名单，包含字段：姓名 性别 地址 证件号码 问题属地 联系方式（选填） 内容分类 走访时间 需关注的情况 是否已录入国家访系统，进行数据入库服务，并进行数据校验，核对等服务，保证数据正确无误。</w:t>
            </w:r>
          </w:p>
          <w:p w14:paraId="6627102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3.提供表格统计服务</w:t>
            </w:r>
          </w:p>
          <w:p w14:paraId="6100973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(1)提供给重复涉访统计服务 </w:t>
            </w:r>
          </w:p>
          <w:p w14:paraId="5A31FA4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提供可根据涉访日期段、涉访次数等条件在数据库或者系统中查询信访并得出源数据的服务。</w:t>
            </w:r>
          </w:p>
          <w:p w14:paraId="0A8F434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提供通过整理源数据后，按以下方式生成表格展示的服务：</w:t>
            </w:r>
          </w:p>
          <w:p w14:paraId="202EDD8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来京日期、姓名、身份证号、手机号、归属地、主要诉求等内容展示表格。</w:t>
            </w:r>
          </w:p>
          <w:p w14:paraId="2FEB78E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(2)提供滞留统计服务 </w:t>
            </w:r>
          </w:p>
          <w:p w14:paraId="0594F7E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提供可根据涉访日期段、关键字、问题属地等条件在数据库或者系统中查询信访并得出源数据的服务。</w:t>
            </w:r>
          </w:p>
          <w:p w14:paraId="52682CD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提供通过整理源数据后，按以下方式生成表格展示的服务：</w:t>
            </w:r>
          </w:p>
          <w:p w14:paraId="6232963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广西壮族自治区当日在京滞留、反复登记及有扬言、滋事倾向人员名单统计，按照地址或问题属地（分自治区级、市级、县（市、区）级），分别统计出人次、纯人。</w:t>
            </w:r>
          </w:p>
          <w:p w14:paraId="226871D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(3)提供广西进京访内容分类统计服务 </w:t>
            </w:r>
          </w:p>
          <w:p w14:paraId="7ABB93A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提供可根据涉访日期等条件在数据库或者系统中查询信访并得出源数据的服务。</w:t>
            </w:r>
          </w:p>
          <w:p w14:paraId="52C9B0F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提供通过整理源数据后，按以下方式生成表格展示的服务：</w:t>
            </w:r>
          </w:p>
          <w:p w14:paraId="0AEF4EB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地址或问题属地（市级、县（市、区）级）内容分类一级分类，分别统计进京访的批次及人次。</w:t>
            </w:r>
          </w:p>
          <w:p w14:paraId="73D2D0B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(4)提供广西各地进京人员统计服务 </w:t>
            </w:r>
          </w:p>
          <w:p w14:paraId="40C41C2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提供可根据涉访日期、所属地市或县区等条件在数据库或者系统中查询信访并得出源数据的服务。</w:t>
            </w:r>
          </w:p>
          <w:p w14:paraId="7EDDB57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提供通过整理源数据后，按以下方式生成表格展示的服务：</w:t>
            </w:r>
          </w:p>
          <w:p w14:paraId="0A48C01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地址或问题属地、社会面、非社会面、年龄段、人员数量、总量的方式进行统计数据。</w:t>
            </w:r>
          </w:p>
          <w:p w14:paraId="4DE74AC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(5)提供劝返工作统计服务</w:t>
            </w:r>
          </w:p>
          <w:p w14:paraId="605260F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提供可根据当年数据，选择同比年份等条件在数据库或者系统中查询信访并得出源数据的服务。</w:t>
            </w:r>
          </w:p>
          <w:p w14:paraId="6078B5A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提供通过整理源数据后，按以下方式生成表格展示的服务：</w:t>
            </w:r>
          </w:p>
          <w:p w14:paraId="77175B1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按照所属地市、日期范围、劝返方式、涉访类型、同比统计、环比统计进行统计数据。</w:t>
            </w:r>
          </w:p>
          <w:p w14:paraId="24A254B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并提供查看详细获取对应列表信息，包含编号、涉访日期、姓名、户籍地、内容分类、诉求信息等字段，支持导出统计表及对应的详细列表，点击地市名称显示对应区县的数据。</w:t>
            </w:r>
          </w:p>
          <w:p w14:paraId="6B8DFAA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4.提供日常运维服务</w:t>
            </w:r>
          </w:p>
          <w:p w14:paraId="3CB284D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(1)系统监控与告警服务</w:t>
            </w:r>
          </w:p>
          <w:p w14:paraId="5E42423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每年按工作日248天工作日驻场服务计算，对系统使用到的基础设施、应用层、业务层和数据层进行监控监控服务，保障系统的稳定运行。</w:t>
            </w:r>
          </w:p>
          <w:p w14:paraId="0C25D6B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(2)系统更新回退</w:t>
            </w:r>
          </w:p>
          <w:p w14:paraId="19E18BD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根据服务周期内的业务需要，对驻京系统进行版本更新服务1项、回滚服务1项和重新部署服务1项。</w:t>
            </w:r>
          </w:p>
          <w:p w14:paraId="7ED6CDD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(3)安全运维服务 </w:t>
            </w:r>
          </w:p>
          <w:p w14:paraId="43FC8F7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漏洞管理：提供深入源码级别的漏洞修复：应对每年的上级单位或被服务单位发现漏洞后，及时修复系统与应用漏洞，如修复 Apache Log4j 远程代码执行漏洞、权限绕过漏洞，修复后进行验证，确保漏洞已消除且不影响系统功能。此服务在服务周期内不限次数，根据需要进行漏洞修复。</w:t>
            </w:r>
          </w:p>
          <w:p w14:paraId="6E7F532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权限管理：考核平台涉及的数据较为严重，要求每月进行账号排查和处理，账号遵循“最小权限原则”，为每个用户分配唯一账号，根据角色设置权限，定期审计账号，对于长时间不使用的账号进行跟踪，删除冗余账号、回收过期权限。周期内要求不少于12次此项排查操作服务。</w:t>
            </w:r>
          </w:p>
          <w:p w14:paraId="013F08F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安全事件处理：发现安全事件后，立即隔离受影响系统，防止事件扩大；收集日志，定位攻击源与影响范围；修复漏洞，恢复系统与数据；分析原因并制定预防措施。</w:t>
            </w:r>
          </w:p>
          <w:p w14:paraId="326DE1D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(4)故障处理服务 </w:t>
            </w:r>
          </w:p>
          <w:p w14:paraId="0880FCE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7*24小时服务电话，及时在线对接处理发生的故障。为了保障重要系统的服务，采用主备的两人互备在线值班模式。反馈问题后即刻组织运维团队进行平台维护，保障系统的稳定提供服务。要求提供随时服务1项。</w:t>
            </w:r>
          </w:p>
        </w:tc>
      </w:tr>
      <w:tr w14:paraId="4F53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4DFCD0C1">
            <w:pPr>
              <w:spacing w:line="380" w:lineRule="exact"/>
              <w:jc w:val="center"/>
              <w:rPr>
                <w:rFonts w:ascii="宋体" w:hAnsi="宋体" w:eastAsia="宋体" w:cs="宋体"/>
                <w:color w:val="auto"/>
                <w:szCs w:val="21"/>
                <w:highlight w:val="none"/>
              </w:rPr>
            </w:pPr>
          </w:p>
        </w:tc>
        <w:tc>
          <w:tcPr>
            <w:tcW w:w="434" w:type="dxa"/>
            <w:vAlign w:val="center"/>
          </w:tcPr>
          <w:p w14:paraId="735D954B">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924" w:type="dxa"/>
            <w:vAlign w:val="center"/>
          </w:tcPr>
          <w:p w14:paraId="4B524D04">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广西信访网站群</w:t>
            </w:r>
          </w:p>
        </w:tc>
        <w:tc>
          <w:tcPr>
            <w:tcW w:w="576" w:type="dxa"/>
            <w:gridSpan w:val="2"/>
            <w:vAlign w:val="center"/>
          </w:tcPr>
          <w:p w14:paraId="0E9119FE">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32BA600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一、运维范围</w:t>
            </w:r>
          </w:p>
          <w:p w14:paraId="5B9B243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1）运维对象：包括15个信访门户网站、广西信访微信公众号、广西信访APP的运维、推广及内容制作费（图片、视频及Flash制作等）。</w:t>
            </w:r>
          </w:p>
          <w:p w14:paraId="447CC04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代码升级：对现在自治区信访局使用的15个信访门户网站、微信公众号、广西信访APP进行代码级维护，当业务需要变更或者发现使用异常时，可以深入代码级的排查和代码开发，尽快根据需求升级以上系统，保障各系统的稳定运行。</w:t>
            </w:r>
          </w:p>
          <w:p w14:paraId="27DEAE0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二、常规化运维服务</w:t>
            </w:r>
          </w:p>
          <w:p w14:paraId="4C3EB41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 账号运维及咨询服务</w:t>
            </w:r>
          </w:p>
          <w:p w14:paraId="366F156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账号维护：负责自治区及 13 地市信访局账号管理，按角色划分权限，提供用户新增、删除、停用、启用等服务，通过精细化权限管控提升平台安全与管理效率。</w:t>
            </w:r>
          </w:p>
          <w:p w14:paraId="7815019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业务咨询：为网站管理人员提供操作、数据维护、系统模块、业务流程、新功能及信访件处理等实时答疑与指导。</w:t>
            </w:r>
          </w:p>
          <w:p w14:paraId="67C9FF4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 系统培训服务</w:t>
            </w:r>
          </w:p>
          <w:p w14:paraId="2E82F8C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现场培训：按使用单位需求不定期开展，每年至少 1 次，帮助用户熟练使用网上信访门户网站功能。</w:t>
            </w:r>
          </w:p>
          <w:p w14:paraId="0F0C9F7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网络培训：每年至少 1 次，梳理常见问题并制作操作视频，通过远程方式提供指导。</w:t>
            </w:r>
          </w:p>
          <w:p w14:paraId="21C499D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系统监控与告警服务</w:t>
            </w:r>
          </w:p>
          <w:p w14:paraId="5B71675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门户网站全年不间断运行，每日早晚各检测 1 次，全年共 730 次监控，覆盖 14 个门户网站、公众号、APP 及各层级运行状态。</w:t>
            </w:r>
          </w:p>
          <w:p w14:paraId="26F809D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基础设施监控：全年 248 个工作日监测服务器 CPU≤80%、内存≤85%、磁盘≤90%。</w:t>
            </w:r>
          </w:p>
          <w:p w14:paraId="427960C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应用层监控：监控接口响应≤3s、成功率≥99.9% 及应用进程运行状态。</w:t>
            </w:r>
          </w:p>
          <w:p w14:paraId="210EAAD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数据层监控：监控数据库连接、SQL 响应、数据同步及备份完成状态。</w:t>
            </w:r>
          </w:p>
          <w:p w14:paraId="360F94E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业务层监控：每日 2 次核查核心业务提交、系统访问成功率，保障服务可用。</w:t>
            </w:r>
          </w:p>
          <w:p w14:paraId="5652F73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 系统更新回退</w:t>
            </w:r>
          </w:p>
          <w:p w14:paraId="00B9611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根据业务需求提供版本更新、版本回滚及服务器重新部署服务。</w:t>
            </w:r>
          </w:p>
          <w:p w14:paraId="218F151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 安全运维服务</w:t>
            </w:r>
          </w:p>
          <w:p w14:paraId="157C9E3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漏洞管理：提供源码级漏洞修复，不限次数，修复后验证可用性。</w:t>
            </w:r>
          </w:p>
          <w:p w14:paraId="433912C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权限管理：遵循最小权限原则，每月排查账号，清理冗余账号，全年不少于 12 次。</w:t>
            </w:r>
          </w:p>
          <w:p w14:paraId="16D032F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安全事件处理：发生安全事件时立即隔离、溯源、修复并制定防范措施。</w:t>
            </w:r>
          </w:p>
          <w:p w14:paraId="42DFE81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 故障处理服务</w:t>
            </w:r>
          </w:p>
          <w:p w14:paraId="6C9960A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 7×24 小时故障受理电话，采用双人主备值班模式，接到报障立即处置，保障平台稳定运行。</w:t>
            </w:r>
          </w:p>
          <w:p w14:paraId="7303A60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 数据库运维服务</w:t>
            </w:r>
          </w:p>
          <w:p w14:paraId="1B08608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数据库监控：365 天监控性能、连接、空间，工作日现场值守，非工作日远程监控。</w:t>
            </w:r>
          </w:p>
          <w:p w14:paraId="79ED1F4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备份恢复：每月备份并异地存储，每月开展恢复验证，全年不少于 12 次演练，异常可随时恢复。</w:t>
            </w:r>
          </w:p>
          <w:p w14:paraId="3ED1BC1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安全管理：严格权限分配、敏感数据加密、安全审计，每周权限审查，全年不少于 48 次。</w:t>
            </w:r>
          </w:p>
          <w:p w14:paraId="2B6DD1B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性能优化：每月开展查询、索引及参数优化，跟踪优化效果，全年不少于 12 次。</w:t>
            </w:r>
          </w:p>
          <w:p w14:paraId="7F16D01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三、业务功能调整维护及攻防演练</w:t>
            </w:r>
          </w:p>
          <w:p w14:paraId="47C2558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 节日主题设计及更换</w:t>
            </w:r>
          </w:p>
          <w:p w14:paraId="1385B1C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完成春节、五一、国庆网站主题设计，更新背景及模块样式，节日后恢复原风格。</w:t>
            </w:r>
          </w:p>
          <w:p w14:paraId="477B8D0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 系统其他维护服务</w:t>
            </w:r>
          </w:p>
          <w:p w14:paraId="1B89332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敏感信访件屏蔽：对指定信件前端不展示，统一调整网站、APP、公众号、查询机显示逻辑。</w:t>
            </w:r>
          </w:p>
          <w:p w14:paraId="569BDC0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领导信息优化：调整后台发布及前端展示样式，按要求优化展示内容。</w:t>
            </w:r>
          </w:p>
          <w:p w14:paraId="67BC803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查询展示优化：网站、APP、公众号统一将国家内部处室名称统一显示为 “国家信访局”。</w:t>
            </w:r>
          </w:p>
          <w:p w14:paraId="660A3DF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调解和解信息展示：在多端新增显示调解和解信息及附件，适配国家数据交换要求。</w:t>
            </w:r>
          </w:p>
          <w:p w14:paraId="66B54C6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民呼我应服务：完成页面设计、数据迁移、导航配置、分级展示，并同步支持公众号与 APP。</w:t>
            </w:r>
          </w:p>
          <w:p w14:paraId="461F9A8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营商环境优化：在多端新增营商信访入口，完成数据转存及门户首页排版优化。</w:t>
            </w:r>
          </w:p>
          <w:p w14:paraId="0BEA178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外部网站信访入口维护</w:t>
            </w:r>
          </w:p>
          <w:p w14:paraId="47E346B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为自治区及多地市政府网站、相关厅局网站提供信访入口对接、链接更新与维护。</w:t>
            </w:r>
          </w:p>
          <w:p w14:paraId="731FD8E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 攻防演练防护</w:t>
            </w:r>
          </w:p>
          <w:p w14:paraId="576666F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配合年度全区攻防演练，实时监控日志与数据库，防范攻击，保障系统与数据安全。</w:t>
            </w:r>
          </w:p>
          <w:p w14:paraId="0D99314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四、发布运营支撑服务</w:t>
            </w:r>
          </w:p>
          <w:p w14:paraId="0822F2F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 会议服务与拍照：专人提供会议全程支撑与拍照，每周约 5 次，确保照片符合归档与宣传标准。</w:t>
            </w:r>
          </w:p>
          <w:p w14:paraId="1222A4D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 网站文章发布：每年发布编辑文章约 240 篇，提供标题、正文、排版、定时推送等服务。每年修改文章约 120 次，7×24 小时响应文章删除需求。</w:t>
            </w:r>
          </w:p>
          <w:p w14:paraId="05DCE56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 公众号发布：每年发布排版推文约 48 篇，支持图文、视频等形式，必要时提供前端代码支持。</w:t>
            </w:r>
          </w:p>
          <w:p w14:paraId="0BE0866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 PPT 制作：全年提供 PPT 制作与美化约 36 次，满足汇报、交流等使用场景。</w:t>
            </w:r>
          </w:p>
          <w:p w14:paraId="112BFBA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 图片处理：按规范完成会议及宣传图片裁剪、调色、修复等处理，全年约 288 次。</w:t>
            </w:r>
          </w:p>
          <w:p w14:paraId="1096EF7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 视频剪辑：负责接访、宣传、培训等视频剪辑，确保合规、保密、画面规范并完成归档。</w:t>
            </w:r>
          </w:p>
        </w:tc>
      </w:tr>
      <w:tr w14:paraId="1671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437E658A">
            <w:pPr>
              <w:spacing w:line="380" w:lineRule="exact"/>
              <w:jc w:val="center"/>
              <w:rPr>
                <w:rFonts w:ascii="宋体" w:hAnsi="宋体" w:eastAsia="宋体" w:cs="宋体"/>
                <w:color w:val="auto"/>
                <w:szCs w:val="21"/>
                <w:highlight w:val="none"/>
              </w:rPr>
            </w:pPr>
          </w:p>
        </w:tc>
        <w:tc>
          <w:tcPr>
            <w:tcW w:w="434" w:type="dxa"/>
            <w:vAlign w:val="center"/>
          </w:tcPr>
          <w:p w14:paraId="72E44AD2">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924" w:type="dxa"/>
            <w:vAlign w:val="center"/>
          </w:tcPr>
          <w:p w14:paraId="5A9CB60F">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数据交换平台</w:t>
            </w:r>
          </w:p>
        </w:tc>
        <w:tc>
          <w:tcPr>
            <w:tcW w:w="576" w:type="dxa"/>
            <w:gridSpan w:val="2"/>
            <w:vAlign w:val="center"/>
          </w:tcPr>
          <w:p w14:paraId="0C2D5A3F">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0762683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数据交换平台的维护包括与国家信访局数据、住建厅数据、司法厅数据、自治区人大四个数据交换系统的维护，需要保障各类数据的定期交换。每周进行各系统件的数据进行抽查核验，保障各系统件的数据的准确进行。当交换发生异常时，运维人员随时进行接入排查异常原因，并维护优化交换业务逻辑，重新交换准确完整的数据。</w:t>
            </w:r>
          </w:p>
          <w:p w14:paraId="2FA130F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▲代码升级维护：如涉及代码更新，需在现在自治区信访局使用的数据交换平台的基础上进行维护和代码更新。</w:t>
            </w:r>
          </w:p>
          <w:p w14:paraId="46A155F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需要对四个交换平台对外交换出去和交换回来的数据进行维护，各系统件需要交互的数据包括但不限于以下37类数据：</w:t>
            </w:r>
          </w:p>
          <w:p w14:paraId="275CA8A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1.信访件互通</w:t>
            </w:r>
          </w:p>
          <w:p w14:paraId="745B92C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信访件互通包括自治区信访局系统（下称“信访系统”）通过接口按国家信访局信访件标准80个以上字段、自治区信访局补充13个字段，传输给自治区司法厅系统（下称“本系统”）。</w:t>
            </w:r>
          </w:p>
          <w:p w14:paraId="382D98F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信访件互通还包括本系统通过接口按照与自治区信访局双方认可的字段并按照规范进行数据交换到自治区信访局系统。</w:t>
            </w:r>
          </w:p>
          <w:p w14:paraId="511A7D9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2.信访人及备份信息互通</w:t>
            </w:r>
          </w:p>
          <w:p w14:paraId="7107A46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在信访系统传输到本系统或本系统传输给信访系统时，传输的信访人数据与信访件数据都是成对传输的，所以在传输信访件时，还需要同时传输信访人信息，并在本系统入库时进行数据校验，数据缺一不可。</w:t>
            </w:r>
          </w:p>
          <w:p w14:paraId="1BC56DF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3.附件互通</w:t>
            </w:r>
          </w:p>
          <w:p w14:paraId="6555F78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信访件互相传输时，如果附带有附件信息时，还需要将附件通过约定的方式进行数据传输到对方的系统中。</w:t>
            </w:r>
          </w:p>
          <w:p w14:paraId="2B412A8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4.办理流程信息互通</w:t>
            </w:r>
          </w:p>
          <w:p w14:paraId="5B1ADD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对各单位之间办理流程信息进行互相同步，实现办理信息系统件同步的功能</w:t>
            </w:r>
          </w:p>
          <w:p w14:paraId="5E435EB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5.办理流程回退信息互通</w:t>
            </w:r>
          </w:p>
          <w:p w14:paraId="1C282E9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对于各单位之间办理信访件流程进行回退的过程进行记录和同步，实现单位之间的同步。</w:t>
            </w:r>
          </w:p>
          <w:p w14:paraId="0F39EBD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6.待办信息互通</w:t>
            </w:r>
          </w:p>
          <w:p w14:paraId="5060419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各单位账户之间的待办信息进行实时共享，保证数据的实时同步。</w:t>
            </w:r>
          </w:p>
          <w:p w14:paraId="40F4490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7.已办信息互通</w:t>
            </w:r>
          </w:p>
          <w:p w14:paraId="76A2678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各单位账户之间的已办信息进行实时共享，保证数据的实时同步。</w:t>
            </w:r>
          </w:p>
          <w:p w14:paraId="12E3AFA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8.拟办信息互通</w:t>
            </w:r>
          </w:p>
          <w:p w14:paraId="606616E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各单位对信访件的拟办信息进行实时共享，保证数据的同步。</w:t>
            </w:r>
          </w:p>
          <w:p w14:paraId="41A7023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9.告知互通</w:t>
            </w:r>
          </w:p>
          <w:p w14:paraId="6C77342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当信访系统中存在信访部门办理的告知信息时，需要将对应的告知信息以及对应的内部指示信息传输到司法系统中，以便司法经办人更好的办理信访件。</w:t>
            </w:r>
          </w:p>
          <w:p w14:paraId="6682FD9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当司法系统中办理信访件后，如果产生了告知信息，需要及时的将告知信息传输到信访系统中，以便受理率及时达成。</w:t>
            </w:r>
          </w:p>
          <w:p w14:paraId="2CB49FD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10.答复互通</w:t>
            </w:r>
          </w:p>
          <w:p w14:paraId="6DA9F21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当司法系统中办理信访件后，如果产生了答复信息，预示着信访件办理完成，需要及时的将答复信息传输到信访系统中，以便办结率及时达成。</w:t>
            </w:r>
          </w:p>
          <w:p w14:paraId="6D0D54D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11.答复评查申请信息互通</w:t>
            </w:r>
          </w:p>
          <w:p w14:paraId="5576154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信访业务流程中所涉及的答复评查申请信息，需实现各相关部门及环节之间的顺畅互通，确保信息能够及时、准确、完整地在不同业务主体间传递与共享，以此助力对答复内容进行全面、深入且高效的评查工作，让评查流程基于充分的信息支撑得以顺利推进 。</w:t>
            </w:r>
          </w:p>
          <w:p w14:paraId="07F29B9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12.答复评查审批信息互通</w:t>
            </w:r>
          </w:p>
          <w:p w14:paraId="4503CAF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信访业务流程中所涉及的答复评查审批信息，需实现各相关部门及环节之间的顺畅互通，确保信息能够及时、准确、完整地在不同业务主体间传递与共享，以此助力对答复内容进行全面、深入且高效的评查工作，让评查流程基于充分的信息支撑得以顺利推进 。</w:t>
            </w:r>
          </w:p>
          <w:p w14:paraId="57453DA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13.汇报互通</w:t>
            </w:r>
          </w:p>
          <w:p w14:paraId="2FC00A0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当信访系统交办信访件到司法系统后，司法办理完成信访件后，需要进一步上传报告回复信访系统，产生报告后通过接口传输回复信访系统。</w:t>
            </w:r>
          </w:p>
          <w:p w14:paraId="343335F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14.依法分类处理信息互通</w:t>
            </w:r>
          </w:p>
          <w:p w14:paraId="2BBB981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当司法系统中按照其他法定途径办理信访件后，产生依法分类处理信息，需要及时的将依法分类处理信息传输到信访系统中，以便办结率及时达成。</w:t>
            </w:r>
          </w:p>
          <w:p w14:paraId="418802D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15.督办提醒信息互通</w:t>
            </w:r>
          </w:p>
          <w:p w14:paraId="178D685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各单位对信访件的督办信息进行实时双向同步，提升工作效率，避免信访案件因拖延而积压，保障信访工作流程的顺畅运行。</w:t>
            </w:r>
          </w:p>
          <w:p w14:paraId="7A37A7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16.回访情况信息互通</w:t>
            </w:r>
          </w:p>
          <w:p w14:paraId="7A20B85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各单位对信访件的回访情况信息进行实时共享，保证数据的同步。</w:t>
            </w:r>
          </w:p>
          <w:p w14:paraId="344A378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17.延期申请信息互通</w:t>
            </w:r>
          </w:p>
          <w:p w14:paraId="72FE031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各单位对信访件的延期申请信息进行实时共享，保证数据的同步。</w:t>
            </w:r>
          </w:p>
          <w:p w14:paraId="7CC4D0A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18.监督追责信息互通</w:t>
            </w:r>
          </w:p>
          <w:p w14:paraId="6096834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为及时了解掌握信访部门和纪检监察机关监督追责情况，各单位对信访件的监督追责信息进行实时共享，保证数据的同步。</w:t>
            </w:r>
          </w:p>
          <w:p w14:paraId="2E623EF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19.复查复核信息互通</w:t>
            </w:r>
          </w:p>
          <w:p w14:paraId="2080DE7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各单位对信访件的复查或者复核信息进行实时共享，保证数据的同步。</w:t>
            </w:r>
          </w:p>
          <w:p w14:paraId="65FBD11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20.复查复核申请信息互通</w:t>
            </w:r>
          </w:p>
          <w:p w14:paraId="7BDB3C9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各单位对信访人在门户网站中进行申请复查或者复核的申请记录进行实时共享，保证数据的同步。</w:t>
            </w:r>
          </w:p>
          <w:p w14:paraId="7A33901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21.复查复核移交信息互通</w:t>
            </w:r>
          </w:p>
          <w:p w14:paraId="7B6E57D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各单位对信访人在门户网站中申请复查或者复核的预处理信息进行实时共享，保证数据的同步。</w:t>
            </w:r>
          </w:p>
          <w:p w14:paraId="0FEE167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22.调解和解信息互通</w:t>
            </w:r>
          </w:p>
          <w:p w14:paraId="3FF1F6B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为掌握了解办理信访事项调解和解情况，各单位对信访件相关的调解和解信息进行实时共享，保证数据的同步。</w:t>
            </w:r>
          </w:p>
          <w:p w14:paraId="4C2017D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23.领导接访下访信息互通</w:t>
            </w:r>
          </w:p>
          <w:p w14:paraId="3991EB1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根据考核要求，及时了解各地区各部门领导干部接访下访情况，各单位对信访件相关的领导接访下访信息进行实时共享，保证数据的同步。</w:t>
            </w:r>
          </w:p>
          <w:p w14:paraId="177B38D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24.维护秩序信息互通</w:t>
            </w:r>
          </w:p>
          <w:p w14:paraId="4BEA413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为掌握了解办理信访事项维护秩序时采取的相关措施，各单位对信访件相关的维护秩序信息进行实时共享，保证数据的同步。</w:t>
            </w:r>
          </w:p>
          <w:p w14:paraId="440F9A4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25.信访业务申请申诉信息互通</w:t>
            </w:r>
          </w:p>
          <w:p w14:paraId="1B4C201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各单位对信访件相关的信访业务申请申诉信息进行实时共享，保证数据的同步。</w:t>
            </w:r>
          </w:p>
          <w:p w14:paraId="4207ADC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26.来访评价信息互通</w:t>
            </w:r>
          </w:p>
          <w:p w14:paraId="390AAB2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各单位对信访件相关的来访评价信息进行实时共享，保证数据的同步。</w:t>
            </w:r>
          </w:p>
          <w:p w14:paraId="1459737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27.领导包案信息互通</w:t>
            </w:r>
          </w:p>
          <w:p w14:paraId="2EF25E8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各单位对信访件相关的领导包案信息进行实时共享，保证数据的同步。</w:t>
            </w:r>
          </w:p>
          <w:p w14:paraId="5B0C0BE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28.领导留言板信息互通</w:t>
            </w:r>
          </w:p>
          <w:p w14:paraId="32A9D6D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领导留言件信息是网民在人民网门户网站中提交的个人信息以及诉求内容，领导留言件信息进行实时共享，保证数据的同步。</w:t>
            </w:r>
          </w:p>
          <w:p w14:paraId="4EC829E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29.领导留言板评价信息互通</w:t>
            </w:r>
          </w:p>
          <w:p w14:paraId="043B5FC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领导留言板评价信息是网民在人民网门户网站中对各单位的回复内容进行的评价信息，实现领导留言板评价信息实时共享，保证数据的同步。</w:t>
            </w:r>
          </w:p>
          <w:p w14:paraId="58507E4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30.领导留言板配置信息互通</w:t>
            </w:r>
          </w:p>
          <w:p w14:paraId="1D201E6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领导留言板配置信息主要是各级领导留言件对应的初审部门、复审部门做配置，保证责任部门提交回复内容到做对应的初审、复审部门进行审批。实现领导留言板配置信息实时共享，保证数据的同步。</w:t>
            </w:r>
          </w:p>
          <w:p w14:paraId="3FFB14E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31.领导留言板协办信息互通</w:t>
            </w:r>
          </w:p>
          <w:p w14:paraId="528FBC7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各单位对信访件相关的领导留言件协办信息进行实时共享，保证数据的同步。</w:t>
            </w:r>
          </w:p>
          <w:p w14:paraId="1B54C59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32.领导留言板审批信息互通</w:t>
            </w:r>
          </w:p>
          <w:p w14:paraId="4765BF5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各单位对信访件相关的领导留言件审批信息进行实时共享，保证数据的同步。</w:t>
            </w:r>
          </w:p>
          <w:p w14:paraId="4A4C2B6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33.领导留言板延期申请审批信息互通</w:t>
            </w:r>
          </w:p>
          <w:p w14:paraId="020E69B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各单位对信访件相关的领导留言件延期申请信息进行实时共享，保证数据的同步。</w:t>
            </w:r>
          </w:p>
          <w:p w14:paraId="5CBA384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34.特殊工作日、休息日配置信息互通</w:t>
            </w:r>
          </w:p>
          <w:p w14:paraId="5061CC8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殊工作日、休息日配置是对国家法定节假日日期做配置，领导留言件办理期限以工作日来计算，特殊工作日、休息日配置为系统计算领导留言件限办截止时间做数据基础。对特殊工作日、休息日信息进行实时共享，保证数据的同步。</w:t>
            </w:r>
          </w:p>
          <w:p w14:paraId="480C6A7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35.满意度互通</w:t>
            </w:r>
          </w:p>
          <w:p w14:paraId="5FE4E1F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当信访件为满意度件时，需要将满意度的相关信息通过接口的方式，互相同步到对方的系统中。</w:t>
            </w:r>
          </w:p>
          <w:p w14:paraId="5710ED2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36.评价互通</w:t>
            </w:r>
          </w:p>
          <w:p w14:paraId="68BACB1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当信访件为满意度件时，信访人评价之后，需要将满意度的评价信息通过接口的方式，互相同步到对方的系统中。</w:t>
            </w:r>
          </w:p>
          <w:p w14:paraId="3731740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37.积案信息互通</w:t>
            </w:r>
          </w:p>
          <w:p w14:paraId="5290E4C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当信访系统存在积案信访件需要司法体系办理时，需要将积案信息的信访件、办理指示信息传输到司法系统中，以便更好的办理积案。积案完成后，需要将积案办理的专属材料传输到信访系统中，以便完成积案的化解。</w:t>
            </w:r>
          </w:p>
        </w:tc>
      </w:tr>
      <w:tr w14:paraId="76DB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0DE860EC">
            <w:pPr>
              <w:spacing w:line="380" w:lineRule="exact"/>
              <w:jc w:val="center"/>
              <w:rPr>
                <w:rFonts w:ascii="宋体" w:hAnsi="宋体" w:eastAsia="宋体" w:cs="宋体"/>
                <w:color w:val="auto"/>
                <w:szCs w:val="21"/>
                <w:highlight w:val="none"/>
              </w:rPr>
            </w:pPr>
          </w:p>
        </w:tc>
        <w:tc>
          <w:tcPr>
            <w:tcW w:w="434" w:type="dxa"/>
            <w:vAlign w:val="center"/>
          </w:tcPr>
          <w:p w14:paraId="05E8EAA3">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924" w:type="dxa"/>
            <w:vAlign w:val="center"/>
          </w:tcPr>
          <w:p w14:paraId="364B0ECF">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大数据平台</w:t>
            </w:r>
          </w:p>
        </w:tc>
        <w:tc>
          <w:tcPr>
            <w:tcW w:w="576" w:type="dxa"/>
            <w:gridSpan w:val="2"/>
            <w:vAlign w:val="center"/>
          </w:tcPr>
          <w:p w14:paraId="72752704">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0180D5F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一、总体服务要求：</w:t>
            </w:r>
          </w:p>
          <w:p w14:paraId="4DF6A15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1、运维方式、周期及要求</w:t>
            </w:r>
          </w:p>
          <w:p w14:paraId="6A2104F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1）运维方式：自治区信访局驻点运维，对全区提供电话、微信、QQ等方式提供运维，对自治区信访局用户提供面对面的方式服务。</w:t>
            </w:r>
          </w:p>
          <w:p w14:paraId="26122CC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2）运维周期：系统运维时间为该系统上一年运维期结束之日起1年。</w:t>
            </w:r>
          </w:p>
          <w:p w14:paraId="0870EF3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3）运维要求：现场驻点运维时间：工作日提供5*8小时（8:00-12:00、14:30-18:30）的现场运维；工作日18:30-次日8:30及节假日24小时提供电话或远程技术支持服务。远程运维s时间：7*24小时电话或远程技术支持服务。</w:t>
            </w:r>
          </w:p>
          <w:p w14:paraId="6A9392D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2、运维服务团队</w:t>
            </w:r>
          </w:p>
          <w:p w14:paraId="4B268CF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为确保运维服务的及时性，成立专门的运维服务团队，应包含管理人员、高级开发人员、驻场运维兼客服人员等，并建立运维汇报机制。服务商驻场团队必须制定内部的管理制度，明确工作职责，建立良好的沟通机制。</w:t>
            </w:r>
          </w:p>
          <w:p w14:paraId="3FC359E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（1）人员配备</w:t>
            </w:r>
          </w:p>
          <w:p w14:paraId="3838B26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▲驻点人员数量不少于3人，包括具备相关开发年限在3-5年以上的系统开发工程师2名，运维工程师1名；</w:t>
            </w:r>
          </w:p>
          <w:p w14:paraId="14607B3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远程服务人员为项目实施人员，非运维开发人员及驻场技术人员；驻点及远程运维人员合同期内原则上不允许更换，如有变动，须提前一周与所服务单位负责人进行书面沟通并达成一致。</w:t>
            </w:r>
          </w:p>
          <w:p w14:paraId="662665B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（2）运维问题定期汇报机制</w:t>
            </w:r>
          </w:p>
          <w:p w14:paraId="209AFBC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每天下班前技术人员将当天已解决的问题，及时反馈汇报给管理人员；对超时未完成问题，管理人员定期将问题处理完成进度汇报给信息中心。</w:t>
            </w:r>
          </w:p>
          <w:p w14:paraId="29492AE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（3）严重问题升级机制</w:t>
            </w:r>
          </w:p>
          <w:p w14:paraId="14CE63C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针对中病毒、数据丢失、服务器崩溃、应用崩溃、数据库崩溃等严重问题需要把问题及时（30min内）升级到信息中心和运维团队高层领导，便于协调资源及时解决问题。</w:t>
            </w:r>
          </w:p>
          <w:p w14:paraId="5153D88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（4）驻场服务人员管理</w:t>
            </w:r>
          </w:p>
          <w:p w14:paraId="69D6DC7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驻场服务人员应服从服务单位的礼仪规范与人员管理制度，按时上下班。针对全区服务建立单独的QQ运维群、微信和专属电话。</w:t>
            </w:r>
          </w:p>
          <w:p w14:paraId="101FD33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3、运维范围</w:t>
            </w:r>
          </w:p>
          <w:p w14:paraId="6E86434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运维对象为全区信访大数据平台，其中内容包括新数据规范支持、升级完善分析模型、数据安全、业务接口、数据统计、日常运维等各种内容。</w:t>
            </w:r>
          </w:p>
          <w:p w14:paraId="55CFC97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代码升级：根据国家信访局、自治区大数据局的业务要求，在现有系统基础上进行代码开发，调整数据接口，同时根据自治区信访局的业务需求进行数据分析模型的代码优化，并根据领导意图调整展示面板等，使得大数据平台可以更好的为自治区信访局及各地市领导进行数据的分析、研判和为决策提供有效的支撑。</w:t>
            </w:r>
          </w:p>
          <w:p w14:paraId="0D67397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2）数据安全防护：大数据平台是所有信访信访数据的集中地，服务方需要对系统数据的进行安全防护，避免数据的泄漏和丢失。</w:t>
            </w:r>
          </w:p>
          <w:p w14:paraId="3B62363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业务接口：大数据分析平台与网上信访信息管理系统、公安厅等多个系统保持着业务接口互通的功能，服务商驻场团队需要对业务接口进行维护，包括发生数据交换异常或者业务逻辑变化等情况，具备在现有系统代码基础上进行代码级排查和开发的能力，24小时内完成BUG的修复或者及时进行功能开发并上线到系统中，保障接口的稳定运行。</w:t>
            </w:r>
          </w:p>
          <w:p w14:paraId="0767289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4）日常运维：包括日常系统保障维护、巡检、用户使用问题处理、问题收集等方面内容。</w:t>
            </w:r>
          </w:p>
          <w:p w14:paraId="30BAF0D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二、服务内容</w:t>
            </w:r>
          </w:p>
          <w:p w14:paraId="4F67287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1、机构账号运维服务</w:t>
            </w:r>
          </w:p>
          <w:p w14:paraId="6ECF701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1）账号维护服务负责维护自治区信访局、全区 14 个地市信访局以及各级使用单位的系统账号，按照管理员、普通用户、查询用户等不同角色进行精细化权限划分，提供用户信息新增、信息修改、账号删除、临时停用、重新启用等全生命周期技术服务。通过严格、规范的权限管控机制，有效提升平台整体运行安全性与业务管理效率。服务周期内，面向全广西使用大数据平台的各级单位用户提供账号相关服务不少于 365 次，单次服务时长约 0.5 小时，确保账号问题及时响应、快速处理。</w:t>
            </w:r>
          </w:p>
          <w:p w14:paraId="59AAA13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2）机构维护服务提供 5×8 小时现场驻场运维服务，非工作时间根据突发需求随时提供应急现场支持，同时保持 7×24 小时电话在线服务。负责维护自治区信访局、区直相关单位、14 个地市信访部门以及 110 个县（市、区）信访机构的基础信息，支持机构信息创建、信息修改、机构删除、单位负责人变更、联系方式更新等操作。通过机构信息规范化管理与权限精细化控制，进一步提升平台数据准确性、系统安全性和业务管理效率。服务周期内，为全区信访系统 8000 余家使用单位提供机构维护服务不少于 200 次，单次服务时长约 0.5 小时。</w:t>
            </w:r>
          </w:p>
          <w:p w14:paraId="217204A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2、业务咨询服务</w:t>
            </w:r>
          </w:p>
          <w:p w14:paraId="69297EF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 5×8 小时驻场值班服务，非工作时间可根据紧急需求随时赶赴现场提供运维支持，并保持 7×24 小时电话在线咨询服务。针对系统管理人员在日常使用过程中遇到的各类问题提供实时响应、答疑与操作指导，具体包括：系统功能操作疑问、数据统计规则与方式、技术类问题排查、各模块使用方法、业务流程咨询、各类报表处理、相关文档编写、数据汇总与统计、数据流转逻辑、流程退回与重办、系统使用规范及相关业务政策解读等，确保用户能够顺畅、高效使用系统。</w:t>
            </w:r>
          </w:p>
          <w:p w14:paraId="76EFF59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3、运维培训服务</w:t>
            </w:r>
          </w:p>
          <w:p w14:paraId="6C73560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面向全区系统用户提供信访大数据平台软件及相关应用系统的专业技术培训服务。由具备扎实专业知识、丰富实战经验和项目实施经验的驻场技术团队承担培训工作，培训内容覆盖平台日常操作使用、考核数据统计规则、数据研判分析方法、数据钻取查看、指标理解与应用等核心内容。根据实际使用需求与组织形式，可灵活提供现场集中培训与网络远程线上培训两种模式，确保各级用户能够熟练掌握系统操作，满足日常业务办理与数据监管需求。</w:t>
            </w:r>
          </w:p>
          <w:p w14:paraId="0FDE4B3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4、系统监控与告警服务</w:t>
            </w:r>
          </w:p>
          <w:p w14:paraId="2EA0F4F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每年按照 248 个正常工作日计算，安排专人对平台进行全方位运行监控，及时发现隐患并处置：1）基础设施监控：实时监控服务器 CPU 使用率（≤80%）、内存使用率（≤85%）、磁盘空间使用率（≤90%），确保硬件资源稳定可靠。2）应用层监控：监控接口响应时间（≤3s）、接口调用成功率（≥99.9%），检查 Nginx 等关键应用进程运行状态，保证业务接口可用、稳定。3）数据层监控：监控数据库连接数（不超过最大连接数 80%）、SQL 查询响应时间（≤1s）、数据同步延迟（≤5min），并每日检查数据库备份完成状态，确保数据安全一致。4）业务层监控：监控核心业务功能成功率，包括业务提交成功率（≥99.95%）、用户登录成功率（≥99.9%），保障核心信访业务不间断运行。</w:t>
            </w:r>
          </w:p>
          <w:p w14:paraId="622BEF3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5、系统更新回退</w:t>
            </w:r>
          </w:p>
          <w:p w14:paraId="1AEDD3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1）版本更新服务根据业务规则更新、功能优化及领导指示要求，提供源代码编译、程序打包、服务器上传、部署发布等全流程更新服务。服务周期内，至少完成 5 次大版本更新、12 次常规版本迭代更新，并根据紧急业务需求，对已开发完成的功能进行临时紧急升级更新不少于 24 次，确保系统功能始终贴合最新业务要求。</w:t>
            </w:r>
          </w:p>
          <w:p w14:paraId="2CF550B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版本回滚服务若生产环境版本更新部署后出现程序异常、功能故障或影响业务运行的问题，立即执行版本回退操作，恢复至上一稳定版本。回退过程中详细记录回滚原因、操作过程与处理结果，避免同类问题重复出现。当版本更新出现严重异常可能影响次日正常业务时，必须立即执行回滚操作，回滚次数根据实际需要不限，确保系统可用。</w:t>
            </w:r>
          </w:p>
          <w:p w14:paraId="4482DB0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6、数据运维服务</w:t>
            </w:r>
          </w:p>
          <w:p w14:paraId="74AD78A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1）数据统计服务根据各业务处室实际工作需求，对平台现有统计功能无法直接输出的数据，通过后台数据库业务表执行 SQL 级别的精准查询、提取与统计分析，提供专业的数据整理、汇总、分析与报表输出服务。同时针对数据中存在的错误、缺失、不一致等问题，提出合理的数据修正、完善方案，并协助用户完成数据补充与修正工作。预估每周完成 2 份专项数据统计，单次平均服务时长约 3 小时，遇领导紧急急需资料时，可提供夜间、周末等加班统计服务。</w:t>
            </w:r>
          </w:p>
          <w:p w14:paraId="35BD905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2）源码 SQL 优化服务持续监控系统整体运行状况，每周根据当周系统运行排查情况与用户反馈，分析数据库慢查询日志，定位低效 SQL 语句，提交驻场高级开发人员进行影响评估，并开展 SQL 语句优化、逻辑调整，必要时增加字段索引、优化表结构等。每日对系统运行稳定性进行 1 次验证与查看，服务周期内系统运行监控不少于 248 次；每周完成 1 次运行状况分析总结，全年分析服务不少于 48 次。</w:t>
            </w:r>
          </w:p>
          <w:p w14:paraId="2F59533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7、安全运维服务</w:t>
            </w:r>
          </w:p>
          <w:p w14:paraId="3667F3F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漏洞管理提供深入源码级别的系统漏洞检测与修复服务，应对每年网络安全攻防演练、等级保护测评、上级单位检查等工作。当被服务单位或上级部门发现系统存在漏洞时，及时开展漏洞分析、代码修复工作，典型漏洞包括 Apache Log4j 远程代码执行漏洞、权限绕过漏洞、越权访问漏洞等。修复完成后进行全面功能验证，确保漏洞彻底消除且不影响原有系统功能，服务周期内漏洞修复次数不限。</w:t>
            </w:r>
          </w:p>
          <w:p w14:paraId="245D54F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2）权限管理严格遵循账号 “最小权限原则”，每月开展一次全平台账号排查与梳理工作。为每位用户分配唯一账号，按照岗位职责与角色配置合理权限，禁止超额授权；定期开展账号安全审计，对长期未登录、长期不使用、岗位变动的账号进行跟踪、冻结或删除，及时清理冗余账号、回收过期权限。服务周期内完成账号权限排查操作不少于 12 次。</w:t>
            </w:r>
          </w:p>
          <w:p w14:paraId="3309A29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安全事件处理发现系统安全事件后立即启动应急处置：第一时间隔离受影响系统与服务，防止攻击范围扩大；全面收集系统日志、访问日志，精准定位攻击来源、入侵方式与影响范围；完成漏洞修复与系统加固，恢复正常业务与数据；事后全面分析事件原因，形成处置报告并制定长效预防措施。</w:t>
            </w:r>
          </w:p>
          <w:p w14:paraId="5923034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8、故障处理服务</w:t>
            </w:r>
          </w:p>
          <w:p w14:paraId="6CF5AAC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1）渠道运维服务提供及时高效的在线报障响应服务，根据业务运行需要，开通 7×24 小时微信群、电话等多渠道运维支撑，用户遇到问题可随时上报并获得技术支撑。采用主备双人互备在线运维模式，确保任一时刻均有人员在线，接到报障信息立即响应，快速介入处理。</w:t>
            </w:r>
          </w:p>
          <w:p w14:paraId="387F220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问题跟踪处理服务建立标准化问题闭环管理流程，对无法通过常规运维快速解决的问题进行全流程跟踪：（1）问题登记：通过电话、微信等渠道收集自治区、厅级、地市、县区各级单位反馈的异常问题，统一登记建档、审核分类。（2）问题审核：对登记问题进行故障原因分析、影响范围判断，制定合理解决方案，提交管理部门审核。（3）问题处理：向业主单位反馈解决思路与方案，经确认后提供代码级问题修复，按要求限时处理。（4）问题验证：问题修复后及时进行功能验证，确认完全解决后方可闭环，未解决则重新处理。（5）事后反馈：问题处理完毕后，在规定时间内向问题提出人及管理人员反馈处理结果。（6）问题复盘：对高频、共性问题开展全系统排查，分析根源并提出优化建议，推动系统持续稳定。全年预计处理各类问题约 48 项，单个问题完整流程处理时长约 4 小时。</w:t>
            </w:r>
          </w:p>
          <w:p w14:paraId="18B21D9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9、系统应急服务</w:t>
            </w:r>
          </w:p>
          <w:p w14:paraId="498C6A5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1）服务器宕机应急：单机故障立即切换至预配置相同环境的备用服务器，恢复业务同时修复原服务器；集群故障先排查共性问题，无法修复时启动异地灾备系统切换。</w:t>
            </w:r>
          </w:p>
          <w:p w14:paraId="2858872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数据丢失应急：逻辑错误导致数据异常，通过数据库二进制日志执行时间点精准恢复；物理存储损坏则使用异地备份文件恢复，恢复后严格验证数据完整性。3）攻击入侵应急：立即人工排查系统被篡改、上传的非法内容，及时删除并上报安全负责人；若攻击影响核心业务，临时限制非必要功能，优先保障信访登记、提交、查询等核心业务正常运行。</w:t>
            </w:r>
          </w:p>
          <w:p w14:paraId="081734D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10、重要活动及节假日保障服务</w:t>
            </w:r>
          </w:p>
          <w:p w14:paraId="7230DC6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1）法定节假日保障：对全年不少于 13 天法定节假日提供专项运维保障，提前分配应急资源、完善应急预案，成立专职保障小组，安排专人 24 小时待命，加密监控巡查。</w:t>
            </w:r>
          </w:p>
          <w:p w14:paraId="1F4E305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2）两会驻场保障：在两会期间（约 5 天）提供专项驻场值班，强化系统安全稳定保障，提升应急处置能力。</w:t>
            </w:r>
          </w:p>
          <w:p w14:paraId="101DA70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3）东盟博览会保障：博览会期间（约 5 天）执行重点保障机制，确保平台稳定、畅通、安全运行。</w:t>
            </w:r>
          </w:p>
          <w:p w14:paraId="5337254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4）周末值班保障：全年周末保障约 90 天，加强系统巡检与监控，突发问题第一时间处置，确保业务不中断。</w:t>
            </w:r>
          </w:p>
          <w:p w14:paraId="5047044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11、应用系统异常运维服务</w:t>
            </w:r>
          </w:p>
          <w:p w14:paraId="3BFA7D0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故障检测及排除每日开展系统运行状态检测、服务排查与日志分析，提供系统紧急救援服务。一旦出现导致系统无法正常运行的严重故障，立即组织驻场团队全力处置；若本地无法解决，立即上报甲方并同步协调高级技术团队支撑，直至故障排除。接到维护请求后快速响应：宕机、数据丢失等严重故障 20 分钟内响应，4 小时内完成故障排除。每日系统服务与日志排查时长约 2 小时。</w:t>
            </w:r>
          </w:p>
          <w:p w14:paraId="6C4C5D5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重新部署及恢复遇服务器感染病毒、遭受远程攻击、数据丢失、应用崩溃、数据库崩溃或需系统迁移等情况，立即由驻场团队完成系统环境、中间件、数据库及应用系统重新部署，并从备份文件中恢复数据。每月在本地备用服务器开展最新版本重部署演练，确保重大异常发生时可快速恢复服务，全年演练不少于 12 次。</w:t>
            </w:r>
          </w:p>
          <w:p w14:paraId="71E5A9C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12、数据库运维服务</w:t>
            </w:r>
          </w:p>
          <w:p w14:paraId="398828F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1）数据库监控365 天不间断监控数据库关键指标：CPU、内存、磁盘 I/O、网络流量、查询响应时间、事务处理速度；监控数据库连接数与异常连接；监控数据文件、日志文件空间使用，接近阈值及时告警。工作日现场监控，非工作日远程值守，确保数据库运行平稳。</w:t>
            </w:r>
          </w:p>
          <w:p w14:paraId="0A18F12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2）数据库备份与恢复制定完善的备份策略，包括全量、增量、差异备份，明确备份周期与存储位置，实现本地、网络或云存储异地保存。每周执行数据库备份并异地存储，全年不少于 48 次；每月开展数据恢复验证，确保备份可用，全年恢复演练不少于 12 次；系统异常时可根据需求不限次数执行数据恢复。</w:t>
            </w:r>
          </w:p>
          <w:p w14:paraId="65520BBB">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数据库安全维护严格执行数据库用户最小权限分配，定期权限审计，清理过期账号与多余权限；对敏感信息加密存储，防止数据泄露；开启数据库安全审计，记录登录、操作、数据访问行为，定期分析日志，防范违规操作。每月完成权限安全审查，全年不少于 12 次。</w:t>
            </w:r>
          </w:p>
          <w:p w14:paraId="2CB9227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4）数据库性能优化每月开展查询语句分析，优化低效 SQL，合理添加与删除索引，调整数据库参数，提升查询效率与系统响应速度。优化后持续监控运行效果，形成优化记录，全年性能优化服务不少于 12 次。</w:t>
            </w:r>
          </w:p>
          <w:p w14:paraId="12B8A3F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5）数据库容量规划每季度分析数据增长趋势，预测存储空间需求，评估服务器 CPU、内存、I/O 等硬件资源使用情况，提出扩容与升级建议，提前规避性能瓶颈，全年专业评估不少于 4 次。</w:t>
            </w:r>
          </w:p>
          <w:p w14:paraId="0F3C357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数据库故障处理快速诊断数据库故障，通过日志分析定位原因，采取重启服务、修复文件、恢复数据等措施，确保数据完整一致。处理完成后总结复盘，完善预案，同时承担影子库、内存库、文件库等多类型数据库维护工作。</w:t>
            </w:r>
          </w:p>
          <w:p w14:paraId="626522A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13、应用中间件维护</w:t>
            </w:r>
          </w:p>
          <w:p w14:paraId="37A2D1A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负责维护不少于 3 套金蝶、东方通应用中间件，持续关注厂商发布的 BUG 修复、安全补丁与版本更新信息，及时完成本地升级，防范安全事故。中间件运行异常时，快速与厂家技术支持对接，获取解决方案并及时实施，保障系统稳定运行。</w:t>
            </w:r>
          </w:p>
          <w:p w14:paraId="506A831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14、系统优化运维服务</w:t>
            </w:r>
          </w:p>
          <w:p w14:paraId="0033E8C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根据国家信访局最新考核规范、数据交换标准及广西本地业务管理要求，对系统开展 28 项功能优化与统计模块升级，所有项均统一执行：数据库字段增删修改、统计算法更新优化、统计明细表维护备份、前端展示界面调整，删除过时内容，适配最新业务与展示需求。主要内容包括：国家规范兼容适配、申诉求决类事项统计、源头治理矛盾专项督办、到邕访交办督办、纯案纯人统计、重复访统计、赴邕上访内容分类、全区进度总览、核心指标看板、月度走势、环比分析、受理办理情况分析、考核明细、考核指标、业务协同统计、考核总览、中央督办事项统计、国家信访局督办问题分类、动态监测、总量监控、群众满意率、进度环比、核心指标展示等 28 项功能运维优化，确保系统符合国家及自治区考核要求，支撑全区信访业务高效监管与决策分析。</w:t>
            </w:r>
          </w:p>
        </w:tc>
      </w:tr>
      <w:tr w14:paraId="01AA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33B5481E">
            <w:pPr>
              <w:spacing w:line="380" w:lineRule="exact"/>
              <w:jc w:val="center"/>
              <w:rPr>
                <w:rFonts w:ascii="宋体" w:hAnsi="宋体" w:eastAsia="宋体" w:cs="宋体"/>
                <w:color w:val="auto"/>
                <w:szCs w:val="21"/>
                <w:highlight w:val="none"/>
              </w:rPr>
            </w:pPr>
          </w:p>
        </w:tc>
        <w:tc>
          <w:tcPr>
            <w:tcW w:w="434" w:type="dxa"/>
            <w:vAlign w:val="center"/>
          </w:tcPr>
          <w:p w14:paraId="57487433">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924" w:type="dxa"/>
            <w:vAlign w:val="center"/>
          </w:tcPr>
          <w:p w14:paraId="77F54F7E">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智能辅助系统智能化训练服务</w:t>
            </w:r>
          </w:p>
        </w:tc>
        <w:tc>
          <w:tcPr>
            <w:tcW w:w="576" w:type="dxa"/>
            <w:gridSpan w:val="2"/>
            <w:vAlign w:val="center"/>
          </w:tcPr>
          <w:p w14:paraId="66A90A9B">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49122A8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一、数据来源要求</w:t>
            </w:r>
          </w:p>
          <w:p w14:paraId="189C488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要求服务商自行根据现有信访系统的数据库表格设计，并根据已有数据生成对应训练的数据集，再进行智能体训练。</w:t>
            </w:r>
          </w:p>
          <w:p w14:paraId="5C9CB29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二、训练内容要求</w:t>
            </w:r>
          </w:p>
          <w:p w14:paraId="298814A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1、智能接谈</w:t>
            </w:r>
          </w:p>
          <w:p w14:paraId="507D8A6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1）采集近1年热电话咨询数据（≥8万条）标诉求、情绪。</w:t>
            </w:r>
          </w:p>
          <w:p w14:paraId="34E8D52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2）用模型练 “听懂” 能力，更新信访话术库，使用录音转写工具、政策知识库。</w:t>
            </w:r>
          </w:p>
          <w:p w14:paraId="167E6F6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3）对智能接谈模型进行评估和验证。</w:t>
            </w:r>
          </w:p>
          <w:p w14:paraId="1E830EF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p w14:paraId="4B3E102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2、智能办信（含网信）</w:t>
            </w:r>
          </w:p>
          <w:p w14:paraId="1BE5490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1）采集近3年信件（≥28.6万件）进行诉求、材料识别汇总。</w:t>
            </w:r>
          </w:p>
          <w:p w14:paraId="75C21EB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2）采用OCR工具、责任部门名录，练OCR转化成功率，甚至对认手写字进行训练识别，练习“信件 - 去向部门” 匹配。</w:t>
            </w:r>
          </w:p>
          <w:p w14:paraId="1CA0502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3）对智能办信（含网信）模型进行评估和验证。</w:t>
            </w:r>
          </w:p>
          <w:p w14:paraId="3DE92A3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p w14:paraId="7A62300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3、智能判重（来信、来访、网信）</w:t>
            </w:r>
          </w:p>
          <w:p w14:paraId="4D3F35D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1）采集近1年重复案例（≥38.7万件）标重复类型。</w:t>
            </w:r>
          </w:p>
          <w:p w14:paraId="08A3F4C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2）练语义相似度模型，调判重阈值等。</w:t>
            </w:r>
          </w:p>
          <w:p w14:paraId="6512239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3）对智能判重（来信、来访、网信）模型进行评估和验证。</w:t>
            </w:r>
          </w:p>
          <w:p w14:paraId="0FEAEE1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p w14:paraId="476EB40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4、智能推荐</w:t>
            </w:r>
          </w:p>
          <w:p w14:paraId="7016CBC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1）采集近3年历史办理案例（≥38.5万件）建 “诉求 - 流程 - 政策” 关联。</w:t>
            </w:r>
          </w:p>
          <w:p w14:paraId="5164255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2）通过案例库、政策数据库、反馈系统，练推荐模型，按反馈调优先级。</w:t>
            </w:r>
          </w:p>
          <w:p w14:paraId="16F7DB5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3）对智能推荐模型进行评估和验证。</w:t>
            </w:r>
          </w:p>
          <w:p w14:paraId="48FD6C77">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p w14:paraId="37E7183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5、智能审查</w:t>
            </w:r>
          </w:p>
          <w:p w14:paraId="3E70AAF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1）梳审查规则（≥15项），收集采集近3年各类审查训练素材（≥35.3万份）。</w:t>
            </w:r>
          </w:p>
          <w:p w14:paraId="48365E1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2）练图像 + 文本模型查缺漏、防伪，练异常检测。同时进行审查规范、基于审查规则的样本库收集。</w:t>
            </w:r>
          </w:p>
          <w:p w14:paraId="5689C2C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3）对智能审查模型进行评估和验证。</w:t>
            </w:r>
          </w:p>
          <w:p w14:paraId="4C06DCE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p w14:paraId="7927AEA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6、风险评估</w:t>
            </w:r>
          </w:p>
          <w:p w14:paraId="4FB31AA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1）采集近3年的风险案例（≥16万件）标风险等级、特征。</w:t>
            </w:r>
          </w:p>
          <w:p w14:paraId="5B2EDF1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2）通过风险案例库、重点信访人信息库，提15个评估维度，练风险预测模型。</w:t>
            </w:r>
          </w:p>
          <w:p w14:paraId="2B463AF2">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3）对风险评估模型进行评估和验证。</w:t>
            </w:r>
          </w:p>
          <w:p w14:paraId="02C6A84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p w14:paraId="62B9F214">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7、智能回访</w:t>
            </w:r>
          </w:p>
          <w:p w14:paraId="0D1EBDF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1）标 “诉求-回访问题” 关联（≥30类诉求），采回访录音（≥3万条）标满意度。</w:t>
            </w:r>
          </w:p>
          <w:p w14:paraId="19461F4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2）通过录音转文字工具、回访报告模板练 “认满意 + 写报告”。</w:t>
            </w:r>
          </w:p>
          <w:p w14:paraId="588721B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3）对智能回访模型进行评估和验证。</w:t>
            </w:r>
          </w:p>
          <w:p w14:paraId="0A23ECB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4）模型部署和应用。</w:t>
            </w:r>
          </w:p>
        </w:tc>
      </w:tr>
      <w:tr w14:paraId="41D9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76597E4E">
            <w:pPr>
              <w:spacing w:line="380" w:lineRule="exact"/>
              <w:jc w:val="center"/>
              <w:rPr>
                <w:rFonts w:ascii="宋体" w:hAnsi="宋体" w:eastAsia="宋体" w:cs="宋体"/>
                <w:color w:val="auto"/>
                <w:szCs w:val="21"/>
                <w:highlight w:val="none"/>
              </w:rPr>
            </w:pPr>
          </w:p>
        </w:tc>
        <w:tc>
          <w:tcPr>
            <w:tcW w:w="434" w:type="dxa"/>
            <w:vAlign w:val="center"/>
          </w:tcPr>
          <w:p w14:paraId="0B1723AC">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924" w:type="dxa"/>
            <w:vAlign w:val="center"/>
          </w:tcPr>
          <w:p w14:paraId="50376F4F">
            <w:pPr>
              <w:snapToGrid w:val="0"/>
              <w:jc w:val="center"/>
              <w:outlineLvl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信访安全保障服务</w:t>
            </w:r>
          </w:p>
        </w:tc>
        <w:tc>
          <w:tcPr>
            <w:tcW w:w="576" w:type="dxa"/>
            <w:gridSpan w:val="2"/>
            <w:vAlign w:val="center"/>
          </w:tcPr>
          <w:p w14:paraId="743381C0">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2A12E56F">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一、软件基础架构安全防护维护</w:t>
            </w:r>
            <w:r>
              <w:rPr>
                <w:rFonts w:hint="eastAsia" w:ascii="宋体" w:hAnsi="宋体" w:eastAsia="宋体" w:cs="宋体"/>
                <w:color w:val="auto"/>
                <w:kern w:val="0"/>
                <w:sz w:val="21"/>
                <w:szCs w:val="21"/>
                <w:highlight w:val="none"/>
                <w:lang w:val="en-US" w:eastAsia="zh-CN" w:bidi="ar-SA"/>
              </w:rPr>
              <w:tab/>
            </w:r>
          </w:p>
          <w:p w14:paraId="6D21A935">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1、操作系统安全：国产化操作系统（麒麟/统信）、传统操作系统的补丁常态化升级（高危 / 中危补丁 72 小时内完成）、漏洞扫描与修复；账号权限最小化管理，清理闲置账号，开启操作日志审计；禁用非必要端口 / 服务，配置系统防火墙策略。</w:t>
            </w:r>
          </w:p>
          <w:p w14:paraId="5BCE188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2、数据库安全：达梦/人大金仓等国产化数据库、传统数据库的权限精细化管控（按信访业务岗配置查询 / 录入 / 审核/管理权限，杜绝超权限操作）；定期开展数据库漏洞扫描、SQL 注入防护配置优化；开启数据库审计日志，留存至少 6 个月操作记录（含信访数据增删改查、账号登录）。</w:t>
            </w:r>
          </w:p>
          <w:p w14:paraId="2D94E82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3、中间件/容器安全：信访系统所用应用中间件、容器平台的版本升级、补丁安装；配置中间件访问控制策略，限制非授权 IP 接入；监控容器资源占用与运行状态，及时处置容器逃逸、镜像篡改风险。</w:t>
            </w:r>
          </w:p>
          <w:p w14:paraId="0A63D31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二、信访核心业务软件安全防护维护</w:t>
            </w:r>
            <w:r>
              <w:rPr>
                <w:rFonts w:hint="eastAsia" w:ascii="宋体" w:hAnsi="宋体" w:eastAsia="宋体" w:cs="宋体"/>
                <w:color w:val="auto"/>
                <w:kern w:val="0"/>
                <w:sz w:val="21"/>
                <w:szCs w:val="21"/>
                <w:highlight w:val="none"/>
                <w:lang w:val="en-US" w:eastAsia="zh-CN" w:bidi="ar-SA"/>
              </w:rPr>
              <w:tab/>
            </w:r>
          </w:p>
          <w:p w14:paraId="635870C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1、漏洞全生命周期管理</w:t>
            </w:r>
          </w:p>
          <w:p w14:paraId="7BA497D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（1）定期开展白盒/黑盒漏洞扫描（每月常规扫描、重大节假日 / 会议前专项扫描），重点检测越权访问、跨站脚本、弱口令、文件上传漏洞等信访系统高频风险；</w:t>
            </w:r>
          </w:p>
          <w:p w14:paraId="28381D9E">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（2）对扫描发现的高危漏洞立即修复，中低危漏洞限期整改，无法立即修复的采取临时防护措施（如访问限制、流量过滤），并建立漏洞整改台账，做到闭环管理。</w:t>
            </w:r>
          </w:p>
          <w:p w14:paraId="1A9CA8E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2、版本与补丁安排推进</w:t>
            </w:r>
          </w:p>
          <w:p w14:paraId="5438E7A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（1）要求厂商要求完成信访业务软件的版本升级、功能补丁、安全补丁安装，升级前进行线下测试，避免影响线上业务；</w:t>
            </w:r>
          </w:p>
          <w:p w14:paraId="4EFA5A0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（2）对国产化适配的信访软件，同步跟进国产化厂商的安全更新，保障信创环境下软件运行安全。</w:t>
            </w:r>
          </w:p>
          <w:p w14:paraId="4529AD71">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3、账号与权限精细化管理</w:t>
            </w:r>
          </w:p>
          <w:p w14:paraId="67269C8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（1）落实账号实名化，信访系统所有账号与工作人员工号、岗位绑定，杜绝匿名账号、共用账号；</w:t>
            </w:r>
          </w:p>
          <w:p w14:paraId="3FB6DF93">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（2）严格执行密码复杂度要求（数字 + 字母 + 特殊符号），定期强制更换密码，开启账号异地登录、多次密码错误锁定功能；</w:t>
            </w:r>
          </w:p>
          <w:p w14:paraId="159085CA">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（3）人员调岗 / 离职 / 退休时，24 小时内回收其信访系统账号权限，同步更新权限台账；对厅级、处级等核心岗位账号进行重点监控。</w:t>
            </w:r>
          </w:p>
          <w:p w14:paraId="50401528">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三、安全监控与应急响应维护</w:t>
            </w:r>
          </w:p>
          <w:p w14:paraId="1555713D">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维护业务系统的安全态势感知平台、入侵检测 / 防御系统（IDS/IPS）、防火墙、日志审计系统等安全设备，确保其与信访软件联动运行，实时监测针对信访系统的网络攻击、漏洞扫描、异常访问等行为。</w:t>
            </w:r>
          </w:p>
          <w:p w14:paraId="51C8416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四、应急预案完善与演练</w:t>
            </w:r>
          </w:p>
          <w:p w14:paraId="0B6AA000">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制定信访软件网络攻击、数据泄露、系统崩溃、病毒感染、断网断电等突发事件的专项应急预案，明确应急处置流程、责任分工、上报渠道（对接自治区网信办、公安厅、国家信访局）。</w:t>
            </w:r>
          </w:p>
          <w:p w14:paraId="7C16833C">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五、突发事件处置与复盘</w:t>
            </w:r>
          </w:p>
          <w:p w14:paraId="3E179F39">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1、发生安全突发事件时，立即启动应急预案，采取封堵攻击源、暂停受影响业务、恢复系统 / 数据等措施，最大限度降低影响，同时按规定及时上报，不得迟报、漏报、瞒报；</w:t>
            </w:r>
          </w:p>
          <w:p w14:paraId="7F60C246">
            <w:pPr>
              <w:widowControl w:val="0"/>
              <w:tabs>
                <w:tab w:val="center" w:pos="4153"/>
                <w:tab w:val="right" w:pos="8306"/>
              </w:tabs>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2、事件处置完成后，开展复盘分析，查找安全漏洞与管理短板，制定整改措施，更新安全策略，做到 “一事一复盘、一事一整改”。</w:t>
            </w:r>
          </w:p>
        </w:tc>
      </w:tr>
      <w:tr w14:paraId="3BAF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7A0319D4">
            <w:pPr>
              <w:spacing w:line="380" w:lineRule="exact"/>
              <w:jc w:val="center"/>
              <w:rPr>
                <w:rFonts w:ascii="宋体" w:hAnsi="宋体" w:eastAsia="宋体" w:cs="宋体"/>
                <w:color w:val="auto"/>
                <w:szCs w:val="21"/>
                <w:highlight w:val="none"/>
              </w:rPr>
            </w:pPr>
          </w:p>
        </w:tc>
        <w:tc>
          <w:tcPr>
            <w:tcW w:w="434" w:type="dxa"/>
            <w:vAlign w:val="center"/>
          </w:tcPr>
          <w:p w14:paraId="627D3EA8">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924" w:type="dxa"/>
            <w:vAlign w:val="center"/>
          </w:tcPr>
          <w:p w14:paraId="18303D45">
            <w:pPr>
              <w:spacing w:beforeLines="0" w:afterLines="0"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b/>
                <w:color w:val="auto"/>
                <w:kern w:val="0"/>
                <w:sz w:val="21"/>
                <w:szCs w:val="21"/>
                <w:highlight w:val="none"/>
              </w:rPr>
              <w:t>软件系统短信服</w:t>
            </w:r>
          </w:p>
        </w:tc>
        <w:tc>
          <w:tcPr>
            <w:tcW w:w="576" w:type="dxa"/>
            <w:gridSpan w:val="2"/>
            <w:vAlign w:val="center"/>
          </w:tcPr>
          <w:p w14:paraId="4463A506">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top"/>
          </w:tcPr>
          <w:p w14:paraId="2E49CE08">
            <w:pPr>
              <w:widowControl/>
              <w:numPr>
                <w:ilvl w:val="0"/>
                <w:numId w:val="0"/>
              </w:numPr>
              <w:spacing w:beforeLines="0" w:afterLines="0" w:line="360" w:lineRule="auto"/>
              <w:ind w:left="360" w:hanging="36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为了保证短信服务的稳定运行，运维服务费用包含服务期内的短信服务费用，由服务方与短信服务提供方签订合同并缴纳费用。</w:t>
            </w:r>
          </w:p>
        </w:tc>
      </w:tr>
      <w:tr w14:paraId="5A47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6CA31288">
            <w:pPr>
              <w:spacing w:line="380" w:lineRule="exact"/>
              <w:jc w:val="center"/>
              <w:rPr>
                <w:rFonts w:ascii="宋体" w:hAnsi="宋体" w:eastAsia="宋体" w:cs="宋体"/>
                <w:color w:val="auto"/>
                <w:szCs w:val="21"/>
                <w:highlight w:val="none"/>
              </w:rPr>
            </w:pPr>
          </w:p>
        </w:tc>
        <w:tc>
          <w:tcPr>
            <w:tcW w:w="434" w:type="dxa"/>
            <w:vAlign w:val="center"/>
          </w:tcPr>
          <w:p w14:paraId="6A5C5788">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924" w:type="dxa"/>
            <w:vAlign w:val="center"/>
          </w:tcPr>
          <w:p w14:paraId="4B64A3B4">
            <w:pPr>
              <w:spacing w:beforeLines="0" w:afterLines="0" w:line="320" w:lineRule="exact"/>
              <w:rPr>
                <w:rFonts w:hint="eastAsia" w:ascii="宋体" w:hAnsi="宋体" w:eastAsia="宋体" w:cs="宋体"/>
                <w:color w:val="auto"/>
                <w:szCs w:val="21"/>
                <w:highlight w:val="none"/>
                <w:lang w:eastAsia="zh-CN"/>
              </w:rPr>
            </w:pPr>
            <w:r>
              <w:rPr>
                <w:rFonts w:hint="eastAsia" w:ascii="宋体" w:hAnsi="宋体" w:eastAsia="宋体" w:cs="宋体"/>
                <w:b/>
                <w:color w:val="auto"/>
                <w:sz w:val="21"/>
                <w:szCs w:val="21"/>
                <w:highlight w:val="none"/>
              </w:rPr>
              <w:t>实名认证服务</w:t>
            </w:r>
          </w:p>
        </w:tc>
        <w:tc>
          <w:tcPr>
            <w:tcW w:w="576" w:type="dxa"/>
            <w:gridSpan w:val="2"/>
            <w:vAlign w:val="center"/>
          </w:tcPr>
          <w:p w14:paraId="5EFA962E">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top"/>
          </w:tcPr>
          <w:p w14:paraId="48F31512">
            <w:pPr>
              <w:widowControl/>
              <w:spacing w:beforeLines="0" w:afterLines="0" w:line="360" w:lineRule="auto"/>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为了保证认证服务的稳定运行，本运维服务费用包含服务期认证服务费用，由服务方与认证服务提供方签订合同并缴纳费用</w:t>
            </w:r>
            <w:r>
              <w:rPr>
                <w:rFonts w:hint="eastAsia" w:ascii="宋体" w:hAnsi="宋体" w:eastAsia="宋体" w:cs="宋体"/>
                <w:color w:val="auto"/>
                <w:kern w:val="0"/>
                <w:sz w:val="21"/>
                <w:szCs w:val="21"/>
                <w:highlight w:val="none"/>
              </w:rPr>
              <w:t>。</w:t>
            </w:r>
          </w:p>
        </w:tc>
      </w:tr>
      <w:tr w14:paraId="16F1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10EA6A2">
            <w:pPr>
              <w:spacing w:line="380" w:lineRule="exact"/>
              <w:jc w:val="center"/>
              <w:rPr>
                <w:rFonts w:ascii="宋体" w:hAnsi="宋体" w:eastAsia="宋体" w:cs="宋体"/>
                <w:color w:val="auto"/>
                <w:szCs w:val="21"/>
                <w:highlight w:val="none"/>
              </w:rPr>
            </w:pPr>
          </w:p>
        </w:tc>
        <w:tc>
          <w:tcPr>
            <w:tcW w:w="434" w:type="dxa"/>
            <w:vAlign w:val="center"/>
          </w:tcPr>
          <w:p w14:paraId="339BC506">
            <w:pPr>
              <w:spacing w:line="38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924" w:type="dxa"/>
            <w:vAlign w:val="center"/>
          </w:tcPr>
          <w:p w14:paraId="3C499909">
            <w:pPr>
              <w:widowControl/>
              <w:spacing w:beforeLines="0" w:afterLines="0"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b/>
                <w:color w:val="auto"/>
                <w:kern w:val="0"/>
                <w:sz w:val="21"/>
                <w:szCs w:val="21"/>
                <w:highlight w:val="none"/>
              </w:rPr>
              <w:t>系统登录短信服务</w:t>
            </w:r>
          </w:p>
        </w:tc>
        <w:tc>
          <w:tcPr>
            <w:tcW w:w="576" w:type="dxa"/>
            <w:gridSpan w:val="2"/>
            <w:vAlign w:val="center"/>
          </w:tcPr>
          <w:p w14:paraId="523C5779">
            <w:pPr>
              <w:snapToGrid w:val="0"/>
              <w:jc w:val="center"/>
              <w:outlineLvl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293" w:type="dxa"/>
            <w:vAlign w:val="center"/>
          </w:tcPr>
          <w:p w14:paraId="6E097764">
            <w:pPr>
              <w:widowControl/>
              <w:spacing w:beforeLines="0" w:afterLines="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为保证网上信访系统用户登录，提供服务期内用户登录认证短信。最多不超过124万条短信。</w:t>
            </w:r>
          </w:p>
        </w:tc>
      </w:tr>
      <w:tr w14:paraId="59EF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0" w:type="dxa"/>
            <w:gridSpan w:val="6"/>
            <w:vAlign w:val="center"/>
          </w:tcPr>
          <w:p w14:paraId="4E2846B4">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bCs/>
                <w:color w:val="auto"/>
                <w:kern w:val="2"/>
                <w:sz w:val="21"/>
                <w:szCs w:val="21"/>
                <w:highlight w:val="none"/>
                <w:lang w:val="en-US" w:eastAsia="zh-CN" w:bidi="ar-SA"/>
              </w:rPr>
              <w:t>商务条款</w:t>
            </w:r>
          </w:p>
        </w:tc>
      </w:tr>
      <w:tr w14:paraId="3B93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45C79D3B">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▲合同签订时间</w:t>
            </w:r>
          </w:p>
        </w:tc>
        <w:tc>
          <w:tcPr>
            <w:tcW w:w="7552" w:type="dxa"/>
            <w:gridSpan w:val="2"/>
            <w:vAlign w:val="center"/>
          </w:tcPr>
          <w:p w14:paraId="72A4DF9F">
            <w:pPr>
              <w:spacing w:beforeLines="0" w:afterLines="0" w:line="360" w:lineRule="auto"/>
              <w:rPr>
                <w:rFonts w:hint="eastAsia" w:ascii="宋体" w:hAnsi="宋体" w:eastAsia="宋体" w:cs="宋体"/>
                <w:color w:val="auto"/>
                <w:highlight w:val="none"/>
                <w:lang w:val="en-US" w:eastAsia="zh-CN"/>
              </w:rPr>
            </w:pPr>
            <w:r>
              <w:rPr>
                <w:rFonts w:hint="default" w:ascii="宋体" w:hAnsi="宋体" w:eastAsia="宋体" w:cs="宋体"/>
                <w:color w:val="auto"/>
                <w:sz w:val="21"/>
                <w:szCs w:val="21"/>
                <w:highlight w:val="none"/>
              </w:rPr>
              <w:t>成交通知书发出之日起25日内</w:t>
            </w:r>
          </w:p>
        </w:tc>
      </w:tr>
      <w:tr w14:paraId="06D0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00B8D93D">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▲服务期限</w:t>
            </w:r>
          </w:p>
        </w:tc>
        <w:tc>
          <w:tcPr>
            <w:tcW w:w="7552" w:type="dxa"/>
            <w:gridSpan w:val="2"/>
            <w:vAlign w:val="center"/>
          </w:tcPr>
          <w:p w14:paraId="3722DE72">
            <w:pPr>
              <w:spacing w:beforeLines="0" w:afterLines="0" w:line="360" w:lineRule="auto"/>
              <w:rPr>
                <w:rFonts w:hint="default" w:ascii="宋体" w:hAnsi="宋体" w:eastAsia="宋体" w:cs="宋体"/>
                <w:color w:val="auto"/>
                <w:highlight w:val="none"/>
                <w:lang w:val="en-US" w:eastAsia="zh-CN"/>
              </w:rPr>
            </w:pPr>
            <w:r>
              <w:rPr>
                <w:rFonts w:hint="default" w:ascii="宋体" w:hAnsi="宋体" w:eastAsia="宋体" w:cs="宋体"/>
                <w:color w:val="auto"/>
                <w:sz w:val="21"/>
                <w:szCs w:val="21"/>
                <w:highlight w:val="none"/>
              </w:rPr>
              <w:t>自合同签订之日起 12 个月。</w:t>
            </w:r>
          </w:p>
        </w:tc>
      </w:tr>
      <w:tr w14:paraId="55A2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664F9448">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▲服务地点</w:t>
            </w:r>
          </w:p>
        </w:tc>
        <w:tc>
          <w:tcPr>
            <w:tcW w:w="7552" w:type="dxa"/>
            <w:gridSpan w:val="2"/>
            <w:vAlign w:val="center"/>
          </w:tcPr>
          <w:p w14:paraId="0E27AC36">
            <w:pPr>
              <w:spacing w:beforeLines="0" w:afterLines="0" w:line="360" w:lineRule="auto"/>
              <w:rPr>
                <w:rFonts w:hint="eastAsia" w:ascii="宋体" w:hAnsi="宋体" w:eastAsia="宋体" w:cs="宋体"/>
                <w:color w:val="auto"/>
                <w:highlight w:val="none"/>
                <w:lang w:val="en-US" w:eastAsia="zh-CN"/>
              </w:rPr>
            </w:pPr>
            <w:r>
              <w:rPr>
                <w:rFonts w:hint="default" w:ascii="宋体" w:hAnsi="宋体" w:eastAsia="宋体" w:cs="宋体"/>
                <w:color w:val="auto"/>
                <w:sz w:val="21"/>
                <w:szCs w:val="21"/>
                <w:highlight w:val="none"/>
              </w:rPr>
              <w:t>采购人指定地点</w:t>
            </w:r>
          </w:p>
        </w:tc>
      </w:tr>
      <w:tr w14:paraId="567B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15699F35">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▲售后服务要求</w:t>
            </w:r>
          </w:p>
        </w:tc>
        <w:tc>
          <w:tcPr>
            <w:tcW w:w="7552" w:type="dxa"/>
            <w:gridSpan w:val="2"/>
            <w:vAlign w:val="center"/>
          </w:tcPr>
          <w:p w14:paraId="7A64C4B1">
            <w:pPr>
              <w:spacing w:beforeLines="0" w:afterLines="0" w:line="360" w:lineRule="auto"/>
              <w:rPr>
                <w:rFonts w:hint="eastAsia" w:ascii="宋体" w:hAnsi="宋体" w:eastAsia="宋体" w:cs="宋体"/>
                <w:color w:val="auto"/>
                <w:highlight w:val="none"/>
                <w:lang w:val="en-US" w:eastAsia="zh-CN"/>
              </w:rPr>
            </w:pPr>
            <w:r>
              <w:rPr>
                <w:rFonts w:hint="default" w:ascii="宋体" w:hAnsi="宋体" w:eastAsia="宋体" w:cs="宋体"/>
                <w:color w:val="auto"/>
                <w:sz w:val="21"/>
                <w:szCs w:val="21"/>
                <w:highlight w:val="none"/>
              </w:rPr>
              <w:t>为保证系统的运维服务质量，成交供应商需承诺在项目运维期间需有充足的实施人员，包括业务专家、系统开发工程师及运维工程师至少10名，周一至周五，每天8小时驻场进行现场运维支持，节假日期间如有紧急情况也需尽快到场处置。</w:t>
            </w:r>
          </w:p>
        </w:tc>
      </w:tr>
      <w:tr w14:paraId="5B81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57CAF90C">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▲报价要求</w:t>
            </w:r>
          </w:p>
        </w:tc>
        <w:tc>
          <w:tcPr>
            <w:tcW w:w="7552" w:type="dxa"/>
            <w:gridSpan w:val="2"/>
            <w:vAlign w:val="center"/>
          </w:tcPr>
          <w:p w14:paraId="13DBCA5C">
            <w:pPr>
              <w:spacing w:beforeLines="0" w:afterLines="0" w:line="360" w:lineRule="auto"/>
              <w:rPr>
                <w:rFonts w:hint="default" w:ascii="宋体" w:hAnsi="Times New Roman" w:eastAsia="宋体" w:cs="Times New Roman"/>
                <w:color w:val="auto"/>
                <w:sz w:val="21"/>
                <w:szCs w:val="24"/>
                <w:highlight w:val="none"/>
              </w:rPr>
            </w:pPr>
            <w:r>
              <w:rPr>
                <w:rFonts w:hint="default" w:ascii="宋体" w:hAnsi="Times New Roman" w:eastAsia="宋体" w:cs="Times New Roman"/>
                <w:color w:val="auto"/>
                <w:sz w:val="21"/>
                <w:szCs w:val="24"/>
                <w:highlight w:val="none"/>
              </w:rPr>
              <w:t>报价必须包括但不限于以下内容：</w:t>
            </w:r>
          </w:p>
          <w:p w14:paraId="2DE45E66">
            <w:pPr>
              <w:spacing w:beforeLines="0" w:afterLines="0" w:line="360" w:lineRule="auto"/>
              <w:rPr>
                <w:rFonts w:hint="default" w:ascii="宋体" w:hAnsi="Times New Roman" w:eastAsia="宋体" w:cs="Times New Roman"/>
                <w:color w:val="auto"/>
                <w:sz w:val="21"/>
                <w:szCs w:val="24"/>
                <w:highlight w:val="none"/>
              </w:rPr>
            </w:pPr>
            <w:r>
              <w:rPr>
                <w:rFonts w:hint="eastAsia" w:ascii="宋体" w:hAnsi="Times New Roman" w:eastAsia="宋体" w:cs="Times New Roman"/>
                <w:color w:val="auto"/>
                <w:sz w:val="21"/>
                <w:szCs w:val="24"/>
                <w:highlight w:val="none"/>
                <w:lang w:val="en-US" w:eastAsia="zh-CN"/>
              </w:rPr>
              <w:t>1.</w:t>
            </w:r>
            <w:r>
              <w:rPr>
                <w:rFonts w:hint="default" w:ascii="宋体" w:hAnsi="Times New Roman" w:eastAsia="宋体" w:cs="Times New Roman"/>
                <w:color w:val="auto"/>
                <w:sz w:val="21"/>
                <w:szCs w:val="24"/>
                <w:highlight w:val="none"/>
              </w:rPr>
              <w:t xml:space="preserve"> 服务的价格；</w:t>
            </w:r>
          </w:p>
          <w:p w14:paraId="78B61A80">
            <w:pPr>
              <w:spacing w:beforeLines="0" w:afterLines="0" w:line="360" w:lineRule="auto"/>
              <w:rPr>
                <w:rFonts w:hint="default" w:ascii="宋体" w:hAnsi="Times New Roman" w:eastAsia="宋体" w:cs="Times New Roman"/>
                <w:color w:val="auto"/>
                <w:sz w:val="21"/>
                <w:szCs w:val="24"/>
                <w:highlight w:val="none"/>
              </w:rPr>
            </w:pPr>
            <w:r>
              <w:rPr>
                <w:rFonts w:hint="eastAsia" w:ascii="宋体" w:hAnsi="Times New Roman" w:eastAsia="宋体" w:cs="Times New Roman"/>
                <w:color w:val="auto"/>
                <w:sz w:val="21"/>
                <w:szCs w:val="24"/>
                <w:highlight w:val="none"/>
                <w:lang w:val="en-US" w:eastAsia="zh-CN"/>
              </w:rPr>
              <w:t>2.</w:t>
            </w:r>
            <w:r>
              <w:rPr>
                <w:rFonts w:hint="default" w:ascii="宋体" w:hAnsi="Times New Roman" w:eastAsia="宋体" w:cs="Times New Roman"/>
                <w:color w:val="auto"/>
                <w:sz w:val="21"/>
                <w:szCs w:val="24"/>
                <w:highlight w:val="none"/>
              </w:rPr>
              <w:t>必要的费用及各项服务税金；</w:t>
            </w:r>
          </w:p>
          <w:p w14:paraId="246211CC">
            <w:pPr>
              <w:spacing w:beforeLines="0" w:afterLines="0" w:line="360" w:lineRule="auto"/>
              <w:rPr>
                <w:rFonts w:hint="default" w:ascii="宋体" w:hAnsi="Times New Roman" w:eastAsia="宋体" w:cs="Times New Roman"/>
                <w:color w:val="auto"/>
                <w:sz w:val="21"/>
                <w:szCs w:val="24"/>
                <w:highlight w:val="none"/>
              </w:rPr>
            </w:pPr>
            <w:r>
              <w:rPr>
                <w:rFonts w:hint="eastAsia" w:ascii="宋体" w:hAnsi="Times New Roman" w:eastAsia="宋体" w:cs="Times New Roman"/>
                <w:color w:val="auto"/>
                <w:sz w:val="21"/>
                <w:szCs w:val="24"/>
                <w:highlight w:val="none"/>
                <w:lang w:val="en-US" w:eastAsia="zh-CN"/>
              </w:rPr>
              <w:t>3.</w:t>
            </w:r>
            <w:r>
              <w:rPr>
                <w:rFonts w:hint="default" w:ascii="宋体" w:hAnsi="Times New Roman" w:eastAsia="宋体" w:cs="Times New Roman"/>
                <w:color w:val="auto"/>
                <w:sz w:val="21"/>
                <w:szCs w:val="24"/>
                <w:highlight w:val="none"/>
              </w:rPr>
              <w:t>该项目全程服务过程中所发生的一切费用由服务方自行负责，如所涉及的一切费用由服务方自行承担，服务方需满足采购人对本项目服务提出的有关需求所需的一切费用；</w:t>
            </w:r>
          </w:p>
          <w:p w14:paraId="3A5353E4">
            <w:pPr>
              <w:spacing w:beforeLines="0" w:afterLines="0" w:line="360" w:lineRule="auto"/>
              <w:rPr>
                <w:rFonts w:hint="eastAsia" w:ascii="宋体" w:hAnsi="宋体" w:eastAsia="宋体" w:cs="宋体"/>
                <w:color w:val="auto"/>
                <w:highlight w:val="none"/>
                <w:lang w:val="en-US" w:eastAsia="zh-CN"/>
              </w:rPr>
            </w:pPr>
            <w:r>
              <w:rPr>
                <w:rFonts w:hint="eastAsia" w:ascii="宋体" w:hAnsi="Times New Roman" w:eastAsia="宋体" w:cs="Times New Roman"/>
                <w:color w:val="auto"/>
                <w:sz w:val="21"/>
                <w:szCs w:val="24"/>
                <w:highlight w:val="none"/>
                <w:lang w:val="en-US" w:eastAsia="zh-CN"/>
              </w:rPr>
              <w:t>4.</w:t>
            </w:r>
            <w:r>
              <w:rPr>
                <w:rFonts w:hint="default" w:ascii="宋体" w:hAnsi="Times New Roman" w:eastAsia="宋体" w:cs="Times New Roman"/>
                <w:color w:val="auto"/>
                <w:sz w:val="21"/>
                <w:szCs w:val="24"/>
                <w:highlight w:val="none"/>
              </w:rPr>
              <w:t>其他</w:t>
            </w:r>
            <w:r>
              <w:rPr>
                <w:rFonts w:hint="eastAsia" w:ascii="宋体" w:hAnsi="Times New Roman" w:eastAsia="宋体" w:cs="Times New Roman"/>
                <w:color w:val="auto"/>
                <w:sz w:val="21"/>
                <w:szCs w:val="24"/>
                <w:highlight w:val="none"/>
                <w:lang w:eastAsia="zh-CN"/>
              </w:rPr>
              <w:t>（</w:t>
            </w:r>
            <w:r>
              <w:rPr>
                <w:rFonts w:hint="default" w:ascii="宋体" w:hAnsi="Times New Roman" w:eastAsia="宋体" w:cs="Times New Roman"/>
                <w:color w:val="auto"/>
                <w:sz w:val="21"/>
                <w:szCs w:val="24"/>
                <w:highlight w:val="none"/>
              </w:rPr>
              <w:t>如运输、装卸、安装、调试、技术支持、售后服务、验收等</w:t>
            </w:r>
            <w:r>
              <w:rPr>
                <w:rFonts w:hint="eastAsia" w:ascii="宋体" w:hAnsi="Times New Roman" w:eastAsia="宋体" w:cs="Times New Roman"/>
                <w:color w:val="auto"/>
                <w:sz w:val="21"/>
                <w:szCs w:val="24"/>
                <w:highlight w:val="none"/>
                <w:lang w:eastAsia="zh-CN"/>
              </w:rPr>
              <w:t>）</w:t>
            </w:r>
            <w:r>
              <w:rPr>
                <w:rFonts w:hint="default" w:ascii="宋体" w:hAnsi="Times New Roman" w:eastAsia="宋体" w:cs="Times New Roman"/>
                <w:color w:val="auto"/>
                <w:sz w:val="21"/>
                <w:szCs w:val="24"/>
                <w:highlight w:val="none"/>
              </w:rPr>
              <w:t>费用。</w:t>
            </w:r>
          </w:p>
        </w:tc>
      </w:tr>
      <w:tr w14:paraId="2269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0FCE000C">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▲付款方式</w:t>
            </w:r>
          </w:p>
        </w:tc>
        <w:tc>
          <w:tcPr>
            <w:tcW w:w="7552" w:type="dxa"/>
            <w:gridSpan w:val="2"/>
            <w:vAlign w:val="center"/>
          </w:tcPr>
          <w:p w14:paraId="64FB3E57">
            <w:pPr>
              <w:spacing w:beforeLines="0" w:afterLines="0"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合同签署生效后十个工作日以内，采购人向成交供应商支付合同总额的100%作为项目款。(付款前，成交供应商需向采购人出具等额增值税发票)。</w:t>
            </w:r>
          </w:p>
        </w:tc>
      </w:tr>
      <w:tr w14:paraId="5402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8" w:type="dxa"/>
            <w:gridSpan w:val="4"/>
            <w:vAlign w:val="center"/>
          </w:tcPr>
          <w:p w14:paraId="3010405A">
            <w:pPr>
              <w:spacing w:beforeLines="0" w:afterLines="0" w:line="360" w:lineRule="auto"/>
              <w:jc w:val="center"/>
              <w:rPr>
                <w:rFonts w:hint="eastAsia" w:ascii="宋体" w:hAnsi="宋体" w:eastAsia="宋体" w:cs="宋体"/>
                <w:b/>
                <w:bCs/>
                <w:color w:val="auto"/>
                <w:sz w:val="21"/>
                <w:szCs w:val="21"/>
                <w:highlight w:val="none"/>
              </w:rPr>
            </w:pPr>
            <w:r>
              <w:rPr>
                <w:rFonts w:hint="default" w:ascii="宋体" w:hAnsi="宋体" w:eastAsia="宋体" w:cs="Times New Roman"/>
                <w:b/>
                <w:color w:val="auto"/>
                <w:sz w:val="21"/>
                <w:szCs w:val="24"/>
                <w:highlight w:val="none"/>
              </w:rPr>
              <w:t>▲其他要求</w:t>
            </w:r>
          </w:p>
        </w:tc>
        <w:tc>
          <w:tcPr>
            <w:tcW w:w="7552" w:type="dxa"/>
            <w:gridSpan w:val="2"/>
            <w:vAlign w:val="center"/>
          </w:tcPr>
          <w:p w14:paraId="560A88DC">
            <w:pPr>
              <w:spacing w:beforeLines="0" w:afterLines="0"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服务期间若驻场运维人员出现无法在规定时间内排除故障情况，采购人有权要求成交供应商更换驻场运维人员，若更换驻场运维人员后仍出现上述情况的，采购人有权追究成交供应商责任，因不能及时排除故障所产生的损失，由成交供应商负责。</w:t>
            </w:r>
          </w:p>
          <w:p w14:paraId="4DD0E6D7">
            <w:pPr>
              <w:spacing w:beforeLines="0" w:afterLines="0"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2.若服务期间实际驻场运维人员未达采购文件要求的，经采购人警告后仍未补足驻场运维人员的，采购人有权通过法律途径解除采购合同，由此造成的损失，由成交供应商负责。</w:t>
            </w:r>
          </w:p>
        </w:tc>
      </w:tr>
    </w:tbl>
    <w:p w14:paraId="30A0EE31">
      <w:pPr>
        <w:rPr>
          <w:color w:val="auto"/>
          <w:highlight w:val="none"/>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F0EC0"/>
    <w:rsid w:val="775F0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2026-06-18T10:01:00Z</dcterms:created>
  <dc:creator>WPS_1609229660</dc:creator>
  <cp:lastModifiedBy>WPS_1609229660</cp:lastModifiedBy>
  <dcterms:modified xsi:type="dcterms:W3CDTF">2026-06-18T10:02:46Z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9BA1716304234CA082B997F113667B5B_11</vt:lpwstr>
  </property>
  <property fmtid="{D5CDD505-2E9C-101B-9397-08002B2CF9AE}" pid="4" name="KSOTemplateDocerSaveRecord">
    <vt:lpwstr>eyJoZGlkIjoiZmNiMDU2YmI2NWVhZWJmYzdiNDhlOGFlODIzMDY3NTkiLCJ1c2VySWQiOiIxMTU1NDM4MjAzIn0=</vt:lpwstr>
  </property>
</Properties>
</file>